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招 标 文 件</w:t>
      </w:r>
    </w:p>
    <w:p>
      <w:pPr>
        <w:pStyle w:val="6"/>
        <w:rPr>
          <w:color w:val="auto"/>
          <w:highlight w:val="none"/>
        </w:rPr>
      </w:pPr>
    </w:p>
    <w:p>
      <w:pPr>
        <w:pStyle w:val="6"/>
        <w:rPr>
          <w:color w:val="auto"/>
          <w:highlight w:val="none"/>
        </w:rPr>
      </w:pPr>
    </w:p>
    <w:p>
      <w:pPr>
        <w:spacing w:line="360" w:lineRule="auto"/>
        <w:rPr>
          <w:rFonts w:ascii="宋体" w:hAnsi="宋体" w:cs="宋体"/>
          <w:b/>
          <w:bCs/>
          <w:color w:val="auto"/>
          <w:sz w:val="36"/>
          <w:szCs w:val="36"/>
          <w:highlight w:val="none"/>
        </w:rPr>
      </w:pPr>
      <w:bookmarkStart w:id="0" w:name="_Toc493928402"/>
      <w:bookmarkStart w:id="1" w:name="_Toc493956012"/>
    </w:p>
    <w:p>
      <w:pPr>
        <w:spacing w:line="360" w:lineRule="auto"/>
        <w:ind w:firstLine="723" w:firstLineChars="200"/>
        <w:rPr>
          <w:rFonts w:ascii="宋体" w:hAnsi="宋体" w:cs="宋体"/>
          <w:color w:val="auto"/>
          <w:sz w:val="36"/>
          <w:szCs w:val="36"/>
          <w:highlight w:val="none"/>
        </w:rPr>
      </w:pPr>
      <w:r>
        <w:rPr>
          <w:rFonts w:hint="eastAsia" w:ascii="宋体" w:hAnsi="宋体" w:cs="宋体"/>
          <w:b/>
          <w:bCs/>
          <w:color w:val="auto"/>
          <w:sz w:val="36"/>
          <w:szCs w:val="36"/>
          <w:highlight w:val="none"/>
        </w:rPr>
        <w:t>采购编号：</w:t>
      </w:r>
      <w:bookmarkEnd w:id="0"/>
      <w:bookmarkEnd w:id="1"/>
      <w:r>
        <w:rPr>
          <w:rFonts w:hint="eastAsia" w:ascii="宋体" w:hAnsi="宋体" w:cs="宋体"/>
          <w:b/>
          <w:bCs/>
          <w:color w:val="auto"/>
          <w:sz w:val="36"/>
          <w:szCs w:val="36"/>
          <w:highlight w:val="none"/>
        </w:rPr>
        <w:t>JYZFCG(分散)2020-</w:t>
      </w:r>
      <w:r>
        <w:rPr>
          <w:rFonts w:hint="eastAsia" w:ascii="宋体" w:hAnsi="宋体" w:cs="宋体"/>
          <w:b/>
          <w:bCs/>
          <w:color w:val="auto"/>
          <w:sz w:val="36"/>
          <w:szCs w:val="36"/>
          <w:highlight w:val="none"/>
          <w:lang w:val="en-US" w:eastAsia="zh-CN"/>
        </w:rPr>
        <w:t>34</w:t>
      </w:r>
      <w:r>
        <w:rPr>
          <w:rFonts w:hint="eastAsia" w:ascii="宋体" w:hAnsi="宋体" w:cs="宋体"/>
          <w:b/>
          <w:bCs/>
          <w:color w:val="auto"/>
          <w:sz w:val="36"/>
          <w:szCs w:val="36"/>
          <w:highlight w:val="none"/>
        </w:rPr>
        <w:t xml:space="preserve">       </w:t>
      </w:r>
    </w:p>
    <w:p>
      <w:pPr>
        <w:spacing w:line="360" w:lineRule="auto"/>
        <w:rPr>
          <w:rFonts w:ascii="宋体" w:hAnsi="宋体" w:cs="宋体"/>
          <w:b/>
          <w:bCs/>
          <w:color w:val="auto"/>
          <w:sz w:val="36"/>
          <w:szCs w:val="36"/>
          <w:highlight w:val="none"/>
        </w:rPr>
      </w:pPr>
      <w:bookmarkStart w:id="2" w:name="_Toc493956014"/>
      <w:bookmarkStart w:id="3" w:name="_Toc493928404"/>
    </w:p>
    <w:p>
      <w:pPr>
        <w:pStyle w:val="17"/>
        <w:rPr>
          <w:rFonts w:ascii="宋体" w:hAnsi="宋体" w:eastAsia="宋体" w:cs="宋体"/>
          <w:color w:val="auto"/>
          <w:highlight w:val="none"/>
        </w:rPr>
      </w:pPr>
    </w:p>
    <w:p>
      <w:pPr>
        <w:spacing w:line="360" w:lineRule="auto"/>
        <w:ind w:left="2525" w:leftChars="342" w:hanging="1807" w:hangingChars="500"/>
        <w:rPr>
          <w:rFonts w:ascii="宋体" w:hAnsi="宋体" w:cs="宋体"/>
          <w:color w:val="auto"/>
          <w:sz w:val="36"/>
          <w:szCs w:val="36"/>
          <w:highlight w:val="none"/>
        </w:rPr>
      </w:pPr>
      <w:r>
        <w:rPr>
          <w:rFonts w:hint="eastAsia" w:ascii="宋体" w:hAnsi="宋体" w:cs="宋体"/>
          <w:b/>
          <w:bCs/>
          <w:color w:val="auto"/>
          <w:sz w:val="36"/>
          <w:szCs w:val="36"/>
          <w:highlight w:val="none"/>
        </w:rPr>
        <w:t>项目名称：</w:t>
      </w:r>
      <w:bookmarkEnd w:id="2"/>
      <w:bookmarkEnd w:id="3"/>
      <w:r>
        <w:rPr>
          <w:rFonts w:hint="eastAsia" w:ascii="宋体" w:hAnsi="宋体" w:cs="宋体"/>
          <w:b/>
          <w:bCs/>
          <w:color w:val="auto"/>
          <w:sz w:val="36"/>
          <w:szCs w:val="36"/>
          <w:highlight w:val="none"/>
        </w:rPr>
        <w:t>缙云县人民政府新碧街道办事处2020年道路清扫保洁、农村垃圾清运服务采购项目</w:t>
      </w:r>
    </w:p>
    <w:p>
      <w:pPr>
        <w:spacing w:line="360" w:lineRule="auto"/>
        <w:rPr>
          <w:rFonts w:ascii="宋体" w:hAnsi="宋体" w:cs="宋体"/>
          <w:b/>
          <w:bCs/>
          <w:color w:val="auto"/>
          <w:sz w:val="36"/>
          <w:szCs w:val="36"/>
          <w:highlight w:val="none"/>
        </w:rPr>
      </w:pPr>
      <w:bookmarkStart w:id="4" w:name="_Toc493956016"/>
      <w:bookmarkStart w:id="5" w:name="_Toc493928406"/>
    </w:p>
    <w:p>
      <w:pPr>
        <w:pStyle w:val="17"/>
        <w:rPr>
          <w:rFonts w:ascii="宋体" w:hAnsi="宋体" w:eastAsia="宋体" w:cs="宋体"/>
          <w:color w:val="auto"/>
          <w:highlight w:val="none"/>
        </w:rPr>
      </w:pPr>
    </w:p>
    <w:p>
      <w:pPr>
        <w:spacing w:line="360" w:lineRule="auto"/>
        <w:ind w:firstLine="723" w:firstLineChars="200"/>
        <w:rPr>
          <w:rFonts w:ascii="宋体" w:hAnsi="宋体" w:cs="宋体"/>
          <w:color w:val="auto"/>
          <w:highlight w:val="none"/>
        </w:rPr>
      </w:pPr>
      <w:r>
        <w:rPr>
          <w:rFonts w:hint="eastAsia" w:ascii="宋体" w:hAnsi="宋体" w:cs="宋体"/>
          <w:b/>
          <w:bCs/>
          <w:color w:val="auto"/>
          <w:sz w:val="36"/>
          <w:szCs w:val="36"/>
          <w:highlight w:val="none"/>
        </w:rPr>
        <w:t>采  购  人：</w:t>
      </w:r>
      <w:bookmarkEnd w:id="4"/>
      <w:bookmarkEnd w:id="5"/>
      <w:r>
        <w:rPr>
          <w:rFonts w:hint="eastAsia" w:ascii="宋体" w:hAnsi="宋体" w:cs="宋体"/>
          <w:b/>
          <w:bCs/>
          <w:color w:val="auto"/>
          <w:sz w:val="36"/>
          <w:szCs w:val="36"/>
          <w:highlight w:val="none"/>
        </w:rPr>
        <w:t>缙云县人民政府新碧街道办事处</w:t>
      </w:r>
    </w:p>
    <w:p>
      <w:pPr>
        <w:autoSpaceDE w:val="0"/>
        <w:autoSpaceDN w:val="0"/>
        <w:spacing w:line="360" w:lineRule="auto"/>
        <w:ind w:firstLine="723" w:firstLineChars="200"/>
        <w:textAlignment w:val="bottom"/>
        <w:rPr>
          <w:rFonts w:ascii="宋体" w:hAnsi="宋体" w:cs="宋体"/>
          <w:b/>
          <w:color w:val="auto"/>
          <w:sz w:val="36"/>
          <w:szCs w:val="36"/>
          <w:highlight w:val="none"/>
        </w:rPr>
      </w:pPr>
      <w:r>
        <w:rPr>
          <w:rFonts w:hint="eastAsia" w:ascii="宋体" w:hAnsi="宋体" w:cs="宋体"/>
          <w:b/>
          <w:color w:val="auto"/>
          <w:sz w:val="36"/>
          <w:szCs w:val="36"/>
          <w:highlight w:val="none"/>
        </w:rPr>
        <w:t>采购代理机构：浙江鼎峰工程咨询有限公司</w:t>
      </w:r>
    </w:p>
    <w:p>
      <w:pPr>
        <w:pStyle w:val="28"/>
        <w:spacing w:line="360" w:lineRule="auto"/>
        <w:jc w:val="center"/>
        <w:rPr>
          <w:rFonts w:hint="default" w:ascii="宋体" w:hAnsi="宋体" w:eastAsia="宋体" w:cs="宋体"/>
          <w:b/>
          <w:color w:val="auto"/>
          <w:kern w:val="2"/>
          <w:sz w:val="36"/>
          <w:szCs w:val="36"/>
          <w:highlight w:val="none"/>
        </w:rPr>
      </w:pPr>
    </w:p>
    <w:p>
      <w:pPr>
        <w:pStyle w:val="28"/>
        <w:spacing w:line="360" w:lineRule="auto"/>
        <w:jc w:val="center"/>
        <w:rPr>
          <w:rFonts w:hint="default" w:ascii="宋体" w:hAnsi="宋体" w:eastAsia="宋体" w:cs="宋体"/>
          <w:b/>
          <w:color w:val="auto"/>
          <w:kern w:val="2"/>
          <w:sz w:val="36"/>
          <w:szCs w:val="36"/>
          <w:highlight w:val="none"/>
        </w:rPr>
      </w:pPr>
    </w:p>
    <w:p>
      <w:pPr>
        <w:pStyle w:val="28"/>
        <w:spacing w:line="360" w:lineRule="auto"/>
        <w:jc w:val="center"/>
        <w:rPr>
          <w:rFonts w:hint="default" w:ascii="宋体" w:hAnsi="宋体" w:eastAsia="宋体" w:cs="宋体"/>
          <w:color w:val="auto"/>
          <w:sz w:val="36"/>
          <w:szCs w:val="36"/>
          <w:highlight w:val="none"/>
        </w:rPr>
      </w:pPr>
      <w:r>
        <w:rPr>
          <w:rFonts w:ascii="宋体" w:hAnsi="宋体" w:eastAsia="宋体" w:cs="宋体"/>
          <w:b/>
          <w:color w:val="auto"/>
          <w:kern w:val="2"/>
          <w:sz w:val="36"/>
          <w:szCs w:val="36"/>
          <w:highlight w:val="none"/>
        </w:rPr>
        <w:t>二〇二〇年九月</w:t>
      </w:r>
    </w:p>
    <w:p>
      <w:pPr>
        <w:spacing w:line="480" w:lineRule="auto"/>
        <w:rPr>
          <w:color w:val="auto"/>
          <w:highlight w:val="none"/>
        </w:rPr>
      </w:pPr>
    </w:p>
    <w:p>
      <w:pPr>
        <w:pStyle w:val="45"/>
        <w:spacing w:after="240"/>
        <w:rPr>
          <w:rFonts w:ascii="仿宋_GB2312" w:eastAsia="仿宋_GB2312"/>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cols w:space="720" w:num="1"/>
          <w:titlePg/>
          <w:docGrid w:linePitch="312" w:charSpace="0"/>
        </w:sectPr>
      </w:pPr>
    </w:p>
    <w:p>
      <w:pPr>
        <w:pStyle w:val="45"/>
        <w:spacing w:after="240"/>
        <w:rPr>
          <w:rFonts w:ascii="仿宋_GB2312" w:eastAsia="仿宋_GB2312"/>
          <w:color w:val="auto"/>
          <w:highlight w:val="none"/>
        </w:rPr>
      </w:pPr>
      <w:bookmarkStart w:id="6" w:name="_Toc1406"/>
      <w:bookmarkStart w:id="7" w:name="_Toc530551803"/>
      <w:bookmarkStart w:id="8" w:name="_Toc531358958"/>
      <w:r>
        <w:rPr>
          <w:rFonts w:hint="eastAsia" w:ascii="仿宋_GB2312" w:eastAsia="仿宋_GB2312"/>
          <w:color w:val="auto"/>
          <w:highlight w:val="none"/>
        </w:rPr>
        <w:t xml:space="preserve">目 </w:t>
      </w:r>
      <w:r>
        <w:rPr>
          <w:rFonts w:ascii="仿宋_GB2312" w:eastAsia="仿宋_GB2312"/>
          <w:color w:val="auto"/>
          <w:highlight w:val="none"/>
        </w:rPr>
        <w:t xml:space="preserve"> </w:t>
      </w:r>
      <w:r>
        <w:rPr>
          <w:rFonts w:hint="eastAsia" w:ascii="仿宋_GB2312" w:eastAsia="仿宋_GB2312"/>
          <w:color w:val="auto"/>
          <w:highlight w:val="none"/>
        </w:rPr>
        <w:t>录</w:t>
      </w:r>
      <w:bookmarkEnd w:id="6"/>
      <w:bookmarkEnd w:id="7"/>
      <w:bookmarkEnd w:id="8"/>
      <w:bookmarkStart w:id="9" w:name="_Toc69635410"/>
    </w:p>
    <w:p>
      <w:pPr>
        <w:pStyle w:val="34"/>
        <w:tabs>
          <w:tab w:val="right" w:leader="dot" w:pos="9070"/>
          <w:tab w:val="clear" w:pos="9060"/>
        </w:tabs>
        <w:rPr>
          <w:rFonts w:hint="eastAsia" w:ascii="宋体" w:hAnsi="宋体" w:eastAsia="宋体" w:cs="宋体"/>
          <w:color w:val="auto"/>
          <w:sz w:val="21"/>
          <w:szCs w:val="21"/>
          <w:highlight w:val="none"/>
        </w:rPr>
      </w:pPr>
      <w:r>
        <w:rPr>
          <w:rFonts w:ascii="仿宋_GB2312"/>
          <w:color w:val="auto"/>
          <w:sz w:val="24"/>
          <w:szCs w:val="24"/>
          <w:highlight w:val="none"/>
        </w:rPr>
        <w:fldChar w:fldCharType="begin"/>
      </w:r>
      <w:r>
        <w:rPr>
          <w:rFonts w:ascii="仿宋_GB2312"/>
          <w:color w:val="auto"/>
          <w:sz w:val="24"/>
          <w:szCs w:val="24"/>
          <w:highlight w:val="none"/>
        </w:rPr>
        <w:instrText xml:space="preserve"> TOC \o "1-3" \h \z \u </w:instrText>
      </w:r>
      <w:r>
        <w:rPr>
          <w:rFonts w:ascii="仿宋_GB2312"/>
          <w:color w:val="auto"/>
          <w:sz w:val="24"/>
          <w:szCs w:val="24"/>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_Toc1406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目  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_Toc1406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_Toc13643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第一章  招标公告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_Toc13643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_Toc7063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第二章  招标需求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_Toc7063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_Toc15049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第三章  投标人须知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_Toc15049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_Toc3424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投标人须知前附表（一）</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_Toc3424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_Toc20936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投标人须知前附表（二）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_Toc20936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总则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_Toc25444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  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_Toc25444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_Toc6812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  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_Toc6812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_Toc3629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  投标人应具备资格条件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_Toc3629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  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_Toc23743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_Toc22118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  投标文件的语言及计量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_Toc22118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_Toc21963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  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_Toc21963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_Toc32062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  现场踏勘</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_Toc32062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_Toc5623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  答疑会</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_Toc5623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_Toc24261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  分包</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_Toc24261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_Toc19166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1.10  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_Toc19166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_Toc29878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1.11 政府采购政策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_Toc29878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1.12 相同品牌产品（本项目不适用）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_Toc19521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1.13 信用信息记录查询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_Toc19521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_Toc30818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1.14 质疑和投诉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_Toc30818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_Toc28544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1.15  特别声明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_Toc28544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_Toc32149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招标文件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_Toc32149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  招标文件的组成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_Toc25603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  招标文件的澄清、修改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_Toc24617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_Toc24617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_Toc30004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  投标文件组成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_Toc30004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_Toc5835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  资格审查文件的组成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_Toc5835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_Toc22607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  资信商务及技术文件的组成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_Toc22607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_Toc1942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  报价文件的组成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_Toc1942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_Toc10812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四  投标文件的编制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_Toc10812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_Toc19725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  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_Toc19725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_Toc12221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4.2  投标报价要求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_Toc12221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_Toc9202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4.3  投标文件排版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_Toc9202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_Toc14708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4.4  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_Toc14708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_Toc3516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  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_Toc3516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  投标文件份数及签署</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_Toc20718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五 投标文件的提交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 投标文件的导入及加密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_Toc25345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  投标文件的提交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_Toc25345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_Toc16434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  投标文件修改和撤回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_Toc16434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  备选投标方案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_Toc5328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  投标诚实信用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_Toc5328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_Toc21645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六  开标、资格审查、评标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_Toc21645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_Toc27214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  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_Toc27214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  资格审查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_Toc4588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  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_Toc4588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_Toc13541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  投标文件的澄清、说明或补正</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_Toc13541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_Toc3197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  报价错误修正</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_Toc3197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_Toc32222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  评标报告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_Toc32222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_Toc21554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七 投标无效的情形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_Toc21554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7.1  在开标时，如发现有以下情形之一的，其投标无效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_Toc22781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_Toc23988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7.2  在符合性审查时，如发现下列情形之一的，其投标无效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_Toc23988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  在资信商务技术评审时，如发现下列情形之一的，其投标无效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_Toc22262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_Toc21227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 在报价评审时，如发现下列情形之一的，其投标无效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_Toc21227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7.5 如有下列情形之一的，其投标无效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_Toc23850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7.6 突发情况处理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_Toc23850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_Toc17928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八  中标和合同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_Toc17928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_Toc16795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  中标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_Toc16795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_Toc24976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8.2  中标公告和中标通知书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_Toc24976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_Toc27160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8.3  履约保证金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_Toc27160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_Toc30200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8.4 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_Toc30200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九  其他事项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_Toc4034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第四章  合同格式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_Toc4034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_Toc2237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第五章  投标文件格式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_Toc20374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资格审查文件格式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_Toc20374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_Toc17564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    资格审查文件封面格式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_Toc17564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_Toc11275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1.2    资格审查文件目录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_Toc11275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    有效营业执照复印件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_Toc30886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_Toc18127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1.4    负责人身份证复印件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_Toc18127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_Toc19030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1.5    授权委托书格式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_Toc19030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_Toc6120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    财务状况报告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_Toc6120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    依法缴纳税收和社会保障资金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    无重大违法记录声明书格式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_Toc2085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_Toc21214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1.9信用中国（www.creditchina.gov.cn）、中国政府采购网（www.ccgp.gov.cn）</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_Toc21214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_Toc7162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有无被列入失信被执行人、重大税收违法案件当事人名单、政府采购严重违法失信行为记录名单截图；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_Toc7162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_Toc4414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1.10  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_Toc4414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_Toc6748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资信商务及技术文件格式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_Toc6748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    资信及商务文件封面格式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2.2    资信商务及技术文件目录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_Toc11105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2.3    投标函格式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_Toc11105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_Toc18550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2.4     保洁管理计划</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_Toc18550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_Toc12443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2.5   保洁作业力量保障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_Toc12443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_Toc31018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2.6    项目交接平稳过渡计划和人员维稳管理及安全生产排除方案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_Toc31018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_Toc7924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2.7   综合协调方案</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_Toc7924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2.8   保洁管理制度、措施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_Toc26594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_Toc29731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2.9   企业管理制度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_Toc29731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_Toc6260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1、投标人应根据本项目特点提供相应的企业管理制度</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_Toc6260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_Toc5561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2.10     服务承诺</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_Toc5561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_Toc20209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 xml:space="preserve">2.11    </w:t>
      </w:r>
      <w:r>
        <w:rPr>
          <w:rFonts w:hint="eastAsia" w:ascii="宋体" w:hAnsi="宋体" w:eastAsia="宋体" w:cs="宋体"/>
          <w:color w:val="auto"/>
          <w:sz w:val="21"/>
          <w:szCs w:val="21"/>
          <w:highlight w:val="none"/>
          <w:lang w:val="zh-CN"/>
        </w:rPr>
        <w:t>其他必要提供的资料</w:t>
      </w:r>
      <w:r>
        <w:rPr>
          <w:rFonts w:hint="eastAsia" w:ascii="宋体" w:hAnsi="宋体" w:eastAsia="宋体" w:cs="宋体"/>
          <w:color w:val="auto"/>
          <w:sz w:val="21"/>
          <w:szCs w:val="21"/>
          <w:highlight w:val="none"/>
        </w:rPr>
        <w:t>（结合采购需求、商务要求及评分办法等）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_Toc20209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报价文件格式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3.1     报价文件文件封面格式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_Toc15919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     报价文件文件目录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_Toc1169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_Toc3977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     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_Toc3977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_Toc4151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     投标分项报价表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_Toc4151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25"/>
        <w:tabs>
          <w:tab w:val="right" w:leader="dot" w:pos="907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_Toc13726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     投标人类型声明函格式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_Toc13726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_Toc27271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第六章  评标办法和评审标准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_Toc27271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_Toc18973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一    总则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_Toc18973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_Toc10072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二    评审一般规定</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_Toc10072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34"/>
        <w:tabs>
          <w:tab w:val="right" w:leader="dot" w:pos="9070"/>
          <w:tab w:val="clear" w:pos="9060"/>
        </w:tabs>
        <w:rPr>
          <w:color w:val="auto"/>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_Toc30431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三    评审内容及标准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_Toc30431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spacing w:line="300" w:lineRule="exact"/>
        <w:rPr>
          <w:color w:val="auto"/>
          <w:highlight w:val="none"/>
        </w:rPr>
      </w:pPr>
      <w:r>
        <w:rPr>
          <w:rFonts w:ascii="仿宋_GB2312" w:eastAsia="仿宋_GB2312"/>
          <w:color w:val="auto"/>
          <w:szCs w:val="24"/>
          <w:highlight w:val="none"/>
        </w:rPr>
        <w:fldChar w:fldCharType="end"/>
      </w:r>
    </w:p>
    <w:bookmarkEnd w:id="9"/>
    <w:p>
      <w:pPr>
        <w:pStyle w:val="4"/>
        <w:spacing w:before="0" w:after="0" w:line="400" w:lineRule="exact"/>
        <w:rPr>
          <w:rFonts w:hAnsi="Times New Roman"/>
          <w:color w:val="auto"/>
          <w:highlight w:val="none"/>
        </w:rPr>
        <w:sectPr>
          <w:pgSz w:w="11906" w:h="16838"/>
          <w:pgMar w:top="1418" w:right="1418" w:bottom="1418" w:left="1418" w:header="851" w:footer="851" w:gutter="0"/>
          <w:pgNumType w:start="1"/>
          <w:cols w:space="720" w:num="1"/>
          <w:docGrid w:linePitch="312" w:charSpace="0"/>
        </w:sectPr>
      </w:pPr>
    </w:p>
    <w:p>
      <w:pPr>
        <w:pStyle w:val="45"/>
        <w:spacing w:before="0" w:after="0" w:line="360" w:lineRule="auto"/>
        <w:rPr>
          <w:rFonts w:ascii="宋体" w:hAnsi="宋体"/>
          <w:color w:val="auto"/>
          <w:sz w:val="36"/>
          <w:szCs w:val="36"/>
          <w:highlight w:val="none"/>
        </w:rPr>
      </w:pPr>
      <w:bookmarkStart w:id="10" w:name="_Toc493956018"/>
      <w:bookmarkStart w:id="11" w:name="_Toc531358959"/>
      <w:bookmarkStart w:id="12" w:name="_Toc530551804"/>
      <w:bookmarkStart w:id="13" w:name="_Toc13643"/>
      <w:r>
        <w:rPr>
          <w:rFonts w:hint="eastAsia" w:ascii="宋体" w:hAnsi="宋体"/>
          <w:color w:val="auto"/>
          <w:sz w:val="36"/>
          <w:szCs w:val="36"/>
          <w:highlight w:val="none"/>
        </w:rPr>
        <w:t xml:space="preserve">第一章  </w:t>
      </w:r>
      <w:bookmarkEnd w:id="10"/>
      <w:r>
        <w:rPr>
          <w:rFonts w:hint="eastAsia" w:ascii="宋体" w:hAnsi="宋体"/>
          <w:color w:val="auto"/>
          <w:sz w:val="36"/>
          <w:szCs w:val="36"/>
          <w:highlight w:val="none"/>
        </w:rPr>
        <w:t>招标公告</w:t>
      </w:r>
      <w:bookmarkEnd w:id="11"/>
      <w:bookmarkEnd w:id="12"/>
      <w:bookmarkEnd w:id="13"/>
    </w:p>
    <w:p>
      <w:pPr>
        <w:snapToGrid w:val="0"/>
        <w:spacing w:line="360" w:lineRule="auto"/>
        <w:ind w:firstLine="510"/>
        <w:rPr>
          <w:rFonts w:ascii="宋体" w:hAnsi="宋体" w:cs="宋体"/>
          <w:color w:val="auto"/>
          <w:sz w:val="24"/>
          <w:szCs w:val="24"/>
          <w:highlight w:val="none"/>
        </w:rPr>
      </w:pPr>
      <w:bookmarkStart w:id="14" w:name="EBf1e27c6183244f4a8f3fc355defd653e"/>
      <w:r>
        <w:rPr>
          <w:rFonts w:hint="eastAsia" w:ascii="宋体" w:hAnsi="宋体" w:cs="宋体"/>
          <w:color w:val="auto"/>
          <w:sz w:val="24"/>
          <w:szCs w:val="24"/>
          <w:highlight w:val="none"/>
        </w:rPr>
        <w:t>根据《中华人民共和国政府采购法》、《中华人民共和国政府采购法实施条例》等有关规定，</w:t>
      </w:r>
      <w:r>
        <w:rPr>
          <w:rFonts w:hint="eastAsia" w:ascii="宋体" w:hAnsi="宋体" w:cs="宋体"/>
          <w:color w:val="auto"/>
          <w:sz w:val="24"/>
          <w:szCs w:val="24"/>
          <w:highlight w:val="none"/>
          <w:u w:val="single"/>
        </w:rPr>
        <w:t>浙江鼎峰工程咨询有限公司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rPr>
        <w:t>缙云县人民政府新碧街道办事处</w:t>
      </w:r>
      <w:r>
        <w:rPr>
          <w:rFonts w:hint="eastAsia" w:ascii="宋体" w:hAnsi="宋体" w:cs="宋体"/>
          <w:color w:val="auto"/>
          <w:sz w:val="24"/>
          <w:szCs w:val="24"/>
          <w:highlight w:val="none"/>
        </w:rPr>
        <w:t>的委托，就其</w:t>
      </w:r>
      <w:r>
        <w:rPr>
          <w:rFonts w:hint="eastAsia" w:ascii="宋体" w:hAnsi="宋体" w:cs="宋体"/>
          <w:color w:val="auto"/>
          <w:sz w:val="24"/>
          <w:szCs w:val="24"/>
          <w:highlight w:val="none"/>
          <w:u w:val="single"/>
        </w:rPr>
        <w:t>缙云县人民政府新碧街道办事处2020年道路清扫保洁、农村垃圾清运服务采购项目</w:t>
      </w:r>
      <w:r>
        <w:rPr>
          <w:rFonts w:hint="eastAsia" w:ascii="宋体" w:hAnsi="宋体" w:cs="宋体"/>
          <w:color w:val="auto"/>
          <w:sz w:val="24"/>
          <w:szCs w:val="24"/>
          <w:highlight w:val="none"/>
        </w:rPr>
        <w:t>进行公开招标采购，欢迎国内符合条件的潜在投标人参加本项目投标。</w:t>
      </w:r>
    </w:p>
    <w:p>
      <w:pPr>
        <w:numPr>
          <w:ilvl w:val="0"/>
          <w:numId w:val="8"/>
        </w:numPr>
        <w:snapToGrid w:val="0"/>
        <w:spacing w:line="360" w:lineRule="auto"/>
        <w:ind w:firstLine="510"/>
        <w:rPr>
          <w:rFonts w:ascii="宋体" w:hAnsi="宋体" w:cs="宋体"/>
          <w:color w:val="auto"/>
          <w:sz w:val="24"/>
          <w:szCs w:val="24"/>
          <w:highlight w:val="none"/>
        </w:rPr>
      </w:pPr>
      <w:r>
        <w:rPr>
          <w:rFonts w:hint="eastAsia" w:ascii="宋体" w:hAnsi="宋体" w:cs="宋体"/>
          <w:b/>
          <w:color w:val="auto"/>
          <w:sz w:val="24"/>
          <w:szCs w:val="24"/>
          <w:highlight w:val="none"/>
        </w:rPr>
        <w:t>项目编号：</w:t>
      </w:r>
      <w:r>
        <w:rPr>
          <w:rFonts w:hint="eastAsia" w:ascii="宋体" w:hAnsi="宋体" w:cs="宋体"/>
          <w:bCs/>
          <w:color w:val="auto"/>
          <w:sz w:val="24"/>
          <w:szCs w:val="24"/>
          <w:highlight w:val="none"/>
        </w:rPr>
        <w:t>JYZFCG(分散)2020-</w:t>
      </w:r>
      <w:r>
        <w:rPr>
          <w:rFonts w:hint="eastAsia" w:ascii="宋体" w:hAnsi="宋体" w:cs="宋体"/>
          <w:bCs/>
          <w:color w:val="auto"/>
          <w:sz w:val="24"/>
          <w:szCs w:val="24"/>
          <w:highlight w:val="none"/>
          <w:lang w:val="en-US" w:eastAsia="zh-CN"/>
        </w:rPr>
        <w:t>34</w:t>
      </w:r>
      <w:r>
        <w:rPr>
          <w:rFonts w:hint="eastAsia" w:ascii="宋体" w:hAnsi="宋体" w:cs="宋体"/>
          <w:bCs/>
          <w:color w:val="auto"/>
          <w:sz w:val="24"/>
          <w:szCs w:val="24"/>
          <w:highlight w:val="none"/>
        </w:rPr>
        <w:t xml:space="preserve">  </w:t>
      </w:r>
    </w:p>
    <w:p>
      <w:pPr>
        <w:numPr>
          <w:ilvl w:val="0"/>
          <w:numId w:val="8"/>
        </w:num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项目名称：</w:t>
      </w:r>
      <w:r>
        <w:rPr>
          <w:rFonts w:hint="eastAsia" w:ascii="宋体" w:hAnsi="宋体" w:cs="宋体"/>
          <w:color w:val="auto"/>
          <w:sz w:val="24"/>
          <w:szCs w:val="24"/>
          <w:highlight w:val="none"/>
        </w:rPr>
        <w:t>缙云县人民政府新碧街道办事处2020年道路清扫保洁、农村垃圾清运服务采购项目</w:t>
      </w:r>
    </w:p>
    <w:p>
      <w:pPr>
        <w:numPr>
          <w:ilvl w:val="0"/>
          <w:numId w:val="8"/>
        </w:num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采购组织类型：分散采购-分散委托中介</w:t>
      </w:r>
    </w:p>
    <w:p>
      <w:pPr>
        <w:snapToGri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四、采购方式：</w:t>
      </w:r>
      <w:r>
        <w:rPr>
          <w:rFonts w:hint="eastAsia" w:ascii="宋体" w:hAnsi="宋体" w:cs="宋体"/>
          <w:color w:val="auto"/>
          <w:sz w:val="24"/>
          <w:szCs w:val="24"/>
          <w:highlight w:val="none"/>
        </w:rPr>
        <w:t>公开招标</w:t>
      </w:r>
    </w:p>
    <w:p>
      <w:p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五、招标项目概况：</w:t>
      </w:r>
    </w:p>
    <w:tbl>
      <w:tblPr>
        <w:tblStyle w:val="54"/>
        <w:tblpPr w:leftFromText="180" w:rightFromText="180" w:vertAnchor="text" w:horzAnchor="margin" w:tblpXSpec="center" w:tblpY="151"/>
        <w:tblW w:w="9235" w:type="dxa"/>
        <w:tblInd w:w="219" w:type="dxa"/>
        <w:tblLayout w:type="fixed"/>
        <w:tblCellMar>
          <w:top w:w="0" w:type="dxa"/>
          <w:left w:w="108" w:type="dxa"/>
          <w:bottom w:w="0" w:type="dxa"/>
          <w:right w:w="108" w:type="dxa"/>
        </w:tblCellMar>
      </w:tblPr>
      <w:tblGrid>
        <w:gridCol w:w="2661"/>
        <w:gridCol w:w="3576"/>
        <w:gridCol w:w="1499"/>
        <w:gridCol w:w="1499"/>
      </w:tblGrid>
      <w:tr>
        <w:tblPrEx>
          <w:tblLayout w:type="fixed"/>
          <w:tblCellMar>
            <w:top w:w="0" w:type="dxa"/>
            <w:left w:w="108" w:type="dxa"/>
            <w:bottom w:w="0" w:type="dxa"/>
            <w:right w:w="108" w:type="dxa"/>
          </w:tblCellMar>
        </w:tblPrEx>
        <w:trPr>
          <w:trHeight w:val="610" w:hRule="atLeast"/>
        </w:trPr>
        <w:tc>
          <w:tcPr>
            <w:tcW w:w="2661" w:type="dxa"/>
            <w:tcBorders>
              <w:top w:val="single" w:color="auto" w:sz="4" w:space="0"/>
              <w:left w:val="single" w:color="auto" w:sz="4" w:space="0"/>
              <w:bottom w:val="single" w:color="auto" w:sz="4" w:space="0"/>
              <w:right w:val="single" w:color="auto" w:sz="4" w:space="0"/>
            </w:tcBorders>
            <w:vAlign w:val="center"/>
          </w:tcPr>
          <w:p>
            <w:pPr>
              <w:tabs>
                <w:tab w:val="left" w:pos="4830"/>
              </w:tabs>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3576" w:type="dxa"/>
            <w:tcBorders>
              <w:top w:val="single" w:color="auto" w:sz="4" w:space="0"/>
              <w:left w:val="nil"/>
              <w:bottom w:val="single" w:color="auto" w:sz="4" w:space="0"/>
              <w:right w:val="single" w:color="auto" w:sz="4" w:space="0"/>
            </w:tcBorders>
            <w:vAlign w:val="center"/>
          </w:tcPr>
          <w:p>
            <w:pPr>
              <w:tabs>
                <w:tab w:val="left" w:pos="4830"/>
              </w:tabs>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采购内容</w:t>
            </w:r>
          </w:p>
        </w:tc>
        <w:tc>
          <w:tcPr>
            <w:tcW w:w="1499"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hint="eastAsia" w:ascii="宋体" w:hAnsi="宋体"/>
                <w:b/>
                <w:color w:val="auto"/>
                <w:sz w:val="24"/>
                <w:highlight w:val="none"/>
              </w:rPr>
            </w:pPr>
            <w:r>
              <w:rPr>
                <w:rFonts w:hint="eastAsia" w:ascii="宋体" w:hAnsi="宋体"/>
                <w:b/>
                <w:color w:val="auto"/>
                <w:sz w:val="24"/>
                <w:highlight w:val="none"/>
              </w:rPr>
              <w:t>采购预算价</w:t>
            </w:r>
          </w:p>
        </w:tc>
        <w:tc>
          <w:tcPr>
            <w:tcW w:w="1499"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宋体" w:hAnsi="宋体"/>
                <w:b/>
                <w:color w:val="auto"/>
                <w:sz w:val="24"/>
                <w:highlight w:val="none"/>
              </w:rPr>
            </w:pPr>
            <w:r>
              <w:rPr>
                <w:rFonts w:hint="eastAsia" w:ascii="宋体" w:hAnsi="宋体"/>
                <w:b/>
                <w:color w:val="auto"/>
                <w:sz w:val="24"/>
                <w:highlight w:val="none"/>
                <w:lang w:eastAsia="zh-CN"/>
              </w:rPr>
              <w:t>最高限</w:t>
            </w:r>
            <w:r>
              <w:rPr>
                <w:rFonts w:hint="eastAsia" w:ascii="宋体" w:hAnsi="宋体"/>
                <w:b/>
                <w:color w:val="auto"/>
                <w:sz w:val="24"/>
                <w:highlight w:val="none"/>
              </w:rPr>
              <w:t>价</w:t>
            </w:r>
          </w:p>
        </w:tc>
      </w:tr>
      <w:tr>
        <w:tblPrEx>
          <w:tblLayout w:type="fixed"/>
          <w:tblCellMar>
            <w:top w:w="0" w:type="dxa"/>
            <w:left w:w="108" w:type="dxa"/>
            <w:bottom w:w="0" w:type="dxa"/>
            <w:right w:w="108" w:type="dxa"/>
          </w:tblCellMar>
        </w:tblPrEx>
        <w:trPr>
          <w:trHeight w:val="1236" w:hRule="atLeast"/>
        </w:trPr>
        <w:tc>
          <w:tcPr>
            <w:tcW w:w="26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缙云县人民政府新碧街道办事处2020年道路清扫保洁、农村垃圾清运服务采购项目</w:t>
            </w:r>
          </w:p>
        </w:tc>
        <w:tc>
          <w:tcPr>
            <w:tcW w:w="3576" w:type="dxa"/>
            <w:tcBorders>
              <w:top w:val="single" w:color="auto" w:sz="4" w:space="0"/>
              <w:left w:val="nil"/>
              <w:bottom w:val="single" w:color="auto" w:sz="4" w:space="0"/>
              <w:right w:val="single" w:color="auto" w:sz="4" w:space="0"/>
            </w:tcBorders>
            <w:vAlign w:val="center"/>
          </w:tcPr>
          <w:p>
            <w:pPr>
              <w:snapToGrid w:val="0"/>
              <w:spacing w:line="360" w:lineRule="auto"/>
              <w:rPr>
                <w:rFonts w:eastAsia="仿宋_GB2312"/>
                <w:color w:val="auto"/>
                <w:highlight w:val="none"/>
              </w:rPr>
            </w:pPr>
            <w:r>
              <w:rPr>
                <w:rFonts w:hint="eastAsia" w:ascii="宋体" w:hAnsi="宋体" w:cs="宋体"/>
                <w:color w:val="auto"/>
                <w:sz w:val="24"/>
                <w:szCs w:val="24"/>
                <w:highlight w:val="none"/>
              </w:rPr>
              <w:t>1、330供电所-高速出口两侧。2、公厕3座。3、窨井疏通。4、清扫保洁面积约696396.5平方米。5、新碧街道村生活垃圾清运</w:t>
            </w:r>
          </w:p>
        </w:tc>
        <w:tc>
          <w:tcPr>
            <w:tcW w:w="149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6050000</w:t>
            </w:r>
            <w:r>
              <w:rPr>
                <w:rFonts w:hint="eastAsia" w:ascii="宋体" w:hAnsi="宋体" w:cs="宋体"/>
                <w:color w:val="auto"/>
                <w:sz w:val="24"/>
                <w:szCs w:val="24"/>
                <w:highlight w:val="none"/>
              </w:rPr>
              <w:t>元</w:t>
            </w:r>
          </w:p>
        </w:tc>
        <w:tc>
          <w:tcPr>
            <w:tcW w:w="149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6025742元</w:t>
            </w:r>
          </w:p>
        </w:tc>
      </w:tr>
    </w:tbl>
    <w:p>
      <w:p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六、投标人资格要求：</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1.符合《中华人民共和国政府采购法》第二十二条第一款规定：</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具有独立承担民事责任的能力；</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具有良好的商业信誉和健全的财务会计制度；</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具有履行合同所必需的设备和专业技术能力；</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有依法缴纳税收和社会保障资金的良好记录；</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5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⑸</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参加政府采购活动前三年内，在经营活动中没有重大违法记录；</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2.具有独立法人资格，从事城市保洁、道路保洁服务的企业（以营业执照登记的经营范围为准），具有独立承担民事责任和履行合同能力，具有良好的商业信誉和健全的财务会计制度。</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 xml:space="preserve">3.具有较强的项目管理、服务和组织实施能力，有能力承担本项目的实施； </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4.谢绝联合体及有违约记录的企业参加投标。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 投标截止时间前，未被“信用中国”网站（www.creditchina.gov.cn）、中国政府采购网（www.ccgp.gov.cn）列入失信被执行人、重大税收违法当事人名单、政府采购严重违法失信行为记录名单；</w:t>
      </w:r>
    </w:p>
    <w:p>
      <w:p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七、投标报名及招标文件获取：</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1. 本项目无须报名，</w:t>
      </w:r>
      <w:r>
        <w:rPr>
          <w:rFonts w:hint="eastAsia" w:ascii="宋体" w:hAnsi="宋体" w:cs="宋体"/>
          <w:b/>
          <w:color w:val="auto"/>
          <w:sz w:val="24"/>
          <w:szCs w:val="24"/>
          <w:highlight w:val="none"/>
        </w:rPr>
        <w:t>以提交电子投标文件为准</w:t>
      </w:r>
      <w:r>
        <w:rPr>
          <w:rFonts w:hint="eastAsia" w:ascii="宋体" w:hAnsi="宋体" w:cs="宋体"/>
          <w:color w:val="auto"/>
          <w:sz w:val="24"/>
          <w:szCs w:val="24"/>
          <w:highlight w:val="none"/>
        </w:rPr>
        <w:t>；</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 xml:space="preserve">2．招标文件在政采云系统中免费下载获取； </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3. 招标公告发布网址：浙江省政府采购网（www.zjzfcg.gov.cn），丽水市公共资源交易网（www.lssggzy.com）。</w:t>
      </w:r>
    </w:p>
    <w:p>
      <w:pPr>
        <w:snapToGrid w:val="0"/>
        <w:spacing w:line="360" w:lineRule="auto"/>
        <w:ind w:firstLine="510"/>
        <w:rPr>
          <w:rFonts w:ascii="宋体" w:hAnsi="宋体" w:cs="宋体"/>
          <w:color w:val="auto"/>
          <w:sz w:val="24"/>
          <w:szCs w:val="24"/>
          <w:highlight w:val="none"/>
        </w:rPr>
      </w:pPr>
      <w:r>
        <w:rPr>
          <w:rFonts w:hint="eastAsia" w:ascii="宋体" w:hAnsi="宋体" w:cs="宋体"/>
          <w:b/>
          <w:color w:val="auto"/>
          <w:sz w:val="24"/>
          <w:szCs w:val="24"/>
          <w:highlight w:val="none"/>
        </w:rPr>
        <w:t>八、公告期限：</w:t>
      </w:r>
      <w:r>
        <w:rPr>
          <w:rFonts w:hint="eastAsia" w:ascii="宋体" w:hAnsi="宋体" w:cs="宋体"/>
          <w:color w:val="auto"/>
          <w:sz w:val="24"/>
          <w:szCs w:val="24"/>
          <w:highlight w:val="none"/>
        </w:rPr>
        <w:t>本项目公告期限为5个工作日</w:t>
      </w:r>
    </w:p>
    <w:p>
      <w:pPr>
        <w:widowControl/>
        <w:spacing w:line="360" w:lineRule="auto"/>
        <w:ind w:firstLine="482" w:firstLineChars="200"/>
        <w:rPr>
          <w:rFonts w:ascii="宋体" w:hAnsi="宋体" w:cs="宋体"/>
          <w:color w:val="auto"/>
          <w:spacing w:val="11"/>
          <w:kern w:val="0"/>
          <w:sz w:val="24"/>
          <w:szCs w:val="24"/>
          <w:highlight w:val="none"/>
        </w:rPr>
      </w:pPr>
      <w:r>
        <w:rPr>
          <w:rFonts w:hint="eastAsia" w:ascii="宋体" w:hAnsi="宋体" w:cs="宋体"/>
          <w:b/>
          <w:color w:val="auto"/>
          <w:sz w:val="24"/>
          <w:szCs w:val="24"/>
          <w:highlight w:val="none"/>
        </w:rPr>
        <w:t>九、投标</w:t>
      </w:r>
      <w:r>
        <w:rPr>
          <w:rFonts w:hint="eastAsia" w:ascii="宋体" w:hAnsi="宋体" w:cs="宋体"/>
          <w:b/>
          <w:bCs/>
          <w:color w:val="auto"/>
          <w:spacing w:val="11"/>
          <w:kern w:val="0"/>
          <w:sz w:val="24"/>
          <w:szCs w:val="24"/>
          <w:highlight w:val="none"/>
        </w:rPr>
        <w:t>截止时间</w:t>
      </w:r>
    </w:p>
    <w:p>
      <w:pPr>
        <w:widowControl/>
        <w:spacing w:line="360" w:lineRule="auto"/>
        <w:ind w:firstLine="524" w:firstLineChars="200"/>
        <w:rPr>
          <w:rFonts w:ascii="宋体" w:hAnsi="宋体" w:cs="宋体"/>
          <w:color w:val="auto"/>
          <w:spacing w:val="11"/>
          <w:kern w:val="0"/>
          <w:sz w:val="24"/>
          <w:szCs w:val="24"/>
          <w:highlight w:val="none"/>
        </w:rPr>
      </w:pPr>
      <w:r>
        <w:rPr>
          <w:rFonts w:hint="eastAsia" w:ascii="宋体" w:hAnsi="宋体" w:cs="宋体"/>
          <w:color w:val="auto"/>
          <w:spacing w:val="11"/>
          <w:kern w:val="0"/>
          <w:sz w:val="24"/>
          <w:szCs w:val="24"/>
          <w:highlight w:val="none"/>
        </w:rPr>
        <w:t>1.本项目于2020年</w:t>
      </w:r>
      <w:r>
        <w:rPr>
          <w:rFonts w:hint="eastAsia" w:ascii="宋体" w:hAnsi="宋体" w:cs="宋体"/>
          <w:color w:val="auto"/>
          <w:spacing w:val="11"/>
          <w:kern w:val="0"/>
          <w:sz w:val="24"/>
          <w:szCs w:val="24"/>
          <w:highlight w:val="none"/>
          <w:lang w:val="en-US" w:eastAsia="zh-CN"/>
        </w:rPr>
        <w:t>10</w:t>
      </w:r>
      <w:r>
        <w:rPr>
          <w:rFonts w:hint="eastAsia" w:ascii="宋体" w:hAnsi="宋体" w:cs="宋体"/>
          <w:color w:val="auto"/>
          <w:spacing w:val="11"/>
          <w:kern w:val="0"/>
          <w:sz w:val="24"/>
          <w:szCs w:val="24"/>
          <w:highlight w:val="none"/>
        </w:rPr>
        <w:t>月</w:t>
      </w:r>
      <w:r>
        <w:rPr>
          <w:rFonts w:hint="eastAsia" w:ascii="宋体" w:hAnsi="宋体" w:cs="宋体"/>
          <w:color w:val="auto"/>
          <w:spacing w:val="11"/>
          <w:kern w:val="0"/>
          <w:sz w:val="24"/>
          <w:szCs w:val="24"/>
          <w:highlight w:val="none"/>
          <w:lang w:val="en-US" w:eastAsia="zh-CN"/>
        </w:rPr>
        <w:t>22</w:t>
      </w:r>
      <w:r>
        <w:rPr>
          <w:rFonts w:hint="eastAsia" w:ascii="宋体" w:hAnsi="宋体" w:cs="宋体"/>
          <w:color w:val="auto"/>
          <w:spacing w:val="11"/>
          <w:kern w:val="0"/>
          <w:sz w:val="24"/>
          <w:szCs w:val="24"/>
          <w:highlight w:val="none"/>
        </w:rPr>
        <w:t>日</w:t>
      </w:r>
      <w:r>
        <w:rPr>
          <w:rFonts w:hint="eastAsia" w:ascii="宋体" w:hAnsi="宋体" w:cs="宋体"/>
          <w:color w:val="auto"/>
          <w:spacing w:val="11"/>
          <w:kern w:val="0"/>
          <w:sz w:val="24"/>
          <w:szCs w:val="24"/>
          <w:highlight w:val="none"/>
          <w:lang w:val="en-US" w:eastAsia="zh-CN"/>
        </w:rPr>
        <w:t>12</w:t>
      </w:r>
      <w:r>
        <w:rPr>
          <w:rFonts w:hint="eastAsia" w:ascii="宋体" w:hAnsi="宋体" w:cs="宋体"/>
          <w:color w:val="auto"/>
          <w:spacing w:val="11"/>
          <w:kern w:val="0"/>
          <w:sz w:val="24"/>
          <w:szCs w:val="24"/>
          <w:highlight w:val="none"/>
        </w:rPr>
        <w:t>时00分投标响应截止。</w:t>
      </w:r>
    </w:p>
    <w:p>
      <w:p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十、投标文件提交地点：</w:t>
      </w:r>
    </w:p>
    <w:p>
      <w:pPr>
        <w:snapToGrid w:val="0"/>
        <w:spacing w:line="360" w:lineRule="auto"/>
        <w:ind w:firstLine="510"/>
        <w:rPr>
          <w:rFonts w:ascii="宋体" w:hAnsi="宋体" w:cs="宋体"/>
          <w:bCs/>
          <w:color w:val="auto"/>
          <w:sz w:val="24"/>
          <w:szCs w:val="24"/>
          <w:highlight w:val="none"/>
        </w:rPr>
      </w:pPr>
      <w:r>
        <w:rPr>
          <w:rFonts w:hint="eastAsia" w:ascii="宋体" w:hAnsi="宋体" w:cs="宋体"/>
          <w:bCs/>
          <w:color w:val="auto"/>
          <w:sz w:val="24"/>
          <w:szCs w:val="24"/>
          <w:highlight w:val="none"/>
        </w:rPr>
        <w:t>1.本项目实行电子招投标，投标人须在投标截止时间前，前往政采云平台上传电子投标文件。</w:t>
      </w:r>
    </w:p>
    <w:p>
      <w:pPr>
        <w:snapToGrid w:val="0"/>
        <w:spacing w:line="360" w:lineRule="auto"/>
        <w:ind w:firstLine="510"/>
        <w:rPr>
          <w:rFonts w:ascii="宋体" w:hAnsi="宋体" w:cs="宋体"/>
          <w:bCs/>
          <w:color w:val="auto"/>
          <w:sz w:val="24"/>
          <w:szCs w:val="24"/>
          <w:highlight w:val="none"/>
        </w:rPr>
      </w:pPr>
      <w:r>
        <w:rPr>
          <w:rFonts w:hint="eastAsia" w:ascii="宋体" w:hAnsi="宋体" w:cs="宋体"/>
          <w:bCs/>
          <w:color w:val="auto"/>
          <w:sz w:val="24"/>
          <w:szCs w:val="24"/>
          <w:highlight w:val="none"/>
        </w:rPr>
        <w:t>2.为确保采购项目顺利实施，避免因政采云上电子投标文件解密失败导致投标方投标无效，投标人可在解密时间结束</w:t>
      </w:r>
      <w:r>
        <w:rPr>
          <w:color w:val="auto"/>
          <w:highlight w:val="none"/>
        </w:rPr>
        <w:fldChar w:fldCharType="begin"/>
      </w:r>
      <w:r>
        <w:rPr>
          <w:color w:val="auto"/>
          <w:highlight w:val="none"/>
        </w:rPr>
        <w:instrText xml:space="preserve"> HYPERLINK "mailto:日09时00分前将在政采云平台上最后生成的具备电子签章的备份加密投标文件（文件名后缀为备份文件四字的首字母）以电子邮件方式传送至邮箱（287547300@qq.com），传送的备份电子投标文件需打包压缩并加密，加密密码由投标方自行保管，如政采云上电子投标文件出现解密失败情况（开标当日9:00-10:00期间进行解密），投标方可按照自身意愿确认是否同意提供加密密码解密传送至邮箱（287547300@qq.com）的备份文件，并以备份文件作为替代电子投标文件，如投标方未按照规定时间（2020年3月" </w:instrText>
      </w:r>
      <w:r>
        <w:rPr>
          <w:color w:val="auto"/>
          <w:highlight w:val="none"/>
        </w:rPr>
        <w:fldChar w:fldCharType="separate"/>
      </w:r>
      <w:r>
        <w:rPr>
          <w:rFonts w:hint="eastAsia" w:ascii="宋体" w:hAnsi="宋体" w:cs="宋体"/>
          <w:bCs/>
          <w:color w:val="auto"/>
          <w:sz w:val="24"/>
          <w:szCs w:val="24"/>
          <w:highlight w:val="none"/>
        </w:rPr>
        <w:t>前将在政采云平台上最后生成的具备电子签章的备份投标文件以电子邮件方式传送至邮箱（287547300@qq.com），并以备份文件作为替代电子投标文件，如投标方未</w:t>
      </w:r>
      <w:r>
        <w:rPr>
          <w:rFonts w:hint="eastAsia" w:ascii="宋体" w:hAnsi="宋体" w:cs="宋体"/>
          <w:bCs/>
          <w:color w:val="auto"/>
          <w:sz w:val="24"/>
          <w:szCs w:val="24"/>
          <w:highlight w:val="none"/>
        </w:rPr>
        <w:fldChar w:fldCharType="end"/>
      </w:r>
      <w:r>
        <w:rPr>
          <w:rFonts w:hint="eastAsia" w:ascii="宋体" w:hAnsi="宋体" w:cs="宋体"/>
          <w:bCs/>
          <w:color w:val="auto"/>
          <w:sz w:val="24"/>
          <w:szCs w:val="24"/>
          <w:highlight w:val="none"/>
        </w:rPr>
        <w:t>在解密时间结束前提供有效备份文件，同时政采云上投标文件解密失败的，将导致投标无效。</w:t>
      </w:r>
    </w:p>
    <w:p>
      <w:pPr>
        <w:snapToGrid w:val="0"/>
        <w:spacing w:line="360" w:lineRule="auto"/>
        <w:ind w:firstLine="510"/>
        <w:rPr>
          <w:rFonts w:ascii="宋体" w:hAnsi="宋体" w:cs="宋体"/>
          <w:bCs/>
          <w:color w:val="auto"/>
          <w:sz w:val="24"/>
          <w:szCs w:val="24"/>
          <w:highlight w:val="none"/>
        </w:rPr>
      </w:pPr>
      <w:r>
        <w:rPr>
          <w:rFonts w:hint="eastAsia" w:ascii="宋体" w:hAnsi="宋体" w:cs="宋体"/>
          <w:bCs/>
          <w:color w:val="auto"/>
          <w:sz w:val="24"/>
          <w:szCs w:val="24"/>
          <w:highlight w:val="none"/>
        </w:rPr>
        <w:t>投标方无需在开标当天到达开标现场对电子投标进行解密，可在公司办公场地在规定时间内对电子投标文件进行解密。</w:t>
      </w:r>
    </w:p>
    <w:p>
      <w:pPr>
        <w:snapToGrid w:val="0"/>
        <w:spacing w:line="360" w:lineRule="auto"/>
        <w:ind w:firstLine="510"/>
        <w:rPr>
          <w:rFonts w:ascii="宋体" w:hAnsi="宋体" w:cs="宋体"/>
          <w:color w:val="auto"/>
          <w:sz w:val="24"/>
          <w:szCs w:val="24"/>
          <w:highlight w:val="none"/>
        </w:rPr>
      </w:pPr>
      <w:r>
        <w:rPr>
          <w:rFonts w:hint="eastAsia" w:ascii="宋体" w:hAnsi="宋体" w:cs="宋体"/>
          <w:b/>
          <w:color w:val="auto"/>
          <w:sz w:val="24"/>
          <w:szCs w:val="24"/>
          <w:highlight w:val="none"/>
        </w:rPr>
        <w:t>十一、开标时间：</w:t>
      </w:r>
      <w:r>
        <w:rPr>
          <w:rFonts w:hint="eastAsia" w:ascii="宋体" w:hAnsi="宋体" w:cs="宋体"/>
          <w:color w:val="auto"/>
          <w:sz w:val="24"/>
          <w:szCs w:val="24"/>
          <w:highlight w:val="none"/>
        </w:rPr>
        <w:t>同投标截止时间</w:t>
      </w:r>
    </w:p>
    <w:p>
      <w:pPr>
        <w:snapToGrid w:val="0"/>
        <w:spacing w:line="360" w:lineRule="auto"/>
        <w:ind w:left="210" w:leftChars="100" w:firstLine="342" w:firstLineChars="142"/>
        <w:rPr>
          <w:rFonts w:ascii="宋体" w:hAnsi="宋体" w:cs="宋体"/>
          <w:color w:val="auto"/>
          <w:sz w:val="24"/>
          <w:szCs w:val="24"/>
          <w:highlight w:val="none"/>
        </w:rPr>
      </w:pPr>
      <w:r>
        <w:rPr>
          <w:rFonts w:hint="eastAsia" w:ascii="宋体" w:hAnsi="宋体" w:cs="宋体"/>
          <w:b/>
          <w:color w:val="auto"/>
          <w:sz w:val="24"/>
          <w:szCs w:val="24"/>
          <w:highlight w:val="none"/>
        </w:rPr>
        <w:t>十二、开标地点：投标人均应当准时在线参加。投标人需在开标时间（北京时间2020年</w:t>
      </w:r>
      <w:r>
        <w:rPr>
          <w:rFonts w:hint="eastAsia" w:ascii="宋体" w:hAnsi="宋体" w:cs="宋体"/>
          <w:b/>
          <w:color w:val="auto"/>
          <w:sz w:val="24"/>
          <w:szCs w:val="24"/>
          <w:highlight w:val="none"/>
          <w:lang w:val="en-US" w:eastAsia="zh-CN"/>
        </w:rPr>
        <w:t>10</w:t>
      </w:r>
      <w:r>
        <w:rPr>
          <w:rFonts w:hint="eastAsia" w:ascii="宋体" w:hAnsi="宋体" w:cs="宋体"/>
          <w:b/>
          <w:color w:val="auto"/>
          <w:sz w:val="24"/>
          <w:szCs w:val="24"/>
          <w:highlight w:val="none"/>
        </w:rPr>
        <w:t>月</w:t>
      </w:r>
      <w:r>
        <w:rPr>
          <w:rFonts w:hint="eastAsia" w:ascii="宋体" w:hAnsi="宋体" w:cs="宋体"/>
          <w:b/>
          <w:color w:val="auto"/>
          <w:sz w:val="24"/>
          <w:szCs w:val="24"/>
          <w:highlight w:val="none"/>
          <w:lang w:val="en-US" w:eastAsia="zh-CN"/>
        </w:rPr>
        <w:t>22</w:t>
      </w:r>
      <w:r>
        <w:rPr>
          <w:rFonts w:hint="eastAsia" w:ascii="宋体" w:hAnsi="宋体" w:cs="宋体"/>
          <w:b/>
          <w:color w:val="auto"/>
          <w:sz w:val="24"/>
          <w:szCs w:val="24"/>
          <w:highlight w:val="none"/>
        </w:rPr>
        <w:t>日</w:t>
      </w:r>
      <w:r>
        <w:rPr>
          <w:rFonts w:hint="eastAsia" w:ascii="宋体" w:hAnsi="宋体" w:cs="宋体"/>
          <w:b/>
          <w:color w:val="auto"/>
          <w:sz w:val="24"/>
          <w:szCs w:val="24"/>
          <w:highlight w:val="none"/>
          <w:lang w:val="en-US" w:eastAsia="zh-CN"/>
        </w:rPr>
        <w:t>12</w:t>
      </w:r>
      <w:r>
        <w:rPr>
          <w:rFonts w:hint="eastAsia" w:ascii="宋体" w:hAnsi="宋体" w:cs="宋体"/>
          <w:b/>
          <w:color w:val="auto"/>
          <w:sz w:val="24"/>
          <w:szCs w:val="24"/>
          <w:highlight w:val="none"/>
        </w:rPr>
        <w:t>:00）后60分钟内登录政采云平台进行电子投标文件解密，解密电子投标文件时须插入CA锁。</w:t>
      </w:r>
    </w:p>
    <w:p>
      <w:pPr>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十三、其他事项：</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1、本项目通过“政府采购云平台（www.zcygov.cn）”实行在线投标响应（电子投标），供应商应先安装“政采云电子交易客户端”，并按照本采购文件和“政府采购云平台”的要求，通过“政采云电子交易客户端”编制并加密响应文件。供应商未按规定加密的响应文件，“政府采购云平台”将予以拒收。</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政采云电子交易客户端”请自行前往“浙江政府采购网-下载专区-电子交易客户端”进行下载；供应商通过“政采云”平台制作电子响应文件，响应文件制作详见“供应商-政府采购项目电子交易操作指南：https://help.zcygov.cn/web/site_2/2018/12-28/2573.html；通过“政府采购云平台”参与在线投标时如遇平台技术问题详询400-881-7190。</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highlight w:val="none"/>
        </w:rPr>
        <w:fldChar w:fldCharType="begin"/>
      </w:r>
      <w:r>
        <w:rPr>
          <w:color w:val="auto"/>
          <w:highlight w:val="none"/>
        </w:rPr>
        <w:instrText xml:space="preserve"> HYPERLINK "http://www.zjzfcg.gov.cn/bidClientTemplate/2019-05-27/12945.html" \t "_blank" \o "CA驱动和申领流程" </w:instrText>
      </w:r>
      <w:r>
        <w:rPr>
          <w:color w:val="auto"/>
          <w:highlight w:val="none"/>
        </w:rPr>
        <w:fldChar w:fldCharType="separate"/>
      </w:r>
      <w:r>
        <w:rPr>
          <w:rFonts w:hint="eastAsia" w:ascii="宋体" w:hAnsi="宋体" w:cs="宋体"/>
          <w:color w:val="auto"/>
          <w:sz w:val="24"/>
          <w:szCs w:val="24"/>
          <w:highlight w:val="none"/>
        </w:rPr>
        <w:t>CA驱动和申领流程</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：http://www.zjzfcg.gov.cn/bidClientTemplate/2019-05-27/12945.html”进行查阅；</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3、供应商应当在投标截止时间前，将生成的“电子加密响应文件”上传递交至“政府采购云平台”。投标截止时间以后上传递交的响应文件将被“政府采购云平台”拒收。</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4、投标截止时间前，供应商仅递交了“备份响应文件”而未将电子加密响应文件上传至“政府采购云平台”的，投标无效。</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5、请务必确保投标文件制作客户端为最新版本，旧版本可能导致投标文件解密失败。</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6、请务必确保投标文件制作时所用的 CA 锁与投标文件解密时的 CA 锁为同一把，否则可能导致投标文件解密失败。</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7、在投标文件解密前，请务必检验 CA 锁与所用电脑的兼容性，部分电脑因 CA 驱动未正常安装、USB 接口兼容性差等原因可能造成投标文件解密失败。</w:t>
      </w:r>
    </w:p>
    <w:p>
      <w:pPr>
        <w:widowControl/>
        <w:spacing w:line="360" w:lineRule="auto"/>
        <w:ind w:firstLine="526" w:firstLineChars="200"/>
        <w:rPr>
          <w:rFonts w:ascii="宋体" w:hAnsi="宋体" w:cs="宋体"/>
          <w:b/>
          <w:bCs/>
          <w:color w:val="auto"/>
          <w:spacing w:val="11"/>
          <w:kern w:val="0"/>
          <w:sz w:val="24"/>
          <w:szCs w:val="24"/>
          <w:highlight w:val="none"/>
        </w:rPr>
      </w:pPr>
      <w:r>
        <w:rPr>
          <w:rFonts w:hint="eastAsia" w:ascii="宋体" w:hAnsi="宋体" w:cs="宋体"/>
          <w:b/>
          <w:bCs/>
          <w:color w:val="auto"/>
          <w:spacing w:val="11"/>
          <w:kern w:val="0"/>
          <w:sz w:val="24"/>
          <w:szCs w:val="24"/>
          <w:highlight w:val="none"/>
        </w:rPr>
        <w:t>十四、质疑及投诉：</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1、供应商认为招标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2、质疑和投诉需按照《政府采购质疑和投诉办法》（财政部令第94号）规定，范本在浙江政府采购网中“下载专区”内下载，质疑时供应商需在法定质疑期内一次性提出针对同一采购环节的质疑。</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3、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4、供应商为自然人的，应当由本人签字；供应商为法人或者其他组织的，应当由法定代表人、主要负责人，或者其授权代表签字或者盖章，并加盖公章。</w:t>
      </w:r>
    </w:p>
    <w:p>
      <w:pPr>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5、本采购公告自发布之日起公告期限为5个工作日。</w:t>
      </w:r>
    </w:p>
    <w:p>
      <w:pPr>
        <w:tabs>
          <w:tab w:val="left" w:pos="540"/>
        </w:tabs>
        <w:snapToGrid w:val="0"/>
        <w:spacing w:line="360" w:lineRule="auto"/>
        <w:ind w:firstLine="510"/>
        <w:rPr>
          <w:rFonts w:ascii="宋体" w:hAnsi="宋体" w:cs="宋体"/>
          <w:b/>
          <w:color w:val="auto"/>
          <w:sz w:val="24"/>
          <w:szCs w:val="24"/>
          <w:highlight w:val="none"/>
        </w:rPr>
      </w:pPr>
      <w:r>
        <w:rPr>
          <w:rFonts w:hint="eastAsia" w:ascii="宋体" w:hAnsi="宋体" w:cs="宋体"/>
          <w:b/>
          <w:color w:val="auto"/>
          <w:sz w:val="24"/>
          <w:szCs w:val="24"/>
          <w:highlight w:val="none"/>
        </w:rPr>
        <w:t>十五、联系方式</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1. 采购代理机构名称：浙江鼎峰工程咨询有限公司</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联系人：陈女士 联系电话：0578-3311234  传真：0578-3311234</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地址：缙云县城五云街道江滨巷17号301室</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2. 采购人名称：缙云县人民政府新碧街道办事处</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 xml:space="preserve">采购人联系人：王武； 联系电话：18857822210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3.同级政府采购监督管理部门名称：缙云县财政局政府采购管理办公室</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联系人：姚新伟   监督投诉电话：0578-3318985    传真：0578-3318985</w:t>
      </w:r>
    </w:p>
    <w:p>
      <w:pPr>
        <w:tabs>
          <w:tab w:val="left" w:pos="540"/>
        </w:tabs>
        <w:snapToGrid w:val="0"/>
        <w:spacing w:line="360" w:lineRule="auto"/>
        <w:ind w:firstLine="510"/>
        <w:rPr>
          <w:rFonts w:ascii="宋体" w:hAnsi="宋体" w:cs="宋体"/>
          <w:color w:val="auto"/>
          <w:sz w:val="24"/>
          <w:szCs w:val="24"/>
          <w:highlight w:val="none"/>
        </w:rPr>
      </w:pPr>
      <w:r>
        <w:rPr>
          <w:rFonts w:hint="eastAsia" w:ascii="宋体" w:hAnsi="宋体" w:cs="宋体"/>
          <w:color w:val="auto"/>
          <w:sz w:val="24"/>
          <w:szCs w:val="24"/>
          <w:highlight w:val="none"/>
        </w:rPr>
        <w:t>地址:缙云县财政大楼6楼</w:t>
      </w:r>
    </w:p>
    <w:bookmarkEnd w:id="14"/>
    <w:p>
      <w:pPr>
        <w:tabs>
          <w:tab w:val="left" w:pos="540"/>
        </w:tabs>
        <w:snapToGrid w:val="0"/>
        <w:spacing w:line="360" w:lineRule="auto"/>
        <w:ind w:firstLine="510"/>
        <w:rPr>
          <w:rFonts w:ascii="宋体" w:hAnsi="宋体" w:cs="宋体"/>
          <w:color w:val="auto"/>
          <w:sz w:val="24"/>
          <w:szCs w:val="24"/>
          <w:highlight w:val="none"/>
        </w:rPr>
        <w:sectPr>
          <w:footerReference r:id="rId9" w:type="default"/>
          <w:pgSz w:w="11906" w:h="16838"/>
          <w:pgMar w:top="1418" w:right="1418" w:bottom="1418" w:left="1418" w:header="851" w:footer="851" w:gutter="0"/>
          <w:pgNumType w:start="1"/>
          <w:cols w:space="720" w:num="1"/>
          <w:docGrid w:linePitch="312" w:charSpace="0"/>
        </w:sectPr>
      </w:pPr>
      <w:bookmarkStart w:id="15" w:name="_Toc493956019"/>
    </w:p>
    <w:p>
      <w:pPr>
        <w:tabs>
          <w:tab w:val="left" w:pos="540"/>
        </w:tabs>
        <w:snapToGrid w:val="0"/>
        <w:spacing w:line="360" w:lineRule="auto"/>
        <w:ind w:firstLine="510"/>
        <w:rPr>
          <w:rFonts w:ascii="宋体" w:hAnsi="宋体" w:cs="宋体"/>
          <w:color w:val="auto"/>
          <w:sz w:val="24"/>
          <w:szCs w:val="24"/>
          <w:highlight w:val="none"/>
        </w:rPr>
        <w:sectPr>
          <w:type w:val="continuous"/>
          <w:pgSz w:w="11906" w:h="16838"/>
          <w:pgMar w:top="1418" w:right="1418" w:bottom="1418" w:left="1418" w:header="851" w:footer="851" w:gutter="0"/>
          <w:cols w:space="720" w:num="1"/>
          <w:titlePg/>
          <w:docGrid w:linePitch="312" w:charSpace="0"/>
        </w:sectPr>
      </w:pPr>
      <w:bookmarkStart w:id="16" w:name="_Toc531358960"/>
      <w:bookmarkStart w:id="17" w:name="_Toc530551805"/>
    </w:p>
    <w:p>
      <w:pPr>
        <w:pStyle w:val="45"/>
        <w:spacing w:before="0" w:after="0" w:line="360" w:lineRule="auto"/>
        <w:rPr>
          <w:rFonts w:ascii="宋体" w:hAnsi="宋体"/>
          <w:color w:val="auto"/>
          <w:sz w:val="36"/>
          <w:szCs w:val="36"/>
          <w:highlight w:val="none"/>
        </w:rPr>
      </w:pPr>
      <w:bookmarkStart w:id="18" w:name="_Toc7063"/>
      <w:r>
        <w:rPr>
          <w:rFonts w:hint="eastAsia" w:ascii="宋体" w:hAnsi="宋体"/>
          <w:color w:val="auto"/>
          <w:sz w:val="36"/>
          <w:szCs w:val="36"/>
          <w:highlight w:val="none"/>
        </w:rPr>
        <w:t>第二章  招标需求</w:t>
      </w:r>
      <w:bookmarkEnd w:id="15"/>
      <w:bookmarkEnd w:id="16"/>
      <w:bookmarkEnd w:id="17"/>
      <w:bookmarkEnd w:id="18"/>
    </w:p>
    <w:p>
      <w:pPr>
        <w:snapToGrid w:val="0"/>
        <w:spacing w:line="360" w:lineRule="auto"/>
        <w:rPr>
          <w:rFonts w:ascii="仿宋_GB2312" w:eastAsia="仿宋_GB2312"/>
          <w:b/>
          <w:color w:val="auto"/>
          <w:sz w:val="30"/>
          <w:szCs w:val="30"/>
          <w:highlight w:val="none"/>
        </w:rPr>
      </w:pPr>
      <w:bookmarkStart w:id="19" w:name="_Toc375036063"/>
      <w:bookmarkStart w:id="20" w:name="_Toc409683143"/>
      <w:bookmarkStart w:id="21" w:name="_Toc493956031"/>
      <w:bookmarkStart w:id="22" w:name="_Toc531358974"/>
      <w:bookmarkStart w:id="23" w:name="_Toc530551819"/>
      <w:r>
        <w:rPr>
          <w:rFonts w:hint="eastAsia" w:ascii="宋体" w:hAnsi="宋体" w:cs="宋体"/>
          <w:b/>
          <w:color w:val="auto"/>
          <w:sz w:val="30"/>
          <w:szCs w:val="30"/>
          <w:highlight w:val="none"/>
        </w:rPr>
        <w:t>一、采购范围</w:t>
      </w:r>
      <w:bookmarkEnd w:id="19"/>
    </w:p>
    <w:p>
      <w:pPr>
        <w:snapToGrid w:val="0"/>
        <w:spacing w:line="360" w:lineRule="auto"/>
        <w:ind w:firstLine="482" w:firstLineChars="200"/>
        <w:rPr>
          <w:rFonts w:ascii="宋体" w:hAnsi="宋体" w:cs="宋体"/>
          <w:b/>
          <w:color w:val="auto"/>
          <w:sz w:val="24"/>
          <w:szCs w:val="24"/>
          <w:highlight w:val="none"/>
        </w:rPr>
      </w:pPr>
      <w:bookmarkStart w:id="24" w:name="_Toc375036064"/>
      <w:r>
        <w:rPr>
          <w:rFonts w:hint="eastAsia" w:ascii="宋体" w:hAnsi="宋体" w:cs="宋体"/>
          <w:b/>
          <w:color w:val="auto"/>
          <w:sz w:val="24"/>
          <w:szCs w:val="24"/>
          <w:highlight w:val="none"/>
        </w:rPr>
        <w:t>1、330国道供电所-高速出口两侧。</w:t>
      </w:r>
    </w:p>
    <w:p>
      <w:pPr>
        <w:snapToGrid w:val="0"/>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2、公厕3座，碧溪路公厕，新中路公厕，碧进路公厕。</w:t>
      </w:r>
    </w:p>
    <w:p>
      <w:pPr>
        <w:snapToGrid w:val="0"/>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3、窨井疏通。</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4、清扫保洁面积约696396.5平方米，具体如下表：</w:t>
      </w:r>
    </w:p>
    <w:tbl>
      <w:tblPr>
        <w:tblStyle w:val="54"/>
        <w:tblW w:w="10003" w:type="dxa"/>
        <w:tblInd w:w="0" w:type="dxa"/>
        <w:tblLayout w:type="fixed"/>
        <w:tblCellMar>
          <w:top w:w="15" w:type="dxa"/>
          <w:left w:w="15" w:type="dxa"/>
          <w:bottom w:w="15" w:type="dxa"/>
          <w:right w:w="15" w:type="dxa"/>
        </w:tblCellMar>
      </w:tblPr>
      <w:tblGrid>
        <w:gridCol w:w="570"/>
        <w:gridCol w:w="1065"/>
        <w:gridCol w:w="730"/>
        <w:gridCol w:w="807"/>
        <w:gridCol w:w="693"/>
        <w:gridCol w:w="727"/>
        <w:gridCol w:w="830"/>
        <w:gridCol w:w="704"/>
        <w:gridCol w:w="820"/>
        <w:gridCol w:w="680"/>
        <w:gridCol w:w="808"/>
        <w:gridCol w:w="762"/>
        <w:gridCol w:w="807"/>
      </w:tblGrid>
      <w:tr>
        <w:tblPrEx>
          <w:tblLayout w:type="fixed"/>
          <w:tblCellMar>
            <w:top w:w="15" w:type="dxa"/>
            <w:left w:w="15" w:type="dxa"/>
            <w:bottom w:w="15" w:type="dxa"/>
            <w:right w:w="15" w:type="dxa"/>
          </w:tblCellMar>
        </w:tblPrEx>
        <w:trPr>
          <w:trHeight w:val="9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路段范围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等级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长度</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宽度</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绿化带宽度</w:t>
            </w:r>
          </w:p>
        </w:tc>
        <w:tc>
          <w:tcPr>
            <w:tcW w:w="83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绿化带面积</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人行道宽度</w:t>
            </w:r>
          </w:p>
        </w:tc>
        <w:tc>
          <w:tcPr>
            <w:tcW w:w="82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人行道面积</w:t>
            </w:r>
          </w:p>
        </w:tc>
        <w:tc>
          <w:tcPr>
            <w:tcW w:w="68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非机动车道宽度</w:t>
            </w:r>
          </w:p>
        </w:tc>
        <w:tc>
          <w:tcPr>
            <w:tcW w:w="80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非机动车道面积</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路面宽度</w:t>
            </w:r>
          </w:p>
        </w:tc>
        <w:tc>
          <w:tcPr>
            <w:tcW w:w="80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路面面积</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新民路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9370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5622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11244</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新业路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9370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5622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11244</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新振路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9150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5490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10980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新兴路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979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9790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5874</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11748</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新发路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332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664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1992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3320</w:t>
            </w:r>
          </w:p>
        </w:tc>
      </w:tr>
      <w:tr>
        <w:tblPrEx>
          <w:tblLayout w:type="fixed"/>
          <w:tblCellMar>
            <w:top w:w="15" w:type="dxa"/>
            <w:left w:w="15" w:type="dxa"/>
            <w:bottom w:w="15" w:type="dxa"/>
            <w:right w:w="15"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新发路（西段）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290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1740</w:t>
            </w:r>
          </w:p>
        </w:tc>
        <w:tc>
          <w:tcPr>
            <w:tcW w:w="680"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2900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新达路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252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17.5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5.5</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1386</w:t>
            </w:r>
          </w:p>
        </w:tc>
        <w:tc>
          <w:tcPr>
            <w:tcW w:w="680"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3024</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新华西路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二级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1268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6340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11412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8876</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19020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新华东路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9350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8415</w:t>
            </w:r>
          </w:p>
        </w:tc>
        <w:tc>
          <w:tcPr>
            <w:tcW w:w="68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6545</w:t>
            </w:r>
          </w:p>
        </w:tc>
        <w:tc>
          <w:tcPr>
            <w:tcW w:w="76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14025</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新辉路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832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8320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4992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11648</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新中路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1194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7164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11940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11940</w:t>
            </w:r>
          </w:p>
        </w:tc>
      </w:tr>
      <w:tr>
        <w:tblPrEx>
          <w:tblLayout w:type="fixed"/>
          <w:tblCellMar>
            <w:top w:w="15" w:type="dxa"/>
            <w:left w:w="15" w:type="dxa"/>
            <w:bottom w:w="15" w:type="dxa"/>
            <w:right w:w="15"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新中路（二期）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480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3840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5760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新南路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1103</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6618</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11030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15442</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新元路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1232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7392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12320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17248</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碧富路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872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4360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5232</w:t>
            </w:r>
          </w:p>
        </w:tc>
        <w:tc>
          <w:tcPr>
            <w:tcW w:w="680"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6976</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上应支路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391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782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2.5</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977.5</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3910</w:t>
            </w:r>
          </w:p>
        </w:tc>
      </w:tr>
      <w:tr>
        <w:tblPrEx>
          <w:tblLayout w:type="fixed"/>
          <w:tblCellMar>
            <w:top w:w="15" w:type="dxa"/>
            <w:left w:w="15" w:type="dxa"/>
            <w:bottom w:w="15" w:type="dxa"/>
            <w:right w:w="15"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上应支路（二期）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577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6924</w:t>
            </w:r>
          </w:p>
        </w:tc>
      </w:tr>
      <w:tr>
        <w:tblPrEx>
          <w:tblLayout w:type="fixed"/>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东山变支路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369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2214</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碧溪路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416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2080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2496</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4992</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碧园路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865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2595</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5190</w:t>
            </w:r>
          </w:p>
        </w:tc>
        <w:tc>
          <w:tcPr>
            <w:tcW w:w="680"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8650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碧发路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1225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12250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7350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18</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22050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碧华路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2359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23590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14154</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28308</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支一路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667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1334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4002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5002.5</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碧进路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6300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4200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9800</w:t>
            </w:r>
          </w:p>
        </w:tc>
      </w:tr>
      <w:tr>
        <w:tblPrEx>
          <w:tblLayout w:type="fixed"/>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碧进路（二期）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9</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4590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4080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16</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8160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支二路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397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794</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2382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2977.5</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碧兴路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1309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6545</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7854</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18326</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新建溪绿道</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6500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城市客厅（老园区）</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2400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滨江公园</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3600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南大门、北大门节点</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1100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49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平黄公路（至铁路桥下）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四级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hint="eastAsia" w:ascii="Times New Roman" w:hAnsi="Times New Roman"/>
                <w:color w:val="auto"/>
                <w:kern w:val="0"/>
                <w:szCs w:val="21"/>
                <w:highlight w:val="none"/>
              </w:rPr>
              <w:t>2.8</w:t>
            </w:r>
            <w:r>
              <w:rPr>
                <w:rFonts w:ascii="Times New Roman" w:hAnsi="Times New Roman"/>
                <w:color w:val="auto"/>
                <w:kern w:val="0"/>
                <w:szCs w:val="21"/>
                <w:highlight w:val="none"/>
              </w:rPr>
              <w:t>357</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hint="eastAsia" w:ascii="Times New Roman" w:hAnsi="Times New Roman"/>
                <w:color w:val="auto"/>
                <w:kern w:val="0"/>
                <w:szCs w:val="21"/>
                <w:highlight w:val="none"/>
              </w:rPr>
              <w:t>6</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hint="eastAsia" w:ascii="Times New Roman" w:hAnsi="Times New Roman"/>
                <w:color w:val="auto"/>
                <w:kern w:val="0"/>
                <w:szCs w:val="21"/>
                <w:highlight w:val="none"/>
              </w:rPr>
              <w:t>17142</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11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330供电所至永康界（边沟至店面前止</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二级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3703</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74060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 w:val="24"/>
                <w:szCs w:val="24"/>
                <w:highlight w:val="none"/>
              </w:rPr>
            </w:pPr>
            <w:r>
              <w:rPr>
                <w:rFonts w:ascii="Times New Roman" w:hAnsi="Times New Roman"/>
                <w:color w:val="auto"/>
                <w:kern w:val="0"/>
                <w:sz w:val="24"/>
                <w:szCs w:val="24"/>
                <w:highlight w:val="none"/>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0</w:t>
            </w:r>
          </w:p>
        </w:tc>
      </w:tr>
      <w:tr>
        <w:tblPrEx>
          <w:tblLayout w:type="fixed"/>
          <w:tblCellMar>
            <w:top w:w="15" w:type="dxa"/>
            <w:left w:w="15" w:type="dxa"/>
            <w:bottom w:w="15" w:type="dxa"/>
            <w:right w:w="15" w:type="dxa"/>
          </w:tblCellMar>
        </w:tblPrEx>
        <w:trPr>
          <w:trHeight w:val="7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合</w:t>
            </w:r>
            <w:r>
              <w:rPr>
                <w:rFonts w:ascii="Times New Roman" w:hAnsi="Times New Roman"/>
                <w:color w:val="auto"/>
                <w:kern w:val="0"/>
                <w:sz w:val="24"/>
                <w:szCs w:val="24"/>
                <w:highlight w:val="none"/>
              </w:rPr>
              <w:t xml:space="preserve">   </w:t>
            </w:r>
            <w:r>
              <w:rPr>
                <w:rFonts w:hint="eastAsia" w:ascii="宋体" w:hAnsi="宋体" w:cs="宋体"/>
                <w:color w:val="auto"/>
                <w:kern w:val="0"/>
                <w:sz w:val="24"/>
                <w:szCs w:val="24"/>
                <w:highlight w:val="none"/>
              </w:rPr>
              <w:t>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highlight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 w:val="24"/>
                <w:szCs w:val="24"/>
                <w:highlight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170590</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olor w:val="auto"/>
                <w:kern w:val="0"/>
                <w:szCs w:val="21"/>
                <w:highlight w:val="none"/>
              </w:rPr>
            </w:pPr>
          </w:p>
        </w:tc>
        <w:tc>
          <w:tcPr>
            <w:tcW w:w="82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color w:val="auto"/>
                <w:szCs w:val="21"/>
                <w:highlight w:val="none"/>
              </w:rPr>
            </w:pPr>
            <w:r>
              <w:rPr>
                <w:rFonts w:ascii="Times New Roman" w:hAnsi="Times New Roman"/>
                <w:color w:val="auto"/>
                <w:kern w:val="0"/>
                <w:szCs w:val="21"/>
                <w:highlight w:val="none"/>
              </w:rPr>
              <w:t>232552.5</w:t>
            </w:r>
          </w:p>
        </w:tc>
        <w:tc>
          <w:tcPr>
            <w:tcW w:w="680" w:type="dxa"/>
            <w:tcBorders>
              <w:top w:val="single" w:color="000000" w:sz="4" w:space="0"/>
              <w:left w:val="single" w:color="000000" w:sz="4" w:space="0"/>
              <w:bottom w:val="single" w:color="000000" w:sz="4" w:space="0"/>
            </w:tcBorders>
            <w:shd w:val="clear" w:color="auto" w:fill="auto"/>
            <w:vAlign w:val="center"/>
          </w:tcPr>
          <w:p>
            <w:pPr>
              <w:rPr>
                <w:rFonts w:ascii="Times New Roman" w:hAnsi="Times New Roman"/>
                <w:color w:val="auto"/>
                <w:szCs w:val="21"/>
                <w:highlight w:val="none"/>
              </w:rPr>
            </w:pPr>
          </w:p>
        </w:tc>
        <w:tc>
          <w:tcPr>
            <w:tcW w:w="808"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Times New Roman" w:hAnsi="Times New Roman"/>
                <w:color w:val="auto"/>
                <w:szCs w:val="21"/>
                <w:highlight w:val="none"/>
              </w:rPr>
            </w:pPr>
            <w:r>
              <w:rPr>
                <w:rFonts w:ascii="Times New Roman" w:hAnsi="Times New Roman"/>
                <w:color w:val="auto"/>
                <w:kern w:val="0"/>
                <w:szCs w:val="21"/>
                <w:highlight w:val="none"/>
              </w:rPr>
              <w:t>15421</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olor w:val="auto"/>
                <w:szCs w:val="21"/>
                <w:highlight w:val="none"/>
              </w:rPr>
            </w:pPr>
          </w:p>
        </w:tc>
        <w:tc>
          <w:tcPr>
            <w:tcW w:w="807" w:type="dxa"/>
            <w:tcBorders>
              <w:top w:val="single" w:color="000000" w:sz="4" w:space="0"/>
              <w:bottom w:val="single" w:color="000000" w:sz="4" w:space="0"/>
            </w:tcBorders>
            <w:shd w:val="clear" w:color="auto" w:fill="auto"/>
            <w:vAlign w:val="center"/>
          </w:tcPr>
          <w:p>
            <w:pPr>
              <w:widowControl/>
              <w:jc w:val="center"/>
              <w:textAlignment w:val="center"/>
              <w:rPr>
                <w:rFonts w:ascii="Times New Roman" w:hAnsi="Times New Roman"/>
                <w:color w:val="auto"/>
                <w:szCs w:val="21"/>
                <w:highlight w:val="none"/>
              </w:rPr>
            </w:pPr>
            <w:r>
              <w:rPr>
                <w:rFonts w:ascii="Times New Roman" w:hAnsi="Times New Roman"/>
                <w:color w:val="auto"/>
                <w:kern w:val="0"/>
                <w:szCs w:val="21"/>
                <w:highlight w:val="none"/>
              </w:rPr>
              <w:t>277833</w:t>
            </w:r>
          </w:p>
        </w:tc>
      </w:tr>
    </w:tbl>
    <w:p>
      <w:pPr>
        <w:pStyle w:val="6"/>
        <w:rPr>
          <w:color w:val="auto"/>
          <w:kern w:val="0"/>
          <w:szCs w:val="21"/>
          <w:highlight w:val="none"/>
        </w:rPr>
      </w:pPr>
      <w:r>
        <w:rPr>
          <w:rFonts w:hint="eastAsia" w:ascii="宋体" w:hAnsi="宋体" w:cs="宋体"/>
          <w:color w:val="auto"/>
          <w:kern w:val="0"/>
          <w:szCs w:val="21"/>
          <w:highlight w:val="none"/>
        </w:rPr>
        <w:t>注：2级按每天16小时保洁、4级按每天</w:t>
      </w:r>
      <w:r>
        <w:rPr>
          <w:rFonts w:ascii="宋体" w:hAnsi="宋体" w:cs="宋体"/>
          <w:color w:val="auto"/>
          <w:kern w:val="0"/>
          <w:szCs w:val="21"/>
          <w:highlight w:val="none"/>
        </w:rPr>
        <w:t>8</w:t>
      </w:r>
      <w:r>
        <w:rPr>
          <w:rFonts w:hint="eastAsia" w:ascii="宋体" w:hAnsi="宋体" w:cs="宋体"/>
          <w:color w:val="auto"/>
          <w:kern w:val="0"/>
          <w:szCs w:val="21"/>
          <w:highlight w:val="none"/>
        </w:rPr>
        <w:t>小时保洁。</w:t>
      </w:r>
      <w:r>
        <w:rPr>
          <w:rFonts w:hint="eastAsia" w:ascii="Calibri" w:hAnsi="Calibri"/>
          <w:color w:val="auto"/>
          <w:szCs w:val="22"/>
          <w:highlight w:val="none"/>
        </w:rPr>
        <w:br w:type="page"/>
      </w:r>
    </w:p>
    <w:p>
      <w:pPr>
        <w:pStyle w:val="6"/>
        <w:rPr>
          <w:color w:val="auto"/>
          <w:highlight w:val="none"/>
        </w:rPr>
      </w:pPr>
    </w:p>
    <w:tbl>
      <w:tblPr>
        <w:tblStyle w:val="54"/>
        <w:tblpPr w:leftFromText="180" w:rightFromText="180" w:vertAnchor="page" w:horzAnchor="page" w:tblpX="1597" w:tblpY="1664"/>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451"/>
        <w:gridCol w:w="1533"/>
        <w:gridCol w:w="1586"/>
        <w:gridCol w:w="1701"/>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860" w:type="dxa"/>
            <w:gridSpan w:val="6"/>
            <w:vAlign w:val="center"/>
          </w:tcPr>
          <w:p>
            <w:pPr>
              <w:rPr>
                <w:rFonts w:ascii="宋体" w:hAnsi="宋体" w:cs="宋体"/>
                <w:b/>
                <w:color w:val="auto"/>
                <w:sz w:val="24"/>
                <w:szCs w:val="24"/>
                <w:highlight w:val="none"/>
              </w:rPr>
            </w:pPr>
            <w:r>
              <w:rPr>
                <w:rFonts w:hint="eastAsia" w:ascii="宋体" w:hAnsi="宋体" w:cs="宋体"/>
                <w:b/>
                <w:color w:val="auto"/>
                <w:sz w:val="24"/>
                <w:szCs w:val="24"/>
                <w:highlight w:val="none"/>
              </w:rPr>
              <w:t>5、新碧街道农村生活垃圾清运名录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89" w:type="dxa"/>
            <w:vAlign w:val="center"/>
          </w:tcPr>
          <w:p>
            <w:pPr>
              <w:ind w:firstLine="241"/>
              <w:rPr>
                <w:rFonts w:ascii="宋体" w:hAnsi="宋体" w:cs="宋体"/>
                <w:b/>
                <w:color w:val="auto"/>
                <w:sz w:val="24"/>
                <w:szCs w:val="24"/>
                <w:highlight w:val="none"/>
              </w:rPr>
            </w:pPr>
            <w:r>
              <w:rPr>
                <w:rFonts w:hint="eastAsia" w:ascii="仿宋_GB2312" w:hAnsi="宋体" w:eastAsia="仿宋_GB2312"/>
                <w:b/>
                <w:color w:val="auto"/>
                <w:sz w:val="24"/>
                <w:highlight w:val="none"/>
              </w:rPr>
              <w:t>村名</w:t>
            </w:r>
          </w:p>
        </w:tc>
        <w:tc>
          <w:tcPr>
            <w:tcW w:w="1451" w:type="dxa"/>
            <w:vAlign w:val="center"/>
          </w:tcPr>
          <w:p>
            <w:pPr>
              <w:ind w:firstLine="241"/>
              <w:jc w:val="center"/>
              <w:rPr>
                <w:rFonts w:ascii="仿宋_GB2312" w:hAnsi="宋体" w:eastAsia="仿宋_GB2312"/>
                <w:b/>
                <w:color w:val="auto"/>
                <w:sz w:val="24"/>
                <w:highlight w:val="none"/>
              </w:rPr>
            </w:pPr>
            <w:r>
              <w:rPr>
                <w:rFonts w:hint="eastAsia" w:ascii="仿宋_GB2312" w:hAnsi="宋体" w:eastAsia="仿宋_GB2312"/>
                <w:b/>
                <w:color w:val="auto"/>
                <w:sz w:val="24"/>
                <w:highlight w:val="none"/>
              </w:rPr>
              <w:t>运距约</w:t>
            </w:r>
          </w:p>
          <w:p>
            <w:pPr>
              <w:ind w:firstLine="241"/>
              <w:jc w:val="center"/>
              <w:rPr>
                <w:rFonts w:ascii="宋体" w:hAnsi="宋体" w:cs="宋体"/>
                <w:b/>
                <w:color w:val="auto"/>
                <w:sz w:val="24"/>
                <w:szCs w:val="24"/>
                <w:highlight w:val="none"/>
              </w:rPr>
            </w:pPr>
            <w:r>
              <w:rPr>
                <w:rFonts w:hint="eastAsia" w:ascii="仿宋_GB2312" w:hAnsi="宋体" w:eastAsia="仿宋_GB2312"/>
                <w:b/>
                <w:color w:val="auto"/>
                <w:sz w:val="24"/>
                <w:highlight w:val="none"/>
              </w:rPr>
              <w:t>公里</w:t>
            </w:r>
          </w:p>
        </w:tc>
        <w:tc>
          <w:tcPr>
            <w:tcW w:w="1533" w:type="dxa"/>
            <w:vAlign w:val="center"/>
          </w:tcPr>
          <w:p>
            <w:pPr>
              <w:ind w:firstLine="241"/>
              <w:jc w:val="center"/>
              <w:rPr>
                <w:rFonts w:ascii="宋体" w:hAnsi="宋体" w:cs="宋体"/>
                <w:b/>
                <w:color w:val="auto"/>
                <w:sz w:val="24"/>
                <w:szCs w:val="24"/>
                <w:highlight w:val="none"/>
              </w:rPr>
            </w:pPr>
            <w:r>
              <w:rPr>
                <w:rFonts w:hint="eastAsia" w:ascii="仿宋_GB2312" w:hAnsi="宋体" w:eastAsia="仿宋_GB2312"/>
                <w:b/>
                <w:color w:val="auto"/>
                <w:sz w:val="24"/>
                <w:highlight w:val="none"/>
              </w:rPr>
              <w:t>人口约</w:t>
            </w:r>
          </w:p>
        </w:tc>
        <w:tc>
          <w:tcPr>
            <w:tcW w:w="1586" w:type="dxa"/>
            <w:vAlign w:val="center"/>
          </w:tcPr>
          <w:p>
            <w:pPr>
              <w:ind w:firstLine="241"/>
              <w:jc w:val="center"/>
              <w:rPr>
                <w:rFonts w:ascii="宋体" w:hAnsi="宋体" w:cs="宋体"/>
                <w:b/>
                <w:color w:val="auto"/>
                <w:sz w:val="24"/>
                <w:szCs w:val="24"/>
                <w:highlight w:val="none"/>
              </w:rPr>
            </w:pPr>
            <w:r>
              <w:rPr>
                <w:rFonts w:hint="eastAsia" w:ascii="仿宋_GB2312" w:hAnsi="宋体" w:eastAsia="仿宋_GB2312"/>
                <w:b/>
                <w:color w:val="auto"/>
                <w:sz w:val="24"/>
                <w:highlight w:val="none"/>
              </w:rPr>
              <w:t>村名</w:t>
            </w:r>
          </w:p>
        </w:tc>
        <w:tc>
          <w:tcPr>
            <w:tcW w:w="1701" w:type="dxa"/>
            <w:vAlign w:val="center"/>
          </w:tcPr>
          <w:p>
            <w:pPr>
              <w:ind w:firstLine="241"/>
              <w:jc w:val="center"/>
              <w:rPr>
                <w:rFonts w:ascii="宋体" w:hAnsi="宋体" w:cs="宋体"/>
                <w:b/>
                <w:color w:val="auto"/>
                <w:sz w:val="24"/>
                <w:szCs w:val="24"/>
                <w:highlight w:val="none"/>
              </w:rPr>
            </w:pPr>
            <w:r>
              <w:rPr>
                <w:rFonts w:hint="eastAsia" w:ascii="仿宋_GB2312" w:hAnsi="宋体" w:eastAsia="仿宋_GB2312"/>
                <w:b/>
                <w:color w:val="auto"/>
                <w:sz w:val="24"/>
                <w:highlight w:val="none"/>
              </w:rPr>
              <w:t>运距约公里</w:t>
            </w:r>
          </w:p>
        </w:tc>
        <w:tc>
          <w:tcPr>
            <w:tcW w:w="1100" w:type="dxa"/>
            <w:vAlign w:val="center"/>
          </w:tcPr>
          <w:p>
            <w:pPr>
              <w:rPr>
                <w:rFonts w:ascii="宋体" w:hAnsi="宋体" w:cs="宋体"/>
                <w:b/>
                <w:color w:val="auto"/>
                <w:sz w:val="24"/>
                <w:szCs w:val="24"/>
                <w:highlight w:val="none"/>
              </w:rPr>
            </w:pPr>
            <w:r>
              <w:rPr>
                <w:rFonts w:hint="eastAsia" w:ascii="仿宋_GB2312" w:hAnsi="宋体" w:eastAsia="仿宋_GB2312"/>
                <w:b/>
                <w:color w:val="auto"/>
                <w:sz w:val="24"/>
                <w:highlight w:val="none"/>
              </w:rPr>
              <w:t>人口约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应刘</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3.6</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990</w:t>
            </w:r>
          </w:p>
        </w:tc>
        <w:tc>
          <w:tcPr>
            <w:tcW w:w="1586"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川一、川二、川三</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2.3</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宅基</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3.5</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2908</w:t>
            </w:r>
          </w:p>
        </w:tc>
        <w:tc>
          <w:tcPr>
            <w:tcW w:w="1586"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大陆</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4.1</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坑口西</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4.9</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320</w:t>
            </w:r>
          </w:p>
        </w:tc>
        <w:tc>
          <w:tcPr>
            <w:tcW w:w="1586"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早宅</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4.7</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外孙</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1.65</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926</w:t>
            </w:r>
          </w:p>
        </w:tc>
        <w:tc>
          <w:tcPr>
            <w:tcW w:w="1586"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黄碧街</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0.76</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龙湖</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2.76</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834</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后井</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1.85</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大坟山</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2.74</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226</w:t>
            </w:r>
          </w:p>
        </w:tc>
        <w:tc>
          <w:tcPr>
            <w:tcW w:w="1586"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姓尚</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1.7</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内孙</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1.9</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720</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外堰</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3.9</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麻村</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2.15</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340</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西岩</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4.9</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泉塘</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3.8</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351</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梅溪</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5.6</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底岙</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1.7</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326</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山前</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5.6</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泗山</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2.3</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1305</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姓姚（地坑）</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4.2</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上小溪</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0.5</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1137</w:t>
            </w:r>
          </w:p>
        </w:tc>
        <w:tc>
          <w:tcPr>
            <w:tcW w:w="1586"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楼龙（地坑）</w:t>
            </w:r>
          </w:p>
        </w:tc>
        <w:tc>
          <w:tcPr>
            <w:tcW w:w="170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0.8</w:t>
            </w:r>
          </w:p>
        </w:tc>
        <w:tc>
          <w:tcPr>
            <w:tcW w:w="1100"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下小溪</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1.54</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2649</w:t>
            </w:r>
          </w:p>
        </w:tc>
        <w:tc>
          <w:tcPr>
            <w:tcW w:w="1586" w:type="dxa"/>
            <w:vAlign w:val="center"/>
          </w:tcPr>
          <w:p>
            <w:pPr>
              <w:jc w:val="center"/>
              <w:rPr>
                <w:rFonts w:ascii="宋体" w:hAnsi="宋体"/>
                <w:color w:val="auto"/>
                <w:sz w:val="24"/>
                <w:highlight w:val="none"/>
              </w:rPr>
            </w:pPr>
            <w:r>
              <w:rPr>
                <w:rFonts w:hint="eastAsia" w:ascii="宋体" w:hAnsi="宋体"/>
                <w:color w:val="auto"/>
                <w:sz w:val="24"/>
                <w:highlight w:val="none"/>
              </w:rPr>
              <w:t>马渡（地坑）</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4.3</w:t>
            </w:r>
          </w:p>
        </w:tc>
        <w:tc>
          <w:tcPr>
            <w:tcW w:w="1100" w:type="dxa"/>
            <w:vAlign w:val="center"/>
          </w:tcPr>
          <w:p>
            <w:pPr>
              <w:jc w:val="center"/>
              <w:rPr>
                <w:rFonts w:ascii="宋体" w:hAnsi="宋体"/>
                <w:color w:val="auto"/>
                <w:sz w:val="24"/>
                <w:highlight w:val="none"/>
              </w:rPr>
            </w:pPr>
            <w:r>
              <w:rPr>
                <w:rFonts w:hint="eastAsia" w:ascii="宋体" w:hAnsi="宋体"/>
                <w:color w:val="auto"/>
                <w:sz w:val="24"/>
                <w:highlight w:val="none"/>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后坑</w:t>
            </w:r>
          </w:p>
        </w:tc>
        <w:tc>
          <w:tcPr>
            <w:tcW w:w="1451"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2.0</w:t>
            </w:r>
          </w:p>
        </w:tc>
        <w:tc>
          <w:tcPr>
            <w:tcW w:w="1533" w:type="dxa"/>
            <w:vAlign w:val="center"/>
          </w:tcPr>
          <w:p>
            <w:pPr>
              <w:jc w:val="center"/>
              <w:rPr>
                <w:rFonts w:ascii="宋体" w:hAnsi="宋体" w:cs="宋体"/>
                <w:color w:val="auto"/>
                <w:sz w:val="24"/>
                <w:szCs w:val="24"/>
                <w:highlight w:val="none"/>
              </w:rPr>
            </w:pPr>
            <w:r>
              <w:rPr>
                <w:rFonts w:hint="eastAsia" w:ascii="宋体" w:hAnsi="宋体"/>
                <w:color w:val="auto"/>
                <w:sz w:val="24"/>
                <w:highlight w:val="none"/>
              </w:rPr>
              <w:t>298</w:t>
            </w:r>
          </w:p>
        </w:tc>
        <w:tc>
          <w:tcPr>
            <w:tcW w:w="1586" w:type="dxa"/>
            <w:vAlign w:val="center"/>
          </w:tcPr>
          <w:p>
            <w:pPr>
              <w:jc w:val="center"/>
              <w:rPr>
                <w:rFonts w:ascii="宋体" w:hAnsi="宋体"/>
                <w:color w:val="auto"/>
                <w:sz w:val="24"/>
                <w:highlight w:val="none"/>
              </w:rPr>
            </w:pPr>
          </w:p>
        </w:tc>
        <w:tc>
          <w:tcPr>
            <w:tcW w:w="1701" w:type="dxa"/>
            <w:vAlign w:val="center"/>
          </w:tcPr>
          <w:p>
            <w:pPr>
              <w:jc w:val="center"/>
              <w:rPr>
                <w:rFonts w:ascii="宋体" w:hAnsi="宋体"/>
                <w:color w:val="auto"/>
                <w:sz w:val="24"/>
                <w:highlight w:val="none"/>
              </w:rPr>
            </w:pPr>
          </w:p>
        </w:tc>
        <w:tc>
          <w:tcPr>
            <w:tcW w:w="110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下东山</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2.3</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329</w:t>
            </w:r>
          </w:p>
        </w:tc>
        <w:tc>
          <w:tcPr>
            <w:tcW w:w="1586" w:type="dxa"/>
            <w:vAlign w:val="center"/>
          </w:tcPr>
          <w:p>
            <w:pPr>
              <w:jc w:val="center"/>
              <w:rPr>
                <w:rFonts w:ascii="宋体" w:hAnsi="宋体"/>
                <w:color w:val="auto"/>
                <w:sz w:val="24"/>
                <w:highlight w:val="none"/>
              </w:rPr>
            </w:pPr>
          </w:p>
        </w:tc>
        <w:tc>
          <w:tcPr>
            <w:tcW w:w="1701" w:type="dxa"/>
            <w:vAlign w:val="center"/>
          </w:tcPr>
          <w:p>
            <w:pPr>
              <w:jc w:val="center"/>
              <w:rPr>
                <w:rFonts w:ascii="宋体" w:hAnsi="宋体"/>
                <w:color w:val="auto"/>
                <w:sz w:val="24"/>
                <w:highlight w:val="none"/>
              </w:rPr>
            </w:pPr>
          </w:p>
        </w:tc>
        <w:tc>
          <w:tcPr>
            <w:tcW w:w="110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下庄</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2.0</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271</w:t>
            </w:r>
          </w:p>
        </w:tc>
        <w:tc>
          <w:tcPr>
            <w:tcW w:w="1586" w:type="dxa"/>
            <w:vAlign w:val="center"/>
          </w:tcPr>
          <w:p>
            <w:pPr>
              <w:jc w:val="center"/>
              <w:rPr>
                <w:rFonts w:ascii="宋体" w:hAnsi="宋体" w:cs="宋体"/>
                <w:color w:val="auto"/>
                <w:sz w:val="24"/>
                <w:szCs w:val="24"/>
                <w:highlight w:val="none"/>
              </w:rPr>
            </w:pPr>
          </w:p>
        </w:tc>
        <w:tc>
          <w:tcPr>
            <w:tcW w:w="1701" w:type="dxa"/>
            <w:vAlign w:val="center"/>
          </w:tcPr>
          <w:p>
            <w:pPr>
              <w:jc w:val="center"/>
              <w:rPr>
                <w:rFonts w:ascii="宋体" w:hAnsi="宋体" w:cs="宋体"/>
                <w:color w:val="auto"/>
                <w:sz w:val="24"/>
                <w:szCs w:val="24"/>
                <w:highlight w:val="none"/>
              </w:rPr>
            </w:pPr>
          </w:p>
        </w:tc>
        <w:tc>
          <w:tcPr>
            <w:tcW w:w="1100" w:type="dxa"/>
            <w:vAlign w:val="center"/>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489" w:type="dxa"/>
            <w:vAlign w:val="center"/>
          </w:tcPr>
          <w:p>
            <w:pPr>
              <w:jc w:val="center"/>
              <w:rPr>
                <w:rFonts w:ascii="宋体" w:hAnsi="宋体"/>
                <w:color w:val="auto"/>
                <w:sz w:val="24"/>
                <w:highlight w:val="none"/>
              </w:rPr>
            </w:pPr>
            <w:r>
              <w:rPr>
                <w:rFonts w:hint="eastAsia" w:ascii="宋体" w:hAnsi="宋体"/>
                <w:color w:val="auto"/>
                <w:sz w:val="24"/>
                <w:highlight w:val="none"/>
              </w:rPr>
              <w:t>黄碧虞</w:t>
            </w:r>
          </w:p>
        </w:tc>
        <w:tc>
          <w:tcPr>
            <w:tcW w:w="1451" w:type="dxa"/>
            <w:vAlign w:val="center"/>
          </w:tcPr>
          <w:p>
            <w:pPr>
              <w:jc w:val="center"/>
              <w:rPr>
                <w:rFonts w:ascii="宋体" w:hAnsi="宋体"/>
                <w:color w:val="auto"/>
                <w:sz w:val="24"/>
                <w:highlight w:val="none"/>
              </w:rPr>
            </w:pPr>
            <w:r>
              <w:rPr>
                <w:rFonts w:hint="eastAsia" w:ascii="宋体" w:hAnsi="宋体"/>
                <w:color w:val="auto"/>
                <w:sz w:val="24"/>
                <w:highlight w:val="none"/>
              </w:rPr>
              <w:t>0.8</w:t>
            </w:r>
          </w:p>
        </w:tc>
        <w:tc>
          <w:tcPr>
            <w:tcW w:w="1533" w:type="dxa"/>
            <w:vAlign w:val="center"/>
          </w:tcPr>
          <w:p>
            <w:pPr>
              <w:jc w:val="center"/>
              <w:rPr>
                <w:rFonts w:ascii="宋体" w:hAnsi="宋体"/>
                <w:color w:val="auto"/>
                <w:sz w:val="24"/>
                <w:highlight w:val="none"/>
              </w:rPr>
            </w:pPr>
            <w:r>
              <w:rPr>
                <w:rFonts w:hint="eastAsia" w:ascii="宋体" w:hAnsi="宋体"/>
                <w:color w:val="auto"/>
                <w:sz w:val="24"/>
                <w:highlight w:val="none"/>
              </w:rPr>
              <w:t>1417</w:t>
            </w:r>
          </w:p>
        </w:tc>
        <w:tc>
          <w:tcPr>
            <w:tcW w:w="1586" w:type="dxa"/>
            <w:vAlign w:val="center"/>
          </w:tcPr>
          <w:p>
            <w:pPr>
              <w:jc w:val="center"/>
              <w:rPr>
                <w:rFonts w:ascii="宋体" w:hAnsi="宋体"/>
                <w:color w:val="auto"/>
                <w:sz w:val="24"/>
                <w:highlight w:val="none"/>
              </w:rPr>
            </w:pPr>
          </w:p>
        </w:tc>
        <w:tc>
          <w:tcPr>
            <w:tcW w:w="1701" w:type="dxa"/>
            <w:vAlign w:val="center"/>
          </w:tcPr>
          <w:p>
            <w:pPr>
              <w:jc w:val="center"/>
              <w:rPr>
                <w:rFonts w:ascii="宋体" w:hAnsi="宋体"/>
                <w:color w:val="auto"/>
                <w:sz w:val="24"/>
                <w:highlight w:val="none"/>
              </w:rPr>
            </w:pPr>
          </w:p>
        </w:tc>
        <w:tc>
          <w:tcPr>
            <w:tcW w:w="1100" w:type="dxa"/>
            <w:vAlign w:val="center"/>
          </w:tcPr>
          <w:p>
            <w:pPr>
              <w:jc w:val="center"/>
              <w:rPr>
                <w:rFonts w:ascii="宋体" w:hAnsi="宋体"/>
                <w:color w:val="auto"/>
                <w:sz w:val="24"/>
                <w:highlight w:val="none"/>
              </w:rPr>
            </w:pPr>
          </w:p>
        </w:tc>
      </w:tr>
    </w:tbl>
    <w:p>
      <w:pPr>
        <w:snapToGrid w:val="0"/>
        <w:spacing w:line="360" w:lineRule="auto"/>
        <w:rPr>
          <w:rFonts w:ascii="仿宋_GB2312" w:hAnsi="宋体" w:eastAsia="仿宋_GB2312"/>
          <w:b/>
          <w:color w:val="auto"/>
          <w:sz w:val="24"/>
          <w:highlight w:val="none"/>
        </w:rPr>
      </w:pPr>
    </w:p>
    <w:p>
      <w:pPr>
        <w:snapToGrid w:val="0"/>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br w:type="page"/>
      </w:r>
    </w:p>
    <w:p>
      <w:pPr>
        <w:snapToGrid w:val="0"/>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中标企业须接收资产明细表</w:t>
      </w:r>
    </w:p>
    <w:tbl>
      <w:tblPr>
        <w:tblStyle w:val="54"/>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79"/>
        <w:gridCol w:w="1256"/>
        <w:gridCol w:w="2360"/>
        <w:gridCol w:w="2060"/>
        <w:gridCol w:w="90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97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牌照号</w:t>
            </w:r>
          </w:p>
        </w:tc>
        <w:tc>
          <w:tcPr>
            <w:tcW w:w="125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车辆名</w:t>
            </w:r>
          </w:p>
        </w:tc>
        <w:tc>
          <w:tcPr>
            <w:tcW w:w="2360"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类型</w:t>
            </w:r>
          </w:p>
        </w:tc>
        <w:tc>
          <w:tcPr>
            <w:tcW w:w="2060"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规格型号</w:t>
            </w:r>
          </w:p>
        </w:tc>
        <w:tc>
          <w:tcPr>
            <w:tcW w:w="90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数量（辆）</w:t>
            </w:r>
          </w:p>
        </w:tc>
        <w:tc>
          <w:tcPr>
            <w:tcW w:w="1228"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79"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浙KG2855</w:t>
            </w:r>
          </w:p>
        </w:tc>
        <w:tc>
          <w:tcPr>
            <w:tcW w:w="1256" w:type="dxa"/>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扫路车</w:t>
            </w:r>
          </w:p>
        </w:tc>
        <w:tc>
          <w:tcPr>
            <w:tcW w:w="2360"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highlight w:val="none"/>
              </w:rPr>
              <w:t>中型专项作业车</w:t>
            </w:r>
          </w:p>
        </w:tc>
        <w:tc>
          <w:tcPr>
            <w:tcW w:w="2060"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福龙马牌FLM5070TSLQ4</w:t>
            </w:r>
          </w:p>
        </w:tc>
        <w:tc>
          <w:tcPr>
            <w:tcW w:w="90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228"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121613元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979"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浙KG7656</w:t>
            </w:r>
          </w:p>
        </w:tc>
        <w:tc>
          <w:tcPr>
            <w:tcW w:w="1256" w:type="dxa"/>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highlight w:val="none"/>
              </w:rPr>
              <w:t>压缩式垃圾车</w:t>
            </w:r>
          </w:p>
        </w:tc>
        <w:tc>
          <w:tcPr>
            <w:tcW w:w="2360"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highlight w:val="none"/>
              </w:rPr>
              <w:t>重型特殊结构货车</w:t>
            </w:r>
          </w:p>
        </w:tc>
        <w:tc>
          <w:tcPr>
            <w:tcW w:w="2060"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highlight w:val="none"/>
              </w:rPr>
              <w:t>中联牌ZBH5180ZYSDFE6</w:t>
            </w:r>
          </w:p>
        </w:tc>
        <w:tc>
          <w:tcPr>
            <w:tcW w:w="90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228"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364716元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79"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浙KG2867</w:t>
            </w:r>
          </w:p>
        </w:tc>
        <w:tc>
          <w:tcPr>
            <w:tcW w:w="1256" w:type="dxa"/>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洒水车</w:t>
            </w:r>
          </w:p>
        </w:tc>
        <w:tc>
          <w:tcPr>
            <w:tcW w:w="2360" w:type="dxa"/>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重型载货专项作业车</w:t>
            </w:r>
          </w:p>
        </w:tc>
        <w:tc>
          <w:tcPr>
            <w:tcW w:w="2060" w:type="dxa"/>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三力牌CGJ5160GSS02</w:t>
            </w:r>
          </w:p>
        </w:tc>
        <w:tc>
          <w:tcPr>
            <w:tcW w:w="90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228"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122692元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30" w:type="dxa"/>
            <w:gridSpan w:val="5"/>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合计</w:t>
            </w:r>
          </w:p>
        </w:tc>
        <w:tc>
          <w:tcPr>
            <w:tcW w:w="902" w:type="dxa"/>
            <w:vAlign w:val="center"/>
          </w:tcPr>
          <w:p>
            <w:pPr>
              <w:spacing w:line="360" w:lineRule="auto"/>
              <w:jc w:val="center"/>
              <w:rPr>
                <w:rFonts w:ascii="宋体" w:hAnsi="宋体" w:cs="宋体"/>
                <w:color w:val="auto"/>
                <w:sz w:val="24"/>
                <w:szCs w:val="24"/>
                <w:highlight w:val="none"/>
              </w:rPr>
            </w:pPr>
          </w:p>
        </w:tc>
        <w:tc>
          <w:tcPr>
            <w:tcW w:w="1228" w:type="dxa"/>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sz w:val="24"/>
                <w:szCs w:val="24"/>
                <w:highlight w:val="none"/>
              </w:rPr>
              <w:t>609021元</w:t>
            </w:r>
          </w:p>
        </w:tc>
      </w:tr>
    </w:tbl>
    <w:p>
      <w:pPr>
        <w:snapToGrid w:val="0"/>
        <w:spacing w:line="360" w:lineRule="auto"/>
        <w:ind w:firstLine="420" w:firstLineChars="200"/>
        <w:rPr>
          <w:color w:val="auto"/>
          <w:highlight w:val="none"/>
        </w:rPr>
      </w:pPr>
      <w:r>
        <w:rPr>
          <w:rFonts w:hint="eastAsia"/>
          <w:color w:val="auto"/>
          <w:highlight w:val="none"/>
        </w:rPr>
        <w:t>注：</w:t>
      </w:r>
      <w:r>
        <w:rPr>
          <w:rFonts w:hint="eastAsia" w:ascii="宋体" w:hAnsi="宋体"/>
          <w:color w:val="auto"/>
          <w:sz w:val="24"/>
          <w:highlight w:val="none"/>
        </w:rPr>
        <w:t>中标企业须无条件收购采购人原有车辆（车辆价值已经评估机构评定为</w:t>
      </w:r>
      <w:r>
        <w:rPr>
          <w:rFonts w:hint="eastAsia" w:ascii="宋体" w:hAnsi="宋体" w:cs="宋体"/>
          <w:color w:val="auto"/>
          <w:sz w:val="24"/>
          <w:szCs w:val="24"/>
          <w:highlight w:val="none"/>
        </w:rPr>
        <w:t>609021</w:t>
      </w:r>
      <w:r>
        <w:rPr>
          <w:rFonts w:hint="eastAsia" w:ascii="宋体" w:hAnsi="宋体"/>
          <w:color w:val="auto"/>
          <w:sz w:val="24"/>
          <w:highlight w:val="none"/>
        </w:rPr>
        <w:t>元，未包含在采购预算价内）。中标企业须在合同签订前，向采购人缴纳设备款和履约保证金，合同签订后，采购人将产权过户到中标企业（过户费用由中标企业自理）。</w:t>
      </w:r>
    </w:p>
    <w:p>
      <w:pPr>
        <w:snapToGrid w:val="0"/>
        <w:spacing w:line="360" w:lineRule="auto"/>
        <w:rPr>
          <w:rFonts w:ascii="宋体" w:hAnsi="宋体" w:cs="宋体"/>
          <w:b/>
          <w:color w:val="auto"/>
          <w:sz w:val="30"/>
          <w:szCs w:val="30"/>
          <w:highlight w:val="none"/>
        </w:rPr>
      </w:pPr>
      <w:r>
        <w:rPr>
          <w:rFonts w:hint="eastAsia" w:ascii="宋体" w:hAnsi="宋体" w:cs="宋体"/>
          <w:b/>
          <w:color w:val="auto"/>
          <w:sz w:val="30"/>
          <w:szCs w:val="30"/>
          <w:highlight w:val="none"/>
        </w:rPr>
        <w:t>二、采购预算指导价：</w:t>
      </w:r>
      <w:bookmarkEnd w:id="24"/>
    </w:p>
    <w:p>
      <w:pPr>
        <w:snapToGrid w:val="0"/>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▲采购预算总价：</w:t>
      </w:r>
      <w:r>
        <w:rPr>
          <w:rFonts w:hint="eastAsia" w:ascii="宋体" w:hAnsi="宋体" w:cs="宋体"/>
          <w:bCs/>
          <w:color w:val="auto"/>
          <w:sz w:val="24"/>
          <w:szCs w:val="24"/>
          <w:highlight w:val="none"/>
        </w:rPr>
        <w:t>预算价为</w:t>
      </w:r>
      <w:r>
        <w:rPr>
          <w:rFonts w:hint="eastAsia" w:ascii="宋体" w:hAnsi="宋体" w:cs="宋体"/>
          <w:color w:val="auto"/>
          <w:sz w:val="24"/>
          <w:szCs w:val="24"/>
          <w:highlight w:val="none"/>
        </w:rPr>
        <w:t>人民币</w:t>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 6019736 \* CHINESENUM2 \* MERGEFORMAT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陆佰零</w:t>
      </w:r>
      <w:r>
        <w:rPr>
          <w:rFonts w:hint="eastAsia" w:ascii="宋体" w:hAnsi="宋体" w:cs="宋体"/>
          <w:b/>
          <w:color w:val="auto"/>
          <w:sz w:val="24"/>
          <w:szCs w:val="24"/>
          <w:highlight w:val="none"/>
          <w:lang w:eastAsia="zh-CN"/>
        </w:rPr>
        <w:t>伍</w:t>
      </w:r>
      <w:r>
        <w:rPr>
          <w:rFonts w:hint="eastAsia" w:ascii="宋体" w:hAnsi="宋体" w:cs="宋体"/>
          <w:b/>
          <w:color w:val="auto"/>
          <w:sz w:val="24"/>
          <w:szCs w:val="24"/>
          <w:highlight w:val="none"/>
        </w:rPr>
        <w:t>万</w:t>
      </w:r>
      <w:r>
        <w:rPr>
          <w:rFonts w:hint="eastAsia" w:ascii="宋体" w:hAnsi="宋体" w:cs="宋体"/>
          <w:b/>
          <w:color w:val="auto"/>
          <w:sz w:val="24"/>
          <w:szCs w:val="24"/>
          <w:highlight w:val="none"/>
        </w:rPr>
        <w:fldChar w:fldCharType="end"/>
      </w:r>
      <w:r>
        <w:rPr>
          <w:rFonts w:hint="eastAsia" w:ascii="宋体" w:hAnsi="宋体" w:cs="宋体"/>
          <w:b/>
          <w:color w:val="auto"/>
          <w:sz w:val="24"/>
          <w:szCs w:val="24"/>
          <w:highlight w:val="none"/>
        </w:rPr>
        <w:t>元</w:t>
      </w:r>
      <w:r>
        <w:rPr>
          <w:rFonts w:hint="eastAsia" w:ascii="宋体" w:hAnsi="宋体" w:cs="宋体"/>
          <w:bCs/>
          <w:color w:val="auto"/>
          <w:sz w:val="24"/>
          <w:szCs w:val="24"/>
          <w:highlight w:val="none"/>
        </w:rPr>
        <w:t>（</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6050000</w:t>
      </w:r>
      <w:r>
        <w:rPr>
          <w:rFonts w:hint="eastAsia" w:ascii="宋体" w:hAnsi="宋体" w:cs="宋体"/>
          <w:color w:val="auto"/>
          <w:sz w:val="24"/>
          <w:szCs w:val="24"/>
          <w:highlight w:val="none"/>
        </w:rPr>
        <w:t>元）</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最高限价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人民币</w:t>
      </w:r>
      <w:r>
        <w:rPr>
          <w:rFonts w:hint="eastAsia" w:ascii="宋体" w:hAnsi="宋体" w:cs="宋体"/>
          <w:b/>
          <w:color w:val="auto"/>
          <w:sz w:val="24"/>
          <w:szCs w:val="24"/>
          <w:highlight w:val="none"/>
        </w:rPr>
        <w:fldChar w:fldCharType="begin"/>
      </w:r>
      <w:r>
        <w:rPr>
          <w:rFonts w:hint="eastAsia" w:ascii="宋体" w:hAnsi="宋体" w:cs="宋体"/>
          <w:b/>
          <w:color w:val="auto"/>
          <w:sz w:val="24"/>
          <w:szCs w:val="24"/>
          <w:highlight w:val="none"/>
        </w:rPr>
        <w:instrText xml:space="preserve"> = 6019736 \* CHINESENUM2 \* MERGEFORMAT </w:instrText>
      </w:r>
      <w:r>
        <w:rPr>
          <w:rFonts w:hint="eastAsia" w:ascii="宋体" w:hAnsi="宋体" w:cs="宋体"/>
          <w:b/>
          <w:color w:val="auto"/>
          <w:sz w:val="24"/>
          <w:szCs w:val="24"/>
          <w:highlight w:val="none"/>
        </w:rPr>
        <w:fldChar w:fldCharType="separate"/>
      </w:r>
      <w:r>
        <w:rPr>
          <w:rFonts w:hint="eastAsia" w:ascii="宋体" w:hAnsi="宋体" w:cs="宋体"/>
          <w:b/>
          <w:color w:val="auto"/>
          <w:sz w:val="24"/>
          <w:szCs w:val="24"/>
          <w:highlight w:val="none"/>
        </w:rPr>
        <w:t>陆佰零贰万伍仟柒佰肆拾贰</w:t>
      </w:r>
      <w:r>
        <w:rPr>
          <w:rFonts w:hint="eastAsia" w:ascii="宋体" w:hAnsi="宋体" w:cs="宋体"/>
          <w:b/>
          <w:color w:val="auto"/>
          <w:sz w:val="24"/>
          <w:szCs w:val="24"/>
          <w:highlight w:val="none"/>
        </w:rPr>
        <w:fldChar w:fldCharType="end"/>
      </w:r>
      <w:r>
        <w:rPr>
          <w:rFonts w:hint="eastAsia" w:ascii="宋体" w:hAnsi="宋体" w:cs="宋体"/>
          <w:b/>
          <w:color w:val="auto"/>
          <w:sz w:val="24"/>
          <w:szCs w:val="24"/>
          <w:highlight w:val="none"/>
        </w:rPr>
        <w:t>元</w:t>
      </w:r>
      <w:r>
        <w:rPr>
          <w:rFonts w:hint="eastAsia" w:ascii="宋体" w:hAnsi="宋体" w:cs="宋体"/>
          <w:bCs/>
          <w:color w:val="auto"/>
          <w:sz w:val="24"/>
          <w:szCs w:val="24"/>
          <w:highlight w:val="none"/>
        </w:rPr>
        <w:t>（</w:t>
      </w:r>
      <w:r>
        <w:rPr>
          <w:rFonts w:hint="eastAsia" w:ascii="宋体" w:hAnsi="宋体" w:cs="宋体"/>
          <w:color w:val="auto"/>
          <w:sz w:val="24"/>
          <w:szCs w:val="24"/>
          <w:highlight w:val="none"/>
        </w:rPr>
        <w:t>￥6025742元）。</w:t>
      </w:r>
      <w:r>
        <w:rPr>
          <w:rFonts w:hint="eastAsia" w:ascii="宋体" w:hAnsi="宋体" w:cs="宋体"/>
          <w:b/>
          <w:color w:val="auto"/>
          <w:sz w:val="24"/>
          <w:szCs w:val="24"/>
          <w:highlight w:val="none"/>
        </w:rPr>
        <w:t>采购预算总价包括在道路清扫保洁、机扫车作业、公厕保洁、道路洒水及清（冲）洗、垃圾清运、垃圾桶清冼更换、窨井疏通和管理等过程中的全部费用：人工费（包括环卫工人工资、奖金、房租、劳保福利、社保、意外保险、工伤费、教育培训费、食宿费及处理一切伤亡事故等费用）、机械台班费、水电费、工具材料费、垃圾清运费、路面洒水及清（冲）洗费、安全文明生产装备费（包括环卫工人冬、夏装工作服、反光衣等）、修理费、清洗费、卫生用具、办公、差旅费、公厕化粪池清理及清运、通信、劳保、福利、企业应缴税金和应得利润、应急任务等完成合同所需的一切本身和不可或缺的所有工作开支、政策性文件规定及合同包含的所有风险、责任等各项全部费用并承担一切风险责任，任何漏报、少报，我们都认为已包含在总价中。其中基本养老保险、基本医疗保险、失业保险、工伤保险、生育保险等社会保险合计金额为1009360元（9176元/人/年），在本次招标报价时不得变更，否则作无效标处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成交供应商必须跟所有员工签订劳动合同，并为员工缴纳基本养老保险、基本医疗保险、失业保险、工伤保险、生育保险等社会保险,采购人按实际缴纳人数费用支出给予报销，报销保险经费不得超过预算配置人数保险经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▲招标项目合同期内如遇工资、社会保障等经费政策性调整，中标人必须按国家政策给予调整，新增经费由中标人自行承担。</w:t>
      </w:r>
    </w:p>
    <w:p>
      <w:pPr>
        <w:spacing w:line="360" w:lineRule="auto"/>
        <w:ind w:firstLine="480" w:firstLineChars="200"/>
        <w:rPr>
          <w:rFonts w:ascii="宋体" w:hAnsi="宋体" w:cs="宋体"/>
          <w:color w:val="auto"/>
          <w:sz w:val="24"/>
          <w:szCs w:val="24"/>
          <w:highlight w:val="none"/>
        </w:rPr>
      </w:pPr>
      <w:bookmarkStart w:id="25" w:name="_Toc375036065"/>
      <w:r>
        <w:rPr>
          <w:rFonts w:hint="eastAsia" w:ascii="宋体" w:hAnsi="宋体" w:cs="宋体"/>
          <w:color w:val="auto"/>
          <w:sz w:val="24"/>
          <w:szCs w:val="24"/>
          <w:highlight w:val="none"/>
        </w:rPr>
        <w:t>首次签订合同期为1年。1年期满后如乙方月平均考核在良好及以上的视实际情况可续签合同，最多不超过两次。</w:t>
      </w:r>
    </w:p>
    <w:bookmarkEnd w:id="25"/>
    <w:p>
      <w:pPr>
        <w:snapToGrid w:val="0"/>
        <w:spacing w:line="360" w:lineRule="auto"/>
        <w:rPr>
          <w:rFonts w:ascii="仿宋_GB2312" w:eastAsia="仿宋_GB2312"/>
          <w:b/>
          <w:color w:val="auto"/>
          <w:sz w:val="30"/>
          <w:szCs w:val="30"/>
          <w:highlight w:val="none"/>
        </w:rPr>
      </w:pPr>
      <w:r>
        <w:rPr>
          <w:rFonts w:hint="eastAsia" w:ascii="宋体" w:hAnsi="宋体" w:cs="宋体"/>
          <w:b/>
          <w:color w:val="auto"/>
          <w:sz w:val="30"/>
          <w:szCs w:val="30"/>
          <w:highlight w:val="none"/>
        </w:rPr>
        <w:t>三、项目技术规范和服务要求：</w:t>
      </w:r>
    </w:p>
    <w:p>
      <w:pPr>
        <w:spacing w:line="360" w:lineRule="auto"/>
        <w:ind w:firstLine="482" w:firstLineChars="200"/>
        <w:rPr>
          <w:rFonts w:ascii="宋体" w:hAnsi="宋体" w:cs="宋体"/>
          <w:b/>
          <w:color w:val="auto"/>
          <w:sz w:val="24"/>
          <w:highlight w:val="none"/>
        </w:rPr>
      </w:pPr>
      <w:bookmarkStart w:id="26" w:name="_Toc254873572"/>
      <w:r>
        <w:rPr>
          <w:rFonts w:hint="eastAsia" w:ascii="宋体" w:hAnsi="宋体" w:cs="宋体"/>
          <w:b/>
          <w:color w:val="auto"/>
          <w:sz w:val="24"/>
          <w:highlight w:val="none"/>
        </w:rPr>
        <w:t>（一）、道路清扫保洁：</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⑴服务要求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按《新碧街道办事处环境卫生作业服务质量标准》、《新碧街道办事处环境卫生保洁和管理考核办法》、《新碧街道办事处小区环境卫生作业规范》、《新碧街道办事处小区环卫保洁和管理考核办法》、《新碧街道办事处小区环境卫生保洁分类管理考核评分标准》、《新碧街道办事处垃圾清运考核评分标准》、《新碧街道办事处垃圾清运管理考核办法》、《新碧街道办事处公共厕所管理考核办法》、《新碧街道办事处公厕保洁管理考核评分标准》中明确的相关要求执行。【文件附后】</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highlight w:val="none"/>
        </w:rPr>
        <w:t>2.</w:t>
      </w:r>
      <w:r>
        <w:rPr>
          <w:rFonts w:hint="eastAsia" w:ascii="宋体" w:hAnsi="宋体" w:cs="宋体"/>
          <w:color w:val="auto"/>
          <w:kern w:val="0"/>
          <w:sz w:val="24"/>
          <w:highlight w:val="none"/>
        </w:rPr>
        <w:t>实行道路保洁时间段内不间断巡回保洁，各类道路每日在规定时间前完成不少于二遍统扫。</w:t>
      </w:r>
    </w:p>
    <w:p>
      <w:pPr>
        <w:spacing w:line="360" w:lineRule="auto"/>
        <w:ind w:firstLine="480" w:firstLineChars="200"/>
        <w:rPr>
          <w:rFonts w:ascii="宋体" w:hAnsi="宋体"/>
          <w:color w:val="auto"/>
          <w:sz w:val="24"/>
          <w:highlight w:val="none"/>
        </w:rPr>
      </w:pPr>
      <w:r>
        <w:rPr>
          <w:rFonts w:hint="eastAsia" w:ascii="宋体" w:hAnsi="宋体" w:cs="宋体"/>
          <w:color w:val="auto"/>
          <w:kern w:val="0"/>
          <w:sz w:val="24"/>
          <w:highlight w:val="none"/>
        </w:rPr>
        <w:t>3.道路发生严重污染应第一时间组织人员进行冲洗。集市当天中标企业安排人员对市场进行日常清扫保洁；集市当晚中标企业安排人员（包括装车人员）对市场当天的垃圾进行清扫收集，24点以前基本收集结束；集市第二天再安排人员对市场进行彻底清扫清（冲）洗保洁一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4.招标范围内全部道路实行按等级要求时间清扫保洁。具体详见招标范围道路清扫保洁面积情况表。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保洁时间要求：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每天12小时保洁路段的保洁时间为：上午5：00－11：00；下午14：00－20：00。</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每天8小时保洁路段的保洁时间为：上午5：00－9：00；下午14：00－18：00。</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每天上午普扫必须在上午7:30时前完成，下午普扫必须在下午上班前完成。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上述保洁时间根据季节不同、具体情况由</w:t>
      </w:r>
      <w:r>
        <w:rPr>
          <w:rFonts w:hint="eastAsia" w:ascii="宋体" w:hAnsi="宋体"/>
          <w:bCs/>
          <w:color w:val="auto"/>
          <w:sz w:val="24"/>
          <w:highlight w:val="none"/>
        </w:rPr>
        <w:t>采购人</w:t>
      </w:r>
      <w:r>
        <w:rPr>
          <w:rFonts w:hint="eastAsia" w:ascii="宋体" w:hAnsi="宋体"/>
          <w:color w:val="auto"/>
          <w:sz w:val="24"/>
          <w:highlight w:val="none"/>
        </w:rPr>
        <w:t>进行适当调整。</w:t>
      </w:r>
    </w:p>
    <w:p>
      <w:pPr>
        <w:pStyle w:val="20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日道路保洁8小时以上的应采取多班制，同一作业人员不得连班作业。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w:t>
      </w:r>
      <w:r>
        <w:rPr>
          <w:rFonts w:hint="eastAsia" w:ascii="宋体" w:hAnsi="宋体" w:cs="宋体"/>
          <w:color w:val="auto"/>
          <w:kern w:val="0"/>
          <w:sz w:val="24"/>
          <w:highlight w:val="none"/>
        </w:rPr>
        <w:t>道路作业严格遵照作业标准执行，</w:t>
      </w:r>
      <w:r>
        <w:rPr>
          <w:rFonts w:hint="eastAsia" w:ascii="宋体" w:hAnsi="宋体"/>
          <w:color w:val="auto"/>
          <w:sz w:val="24"/>
          <w:highlight w:val="none"/>
        </w:rPr>
        <w:t>在规定清扫保洁时间内，路面必须保证作业质量，做到“五无”“五净”。“五无”即无果皮纸屑、无土石杂草、无积水积泥、无痰迹烟蒂、无堆积物；“五净”即路面净、道路绿地树圈干净、边角侧石干净、窨井盖沟槽畅通干净、果壳箱垃圾桶、太阳能广告箱等环卫设施整齐干净。</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6.清扫垃圾采用专门车辆现场收集，不得焚烧垃圾、树叶，树枝落叶旺季必须及时清扫干净。</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7.除对道路的清扫保洁外，中标企业还需对路段范围内</w:t>
      </w:r>
      <w:r>
        <w:rPr>
          <w:rFonts w:hint="eastAsia" w:ascii="宋体" w:hAnsi="宋体"/>
          <w:color w:val="auto"/>
          <w:sz w:val="24"/>
          <w:highlight w:val="none"/>
        </w:rPr>
        <w:t>采购人设置的果壳箱、太阳能广告箱、塑料垃圾桶、指定的垃圾箱（池）、垃圾池（地坑）等进行清洗保洁，以及垃圾收集清运；市政范围移动垃圾桶的垃圾直接运送至缙云县生活垃圾填埋场，严禁保洁人员将清扫的</w:t>
      </w:r>
      <w:r>
        <w:rPr>
          <w:rFonts w:hint="eastAsia" w:ascii="宋体" w:hAnsi="宋体"/>
          <w:bCs/>
          <w:color w:val="auto"/>
          <w:sz w:val="24"/>
          <w:highlight w:val="none"/>
        </w:rPr>
        <w:t>垃圾倒入沿街垃圾桶、果壳箱以及垃圾池（桶）内等其它不允许倾倒垃圾的地方。</w:t>
      </w:r>
    </w:p>
    <w:p>
      <w:pPr>
        <w:pStyle w:val="202"/>
        <w:spacing w:before="0"/>
        <w:ind w:firstLine="480"/>
        <w:rPr>
          <w:rFonts w:ascii="宋体" w:hAnsi="宋体"/>
          <w:bCs/>
          <w:color w:val="auto"/>
          <w:szCs w:val="24"/>
          <w:highlight w:val="none"/>
        </w:rPr>
      </w:pPr>
      <w:r>
        <w:rPr>
          <w:rFonts w:hint="eastAsia" w:ascii="宋体" w:hAnsi="宋体"/>
          <w:color w:val="auto"/>
          <w:szCs w:val="24"/>
          <w:highlight w:val="none"/>
        </w:rPr>
        <w:t>8.</w:t>
      </w:r>
      <w:r>
        <w:rPr>
          <w:rFonts w:hint="eastAsia" w:ascii="宋体" w:hAnsi="宋体"/>
          <w:color w:val="auto"/>
          <w:kern w:val="0"/>
          <w:szCs w:val="24"/>
          <w:highlight w:val="none"/>
        </w:rPr>
        <w:t>为了保证清扫保洁质量，中标企业在合同期内人员及设备的配置必须达到</w:t>
      </w:r>
      <w:r>
        <w:rPr>
          <w:rFonts w:hint="eastAsia" w:ascii="宋体" w:hAnsi="宋体"/>
          <w:bCs/>
          <w:color w:val="auto"/>
          <w:kern w:val="0"/>
          <w:szCs w:val="24"/>
          <w:highlight w:val="none"/>
        </w:rPr>
        <w:t>采购人的要求；</w:t>
      </w:r>
      <w:r>
        <w:rPr>
          <w:rFonts w:hint="eastAsia" w:ascii="宋体" w:hAnsi="宋体"/>
          <w:bCs/>
          <w:color w:val="auto"/>
          <w:szCs w:val="24"/>
          <w:highlight w:val="none"/>
        </w:rPr>
        <w:t>中标企业承包期运行管理中，按路段内具体情况必须配备一定数量的电动收集车（飞行保洁人员）、管理用车等，费用自行承担。</w:t>
      </w:r>
    </w:p>
    <w:p>
      <w:pPr>
        <w:pStyle w:val="202"/>
        <w:spacing w:before="0"/>
        <w:ind w:firstLine="480"/>
        <w:rPr>
          <w:rFonts w:hint="eastAsia" w:ascii="宋体" w:hAnsi="宋体" w:eastAsia="宋体" w:cs="宋体"/>
          <w:bCs/>
          <w:color w:val="auto"/>
          <w:kern w:val="0"/>
          <w:szCs w:val="24"/>
          <w:highlight w:val="none"/>
          <w:lang w:eastAsia="zh-CN"/>
        </w:rPr>
      </w:pPr>
      <w:r>
        <w:rPr>
          <w:rFonts w:hint="eastAsia" w:ascii="宋体" w:hAnsi="宋体"/>
          <w:bCs/>
          <w:color w:val="auto"/>
          <w:szCs w:val="24"/>
          <w:highlight w:val="none"/>
        </w:rPr>
        <w:t>9.</w:t>
      </w:r>
      <w:r>
        <w:rPr>
          <w:rFonts w:hint="eastAsia" w:ascii="宋体" w:hAnsi="宋体" w:cs="宋体"/>
          <w:bCs/>
          <w:color w:val="auto"/>
          <w:kern w:val="0"/>
          <w:szCs w:val="24"/>
          <w:highlight w:val="none"/>
        </w:rPr>
        <w:t>主次干道路清扫采用机械化作业与人工作业相结合方式，快车道必须实行机械化作业。二类道路每日洒水不少于2次，机扫不少于1次；四类道路每日洒水不少于1次，机扫每两日不少于1次。卫生保洁二类道路（包括人行道）每月组织不少于2次清（冲）洗，四类道路（包括人行道）每月组织不少于1次清（冲）洗，道路发生污染时，中标企业应立即组织冲洗；道路交通护栏、隔离墩每周组织不少于1次清洗，并保持随脏随洗，水费由中标单位自行负责</w:t>
      </w:r>
      <w:r>
        <w:rPr>
          <w:rFonts w:hint="eastAsia" w:ascii="宋体" w:hAnsi="宋体" w:cs="宋体"/>
          <w:bCs/>
          <w:color w:val="auto"/>
          <w:kern w:val="0"/>
          <w:szCs w:val="24"/>
          <w:highlight w:val="none"/>
          <w:lang w:eastAsia="zh-CN"/>
        </w:rPr>
        <w:t>，洒水车等设备必须在</w:t>
      </w:r>
      <w:r>
        <w:rPr>
          <w:rFonts w:hint="eastAsia" w:ascii="宋体" w:hAnsi="宋体"/>
          <w:bCs/>
          <w:color w:val="auto"/>
          <w:szCs w:val="24"/>
          <w:highlight w:val="none"/>
        </w:rPr>
        <w:t>采购人指定地点</w:t>
      </w:r>
      <w:r>
        <w:rPr>
          <w:rFonts w:hint="eastAsia" w:ascii="宋体" w:hAnsi="宋体" w:cs="宋体"/>
          <w:bCs/>
          <w:color w:val="auto"/>
          <w:kern w:val="0"/>
          <w:szCs w:val="24"/>
          <w:highlight w:val="none"/>
          <w:lang w:eastAsia="zh-CN"/>
        </w:rPr>
        <w:t>加水</w:t>
      </w:r>
      <w:r>
        <w:rPr>
          <w:rFonts w:hint="eastAsia" w:ascii="宋体" w:hAnsi="宋体"/>
          <w:bCs/>
          <w:color w:val="auto"/>
          <w:szCs w:val="24"/>
          <w:highlight w:val="none"/>
          <w:lang w:eastAsia="zh-CN"/>
        </w:rPr>
        <w:t>。</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bCs/>
          <w:color w:val="auto"/>
          <w:sz w:val="24"/>
          <w:highlight w:val="none"/>
        </w:rPr>
        <w:t>10.</w:t>
      </w:r>
      <w:r>
        <w:rPr>
          <w:rFonts w:hint="eastAsia" w:ascii="宋体" w:hAnsi="宋体" w:cs="宋体"/>
          <w:bCs/>
          <w:color w:val="auto"/>
          <w:kern w:val="0"/>
          <w:sz w:val="24"/>
          <w:szCs w:val="24"/>
          <w:highlight w:val="none"/>
        </w:rPr>
        <w:t>道路机扫作业由中标企业负责。至少配备扫地车1台，扫地车作业时间由中标企业上报作业方案，作业方案要科学合理安排，经采购人审核通过。上午：5：00时—11：00时，下午11：00时—17：00时（以上作业时间根据季节不同，具体情况由采购人进行适当调整）。机扫作业时速不得高于每小时10公里。</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⑵服务内容</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1.</w:t>
      </w:r>
      <w:r>
        <w:rPr>
          <w:rFonts w:hint="eastAsia" w:ascii="宋体" w:hAnsi="宋体" w:cs="宋体"/>
          <w:color w:val="auto"/>
          <w:sz w:val="24"/>
          <w:highlight w:val="none"/>
        </w:rPr>
        <w:t>按《新碧街道办事处环境卫生作业服务质量标准》、《新碧街道办事处环境卫生保洁和管理考核办法》、《新碧街道办事处小区环境卫生作业规范》、《新碧街道办事处小区环卫保洁和管理考核办法》、《新碧街道办事处小区环境卫生保洁分类管理考核评分标准》、《新碧街道办事处垃圾清运考核评分标准》、《新碧街道办事处垃圾清运管理考核办法》、《新碧街道办事处公共厕所管理考核办法》、《新碧街道办事处公厕保洁管理考核评分标准》中明确的相关要求执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做好所有城市主次道路、人行道、台阶、边沟、边坡、绿化带、沿街绿地、花坛、广场、公交车站等公共场所清扫保洁，做好市政道路交通设施、隔离墩、公共坐椅、雕塑等公共设施的清洗保洁并保持干净，路面无漂浮物、杂草、废土、烟头等废弃物。果壳箱、太阳能广告箱、垃圾桶（箱、池）、分类垃圾房（亭）清扫（洗）保洁、垃圾中转站清扫清洗保洁等</w:t>
      </w:r>
    </w:p>
    <w:p>
      <w:pPr>
        <w:pStyle w:val="202"/>
        <w:spacing w:before="0"/>
        <w:ind w:firstLine="480"/>
        <w:rPr>
          <w:rFonts w:ascii="宋体" w:hAnsi="宋体" w:cs="宋体"/>
          <w:color w:val="auto"/>
          <w:kern w:val="0"/>
          <w:szCs w:val="24"/>
          <w:highlight w:val="none"/>
        </w:rPr>
      </w:pPr>
      <w:r>
        <w:rPr>
          <w:rFonts w:hint="eastAsia" w:ascii="宋体" w:hAnsi="宋体"/>
          <w:color w:val="auto"/>
          <w:szCs w:val="24"/>
          <w:highlight w:val="none"/>
        </w:rPr>
        <w:t>3.</w:t>
      </w:r>
      <w:r>
        <w:rPr>
          <w:rFonts w:hint="eastAsia" w:ascii="宋体" w:hAnsi="宋体" w:cs="宋体"/>
          <w:color w:val="auto"/>
          <w:kern w:val="0"/>
          <w:szCs w:val="24"/>
          <w:highlight w:val="none"/>
        </w:rPr>
        <w:t>道路清扫、保洁必须作业到两边建筑物基石，道路岔道、喇叭口清扫向外延伸10米，主街道与小区交界处延伸30米为主要道路保洁。</w:t>
      </w:r>
    </w:p>
    <w:p>
      <w:pPr>
        <w:pStyle w:val="20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4.招标范围内店面门口垃圾要安排专人收集，</w:t>
      </w:r>
      <w:r>
        <w:rPr>
          <w:rFonts w:hint="eastAsia" w:ascii="宋体" w:hAnsi="宋体"/>
          <w:color w:val="auto"/>
          <w:szCs w:val="24"/>
          <w:highlight w:val="none"/>
        </w:rPr>
        <w:t>飞行保洁人员不得少于4人。</w:t>
      </w:r>
    </w:p>
    <w:p>
      <w:pPr>
        <w:pStyle w:val="202"/>
        <w:spacing w:before="0"/>
        <w:ind w:firstLine="480"/>
        <w:rPr>
          <w:rFonts w:ascii="宋体" w:hAnsi="宋体"/>
          <w:bCs/>
          <w:color w:val="auto"/>
          <w:szCs w:val="24"/>
          <w:highlight w:val="none"/>
        </w:rPr>
      </w:pPr>
      <w:r>
        <w:rPr>
          <w:rFonts w:hint="eastAsia" w:ascii="宋体" w:hAnsi="宋体"/>
          <w:color w:val="auto"/>
          <w:kern w:val="0"/>
          <w:highlight w:val="none"/>
        </w:rPr>
        <w:t>5</w:t>
      </w:r>
      <w:r>
        <w:rPr>
          <w:rFonts w:hint="eastAsia" w:ascii="宋体" w:hAnsi="宋体"/>
          <w:color w:val="auto"/>
          <w:szCs w:val="24"/>
          <w:highlight w:val="none"/>
        </w:rPr>
        <w:t>.沿街道路两侧店家生活垃圾（包括沿街垃圾桶、果壳箱、</w:t>
      </w:r>
      <w:r>
        <w:rPr>
          <w:rFonts w:hint="eastAsia" w:ascii="宋体" w:hAnsi="宋体"/>
          <w:color w:val="auto"/>
          <w:highlight w:val="none"/>
        </w:rPr>
        <w:t>太阳能广告箱</w:t>
      </w:r>
      <w:r>
        <w:rPr>
          <w:rFonts w:hint="eastAsia" w:ascii="宋体" w:hAnsi="宋体"/>
          <w:color w:val="auto"/>
          <w:szCs w:val="24"/>
          <w:highlight w:val="none"/>
        </w:rPr>
        <w:t>）必须做到即满即清，同时保持道路果壳箱的完好和整洁，果壳箱、</w:t>
      </w:r>
      <w:r>
        <w:rPr>
          <w:rFonts w:hint="eastAsia" w:ascii="宋体" w:hAnsi="宋体"/>
          <w:color w:val="auto"/>
          <w:highlight w:val="none"/>
        </w:rPr>
        <w:t>太阳能广告箱</w:t>
      </w:r>
      <w:r>
        <w:rPr>
          <w:rFonts w:hint="eastAsia" w:ascii="宋体" w:hAnsi="宋体"/>
          <w:color w:val="auto"/>
          <w:szCs w:val="24"/>
          <w:highlight w:val="none"/>
        </w:rPr>
        <w:t>垃圾日产日清，无积压，无堆积、无明显污迹，外观无残标、不腐烂发臭；垃圾桶、果壳箱、垃圾房等垃圾容器必须保持干净整洁，每天不少于一次擦洗，做到随脏随洗；病媒消杀冬季每周不少于一次，夏季</w:t>
      </w:r>
      <w:r>
        <w:rPr>
          <w:rFonts w:hint="eastAsia" w:ascii="宋体" w:hAnsi="宋体"/>
          <w:color w:val="auto"/>
          <w:highlight w:val="none"/>
        </w:rPr>
        <w:t>垃圾池（地坑）</w:t>
      </w:r>
      <w:r>
        <w:rPr>
          <w:rFonts w:hint="eastAsia" w:ascii="宋体" w:hAnsi="宋体"/>
          <w:color w:val="auto"/>
          <w:szCs w:val="24"/>
          <w:highlight w:val="none"/>
        </w:rPr>
        <w:t>、</w:t>
      </w:r>
      <w:r>
        <w:rPr>
          <w:rFonts w:hint="eastAsia" w:ascii="宋体" w:hAnsi="宋体" w:cs="宋体"/>
          <w:color w:val="auto"/>
          <w:kern w:val="0"/>
          <w:highlight w:val="none"/>
        </w:rPr>
        <w:t>果壳箱、</w:t>
      </w:r>
      <w:r>
        <w:rPr>
          <w:rFonts w:hint="eastAsia" w:ascii="宋体" w:hAnsi="宋体"/>
          <w:color w:val="auto"/>
          <w:highlight w:val="none"/>
        </w:rPr>
        <w:t>太阳能广告箱、</w:t>
      </w:r>
      <w:r>
        <w:rPr>
          <w:rFonts w:hint="eastAsia" w:ascii="宋体" w:hAnsi="宋体" w:cs="宋体"/>
          <w:color w:val="auto"/>
          <w:kern w:val="0"/>
          <w:highlight w:val="none"/>
        </w:rPr>
        <w:t>垃圾桶（箱、池）、分类垃圾房（亭）等</w:t>
      </w:r>
      <w:r>
        <w:rPr>
          <w:rFonts w:hint="eastAsia" w:ascii="宋体" w:hAnsi="宋体"/>
          <w:color w:val="auto"/>
          <w:szCs w:val="24"/>
          <w:highlight w:val="none"/>
        </w:rPr>
        <w:t>病媒消杀每天至少一次。发现有火源的情况，保洁人员要及时扑灭火源，对不能自主修复的果壳箱等环卫设施应及时上报</w:t>
      </w:r>
      <w:r>
        <w:rPr>
          <w:rFonts w:hint="eastAsia" w:ascii="宋体" w:hAnsi="宋体"/>
          <w:bCs/>
          <w:color w:val="auto"/>
          <w:szCs w:val="24"/>
          <w:highlight w:val="none"/>
        </w:rPr>
        <w:t>采购人。</w:t>
      </w:r>
    </w:p>
    <w:p>
      <w:pPr>
        <w:pStyle w:val="202"/>
        <w:spacing w:before="0"/>
        <w:ind w:firstLine="480"/>
        <w:rPr>
          <w:rFonts w:ascii="宋体" w:hAnsi="宋体"/>
          <w:bCs/>
          <w:color w:val="auto"/>
          <w:szCs w:val="24"/>
          <w:highlight w:val="none"/>
        </w:rPr>
      </w:pPr>
      <w:r>
        <w:rPr>
          <w:rFonts w:hint="eastAsia" w:ascii="宋体" w:hAnsi="宋体"/>
          <w:bCs/>
          <w:color w:val="auto"/>
          <w:szCs w:val="24"/>
          <w:highlight w:val="none"/>
        </w:rPr>
        <w:t>6.每个点位垃圾桶须每天拉到采购人指定地点冲洗干净，并每天进行更换干净垃圾桶</w:t>
      </w:r>
      <w:r>
        <w:rPr>
          <w:rFonts w:hint="eastAsia" w:ascii="宋体" w:hAnsi="宋体"/>
          <w:bCs/>
          <w:color w:val="auto"/>
          <w:szCs w:val="24"/>
          <w:highlight w:val="none"/>
          <w:lang w:eastAsia="zh-CN"/>
        </w:rPr>
        <w:t>，</w:t>
      </w:r>
      <w:r>
        <w:rPr>
          <w:rFonts w:hint="eastAsia" w:ascii="宋体" w:hAnsi="宋体" w:cs="宋体"/>
          <w:bCs/>
          <w:color w:val="auto"/>
          <w:kern w:val="0"/>
          <w:szCs w:val="24"/>
          <w:highlight w:val="none"/>
        </w:rPr>
        <w:t>水费由中标单位自行负责</w:t>
      </w:r>
      <w:r>
        <w:rPr>
          <w:rFonts w:hint="eastAsia" w:ascii="宋体" w:hAnsi="宋体"/>
          <w:bCs/>
          <w:color w:val="auto"/>
          <w:szCs w:val="24"/>
          <w:highlight w:val="none"/>
        </w:rPr>
        <w:t>。</w:t>
      </w:r>
    </w:p>
    <w:p>
      <w:pPr>
        <w:pStyle w:val="202"/>
        <w:spacing w:before="0"/>
        <w:ind w:firstLine="480"/>
        <w:rPr>
          <w:rFonts w:ascii="宋体" w:hAnsi="宋体" w:cs="宋体"/>
          <w:bCs/>
          <w:color w:val="auto"/>
          <w:kern w:val="0"/>
          <w:szCs w:val="24"/>
          <w:highlight w:val="none"/>
        </w:rPr>
      </w:pPr>
      <w:r>
        <w:rPr>
          <w:rFonts w:hint="eastAsia" w:ascii="宋体" w:hAnsi="宋体" w:cs="宋体"/>
          <w:bCs/>
          <w:color w:val="auto"/>
          <w:kern w:val="0"/>
          <w:szCs w:val="24"/>
          <w:highlight w:val="none"/>
        </w:rPr>
        <w:t>7.机动、非机动作业车不得停放在消防栓、公交车站旁，停放离人行道侧石不超过20厘米。</w:t>
      </w:r>
    </w:p>
    <w:p>
      <w:pPr>
        <w:pStyle w:val="202"/>
        <w:spacing w:before="0"/>
        <w:ind w:firstLine="480"/>
        <w:rPr>
          <w:rFonts w:ascii="宋体" w:hAnsi="宋体" w:cs="宋体"/>
          <w:bCs/>
          <w:color w:val="auto"/>
          <w:kern w:val="0"/>
          <w:szCs w:val="24"/>
          <w:highlight w:val="none"/>
        </w:rPr>
      </w:pPr>
      <w:r>
        <w:rPr>
          <w:rFonts w:hint="eastAsia" w:ascii="宋体" w:hAnsi="宋体"/>
          <w:bCs/>
          <w:color w:val="auto"/>
          <w:szCs w:val="24"/>
          <w:highlight w:val="none"/>
        </w:rPr>
        <w:t>8.</w:t>
      </w:r>
      <w:r>
        <w:rPr>
          <w:rFonts w:hint="eastAsia" w:ascii="宋体" w:hAnsi="宋体" w:cs="宋体"/>
          <w:bCs/>
          <w:color w:val="auto"/>
          <w:kern w:val="0"/>
          <w:szCs w:val="24"/>
          <w:highlight w:val="none"/>
        </w:rPr>
        <w:t>道路两侧目测范围内（人行道外边沿10米内）废土、建筑垃圾等其他垃圾，应及时发现并清除（量比较大时，应及时上报，经核实量后及时作业）。</w:t>
      </w:r>
    </w:p>
    <w:p>
      <w:pPr>
        <w:pStyle w:val="202"/>
        <w:spacing w:before="0"/>
        <w:ind w:firstLine="480"/>
        <w:rPr>
          <w:rFonts w:ascii="宋体" w:hAnsi="宋体" w:cs="宋体"/>
          <w:color w:val="auto"/>
          <w:kern w:val="0"/>
          <w:szCs w:val="24"/>
          <w:highlight w:val="none"/>
        </w:rPr>
      </w:pPr>
      <w:r>
        <w:rPr>
          <w:rFonts w:hint="eastAsia" w:ascii="宋体" w:hAnsi="宋体"/>
          <w:bCs/>
          <w:color w:val="auto"/>
          <w:szCs w:val="24"/>
          <w:highlight w:val="none"/>
        </w:rPr>
        <w:t>9.</w:t>
      </w:r>
      <w:r>
        <w:rPr>
          <w:rFonts w:hint="eastAsia" w:ascii="宋体" w:hAnsi="宋体" w:cs="宋体"/>
          <w:bCs/>
          <w:color w:val="auto"/>
          <w:kern w:val="0"/>
          <w:szCs w:val="24"/>
          <w:highlight w:val="none"/>
        </w:rPr>
        <w:t>遇有重大活动、节假日、抗台、抗雨雪冰冻等突发事件（自然灾害），要有详细的应急预案，同时必须无条件及时组织力量做好清扫保洁等保障工作，服从采购人的统</w:t>
      </w:r>
      <w:r>
        <w:rPr>
          <w:rFonts w:hint="eastAsia" w:ascii="宋体" w:hAnsi="宋体" w:cs="宋体"/>
          <w:color w:val="auto"/>
          <w:kern w:val="0"/>
          <w:szCs w:val="24"/>
          <w:highlight w:val="none"/>
        </w:rPr>
        <w:t>一指挥。</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10.中标企业应负责做好本标项作业范围内的长效管理抄告单、“数字城管”抄告单和群众信访、投诉处理件的处理、整改和回复工作。</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加强管理，确保在国家、省、市的各项检查中不失责任分。</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⑶服务技术要求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s="宋体"/>
          <w:color w:val="auto"/>
          <w:sz w:val="24"/>
          <w:highlight w:val="none"/>
        </w:rPr>
        <w:t>按《新碧街道办事处环境卫生作业服务质量标准》、《新碧街道办事处环境卫生保洁和管理考核办法》、《新碧街道办事处小区环境卫生作业规范》、《新碧街道办事处小区环卫保洁和管理考核办法》、《新碧街道办事处小区环境卫生保洁分类管理考核评分标准》、《新碧街道办事处垃圾清运考核评分标准》、《新碧街道办事处垃圾清运管理考核办法》、《新碧街道办事处公共厕所管理考核办法》、《新碧街道办事处公厕保洁管理考核评分标准》中明确的相关要求执行。</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sz w:val="24"/>
          <w:highlight w:val="none"/>
        </w:rPr>
        <w:t>2.</w:t>
      </w:r>
      <w:r>
        <w:rPr>
          <w:rFonts w:hint="eastAsia" w:ascii="宋体" w:hAnsi="宋体"/>
          <w:color w:val="auto"/>
          <w:sz w:val="24"/>
          <w:highlight w:val="none"/>
          <w:lang w:val="zh-CN"/>
        </w:rPr>
        <w:t>应做到文明、清洁、安全和有序，最大限度地减少对环境的污染和对公众生活的影响。</w:t>
      </w:r>
      <w:r>
        <w:rPr>
          <w:rFonts w:hint="eastAsia" w:ascii="宋体" w:hAnsi="宋体" w:cs="宋体"/>
          <w:color w:val="auto"/>
          <w:kern w:val="0"/>
          <w:sz w:val="24"/>
          <w:highlight w:val="none"/>
          <w:lang w:val="zh-CN"/>
        </w:rPr>
        <w:t>中标企业应</w:t>
      </w:r>
      <w:r>
        <w:rPr>
          <w:rFonts w:hint="eastAsia" w:ascii="宋体" w:hAnsi="宋体"/>
          <w:color w:val="auto"/>
          <w:kern w:val="0"/>
          <w:sz w:val="24"/>
          <w:highlight w:val="none"/>
          <w:lang w:val="zh-CN"/>
        </w:rPr>
        <w:t>建立健全安全生产管理制度和落实安全生产责任人，</w:t>
      </w:r>
      <w:r>
        <w:rPr>
          <w:rFonts w:hint="eastAsia" w:ascii="宋体" w:hAnsi="宋体" w:cs="宋体"/>
          <w:color w:val="auto"/>
          <w:kern w:val="0"/>
          <w:sz w:val="24"/>
          <w:highlight w:val="none"/>
        </w:rPr>
        <w:t>中标企业应加强作业质量管理，</w:t>
      </w:r>
      <w:r>
        <w:rPr>
          <w:rFonts w:hint="eastAsia" w:ascii="宋体" w:hAnsi="宋体"/>
          <w:color w:val="auto"/>
          <w:kern w:val="0"/>
          <w:sz w:val="24"/>
          <w:highlight w:val="none"/>
          <w:lang w:val="zh-CN"/>
        </w:rPr>
        <w:t>并有完整的作业和检查记录，</w:t>
      </w:r>
      <w:r>
        <w:rPr>
          <w:rFonts w:hint="eastAsia" w:ascii="宋体" w:hAnsi="宋体" w:cs="宋体"/>
          <w:color w:val="auto"/>
          <w:kern w:val="0"/>
          <w:sz w:val="24"/>
          <w:highlight w:val="none"/>
        </w:rPr>
        <w:t>作业交接班必须在作业现场进行。</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3．公司制定保洁方案、人员方案（方案中应有明确的机动人员）、确保各地段人员分配合理，保洁人员数量、健康状况及年龄达到要求。</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4.制定相关的工作应急预案（如：重大活动、迎检、突发事件、防汛防台、防暑降温、节假日、降雪防冻等）。</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rPr>
        <w:t xml:space="preserve">5. </w:t>
      </w:r>
      <w:r>
        <w:rPr>
          <w:rFonts w:hint="eastAsia" w:ascii="宋体" w:hAnsi="宋体" w:cs="宋体"/>
          <w:color w:val="auto"/>
          <w:kern w:val="0"/>
          <w:sz w:val="24"/>
          <w:highlight w:val="none"/>
          <w:lang w:val="zh-CN"/>
        </w:rPr>
        <w:t>保洁员（清扫人员、清运人员、清捞人员、清洗人员、公厕保洁员等）作业时必须穿有反光条的工作服（清捞人员还须穿救生衣）并做好相关劳动安全防护，并保持着装干净、整洁。其他环卫作业人员和管理人员也必须按规定统一着装和佩证。</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sz w:val="24"/>
          <w:highlight w:val="none"/>
        </w:rPr>
        <w:t>6．</w:t>
      </w:r>
      <w:r>
        <w:rPr>
          <w:rFonts w:hint="eastAsia" w:ascii="宋体" w:hAnsi="宋体"/>
          <w:color w:val="auto"/>
          <w:kern w:val="0"/>
          <w:sz w:val="24"/>
          <w:highlight w:val="none"/>
          <w:lang w:val="zh-CN"/>
        </w:rPr>
        <w:t>保洁员要根据本路段的人、车流情况，合理安排作业时间和方式，作业时，必须注意安全，严格遵守交通规则，以免发生意外。道路大面积污染需要集中清扫或清洗时，需得到相关部门的配合，距清扫点来往方向近100米设置警示牌。</w:t>
      </w:r>
    </w:p>
    <w:p>
      <w:pPr>
        <w:pStyle w:val="202"/>
        <w:spacing w:before="0"/>
        <w:ind w:firstLine="480"/>
        <w:rPr>
          <w:rFonts w:ascii="宋体" w:hAnsi="宋体" w:cs="宋体"/>
          <w:color w:val="auto"/>
          <w:kern w:val="0"/>
          <w:szCs w:val="24"/>
          <w:highlight w:val="none"/>
        </w:rPr>
      </w:pPr>
      <w:r>
        <w:rPr>
          <w:rFonts w:hint="eastAsia" w:ascii="宋体" w:hAnsi="宋体"/>
          <w:color w:val="auto"/>
          <w:szCs w:val="24"/>
          <w:highlight w:val="none"/>
        </w:rPr>
        <w:t>7.</w:t>
      </w:r>
      <w:r>
        <w:rPr>
          <w:rFonts w:hint="eastAsia" w:ascii="宋体" w:hAnsi="宋体" w:cs="宋体"/>
          <w:color w:val="auto"/>
          <w:kern w:val="0"/>
          <w:szCs w:val="24"/>
          <w:highlight w:val="none"/>
        </w:rPr>
        <w:t>规范管理，文明作业，自觉接受</w:t>
      </w:r>
      <w:r>
        <w:rPr>
          <w:rFonts w:hint="eastAsia" w:ascii="宋体" w:hAnsi="宋体" w:cs="宋体"/>
          <w:bCs/>
          <w:color w:val="auto"/>
          <w:kern w:val="0"/>
          <w:szCs w:val="24"/>
          <w:highlight w:val="none"/>
        </w:rPr>
        <w:t>采购人</w:t>
      </w:r>
      <w:r>
        <w:rPr>
          <w:rFonts w:hint="eastAsia" w:ascii="宋体" w:hAnsi="宋体" w:cs="宋体"/>
          <w:color w:val="auto"/>
          <w:kern w:val="0"/>
          <w:szCs w:val="24"/>
          <w:highlight w:val="none"/>
        </w:rPr>
        <w:t>及上级各部门领导的检查和社会监督，对出现的问题要及时整改。</w:t>
      </w:r>
    </w:p>
    <w:p>
      <w:pPr>
        <w:pStyle w:val="202"/>
        <w:spacing w:before="0"/>
        <w:ind w:firstLine="480"/>
        <w:rPr>
          <w:rFonts w:ascii="宋体" w:hAnsi="宋体" w:cs="宋体"/>
          <w:color w:val="auto"/>
          <w:kern w:val="0"/>
          <w:szCs w:val="24"/>
          <w:highlight w:val="none"/>
        </w:rPr>
      </w:pPr>
      <w:r>
        <w:rPr>
          <w:rFonts w:hint="eastAsia" w:ascii="宋体" w:hAnsi="宋体"/>
          <w:color w:val="auto"/>
          <w:szCs w:val="24"/>
          <w:highlight w:val="none"/>
        </w:rPr>
        <w:t>8.</w:t>
      </w:r>
      <w:r>
        <w:rPr>
          <w:rFonts w:hint="eastAsia" w:ascii="宋体" w:hAnsi="宋体" w:cs="宋体"/>
          <w:color w:val="auto"/>
          <w:kern w:val="0"/>
          <w:szCs w:val="24"/>
          <w:highlight w:val="none"/>
        </w:rPr>
        <w:t>作业时应严格遵守劳动纪律，遵守安全操作规程，确保安全，发生各种意外事故由中标企业自行依照法律法规妥善处理。</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sz w:val="24"/>
          <w:highlight w:val="none"/>
        </w:rPr>
        <w:t>9．</w:t>
      </w:r>
      <w:r>
        <w:rPr>
          <w:rFonts w:hint="eastAsia" w:ascii="宋体" w:hAnsi="宋体"/>
          <w:color w:val="auto"/>
          <w:kern w:val="0"/>
          <w:sz w:val="24"/>
          <w:highlight w:val="none"/>
          <w:lang w:val="zh-CN"/>
        </w:rPr>
        <w:t>环卫各类车辆出车前必须进行检查，确保车况良好方可进行环卫作业。各类</w:t>
      </w:r>
      <w:r>
        <w:rPr>
          <w:rFonts w:hint="eastAsia" w:ascii="宋体" w:hAnsi="宋体"/>
          <w:color w:val="auto"/>
          <w:sz w:val="24"/>
          <w:highlight w:val="none"/>
        </w:rPr>
        <w:t>车辆作业结束后必</w:t>
      </w:r>
      <w:r>
        <w:rPr>
          <w:rFonts w:hint="eastAsia" w:ascii="宋体" w:hAnsi="宋体"/>
          <w:color w:val="auto"/>
          <w:kern w:val="0"/>
          <w:sz w:val="24"/>
          <w:highlight w:val="none"/>
          <w:lang w:val="zh-CN"/>
        </w:rPr>
        <w:t>须安全存放。</w:t>
      </w:r>
    </w:p>
    <w:p>
      <w:pPr>
        <w:adjustRightInd w:val="0"/>
        <w:snapToGrid w:val="0"/>
        <w:spacing w:line="360" w:lineRule="auto"/>
        <w:ind w:firstLine="480" w:firstLineChars="200"/>
        <w:rPr>
          <w:rFonts w:ascii="宋体" w:hAnsi="宋体"/>
          <w:color w:val="auto"/>
          <w:kern w:val="0"/>
          <w:sz w:val="24"/>
          <w:highlight w:val="none"/>
          <w:lang w:val="zh-CN"/>
        </w:rPr>
      </w:pPr>
      <w:r>
        <w:rPr>
          <w:rFonts w:hint="eastAsia" w:ascii="宋体" w:hAnsi="宋体"/>
          <w:color w:val="auto"/>
          <w:kern w:val="0"/>
          <w:sz w:val="24"/>
          <w:highlight w:val="none"/>
          <w:lang w:val="zh-CN"/>
        </w:rPr>
        <w:t>10．雇佣的环卫工人必须符合《中华人民共和国劳动法》和社保的相关法律法规要求。</w:t>
      </w:r>
    </w:p>
    <w:p>
      <w:pPr>
        <w:adjustRightInd w:val="0"/>
        <w:snapToGrid w:val="0"/>
        <w:spacing w:line="360" w:lineRule="auto"/>
        <w:ind w:firstLine="480" w:firstLineChars="200"/>
        <w:rPr>
          <w:rFonts w:ascii="宋体" w:hAnsi="宋体"/>
          <w:color w:val="auto"/>
          <w:sz w:val="24"/>
          <w:highlight w:val="none"/>
          <w:lang w:val="zh-CN"/>
        </w:rPr>
      </w:pPr>
      <w:r>
        <w:rPr>
          <w:rFonts w:hint="eastAsia" w:ascii="宋体" w:hAnsi="宋体"/>
          <w:color w:val="auto"/>
          <w:kern w:val="0"/>
          <w:sz w:val="24"/>
          <w:highlight w:val="none"/>
          <w:lang w:val="zh-CN"/>
        </w:rPr>
        <w:t>11．环卫作业过程中，发现火源、路面污染等</w:t>
      </w:r>
      <w:r>
        <w:rPr>
          <w:rFonts w:hint="eastAsia" w:ascii="宋体" w:hAnsi="宋体"/>
          <w:color w:val="auto"/>
          <w:sz w:val="24"/>
          <w:highlight w:val="none"/>
          <w:lang w:val="zh-CN"/>
        </w:rPr>
        <w:t>应马上向管理部门汇报, 并立即组织清理</w:t>
      </w:r>
      <w:r>
        <w:rPr>
          <w:rFonts w:hint="eastAsia" w:ascii="宋体" w:hAnsi="宋体"/>
          <w:color w:val="auto"/>
          <w:kern w:val="0"/>
          <w:sz w:val="24"/>
          <w:highlight w:val="none"/>
          <w:lang w:val="zh-CN"/>
        </w:rPr>
        <w:t>。</w:t>
      </w:r>
      <w:r>
        <w:rPr>
          <w:rFonts w:hint="eastAsia" w:ascii="宋体" w:hAnsi="宋体"/>
          <w:color w:val="auto"/>
          <w:sz w:val="24"/>
          <w:highlight w:val="none"/>
          <w:lang w:val="zh-CN"/>
        </w:rPr>
        <w:t>发现有人随地乱扔垃圾，应及时进行劝阻。</w:t>
      </w:r>
    </w:p>
    <w:p>
      <w:pPr>
        <w:adjustRightInd w:val="0"/>
        <w:snapToGrid w:val="0"/>
        <w:spacing w:line="360" w:lineRule="auto"/>
        <w:ind w:firstLine="480" w:firstLineChars="200"/>
        <w:rPr>
          <w:rFonts w:ascii="宋体" w:hAnsi="宋体"/>
          <w:color w:val="auto"/>
          <w:sz w:val="24"/>
          <w:highlight w:val="none"/>
          <w:lang w:val="zh-CN"/>
        </w:rPr>
      </w:pPr>
      <w:r>
        <w:rPr>
          <w:rFonts w:hint="eastAsia" w:ascii="宋体" w:hAnsi="宋体" w:cs="宋体"/>
          <w:color w:val="auto"/>
          <w:kern w:val="0"/>
          <w:sz w:val="24"/>
          <w:highlight w:val="none"/>
          <w:lang w:val="zh-CN"/>
        </w:rPr>
        <w:t>12．中标企业对所属公司的环卫工人必须每月不少于1次的安全生产、职业道德及</w:t>
      </w:r>
      <w:r>
        <w:rPr>
          <w:rFonts w:hint="eastAsia" w:ascii="宋体" w:hAnsi="宋体"/>
          <w:color w:val="auto"/>
          <w:sz w:val="24"/>
          <w:highlight w:val="none"/>
          <w:lang w:val="zh-CN"/>
        </w:rPr>
        <w:t>业务培训。新招人员必须进行岗前培训，方可上岗。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w:t>
      </w:r>
      <w:r>
        <w:rPr>
          <w:rFonts w:hint="eastAsia" w:ascii="宋体" w:hAnsi="宋体" w:cs="宋体"/>
          <w:color w:val="auto"/>
          <w:kern w:val="0"/>
          <w:sz w:val="24"/>
          <w:highlight w:val="none"/>
        </w:rPr>
        <w:t>中标企业不得向沿街单位和个人收取任何费用。</w:t>
      </w:r>
    </w:p>
    <w:p>
      <w:pPr>
        <w:pStyle w:val="202"/>
        <w:spacing w:before="0"/>
        <w:ind w:firstLine="480"/>
        <w:rPr>
          <w:rFonts w:ascii="宋体" w:hAnsi="宋体" w:cs="宋体"/>
          <w:bCs/>
          <w:color w:val="auto"/>
          <w:kern w:val="0"/>
          <w:szCs w:val="24"/>
          <w:highlight w:val="none"/>
        </w:rPr>
      </w:pPr>
      <w:r>
        <w:rPr>
          <w:rFonts w:hint="eastAsia" w:ascii="宋体" w:hAnsi="宋体"/>
          <w:color w:val="auto"/>
          <w:szCs w:val="24"/>
          <w:highlight w:val="none"/>
        </w:rPr>
        <w:t>14.</w:t>
      </w:r>
      <w:r>
        <w:rPr>
          <w:rFonts w:hint="eastAsia" w:ascii="宋体" w:hAnsi="宋体" w:cs="宋体"/>
          <w:color w:val="auto"/>
          <w:kern w:val="0"/>
          <w:szCs w:val="24"/>
          <w:highlight w:val="none"/>
        </w:rPr>
        <w:t>保持果壳箱的整洁完好，合同期间由于作业操作不善，造成破损的，由中标企业负责赔偿，因其它原因破损要调换的应及时向</w:t>
      </w:r>
      <w:r>
        <w:rPr>
          <w:rFonts w:hint="eastAsia" w:ascii="宋体" w:hAnsi="宋体" w:cs="宋体"/>
          <w:bCs/>
          <w:color w:val="auto"/>
          <w:kern w:val="0"/>
          <w:szCs w:val="24"/>
          <w:highlight w:val="none"/>
        </w:rPr>
        <w:t>采购人报告。</w:t>
      </w:r>
    </w:p>
    <w:p>
      <w:pPr>
        <w:pStyle w:val="202"/>
        <w:spacing w:before="0"/>
        <w:ind w:firstLine="480"/>
        <w:rPr>
          <w:rFonts w:ascii="宋体" w:hAnsi="宋体" w:cs="宋体"/>
          <w:bCs/>
          <w:color w:val="auto"/>
          <w:kern w:val="0"/>
          <w:szCs w:val="24"/>
          <w:highlight w:val="none"/>
        </w:rPr>
      </w:pPr>
      <w:r>
        <w:rPr>
          <w:rFonts w:hint="eastAsia" w:ascii="宋体" w:hAnsi="宋体" w:cs="宋体"/>
          <w:bCs/>
          <w:color w:val="auto"/>
          <w:kern w:val="0"/>
          <w:szCs w:val="24"/>
          <w:highlight w:val="none"/>
        </w:rPr>
        <w:t>15.保持好租赁车辆的完好，租赁期间车辆凡发生损坏及事故的，由中标企业负责处理相关维修及赔偿事宜。</w:t>
      </w:r>
    </w:p>
    <w:p>
      <w:pPr>
        <w:pStyle w:val="202"/>
        <w:spacing w:before="0"/>
        <w:ind w:firstLine="480"/>
        <w:rPr>
          <w:rFonts w:ascii="宋体" w:hAnsi="宋体" w:cs="宋体"/>
          <w:bCs/>
          <w:color w:val="auto"/>
          <w:kern w:val="0"/>
          <w:szCs w:val="24"/>
          <w:highlight w:val="none"/>
        </w:rPr>
      </w:pPr>
      <w:r>
        <w:rPr>
          <w:rFonts w:hint="eastAsia" w:ascii="宋体" w:hAnsi="宋体" w:cs="宋体"/>
          <w:bCs/>
          <w:color w:val="auto"/>
          <w:kern w:val="0"/>
          <w:szCs w:val="24"/>
          <w:highlight w:val="none"/>
        </w:rPr>
        <w:t>16.</w:t>
      </w:r>
      <w:r>
        <w:rPr>
          <w:rFonts w:hint="eastAsia" w:ascii="宋体" w:hAnsi="宋体"/>
          <w:bCs/>
          <w:color w:val="auto"/>
          <w:kern w:val="0"/>
          <w:szCs w:val="24"/>
          <w:highlight w:val="none"/>
          <w:lang w:val="zh-CN"/>
        </w:rPr>
        <w:t>环卫作业各类工具摆放整齐，</w:t>
      </w:r>
      <w:r>
        <w:rPr>
          <w:rFonts w:hint="eastAsia" w:ascii="宋体" w:hAnsi="宋体" w:cs="宋体"/>
          <w:bCs/>
          <w:color w:val="auto"/>
          <w:kern w:val="0"/>
          <w:szCs w:val="24"/>
          <w:highlight w:val="none"/>
        </w:rPr>
        <w:t>作业时作业车辆应停放适当地点，</w:t>
      </w:r>
      <w:r>
        <w:rPr>
          <w:rFonts w:hint="eastAsia" w:ascii="宋体" w:hAnsi="宋体"/>
          <w:bCs/>
          <w:color w:val="auto"/>
          <w:kern w:val="0"/>
          <w:szCs w:val="24"/>
          <w:highlight w:val="none"/>
          <w:lang w:val="zh-CN"/>
        </w:rPr>
        <w:t>不得影响交通和存在安全隐患，</w:t>
      </w:r>
      <w:r>
        <w:rPr>
          <w:rFonts w:hint="eastAsia" w:ascii="宋体" w:hAnsi="宋体" w:cs="宋体"/>
          <w:bCs/>
          <w:color w:val="auto"/>
          <w:kern w:val="0"/>
          <w:szCs w:val="24"/>
          <w:highlight w:val="none"/>
        </w:rPr>
        <w:t>收工后存放在指定的停车场所进行集中管理。</w:t>
      </w:r>
    </w:p>
    <w:p>
      <w:pPr>
        <w:pStyle w:val="202"/>
        <w:spacing w:before="0"/>
        <w:ind w:firstLine="480"/>
        <w:rPr>
          <w:rFonts w:ascii="宋体" w:hAnsi="宋体" w:cs="宋体"/>
          <w:bCs/>
          <w:color w:val="auto"/>
          <w:kern w:val="0"/>
          <w:szCs w:val="24"/>
          <w:highlight w:val="none"/>
        </w:rPr>
      </w:pPr>
      <w:r>
        <w:rPr>
          <w:rFonts w:hint="eastAsia" w:ascii="宋体" w:hAnsi="宋体" w:cs="宋体"/>
          <w:bCs/>
          <w:color w:val="auto"/>
          <w:kern w:val="0"/>
          <w:szCs w:val="24"/>
          <w:highlight w:val="none"/>
        </w:rPr>
        <w:t>17.遇到乱丢、乱扔垃圾、渣土抛洒污染路面等不文明行为应及时进行劝阻，并进行市容环卫法规的宣传教育，做到说话文明，以理服人，对不听劝阻造成不良影响的，应及时向采购人或有关部门报告。</w:t>
      </w:r>
    </w:p>
    <w:p>
      <w:pPr>
        <w:pStyle w:val="202"/>
        <w:spacing w:before="0"/>
        <w:ind w:firstLine="480"/>
        <w:rPr>
          <w:rFonts w:ascii="宋体" w:hAnsi="宋体" w:cs="宋体"/>
          <w:color w:val="auto"/>
          <w:kern w:val="0"/>
          <w:szCs w:val="24"/>
          <w:highlight w:val="none"/>
        </w:rPr>
      </w:pPr>
      <w:r>
        <w:rPr>
          <w:rFonts w:hint="eastAsia" w:ascii="宋体" w:hAnsi="宋体" w:cs="宋体"/>
          <w:bCs/>
          <w:color w:val="auto"/>
          <w:kern w:val="0"/>
          <w:szCs w:val="24"/>
          <w:highlight w:val="none"/>
        </w:rPr>
        <w:t>18.每月25-26日（如遇节假日顺延）中标企业向采购人提交本</w:t>
      </w:r>
      <w:r>
        <w:rPr>
          <w:rFonts w:hint="eastAsia" w:ascii="宋体" w:hAnsi="宋体" w:cs="宋体"/>
          <w:color w:val="auto"/>
          <w:kern w:val="0"/>
          <w:szCs w:val="24"/>
          <w:highlight w:val="none"/>
        </w:rPr>
        <w:t>月工作情况自查表、有关情况书面报告和下月作业安排计划。</w:t>
      </w:r>
    </w:p>
    <w:p>
      <w:pPr>
        <w:pStyle w:val="20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19.中标企业按照以人为本的原则关心职工，严格遵守有关劳动法规，保障员工合法权益。</w:t>
      </w:r>
    </w:p>
    <w:p>
      <w:pPr>
        <w:autoSpaceDE w:val="0"/>
        <w:autoSpaceDN w:val="0"/>
        <w:adjustRightInd w:val="0"/>
        <w:spacing w:line="360" w:lineRule="auto"/>
        <w:ind w:firstLine="480" w:firstLineChars="200"/>
        <w:jc w:val="left"/>
        <w:rPr>
          <w:rFonts w:ascii="宋体" w:hAnsi="宋体"/>
          <w:color w:val="auto"/>
          <w:sz w:val="24"/>
          <w:highlight w:val="none"/>
          <w:lang w:val="zh-CN"/>
        </w:rPr>
      </w:pPr>
      <w:r>
        <w:rPr>
          <w:rFonts w:hint="eastAsia" w:ascii="宋体" w:hAnsi="宋体"/>
          <w:color w:val="auto"/>
          <w:kern w:val="0"/>
          <w:sz w:val="24"/>
          <w:highlight w:val="none"/>
          <w:lang w:val="zh-CN"/>
        </w:rPr>
        <w:t>20.严格遵守交通规则，环卫作业车辆尽量避开交通高峰时段作业。扫地车</w:t>
      </w:r>
      <w:r>
        <w:rPr>
          <w:rFonts w:hint="eastAsia" w:ascii="宋体" w:hAnsi="宋体"/>
          <w:color w:val="auto"/>
          <w:sz w:val="24"/>
          <w:highlight w:val="none"/>
        </w:rPr>
        <w:t>车尾应有反光标志（或加贴反光膜），作业时须亮警示灯。</w:t>
      </w:r>
      <w:r>
        <w:rPr>
          <w:rFonts w:hint="eastAsia" w:ascii="宋体" w:hAnsi="宋体"/>
          <w:color w:val="auto"/>
          <w:sz w:val="24"/>
          <w:highlight w:val="none"/>
          <w:lang w:val="zh-CN"/>
        </w:rPr>
        <w:t>夜间作业时</w:t>
      </w:r>
      <w:r>
        <w:rPr>
          <w:rFonts w:hint="eastAsia" w:ascii="宋体" w:hAnsi="宋体"/>
          <w:color w:val="auto"/>
          <w:kern w:val="0"/>
          <w:sz w:val="24"/>
          <w:highlight w:val="none"/>
          <w:lang w:val="zh-CN"/>
        </w:rPr>
        <w:t>还须开启示宽灯，</w:t>
      </w:r>
      <w:r>
        <w:rPr>
          <w:rFonts w:hint="eastAsia" w:ascii="宋体" w:hAnsi="宋体"/>
          <w:color w:val="auto"/>
          <w:sz w:val="24"/>
          <w:highlight w:val="none"/>
          <w:lang w:val="zh-CN"/>
        </w:rPr>
        <w:t>降低或关闭提示音乐。</w:t>
      </w:r>
    </w:p>
    <w:p>
      <w:pPr>
        <w:pStyle w:val="202"/>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21.环卫作业车辆必须紧靠路边停放，不影响其它车辆、行人通行。</w:t>
      </w:r>
    </w:p>
    <w:p>
      <w:pPr>
        <w:spacing w:line="360" w:lineRule="auto"/>
        <w:ind w:firstLine="482" w:firstLineChars="200"/>
        <w:rPr>
          <w:rFonts w:ascii="宋体" w:hAnsi="宋体" w:cs="宋体"/>
          <w:b/>
          <w:color w:val="auto"/>
          <w:sz w:val="24"/>
          <w:highlight w:val="none"/>
        </w:rPr>
      </w:pPr>
      <w:r>
        <w:rPr>
          <w:rFonts w:hint="eastAsia" w:ascii="宋体" w:hAnsi="宋体"/>
          <w:b/>
          <w:color w:val="auto"/>
          <w:sz w:val="24"/>
          <w:highlight w:val="none"/>
        </w:rPr>
        <w:t>(二)</w:t>
      </w:r>
      <w:r>
        <w:rPr>
          <w:rFonts w:hint="eastAsia" w:ascii="宋体" w:hAnsi="宋体" w:cs="宋体"/>
          <w:b/>
          <w:color w:val="auto"/>
          <w:sz w:val="24"/>
          <w:highlight w:val="none"/>
        </w:rPr>
        <w:t>公厕保洁：</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⑴服务内容</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1、做好所有公厕、环卫浴室屋顶、墙壁、门窗、窗台、地面蹲台、便器、隔断板门、洗手（盆）池、墩布池、挂衣钩、标牌、灯具、通道扶手等设施设备清洗保洁，无乱写乱画、尿碱污物、积尘、积水、积垢、蜘蛛网等。</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2、做好所有公厕、环卫浴室周边绿化带及卫生责任区的卫生保洁。</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3、所有公厕、环卫浴室（含管理间、工具间等公厕配套设施）保持整洁有序；保持公厕通道畅通，保持公厕内部采光、照明、通风；遵守公厕用水、用电管理制度。</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4、做好公厕垃圾容器规范配置，及时清理、收集和处置产生的垃圾。</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5、做好所有公厕、环卫浴室病媒生物消杀、清洁除臭工作，每天至少一次病媒生物消杀（毒）。</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6、做好标段内保洁方案、安全生产、清洗、病媒消杀等资料台账的收集、整理、上报工作。</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7、做好重大活动、各项检查及突发应急事件时的卫生保障工作。</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8、做好作业范围的数字城管案件抄告单、群众信访、投诉处理件的处理、整改和回复工作。</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9.定期做好化粪池粪渣清理及粪水清运工作。</w:t>
      </w:r>
    </w:p>
    <w:p>
      <w:pPr>
        <w:spacing w:line="360" w:lineRule="auto"/>
        <w:ind w:firstLine="360" w:firstLineChars="150"/>
        <w:jc w:val="left"/>
        <w:rPr>
          <w:rFonts w:ascii="宋体" w:hAnsi="宋体" w:cs="宋体"/>
          <w:color w:val="auto"/>
          <w:kern w:val="0"/>
          <w:sz w:val="24"/>
          <w:highlight w:val="none"/>
        </w:rPr>
      </w:pPr>
      <w:r>
        <w:rPr>
          <w:rFonts w:hint="eastAsia" w:ascii="宋体" w:hAnsi="宋体" w:cs="宋体"/>
          <w:color w:val="auto"/>
          <w:kern w:val="0"/>
          <w:sz w:val="24"/>
          <w:highlight w:val="none"/>
        </w:rPr>
        <w:t>10.公厕水电费用由采购人承担，设施维护、保养等由中标企业承担。</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⑵服务技术要求</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1、卫生保洁要求和标准：</w:t>
      </w:r>
    </w:p>
    <w:p>
      <w:pPr>
        <w:spacing w:line="360" w:lineRule="auto"/>
        <w:ind w:firstLine="360" w:firstLineChars="150"/>
        <w:rPr>
          <w:rFonts w:ascii="宋体" w:hAnsi="宋体" w:cs="宋体"/>
          <w:color w:val="auto"/>
          <w:sz w:val="24"/>
          <w:highlight w:val="none"/>
        </w:rPr>
      </w:pPr>
      <w:r>
        <w:rPr>
          <w:rFonts w:hint="eastAsia" w:ascii="宋体" w:hAnsi="宋体" w:cs="宋体"/>
          <w:color w:val="auto"/>
          <w:kern w:val="0"/>
          <w:sz w:val="24"/>
          <w:highlight w:val="none"/>
        </w:rPr>
        <w:t>①、公厕保洁时间： 公厕上午6:00—11:00，下午 12:00—17:00，晚上 18:00—20:00（以上作业时间根据季节不同，具体情况由</w:t>
      </w:r>
      <w:r>
        <w:rPr>
          <w:rFonts w:hint="eastAsia" w:ascii="宋体" w:hAnsi="宋体" w:cs="宋体"/>
          <w:bCs/>
          <w:color w:val="auto"/>
          <w:kern w:val="0"/>
          <w:sz w:val="24"/>
          <w:highlight w:val="none"/>
        </w:rPr>
        <w:t>采购人</w:t>
      </w:r>
      <w:r>
        <w:rPr>
          <w:rFonts w:hint="eastAsia" w:ascii="宋体" w:hAnsi="宋体" w:cs="宋体"/>
          <w:color w:val="auto"/>
          <w:kern w:val="0"/>
          <w:sz w:val="24"/>
          <w:highlight w:val="none"/>
        </w:rPr>
        <w:t>进行适当调整），严格按照规</w:t>
      </w:r>
      <w:r>
        <w:rPr>
          <w:rFonts w:hint="eastAsia" w:ascii="宋体" w:hAnsi="宋体" w:cs="宋体"/>
          <w:color w:val="auto"/>
          <w:sz w:val="24"/>
          <w:highlight w:val="none"/>
        </w:rPr>
        <w:t>定时间对外开放，实行随脏随保；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②、每两座公厕至少配备一名经过培训的公厕保洁员专门负责日常管理保洁，保洁制度健全完善。</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③、公厕内部采光、照明、通风，周边卫生责任区环境干净整洁；</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④、屋顶墙壁、门窗、地面蹲台、便器、隔断板门、管理间、洗手（盆）池、墩布池、挂衣钩、标牌、灯具等设施设备清洁卫生，无积尿、积水、尿垢、杂物；</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⑤、公厕整洁有序，无乱写乱画、无蚊蝇、无臭味、无尿碱污物、无乱堆物品、无暴露的保洁工具；</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⑥、残疾人专用坐便器、扶手等洁净卫生，无障碍通道畅通。</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⑦、蚊蝇孳生季节应定时喷洒灭蚊蝇药物，有防蝇、防蚊和防臭措施，确保无蚊蝇、无臭味。发生重大的卫生事件期间做到每天消毒。</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公厕的卫生保洁控制指标应符合现行《城市环境卫生质量标准》的有关规定，见下表：公厕内卫生保洁质量控制指标</w:t>
      </w:r>
    </w:p>
    <w:tbl>
      <w:tblPr>
        <w:tblStyle w:val="54"/>
        <w:tblW w:w="96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1841"/>
        <w:gridCol w:w="2461"/>
        <w:gridCol w:w="2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  目</w:t>
            </w:r>
          </w:p>
        </w:tc>
        <w:tc>
          <w:tcPr>
            <w:tcW w:w="1841"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一类公厕</w:t>
            </w:r>
          </w:p>
        </w:tc>
        <w:tc>
          <w:tcPr>
            <w:tcW w:w="2461"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二类公厕</w:t>
            </w:r>
          </w:p>
        </w:tc>
        <w:tc>
          <w:tcPr>
            <w:tcW w:w="2922" w:type="dxa"/>
            <w:tcBorders>
              <w:top w:val="single" w:color="auto" w:sz="8"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三类公厕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纸片（块）</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烟蒂（个）</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粪迹（处）</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痰迹（处）</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窗格积灰</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臭味（级）</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≤0</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水厕，≤1</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非水厕，≤3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2432"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苍蝇（只）</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922"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水厕，≤3</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非水厕，≤5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432" w:type="dxa"/>
            <w:tcBorders>
              <w:top w:val="single" w:color="auto" w:sz="4" w:space="0"/>
              <w:left w:val="single" w:color="auto" w:sz="8" w:space="0"/>
              <w:bottom w:val="single" w:color="auto" w:sz="8"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蛛  网</w:t>
            </w:r>
          </w:p>
        </w:tc>
        <w:tc>
          <w:tcPr>
            <w:tcW w:w="1841" w:type="dxa"/>
            <w:tcBorders>
              <w:top w:val="single" w:color="auto" w:sz="4" w:space="0"/>
              <w:left w:val="single" w:color="auto" w:sz="4" w:space="0"/>
              <w:bottom w:val="single" w:color="auto" w:sz="8"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无</w:t>
            </w:r>
          </w:p>
        </w:tc>
        <w:tc>
          <w:tcPr>
            <w:tcW w:w="2461" w:type="dxa"/>
            <w:tcBorders>
              <w:top w:val="single" w:color="auto" w:sz="4" w:space="0"/>
              <w:left w:val="single" w:color="auto" w:sz="4" w:space="0"/>
              <w:bottom w:val="single" w:color="auto" w:sz="8"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c>
          <w:tcPr>
            <w:tcW w:w="2922" w:type="dxa"/>
            <w:tcBorders>
              <w:top w:val="single" w:color="auto" w:sz="4" w:space="0"/>
              <w:left w:val="single" w:color="auto" w:sz="4" w:space="0"/>
              <w:bottom w:val="single" w:color="auto" w:sz="8" w:space="0"/>
              <w:right w:val="single" w:color="auto" w:sz="8"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w:t>
            </w:r>
          </w:p>
        </w:tc>
      </w:tr>
    </w:tbl>
    <w:p>
      <w:pPr>
        <w:pStyle w:val="44"/>
        <w:shd w:val="clear" w:color="auto" w:fill="FFFFFF"/>
        <w:spacing w:before="0" w:beforeAutospacing="0" w:after="0" w:afterAutospacing="0" w:line="360" w:lineRule="auto"/>
        <w:rPr>
          <w:color w:val="auto"/>
          <w:kern w:val="2"/>
          <w:highlight w:val="none"/>
        </w:rPr>
      </w:pPr>
      <w:r>
        <w:rPr>
          <w:rFonts w:hint="eastAsia"/>
          <w:color w:val="auto"/>
          <w:kern w:val="2"/>
          <w:highlight w:val="none"/>
        </w:rPr>
        <w:t>2、管理要求</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①、</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按时发放公厕</w:t>
      </w:r>
      <w:r>
        <w:rPr>
          <w:rFonts w:hint="eastAsia" w:ascii="宋体" w:hAnsi="宋体"/>
          <w:color w:val="auto"/>
          <w:kern w:val="0"/>
          <w:sz w:val="24"/>
          <w:highlight w:val="none"/>
        </w:rPr>
        <w:t>保洁</w:t>
      </w:r>
      <w:r>
        <w:rPr>
          <w:rFonts w:hint="eastAsia" w:ascii="宋体" w:hAnsi="宋体" w:cs="宋体"/>
          <w:color w:val="auto"/>
          <w:kern w:val="0"/>
          <w:sz w:val="24"/>
          <w:highlight w:val="none"/>
        </w:rPr>
        <w:t>人员工资，并根据规定做好社会统筹保险缴纳工作和其它法律法规以及合同要求履行的义务。</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②、</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积极主动完成和落实合同及相关规定的义务。并积极配合考核检查；未按要求整改或整改不到位的，加倍扣分。</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③、</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要定期组织人员进行作业规范和安全生产培训，避免重大安全事故发生。</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④、</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做好节日和重大活动及自然灾害的预案和预防工作，切实完善突发事件的应急处置方案，提高重大活动保障能力和水平。</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⑤、</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应将当月工作自查表、下月工作安排计划以及各类数据在次月第一工作日报送至环卫部门。</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⑥、建立健全各类相关台账，保障各类创建不失分。</w:t>
      </w:r>
    </w:p>
    <w:p>
      <w:pPr>
        <w:pStyle w:val="44"/>
        <w:shd w:val="clear" w:color="auto" w:fill="FFFFFF"/>
        <w:spacing w:before="0" w:beforeAutospacing="0" w:after="0" w:afterAutospacing="0" w:line="360" w:lineRule="auto"/>
        <w:ind w:firstLine="361" w:firstLineChars="150"/>
        <w:rPr>
          <w:b/>
          <w:color w:val="auto"/>
          <w:kern w:val="2"/>
          <w:highlight w:val="none"/>
        </w:rPr>
      </w:pPr>
      <w:r>
        <w:rPr>
          <w:rFonts w:hint="eastAsia" w:cs="宋体"/>
          <w:b/>
          <w:color w:val="auto"/>
          <w:highlight w:val="none"/>
        </w:rPr>
        <w:t>（三）</w:t>
      </w:r>
      <w:r>
        <w:rPr>
          <w:rFonts w:hint="eastAsia"/>
          <w:b/>
          <w:color w:val="auto"/>
          <w:kern w:val="2"/>
          <w:highlight w:val="none"/>
        </w:rPr>
        <w:t>垃圾清运服务要求与质量标准：</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⑴服务要求：</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1、雇佣的职工必须符合《中华人民共和国劳动法》和社保的相关法律法规要求。</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2、应做到文明、清洁、安全和有序，最大限度地减少对环境的污染和对公众生活的影响。</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3、规范管理，文明作业，自觉接受环卫部门及上级各部门领导的检查和社会监督，</w:t>
      </w:r>
      <w:r>
        <w:rPr>
          <w:rFonts w:hint="eastAsia" w:ascii="宋体" w:hAnsi="宋体" w:cs="宋体"/>
          <w:color w:val="auto"/>
          <w:sz w:val="24"/>
          <w:highlight w:val="none"/>
        </w:rPr>
        <w:t>对出现的问题要及时整改。</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4、垃圾清运单位应建立健全安全生产管理制度和落实安全生产责任人，并有完整的作业和检查记录。</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5、加强作业质量管理，做好作业质量自查记录，作业交接班必须在作业现场进行。</w:t>
      </w:r>
    </w:p>
    <w:p>
      <w:pPr>
        <w:autoSpaceDE w:val="0"/>
        <w:autoSpaceDN w:val="0"/>
        <w:adjustRightInd w:val="0"/>
        <w:snapToGrid w:val="0"/>
        <w:spacing w:line="360" w:lineRule="auto"/>
        <w:ind w:firstLine="458" w:firstLineChars="191"/>
        <w:textAlignment w:val="bottom"/>
        <w:rPr>
          <w:rFonts w:ascii="宋体" w:hAnsi="宋体" w:cs="宋体"/>
          <w:color w:val="auto"/>
          <w:kern w:val="0"/>
          <w:sz w:val="24"/>
          <w:highlight w:val="none"/>
        </w:rPr>
      </w:pPr>
      <w:r>
        <w:rPr>
          <w:rFonts w:hint="eastAsia" w:ascii="宋体" w:hAnsi="宋体" w:cs="宋体"/>
          <w:color w:val="auto"/>
          <w:sz w:val="24"/>
          <w:highlight w:val="none"/>
        </w:rPr>
        <w:t>6、作业时应严格遵守劳动纪律，遵守安全操作规程，确保安全，发生各种意外事</w:t>
      </w:r>
      <w:r>
        <w:rPr>
          <w:rFonts w:hint="eastAsia" w:ascii="宋体" w:hAnsi="宋体" w:cs="宋体"/>
          <w:color w:val="auto"/>
          <w:kern w:val="0"/>
          <w:sz w:val="24"/>
          <w:highlight w:val="none"/>
        </w:rPr>
        <w:t>故由</w:t>
      </w:r>
      <w:r>
        <w:rPr>
          <w:rFonts w:hint="eastAsia" w:ascii="宋体" w:hAnsi="宋体" w:cs="宋体"/>
          <w:color w:val="auto"/>
          <w:kern w:val="0"/>
          <w:sz w:val="24"/>
          <w:highlight w:val="none"/>
          <w:lang w:val="zh-CN"/>
        </w:rPr>
        <w:t>中标企业</w:t>
      </w:r>
      <w:r>
        <w:rPr>
          <w:rFonts w:hint="eastAsia" w:ascii="宋体" w:hAnsi="宋体" w:cs="宋体"/>
          <w:color w:val="auto"/>
          <w:kern w:val="0"/>
          <w:sz w:val="24"/>
          <w:highlight w:val="none"/>
        </w:rPr>
        <w:t>自行依照法律法规妥善处理。</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7、职工（驾驶员、清扫人员、清运人员、清洗人员）作业时必须穿有反光条的工作服及做好相关劳动安全防护，并保持着装干净、整洁。其他职工也必须按规定统一着装和佩证。</w:t>
      </w:r>
    </w:p>
    <w:p>
      <w:pPr>
        <w:autoSpaceDE w:val="0"/>
        <w:autoSpaceDN w:val="0"/>
        <w:adjustRightInd w:val="0"/>
        <w:snapToGrid w:val="0"/>
        <w:spacing w:line="360" w:lineRule="auto"/>
        <w:ind w:firstLine="458" w:firstLineChars="191"/>
        <w:textAlignment w:val="bottom"/>
        <w:rPr>
          <w:rFonts w:ascii="宋体" w:hAnsi="宋体" w:cs="宋体"/>
          <w:color w:val="auto"/>
          <w:kern w:val="0"/>
          <w:sz w:val="24"/>
          <w:highlight w:val="none"/>
        </w:rPr>
      </w:pPr>
      <w:r>
        <w:rPr>
          <w:rFonts w:hint="eastAsia" w:ascii="宋体" w:hAnsi="宋体" w:cs="宋体"/>
          <w:color w:val="auto"/>
          <w:sz w:val="24"/>
          <w:highlight w:val="none"/>
        </w:rPr>
        <w:t>8、遇到乱丢、乱倒垃圾、渣土抛洒无人路面等不文明行为应及时进行劝阻，并进行市容环卫法规的宣传教育，做到说话文明，以理服人，对不听劝阻造成不良影响的，</w:t>
      </w:r>
      <w:r>
        <w:rPr>
          <w:rFonts w:hint="eastAsia" w:ascii="宋体" w:hAnsi="宋体" w:cs="宋体"/>
          <w:color w:val="auto"/>
          <w:kern w:val="0"/>
          <w:sz w:val="24"/>
          <w:highlight w:val="none"/>
        </w:rPr>
        <w:t>应及时向环卫部门或有关部门报告。</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9、职工要根据本路段的人、车流情况，合理安排作业时间和方式，作业时，须注意安全，严格遵守交通规则，以免发生意外。</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10、清扫、清运、收集的垃圾应统一运至指定的垃圾中转站处理。</w:t>
      </w:r>
      <w:r>
        <w:rPr>
          <w:rFonts w:hint="eastAsia" w:ascii="宋体" w:hAnsi="宋体"/>
          <w:color w:val="auto"/>
          <w:sz w:val="24"/>
          <w:highlight w:val="none"/>
        </w:rPr>
        <w:t>市政范围移动垃圾桶的垃圾直接运送至缙云县生活垃圾填埋场；</w:t>
      </w:r>
      <w:r>
        <w:rPr>
          <w:rFonts w:hint="eastAsia" w:ascii="宋体" w:hAnsi="宋体" w:cs="宋体"/>
          <w:color w:val="auto"/>
          <w:sz w:val="24"/>
          <w:highlight w:val="none"/>
        </w:rPr>
        <w:t>农村生活垃圾及时清运至采购人指定的垃圾中转站处理，保证垃圾不满出垃圾池。</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11、垃圾清运过程中，发现火源、路面污染应马上向管理部门汇报，并立即组织清理；发现有人随地乱扔垃圾，应及时进行劝阻。</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12、环卫各类车辆出车前必须进行检查，确保车况良好方可进项垃圾清运；作业时，必须停放适当地点，不影响其他车、行人通行；作业结束后须安全存放。</w:t>
      </w:r>
    </w:p>
    <w:p>
      <w:pPr>
        <w:pStyle w:val="6"/>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13、</w:t>
      </w:r>
      <w:r>
        <w:rPr>
          <w:rFonts w:hint="eastAsia" w:ascii="宋体" w:hAnsi="宋体" w:cs="宋体"/>
          <w:color w:val="auto"/>
          <w:spacing w:val="-2"/>
          <w:sz w:val="24"/>
          <w:highlight w:val="none"/>
        </w:rPr>
        <w:t>所有</w:t>
      </w:r>
      <w:r>
        <w:rPr>
          <w:rFonts w:hint="eastAsia" w:ascii="宋体" w:hAnsi="宋体" w:cs="宋体"/>
          <w:color w:val="auto"/>
          <w:sz w:val="24"/>
          <w:szCs w:val="22"/>
          <w:highlight w:val="none"/>
        </w:rPr>
        <w:t>垃圾池（地坑）</w:t>
      </w:r>
      <w:r>
        <w:rPr>
          <w:rFonts w:hint="eastAsia" w:ascii="宋体" w:hAnsi="宋体" w:cs="宋体"/>
          <w:color w:val="auto"/>
          <w:spacing w:val="-2"/>
          <w:sz w:val="24"/>
          <w:highlight w:val="none"/>
        </w:rPr>
        <w:t>及周边的垃圾必须做到</w:t>
      </w:r>
      <w:r>
        <w:rPr>
          <w:rFonts w:hint="eastAsia" w:ascii="宋体" w:hAnsi="宋体" w:cs="宋体"/>
          <w:color w:val="auto"/>
          <w:sz w:val="24"/>
          <w:szCs w:val="22"/>
          <w:highlight w:val="none"/>
        </w:rPr>
        <w:t>日产日清，对垃圾池（地坑）外的垃圾及时做好收拢工作，且须保证垃圾不能满出垃圾池。</w:t>
      </w:r>
    </w:p>
    <w:p>
      <w:pPr>
        <w:pStyle w:val="6"/>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w:t>
      </w:r>
      <w:r>
        <w:rPr>
          <w:rFonts w:hint="eastAsia" w:ascii="宋体" w:hAnsi="宋体" w:cs="宋体"/>
          <w:color w:val="auto"/>
          <w:sz w:val="24"/>
          <w:szCs w:val="22"/>
          <w:highlight w:val="none"/>
          <w:lang w:val="en-US" w:eastAsia="zh-CN"/>
        </w:rPr>
        <w:t>4</w:t>
      </w:r>
      <w:r>
        <w:rPr>
          <w:rFonts w:hint="eastAsia" w:ascii="宋体" w:hAnsi="宋体" w:cs="宋体"/>
          <w:color w:val="auto"/>
          <w:sz w:val="24"/>
          <w:szCs w:val="22"/>
          <w:highlight w:val="none"/>
        </w:rPr>
        <w:t>、垃圾清运车不得超载，清运过程中垃圾不得掉落地面。</w:t>
      </w:r>
    </w:p>
    <w:p>
      <w:pPr>
        <w:pStyle w:val="6"/>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w:t>
      </w:r>
      <w:r>
        <w:rPr>
          <w:rFonts w:hint="eastAsia" w:ascii="宋体" w:hAnsi="宋体" w:cs="宋体"/>
          <w:color w:val="auto"/>
          <w:sz w:val="24"/>
          <w:szCs w:val="22"/>
          <w:highlight w:val="none"/>
          <w:lang w:val="en-US" w:eastAsia="zh-CN"/>
        </w:rPr>
        <w:t>5</w:t>
      </w:r>
      <w:r>
        <w:rPr>
          <w:rFonts w:hint="eastAsia" w:ascii="宋体" w:hAnsi="宋体" w:cs="宋体"/>
          <w:color w:val="auto"/>
          <w:sz w:val="24"/>
          <w:szCs w:val="22"/>
          <w:highlight w:val="none"/>
        </w:rPr>
        <w:t>、垃圾池外3米范围内须保证干净、整洁。</w:t>
      </w:r>
    </w:p>
    <w:p>
      <w:pPr>
        <w:autoSpaceDE w:val="0"/>
        <w:autoSpaceDN w:val="0"/>
        <w:adjustRightInd w:val="0"/>
        <w:snapToGrid w:val="0"/>
        <w:spacing w:line="360" w:lineRule="auto"/>
        <w:ind w:firstLine="458" w:firstLineChars="191"/>
        <w:textAlignment w:val="bottom"/>
        <w:rPr>
          <w:color w:val="auto"/>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、严格遵守交通规则，垃圾清运车辆尽量避开交通高峰时段作业。</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、垃圾清运各类工具摆放整齐，不得影响交通和存在安全隐患。</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、服务范围内建筑垃圾应及时发现并清除（量比较大时，应及时上报）。</w:t>
      </w:r>
    </w:p>
    <w:p>
      <w:pPr>
        <w:autoSpaceDE w:val="0"/>
        <w:autoSpaceDN w:val="0"/>
        <w:adjustRightInd w:val="0"/>
        <w:snapToGrid w:val="0"/>
        <w:spacing w:line="360" w:lineRule="auto"/>
        <w:ind w:firstLine="458" w:firstLineChars="191"/>
        <w:textAlignment w:val="bottom"/>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19</w:t>
      </w:r>
      <w:r>
        <w:rPr>
          <w:rFonts w:hint="eastAsia" w:ascii="宋体" w:hAnsi="宋体" w:cs="宋体"/>
          <w:color w:val="auto"/>
          <w:kern w:val="0"/>
          <w:sz w:val="24"/>
          <w:highlight w:val="none"/>
        </w:rPr>
        <w:t>、中标企业须积极配合</w:t>
      </w:r>
      <w:r>
        <w:rPr>
          <w:rFonts w:hint="eastAsia" w:ascii="宋体" w:hAnsi="宋体" w:cs="宋体"/>
          <w:bCs/>
          <w:color w:val="auto"/>
          <w:kern w:val="0"/>
          <w:sz w:val="24"/>
          <w:highlight w:val="none"/>
        </w:rPr>
        <w:t>采购人</w:t>
      </w:r>
      <w:r>
        <w:rPr>
          <w:rFonts w:hint="eastAsia" w:ascii="宋体" w:hAnsi="宋体" w:cs="宋体"/>
          <w:color w:val="auto"/>
          <w:kern w:val="0"/>
          <w:sz w:val="24"/>
          <w:highlight w:val="none"/>
        </w:rPr>
        <w:t>垃圾分类工作，并做好分类垃圾的清运。</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如</w:t>
      </w:r>
      <w:r>
        <w:rPr>
          <w:rFonts w:hint="eastAsia" w:ascii="宋体" w:hAnsi="宋体" w:cs="宋体"/>
          <w:color w:val="auto"/>
          <w:kern w:val="0"/>
          <w:sz w:val="24"/>
          <w:highlight w:val="none"/>
        </w:rPr>
        <w:t>遇到</w:t>
      </w:r>
      <w:r>
        <w:rPr>
          <w:rFonts w:hint="eastAsia" w:ascii="宋体" w:hAnsi="宋体" w:cs="宋体"/>
          <w:color w:val="auto"/>
          <w:kern w:val="0"/>
          <w:sz w:val="24"/>
          <w:highlight w:val="none"/>
          <w:lang w:eastAsia="zh-CN"/>
        </w:rPr>
        <w:t>春节前等农村生活垃圾量增多，</w:t>
      </w:r>
      <w:r>
        <w:rPr>
          <w:rFonts w:hint="eastAsia" w:ascii="宋体" w:hAnsi="宋体"/>
          <w:color w:val="auto"/>
          <w:sz w:val="24"/>
          <w:highlight w:val="none"/>
        </w:rPr>
        <w:t>采购人指定的垃圾中转站</w:t>
      </w:r>
      <w:r>
        <w:rPr>
          <w:rFonts w:hint="eastAsia" w:ascii="宋体" w:hAnsi="宋体"/>
          <w:color w:val="auto"/>
          <w:sz w:val="24"/>
          <w:highlight w:val="none"/>
          <w:lang w:eastAsia="zh-CN"/>
        </w:rPr>
        <w:t>来不及压缩的情况，中标企业须直接运送至缙云县生活垃圾填埋场，</w:t>
      </w:r>
      <w:r>
        <w:rPr>
          <w:rFonts w:hint="eastAsia" w:ascii="宋体" w:hAnsi="宋体" w:cs="宋体"/>
          <w:color w:val="auto"/>
          <w:kern w:val="0"/>
          <w:sz w:val="24"/>
          <w:highlight w:val="none"/>
        </w:rPr>
        <w:t>产生的相关费用中标企业自行承担。</w:t>
      </w:r>
    </w:p>
    <w:p>
      <w:pPr>
        <w:autoSpaceDN w:val="0"/>
        <w:spacing w:line="360" w:lineRule="auto"/>
        <w:ind w:firstLine="482" w:firstLineChars="200"/>
        <w:rPr>
          <w:rFonts w:ascii="宋体" w:hAnsi="宋体"/>
          <w:b/>
          <w:color w:val="auto"/>
          <w:kern w:val="0"/>
          <w:sz w:val="24"/>
          <w:highlight w:val="none"/>
        </w:rPr>
      </w:pPr>
      <w:r>
        <w:rPr>
          <w:rFonts w:hint="eastAsia" w:ascii="宋体" w:hAnsi="宋体"/>
          <w:b/>
          <w:color w:val="auto"/>
          <w:kern w:val="0"/>
          <w:sz w:val="24"/>
          <w:highlight w:val="none"/>
        </w:rPr>
        <w:t>⑵、服务技术要求</w:t>
      </w:r>
    </w:p>
    <w:p>
      <w:pPr>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所有的机械车辆在出车作业前，必须要对每辆机械车进行安全性能检查，定期进行维护保养，确保出行绝对安全。</w:t>
      </w:r>
    </w:p>
    <w:p>
      <w:pPr>
        <w:autoSpaceDE w:val="0"/>
        <w:autoSpaceDN w:val="0"/>
        <w:spacing w:line="560" w:lineRule="exact"/>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pacing w:val="-2"/>
          <w:sz w:val="24"/>
          <w:highlight w:val="none"/>
        </w:rPr>
        <w:t xml:space="preserve"> </w:t>
      </w:r>
      <w:r>
        <w:rPr>
          <w:rFonts w:hint="eastAsia" w:ascii="宋体" w:hAnsi="宋体" w:cs="宋体"/>
          <w:color w:val="auto"/>
          <w:kern w:val="0"/>
          <w:sz w:val="24"/>
          <w:highlight w:val="none"/>
        </w:rPr>
        <w:t>按要求做好垃圾清运工作，所有垃圾堆放点及周边的垃圾每日必须做到日产日清、即满即清，运至采购人指定垃圾处理地点。主次干道、重要场所需在早上7：30之前完成清运，其余次重要场所须在上午9时前完成，其他点位垃圾须在下午17时前完成清运。</w:t>
      </w:r>
      <w:r>
        <w:rPr>
          <w:rFonts w:hint="eastAsia" w:ascii="宋体" w:hAnsi="宋体" w:cs="宋体"/>
          <w:color w:val="auto"/>
          <w:spacing w:val="-2"/>
          <w:sz w:val="24"/>
          <w:highlight w:val="none"/>
        </w:rPr>
        <w:t xml:space="preserve">                       </w:t>
      </w:r>
    </w:p>
    <w:p>
      <w:pPr>
        <w:autoSpaceDN w:val="0"/>
        <w:spacing w:line="360" w:lineRule="auto"/>
        <w:ind w:firstLine="472" w:firstLineChars="200"/>
        <w:rPr>
          <w:rFonts w:ascii="宋体" w:hAnsi="宋体" w:cs="宋体"/>
          <w:color w:val="auto"/>
          <w:spacing w:val="-2"/>
          <w:sz w:val="24"/>
          <w:highlight w:val="none"/>
        </w:rPr>
      </w:pPr>
      <w:r>
        <w:rPr>
          <w:rFonts w:hint="eastAsia" w:ascii="宋体" w:hAnsi="宋体" w:cs="宋体"/>
          <w:color w:val="auto"/>
          <w:spacing w:val="-2"/>
          <w:sz w:val="24"/>
          <w:highlight w:val="none"/>
        </w:rPr>
        <w:t>2、主次干道，重要场所，且夜间易满的垃圾桶，需做到将满即运且晚上必须清运一次。</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3、垃圾每次清运完毕后，垃圾池、中转站等周边环境必须打扫干净，做到人走地净。</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4、蚊蝇孳生季节，每天</w:t>
      </w:r>
      <w:r>
        <w:rPr>
          <w:rFonts w:hint="eastAsia" w:ascii="宋体" w:hAnsi="宋体" w:cs="宋体"/>
          <w:bCs/>
          <w:color w:val="auto"/>
          <w:sz w:val="24"/>
          <w:highlight w:val="none"/>
        </w:rPr>
        <w:t>必须</w:t>
      </w:r>
      <w:r>
        <w:rPr>
          <w:rFonts w:hint="eastAsia" w:ascii="宋体" w:hAnsi="宋体" w:cs="宋体"/>
          <w:color w:val="auto"/>
          <w:sz w:val="24"/>
          <w:highlight w:val="none"/>
        </w:rPr>
        <w:t>喷药灭蚊蝇病媒消杀（毒），无恶臭。</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5、垃圾做到日产日清，各个垃圾池（房）、中转站、堆放点等的垃圾不得过夜搁置。</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6、道路两侧视野范围内乱倒建筑垃圾、渣土及积存垃圾及时清除。清扫垃圾及沿街果壳箱内垃圾采用专门车辆收集，就近倒入垃圾中转站，建筑垃圾倒入指定地点，不得随处乱倒和焚烧垃圾。</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7、清运内容包括：日常生活垃圾、建筑装潢垃圾、生活垃圾死角(杂物)和小区内修剪下的少量花草、树枝树叶等。</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8、果壳箱（包括垃圾桶）每日按时清运，无积存垃圾、无垃圾满溢，并巡回检查，发现满溢及时清理；</w:t>
      </w:r>
    </w:p>
    <w:p>
      <w:pPr>
        <w:autoSpaceDN w:val="0"/>
        <w:spacing w:line="360" w:lineRule="auto"/>
        <w:ind w:firstLine="482" w:firstLineChars="200"/>
        <w:rPr>
          <w:rFonts w:ascii="宋体" w:hAnsi="宋体"/>
          <w:b/>
          <w:color w:val="auto"/>
          <w:kern w:val="0"/>
          <w:sz w:val="24"/>
          <w:highlight w:val="none"/>
        </w:rPr>
      </w:pPr>
      <w:r>
        <w:rPr>
          <w:rFonts w:hint="eastAsia" w:ascii="宋体" w:hAnsi="宋体"/>
          <w:b/>
          <w:color w:val="auto"/>
          <w:kern w:val="0"/>
          <w:sz w:val="24"/>
          <w:highlight w:val="none"/>
        </w:rPr>
        <w:t>⑶、服务内容：</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1、按要求落实好垃圾桶清洗及更换，主要工作内容为垃圾桶清洗、入室、加盖和不锈钢棚的清洗、更换脏垃圾桶，以及收集点周边的环境卫生，做到不遗漏，内外整洁、</w:t>
      </w:r>
      <w:r>
        <w:rPr>
          <w:rFonts w:hint="eastAsia" w:ascii="宋体" w:hAnsi="宋体" w:cs="宋体"/>
          <w:color w:val="auto"/>
          <w:sz w:val="24"/>
          <w:highlight w:val="none"/>
        </w:rPr>
        <w:t>无歪斜、无破损、周围地面清洁，无垃圾及污水等。</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2、果壳箱外观和内胆、垃圾桶、垃圾池（房）必须每日清洗擦拭。</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3、作业车辆工具每日出车前必须进行常规安全性能检查，带病车辆不得出车作业，及时发现排除故障，不得带故障运行，满足日常作业要求；所有车辆必须遵守交通法规。</w:t>
      </w:r>
    </w:p>
    <w:p>
      <w:pPr>
        <w:autoSpaceDN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4、所有作业机械（清运）车辆每天作业后必须进行清洗，保持所有的机械车辆车容整洁，标志应清晰、统一编号，性能良好,清运车辆必须密闭运输, 在运输过程中无垃圾扬、撒、拖挂和污水滴漏，车体外无悬挂物。</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5、垃圾装运量应以车辆的额定荷载和有效容积为限，不得超重、超高运输。</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6、装卸垃圾应符合作业要求，不得乱倒、乱卸、乱抛垃圾。</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7、运输作业结束，应将车辆清洗干净。</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8、作业人员工作期间不得无故缺岗、离岗，不得迟到早退，不得消极怠工，不得酒后作业；不得集聚闲聊，不做与作业无关的事。</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9、加强作业车辆的日常管理，确保专车专用，遵守交通规则，文明行驶，安全行驶。</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10、根据采购的要求和自身实际作业标准建立相关台账，车辆做好车辆使用记录。</w:t>
      </w:r>
    </w:p>
    <w:p>
      <w:pPr>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11、根据采购人的安排做好垃圾中转站的日常管理工作，如遇中转站设备、车辆维修，倾倒垃圾工作必须服从中转站工作人员的指挥和安排。</w:t>
      </w:r>
    </w:p>
    <w:p>
      <w:pPr>
        <w:autoSpaceDN w:val="0"/>
        <w:spacing w:line="360" w:lineRule="auto"/>
        <w:ind w:firstLine="482" w:firstLineChars="200"/>
        <w:rPr>
          <w:rFonts w:ascii="宋体" w:hAnsi="宋体"/>
          <w:b/>
          <w:color w:val="auto"/>
          <w:kern w:val="0"/>
          <w:sz w:val="24"/>
          <w:highlight w:val="none"/>
        </w:rPr>
      </w:pPr>
      <w:r>
        <w:rPr>
          <w:rFonts w:hint="eastAsia" w:ascii="宋体" w:hAnsi="宋体"/>
          <w:b/>
          <w:color w:val="auto"/>
          <w:kern w:val="0"/>
          <w:sz w:val="24"/>
          <w:highlight w:val="none"/>
        </w:rPr>
        <w:t>⑷、中标企业管理</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1、公司制定保洁方案、人员方案，确保各地段人员分配合理，职工数量、健康状</w:t>
      </w:r>
      <w:r>
        <w:rPr>
          <w:rFonts w:hint="eastAsia" w:ascii="宋体" w:hAnsi="宋体" w:cs="宋体"/>
          <w:color w:val="auto"/>
          <w:sz w:val="24"/>
          <w:highlight w:val="none"/>
        </w:rPr>
        <w:t>况及年龄达到要求。</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2、垃圾清运单位对所属公司的职工须每月不少于1次的安全生产、职业道德及业务培训；新招人员须进行上岗前培训，方可上岗。</w:t>
      </w:r>
    </w:p>
    <w:p>
      <w:pPr>
        <w:autoSpaceDE w:val="0"/>
        <w:autoSpaceDN w:val="0"/>
        <w:adjustRightInd w:val="0"/>
        <w:snapToGrid w:val="0"/>
        <w:spacing w:line="360" w:lineRule="auto"/>
        <w:ind w:firstLine="458" w:firstLineChars="191"/>
        <w:textAlignment w:val="bottom"/>
        <w:rPr>
          <w:rFonts w:ascii="宋体" w:hAnsi="宋体" w:cs="宋体"/>
          <w:color w:val="auto"/>
          <w:kern w:val="0"/>
          <w:sz w:val="24"/>
          <w:highlight w:val="none"/>
        </w:rPr>
      </w:pPr>
      <w:r>
        <w:rPr>
          <w:rFonts w:hint="eastAsia" w:ascii="宋体" w:hAnsi="宋体" w:cs="宋体"/>
          <w:color w:val="auto"/>
          <w:kern w:val="0"/>
          <w:sz w:val="24"/>
          <w:highlight w:val="none"/>
        </w:rPr>
        <w:t>3、中标企业不得向沿街单位和个人收取任何费用。</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4、垃圾清运专用作业车辆要有标志和编号，有监督电话，有责任单位，车辆停放自行负责。</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5、为保证垃圾及时清运，中标企业配备的各类清运车辆只服务于指定的标段，不</w:t>
      </w:r>
      <w:r>
        <w:rPr>
          <w:rFonts w:hint="eastAsia" w:ascii="宋体" w:hAnsi="宋体" w:cs="宋体"/>
          <w:color w:val="auto"/>
          <w:sz w:val="24"/>
          <w:highlight w:val="none"/>
        </w:rPr>
        <w:t>得再服务于其他物业公司等。</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6、保持好租赁车辆的完好，租赁期间车辆凡发生损坏及事故的，由中标企业负责</w:t>
      </w:r>
      <w:r>
        <w:rPr>
          <w:rFonts w:hint="eastAsia" w:ascii="宋体" w:hAnsi="宋体" w:cs="宋体"/>
          <w:color w:val="auto"/>
          <w:sz w:val="24"/>
          <w:highlight w:val="none"/>
        </w:rPr>
        <w:t>处理相关维修及赔偿事宜。</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7、每月月底（如遇节假日顺延）中标企业向环卫部门提交本月工作情况的台账资料</w:t>
      </w:r>
      <w:r>
        <w:rPr>
          <w:rFonts w:hint="eastAsia" w:ascii="宋体" w:hAnsi="宋体" w:cs="宋体"/>
          <w:color w:val="auto"/>
          <w:sz w:val="24"/>
          <w:highlight w:val="none"/>
        </w:rPr>
        <w:t>和自查情况等。</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8、中标企业按照以人为本的原则关心职工，严格遵守有关劳动法规，保障职工合</w:t>
      </w:r>
      <w:r>
        <w:rPr>
          <w:rFonts w:hint="eastAsia" w:ascii="宋体" w:hAnsi="宋体" w:cs="宋体"/>
          <w:color w:val="auto"/>
          <w:sz w:val="24"/>
          <w:highlight w:val="none"/>
        </w:rPr>
        <w:t>法权益。</w:t>
      </w:r>
    </w:p>
    <w:p>
      <w:pPr>
        <w:autoSpaceDE w:val="0"/>
        <w:autoSpaceDN w:val="0"/>
        <w:adjustRightInd w:val="0"/>
        <w:snapToGrid w:val="0"/>
        <w:spacing w:line="360" w:lineRule="auto"/>
        <w:ind w:firstLine="458" w:firstLineChars="191"/>
        <w:textAlignment w:val="bottom"/>
        <w:rPr>
          <w:rFonts w:ascii="宋体" w:hAnsi="宋体" w:cs="宋体"/>
          <w:color w:val="auto"/>
          <w:kern w:val="0"/>
          <w:sz w:val="24"/>
          <w:highlight w:val="none"/>
        </w:rPr>
      </w:pPr>
      <w:r>
        <w:rPr>
          <w:rFonts w:hint="eastAsia" w:ascii="宋体" w:hAnsi="宋体" w:cs="宋体"/>
          <w:color w:val="auto"/>
          <w:kern w:val="0"/>
          <w:sz w:val="24"/>
          <w:highlight w:val="none"/>
        </w:rPr>
        <w:t>9、遇有重大活动或抗台、抗雪防冻等突发情况，必须无条件及时组织力量做好清洁保洁撒盐融冰等保障工作，服从环卫部门的统一指挥。</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kern w:val="0"/>
          <w:sz w:val="24"/>
          <w:highlight w:val="none"/>
        </w:rPr>
        <w:t>10、中标企业负责做好本标项作业范围内的长效管理抄告单、群众信访、投诉处理</w:t>
      </w:r>
      <w:r>
        <w:rPr>
          <w:rFonts w:hint="eastAsia" w:ascii="宋体" w:hAnsi="宋体" w:cs="宋体"/>
          <w:color w:val="auto"/>
          <w:sz w:val="24"/>
          <w:highlight w:val="none"/>
        </w:rPr>
        <w:t>件的处理、整改和回复工作。</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11、加强管理，确保在上级各项检查中不失责任分。</w:t>
      </w:r>
    </w:p>
    <w:p>
      <w:pPr>
        <w:autoSpaceDE w:val="0"/>
        <w:autoSpaceDN w:val="0"/>
        <w:adjustRightInd w:val="0"/>
        <w:snapToGrid w:val="0"/>
        <w:spacing w:line="360" w:lineRule="auto"/>
        <w:ind w:firstLine="458" w:firstLineChars="191"/>
        <w:textAlignment w:val="bottom"/>
        <w:rPr>
          <w:rFonts w:ascii="宋体" w:hAnsi="宋体" w:cs="宋体"/>
          <w:color w:val="auto"/>
          <w:sz w:val="24"/>
          <w:highlight w:val="none"/>
        </w:rPr>
      </w:pPr>
      <w:r>
        <w:rPr>
          <w:rFonts w:hint="eastAsia" w:ascii="宋体" w:hAnsi="宋体" w:cs="宋体"/>
          <w:color w:val="auto"/>
          <w:sz w:val="24"/>
          <w:highlight w:val="none"/>
        </w:rPr>
        <w:t>12、接到上级有关部门发出整改通知书应及时整改。</w:t>
      </w:r>
    </w:p>
    <w:p>
      <w:pPr>
        <w:pStyle w:val="202"/>
        <w:spacing w:before="0"/>
        <w:ind w:firstLine="480"/>
        <w:rPr>
          <w:rFonts w:ascii="宋体" w:hAnsi="宋体" w:cs="宋体"/>
          <w:color w:val="auto"/>
          <w:szCs w:val="24"/>
          <w:highlight w:val="none"/>
          <w:lang w:val="zh-CN"/>
        </w:rPr>
      </w:pPr>
      <w:r>
        <w:rPr>
          <w:rFonts w:hint="eastAsia" w:ascii="宋体" w:hAnsi="宋体" w:cs="宋体"/>
          <w:color w:val="auto"/>
          <w:highlight w:val="none"/>
        </w:rPr>
        <w:t>13、以上服务内容产生的费用均已包含在投标报价中。</w:t>
      </w:r>
    </w:p>
    <w:p>
      <w:pPr>
        <w:pStyle w:val="202"/>
        <w:spacing w:before="0"/>
        <w:ind w:firstLine="482"/>
        <w:rPr>
          <w:rFonts w:ascii="宋体" w:hAnsi="宋体" w:cs="宋体"/>
          <w:b/>
          <w:color w:val="auto"/>
          <w:kern w:val="0"/>
          <w:szCs w:val="24"/>
          <w:highlight w:val="none"/>
        </w:rPr>
      </w:pPr>
      <w:r>
        <w:rPr>
          <w:rFonts w:hint="eastAsia" w:ascii="宋体" w:hAnsi="宋体" w:cs="宋体"/>
          <w:b/>
          <w:color w:val="auto"/>
          <w:kern w:val="0"/>
          <w:szCs w:val="24"/>
          <w:highlight w:val="none"/>
        </w:rPr>
        <w:t>（四）管理考核</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1.考核办法</w:t>
      </w:r>
    </w:p>
    <w:p>
      <w:pPr>
        <w:pStyle w:val="2"/>
        <w:spacing w:line="360" w:lineRule="auto"/>
        <w:ind w:firstLine="480" w:firstLineChars="200"/>
        <w:rPr>
          <w:rFonts w:ascii="宋体" w:hAnsi="宋体" w:cs="宋体"/>
          <w:color w:val="auto"/>
          <w:kern w:val="24"/>
          <w:sz w:val="24"/>
          <w:szCs w:val="24"/>
          <w:highlight w:val="none"/>
        </w:rPr>
      </w:pPr>
      <w:r>
        <w:rPr>
          <w:rFonts w:hint="eastAsia" w:ascii="宋体" w:hAnsi="宋体" w:cs="宋体"/>
          <w:color w:val="auto"/>
          <w:sz w:val="24"/>
          <w:szCs w:val="24"/>
          <w:highlight w:val="none"/>
        </w:rPr>
        <w:t>管理考核采取日常巡查考核管理和检查考核相结合；按《缙云县新碧街道办事处环境卫生作业规范》、《缙云县新碧街道办事处小区环境卫生作业规范》、《缙云县新碧街道办事处道路保洁、小区保洁、垃圾清运、公厕保洁考核管理办法》中明确的相关要求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城市道路保洁分类管理扣分折合成经费从保洁款中扣除。</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sz w:val="24"/>
          <w:szCs w:val="24"/>
          <w:highlight w:val="none"/>
        </w:rPr>
        <w:t>（2）</w:t>
      </w:r>
      <w:r>
        <w:rPr>
          <w:rFonts w:hint="eastAsia" w:hAnsi="宋体" w:cs="宋体"/>
          <w:color w:val="auto"/>
          <w:kern w:val="0"/>
          <w:sz w:val="24"/>
          <w:szCs w:val="24"/>
          <w:highlight w:val="none"/>
        </w:rPr>
        <w:t>确保国家、省、市、县检查中不失分，被新闻媒体曝光的，接到数字城管案卷、群众来电、来信、来访投诉的，纳入考核。</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kern w:val="0"/>
          <w:sz w:val="24"/>
          <w:szCs w:val="24"/>
          <w:highlight w:val="none"/>
        </w:rPr>
        <w:t>接到上级有关部门发出整改通知书且不整改或整改不力的，一次扣5分，累计达到三次的，招标方有权解除合同并且不予退还中标企业合同履约金。</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sz w:val="24"/>
          <w:szCs w:val="24"/>
          <w:highlight w:val="none"/>
        </w:rPr>
        <w:t>2.</w:t>
      </w:r>
      <w:r>
        <w:rPr>
          <w:rFonts w:hint="eastAsia" w:hAnsi="宋体" w:cs="宋体"/>
          <w:color w:val="auto"/>
          <w:kern w:val="0"/>
          <w:sz w:val="24"/>
          <w:szCs w:val="24"/>
          <w:highlight w:val="none"/>
        </w:rPr>
        <w:t>专用作业车辆要有编号，有监督电话，有责任单位，车辆停放自行负责，保洁人员作业时必须佩戴上岗证。</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3.</w:t>
      </w:r>
      <w:r>
        <w:rPr>
          <w:rFonts w:hint="eastAsia" w:ascii="宋体" w:hAnsi="宋体" w:cs="宋体"/>
          <w:color w:val="auto"/>
          <w:kern w:val="0"/>
          <w:sz w:val="24"/>
          <w:szCs w:val="24"/>
          <w:highlight w:val="none"/>
        </w:rPr>
        <w:t>警告退出办法</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（1）警告。在道路街巷保洁作业合同化管理中，有下列情景之一的给予一次警告：</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①合同标段数字城管问题、群众来电、来信、来访投诉及时整改率未达到100%的；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②上级领导检查发现抄告问题未限期整改到位的；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③不遵守交通法规，未按照规程操作发生有责交通事故的；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④遇有重大活动或突发事件时，未按要求落实作业机具和人员，保障不力而造成不良影响的。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sz w:val="24"/>
          <w:szCs w:val="24"/>
          <w:highlight w:val="none"/>
        </w:rPr>
        <w:t>（2）</w:t>
      </w:r>
      <w:r>
        <w:rPr>
          <w:rFonts w:hint="eastAsia" w:hAnsi="宋体" w:cs="宋体"/>
          <w:color w:val="auto"/>
          <w:kern w:val="0"/>
          <w:sz w:val="24"/>
          <w:szCs w:val="24"/>
          <w:highlight w:val="none"/>
        </w:rPr>
        <w:t>退出。在道路街巷保洁作业合同化管理中，符合以下之一的予以退出，提前终止保洁合同：</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①组织管理机构、人员素质、保洁人数等与投标承诺不符，无法完成道路保洁任务的；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②管理不善，造成人员伤亡，并负有主要责任，造成恶劣影响的；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③擅自将合同转包或部分分包给第三方的；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④管理混乱、拖欠工资、发生保洁人员上访，造成恶劣影响的；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⑤同一合同标段在合同期一年内累计被警告3次的；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⑥同一合同标段在合同期一年内接到上级有关部门发出整改通知书且不整改或整改不力累计达到三次的；</w:t>
      </w:r>
    </w:p>
    <w:p>
      <w:pPr>
        <w:pStyle w:val="26"/>
        <w:spacing w:line="360" w:lineRule="auto"/>
        <w:ind w:firstLine="480" w:firstLineChars="200"/>
        <w:rPr>
          <w:rFonts w:hAnsi="宋体" w:cs="宋体"/>
          <w:color w:val="auto"/>
          <w:kern w:val="0"/>
          <w:sz w:val="24"/>
          <w:szCs w:val="24"/>
          <w:highlight w:val="none"/>
        </w:rPr>
      </w:pPr>
      <w:r>
        <w:rPr>
          <w:rFonts w:hint="eastAsia" w:hAnsi="宋体" w:cs="宋体"/>
          <w:color w:val="auto"/>
          <w:sz w:val="24"/>
          <w:szCs w:val="24"/>
          <w:highlight w:val="none"/>
        </w:rPr>
        <w:t>⑦《缙云县新碧街道办事处道路保洁、小区保洁、垃圾清运、公厕保洁考核管理办法》规定的</w:t>
      </w:r>
      <w:r>
        <w:rPr>
          <w:rFonts w:hint="eastAsia" w:hAnsi="宋体" w:cs="宋体"/>
          <w:color w:val="auto"/>
          <w:kern w:val="0"/>
          <w:sz w:val="24"/>
          <w:szCs w:val="24"/>
          <w:highlight w:val="none"/>
        </w:rPr>
        <w:t>其它事项。</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（五）人数要求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人数：按《浙江省城市环境卫生工作定额》为参考，结合目前缙云县新碧街道办事处的实际情况，预算合计人员每天为</w:t>
      </w:r>
      <w:r>
        <w:rPr>
          <w:rFonts w:hint="eastAsia" w:ascii="宋体" w:hAnsi="宋体" w:cs="宋体"/>
          <w:color w:val="auto"/>
          <w:sz w:val="24"/>
          <w:szCs w:val="24"/>
          <w:highlight w:val="none"/>
          <w:u w:val="single"/>
        </w:rPr>
        <w:t>110</w:t>
      </w:r>
      <w:r>
        <w:rPr>
          <w:rFonts w:hint="eastAsia" w:ascii="宋体" w:hAnsi="宋体" w:cs="宋体"/>
          <w:color w:val="auto"/>
          <w:sz w:val="24"/>
          <w:szCs w:val="24"/>
          <w:highlight w:val="none"/>
        </w:rPr>
        <w:t>人（包括道路清扫保洁人员、垃圾清运人员、飞行保洁人员、管理人员，公厕保洁人员，清洗人员）。中标企业可按自己的管理运行方案，合理进行路段的划分，安排在岗人员；（合同期内根据道路清扫保洁状况招标方有权要求中标企业增加人数，增加人数不再另计工资）。</w:t>
      </w:r>
    </w:p>
    <w:p>
      <w:pPr>
        <w:pStyle w:val="26"/>
        <w:spacing w:line="360" w:lineRule="auto"/>
        <w:ind w:firstLine="472" w:firstLineChars="196"/>
        <w:rPr>
          <w:rFonts w:hAnsi="宋体" w:cs="宋体"/>
          <w:b/>
          <w:color w:val="auto"/>
          <w:sz w:val="24"/>
          <w:szCs w:val="24"/>
          <w:highlight w:val="none"/>
          <w:u w:color="000000"/>
        </w:rPr>
      </w:pPr>
      <w:r>
        <w:rPr>
          <w:rFonts w:hint="eastAsia" w:hAnsi="宋体" w:cs="宋体"/>
          <w:b/>
          <w:color w:val="auto"/>
          <w:sz w:val="24"/>
          <w:szCs w:val="24"/>
          <w:highlight w:val="none"/>
          <w:u w:color="000000"/>
        </w:rPr>
        <w:t>（六）承包年限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首次签订合同期为1年。1年期满后如乙方月平均考核在良好及以上的视实际情况可续签合同，最多不超过两次。</w:t>
      </w:r>
    </w:p>
    <w:p>
      <w:pPr>
        <w:pStyle w:val="6"/>
        <w:spacing w:line="360" w:lineRule="auto"/>
        <w:ind w:firstLine="482" w:firstLineChars="200"/>
        <w:rPr>
          <w:rFonts w:ascii="宋体" w:hAnsi="宋体" w:cs="宋体"/>
          <w:b/>
          <w:color w:val="auto"/>
          <w:sz w:val="24"/>
          <w:szCs w:val="24"/>
          <w:highlight w:val="none"/>
          <w:u w:color="000000"/>
        </w:rPr>
      </w:pPr>
      <w:r>
        <w:rPr>
          <w:rFonts w:hint="eastAsia" w:ascii="宋体" w:hAnsi="宋体" w:cs="宋体"/>
          <w:b/>
          <w:color w:val="auto"/>
          <w:sz w:val="24"/>
          <w:szCs w:val="24"/>
          <w:highlight w:val="none"/>
          <w:u w:color="000000"/>
        </w:rPr>
        <w:t>（七）付款方法</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合同签订后，每个月由缙云县人民政府新碧街道办事处将当月道路清扫保洁工作质量考核结果汇总，根据管理考核办法规定，按月在次月15日前支付当月的承包款；每月15日前承包者必须按招标文件及合同规定，足额发放工资、加班费及各种费用，不得拖欠；如遇特殊原因需延期发放工资，必须经招标方书面同意。</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2.承包期不足一年的，按月计算。即：不足一年时间的费用=（全年费用/12）*实际月数。</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3.招标方提前告知中标企业当月扣除的保洁经费，中标企业按被告知的每月应得保洁经费向招标方结算，并出具正式发票。</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4.合同期满十天内根据考核结果，将余款一次结清。</w:t>
      </w:r>
    </w:p>
    <w:p>
      <w:pPr>
        <w:pStyle w:val="26"/>
        <w:spacing w:line="360" w:lineRule="auto"/>
        <w:ind w:firstLine="472" w:firstLineChars="196"/>
        <w:rPr>
          <w:rFonts w:hAnsi="宋体" w:cs="宋体"/>
          <w:b/>
          <w:color w:val="auto"/>
          <w:sz w:val="24"/>
          <w:szCs w:val="24"/>
          <w:highlight w:val="none"/>
          <w:u w:color="000000"/>
        </w:rPr>
      </w:pPr>
      <w:r>
        <w:rPr>
          <w:rFonts w:hint="eastAsia" w:hAnsi="宋体" w:cs="宋体"/>
          <w:b/>
          <w:color w:val="auto"/>
          <w:sz w:val="24"/>
          <w:szCs w:val="24"/>
          <w:highlight w:val="none"/>
          <w:u w:color="000000"/>
        </w:rPr>
        <w:t>（八）、其它事项</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（一）在合同期限内，保洁范围有增减的，中标单位必须无条件接收服务，其增减部分保洁经费按每平方米中标价给予核算拨付。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中标企业必须在取得中标通知书(成交通知书)后30日内必须与招标方签订承包合同，如有特殊原因必须提出书面申请，经招标方书面同意后延期签订，否则招标方有权单方取消中标方中标资格；中标方不得将中标项目转包、分包、委托经营、联合经营；招标方如发现，有权立即单方终止合同，没收本项目合同履约金。</w:t>
      </w:r>
    </w:p>
    <w:p>
      <w:pPr>
        <w:tabs>
          <w:tab w:val="left" w:pos="0"/>
          <w:tab w:val="left" w:pos="960"/>
        </w:tabs>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（三）外地投标企业在中标后，必须在缙云县新碧街道办事处租赁或购买办公场所；</w:t>
      </w:r>
      <w:r>
        <w:rPr>
          <w:rFonts w:hint="eastAsia" w:ascii="宋体" w:hAnsi="宋体" w:cs="宋体"/>
          <w:color w:val="auto"/>
          <w:kern w:val="0"/>
          <w:sz w:val="24"/>
          <w:szCs w:val="24"/>
          <w:highlight w:val="none"/>
        </w:rPr>
        <w:t>在</w:t>
      </w:r>
      <w:r>
        <w:rPr>
          <w:rFonts w:hint="eastAsia" w:ascii="宋体" w:hAnsi="宋体" w:cs="宋体"/>
          <w:color w:val="auto"/>
          <w:sz w:val="24"/>
          <w:szCs w:val="24"/>
          <w:highlight w:val="none"/>
        </w:rPr>
        <w:t>30个工作日内必须在招标人当地工商和税务部门，自行办理好具有相应资质及独立法人资格的分公司，并取得营业执照，</w:t>
      </w:r>
      <w:r>
        <w:rPr>
          <w:rFonts w:hint="eastAsia" w:ascii="宋体" w:hAnsi="宋体" w:cs="宋体"/>
          <w:color w:val="auto"/>
          <w:kern w:val="0"/>
          <w:sz w:val="24"/>
          <w:szCs w:val="24"/>
          <w:highlight w:val="none"/>
        </w:rPr>
        <w:t>租赁好不少于100平方米的办公场所（含车具停放场所），提供本地化服务</w:t>
      </w:r>
      <w:r>
        <w:rPr>
          <w:rFonts w:hint="eastAsia" w:ascii="宋体" w:hAnsi="宋体" w:cs="宋体"/>
          <w:color w:val="auto"/>
          <w:sz w:val="24"/>
          <w:szCs w:val="24"/>
          <w:highlight w:val="none"/>
        </w:rPr>
        <w:t>。否则招标方有权取消其中标资格，解除合同，合同履约金作为合同违约金没收。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（四）中标企业必须确保所有员工劳动合同的签订并为员工缴纳保险，为符合条件的人员缴纳“五金”（基本养老保险、基本医疗保险、失业保险、工伤保险、生育保险）。</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中标企业承包期内，“五金”企业负担的部分不直接划拨给中标企业，根据招标方当地实际情况，按中标企业提供的缴费名单（实际在岗符合缴纳人员）、发票，经招标方审核后，按（年或月）实际缴纳费用进行结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中标企业如有特殊原因招聘的员工没有进入社保“五金”保险，必须为其进行意外保险，保险额度必须达到当地社保工伤保险的额度，采购人不再另行支付费用。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（五）承包期间工人工资不得低于招标方当地最低工资标准的110%，日出勤补贴、夏季降温费、法定节假日加班费、节日慰问品等各种费用都必须足额发放，不得打折；每年必须组织一线工人体检一次。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招标范围中未提及的个别路段、公共场所、小弄，以招标方现已进行清扫保洁的范围为准。投标方在参加投标前，由投标方自行对项目目前现场及周围环境进行踏勘，以便投标人获取须自己负责的有关编制投标文件和签署合同所需的所有材料；投标企业应充分了解项目的位置、道路以及其他足以影响报价的情况；今后任何因忽视或误解现场情况，而导致的追加索赔申请或经费追加申请将不被批准；踏勘现场所发生的任何费用和责任由投标企业自行承担。</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承包期间如遇各类创建活动、节假日、抗台（洪）等加班，中标企业的承包款不再进行任何形式的调整或追加；投标企业在参加投标时，应充分考虑到现场因素、承包期内经费、政府政策等各方面的风险因素，谨慎参加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（七）本招标文件中的预算总金额含税，中标后，中标企业应依法向当地税务机关缴税，投标报价时需充分考虑报价金额。</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（八）中标企业班子组成：配备管理人员不少于3人，项目经理(一把手)必须由中标企业副总以上人员当任。</w:t>
      </w:r>
    </w:p>
    <w:p>
      <w:pPr>
        <w:pStyle w:val="202"/>
        <w:spacing w:before="0"/>
        <w:ind w:firstLine="480"/>
        <w:rPr>
          <w:rFonts w:ascii="宋体" w:hAnsi="宋体" w:cs="宋体"/>
          <w:color w:val="auto"/>
          <w:szCs w:val="24"/>
          <w:highlight w:val="none"/>
        </w:rPr>
      </w:pPr>
      <w:r>
        <w:rPr>
          <w:rFonts w:hint="eastAsia" w:ascii="宋体" w:hAnsi="宋体" w:cs="宋体"/>
          <w:color w:val="auto"/>
          <w:szCs w:val="24"/>
          <w:highlight w:val="none"/>
        </w:rPr>
        <w:t>（九）为提升作业队伍形象，保证作业质量，中标企业应按作业要求，采购保洁人员服装、作业车辆包括（机扫车、洒水车、垃圾清运车、人力三轮车，电动四轮、三轮收集车等；设备需在签订合同前购置或租赁，否则招标人有权拒签合同）；中标后十五天内上报招标方，确定数量，统一型号、颜色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作业人员及车辆驾驶员由中标企业自行管理，可自行聘用或借用，并应按照规定签订劳动合同；中标企业应组织对相关作业人员及车辆驾驶员的上岗培训和安全教育，在合同期间发生安全事故或人员伤亡的，由中标企业自负全部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原有人员的安置:中标企业应优先录用招标方原有清扫保洁人员，并配合做好人员过渡及遗留问题。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（十一）招标方有权在承包合同执行期间对《缙云县新碧街道办事处环境卫生作业规范》、《</w:t>
      </w:r>
      <w:r>
        <w:rPr>
          <w:rFonts w:hint="eastAsia" w:ascii="宋体" w:hAnsi="宋体" w:cs="宋体"/>
          <w:bCs/>
          <w:color w:val="auto"/>
          <w:sz w:val="24"/>
          <w:szCs w:val="24"/>
          <w:highlight w:val="none"/>
        </w:rPr>
        <w:t>缙云县新碧街道办事处小区环境卫生作业规范》、</w:t>
      </w:r>
      <w:r>
        <w:rPr>
          <w:rFonts w:hint="eastAsia" w:ascii="宋体" w:hAnsi="宋体" w:cs="宋体"/>
          <w:color w:val="auto"/>
          <w:sz w:val="24"/>
          <w:szCs w:val="24"/>
          <w:highlight w:val="none"/>
        </w:rPr>
        <w:t>《缙云县新碧街道办事处道路保洁、小区保洁、垃圾清运、公厕保洁考核管理办法》的相关条款作出修改或增加，中标企业应根据最新的《缙云县新碧街道办事处环境卫生作业规范》、《</w:t>
      </w:r>
      <w:r>
        <w:rPr>
          <w:rFonts w:hint="eastAsia" w:ascii="宋体" w:hAnsi="宋体" w:cs="宋体"/>
          <w:bCs/>
          <w:color w:val="auto"/>
          <w:sz w:val="24"/>
          <w:szCs w:val="24"/>
          <w:highlight w:val="none"/>
        </w:rPr>
        <w:t>缙云县新碧街道办事处小区环境卫生作业规范》、</w:t>
      </w:r>
      <w:r>
        <w:rPr>
          <w:rFonts w:hint="eastAsia" w:ascii="宋体" w:hAnsi="宋体" w:cs="宋体"/>
          <w:color w:val="auto"/>
          <w:sz w:val="24"/>
          <w:szCs w:val="24"/>
          <w:highlight w:val="none"/>
        </w:rPr>
        <w:t>《缙云县新碧街道办事处道路保洁、小区保洁、垃圾清运、公厕保洁考核管理办法》执行。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（十二）中标企业清扫保洁人员用工上必须符合劳动法及其它法律法规的规定，须招聘符合法定用工年龄的保洁人员上岗就业。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（十三）承包期间标段内的保洁内容有所减少的，招标方有权扣回相应的费用。</w:t>
      </w:r>
    </w:p>
    <w:p>
      <w:pP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以上内容解释权归缙云县人民政府新碧街道办事处</w:t>
      </w:r>
    </w:p>
    <w:bookmarkEnd w:id="26"/>
    <w:p>
      <w:pPr>
        <w:spacing w:line="360" w:lineRule="auto"/>
        <w:ind w:firstLine="1200" w:firstLineChars="500"/>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p>
      <w:pPr>
        <w:spacing w:line="360" w:lineRule="auto"/>
        <w:ind w:firstLine="753" w:firstLineChars="250"/>
        <w:jc w:val="center"/>
        <w:rPr>
          <w:rFonts w:ascii="仿宋_GB2312" w:hAnsi="宋体" w:eastAsia="仿宋_GB2312"/>
          <w:b/>
          <w:color w:val="auto"/>
          <w:sz w:val="30"/>
          <w:szCs w:val="30"/>
          <w:highlight w:val="none"/>
        </w:rPr>
        <w:sectPr>
          <w:pgSz w:w="11906" w:h="16838"/>
          <w:pgMar w:top="1440" w:right="1983" w:bottom="1440" w:left="1134" w:header="851" w:footer="992" w:gutter="0"/>
          <w:cols w:space="720" w:num="1"/>
          <w:titlePg/>
          <w:docGrid w:linePitch="312" w:charSpace="0"/>
        </w:sectPr>
      </w:pP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spacing w:line="360" w:lineRule="auto"/>
        <w:ind w:firstLine="482" w:firstLineChars="200"/>
        <w:jc w:val="center"/>
        <w:rPr>
          <w:rFonts w:ascii="宋体" w:hAnsi="宋体" w:cs="宋体"/>
          <w:b/>
          <w:color w:val="auto"/>
          <w:sz w:val="24"/>
          <w:szCs w:val="24"/>
          <w:highlight w:val="none"/>
        </w:rPr>
      </w:pPr>
      <w:r>
        <w:rPr>
          <w:rFonts w:hint="eastAsia" w:ascii="宋体" w:hAnsi="宋体" w:cs="宋体"/>
          <w:b/>
          <w:color w:val="auto"/>
          <w:sz w:val="24"/>
          <w:szCs w:val="24"/>
          <w:highlight w:val="none"/>
        </w:rPr>
        <w:t>缙云县新碧街道办事处环境卫生作业规范</w:t>
      </w:r>
    </w:p>
    <w:p>
      <w:pPr>
        <w:spacing w:line="360" w:lineRule="auto"/>
        <w:ind w:firstLine="482" w:firstLineChars="200"/>
        <w:jc w:val="center"/>
        <w:rPr>
          <w:rFonts w:ascii="宋体" w:hAnsi="宋体" w:cs="宋体"/>
          <w:b/>
          <w:color w:val="auto"/>
          <w:sz w:val="24"/>
          <w:szCs w:val="24"/>
          <w:highlight w:val="none"/>
        </w:rPr>
      </w:pPr>
    </w:p>
    <w:p>
      <w:pP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一、定义</w:t>
      </w:r>
    </w:p>
    <w:p>
      <w:pPr>
        <w:tabs>
          <w:tab w:val="right" w:pos="8306"/>
        </w:tabs>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（一）</w:t>
      </w:r>
      <w:r>
        <w:rPr>
          <w:rFonts w:hint="eastAsia" w:ascii="宋体" w:hAnsi="宋体" w:cs="宋体"/>
          <w:color w:val="auto"/>
          <w:sz w:val="24"/>
          <w:szCs w:val="24"/>
          <w:highlight w:val="none"/>
          <w:lang w:val="zh-CN"/>
        </w:rPr>
        <w:t>普扫</w:t>
      </w:r>
      <w:r>
        <w:rPr>
          <w:rFonts w:hint="eastAsia" w:ascii="宋体" w:hAnsi="宋体" w:cs="宋体"/>
          <w:color w:val="auto"/>
          <w:sz w:val="24"/>
          <w:szCs w:val="24"/>
          <w:highlight w:val="none"/>
          <w:lang w:val="zh-CN"/>
        </w:rPr>
        <w:tab/>
      </w:r>
    </w:p>
    <w:p>
      <w:pPr>
        <w:widowControl/>
        <w:adjustRightInd w:val="0"/>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对缙云县新碧街道办事处内各类道路、公共场地、里弄、房前屋后、山坡、空地、通道、绿化带等地进行全面清扫。</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（二）保洁</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道路、里弄保洁：在普扫之后，进行不间断的巡回清扫保洁，做到随脏随扫；</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zh-CN"/>
        </w:rPr>
        <w:t>垃圾箱（桶）等保洁：在垃圾清运之后，进行的巡回不间断清理，做到垃圾收集及时不外溢；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（三）垃圾</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垃圾是人类生活和生产中产生的固体废弃物(包括食品垃圾、普通垃圾、建筑垃圾、清扫垃圾和其它垃圾等)。</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二、基本要求</w:t>
      </w:r>
    </w:p>
    <w:p>
      <w:pPr>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（一）雇佣的环卫工人必须符合《中华人民共和国劳动法》和社保的相关法律法规要求。</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（二）</w:t>
      </w:r>
      <w:r>
        <w:rPr>
          <w:rFonts w:hint="eastAsia" w:ascii="宋体" w:hAnsi="宋体" w:cs="宋体"/>
          <w:color w:val="auto"/>
          <w:sz w:val="24"/>
          <w:szCs w:val="24"/>
          <w:highlight w:val="none"/>
          <w:lang w:val="zh-CN"/>
        </w:rPr>
        <w:t xml:space="preserve">应做到文明、清洁、安全和有序，最大限度地减少对环境的污染和对公众生活的影响。 </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（三）</w:t>
      </w:r>
      <w:r>
        <w:rPr>
          <w:rFonts w:hint="eastAsia" w:ascii="宋体" w:hAnsi="宋体" w:cs="宋体"/>
          <w:color w:val="auto"/>
          <w:kern w:val="0"/>
          <w:szCs w:val="24"/>
          <w:highlight w:val="none"/>
        </w:rPr>
        <w:t>规范管理，文明作业，自觉接受缙云县新碧街道办事处人民政府及上级各部门领导的检查和社会监督，对出现的问题要及时整改。</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（四）环卫作业单位应建立健全安全生产管理制度和落实安全生产责任人，并有完整的作业和检查记录。</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（五）</w:t>
      </w:r>
      <w:r>
        <w:rPr>
          <w:rFonts w:hint="eastAsia" w:ascii="宋体" w:hAnsi="宋体" w:cs="宋体"/>
          <w:color w:val="auto"/>
          <w:kern w:val="0"/>
          <w:szCs w:val="24"/>
          <w:highlight w:val="none"/>
        </w:rPr>
        <w:t>加强作业质量管理，做好作业质量自查记录，作业交接班必须在作业现场进行。</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（六）</w:t>
      </w:r>
      <w:r>
        <w:rPr>
          <w:rFonts w:hint="eastAsia" w:ascii="宋体" w:hAnsi="宋体" w:cs="宋体"/>
          <w:color w:val="auto"/>
          <w:kern w:val="0"/>
          <w:szCs w:val="24"/>
          <w:highlight w:val="none"/>
        </w:rPr>
        <w:t>作业时应严格遵守劳动纪律，遵守安全操作规程，确保安全，发生各种意外事故由保洁公司自行依照法律法规妥善处理。</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（七）保洁员（</w:t>
      </w:r>
      <w:r>
        <w:rPr>
          <w:rFonts w:hint="eastAsia" w:ascii="宋体" w:hAnsi="宋体" w:cs="宋体"/>
          <w:color w:val="auto"/>
          <w:sz w:val="24"/>
          <w:szCs w:val="24"/>
          <w:highlight w:val="none"/>
          <w:lang w:val="zh-CN"/>
        </w:rPr>
        <w:t>清扫人员、清运人员、清洗人员）</w:t>
      </w:r>
      <w:r>
        <w:rPr>
          <w:rFonts w:hint="eastAsia" w:ascii="宋体" w:hAnsi="宋体" w:cs="宋体"/>
          <w:color w:val="auto"/>
          <w:kern w:val="0"/>
          <w:sz w:val="24"/>
          <w:szCs w:val="24"/>
          <w:highlight w:val="none"/>
          <w:lang w:val="zh-CN"/>
        </w:rPr>
        <w:t>作业时须穿有反光条的工作服及做好相关劳动安全防护，并保持着装干净、整洁。其他环卫作业人员也须按规定统一着装和佩证。</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（八）</w:t>
      </w:r>
      <w:r>
        <w:rPr>
          <w:rFonts w:hint="eastAsia" w:ascii="宋体" w:hAnsi="宋体" w:cs="宋体"/>
          <w:color w:val="auto"/>
          <w:kern w:val="0"/>
          <w:szCs w:val="24"/>
          <w:highlight w:val="none"/>
        </w:rPr>
        <w:t>遇到乱丢、乱倒垃圾、渣土抛洒污染路面等不文明行为应及时进行劝阻，并进行市容环卫法规的宣传教育，做到说话文明，以理服人，对不听劝阻造成不良影响的，应及时向缙云县新碧街道办事处或有关部门报告。</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（九）保洁员要根据本路段的人、车流情况，合理安排作业时间和方式，作业时，须注意安全，严格遵守交通规则，以免发生意外。</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（十）</w:t>
      </w:r>
      <w:r>
        <w:rPr>
          <w:rFonts w:hint="eastAsia" w:ascii="宋体" w:hAnsi="宋体" w:cs="宋体"/>
          <w:color w:val="auto"/>
          <w:kern w:val="0"/>
          <w:szCs w:val="24"/>
          <w:highlight w:val="none"/>
        </w:rPr>
        <w:t>清扫、清运、收集的垃圾应统一运至指定的垃圾中转站处理。</w:t>
      </w:r>
    </w:p>
    <w:p>
      <w:pPr>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（十一）环卫作业过程中，发现火源、路面污染等</w:t>
      </w:r>
      <w:r>
        <w:rPr>
          <w:rFonts w:hint="eastAsia" w:ascii="宋体" w:hAnsi="宋体" w:cs="宋体"/>
          <w:color w:val="auto"/>
          <w:sz w:val="24"/>
          <w:szCs w:val="24"/>
          <w:highlight w:val="none"/>
          <w:lang w:val="zh-CN"/>
        </w:rPr>
        <w:t>应马上向管理部门汇报, 并立即组织清理</w:t>
      </w:r>
      <w:r>
        <w:rPr>
          <w:rFonts w:hint="eastAsia" w:ascii="宋体" w:hAnsi="宋体" w:cs="宋体"/>
          <w:color w:val="auto"/>
          <w:kern w:val="0"/>
          <w:sz w:val="24"/>
          <w:szCs w:val="24"/>
          <w:highlight w:val="none"/>
          <w:lang w:val="zh-CN"/>
        </w:rPr>
        <w:t>；</w:t>
      </w:r>
      <w:r>
        <w:rPr>
          <w:rFonts w:hint="eastAsia" w:ascii="宋体" w:hAnsi="宋体" w:cs="宋体"/>
          <w:color w:val="auto"/>
          <w:sz w:val="24"/>
          <w:szCs w:val="24"/>
          <w:highlight w:val="none"/>
          <w:lang w:val="zh-CN"/>
        </w:rPr>
        <w:t>发现有人随地乱扔垃圾，应及时进行劝阻。</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（十二）环卫各类车辆出车前须进行检查，确保车况良好方可进行环卫作业；作业时，</w:t>
      </w:r>
      <w:r>
        <w:rPr>
          <w:rFonts w:hint="eastAsia" w:ascii="宋体" w:hAnsi="宋体" w:cs="宋体"/>
          <w:color w:val="auto"/>
          <w:sz w:val="24"/>
          <w:szCs w:val="24"/>
          <w:highlight w:val="none"/>
          <w:lang w:val="zh-CN"/>
        </w:rPr>
        <w:t>必须停放适当地点，不影响其它车辆、行人通行；</w:t>
      </w:r>
      <w:r>
        <w:rPr>
          <w:rFonts w:hint="eastAsia" w:ascii="宋体" w:hAnsi="宋体" w:cs="宋体"/>
          <w:color w:val="auto"/>
          <w:sz w:val="24"/>
          <w:szCs w:val="24"/>
          <w:highlight w:val="none"/>
        </w:rPr>
        <w:t>作业结束后</w:t>
      </w:r>
      <w:r>
        <w:rPr>
          <w:rFonts w:hint="eastAsia" w:ascii="宋体" w:hAnsi="宋体" w:cs="宋体"/>
          <w:color w:val="auto"/>
          <w:kern w:val="0"/>
          <w:sz w:val="24"/>
          <w:szCs w:val="24"/>
          <w:highlight w:val="none"/>
          <w:lang w:val="zh-CN"/>
        </w:rPr>
        <w:t>须安全存放。</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（十三）严格遵守交通规则，环卫作业车辆尽量避开交通高峰时段作业。</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（十四）环卫作业各类工具摆放整齐，不得影响交通和存在安全隐患。</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（十五）</w:t>
      </w:r>
      <w:r>
        <w:rPr>
          <w:rFonts w:hint="eastAsia" w:ascii="宋体" w:hAnsi="宋体" w:cs="宋体"/>
          <w:color w:val="auto"/>
          <w:kern w:val="0"/>
          <w:szCs w:val="24"/>
          <w:highlight w:val="none"/>
        </w:rPr>
        <w:t>服务范围内建筑垃圾应及时发现并及时清除（量比较大时，应及时上报）。</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三、保洁公司管理</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kern w:val="0"/>
          <w:sz w:val="24"/>
          <w:szCs w:val="24"/>
          <w:highlight w:val="none"/>
          <w:lang w:val="zh-CN"/>
        </w:rPr>
        <w:t>（一）</w:t>
      </w:r>
      <w:r>
        <w:rPr>
          <w:rFonts w:hint="eastAsia" w:ascii="宋体" w:hAnsi="宋体" w:cs="宋体"/>
          <w:color w:val="auto"/>
          <w:sz w:val="24"/>
          <w:szCs w:val="24"/>
          <w:highlight w:val="none"/>
        </w:rPr>
        <w:t>按《缙云县新碧街道办事处环境卫生作业规范》、《</w:t>
      </w:r>
      <w:r>
        <w:rPr>
          <w:rFonts w:hint="eastAsia" w:ascii="宋体" w:hAnsi="宋体" w:cs="宋体"/>
          <w:bCs/>
          <w:color w:val="auto"/>
          <w:sz w:val="24"/>
          <w:szCs w:val="24"/>
          <w:highlight w:val="none"/>
        </w:rPr>
        <w:t>缙云县新碧街道办事处小区环境卫生作业规范》、</w:t>
      </w:r>
      <w:r>
        <w:rPr>
          <w:rFonts w:hint="eastAsia" w:ascii="宋体" w:hAnsi="宋体" w:cs="宋体"/>
          <w:color w:val="auto"/>
          <w:sz w:val="24"/>
          <w:szCs w:val="24"/>
          <w:highlight w:val="none"/>
        </w:rPr>
        <w:t>《缙云县新碧街道办事处道路保洁、小区保洁、垃圾清运、公厕保洁考核管理办法》中明确的相关要求执行。</w:t>
      </w:r>
    </w:p>
    <w:p>
      <w:pPr>
        <w:pStyle w:val="202"/>
        <w:snapToGrid w:val="0"/>
        <w:spacing w:before="0"/>
        <w:ind w:firstLine="480"/>
        <w:rPr>
          <w:rFonts w:ascii="宋体" w:hAnsi="宋体" w:cs="宋体"/>
          <w:color w:val="auto"/>
          <w:szCs w:val="24"/>
          <w:highlight w:val="none"/>
        </w:rPr>
      </w:pPr>
      <w:r>
        <w:rPr>
          <w:rFonts w:hint="eastAsia" w:ascii="宋体" w:hAnsi="宋体" w:cs="宋体"/>
          <w:color w:val="auto"/>
          <w:kern w:val="0"/>
          <w:szCs w:val="24"/>
          <w:highlight w:val="none"/>
          <w:lang w:val="zh-CN"/>
        </w:rPr>
        <w:t>（二）</w:t>
      </w:r>
      <w:r>
        <w:rPr>
          <w:rFonts w:hint="eastAsia" w:ascii="宋体" w:hAnsi="宋体" w:cs="宋体"/>
          <w:color w:val="auto"/>
          <w:szCs w:val="24"/>
          <w:highlight w:val="none"/>
        </w:rPr>
        <w:t>公司制定保洁方案、人员方案，确保各地段人员分配合理，保洁人员数量、健康状况及年龄达到要求。</w:t>
      </w:r>
    </w:p>
    <w:p>
      <w:pPr>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（三）</w:t>
      </w:r>
      <w:r>
        <w:rPr>
          <w:rFonts w:hint="eastAsia" w:ascii="宋体" w:hAnsi="宋体" w:cs="宋体"/>
          <w:color w:val="auto"/>
          <w:sz w:val="24"/>
          <w:szCs w:val="24"/>
          <w:highlight w:val="none"/>
          <w:lang w:val="zh-CN"/>
        </w:rPr>
        <w:t>环卫作业单位对所属公司的环卫工人须每月不少于1次的安全生产、职业道德及业务培训；新招人员必须进行上岗前培训，方可上岗。</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（四）</w:t>
      </w:r>
      <w:r>
        <w:rPr>
          <w:rFonts w:hint="eastAsia" w:ascii="宋体" w:hAnsi="宋体" w:cs="宋体"/>
          <w:color w:val="auto"/>
          <w:kern w:val="0"/>
          <w:szCs w:val="24"/>
          <w:highlight w:val="none"/>
        </w:rPr>
        <w:t>保洁公司不得向沿街单位和个人收取任何费用。</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lang w:val="zh-CN"/>
        </w:rPr>
        <w:t>（五）</w:t>
      </w:r>
      <w:r>
        <w:rPr>
          <w:rFonts w:hint="eastAsia" w:hAnsi="宋体" w:cs="宋体"/>
          <w:color w:val="auto"/>
          <w:kern w:val="0"/>
          <w:sz w:val="24"/>
          <w:szCs w:val="24"/>
          <w:highlight w:val="none"/>
        </w:rPr>
        <w:t>环卫专用作业车辆要有标志和编号，有监督电话，有责任单位，车辆停放自行负责。</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（六）</w:t>
      </w:r>
      <w:r>
        <w:rPr>
          <w:rFonts w:hint="eastAsia" w:ascii="宋体" w:hAnsi="宋体" w:cs="宋体"/>
          <w:color w:val="auto"/>
          <w:sz w:val="24"/>
          <w:szCs w:val="24"/>
          <w:highlight w:val="none"/>
          <w:lang w:val="zh-CN"/>
        </w:rPr>
        <w:t>为保证垃圾及时清运,</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zh-CN"/>
        </w:rPr>
        <w:t>保洁公司配备的各类清运车辆只服务于指定的一个标段,不得再服务于其他物业公司或标段等。</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（七）</w:t>
      </w:r>
      <w:r>
        <w:rPr>
          <w:rFonts w:hint="eastAsia" w:ascii="宋体" w:hAnsi="宋体" w:cs="宋体"/>
          <w:color w:val="auto"/>
          <w:kern w:val="0"/>
          <w:szCs w:val="24"/>
          <w:highlight w:val="none"/>
        </w:rPr>
        <w:t>保持好租赁车辆的完好，租赁期间车辆凡发生损坏及事故的，由保洁公司负责处理相关维修及赔偿事宜。</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（八）</w:t>
      </w:r>
      <w:r>
        <w:rPr>
          <w:rFonts w:hint="eastAsia" w:ascii="宋体" w:hAnsi="宋体" w:cs="宋体"/>
          <w:color w:val="auto"/>
          <w:kern w:val="0"/>
          <w:szCs w:val="24"/>
          <w:highlight w:val="none"/>
        </w:rPr>
        <w:t>每月月底（如遇节假日顺延）保洁公司向缙云县新碧街道办事处人民政府提交本月工作情况的台账表和自查表等。</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（九）</w:t>
      </w:r>
      <w:r>
        <w:rPr>
          <w:rFonts w:hint="eastAsia" w:ascii="宋体" w:hAnsi="宋体" w:cs="宋体"/>
          <w:color w:val="auto"/>
          <w:kern w:val="0"/>
          <w:szCs w:val="24"/>
          <w:highlight w:val="none"/>
        </w:rPr>
        <w:t>保洁公司按照以人为本的原则关心职工，严格遵守有关劳动法规，保障职工合法权益。</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（十）</w:t>
      </w:r>
      <w:r>
        <w:rPr>
          <w:rFonts w:hint="eastAsia" w:ascii="宋体" w:hAnsi="宋体" w:cs="宋体"/>
          <w:color w:val="auto"/>
          <w:kern w:val="0"/>
          <w:szCs w:val="24"/>
          <w:highlight w:val="none"/>
        </w:rPr>
        <w:t>遇有重大活动或抗台、抗雪等突发事件，必须无条件及时组织力量做好清扫保洁等保障工作，服从缙云县新碧街道办事处人民政府的统一指挥。</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（十一）</w:t>
      </w:r>
      <w:r>
        <w:rPr>
          <w:rFonts w:hint="eastAsia" w:ascii="宋体" w:hAnsi="宋体" w:cs="宋体"/>
          <w:color w:val="auto"/>
          <w:szCs w:val="24"/>
          <w:highlight w:val="none"/>
        </w:rPr>
        <w:t>保洁公司</w:t>
      </w:r>
      <w:r>
        <w:rPr>
          <w:rFonts w:hint="eastAsia" w:ascii="宋体" w:hAnsi="宋体" w:cs="宋体"/>
          <w:color w:val="auto"/>
          <w:kern w:val="0"/>
          <w:szCs w:val="24"/>
          <w:highlight w:val="none"/>
        </w:rPr>
        <w:t>负责做好本标项作业范围内的长效管理抄告单、群众信访、投诉处理件的处理、整改和回复工作。</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（十二）</w:t>
      </w:r>
      <w:r>
        <w:rPr>
          <w:rFonts w:hint="eastAsia" w:ascii="宋体" w:hAnsi="宋体" w:cs="宋体"/>
          <w:color w:val="auto"/>
          <w:kern w:val="0"/>
          <w:szCs w:val="24"/>
          <w:highlight w:val="none"/>
        </w:rPr>
        <w:t>加强管理，确保在上级各项检查中不失责任分。</w:t>
      </w:r>
      <w:bookmarkStart w:id="27" w:name="_Toc319576056"/>
    </w:p>
    <w:bookmarkEnd w:id="27"/>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lang w:val="zh-CN"/>
        </w:rPr>
        <w:t>（十三）</w:t>
      </w:r>
      <w:r>
        <w:rPr>
          <w:rFonts w:hint="eastAsia" w:hAnsi="宋体" w:cs="宋体"/>
          <w:color w:val="auto"/>
          <w:kern w:val="0"/>
          <w:sz w:val="24"/>
          <w:szCs w:val="24"/>
          <w:highlight w:val="none"/>
        </w:rPr>
        <w:t>接到上级有关部门发出整改通知书应及时整改。</w:t>
      </w:r>
    </w:p>
    <w:p>
      <w:pPr>
        <w:pStyle w:val="26"/>
        <w:snapToGrid w:val="0"/>
        <w:spacing w:line="360" w:lineRule="auto"/>
        <w:ind w:firstLine="482" w:firstLineChars="200"/>
        <w:rPr>
          <w:rFonts w:hAnsi="宋体" w:cs="宋体"/>
          <w:b/>
          <w:color w:val="auto"/>
          <w:kern w:val="0"/>
          <w:sz w:val="24"/>
          <w:szCs w:val="24"/>
          <w:highlight w:val="none"/>
          <w:lang w:val="zh-CN"/>
        </w:rPr>
      </w:pPr>
      <w:r>
        <w:rPr>
          <w:rFonts w:hint="eastAsia" w:hAnsi="宋体" w:cs="宋体"/>
          <w:b/>
          <w:color w:val="auto"/>
          <w:kern w:val="0"/>
          <w:sz w:val="24"/>
          <w:szCs w:val="24"/>
          <w:highlight w:val="none"/>
        </w:rPr>
        <w:t>四、</w:t>
      </w:r>
      <w:r>
        <w:rPr>
          <w:rFonts w:hint="eastAsia" w:hAnsi="宋体" w:cs="宋体"/>
          <w:b/>
          <w:color w:val="auto"/>
          <w:kern w:val="0"/>
          <w:sz w:val="24"/>
          <w:szCs w:val="24"/>
          <w:highlight w:val="none"/>
          <w:lang w:val="zh-CN"/>
        </w:rPr>
        <w:t>道路清扫保洁作业</w:t>
      </w:r>
    </w:p>
    <w:p>
      <w:pPr>
        <w:pStyle w:val="26"/>
        <w:snapToGrid w:val="0"/>
        <w:spacing w:line="360" w:lineRule="auto"/>
        <w:ind w:firstLine="480" w:firstLineChars="200"/>
        <w:rPr>
          <w:rFonts w:hAnsi="宋体" w:cs="宋体"/>
          <w:color w:val="auto"/>
          <w:sz w:val="24"/>
          <w:szCs w:val="24"/>
          <w:highlight w:val="none"/>
          <w:lang w:val="zh-CN"/>
        </w:rPr>
      </w:pPr>
      <w:r>
        <w:rPr>
          <w:rFonts w:hint="eastAsia" w:hAnsi="宋体" w:cs="宋体"/>
          <w:color w:val="auto"/>
          <w:kern w:val="0"/>
          <w:sz w:val="24"/>
          <w:szCs w:val="24"/>
          <w:highlight w:val="none"/>
          <w:lang w:val="zh-CN"/>
        </w:rPr>
        <w:t>（一）保洁面积、等级、时间要求详见采购需求</w:t>
      </w:r>
      <w:r>
        <w:rPr>
          <w:rFonts w:hint="eastAsia" w:hAnsi="宋体" w:cs="宋体"/>
          <w:color w:val="auto"/>
          <w:sz w:val="24"/>
          <w:szCs w:val="24"/>
          <w:highlight w:val="none"/>
          <w:lang w:val="zh-CN"/>
        </w:rPr>
        <w:t>。</w:t>
      </w:r>
    </w:p>
    <w:p>
      <w:pPr>
        <w:pStyle w:val="26"/>
        <w:snapToGrid w:val="0"/>
        <w:spacing w:line="360" w:lineRule="auto"/>
        <w:ind w:firstLine="480" w:firstLineChars="200"/>
        <w:rPr>
          <w:rFonts w:hAnsi="宋体" w:cs="宋体"/>
          <w:color w:val="auto"/>
          <w:sz w:val="24"/>
          <w:szCs w:val="24"/>
          <w:highlight w:val="none"/>
          <w:lang w:val="zh-CN"/>
        </w:rPr>
      </w:pPr>
      <w:r>
        <w:rPr>
          <w:rFonts w:hint="eastAsia" w:hAnsi="宋体" w:cs="宋体"/>
          <w:color w:val="auto"/>
          <w:kern w:val="0"/>
          <w:sz w:val="24"/>
          <w:szCs w:val="24"/>
          <w:highlight w:val="none"/>
          <w:lang w:val="zh-CN"/>
        </w:rPr>
        <w:t>（二）</w:t>
      </w:r>
      <w:r>
        <w:rPr>
          <w:rFonts w:hint="eastAsia" w:hAnsi="宋体" w:cs="宋体"/>
          <w:color w:val="auto"/>
          <w:sz w:val="24"/>
          <w:szCs w:val="24"/>
          <w:highlight w:val="none"/>
          <w:lang w:val="zh-CN"/>
        </w:rPr>
        <w:t>各片区清扫保洁人员须按清扫定额配备。道路人工清扫定额见表1。</w:t>
      </w:r>
    </w:p>
    <w:p>
      <w:pPr>
        <w:pStyle w:val="26"/>
        <w:snapToGrid w:val="0"/>
        <w:spacing w:line="360" w:lineRule="auto"/>
        <w:ind w:firstLine="480" w:firstLineChars="200"/>
        <w:jc w:val="center"/>
        <w:rPr>
          <w:rFonts w:hAnsi="宋体" w:cs="宋体"/>
          <w:color w:val="auto"/>
          <w:sz w:val="24"/>
          <w:szCs w:val="24"/>
          <w:highlight w:val="none"/>
          <w:lang w:val="zh-CN"/>
        </w:rPr>
      </w:pPr>
    </w:p>
    <w:p>
      <w:pPr>
        <w:pStyle w:val="26"/>
        <w:snapToGrid w:val="0"/>
        <w:spacing w:line="360" w:lineRule="auto"/>
        <w:ind w:firstLine="480" w:firstLineChars="200"/>
        <w:jc w:val="center"/>
        <w:rPr>
          <w:rFonts w:hAnsi="宋体" w:cs="宋体"/>
          <w:color w:val="auto"/>
          <w:kern w:val="0"/>
          <w:sz w:val="24"/>
          <w:szCs w:val="24"/>
          <w:highlight w:val="none"/>
        </w:rPr>
      </w:pPr>
      <w:r>
        <w:rPr>
          <w:rFonts w:hint="eastAsia" w:hAnsi="宋体" w:cs="宋体"/>
          <w:color w:val="auto"/>
          <w:sz w:val="24"/>
          <w:szCs w:val="24"/>
          <w:highlight w:val="none"/>
        </w:rPr>
        <w:t>表1：道路人工清扫定额</w:t>
      </w:r>
      <w:r>
        <w:rPr>
          <w:rFonts w:hint="eastAsia" w:hAnsi="宋体" w:cs="宋体"/>
          <w:color w:val="auto"/>
          <w:kern w:val="0"/>
          <w:sz w:val="24"/>
          <w:szCs w:val="24"/>
          <w:highlight w:val="none"/>
        </w:rPr>
        <w:t>（m</w:t>
      </w:r>
      <w:r>
        <w:rPr>
          <w:rFonts w:hint="eastAsia" w:hAnsi="宋体" w:cs="宋体"/>
          <w:color w:val="auto"/>
          <w:kern w:val="0"/>
          <w:sz w:val="24"/>
          <w:szCs w:val="24"/>
          <w:highlight w:val="none"/>
          <w:vertAlign w:val="superscript"/>
        </w:rPr>
        <w:t>2</w:t>
      </w:r>
      <w:r>
        <w:rPr>
          <w:rFonts w:hint="eastAsia" w:hAnsi="宋体" w:cs="宋体"/>
          <w:color w:val="auto"/>
          <w:kern w:val="0"/>
          <w:sz w:val="24"/>
          <w:szCs w:val="24"/>
          <w:highlight w:val="none"/>
        </w:rPr>
        <w:t>/工·日）</w:t>
      </w:r>
    </w:p>
    <w:tbl>
      <w:tblPr>
        <w:tblStyle w:val="54"/>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定额编号</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01</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02</w:t>
            </w:r>
          </w:p>
        </w:tc>
        <w:tc>
          <w:tcPr>
            <w:tcW w:w="1705"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03</w:t>
            </w:r>
          </w:p>
        </w:tc>
        <w:tc>
          <w:tcPr>
            <w:tcW w:w="1751"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道路等级</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一级道路</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二级道路</w:t>
            </w:r>
          </w:p>
        </w:tc>
        <w:tc>
          <w:tcPr>
            <w:tcW w:w="1705"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三级道路</w:t>
            </w:r>
          </w:p>
        </w:tc>
        <w:tc>
          <w:tcPr>
            <w:tcW w:w="1751"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清扫面积</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4200</w:t>
            </w:r>
          </w:p>
        </w:tc>
        <w:tc>
          <w:tcPr>
            <w:tcW w:w="1704"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4800</w:t>
            </w:r>
          </w:p>
        </w:tc>
        <w:tc>
          <w:tcPr>
            <w:tcW w:w="1705"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6200</w:t>
            </w:r>
          </w:p>
        </w:tc>
        <w:tc>
          <w:tcPr>
            <w:tcW w:w="1751" w:type="dxa"/>
            <w:vAlign w:val="center"/>
          </w:tcPr>
          <w:p>
            <w:pPr>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7800</w:t>
            </w:r>
          </w:p>
        </w:tc>
      </w:tr>
    </w:tbl>
    <w:p>
      <w:pPr>
        <w:pStyle w:val="202"/>
        <w:snapToGrid w:val="0"/>
        <w:spacing w:before="0"/>
        <w:ind w:firstLine="480"/>
        <w:rPr>
          <w:rFonts w:ascii="宋体" w:hAnsi="宋体" w:cs="宋体"/>
          <w:color w:val="auto"/>
          <w:szCs w:val="24"/>
          <w:highlight w:val="none"/>
        </w:rPr>
      </w:pP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lang w:val="zh-CN"/>
        </w:rPr>
        <w:t>（三）</w:t>
      </w:r>
      <w:r>
        <w:rPr>
          <w:rFonts w:hint="eastAsia" w:ascii="宋体" w:hAnsi="宋体" w:cs="宋体"/>
          <w:color w:val="auto"/>
          <w:kern w:val="0"/>
          <w:szCs w:val="24"/>
          <w:highlight w:val="none"/>
        </w:rPr>
        <w:t>道路清扫、保洁（含机扫、洒水、洁面工程、绿化带漂浮物的清捡）必须作业到两边建筑物基石（机扫、洒水到道路侧石），道路岔道、弄口清扫向外延伸6米。</w:t>
      </w:r>
    </w:p>
    <w:p>
      <w:pPr>
        <w:tabs>
          <w:tab w:val="left" w:pos="1423"/>
        </w:tabs>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lang w:val="zh-CN"/>
        </w:rPr>
        <w:t>（四）</w:t>
      </w:r>
      <w:r>
        <w:rPr>
          <w:rFonts w:hint="eastAsia" w:ascii="宋体" w:hAnsi="宋体" w:cs="宋体"/>
          <w:color w:val="auto"/>
          <w:sz w:val="24"/>
          <w:szCs w:val="24"/>
          <w:highlight w:val="none"/>
          <w:lang w:val="zh-CN"/>
        </w:rPr>
        <w:t>道路清扫保洁质量要求</w:t>
      </w:r>
    </w:p>
    <w:p>
      <w:pPr>
        <w:tabs>
          <w:tab w:val="left" w:pos="1423"/>
        </w:tabs>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1、普扫作业质量要求</w:t>
      </w:r>
    </w:p>
    <w:p>
      <w:pPr>
        <w:tabs>
          <w:tab w:val="left" w:pos="1423"/>
        </w:tabs>
        <w:autoSpaceDE w:val="0"/>
        <w:autoSpaceDN w:val="0"/>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（1）道路普扫清扫保洁质量按省建设厅相关文件标准执行。道路路面首次普扫质量应符合表</w:t>
      </w:r>
      <w:r>
        <w:rPr>
          <w:rFonts w:hint="eastAsia" w:ascii="宋体" w:hAnsi="宋体" w:cs="宋体"/>
          <w:color w:val="auto"/>
          <w:sz w:val="24"/>
          <w:szCs w:val="24"/>
          <w:highlight w:val="none"/>
        </w:rPr>
        <w:t>2规定。</w:t>
      </w:r>
    </w:p>
    <w:p>
      <w:pPr>
        <w:pStyle w:val="26"/>
        <w:snapToGrid w:val="0"/>
        <w:spacing w:line="360" w:lineRule="auto"/>
        <w:ind w:firstLine="480" w:firstLineChars="200"/>
        <w:jc w:val="center"/>
        <w:rPr>
          <w:rFonts w:hAnsi="宋体" w:cs="宋体"/>
          <w:color w:val="auto"/>
          <w:sz w:val="24"/>
          <w:szCs w:val="24"/>
          <w:highlight w:val="none"/>
        </w:rPr>
      </w:pPr>
      <w:r>
        <w:rPr>
          <w:rFonts w:hint="eastAsia" w:hAnsi="宋体" w:cs="宋体"/>
          <w:color w:val="auto"/>
          <w:sz w:val="24"/>
          <w:szCs w:val="24"/>
          <w:highlight w:val="none"/>
        </w:rPr>
        <w:t>表2 路面普扫质量要求</w:t>
      </w:r>
    </w:p>
    <w:tbl>
      <w:tblPr>
        <w:tblStyle w:val="54"/>
        <w:tblW w:w="8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40"/>
        <w:gridCol w:w="1472"/>
        <w:gridCol w:w="688"/>
        <w:gridCol w:w="2152"/>
        <w:gridCol w:w="908"/>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保洁</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等级</w:t>
            </w:r>
          </w:p>
        </w:tc>
        <w:tc>
          <w:tcPr>
            <w:tcW w:w="2212" w:type="dxa"/>
            <w:gridSpan w:val="2"/>
            <w:vAlign w:val="center"/>
          </w:tcPr>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质量要求</w:t>
            </w:r>
          </w:p>
        </w:tc>
        <w:tc>
          <w:tcPr>
            <w:tcW w:w="688"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保洁</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等级</w:t>
            </w:r>
          </w:p>
        </w:tc>
        <w:tc>
          <w:tcPr>
            <w:tcW w:w="2152" w:type="dxa"/>
            <w:vAlign w:val="center"/>
          </w:tcPr>
          <w:p>
            <w:pPr>
              <w:pStyle w:val="26"/>
              <w:snapToGrid w:val="0"/>
              <w:spacing w:line="360" w:lineRule="auto"/>
              <w:ind w:firstLine="480" w:firstLineChars="200"/>
              <w:jc w:val="center"/>
              <w:rPr>
                <w:rFonts w:hAnsi="宋体" w:cs="宋体"/>
                <w:color w:val="auto"/>
                <w:kern w:val="0"/>
                <w:sz w:val="24"/>
                <w:szCs w:val="24"/>
                <w:highlight w:val="none"/>
              </w:rPr>
            </w:pPr>
            <w:r>
              <w:rPr>
                <w:rFonts w:hint="eastAsia" w:hAnsi="宋体" w:cs="宋体"/>
                <w:color w:val="auto"/>
                <w:kern w:val="0"/>
                <w:sz w:val="24"/>
                <w:szCs w:val="24"/>
                <w:highlight w:val="none"/>
              </w:rPr>
              <w:t>质量要求</w:t>
            </w:r>
          </w:p>
        </w:tc>
        <w:tc>
          <w:tcPr>
            <w:tcW w:w="908"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保洁</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等级</w:t>
            </w:r>
          </w:p>
        </w:tc>
        <w:tc>
          <w:tcPr>
            <w:tcW w:w="1934" w:type="dxa"/>
            <w:vAlign w:val="center"/>
          </w:tcPr>
          <w:p>
            <w:pPr>
              <w:pStyle w:val="26"/>
              <w:snapToGrid w:val="0"/>
              <w:spacing w:line="360" w:lineRule="auto"/>
              <w:ind w:firstLine="480" w:firstLineChars="200"/>
              <w:jc w:val="center"/>
              <w:rPr>
                <w:rFonts w:hAnsi="宋体" w:cs="宋体"/>
                <w:color w:val="auto"/>
                <w:kern w:val="0"/>
                <w:sz w:val="24"/>
                <w:szCs w:val="24"/>
                <w:highlight w:val="none"/>
              </w:rPr>
            </w:pPr>
            <w:r>
              <w:rPr>
                <w:rFonts w:hint="eastAsia" w:hAnsi="宋体" w:cs="宋体"/>
                <w:color w:val="auto"/>
                <w:kern w:val="0"/>
                <w:sz w:val="24"/>
                <w:szCs w:val="24"/>
                <w:highlight w:val="none"/>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一</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级</w:t>
            </w:r>
          </w:p>
        </w:tc>
        <w:tc>
          <w:tcPr>
            <w:tcW w:w="740"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路面见本色</w:t>
            </w:r>
          </w:p>
        </w:tc>
        <w:tc>
          <w:tcPr>
            <w:tcW w:w="1472" w:type="dxa"/>
            <w:vMerge w:val="restart"/>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sz w:val="24"/>
                <w:szCs w:val="24"/>
                <w:highlight w:val="none"/>
              </w:rPr>
              <w:t>五无五净：无果皮纸屑、无土石杂草、无积水积泥、无痰迹烟蒂、无堆积物；路面干净、道路绿地树圈干净、边角侧石干净、窨井盖沟槽畅通干净、果壳箱等环卫设施整齐干净。</w:t>
            </w:r>
          </w:p>
        </w:tc>
        <w:tc>
          <w:tcPr>
            <w:tcW w:w="688" w:type="dxa"/>
            <w:vMerge w:val="restart"/>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三</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级</w:t>
            </w:r>
          </w:p>
        </w:tc>
        <w:tc>
          <w:tcPr>
            <w:tcW w:w="2152" w:type="dxa"/>
            <w:vMerge w:val="restart"/>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sz w:val="24"/>
                <w:szCs w:val="24"/>
                <w:highlight w:val="none"/>
              </w:rPr>
              <w:t>四无四净：无果皮纸屑、无土石杂草、无积泥堆积物、无痰迹烟蒂；路面干净、道路绿地树圈干净、窨井沟槽畅通侧石干净、果壳箱等环卫设施整齐干净。</w:t>
            </w:r>
          </w:p>
        </w:tc>
        <w:tc>
          <w:tcPr>
            <w:tcW w:w="908" w:type="dxa"/>
            <w:vMerge w:val="restart"/>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四</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级</w:t>
            </w:r>
          </w:p>
        </w:tc>
        <w:tc>
          <w:tcPr>
            <w:tcW w:w="1934" w:type="dxa"/>
            <w:vMerge w:val="restart"/>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sz w:val="24"/>
                <w:szCs w:val="24"/>
                <w:highlight w:val="none"/>
              </w:rPr>
              <w:t>三无三净：无果皮纸屑烟蒂、无土石杂草、无积泥堆积物；路面干净、边角侧石干净，窨井沟槽畅通干净。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二</w:t>
            </w:r>
          </w:p>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级</w:t>
            </w:r>
          </w:p>
        </w:tc>
        <w:tc>
          <w:tcPr>
            <w:tcW w:w="740" w:type="dxa"/>
            <w:vAlign w:val="center"/>
          </w:tcPr>
          <w:p>
            <w:pPr>
              <w:pStyle w:val="26"/>
              <w:snapToGrid w:val="0"/>
              <w:spacing w:line="360" w:lineRule="auto"/>
              <w:rPr>
                <w:rFonts w:hAnsi="宋体" w:cs="宋体"/>
                <w:color w:val="auto"/>
                <w:kern w:val="0"/>
                <w:sz w:val="24"/>
                <w:szCs w:val="24"/>
                <w:highlight w:val="none"/>
              </w:rPr>
            </w:pPr>
            <w:r>
              <w:rPr>
                <w:rFonts w:hint="eastAsia" w:hAnsi="宋体" w:cs="宋体"/>
                <w:color w:val="auto"/>
                <w:kern w:val="0"/>
                <w:sz w:val="24"/>
                <w:szCs w:val="24"/>
                <w:highlight w:val="none"/>
              </w:rPr>
              <w:t>路面基本见本色</w:t>
            </w:r>
          </w:p>
        </w:tc>
        <w:tc>
          <w:tcPr>
            <w:tcW w:w="1472" w:type="dxa"/>
            <w:vMerge w:val="continue"/>
            <w:vAlign w:val="center"/>
          </w:tcPr>
          <w:p>
            <w:pPr>
              <w:pStyle w:val="26"/>
              <w:snapToGrid w:val="0"/>
              <w:spacing w:line="360" w:lineRule="auto"/>
              <w:ind w:firstLine="480" w:firstLineChars="200"/>
              <w:rPr>
                <w:rFonts w:hAnsi="宋体" w:cs="宋体"/>
                <w:color w:val="auto"/>
                <w:kern w:val="0"/>
                <w:sz w:val="24"/>
                <w:szCs w:val="24"/>
                <w:highlight w:val="none"/>
              </w:rPr>
            </w:pPr>
          </w:p>
        </w:tc>
        <w:tc>
          <w:tcPr>
            <w:tcW w:w="688" w:type="dxa"/>
            <w:vMerge w:val="continue"/>
            <w:vAlign w:val="center"/>
          </w:tcPr>
          <w:p>
            <w:pPr>
              <w:pStyle w:val="26"/>
              <w:snapToGrid w:val="0"/>
              <w:spacing w:line="360" w:lineRule="auto"/>
              <w:ind w:firstLine="480" w:firstLineChars="200"/>
              <w:rPr>
                <w:rFonts w:hAnsi="宋体" w:cs="宋体"/>
                <w:color w:val="auto"/>
                <w:kern w:val="0"/>
                <w:sz w:val="24"/>
                <w:szCs w:val="24"/>
                <w:highlight w:val="none"/>
              </w:rPr>
            </w:pPr>
          </w:p>
        </w:tc>
        <w:tc>
          <w:tcPr>
            <w:tcW w:w="2152" w:type="dxa"/>
            <w:vMerge w:val="continue"/>
            <w:vAlign w:val="center"/>
          </w:tcPr>
          <w:p>
            <w:pPr>
              <w:pStyle w:val="26"/>
              <w:snapToGrid w:val="0"/>
              <w:spacing w:line="360" w:lineRule="auto"/>
              <w:ind w:firstLine="480" w:firstLineChars="200"/>
              <w:rPr>
                <w:rFonts w:hAnsi="宋体" w:cs="宋体"/>
                <w:color w:val="auto"/>
                <w:kern w:val="0"/>
                <w:sz w:val="24"/>
                <w:szCs w:val="24"/>
                <w:highlight w:val="none"/>
              </w:rPr>
            </w:pPr>
          </w:p>
        </w:tc>
        <w:tc>
          <w:tcPr>
            <w:tcW w:w="908" w:type="dxa"/>
            <w:vMerge w:val="continue"/>
            <w:vAlign w:val="center"/>
          </w:tcPr>
          <w:p>
            <w:pPr>
              <w:pStyle w:val="26"/>
              <w:snapToGrid w:val="0"/>
              <w:spacing w:line="360" w:lineRule="auto"/>
              <w:ind w:firstLine="480" w:firstLineChars="200"/>
              <w:rPr>
                <w:rFonts w:hAnsi="宋体" w:cs="宋体"/>
                <w:color w:val="auto"/>
                <w:kern w:val="0"/>
                <w:sz w:val="24"/>
                <w:szCs w:val="24"/>
                <w:highlight w:val="none"/>
              </w:rPr>
            </w:pPr>
          </w:p>
        </w:tc>
        <w:tc>
          <w:tcPr>
            <w:tcW w:w="1934" w:type="dxa"/>
            <w:vMerge w:val="continue"/>
            <w:vAlign w:val="center"/>
          </w:tcPr>
          <w:p>
            <w:pPr>
              <w:pStyle w:val="26"/>
              <w:snapToGrid w:val="0"/>
              <w:spacing w:line="360" w:lineRule="auto"/>
              <w:ind w:firstLine="480" w:firstLineChars="200"/>
              <w:rPr>
                <w:rFonts w:hAnsi="宋体" w:cs="宋体"/>
                <w:color w:val="auto"/>
                <w:kern w:val="0"/>
                <w:sz w:val="24"/>
                <w:szCs w:val="24"/>
                <w:highlight w:val="none"/>
              </w:rPr>
            </w:pPr>
          </w:p>
        </w:tc>
      </w:tr>
    </w:tbl>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（2）普扫完成时间：所有道路普扫作业每日不少于</w:t>
      </w:r>
      <w:r>
        <w:rPr>
          <w:rFonts w:hint="eastAsia" w:ascii="宋体" w:hAnsi="宋体" w:cs="宋体"/>
          <w:color w:val="auto"/>
          <w:sz w:val="24"/>
          <w:szCs w:val="24"/>
          <w:highlight w:val="none"/>
        </w:rPr>
        <w:t>2次；</w:t>
      </w:r>
      <w:r>
        <w:rPr>
          <w:rFonts w:hint="eastAsia" w:ascii="宋体" w:hAnsi="宋体" w:cs="宋体"/>
          <w:color w:val="auto"/>
          <w:sz w:val="24"/>
          <w:szCs w:val="24"/>
          <w:highlight w:val="none"/>
          <w:lang w:val="zh-CN"/>
        </w:rPr>
        <w:t>一、二级保洁路段第一次普扫在上午7：30之前完成，第二次普扫在机关单位下午上班之前完成；三级保洁路段春冬季第一次普扫在上午8：00之前，夏秋季上午7：30之前完成，第二次普扫在机关单位下午上班之前完成；四级保洁路段春冬季第一次普扫在上午8：00之前，夏秋季上午7：30之前完成，第二次普扫在下午15:00前完成。</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2、清扫作业质量要求</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（1）清扫保洁时间：</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1、一类道路清扫保洁时间</w:t>
      </w:r>
      <w:r>
        <w:rPr>
          <w:rFonts w:hint="eastAsia" w:ascii="宋体" w:hAnsi="宋体" w:cs="宋体"/>
          <w:color w:val="auto"/>
          <w:sz w:val="24"/>
          <w:szCs w:val="24"/>
          <w:highlight w:val="none"/>
          <w:shd w:val="clear" w:color="auto" w:fill="FFFFFF"/>
          <w:lang w:val="zh-CN"/>
        </w:rPr>
        <w:t>每日</w:t>
      </w:r>
      <w:r>
        <w:rPr>
          <w:rFonts w:hint="eastAsia" w:ascii="宋体" w:hAnsi="宋体" w:cs="宋体"/>
          <w:color w:val="auto"/>
          <w:sz w:val="24"/>
          <w:szCs w:val="24"/>
          <w:highlight w:val="none"/>
          <w:lang w:val="zh-CN"/>
        </w:rPr>
        <w:t>不少于18小时。</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2、二类道路清扫保洁时间</w:t>
      </w:r>
      <w:r>
        <w:rPr>
          <w:rFonts w:hint="eastAsia" w:ascii="宋体" w:hAnsi="宋体" w:cs="宋体"/>
          <w:color w:val="auto"/>
          <w:sz w:val="24"/>
          <w:szCs w:val="24"/>
          <w:highlight w:val="none"/>
          <w:shd w:val="clear" w:color="auto" w:fill="FFFFFF"/>
          <w:lang w:val="zh-CN"/>
        </w:rPr>
        <w:t>每日</w:t>
      </w:r>
      <w:r>
        <w:rPr>
          <w:rFonts w:hint="eastAsia" w:ascii="宋体" w:hAnsi="宋体" w:cs="宋体"/>
          <w:color w:val="auto"/>
          <w:sz w:val="24"/>
          <w:szCs w:val="24"/>
          <w:highlight w:val="none"/>
          <w:lang w:val="zh-CN"/>
        </w:rPr>
        <w:t>不少于</w:t>
      </w:r>
      <w:r>
        <w:rPr>
          <w:rFonts w:hint="eastAsia" w:ascii="宋体" w:hAnsi="宋体" w:cs="宋体"/>
          <w:color w:val="auto"/>
          <w:sz w:val="24"/>
          <w:szCs w:val="24"/>
          <w:highlight w:val="none"/>
          <w:shd w:val="clear" w:color="auto" w:fill="FFFFFF"/>
          <w:lang w:val="zh-CN"/>
        </w:rPr>
        <w:t>16</w:t>
      </w:r>
      <w:r>
        <w:rPr>
          <w:rFonts w:hint="eastAsia" w:ascii="宋体" w:hAnsi="宋体" w:cs="宋体"/>
          <w:color w:val="auto"/>
          <w:sz w:val="24"/>
          <w:szCs w:val="24"/>
          <w:highlight w:val="none"/>
          <w:lang w:val="zh-CN"/>
        </w:rPr>
        <w:t>小时。</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3、三类道路清扫保洁时间</w:t>
      </w:r>
      <w:r>
        <w:rPr>
          <w:rFonts w:hint="eastAsia" w:ascii="宋体" w:hAnsi="宋体" w:cs="宋体"/>
          <w:color w:val="auto"/>
          <w:sz w:val="24"/>
          <w:szCs w:val="24"/>
          <w:highlight w:val="none"/>
          <w:shd w:val="clear" w:color="auto" w:fill="FFFFFF"/>
          <w:lang w:val="zh-CN"/>
        </w:rPr>
        <w:t>每日</w:t>
      </w:r>
      <w:r>
        <w:rPr>
          <w:rFonts w:hint="eastAsia" w:ascii="宋体" w:hAnsi="宋体" w:cs="宋体"/>
          <w:color w:val="auto"/>
          <w:sz w:val="24"/>
          <w:szCs w:val="24"/>
          <w:highlight w:val="none"/>
          <w:lang w:val="zh-CN"/>
        </w:rPr>
        <w:t>不少于</w:t>
      </w:r>
      <w:r>
        <w:rPr>
          <w:rFonts w:hint="eastAsia" w:ascii="宋体" w:hAnsi="宋体" w:cs="宋体"/>
          <w:color w:val="auto"/>
          <w:sz w:val="24"/>
          <w:szCs w:val="24"/>
          <w:highlight w:val="none"/>
          <w:shd w:val="clear" w:color="auto" w:fill="FFFFFF"/>
          <w:lang w:val="zh-CN"/>
        </w:rPr>
        <w:t>12小时</w:t>
      </w:r>
      <w:r>
        <w:rPr>
          <w:rFonts w:hint="eastAsia" w:ascii="宋体" w:hAnsi="宋体" w:cs="宋体"/>
          <w:color w:val="auto"/>
          <w:sz w:val="24"/>
          <w:szCs w:val="24"/>
          <w:highlight w:val="none"/>
          <w:lang w:val="zh-CN"/>
        </w:rPr>
        <w:t>。</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4、四类道路清扫保洁时间每日不少于8小时。</w:t>
      </w:r>
    </w:p>
    <w:p>
      <w:pPr>
        <w:autoSpaceDE w:val="0"/>
        <w:autoSpaceDN w:val="0"/>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（2）道路路面干净、地面无痰迹、道路侧石无积泥、污迹、晴天地面无积水、窨井口畅通、果壳箱</w:t>
      </w:r>
      <w:r>
        <w:rPr>
          <w:rFonts w:hint="eastAsia" w:ascii="宋体" w:hAnsi="宋体" w:cs="宋体"/>
          <w:color w:val="auto"/>
          <w:sz w:val="24"/>
          <w:szCs w:val="24"/>
          <w:highlight w:val="none"/>
          <w:lang w:val="zh-CN"/>
        </w:rPr>
        <w:t>等</w:t>
      </w:r>
      <w:r>
        <w:rPr>
          <w:rFonts w:hint="eastAsia" w:ascii="宋体" w:hAnsi="宋体" w:cs="宋体"/>
          <w:color w:val="auto"/>
          <w:sz w:val="24"/>
          <w:szCs w:val="24"/>
          <w:highlight w:val="none"/>
        </w:rPr>
        <w:t>公共设施干净整洁。</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zh-CN"/>
        </w:rPr>
        <w:t>道路路面废弃物控制指标应符合表3规定，但在同一单位长度内，不得超过各单项废弃物总数的50%。</w:t>
      </w:r>
    </w:p>
    <w:p>
      <w:pPr>
        <w:autoSpaceDE w:val="0"/>
        <w:autoSpaceDN w:val="0"/>
        <w:adjustRightInd w:val="0"/>
        <w:snapToGrid w:val="0"/>
        <w:spacing w:line="360" w:lineRule="auto"/>
        <w:ind w:firstLine="480" w:firstLineChars="20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表3：路面废弃物控制指标</w:t>
      </w:r>
    </w:p>
    <w:tbl>
      <w:tblPr>
        <w:tblStyle w:val="54"/>
        <w:tblW w:w="9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64"/>
        <w:gridCol w:w="1559"/>
        <w:gridCol w:w="1418"/>
        <w:gridCol w:w="1595"/>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保洁</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等级</w:t>
            </w:r>
          </w:p>
        </w:tc>
        <w:tc>
          <w:tcPr>
            <w:tcW w:w="1264" w:type="dxa"/>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果皮（片/1000㎡）</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纸屑塑模</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(片/1000 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w:t>
            </w:r>
          </w:p>
        </w:tc>
        <w:tc>
          <w:tcPr>
            <w:tcW w:w="1418"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烟蒂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(个/1000 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w:t>
            </w:r>
          </w:p>
        </w:tc>
        <w:tc>
          <w:tcPr>
            <w:tcW w:w="1595"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痰迹</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(处/1000 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w:t>
            </w:r>
          </w:p>
        </w:tc>
        <w:tc>
          <w:tcPr>
            <w:tcW w:w="1440"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污水</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/1000 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w:t>
            </w:r>
          </w:p>
        </w:tc>
        <w:tc>
          <w:tcPr>
            <w:tcW w:w="1440"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其他</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(处/1000 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一级</w:t>
            </w:r>
          </w:p>
        </w:tc>
        <w:tc>
          <w:tcPr>
            <w:tcW w:w="1264"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1559"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1418"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1595"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无</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二级</w:t>
            </w:r>
          </w:p>
        </w:tc>
        <w:tc>
          <w:tcPr>
            <w:tcW w:w="1264"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≤6</w:t>
            </w:r>
          </w:p>
        </w:tc>
        <w:tc>
          <w:tcPr>
            <w:tcW w:w="1559"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≤6</w:t>
            </w:r>
          </w:p>
        </w:tc>
        <w:tc>
          <w:tcPr>
            <w:tcW w:w="1418"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≤8</w:t>
            </w:r>
          </w:p>
        </w:tc>
        <w:tc>
          <w:tcPr>
            <w:tcW w:w="1595"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≤8</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≤0.5</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三级</w:t>
            </w:r>
          </w:p>
        </w:tc>
        <w:tc>
          <w:tcPr>
            <w:tcW w:w="1264"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≤8</w:t>
            </w:r>
          </w:p>
        </w:tc>
        <w:tc>
          <w:tcPr>
            <w:tcW w:w="1559"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≤10</w:t>
            </w:r>
          </w:p>
        </w:tc>
        <w:tc>
          <w:tcPr>
            <w:tcW w:w="1418"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≤10</w:t>
            </w:r>
          </w:p>
        </w:tc>
        <w:tc>
          <w:tcPr>
            <w:tcW w:w="1595"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≤10</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≤1.5</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vAlign w:val="center"/>
          </w:tcPr>
          <w:p>
            <w:pPr>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四级</w:t>
            </w:r>
          </w:p>
        </w:tc>
        <w:tc>
          <w:tcPr>
            <w:tcW w:w="1264"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≤10</w:t>
            </w:r>
          </w:p>
        </w:tc>
        <w:tc>
          <w:tcPr>
            <w:tcW w:w="1559"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≤12</w:t>
            </w:r>
          </w:p>
        </w:tc>
        <w:tc>
          <w:tcPr>
            <w:tcW w:w="1418"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≤15</w:t>
            </w:r>
          </w:p>
        </w:tc>
        <w:tc>
          <w:tcPr>
            <w:tcW w:w="1595"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≤15</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≤2.0</w:t>
            </w:r>
          </w:p>
        </w:tc>
        <w:tc>
          <w:tcPr>
            <w:tcW w:w="1440" w:type="dxa"/>
            <w:vAlign w:val="center"/>
          </w:tcPr>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≤8</w:t>
            </w:r>
          </w:p>
        </w:tc>
      </w:tr>
    </w:tbl>
    <w:p>
      <w:pPr>
        <w:pStyle w:val="26"/>
        <w:snapToGrid w:val="0"/>
        <w:spacing w:line="360" w:lineRule="auto"/>
        <w:ind w:firstLine="480" w:firstLineChars="200"/>
        <w:rPr>
          <w:rFonts w:hAnsi="宋体" w:cs="宋体"/>
          <w:color w:val="auto"/>
          <w:sz w:val="24"/>
          <w:szCs w:val="24"/>
          <w:highlight w:val="none"/>
          <w:lang w:val="zh-CN"/>
        </w:rPr>
      </w:pPr>
      <w:r>
        <w:rPr>
          <w:rFonts w:hint="eastAsia" w:hAnsi="宋体" w:cs="宋体"/>
          <w:color w:val="auto"/>
          <w:sz w:val="24"/>
          <w:szCs w:val="24"/>
          <w:highlight w:val="none"/>
          <w:lang w:val="zh-CN"/>
        </w:rPr>
        <w:t>（4）主要道路与各单位、小区、市场、学校、工地连接口所产生的垃圾以及行驶、停泊在主要道路上各类车辆产生的垃圾，及时清扫和收集。</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（5）桥梁环境卫生质量参照本规范同等级道路标准。</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（五）道路清扫保洁作业规范</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szCs w:val="24"/>
          <w:highlight w:val="none"/>
        </w:rPr>
        <w:t>1、</w:t>
      </w:r>
      <w:r>
        <w:rPr>
          <w:rFonts w:hint="eastAsia" w:ascii="宋体" w:hAnsi="宋体" w:cs="宋体"/>
          <w:color w:val="auto"/>
          <w:kern w:val="0"/>
          <w:szCs w:val="24"/>
          <w:highlight w:val="none"/>
        </w:rPr>
        <w:t>实行道路保洁时间段内不间断巡回保洁；各类道路每日在规定时间前完成不少于二遍统扫，主要街道、人行道需安排保洁人员落实巡回保洁。</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2、道路保洁应采取多班制，上午、下午、夜班不能连班作业，道路作业严格遵照作业标准执行。</w:t>
      </w:r>
    </w:p>
    <w:p>
      <w:pPr>
        <w:tabs>
          <w:tab w:val="left" w:pos="720"/>
        </w:tabs>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3、清扫道路时须小心执扫，不得漏扫、甩扫，控制扬尘，避免妨碍行人。</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4、普扫时，应按人行道路面、树穴及周边、车行道路面、窨井口的顺序进行全面清扫。</w:t>
      </w:r>
    </w:p>
    <w:p>
      <w:pPr>
        <w:pStyle w:val="202"/>
        <w:snapToGrid w:val="0"/>
        <w:spacing w:before="0"/>
        <w:ind w:firstLine="480"/>
        <w:rPr>
          <w:rFonts w:ascii="宋体" w:hAnsi="宋体" w:cs="宋体"/>
          <w:color w:val="auto"/>
          <w:szCs w:val="24"/>
          <w:highlight w:val="none"/>
          <w:lang w:val="zh-CN"/>
        </w:rPr>
      </w:pPr>
      <w:r>
        <w:rPr>
          <w:rFonts w:hint="eastAsia" w:ascii="宋体" w:hAnsi="宋体" w:cs="宋体"/>
          <w:color w:val="auto"/>
          <w:szCs w:val="24"/>
          <w:highlight w:val="none"/>
          <w:lang w:val="zh-CN"/>
        </w:rPr>
        <w:t>5、清扫垃圾归拢时，须靠边打堆，及时清运，不漏收，</w:t>
      </w:r>
      <w:r>
        <w:rPr>
          <w:rFonts w:hint="eastAsia" w:ascii="宋体" w:hAnsi="宋体" w:cs="宋体"/>
          <w:color w:val="auto"/>
          <w:kern w:val="0"/>
          <w:szCs w:val="24"/>
          <w:highlight w:val="none"/>
        </w:rPr>
        <w:t>不得焚烧垃圾、树叶，</w:t>
      </w:r>
      <w:r>
        <w:rPr>
          <w:rFonts w:hint="eastAsia" w:ascii="宋体" w:hAnsi="宋体" w:cs="宋体"/>
          <w:color w:val="auto"/>
          <w:szCs w:val="24"/>
          <w:highlight w:val="none"/>
          <w:lang w:val="zh-CN"/>
        </w:rPr>
        <w:t>清扫道路时不得将垃圾扫入窨井、里弄口等，并疏通窨井口、淸理阴沟。</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6、保洁时，巡回走动，及时清除路面的垃圾。</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7、保洁员收集的垃圾必须直接运往指定的垃圾中转站倾倒，不得造成二次污染，</w:t>
      </w:r>
      <w:r>
        <w:rPr>
          <w:rFonts w:hint="eastAsia" w:ascii="宋体" w:hAnsi="宋体" w:cs="宋体"/>
          <w:color w:val="auto"/>
          <w:kern w:val="0"/>
          <w:sz w:val="24"/>
          <w:szCs w:val="24"/>
          <w:highlight w:val="none"/>
        </w:rPr>
        <w:t>严禁保洁员将扫好的垃圾倒入沿街摆放的垃圾桶，违反者将按考核相关规定处罚扣分</w:t>
      </w:r>
      <w:r>
        <w:rPr>
          <w:rFonts w:hint="eastAsia" w:ascii="宋体" w:hAnsi="宋体" w:cs="宋体"/>
          <w:color w:val="auto"/>
          <w:sz w:val="24"/>
          <w:szCs w:val="24"/>
          <w:highlight w:val="none"/>
          <w:lang w:val="zh-CN"/>
        </w:rPr>
        <w:t>。</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8、街道两旁弄口可视范围内的道路按照所在街道的保洁时间、质量要求同级进行保洁及考核。</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9、沿街道路两侧经营户的生活垃圾（包括垃圾桶，垃圾房、果壳箱和太阳能广告箱）必须及时收集，做到即满即清不得外溢。</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10、各类保洁车内的垃圾必须做到及时倾倒，不得外溢，保持周围场地清洁。</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11、各路段应做好上下班的交接班工作，确保道路卫生质量。</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szCs w:val="24"/>
          <w:highlight w:val="none"/>
        </w:rPr>
        <w:t>12、</w:t>
      </w:r>
      <w:r>
        <w:rPr>
          <w:rFonts w:hint="eastAsia" w:ascii="宋体" w:hAnsi="宋体" w:cs="宋体"/>
          <w:color w:val="auto"/>
          <w:kern w:val="0"/>
          <w:szCs w:val="24"/>
          <w:highlight w:val="none"/>
        </w:rPr>
        <w:t>道路发生严重污染应第一时间组织冲洗。</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13、道路大面积污染需要集中清扫或清洗时，需得到相关部门的配合，距清扫点来往方向近100米设置警示牌。</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（六）机械清扫（清洗）作业时间和规范：</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1、洒水（清洗）次数和时间应符合下列要求：</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a）统扫作业前，应先对路面进行洒水。</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b）道路每日洒水不少于2次。 </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c）气温35℃以上，道路洒水不少于4次，最低气温为2℃及以下时暂停洒水（清洗）。结冰期禁止洒水（清洗）。</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d）一类道路每周组织不少于一次全面清洗；二类道路每月组织不少于一次全面清洗。道路清洗保洁随脏随洗。</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e）道路交通护栏、隔离墩每周组织不少于1次清洗，并保持随脏随洗。</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kern w:val="0"/>
          <w:sz w:val="24"/>
          <w:szCs w:val="24"/>
          <w:highlight w:val="none"/>
        </w:rPr>
        <w:t>2、</w:t>
      </w:r>
      <w:r>
        <w:rPr>
          <w:rFonts w:hint="eastAsia" w:ascii="宋体" w:hAnsi="宋体" w:cs="宋体"/>
          <w:color w:val="auto"/>
          <w:sz w:val="24"/>
          <w:szCs w:val="24"/>
          <w:highlight w:val="none"/>
          <w:lang w:val="zh-CN"/>
        </w:rPr>
        <w:t>洒水（清洗）作业规范：</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a) 路面作业时，洒水车车速： 25km/h～30km/h；高压冲洗车车速：5km/h～10km/h。</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b) 洒水时不得漏洒（漏冲），注意调整高度和水压，作业结束后，应做到路面、侧石、交通隔离带以及道路相关公共设施周围无泥沙和积水。</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c) 清洗作业时水压调整适当，洒水车、机扫车、人工洗刷相互配合，以消除路面的积泥、沙石、污迹。清洗被严重污染的路面时，须反复冲洗 ，直至路面见本色。</w:t>
      </w:r>
    </w:p>
    <w:p>
      <w:pPr>
        <w:autoSpaceDE w:val="0"/>
        <w:autoSpaceDN w:val="0"/>
        <w:adjustRightInd w:val="0"/>
        <w:spacing w:line="360" w:lineRule="auto"/>
        <w:ind w:firstLine="480" w:firstLineChars="200"/>
        <w:jc w:val="left"/>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d) 清洗人行道时，洒水车须调整好水流幅宽，并配以人工洗刷路面，清洗被油污污染较为严重的路面时，可适当添加洗洁精等清洁液，反复冲洗，直至路面见本色。</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e) 洒水车不得倒车洒水。</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3、机械清扫作业规范</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1、清扫作业前应检查车辆性能，加足水，并根据路面状况调整好扫地车侧刷和吸口。</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2、清扫作业时应避免“干扫”，做到喷雾清扫不扬尘，不漏土。禁止侧刷、吸口不落地空跑。 </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3、清扫时注意观察路面清扫质量和路面障碍情况，对扫地车不能清除的大件垃圾或硬物，应及时下车清除，确保清扫质量和设备不受损坏。</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4、清扫完毕，应检查车辆内垃圾是否卸清，并做好车辆保洁和维护，保持车容整洁，性能良好。</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5、扫地车清扫作业时车速：≤10 km/h。高压冲洗车作业时车速：5 km/h--10 km/h</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6、清洗保洁作业前应检查车辆性能，加足水，并根据路面状况调整好喷头位置与水压，保证路面清洗效果，做到不溅污，不扰民，涉水车辆要到指定取水地点加注水，并注意节约用水。</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7、路面污染较重、清洗用水量较大时或路面排水不畅，容易积渍水时，应辅以人工推水的方式将积渍水推向下水道，避免污水横流。</w:t>
      </w:r>
    </w:p>
    <w:p>
      <w:pPr>
        <w:autoSpaceDE w:val="0"/>
        <w:autoSpaceDN w:val="0"/>
        <w:adjustRightInd w:val="0"/>
        <w:snapToGrid w:val="0"/>
        <w:spacing w:line="360" w:lineRule="auto"/>
        <w:ind w:firstLine="482" w:firstLineChars="200"/>
        <w:rPr>
          <w:rFonts w:ascii="宋体" w:hAnsi="宋体" w:cs="宋体"/>
          <w:b/>
          <w:color w:val="auto"/>
          <w:kern w:val="0"/>
          <w:sz w:val="24"/>
          <w:szCs w:val="24"/>
          <w:highlight w:val="none"/>
          <w:lang w:val="zh-CN"/>
        </w:rPr>
      </w:pPr>
      <w:r>
        <w:rPr>
          <w:rFonts w:hint="eastAsia" w:ascii="宋体" w:hAnsi="宋体" w:cs="宋体"/>
          <w:b/>
          <w:color w:val="auto"/>
          <w:kern w:val="0"/>
          <w:sz w:val="24"/>
          <w:szCs w:val="24"/>
          <w:highlight w:val="none"/>
        </w:rPr>
        <w:t>五、</w:t>
      </w:r>
      <w:r>
        <w:rPr>
          <w:rFonts w:hint="eastAsia" w:ascii="宋体" w:hAnsi="宋体" w:cs="宋体"/>
          <w:b/>
          <w:color w:val="auto"/>
          <w:kern w:val="0"/>
          <w:sz w:val="24"/>
          <w:szCs w:val="24"/>
          <w:highlight w:val="none"/>
          <w:lang w:val="zh-CN"/>
        </w:rPr>
        <w:t>果壳箱、太阳能广告箱、垃圾桶（箱、池）、分类垃圾房（亭）清扫（洗）保洁</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（一）作业内容</w:t>
      </w:r>
    </w:p>
    <w:p>
      <w:pPr>
        <w:autoSpaceDE w:val="0"/>
        <w:autoSpaceDN w:val="0"/>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lang w:val="zh-CN"/>
        </w:rPr>
        <w:t>片区内所有固定垃圾箱、</w:t>
      </w:r>
      <w:r>
        <w:rPr>
          <w:rFonts w:hint="eastAsia" w:ascii="宋体" w:hAnsi="宋体"/>
          <w:color w:val="auto"/>
          <w:sz w:val="24"/>
          <w:highlight w:val="none"/>
        </w:rPr>
        <w:t>太阳能广告箱、</w:t>
      </w:r>
      <w:r>
        <w:rPr>
          <w:rFonts w:hint="eastAsia" w:ascii="宋体" w:hAnsi="宋体" w:cs="宋体"/>
          <w:color w:val="auto"/>
          <w:kern w:val="0"/>
          <w:sz w:val="24"/>
          <w:szCs w:val="24"/>
          <w:highlight w:val="none"/>
          <w:lang w:val="zh-CN"/>
        </w:rPr>
        <w:t>移动垃圾桶、垃圾通道、分类垃圾房（亭）、果壳箱的清扫（洗）保洁。</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（二）作业质量要求</w:t>
      </w:r>
    </w:p>
    <w:p>
      <w:pPr>
        <w:autoSpaceDE w:val="0"/>
        <w:autoSpaceDN w:val="0"/>
        <w:adjustRightInd w:val="0"/>
        <w:snapToGrid w:val="0"/>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1、果壳箱、</w:t>
      </w:r>
      <w:r>
        <w:rPr>
          <w:rFonts w:hint="eastAsia" w:ascii="宋体" w:hAnsi="宋体"/>
          <w:color w:val="auto"/>
          <w:sz w:val="24"/>
          <w:highlight w:val="none"/>
        </w:rPr>
        <w:t>太阳能广告箱</w:t>
      </w:r>
      <w:r>
        <w:rPr>
          <w:rFonts w:hint="eastAsia" w:ascii="宋体" w:hAnsi="宋体" w:cs="宋体"/>
          <w:color w:val="auto"/>
          <w:sz w:val="24"/>
          <w:szCs w:val="24"/>
          <w:highlight w:val="none"/>
          <w:lang w:val="zh-CN"/>
        </w:rPr>
        <w:t>垃圾日产日清，</w:t>
      </w:r>
      <w:r>
        <w:rPr>
          <w:rFonts w:hint="eastAsia" w:ascii="宋体" w:hAnsi="宋体" w:cs="宋体"/>
          <w:color w:val="auto"/>
          <w:kern w:val="0"/>
          <w:sz w:val="24"/>
          <w:szCs w:val="24"/>
          <w:highlight w:val="none"/>
          <w:lang w:val="zh-CN"/>
        </w:rPr>
        <w:t>无积压，无堆积、不腐烂发臭；</w:t>
      </w:r>
      <w:r>
        <w:rPr>
          <w:rFonts w:hint="eastAsia" w:ascii="宋体" w:hAnsi="宋体" w:cs="宋体"/>
          <w:color w:val="auto"/>
          <w:sz w:val="24"/>
          <w:szCs w:val="24"/>
          <w:highlight w:val="none"/>
          <w:shd w:val="clear" w:color="auto" w:fill="FFFFFF"/>
          <w:lang w:val="zh-CN"/>
        </w:rPr>
        <w:t>果壳箱内胆冬季每周清洗不得少于一次，夏季每日不得少于一次；</w:t>
      </w:r>
      <w:r>
        <w:rPr>
          <w:rFonts w:hint="eastAsia" w:ascii="宋体" w:hAnsi="宋体" w:cs="宋体"/>
          <w:color w:val="auto"/>
          <w:sz w:val="24"/>
          <w:szCs w:val="24"/>
          <w:highlight w:val="none"/>
          <w:lang w:val="zh-CN"/>
        </w:rPr>
        <w:t>保洁人员要及时扑灭火源。</w:t>
      </w:r>
    </w:p>
    <w:p>
      <w:pPr>
        <w:autoSpaceDE w:val="0"/>
        <w:autoSpaceDN w:val="0"/>
        <w:adjustRightInd w:val="0"/>
        <w:snapToGrid w:val="0"/>
        <w:spacing w:line="360" w:lineRule="auto"/>
        <w:ind w:firstLine="480" w:firstLineChars="200"/>
        <w:rPr>
          <w:rFonts w:ascii="宋体" w:hAnsi="宋体" w:cs="宋体"/>
          <w:color w:val="auto"/>
          <w:sz w:val="24"/>
          <w:szCs w:val="24"/>
          <w:highlight w:val="none"/>
          <w:shd w:val="pct10" w:color="auto" w:fill="FFFFFF"/>
          <w:lang w:val="zh-CN"/>
        </w:rPr>
      </w:pPr>
      <w:r>
        <w:rPr>
          <w:rFonts w:hint="eastAsia" w:ascii="宋体" w:hAnsi="宋体" w:cs="宋体"/>
          <w:color w:val="auto"/>
          <w:sz w:val="24"/>
          <w:szCs w:val="24"/>
          <w:highlight w:val="none"/>
          <w:shd w:val="clear" w:color="auto" w:fill="FFFFFF"/>
          <w:lang w:val="zh-CN"/>
        </w:rPr>
        <w:t>2、移动垃圾桶、固定垃圾房（池）周边垃圾及时清理不外溢；外观、周边必须保持干净整洁；</w:t>
      </w:r>
      <w:r>
        <w:rPr>
          <w:rFonts w:hint="eastAsia" w:ascii="宋体" w:hAnsi="宋体" w:cs="宋体"/>
          <w:color w:val="auto"/>
          <w:sz w:val="24"/>
          <w:szCs w:val="24"/>
          <w:highlight w:val="none"/>
          <w:lang w:val="zh-CN"/>
        </w:rPr>
        <w:t>保洁人员如发现有火源应及时扑灭,不能自行扑灭时应第一时间通知缙云县新碧街道办事处人民政府。</w:t>
      </w:r>
    </w:p>
    <w:p>
      <w:pPr>
        <w:autoSpaceDE w:val="0"/>
        <w:autoSpaceDN w:val="0"/>
        <w:adjustRightInd w:val="0"/>
        <w:snapToGri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3、片区内地坑式垃圾中转站卫生由片区保洁公司保洁，应及时清理中转站卫生，保持中转站周边干净整洁。</w:t>
      </w:r>
    </w:p>
    <w:p>
      <w:pPr>
        <w:autoSpaceDE w:val="0"/>
        <w:autoSpaceDN w:val="0"/>
        <w:adjustRightInd w:val="0"/>
        <w:snapToGrid w:val="0"/>
        <w:spacing w:line="360" w:lineRule="auto"/>
        <w:ind w:firstLine="480" w:firstLineChars="200"/>
        <w:rPr>
          <w:rFonts w:ascii="宋体" w:hAnsi="宋体" w:cs="宋体"/>
          <w:color w:val="auto"/>
          <w:sz w:val="24"/>
          <w:szCs w:val="24"/>
          <w:highlight w:val="none"/>
          <w:shd w:val="clear" w:color="auto" w:fill="FFFFFF"/>
          <w:lang w:val="zh-CN"/>
        </w:rPr>
      </w:pPr>
      <w:r>
        <w:rPr>
          <w:rFonts w:hint="eastAsia" w:ascii="宋体" w:hAnsi="宋体" w:cs="宋体"/>
          <w:color w:val="auto"/>
          <w:kern w:val="0"/>
          <w:sz w:val="24"/>
          <w:szCs w:val="24"/>
          <w:highlight w:val="none"/>
          <w:lang w:val="zh-CN"/>
        </w:rPr>
        <w:t>4、分类垃圾房（亭）要每天擦拭（包含居民小区），四周清扫干净，无果皮纸屑，分类垃圾桶外观保持干净整洁。</w:t>
      </w:r>
    </w:p>
    <w:p>
      <w:pPr>
        <w:pStyle w:val="26"/>
        <w:snapToGrid w:val="0"/>
        <w:spacing w:line="360" w:lineRule="auto"/>
        <w:ind w:firstLine="482" w:firstLineChars="200"/>
        <w:rPr>
          <w:rFonts w:hAnsi="宋体" w:cs="宋体"/>
          <w:b/>
          <w:color w:val="auto"/>
          <w:kern w:val="0"/>
          <w:sz w:val="24"/>
          <w:szCs w:val="24"/>
          <w:highlight w:val="none"/>
        </w:rPr>
      </w:pPr>
      <w:r>
        <w:rPr>
          <w:rFonts w:hint="eastAsia" w:hAnsi="宋体" w:cs="宋体"/>
          <w:b/>
          <w:color w:val="auto"/>
          <w:kern w:val="0"/>
          <w:sz w:val="24"/>
          <w:szCs w:val="24"/>
          <w:highlight w:val="none"/>
        </w:rPr>
        <w:t>六、管理考核</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（一）考核办法</w:t>
      </w:r>
    </w:p>
    <w:p>
      <w:pPr>
        <w:pStyle w:val="202"/>
        <w:snapToGrid w:val="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1、管理考核按</w:t>
      </w:r>
      <w:r>
        <w:rPr>
          <w:rFonts w:hint="eastAsia" w:ascii="宋体" w:hAnsi="宋体" w:cs="宋体"/>
          <w:color w:val="auto"/>
          <w:szCs w:val="24"/>
          <w:highlight w:val="none"/>
        </w:rPr>
        <w:t>《缙云县新碧街道办事处环境卫生作业规范》、《</w:t>
      </w:r>
      <w:r>
        <w:rPr>
          <w:rFonts w:hint="eastAsia" w:ascii="宋体" w:hAnsi="宋体" w:cs="宋体"/>
          <w:bCs/>
          <w:color w:val="auto"/>
          <w:szCs w:val="24"/>
          <w:highlight w:val="none"/>
        </w:rPr>
        <w:t>缙云县新碧街道办事处小区环境卫生作业规范》、</w:t>
      </w:r>
      <w:r>
        <w:rPr>
          <w:rFonts w:hint="eastAsia" w:ascii="宋体" w:hAnsi="宋体" w:cs="宋体"/>
          <w:color w:val="auto"/>
          <w:szCs w:val="24"/>
          <w:highlight w:val="none"/>
        </w:rPr>
        <w:t>《缙云县新碧街道办事处道路保洁、小区保洁、垃圾清运、公厕保洁考核管理办法》</w:t>
      </w:r>
      <w:r>
        <w:rPr>
          <w:rFonts w:hint="eastAsia" w:ascii="宋体" w:hAnsi="宋体" w:cs="宋体"/>
          <w:color w:val="auto"/>
          <w:kern w:val="0"/>
          <w:szCs w:val="24"/>
          <w:highlight w:val="none"/>
        </w:rPr>
        <w:t>，采取日常巡查考核管理和普查考核相结合方式执行。</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2、城市道路保洁分类管理扣分折合成经费从保洁款中扣除。</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3、确保上级检查中不失责任分，被新闻媒体曝光的，接到群众来电、来信、来访投诉的，或者上级单位反馈意见的纳入考核。</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（二）警告办法</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在街道、里弄清扫保洁作业合同化管理中，有下列情景之一的给予一次警告：</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1、合同标段存在问题及时整改率未达到100%的。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2、上级检查发现问题未限期整改到位的。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3、管理混乱，发生保洁人员上访的。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4、不遵守交通法规，未按照规程操作发生有责交通事故的。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5、遇有重大活动或突发事件时，未按要求落实作业机具和人员，保障不力而造成不良影响的。</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（三）退出办法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在街道、里弄道路保洁作业合同化管理中，符合以下之一的予以退出，提前终止保洁合同：</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1、一年内，连续三个月或累计四个月考核在85分以下，或一次月考核在70分以下(含70分)的保洁公司，将终止承包合同，由缙云县新碧街道办事处人民政府组织人员暂时承担相关清扫保洁工作，组织重新招标。</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2、组织管理机构、人员素质、保洁人数等与投标承诺不符，无法完成道路保洁任务的。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3、管理不善，造成人员伤亡，并负有主要责任，造成恶劣影响的；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4、擅自将合同转包或部分分包给第三方的；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5、管理混乱、拖欠工资、发生保洁人员上访，造成恶劣影响的；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6、同一合同标段在合同期一年内累计被警告3次的；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7、同一合同标段在合同期一年内接到上级有关部门发出整改通知书且不整改或整改不力累计达到三次的。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8、</w:t>
      </w:r>
      <w:r>
        <w:rPr>
          <w:rFonts w:hint="eastAsia" w:hAnsi="宋体" w:cs="宋体"/>
          <w:color w:val="auto"/>
          <w:sz w:val="24"/>
          <w:szCs w:val="24"/>
          <w:highlight w:val="none"/>
        </w:rPr>
        <w:t>规定的</w:t>
      </w:r>
      <w:r>
        <w:rPr>
          <w:rFonts w:hint="eastAsia" w:hAnsi="宋体" w:cs="宋体"/>
          <w:color w:val="auto"/>
          <w:kern w:val="0"/>
          <w:sz w:val="24"/>
          <w:szCs w:val="24"/>
          <w:highlight w:val="none"/>
        </w:rPr>
        <w:t>其它事项。</w:t>
      </w:r>
    </w:p>
    <w:p>
      <w:pPr>
        <w:pStyle w:val="26"/>
        <w:snapToGrid w:val="0"/>
        <w:spacing w:line="360" w:lineRule="auto"/>
        <w:ind w:firstLine="482" w:firstLineChars="200"/>
        <w:rPr>
          <w:rFonts w:hAnsi="宋体" w:cs="宋体"/>
          <w:b/>
          <w:color w:val="auto"/>
          <w:sz w:val="24"/>
          <w:szCs w:val="24"/>
          <w:highlight w:val="none"/>
        </w:rPr>
      </w:pPr>
      <w:r>
        <w:rPr>
          <w:rFonts w:hint="eastAsia" w:hAnsi="宋体" w:cs="宋体"/>
          <w:b/>
          <w:color w:val="auto"/>
          <w:kern w:val="0"/>
          <w:sz w:val="24"/>
          <w:szCs w:val="24"/>
          <w:highlight w:val="none"/>
        </w:rPr>
        <w:t>七、</w:t>
      </w:r>
      <w:r>
        <w:rPr>
          <w:rFonts w:hint="eastAsia" w:hAnsi="宋体" w:cs="宋体"/>
          <w:b/>
          <w:color w:val="auto"/>
          <w:sz w:val="24"/>
          <w:szCs w:val="24"/>
          <w:highlight w:val="none"/>
        </w:rPr>
        <w:t>其它事项</w:t>
      </w:r>
    </w:p>
    <w:p>
      <w:pPr>
        <w:pStyle w:val="26"/>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（一）保洁公司在中标后30个工作日内,必须在采购人当地租赁办公场所,并在工商和税务部门注册成立分公司。</w:t>
      </w:r>
    </w:p>
    <w:p>
      <w:pPr>
        <w:pStyle w:val="26"/>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（二）保洁公司班子组成：经理1名（由中标保洁公司中层管理人员担任，有丰富的管理经验，能力较强）。</w:t>
      </w:r>
    </w:p>
    <w:p>
      <w:pPr>
        <w:pStyle w:val="202"/>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三）为提升作业队伍形象，保证作业质量，保洁公司应按作业要求，采购保洁人员服装、作业车辆，成交后十五天内上报缙云县新碧街道办事处人民政府，确定数量，统一型号、颜色后，由保洁公司在一个月内自行购置到位，购置费用由保洁公司自行负责。</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作业人员及车辆驾驶员由保洁公司自行管理，可自行聘用或借用，并应按照规定签订劳动合同。保洁公司应组织对相关作业人员及车辆驾驶员的上岗培训和安全教育，在合同期间发生安全事故或人员伤亡的，由保洁公司负全部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（五）中标企业清扫保洁人员用工上必须符合劳动法及其它法律法规的规定，须招聘符合法定用工年龄的保洁人员上岗就业。</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（六）保洁公司必须确保员工劳动合同的签订并为员工缴纳保险,所缴纳保险经费从保洁经费中单独立项,按实际缴纳人数费用支出给予报销。</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缙云县新碧街道办事处人民政府有权在合同执行期间对《缙云县新碧街道办事处环境卫生作业规范》、《缙云县新碧街道办事处小区环境卫生作业规范》、《缙云县新碧街道办事处道路保洁、小区保洁、垃圾清运、公厕保洁考核管理办法》的相关条款作出修改或增加，保洁公司应根据最新的《缙云县新碧街道办事处环境卫生作业规范》、《缙云县新碧街道办事处小区环境卫生作业规范》、《缙云县新碧街道办事处道路保洁、小区保洁、垃圾清运、公厕保洁考核管理办法》执行。</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b/>
          <w:color w:val="auto"/>
          <w:sz w:val="24"/>
          <w:szCs w:val="24"/>
          <w:highlight w:val="none"/>
        </w:rPr>
        <w:t>附件2</w:t>
      </w:r>
    </w:p>
    <w:p>
      <w:pPr>
        <w:spacing w:line="360" w:lineRule="auto"/>
        <w:ind w:firstLine="482" w:firstLineChars="200"/>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缙云县新碧街道办事处小区环境卫生作业规范</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1、定义</w:t>
      </w:r>
    </w:p>
    <w:p>
      <w:pPr>
        <w:tabs>
          <w:tab w:val="right" w:pos="8306"/>
        </w:tabs>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1.1  普扫</w:t>
      </w:r>
      <w:r>
        <w:rPr>
          <w:rFonts w:hint="eastAsia" w:ascii="宋体" w:hAnsi="宋体" w:cs="宋体"/>
          <w:b/>
          <w:color w:val="auto"/>
          <w:sz w:val="24"/>
          <w:szCs w:val="24"/>
          <w:highlight w:val="none"/>
          <w:lang w:val="zh-CN"/>
        </w:rPr>
        <w:tab/>
      </w:r>
    </w:p>
    <w:p>
      <w:pPr>
        <w:widowControl/>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对居民小区内各类道路、通道；广场、房前屋后、空地；包括绿化带、楼道等</w:t>
      </w:r>
      <w:r>
        <w:rPr>
          <w:rFonts w:hint="eastAsia" w:ascii="宋体" w:hAnsi="宋体" w:cs="宋体"/>
          <w:color w:val="auto"/>
          <w:sz w:val="24"/>
          <w:szCs w:val="24"/>
          <w:highlight w:val="none"/>
          <w:lang w:val="zh-CN"/>
        </w:rPr>
        <w:t>进行的全面清扫。</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1.2  巡回保洁</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在普扫之后进行的巡回不间断清扫，做到随脏随扫。</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1.3  垃圾</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包括居民生活垃圾、无主建筑垃圾和等其它垃圾。</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1.4  交叉区域</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    居民小区主次通道与物管小区、市区主街道、城乡结合部等的交叉区域。</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2  基本要求</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2.1  卫生保洁作业时应做到文明、清洁、安全和有序，最大限度地减少对环境的污染和对公众生活的影响。 </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2.2  环卫保洁服务企事业应建立健全安全生产管理制度和落实安全生产责任人，编制各地段保洁清运人员作业方案，并有完整的作业和检查记录。</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2.3  保洁员（包括清运人员）作业时须穿有反光条的工作服，并保持着装干净、整洁。</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2.4  环卫作业间隙，各类设备、工具应摆放整齐、合理位置，人力垃圾收集车和电瓶垃圾清运车必须密闭存放。</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2.5  保洁员要根据本路段的人、车流情况，合理安排作业时间和方式，主动避开行人和车流高峰，以免发生意外。在普扫和保洁作业时，要注意安全，严格遵守交通规则。</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2.6  环卫各类作业车辆出车前必须进行检查，确保车况良好方可进行环卫作业。</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3、居民小区保洁范围</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3.1  居民小区保洁范围：除物管小区和单位庭院外的所有区域（包括与物管小区交界路段的保洁）。</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4、居民小区环境卫生保洁标准规范</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居民小区按二级道路的标准实行(作业时间8小时)动态巡回保洁。</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4.2 保洁范围</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包括居民小区内的车行道、人行道、公共敞开地、小巷里弄、绿化带、露天排水沟、居民楼道、柴火间平台等，以及周边的交叉区域，还有移动</w:t>
      </w:r>
      <w:r>
        <w:rPr>
          <w:rFonts w:hint="eastAsia" w:ascii="宋体" w:hAnsi="宋体" w:cs="宋体"/>
          <w:color w:val="auto"/>
          <w:sz w:val="24"/>
          <w:szCs w:val="24"/>
          <w:highlight w:val="none"/>
          <w:lang w:val="zh-CN"/>
        </w:rPr>
        <w:t>垃圾箱、果壳箱、固定垃圾房等相关环卫基础设施。</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4.3  普扫保洁要求和规范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4.3.1 标段内所有区域每天完成二次普扫作业。每天8小时保洁路段的保洁时间为：上午：6：00－10：00；下午13：30－17：30。</w:t>
      </w:r>
    </w:p>
    <w:p>
      <w:pPr>
        <w:pStyle w:val="202"/>
        <w:ind w:firstLine="480"/>
        <w:rPr>
          <w:rFonts w:ascii="宋体" w:hAnsi="宋体" w:cs="宋体"/>
          <w:color w:val="auto"/>
          <w:szCs w:val="24"/>
          <w:highlight w:val="none"/>
        </w:rPr>
      </w:pPr>
      <w:r>
        <w:rPr>
          <w:rFonts w:hint="eastAsia" w:ascii="宋体" w:hAnsi="宋体" w:cs="宋体"/>
          <w:color w:val="auto"/>
          <w:szCs w:val="24"/>
          <w:highlight w:val="none"/>
          <w:lang w:val="zh-CN"/>
        </w:rPr>
        <w:t>4.3.2</w:t>
      </w:r>
      <w:r>
        <w:rPr>
          <w:rFonts w:hint="eastAsia" w:ascii="宋体" w:hAnsi="宋体" w:cs="宋体"/>
          <w:color w:val="auto"/>
          <w:szCs w:val="24"/>
          <w:highlight w:val="none"/>
        </w:rPr>
        <w:t>完成标段内所有区域的每天二遍普扫，并在保洁时间内实行不间断巡回保洁；</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4.4  保洁质量要求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洁作业做到‘五无五净’即：无垃圾杂物堆积、无积水积泥、无痰迹烟蒂、无果皮纸屑、无土石杂草，路面干净、道路绿地树圈干净、边角侧石干净、露天排水沟畅通干净、果壳箱等设施整洁，路面基本见本色。</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a）车行道、人行道、绿化带、花坛、空旷地段、排水沟、柴火间平台、垃圾箱周围等公共场所要保持干净，路面无杂草、废土；全路段清扫到位无死角，垃圾无漏收；雨后基本无积水，雨水窨井盖无阻塞。</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b）柴火间平台清扫，楼道及水、电表箱等附属物清扫、打尘，扶手擦洗每星期不得少于3次，并保持干净。</w:t>
      </w:r>
    </w:p>
    <w:p>
      <w:pPr>
        <w:tabs>
          <w:tab w:val="left" w:pos="540"/>
          <w:tab w:val="left" w:pos="72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c）收集垃圾要及时清理干净，不得随意倾倒和焚烧垃圾，不得往道路两侧外直扫，也不得扫入河道或排水沟，排水沟保持畅通，无垃圾沉积物。</w:t>
      </w:r>
    </w:p>
    <w:p>
      <w:pPr>
        <w:tabs>
          <w:tab w:val="left" w:pos="540"/>
          <w:tab w:val="left" w:pos="72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d) </w:t>
      </w:r>
      <w:r>
        <w:rPr>
          <w:rFonts w:hint="eastAsia" w:ascii="宋体" w:hAnsi="宋体" w:cs="宋体"/>
          <w:color w:val="auto"/>
          <w:sz w:val="24"/>
          <w:szCs w:val="24"/>
          <w:highlight w:val="none"/>
          <w:lang w:val="zh-CN"/>
        </w:rPr>
        <w:t>道路路面废弃物控制指标应符合表2规定。</w:t>
      </w:r>
    </w:p>
    <w:p>
      <w:pPr>
        <w:spacing w:line="360" w:lineRule="auto"/>
        <w:ind w:firstLine="480" w:firstLineChars="200"/>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表2  路面废弃物控制指标</w:t>
      </w:r>
    </w:p>
    <w:tbl>
      <w:tblPr>
        <w:tblStyle w:val="54"/>
        <w:tblW w:w="8188"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1134"/>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保洁</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果皮片/1000m</w:t>
            </w:r>
            <w:r>
              <w:rPr>
                <w:rFonts w:hint="eastAsia" w:ascii="宋体" w:hAnsi="宋体" w:cs="宋体"/>
                <w:color w:val="auto"/>
                <w:sz w:val="24"/>
                <w:szCs w:val="24"/>
                <w:highlight w:val="none"/>
                <w:vertAlign w:val="superscript"/>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纸屑、塑料片/1000m</w:t>
            </w:r>
            <w:r>
              <w:rPr>
                <w:rFonts w:hint="eastAsia" w:ascii="宋体" w:hAnsi="宋体" w:cs="宋体"/>
                <w:color w:val="auto"/>
                <w:sz w:val="24"/>
                <w:szCs w:val="24"/>
                <w:highlight w:val="none"/>
                <w:vertAlign w:val="superscript"/>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烟蒂个/1000m</w:t>
            </w:r>
            <w:r>
              <w:rPr>
                <w:rFonts w:hint="eastAsia" w:ascii="宋体" w:hAnsi="宋体" w:cs="宋体"/>
                <w:color w:val="auto"/>
                <w:sz w:val="24"/>
                <w:szCs w:val="24"/>
                <w:highlight w:val="none"/>
                <w:vertAlign w:val="superscript"/>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痰迹处/1000m</w:t>
            </w:r>
            <w:r>
              <w:rPr>
                <w:rFonts w:hint="eastAsia" w:ascii="宋体" w:hAnsi="宋体" w:cs="宋体"/>
                <w:color w:val="auto"/>
                <w:sz w:val="24"/>
                <w:szCs w:val="24"/>
                <w:highlight w:val="none"/>
                <w:vertAlign w:val="superscript"/>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污水m</w:t>
            </w:r>
            <w:r>
              <w:rPr>
                <w:rFonts w:hint="eastAsia" w:ascii="宋体" w:hAnsi="宋体" w:cs="宋体"/>
                <w:color w:val="auto"/>
                <w:sz w:val="24"/>
                <w:szCs w:val="24"/>
                <w:highlight w:val="none"/>
                <w:vertAlign w:val="superscript"/>
              </w:rPr>
              <w:t>2</w:t>
            </w:r>
            <w:r>
              <w:rPr>
                <w:rFonts w:hint="eastAsia" w:ascii="宋体" w:hAnsi="宋体" w:cs="宋体"/>
                <w:color w:val="auto"/>
                <w:sz w:val="24"/>
                <w:szCs w:val="24"/>
                <w:highlight w:val="none"/>
              </w:rPr>
              <w:t>/1000m</w:t>
            </w:r>
            <w:r>
              <w:rPr>
                <w:rFonts w:hint="eastAsia" w:ascii="宋体" w:hAnsi="宋体" w:cs="宋体"/>
                <w:color w:val="auto"/>
                <w:sz w:val="24"/>
                <w:szCs w:val="24"/>
                <w:highlight w:val="none"/>
                <w:vertAlign w:val="superscript"/>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其他处/1000m</w:t>
            </w:r>
            <w:r>
              <w:rPr>
                <w:rFonts w:hint="eastAsia" w:ascii="宋体" w:hAnsi="宋体" w:cs="宋体"/>
                <w:color w:val="auto"/>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二级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三级</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r>
    </w:tbl>
    <w:p>
      <w:pPr>
        <w:spacing w:line="360" w:lineRule="auto"/>
        <w:ind w:firstLine="480" w:firstLineChars="200"/>
        <w:rPr>
          <w:rFonts w:ascii="宋体" w:hAnsi="宋体" w:cs="宋体"/>
          <w:color w:val="auto"/>
          <w:sz w:val="24"/>
          <w:szCs w:val="24"/>
          <w:highlight w:val="none"/>
          <w:shd w:val="clear" w:color="auto" w:fill="FFFFFF"/>
          <w:lang w:val="zh-CN"/>
        </w:rPr>
      </w:pPr>
      <w:r>
        <w:rPr>
          <w:rFonts w:hint="eastAsia" w:ascii="宋体" w:hAnsi="宋体" w:cs="宋体"/>
          <w:color w:val="auto"/>
          <w:sz w:val="24"/>
          <w:szCs w:val="24"/>
          <w:highlight w:val="none"/>
        </w:rPr>
        <w:t>e)</w:t>
      </w:r>
      <w:r>
        <w:rPr>
          <w:rFonts w:hint="eastAsia" w:ascii="宋体" w:hAnsi="宋体" w:cs="宋体"/>
          <w:color w:val="auto"/>
          <w:sz w:val="24"/>
          <w:szCs w:val="24"/>
          <w:highlight w:val="none"/>
          <w:lang w:val="zh-CN"/>
        </w:rPr>
        <w:t xml:space="preserve"> </w:t>
      </w:r>
      <w:r>
        <w:rPr>
          <w:rFonts w:hint="eastAsia" w:ascii="宋体" w:hAnsi="宋体" w:cs="宋体"/>
          <w:color w:val="auto"/>
          <w:sz w:val="24"/>
          <w:szCs w:val="24"/>
          <w:highlight w:val="none"/>
          <w:shd w:val="clear" w:color="auto" w:fill="FFFFFF"/>
          <w:lang w:val="zh-CN"/>
        </w:rPr>
        <w:t>移动垃圾箱、固定垃圾房、分类垃圾房（亭）每天清洗不得少于一次，必须随时保持干净和密闭；病媒消杀每周不得少于一次，防止蚊蝇滋生。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f</w:t>
      </w:r>
      <w:r>
        <w:rPr>
          <w:rFonts w:hint="eastAsia" w:ascii="宋体" w:hAnsi="宋体" w:cs="宋体"/>
          <w:color w:val="auto"/>
          <w:sz w:val="24"/>
          <w:szCs w:val="24"/>
          <w:highlight w:val="none"/>
          <w:shd w:val="clear" w:color="auto" w:fill="FFFFFF"/>
          <w:lang w:val="zh-CN"/>
        </w:rPr>
        <w:t>)</w:t>
      </w:r>
      <w:r>
        <w:rPr>
          <w:rFonts w:hint="eastAsia" w:ascii="宋体" w:hAnsi="宋体" w:cs="宋体"/>
          <w:color w:val="auto"/>
          <w:sz w:val="24"/>
          <w:szCs w:val="24"/>
          <w:highlight w:val="none"/>
          <w:lang w:val="zh-CN"/>
        </w:rPr>
        <w:t xml:space="preserve"> </w:t>
      </w:r>
      <w:r>
        <w:rPr>
          <w:rFonts w:hint="eastAsia" w:ascii="宋体" w:hAnsi="宋体" w:cs="宋体"/>
          <w:color w:val="auto"/>
          <w:sz w:val="24"/>
          <w:szCs w:val="24"/>
          <w:highlight w:val="none"/>
        </w:rPr>
        <w:t>环卫作业车辆</w:t>
      </w:r>
      <w:r>
        <w:rPr>
          <w:rFonts w:hint="eastAsia" w:ascii="宋体" w:hAnsi="宋体" w:cs="宋体"/>
          <w:color w:val="auto"/>
          <w:sz w:val="24"/>
          <w:szCs w:val="24"/>
          <w:highlight w:val="none"/>
          <w:shd w:val="clear" w:color="auto" w:fill="FFFFFF"/>
          <w:lang w:val="zh-CN"/>
        </w:rPr>
        <w:t>每天清洗不得少于一次，</w:t>
      </w:r>
      <w:r>
        <w:rPr>
          <w:rFonts w:hint="eastAsia" w:ascii="宋体" w:hAnsi="宋体" w:cs="宋体"/>
          <w:color w:val="auto"/>
          <w:sz w:val="24"/>
          <w:szCs w:val="24"/>
          <w:highlight w:val="none"/>
        </w:rPr>
        <w:t>保持</w:t>
      </w:r>
      <w:r>
        <w:rPr>
          <w:rFonts w:hint="eastAsia" w:ascii="宋体" w:hAnsi="宋体" w:cs="宋体"/>
          <w:color w:val="auto"/>
          <w:sz w:val="24"/>
          <w:szCs w:val="24"/>
          <w:highlight w:val="none"/>
          <w:shd w:val="clear" w:color="auto" w:fill="FFFFFF"/>
          <w:lang w:val="zh-CN"/>
        </w:rPr>
        <w:t>车况良好、</w:t>
      </w:r>
      <w:r>
        <w:rPr>
          <w:rFonts w:hint="eastAsia" w:ascii="宋体" w:hAnsi="宋体" w:cs="宋体"/>
          <w:color w:val="auto"/>
          <w:sz w:val="24"/>
          <w:szCs w:val="24"/>
          <w:highlight w:val="none"/>
        </w:rPr>
        <w:t>外观整洁。</w:t>
      </w:r>
    </w:p>
    <w:p>
      <w:pPr>
        <w:spacing w:line="360" w:lineRule="auto"/>
        <w:ind w:firstLine="482" w:firstLineChars="200"/>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4.5 垃圾清运作业</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垃圾清运作业应符合以下要求：</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a) 垃圾日产日清（包括无主建筑垃圾）。收集点无陈旧垃圾和污水外流现象，周边地面整洁，做到垃圾无积压，无堆积、无腐烂发臭。 </w:t>
      </w:r>
    </w:p>
    <w:p>
      <w:pPr>
        <w:spacing w:line="360" w:lineRule="auto"/>
        <w:ind w:firstLine="480" w:firstLineChars="200"/>
        <w:rPr>
          <w:rFonts w:ascii="宋体" w:hAnsi="宋体" w:cs="宋体"/>
          <w:color w:val="auto"/>
          <w:sz w:val="24"/>
          <w:szCs w:val="24"/>
          <w:highlight w:val="none"/>
          <w:shd w:val="clear" w:color="auto" w:fill="FFFFFF"/>
          <w:lang w:val="zh-CN"/>
        </w:rPr>
      </w:pPr>
      <w:r>
        <w:rPr>
          <w:rFonts w:hint="eastAsia" w:ascii="宋体" w:hAnsi="宋体" w:cs="宋体"/>
          <w:color w:val="auto"/>
          <w:sz w:val="24"/>
          <w:szCs w:val="24"/>
          <w:highlight w:val="none"/>
          <w:shd w:val="clear" w:color="auto" w:fill="FFFFFF"/>
          <w:lang w:val="zh-CN"/>
        </w:rPr>
        <w:t>b) 移动垃圾箱、固定垃圾房、分类垃圾房（亭）垃圾清运春秋冬季（10—5月份）每天不少于2次，夏季（6—9月份）每天不少于3次，每天第一遍垃圾清运必须在早上8：</w:t>
      </w:r>
      <w:r>
        <w:rPr>
          <w:rFonts w:hint="eastAsia" w:ascii="宋体" w:hAnsi="宋体" w:cs="宋体"/>
          <w:color w:val="auto"/>
          <w:sz w:val="24"/>
          <w:szCs w:val="24"/>
          <w:highlight w:val="none"/>
          <w:shd w:val="clear" w:color="auto" w:fill="FFFFFF"/>
        </w:rPr>
        <w:t>00</w:t>
      </w:r>
      <w:r>
        <w:rPr>
          <w:rFonts w:hint="eastAsia" w:ascii="宋体" w:hAnsi="宋体" w:cs="宋体"/>
          <w:color w:val="auto"/>
          <w:sz w:val="24"/>
          <w:szCs w:val="24"/>
          <w:highlight w:val="none"/>
          <w:shd w:val="clear" w:color="auto" w:fill="FFFFFF"/>
          <w:lang w:val="zh-CN"/>
        </w:rPr>
        <w:t>前完成，并做好巡回检查，</w:t>
      </w:r>
      <w:r>
        <w:rPr>
          <w:rFonts w:hint="eastAsia" w:ascii="宋体" w:hAnsi="宋体" w:cs="宋体"/>
          <w:b/>
          <w:bCs/>
          <w:color w:val="auto"/>
          <w:sz w:val="24"/>
          <w:szCs w:val="24"/>
          <w:highlight w:val="none"/>
          <w:u w:val="single"/>
        </w:rPr>
        <w:t>在每天8点—17点时间内</w:t>
      </w:r>
      <w:r>
        <w:rPr>
          <w:rFonts w:hint="eastAsia" w:ascii="宋体" w:hAnsi="宋体" w:cs="宋体"/>
          <w:color w:val="auto"/>
          <w:sz w:val="24"/>
          <w:szCs w:val="24"/>
          <w:highlight w:val="none"/>
          <w:u w:val="single"/>
        </w:rPr>
        <w:t>，确保垃圾无满溢、容器外无堆积</w:t>
      </w:r>
      <w:r>
        <w:rPr>
          <w:rFonts w:hint="eastAsia" w:ascii="宋体" w:hAnsi="宋体" w:cs="宋体"/>
          <w:color w:val="auto"/>
          <w:sz w:val="24"/>
          <w:szCs w:val="24"/>
          <w:highlight w:val="none"/>
          <w:shd w:val="clear" w:color="auto" w:fill="FFFFFF"/>
          <w:lang w:val="zh-CN"/>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lang w:val="zh-CN"/>
        </w:rPr>
        <w:t>c)生活垃圾清运执行垃圾不落地原则，</w:t>
      </w:r>
      <w:r>
        <w:rPr>
          <w:rFonts w:hint="eastAsia" w:ascii="宋体" w:hAnsi="宋体" w:cs="宋体"/>
          <w:color w:val="auto"/>
          <w:sz w:val="24"/>
          <w:szCs w:val="24"/>
          <w:highlight w:val="none"/>
        </w:rPr>
        <w:t>垃圾清运车（含机动车、非机动车）实行密闭运输，无垃圾抛洒、无污水滴漏、车厢外无吊挂。</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收集垃圾应统一运至垃圾中转站处理，不得随意倾倒和焚烧垃圾。</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shd w:val="clear" w:color="auto" w:fill="FFFFFF"/>
          <w:lang w:val="zh-CN"/>
        </w:rPr>
        <w:t>d)</w:t>
      </w:r>
      <w:r>
        <w:rPr>
          <w:rFonts w:hint="eastAsia" w:ascii="宋体" w:hAnsi="宋体" w:cs="宋体"/>
          <w:color w:val="auto"/>
          <w:sz w:val="24"/>
          <w:szCs w:val="24"/>
          <w:highlight w:val="none"/>
          <w:lang w:val="zh-CN"/>
        </w:rPr>
        <w:t>收集作业完成后应清理现场，移动垃圾桶及时复位、密闭，果壳箱移动垃圾箱无歪斜、无损坏，做到车离地净，无遗留垃圾。</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 xml:space="preserve">e) </w:t>
      </w:r>
      <w:r>
        <w:rPr>
          <w:rFonts w:hint="eastAsia" w:ascii="宋体" w:hAnsi="宋体" w:cs="宋体"/>
          <w:color w:val="auto"/>
          <w:sz w:val="24"/>
          <w:szCs w:val="24"/>
          <w:highlight w:val="none"/>
          <w:shd w:val="clear" w:color="auto" w:fill="FFFFFF"/>
          <w:lang w:val="zh-CN"/>
        </w:rPr>
        <w:t>垃圾箱（房）</w:t>
      </w:r>
      <w:r>
        <w:rPr>
          <w:rFonts w:hint="eastAsia" w:ascii="宋体" w:hAnsi="宋体" w:cs="宋体"/>
          <w:color w:val="auto"/>
          <w:sz w:val="24"/>
          <w:szCs w:val="24"/>
          <w:highlight w:val="none"/>
          <w:lang w:val="zh-CN"/>
        </w:rPr>
        <w:t>离居民住宅区较近时，应合理安排清运时间，尽量避免噪声影响居民生活。</w:t>
      </w:r>
    </w:p>
    <w:p>
      <w:pPr>
        <w:spacing w:line="360" w:lineRule="auto"/>
        <w:ind w:firstLine="480"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f) 每标段企事业必须配备低于符合招标要求的垃圾清运车辆规格、数量，统一外观和编号，且服务于指定的一个标段。</w:t>
      </w:r>
    </w:p>
    <w:p>
      <w:pPr>
        <w:snapToGri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kern w:val="0"/>
          <w:sz w:val="24"/>
          <w:szCs w:val="24"/>
          <w:highlight w:val="none"/>
        </w:rPr>
        <w:br w:type="page"/>
      </w:r>
      <w:r>
        <w:rPr>
          <w:rFonts w:hint="eastAsia" w:ascii="宋体" w:hAnsi="宋体" w:cs="宋体"/>
          <w:b/>
          <w:color w:val="auto"/>
          <w:kern w:val="0"/>
          <w:sz w:val="24"/>
          <w:szCs w:val="24"/>
          <w:highlight w:val="none"/>
        </w:rPr>
        <w:t>附件3</w:t>
      </w:r>
    </w:p>
    <w:p>
      <w:pPr>
        <w:pStyle w:val="26"/>
        <w:snapToGrid w:val="0"/>
        <w:spacing w:line="360" w:lineRule="auto"/>
        <w:ind w:firstLine="200"/>
        <w:jc w:val="center"/>
        <w:rPr>
          <w:rFonts w:hAnsi="宋体" w:cs="宋体"/>
          <w:b/>
          <w:color w:val="auto"/>
          <w:kern w:val="0"/>
          <w:sz w:val="24"/>
          <w:szCs w:val="24"/>
          <w:highlight w:val="none"/>
        </w:rPr>
      </w:pPr>
      <w:r>
        <w:rPr>
          <w:rFonts w:hint="eastAsia" w:hAnsi="宋体" w:cs="宋体"/>
          <w:b/>
          <w:color w:val="auto"/>
          <w:kern w:val="0"/>
          <w:sz w:val="24"/>
          <w:szCs w:val="24"/>
          <w:highlight w:val="none"/>
        </w:rPr>
        <w:t>缙云县新碧街道办事处道路保洁、小区保洁、垃圾清运、公厕保洁考核管理办法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为加强缙云县新碧街道办事处卫生保洁服务管理，完善卫生保洁服务长效管理机制，切实提高缙云县新碧街道办事处环境卫生质量，不断改善人居环境依据客观、公开、公平、公正的原则，结合实际情况，特制订本考核办法。 </w:t>
      </w:r>
    </w:p>
    <w:p>
      <w:pPr>
        <w:widowControl/>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一、考核对象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从事缙云县新碧街道办事处道路保洁、小区保洁、农村垃圾清运、公厕保洁服务的承包公司。</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 xml:space="preserve">二、考核范围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考核范围即招标范围，详见招标需求。</w:t>
      </w:r>
    </w:p>
    <w:p>
      <w:pPr>
        <w:widowControl/>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 xml:space="preserve">三、考核内容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依据《缙云县新碧街道办事处环境卫生作业规范》和招标合同的相关规定；对道路保洁、小区保洁、垃圾清运、公厕保洁、环卫设施管理、作业规范执行、安全管理落实、管理指标落实和监督管理落实等情况进行考核。考核未到达标准的，依据检查考核结果扣减相应保洁费。考核内容分别为：台帐资料、清运管理考核、清扫管理考核、安全生产管理考核、车辆管理考核、监督管理考核及其他未尽事项。</w:t>
      </w:r>
    </w:p>
    <w:p>
      <w:pPr>
        <w:widowControl/>
        <w:numPr>
          <w:ilvl w:val="0"/>
          <w:numId w:val="9"/>
        </w:numPr>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 xml:space="preserve">考核方法 </w:t>
      </w:r>
    </w:p>
    <w:p>
      <w:pPr>
        <w:widowControl/>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1、道路保洁、小区保洁、农村垃圾清运、公厕保洁考核</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实行双重考核，按百分制计算考核分数。</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日常考核：由考评组组织，每天对道路的卫生保洁服务情况进行普查和巡查，考评扣分占当月考核的70%（其中普查占40%，巡查占60%）。</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抽查考核：由缙云县新碧街道办事处人民政府组织，不定期抽查，抽查考核占当月考核的30%。</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2、台帐汇总</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月底生产管理科和设备科等各部门配合考评组汇总。</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3、随机重点抽查</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（1）对清扫作业重点街道、河道、公厕、小区、重点路段进行随即抽查；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（2）对已通报并限期整改的问题进行一周内复查；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（3）对电视、报刊媒体、群众来信来电及其他临时的突发事件进行现场检查。 </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4、考评认定</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 考评人员可采取照相取证、文字记录、片区管理人员到现场签字确认等方式来记录每天的考评结果；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（2）每次检查需两名以上考评人员签字有效；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（3）对考评结果及时反馈并汇报，每月进行汇总，汇总后制成“考评结果汇总表”和“每月质量检查通报”根据考评结果进行奖罚；</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（4）考评人员需按照公平、公正、合理的原则，按考评制度进行质量考评，如考评人员存在徇私舞弊将严肃处理。</w:t>
      </w:r>
    </w:p>
    <w:p>
      <w:pPr>
        <w:widowControl/>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shd w:val="clear" w:color="auto" w:fill="FBFFFF"/>
        </w:rPr>
        <w:t>5、奖罚办法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（1）每月考核总分100分（由日常考核、抽查考核及台帐考核组成），月保洁经费按当月考核结果拨付。</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（2）月考核95分以上（含95分）为优秀，不扣除保洁经费。</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（3）月考核95-90分（含90分）为良好，道路清扫保洁扣除保洁经费=（100-月考核分）×</w:t>
      </w:r>
      <w:r>
        <w:rPr>
          <w:rFonts w:hint="eastAsia" w:ascii="宋体" w:hAnsi="宋体" w:cs="宋体"/>
          <w:color w:val="auto"/>
          <w:kern w:val="0"/>
          <w:sz w:val="24"/>
          <w:szCs w:val="24"/>
          <w:highlight w:val="none"/>
          <w:lang w:val="en-US" w:eastAsia="zh-CN"/>
        </w:rPr>
        <w:t>600</w:t>
      </w:r>
      <w:r>
        <w:rPr>
          <w:rFonts w:hint="eastAsia" w:ascii="宋体" w:hAnsi="宋体" w:cs="宋体"/>
          <w:color w:val="auto"/>
          <w:kern w:val="0"/>
          <w:sz w:val="24"/>
          <w:szCs w:val="24"/>
          <w:highlight w:val="none"/>
        </w:rPr>
        <w:t>元；</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（4）月考核90-85分（含85分）为合格，道路清扫保洁扣除保洁经费=（100-月考核分）×</w:t>
      </w:r>
      <w:r>
        <w:rPr>
          <w:rFonts w:hint="eastAsia" w:ascii="宋体" w:hAnsi="宋体" w:cs="宋体"/>
          <w:color w:val="auto"/>
          <w:kern w:val="0"/>
          <w:sz w:val="24"/>
          <w:szCs w:val="24"/>
          <w:highlight w:val="none"/>
          <w:lang w:val="en-US" w:eastAsia="zh-CN"/>
        </w:rPr>
        <w:t>800</w:t>
      </w:r>
      <w:r>
        <w:rPr>
          <w:rFonts w:hint="eastAsia" w:ascii="宋体" w:hAnsi="宋体" w:cs="宋体"/>
          <w:color w:val="auto"/>
          <w:kern w:val="0"/>
          <w:sz w:val="24"/>
          <w:szCs w:val="24"/>
          <w:highlight w:val="none"/>
        </w:rPr>
        <w:t>元</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（5）月考核85分以下为不合格，道路清扫保洁扣除保洁经费=（100-月考核分）×1000元+月保洁经费×</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6）为加强管理，提高环境卫生质量，优化扣除保洁经费的分配和使用，对各保洁公司实行双重奖罚。一方面，每月扣除的保洁经费的40%作为缙云县新碧街道办事处人政府的环境卫生整治费，剩余的60%由缙云县新碧街道办事处人民政府用于对卫生质量良好和业绩显著保洁服务公司的奖励；另一方面，合同期满，保洁公司在卫生检查、重大节假日和环境卫生整治中表现突出或年终评比优秀的，由缙云县新碧街道办事处人民政府另外予以奖励。</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（7）退出办法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在保洁作业合同化管理中，符合以下之一的予以退出，提前终止保洁合同：</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①一年内，连续三次或累计四次月考核在85分以下，或一次月考核在70分以下(含70分)的保洁公司，将终止承包合同；由缙云县新碧街道办事处人民政府组织人员暂时接管相关清扫保洁工作，重新组织招标。</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②组织管理机构、人员素质、保洁人数等与投标承诺不符，无法完成道路保洁任务的。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③管理不善，造成人员伤亡，并负有主要责任，造成恶劣影响的。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④擅自将合同转包或部分分包给第三方的。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⑤管理混乱、拖欠工资、发生保洁人员上访，造成恶劣影响的。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⑥同一合同标段在合同期一年内累计被警告3次的；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⑦同一合同标段在合同期一年内接到上级有关部门发出整改通知书且不整改或整改不力累计达到三次的。</w:t>
      </w:r>
    </w:p>
    <w:p>
      <w:pPr>
        <w:pStyle w:val="26"/>
        <w:snapToGrid w:val="0"/>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⑧</w:t>
      </w:r>
      <w:r>
        <w:rPr>
          <w:rFonts w:hint="eastAsia" w:hAnsi="宋体" w:cs="宋体"/>
          <w:color w:val="auto"/>
          <w:sz w:val="24"/>
          <w:szCs w:val="24"/>
          <w:highlight w:val="none"/>
        </w:rPr>
        <w:t>规定的</w:t>
      </w:r>
      <w:r>
        <w:rPr>
          <w:rFonts w:hint="eastAsia" w:hAnsi="宋体" w:cs="宋体"/>
          <w:color w:val="auto"/>
          <w:kern w:val="0"/>
          <w:sz w:val="24"/>
          <w:szCs w:val="24"/>
          <w:highlight w:val="none"/>
        </w:rPr>
        <w:t>其它事项。</w:t>
      </w:r>
    </w:p>
    <w:p>
      <w:pPr>
        <w:widowControl/>
        <w:numPr>
          <w:ilvl w:val="0"/>
          <w:numId w:val="9"/>
        </w:numPr>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考核办法</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一）、道路保洁</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1、台帐资料</w:t>
      </w:r>
    </w:p>
    <w:p>
      <w:pPr>
        <w:widowControl/>
        <w:snapToGrid w:val="0"/>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（1）检查方式：台帐检查。</w:t>
      </w:r>
    </w:p>
    <w:p>
      <w:pPr>
        <w:widowControl/>
        <w:snapToGrid w:val="0"/>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（2）具体评分标准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①保洁方案未制定的、各路段人员分配不合理的、重大节日未制定整治方案的每次扣1分。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②保洁人员数量及年龄未达到合同要求的、符合参保要求的保洁人员未保的每人扣0.2-1分。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③保洁公司未按法律法规和合同要求进行运作的，每发现一个问题扣0.5-2分。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④保洁公司未建立健全安全生产管理制度和落实安全生产责任人的每项每次扣0.2-1分，没有完整的作业记录和检查记录的每项每次扣0.2-1分。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⑥未按规定召开职工会议或培训的每次扣0.2-1分；全体职工会议必须通知缙云县新碧街道办事处人民政府工作人员参加，未通知的每次扣0.2-1分。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⑦日常管理人员和保洁作业人员与预定方案不符，每少一人扣1分（管理人员不专职的也按此计）。二次复查，保洁人员仍未到位，每少一人扣2分，以此类推。</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2、清运管理考核</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（1）检查方式：现场检查。</w:t>
      </w:r>
    </w:p>
    <w:p>
      <w:pPr>
        <w:widowControl/>
        <w:snapToGrid w:val="0"/>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（2）具体评分标准：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①路面堆放垃圾未及时收集，每处扣0.5-1分，垃圾箱（桶）周围有杂物堆放的每处扣0.5分。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 果壳箱、移动垃圾桶倾斜未复位或未清洗的每只扣0.1分；分类垃圾房（亭）未按规定分类投放清运的每发现次扣0.2—1分；有垃圾满溢的每处扣0.2-1分；周围地面不洁每处扣0.2-0.5分；外观不整洁有污垢的每处扣0.2分；垃圾箱门未关闭的，每次扣0.2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 焚烧垃圾、树叶、杂物的每次扣0.2-1分；移动垃圾桶内的垃圾落地后再清理导致二次污染的每次扣0.2-1分；垃圾收集车内的垃圾未直接运往垃圾中转站倾倒，随意倾倒或造成二次污染的每次扣0.2-1分；无主建筑垃圾处理不及时的每处扣0.5-2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④片区内地坑式垃圾中转站池内外不干净整洁的，每次扣0.5分。</w:t>
      </w:r>
    </w:p>
    <w:p>
      <w:pPr>
        <w:widowControl/>
        <w:snapToGrid w:val="0"/>
        <w:spacing w:line="360" w:lineRule="auto"/>
        <w:ind w:firstLine="482" w:firstLineChars="200"/>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3、清扫保洁管理考核</w:t>
      </w:r>
    </w:p>
    <w:p>
      <w:pPr>
        <w:widowControl/>
        <w:snapToGrid w:val="0"/>
        <w:spacing w:line="360" w:lineRule="auto"/>
        <w:ind w:firstLine="360" w:firstLineChars="15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（1）检查方式：现场检查。</w:t>
      </w:r>
    </w:p>
    <w:p>
      <w:pPr>
        <w:widowControl/>
        <w:snapToGrid w:val="0"/>
        <w:spacing w:line="360" w:lineRule="auto"/>
        <w:ind w:firstLine="360" w:firstLineChars="15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（2）具体评分标准：</w:t>
      </w:r>
    </w:p>
    <w:p>
      <w:pPr>
        <w:spacing w:line="360" w:lineRule="auto"/>
        <w:ind w:firstLine="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① 未在规定时间完成普扫的每次扣0.2-1分；未按普扫标准进行普扫或者普扫不到位的每次扣0.5-3分；如整片（整条）街道未普扫的扣5分，并由片区保洁人员在规定的时间内补扫或清运干净，如拒绝补扫的，再另扣5分；</w:t>
      </w:r>
      <w:r>
        <w:rPr>
          <w:rFonts w:hint="eastAsia" w:ascii="宋体" w:hAnsi="宋体" w:cs="宋体"/>
          <w:color w:val="auto"/>
          <w:sz w:val="24"/>
          <w:szCs w:val="24"/>
          <w:highlight w:val="none"/>
        </w:rPr>
        <w:t>道路与小巷交接路口30米、片与片之间交接未伸入6米的扣0.2---0.5分；路面积水未扫扣0.1---0.2分。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 道路、人行道漏扫、反扫的每处扣0.2分；垃圾归拢、归堆未清除的每处扣0.2分，清除不彻底的每处扣0.2分；垃圾扫入窨井、河道、道路两侧的每次扣0.2分。</w:t>
      </w:r>
      <w:r>
        <w:rPr>
          <w:rFonts w:hint="eastAsia" w:ascii="宋体" w:hAnsi="宋体" w:cs="宋体"/>
          <w:color w:val="auto"/>
          <w:sz w:val="24"/>
          <w:szCs w:val="24"/>
          <w:highlight w:val="none"/>
        </w:rPr>
        <w:t>道路边侧石及人行道有时显杂草未清理的扣0.2---0.4分。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 未达到路面废弃物控制标准的每次每项扣0.1-0.2分（其中：一级和二级路段扣0.2分，三级和四级路段扣0.1分）；雨水井沟眼有积泥（嵌石）的每处扣0.2分；道路积泥（沙石）长度＜2米的每处扣0.1分，≥2米的每处扣0.2分，整条街道累计超过30米的每次扣3分，并要求当场整改；冬季路面积水导致路面结冰的每处扣1分，导致有责交通事故的每次扣2分；人行道板间、人行道各类井盖间的缝隙有垃圾、杂物的每处扣0.2分；</w:t>
      </w:r>
      <w:r>
        <w:rPr>
          <w:rFonts w:hint="eastAsia" w:ascii="宋体" w:hAnsi="宋体" w:cs="宋体"/>
          <w:color w:val="auto"/>
          <w:sz w:val="24"/>
          <w:szCs w:val="24"/>
          <w:highlight w:val="none"/>
        </w:rPr>
        <w:t>清扫后阴井盖未畅通每一处扣0.1分。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④整条街未保洁的扣5分, 整段路面未保洁的扣3分。</w:t>
      </w:r>
    </w:p>
    <w:p>
      <w:pPr>
        <w:widowControl/>
        <w:snapToGrid w:val="0"/>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⑤沿街弄口可视范围内存在零星垃圾的每处扣0.2分。</w:t>
      </w:r>
    </w:p>
    <w:p>
      <w:pPr>
        <w:spacing w:line="360" w:lineRule="auto"/>
        <w:ind w:firstLine="200"/>
        <w:rPr>
          <w:rFonts w:ascii="宋体" w:hAnsi="宋体" w:cs="宋体"/>
          <w:color w:val="auto"/>
          <w:sz w:val="24"/>
          <w:szCs w:val="24"/>
          <w:highlight w:val="none"/>
        </w:rPr>
      </w:pPr>
      <w:r>
        <w:rPr>
          <w:rFonts w:hint="eastAsia" w:ascii="宋体" w:hAnsi="宋体" w:cs="宋体"/>
          <w:color w:val="auto"/>
          <w:sz w:val="24"/>
          <w:szCs w:val="24"/>
          <w:highlight w:val="none"/>
        </w:rPr>
        <w:t xml:space="preserve">  6、在岗位做与上班无关的事，未穿标志服、穿拖鞋上岗、酒后上岗、在岗玩手机、坐岗、怠岗、离岗、拾荒、与作业无关人员闲谈10分钟以上每次扣1分-3分；早上作业期间大声喧闹的扣 0.1- --0.3分；门前桶、果壳箱未及时倾倒、清洗、满溢扣0.2---1分；路面堆放杂物垃圾未及时收集扣0.5---1分；车辆未封闭运输、漏扫、车辆停放不当、车不跟人走扣0.1---0.5分；不按规定倾倒垃圾、焚烧垃圾造成第二次污染的扣0.3---1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7、上、下午保洁垃圾滞留半小时以后的扣 0.1---0.5分；夜保垃圾滞留半小时后的0.2---0.5分；存在的问题未按规定时间整改到位的扣1---3分；工作服、工具车辆反光标志不清、不明的每处扣0.1---0.3分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移动箱：日产日清、巡回保洁扣0.2---1分；果壳箱、垃圾桶满溢每处每次扣0.2---1分；中转站、垃圾房（池）、分类垃圾房（亭）、垃圾桶周边不干净，未及时清洗擦拭扣0.2---0.5分；不按规定倾倒垃圾，焚烧垃圾造成二度污染扣0.3---2分；无主少量建筑垃圾未清理扣0.1---0.3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车辆未封闭运输，停放位置不当的扣0.2---0.5分；机扫不到位、漏扫等扣0.5---3分；工具车辆不整洁反光标志不明显扣0.2---0.5分；上、下班时间（迟到、早退）10分钟以外扣0.3---2分；公共设施有蜘蛛网（候车棚、桥栏杆）清理不到位扣0.1---1分；公共场地乱摆放清扫工具扣0.3---2分.；工具车没有配备（扫帚、铁锹、铁钳、畚箕）清扫工具的扣0.2—0.5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10、缙云县新碧街道办事处道路垃圾、果壳箱垃圾的落地停留时间不得超过30分钟，超过时间每发现一处扣0.2-0.5分。</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4、安全生产管理考核</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（1）检查方式：台帐和现场检查相结合。</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（2）具体评分标准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未完成一线道路保洁员安全生产及业务全面轮训的每次扣0.5-3分（每月一次），未按时上报的每次扣0.3-1.5分；未对新录用保洁人员进行安全生产及业务培训的每人每次扣0.2-1分，未按时上报培训情况的扣0.1-0.5分。</w:t>
      </w:r>
    </w:p>
    <w:p>
      <w:pPr>
        <w:widowControl/>
        <w:snapToGrid w:val="0"/>
        <w:spacing w:line="360" w:lineRule="auto"/>
        <w:ind w:firstLine="480" w:firstLineChars="2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②环卫工人作业期间每发生一起意外事故扣1分，发生一起责任事故扣2分，未在2小时内上报的上报扣3分，不妥善处理的扣5分。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③保洁人员作业时未穿反光安全环卫工作服或着装不整洁的每人次扣0.2分，未佩证上岗的每人次扣0.1分；作业时穿拖鞋的每人每次扣0.2分。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④环卫专用车的车厢后栏板处未设置规范的荧光交通警示标志的每车次扣1分。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⑤保洁人员发现火源未及时扑灭并上报，每次扣1分。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⑥作业结束后未将保洁工具保管好的，每次扣0.2-1分。发现车辆停放位置不当，影响安全，每次扣0.1-0.5分。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⑦公司未给一线保洁人员缴纳意外险的每人扣1分，并强制扣缴。</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⑧公司未与一线保洁人员签订劳动合同的每少一人扣1分。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⑨清除大片污染时，不及时的每次扣1分；组织不周密或交通安全防护措施不落实的，每发现一次扣0.5-2分。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⑩未做好防台风，防暑降温等自然灾害的预案和预防工作，每发生一次扣2分；发生人员伤亡的每次扣5分。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⑪</w:t>
      </w:r>
      <w:r>
        <w:rPr>
          <w:rFonts w:hint="eastAsia" w:ascii="宋体" w:hAnsi="宋体" w:cs="宋体"/>
          <w:color w:val="auto"/>
          <w:kern w:val="0"/>
          <w:sz w:val="24"/>
          <w:szCs w:val="24"/>
          <w:highlight w:val="none"/>
        </w:rPr>
        <w:t>发生环卫工人群体性事件，未在2小时内上报的每发生一次扣3-5分；造成恶劣影响的，终止合同。</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5、车辆管理考核</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（1）检查方式：台帐和现场检查。</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（2）具体评分标准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①未按规定及时清洗车辆的每车扣0.1分；环卫专用车辆外观不洁的每车扣0.5分；垃圾清运车未实行密闭运输的，发生抛洒滴漏污染路面的，车厢外有吊挂的每车每次扣0.5-2分；各类清运车辆违反规定的，承揽其他物业公司或者环卫保洁企业的业务的每辆扣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②清运人员未按交警部门规定的准驾车型配置的每人每次扣5分，并责令整顿。</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③车辆、工具等环卫设施丢失扣1-5分，管理不当造成损失扣2-5分，并照价赔偿。</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④车辆、工具等环卫设施需维修存在安全隐患的每项扣0.1-1分；需维修未修理的每辆扣（1-5）分。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⑤车辆违反交通法规的每次扣1-3分。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⑥清运车辆违规作业，每次扣1分，造成损失的，保洁公司负责赔偿。</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⑦中标单位需每周上报车辆工作计划，缙云县新碧街道办事处人民政府对照工作计划进行考核，如未按照工作计划清扫的（特殊情况除外），每次没车扣500元，一月超过两次的，每次扣3分。</w:t>
      </w:r>
    </w:p>
    <w:p>
      <w:pPr>
        <w:widowControl/>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6、监督管理考核</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（1）检查方式：台帐和现场检查。</w:t>
      </w:r>
    </w:p>
    <w:p>
      <w:pPr>
        <w:widowControl/>
        <w:snapToGrid w:val="0"/>
        <w:spacing w:line="360" w:lineRule="auto"/>
        <w:ind w:firstLine="480" w:firstLineChars="200"/>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（2）具体评分标准</w:t>
      </w:r>
    </w:p>
    <w:p>
      <w:pPr>
        <w:widowControl/>
        <w:snapToGrid w:val="0"/>
        <w:spacing w:line="360" w:lineRule="auto"/>
        <w:ind w:firstLine="480" w:firstLineChars="2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①公司无固定办公场所，扣4分。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②在接到考核人员通知20分钟未到达现场、发现问题不及时整改每次每项扣2分；管理人员手机不开机或无故不接听每次扣0.5-2分；无故或不按时参加管理部门会议或活动，每次扣0.5分；保洁人员上班时间做与工作无关的事（如捡拾废品等），每人每次0.2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③上班时间发生不文明事件（如同市民、同事吵架及大声喧哗等）或不配合管理的，每人每次扣0.2-1分；不配合处部工作的每次扣0.2-1分。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④未及时完成处部下达的零星任务，无正当理由、遇大型活动或卫生检查，不配合或达不到上级标准，每项每次扣2分，由缙云县新碧街道办事处人民政府另安排人员清理产生的一切费用由保洁公司承担。</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⑤保洁人员连班，每次扣0.2-1分；保洁人员立岗、脱岗、坐岗的每人每项扣0.3分。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⑥出现有责市民投诉的每次扣0.5-2分。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⑦根据上级部门每月督察意见反映存在的问题，每项每次扣0.5-3分。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⑧新闻媒体曝光查实有责的每次扣2-8分。</w:t>
      </w:r>
    </w:p>
    <w:p>
      <w:pPr>
        <w:widowControl/>
        <w:snapToGrid w:val="0"/>
        <w:spacing w:line="360" w:lineRule="auto"/>
        <w:ind w:firstLine="480" w:firstLineChars="200"/>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⑨对存在的问题不及时处理的，按相应标准加倍扣分。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⑩公司员工作业时在其它部门岗位兼职的每人毎次扣0.2-1分。 </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⑪</w:t>
      </w:r>
      <w:r>
        <w:rPr>
          <w:rFonts w:hint="eastAsia" w:ascii="宋体" w:hAnsi="宋体" w:cs="宋体"/>
          <w:color w:val="auto"/>
          <w:kern w:val="0"/>
          <w:sz w:val="24"/>
          <w:szCs w:val="24"/>
          <w:highlight w:val="none"/>
        </w:rPr>
        <w:t>上下班迟到、早退的每人毎次扣0.1-2分。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⑫</w:t>
      </w:r>
      <w:r>
        <w:rPr>
          <w:rFonts w:hint="eastAsia" w:ascii="宋体" w:hAnsi="宋体" w:cs="宋体"/>
          <w:color w:val="auto"/>
          <w:kern w:val="0"/>
          <w:sz w:val="24"/>
          <w:szCs w:val="24"/>
          <w:highlight w:val="none"/>
        </w:rPr>
        <w:t>公司员工擅自越级上访，影响环卫形象的扣1-5分。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⑬</w:t>
      </w:r>
      <w:r>
        <w:rPr>
          <w:rFonts w:hint="eastAsia" w:ascii="宋体" w:hAnsi="宋体" w:cs="宋体"/>
          <w:color w:val="auto"/>
          <w:kern w:val="0"/>
          <w:sz w:val="24"/>
          <w:szCs w:val="24"/>
          <w:highlight w:val="none"/>
        </w:rPr>
        <w:t>影响、阻挠、延误考评组开展正常考评工作的每次扣1-5分。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⑭中标企业延期拖延发放工资，当月考核即为不合格，扣15分。</w:t>
      </w:r>
    </w:p>
    <w:p>
      <w:pPr>
        <w:widowControl/>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⑮</w:t>
      </w:r>
      <w:r>
        <w:rPr>
          <w:rFonts w:hint="eastAsia" w:ascii="宋体" w:hAnsi="宋体" w:cs="宋体"/>
          <w:color w:val="auto"/>
          <w:sz w:val="24"/>
          <w:szCs w:val="24"/>
          <w:highlight w:val="none"/>
        </w:rPr>
        <w:t>中标企业未按服务承诺和附加服务承诺执行的，每次给予扣3-5分。</w:t>
      </w:r>
    </w:p>
    <w:p>
      <w:pPr>
        <w:widowControl/>
        <w:numPr>
          <w:ilvl w:val="0"/>
          <w:numId w:val="10"/>
        </w:num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、公厕保洁</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1、厕所墙壁、门窗有积灰每次扣0.2-1分；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2、档板有污迹每处扣0.1-0.5分；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3、厕所内有积土、烟头等垃圾每次扣0.2-1分；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4、厕所内外有蛛网每次扣0.1-0.5分；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5、座头地面有污积每次扣0.2-1分；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6、小便斗有尿迹阻塞每次扣0.2-1分；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7、厕所3米范围内有杂草、垃圾等每次扣0.2-1分；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8、未按规定时间消毒每次扣0.2-1分；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9、不按规定使用蚊香等除臭药物，或药品使用管理不当扣1-5分(蚊香使用不当扣2分）；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10、公共设施损坏不及时汇报扣0.5-1分；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11、滥用药品，管理不严扣2-5分；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12、工具间内工具摆放不整齐扣0.2-1分；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13、工具间堆积与工作无关杂物扣0.2-1分；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14、不按规定操作，工具使用不当损坏公共设施扣0.5-2分；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15、公厕标示牌有污迹扣0.2-1分；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16、公厕用品私用扣1-5分；</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17、不穿工作服每次扣0.2-1分（特殊情况扣除当日工资）：</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18、上班时间迟到、早退、怠岗，发现一次扣1-5分；严重者扣10-20分。</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四）、缙云县新碧街道办事处小区保洁</w:t>
      </w:r>
    </w:p>
    <w:p>
      <w:pPr>
        <w:pStyle w:val="2"/>
        <w:spacing w:line="320" w:lineRule="exact"/>
        <w:jc w:val="center"/>
        <w:rPr>
          <w:rFonts w:ascii="宋体" w:hAnsi="宋体" w:cs="宋体"/>
          <w:b/>
          <w:color w:val="auto"/>
          <w:kern w:val="24"/>
          <w:sz w:val="24"/>
          <w:szCs w:val="24"/>
          <w:highlight w:val="none"/>
        </w:rPr>
      </w:pPr>
    </w:p>
    <w:tbl>
      <w:tblPr>
        <w:tblStyle w:val="54"/>
        <w:tblW w:w="8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930"/>
        <w:gridCol w:w="831"/>
        <w:gridCol w:w="2802"/>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502" w:type="dxa"/>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930" w:type="dxa"/>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检查项目</w:t>
            </w:r>
          </w:p>
        </w:tc>
        <w:tc>
          <w:tcPr>
            <w:tcW w:w="831" w:type="dxa"/>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检查方式</w:t>
            </w:r>
          </w:p>
        </w:tc>
        <w:tc>
          <w:tcPr>
            <w:tcW w:w="2802" w:type="dxa"/>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管理作业标准</w:t>
            </w:r>
          </w:p>
        </w:tc>
        <w:tc>
          <w:tcPr>
            <w:tcW w:w="3763" w:type="dxa"/>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930"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台帐</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资料</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现场</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检查</w:t>
            </w:r>
          </w:p>
        </w:tc>
        <w:tc>
          <w:tcPr>
            <w:tcW w:w="831"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台账检查</w:t>
            </w: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1、制定标段内各项整治、重大活动及突发应急时清扫保洁方案。</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1、在各项整治、重大活动及突发应急时未制定工作方案的每项每次扣1分。扣分值作当月累加。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2、按照保洁分类管理指标要求落实路面分类保洁标准及人员配置。</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2、未按招标要求落实路面分类保洁标准的，每处每次扣0.2-2分。经督查未限期落实的每处扣1-5分，扣分值作当月累加；保洁作业人员数量未达到招标要求的，每少人次扣1分，扣分值作当月累加。经督办，限期未整改不到位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3、中标供应成交商按要求租赁办公场所、成立分公司；按照保洁分类管理指标要求配置设备。</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u w:val="single"/>
              </w:rPr>
              <w:t>3、成交供应商在中标后30个工作日内,未在采购人当地租赁办公场所的或在工商和税务部门未注册成立本标段管理分公司的；未在履约前10天，按标段要求将机具设备配置到位的，取消中标资格；履约后</w:t>
            </w:r>
            <w:r>
              <w:rPr>
                <w:rFonts w:hint="eastAsia" w:ascii="宋体" w:hAnsi="宋体" w:cs="宋体"/>
                <w:color w:val="auto"/>
                <w:sz w:val="24"/>
                <w:szCs w:val="24"/>
                <w:highlight w:val="none"/>
              </w:rPr>
              <w:t>未按招标要求落实配置设备的，每少一辆车扣2分，扣分值作当月累计；经督查还未落实的给予警告。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4、每月作业计划、数据台账及重大活动工作方案，及时以书面形式上报。</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4、未及时上报作业计划、数据台账及重大活动工作方案，每项每次扣0.5分，经督查还未及时到位的扣1分，扣分值作当月累加。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tcBorders>
              <w:bottom w:val="single" w:color="auto" w:sz="4" w:space="0"/>
            </w:tcBorders>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5、保洁企事业安全生产工作落实，每季度要对一线道路保洁员进行安全生产全面轮训，新录用环卫工人应实施安全生产培训后方可上岗。</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5、未按规定时间完成一线道路保洁员安全生产全面轮训的每次扣0.5-3分，未按时上报轮训记录的每次扣0.3-1.5分，未对新录用环卫工人进行安全生产培训就安排上岗的每次扣0.2-1分，未按时上报培训情况的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tcBorders>
              <w:bottom w:val="single" w:color="auto" w:sz="4" w:space="0"/>
            </w:tcBorders>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6、按招标要求与标段内作业员工签订劳动合同，并规定发放员工工资、岗位津补贴；按有关规定给标段内员工缴纳城镇居民职工养老保险。</w:t>
            </w:r>
          </w:p>
        </w:tc>
        <w:tc>
          <w:tcPr>
            <w:tcW w:w="3763"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6、经管理部门督查，成交供应商仍未在限期内改正的，终止服务合同并没收履约保证金。未按有关规定给标段内符合条件员工缴纳城镇居民职工养老保险的或将标段外人员缴纳保险经费向采购人报销的，经查属实的给予警告及退回经费；将标段外人员缴纳保险经费向采购人报销，数额巨大的或造成恶劣影响的，终止服务合同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二</w:t>
            </w:r>
          </w:p>
        </w:tc>
        <w:tc>
          <w:tcPr>
            <w:tcW w:w="930" w:type="dxa"/>
            <w:vMerge w:val="restart"/>
            <w:vAlign w:val="center"/>
          </w:tcPr>
          <w:p>
            <w:pPr>
              <w:snapToGrid w:val="0"/>
              <w:spacing w:line="320" w:lineRule="exact"/>
              <w:jc w:val="center"/>
              <w:rPr>
                <w:rFonts w:ascii="宋体" w:hAnsi="宋体" w:cs="宋体"/>
                <w:color w:val="auto"/>
                <w:sz w:val="24"/>
                <w:szCs w:val="24"/>
                <w:highlight w:val="none"/>
              </w:rPr>
            </w:pPr>
          </w:p>
          <w:p>
            <w:pPr>
              <w:snapToGrid w:val="0"/>
              <w:spacing w:line="320" w:lineRule="exact"/>
              <w:jc w:val="center"/>
              <w:rPr>
                <w:rFonts w:ascii="宋体" w:hAnsi="宋体" w:cs="宋体"/>
                <w:color w:val="auto"/>
                <w:sz w:val="24"/>
                <w:szCs w:val="24"/>
                <w:highlight w:val="none"/>
              </w:rPr>
            </w:pPr>
          </w:p>
          <w:p>
            <w:pPr>
              <w:snapToGrid w:val="0"/>
              <w:spacing w:line="320" w:lineRule="exact"/>
              <w:jc w:val="center"/>
              <w:rPr>
                <w:rFonts w:ascii="宋体" w:hAnsi="宋体" w:cs="宋体"/>
                <w:color w:val="auto"/>
                <w:sz w:val="24"/>
                <w:szCs w:val="24"/>
                <w:highlight w:val="none"/>
              </w:rPr>
            </w:pPr>
          </w:p>
          <w:p>
            <w:pPr>
              <w:snapToGrid w:val="0"/>
              <w:spacing w:line="320" w:lineRule="exact"/>
              <w:jc w:val="center"/>
              <w:rPr>
                <w:rFonts w:ascii="宋体" w:hAnsi="宋体" w:cs="宋体"/>
                <w:color w:val="auto"/>
                <w:sz w:val="24"/>
                <w:szCs w:val="24"/>
                <w:highlight w:val="none"/>
              </w:rPr>
            </w:pPr>
          </w:p>
          <w:p>
            <w:pPr>
              <w:snapToGrid w:val="0"/>
              <w:spacing w:line="320" w:lineRule="exact"/>
              <w:jc w:val="center"/>
              <w:rPr>
                <w:rFonts w:ascii="宋体" w:hAnsi="宋体" w:cs="宋体"/>
                <w:color w:val="auto"/>
                <w:sz w:val="24"/>
                <w:szCs w:val="24"/>
                <w:highlight w:val="none"/>
              </w:rPr>
            </w:pPr>
          </w:p>
          <w:p>
            <w:pPr>
              <w:snapToGrid w:val="0"/>
              <w:spacing w:line="320" w:lineRule="exact"/>
              <w:rPr>
                <w:rFonts w:ascii="宋体" w:hAnsi="宋体" w:cs="宋体"/>
                <w:color w:val="auto"/>
                <w:sz w:val="24"/>
                <w:szCs w:val="24"/>
                <w:highlight w:val="none"/>
              </w:rPr>
            </w:pPr>
          </w:p>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环卫</w:t>
            </w:r>
          </w:p>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设施</w:t>
            </w:r>
          </w:p>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管理</w:t>
            </w:r>
          </w:p>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情况</w:t>
            </w:r>
          </w:p>
        </w:tc>
        <w:tc>
          <w:tcPr>
            <w:tcW w:w="831" w:type="dxa"/>
            <w:vMerge w:val="restart"/>
            <w:vAlign w:val="center"/>
          </w:tcPr>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现场</w:t>
            </w:r>
          </w:p>
          <w:p>
            <w:pPr>
              <w:snapToGrid w:val="0"/>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检查</w:t>
            </w: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7、果壳箱、移动垃圾箱无歪斜、无缺失和破损，分类垃圾房（亭）外观干净整洁。</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 xml:space="preserve">7、果壳箱、移动垃圾箱倾斜、每只扣0.5分，缺失或破损未及时更换的扣0.5分，分类垃圾房（亭）外观不洁净、地面有果皮纸屑等垃圾的每处扣0.2分—1分。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8、垃圾容器摆放位置合理、整齐，随时保持整洁、无污垢及密闭。不得擅自更改垃圾容器安置点、数量，确保垃圾桶必须入房。垃圾容器定期做好清洗、消杀。</w:t>
            </w:r>
          </w:p>
        </w:tc>
        <w:tc>
          <w:tcPr>
            <w:tcW w:w="3763"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8、垃圾容器不整洁有污垢的，每处扣0.5分，垃圾桶不入房，每处扣0.5分。擅自更改垃圾容器安置点、数量及垃圾桶未摆放原位的每处扣0.5分；垃圾桶、房未密闭，每处扣0.2分。垃圾容器未按要求做好清洗、消杀，每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tcBorders>
              <w:bottom w:val="single" w:color="auto" w:sz="4" w:space="0"/>
            </w:tcBorders>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napToGrid w:val="0"/>
              <w:spacing w:line="320" w:lineRule="exact"/>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u w:val="single"/>
              </w:rPr>
              <w:t>9、环卫作业车辆（含机动车、非机动车）保持完好整洁、无破损，有统一编号、监督电话、责任单位、车厢外无吊挂，清扫机具按规定摆放规范。</w:t>
            </w:r>
          </w:p>
        </w:tc>
        <w:tc>
          <w:tcPr>
            <w:tcW w:w="3763" w:type="dxa"/>
            <w:vAlign w:val="center"/>
          </w:tcPr>
          <w:p>
            <w:pPr>
              <w:snapToGrid w:val="0"/>
              <w:spacing w:line="320" w:lineRule="exact"/>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u w:val="single"/>
              </w:rPr>
              <w:t>9、环卫专用车辆外观不洁、积尘、破损、车身油漆剥落（剥落面积大于15cm×15cm），每发现一次扣0.5分；无统一编号、监督电话、责任单位的发现一次扣0.5分；车厢外有吊挂，机具未按规定进行停放的扣0.5分。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502" w:type="dxa"/>
            <w:vMerge w:val="restart"/>
            <w:vAlign w:val="center"/>
          </w:tcPr>
          <w:p>
            <w:pPr>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930" w:type="dxa"/>
            <w:vMerge w:val="restart"/>
            <w:tcBorders>
              <w:top w:val="single" w:color="auto" w:sz="4" w:space="0"/>
            </w:tcBorders>
            <w:vAlign w:val="center"/>
          </w:tcPr>
          <w:p>
            <w:pPr>
              <w:tabs>
                <w:tab w:val="left" w:pos="380"/>
                <w:tab w:val="center" w:pos="522"/>
              </w:tabs>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人员</w:t>
            </w:r>
          </w:p>
          <w:p>
            <w:pPr>
              <w:tabs>
                <w:tab w:val="left" w:pos="380"/>
                <w:tab w:val="center" w:pos="522"/>
              </w:tabs>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管理</w:t>
            </w:r>
          </w:p>
          <w:p>
            <w:pPr>
              <w:tabs>
                <w:tab w:val="left" w:pos="380"/>
                <w:tab w:val="center" w:pos="522"/>
              </w:tabs>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指标</w:t>
            </w:r>
          </w:p>
          <w:p>
            <w:pPr>
              <w:tabs>
                <w:tab w:val="left" w:pos="380"/>
                <w:tab w:val="center" w:pos="522"/>
              </w:tabs>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落情</w:t>
            </w:r>
          </w:p>
          <w:p>
            <w:pPr>
              <w:tabs>
                <w:tab w:val="left" w:pos="380"/>
                <w:tab w:val="center" w:pos="522"/>
              </w:tabs>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况</w:t>
            </w:r>
          </w:p>
        </w:tc>
        <w:tc>
          <w:tcPr>
            <w:tcW w:w="831" w:type="dxa"/>
            <w:vMerge w:val="restart"/>
            <w:vAlign w:val="center"/>
          </w:tcPr>
          <w:p>
            <w:pPr>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现</w:t>
            </w:r>
          </w:p>
          <w:p>
            <w:pPr>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场</w:t>
            </w:r>
          </w:p>
          <w:p>
            <w:pPr>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检</w:t>
            </w:r>
          </w:p>
          <w:p>
            <w:pPr>
              <w:spacing w:line="320" w:lineRule="exact"/>
              <w:jc w:val="center"/>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查</w:t>
            </w: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10、按照标段保洁标准落实保洁人员。标段日常管理人员及保洁作业人员人数应大于招标要求。</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10、二类保洁标准区域未按规定落实保洁人员的或发现一名保洁人员兼二班的，每次扣0.5分。日常管理人员及保洁作业人员低于招标要求的，</w:t>
            </w:r>
            <w:r>
              <w:rPr>
                <w:rFonts w:hint="eastAsia" w:ascii="宋体" w:hAnsi="宋体" w:cs="宋体"/>
                <w:color w:val="auto"/>
                <w:sz w:val="24"/>
                <w:szCs w:val="24"/>
                <w:highlight w:val="none"/>
                <w:u w:val="single"/>
              </w:rPr>
              <w:t>每少一个当月累计扣1分；限期整改，仍未到位，给予警告一次</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502"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930"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831"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11、作业保洁人员着装规范。</w:t>
            </w:r>
          </w:p>
        </w:tc>
        <w:tc>
          <w:tcPr>
            <w:tcW w:w="3763" w:type="dxa"/>
            <w:vAlign w:val="center"/>
          </w:tcPr>
          <w:p>
            <w:pPr>
              <w:spacing w:line="320" w:lineRule="exact"/>
              <w:textAlignment w:val="baseline"/>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11、保洁人员未穿环卫专业衣服上岗作业的，发现一次扣0.5分；未按规范完整穿环卫专业衣服、裤子、帽子的，每发现一人次扣0.2分；穿拖鞋上岗的，每发现一人扣0.5分。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502"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930"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831" w:type="dxa"/>
            <w:vMerge w:val="continue"/>
            <w:vAlign w:val="center"/>
          </w:tcPr>
          <w:p>
            <w:pPr>
              <w:spacing w:line="320" w:lineRule="exact"/>
              <w:jc w:val="center"/>
              <w:textAlignment w:val="baseline"/>
              <w:rPr>
                <w:rFonts w:ascii="宋体" w:hAnsi="宋体" w:cs="宋体"/>
                <w:color w:val="auto"/>
                <w:sz w:val="24"/>
                <w:szCs w:val="24"/>
                <w:highlight w:val="none"/>
              </w:rPr>
            </w:pPr>
          </w:p>
        </w:tc>
        <w:tc>
          <w:tcPr>
            <w:tcW w:w="2802"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12、作业期间保洁人员不得有脱岗、坐岗等现象，不得做跟保洁工作无关事情。</w:t>
            </w:r>
          </w:p>
        </w:tc>
        <w:tc>
          <w:tcPr>
            <w:tcW w:w="3763" w:type="dxa"/>
            <w:vAlign w:val="center"/>
          </w:tcPr>
          <w:p>
            <w:pPr>
              <w:spacing w:line="320" w:lineRule="exac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12、作业期间清扫保洁人员坐岗的扣0.2分，做跟保洁无关事情扣0.5分，脱岗的每项扣0.5分。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930" w:type="dxa"/>
            <w:vMerge w:val="restart"/>
            <w:vAlign w:val="center"/>
          </w:tcPr>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清</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运</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管</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理</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指</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标</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落</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实</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情</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况</w:t>
            </w:r>
          </w:p>
        </w:tc>
        <w:tc>
          <w:tcPr>
            <w:tcW w:w="831"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现</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场</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查</w:t>
            </w: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13、严格按规定在每日上午8：00前完成移动垃圾箱、固定垃圾房第一遍垃圾清运,</w:t>
            </w:r>
            <w:r>
              <w:rPr>
                <w:rFonts w:hint="eastAsia" w:ascii="宋体" w:hAnsi="宋体" w:cs="宋体"/>
                <w:color w:val="auto"/>
                <w:spacing w:val="-8"/>
                <w:sz w:val="24"/>
                <w:szCs w:val="24"/>
                <w:highlight w:val="none"/>
              </w:rPr>
              <w:t>每天做到二次清运，日产日清。</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13、未在规定时间内完成第一遍清运，每处移动垃圾箱、固定垃圾房扣0.2-1分；</w:t>
            </w:r>
            <w:r>
              <w:rPr>
                <w:rFonts w:hint="eastAsia" w:ascii="宋体" w:hAnsi="宋体" w:cs="宋体"/>
                <w:color w:val="auto"/>
                <w:spacing w:val="-8"/>
                <w:sz w:val="24"/>
                <w:szCs w:val="24"/>
                <w:highlight w:val="none"/>
              </w:rPr>
              <w:t>未做到垃圾每天二次清运或日产日清（下午17时垃圾清运时间结束前，垃圾容器内垃圾超过50%的）的每处扣0.1-0.5分。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pacing w:val="-8"/>
                <w:sz w:val="24"/>
                <w:szCs w:val="24"/>
                <w:highlight w:val="none"/>
              </w:rPr>
              <w:t>14、</w:t>
            </w:r>
            <w:r>
              <w:rPr>
                <w:rFonts w:hint="eastAsia" w:ascii="宋体" w:hAnsi="宋体" w:cs="宋体"/>
                <w:color w:val="auto"/>
                <w:sz w:val="24"/>
                <w:szCs w:val="24"/>
                <w:highlight w:val="none"/>
              </w:rPr>
              <w:t>垃圾容器内的垃圾不得落地，</w:t>
            </w:r>
            <w:r>
              <w:rPr>
                <w:rFonts w:hint="eastAsia" w:ascii="宋体" w:hAnsi="宋体" w:cs="宋体"/>
                <w:color w:val="auto"/>
                <w:spacing w:val="-8"/>
                <w:sz w:val="24"/>
                <w:szCs w:val="24"/>
                <w:highlight w:val="none"/>
              </w:rPr>
              <w:t>必须配备专门车辆清洁直运；垃圾清运车实行密闭运输，无垃圾抛洒、无污水滴漏、车厢外无吊挂。</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pacing w:val="-8"/>
                <w:sz w:val="24"/>
                <w:szCs w:val="24"/>
                <w:highlight w:val="none"/>
              </w:rPr>
              <w:t>14、垃圾容器内</w:t>
            </w:r>
            <w:r>
              <w:rPr>
                <w:rFonts w:hint="eastAsia" w:ascii="宋体" w:hAnsi="宋体" w:cs="宋体"/>
                <w:color w:val="auto"/>
                <w:sz w:val="24"/>
                <w:szCs w:val="24"/>
                <w:highlight w:val="none"/>
              </w:rPr>
              <w:t>垃圾落地后再清理从而造成二次污染的每处每次扣0.3-2分；</w:t>
            </w:r>
            <w:r>
              <w:rPr>
                <w:rFonts w:hint="eastAsia" w:ascii="宋体" w:hAnsi="宋体" w:cs="宋体"/>
                <w:color w:val="auto"/>
                <w:spacing w:val="-8"/>
                <w:sz w:val="24"/>
                <w:szCs w:val="24"/>
                <w:highlight w:val="none"/>
              </w:rPr>
              <w:t>垃圾清运车未实行密闭运输，每发现一次，扣0.1-0.5分；发生抛洒滴漏污染路面、车厢外有吊挂垃圾等问题，每发生1次，扣1分。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tcBorders>
              <w:bottom w:val="single" w:color="auto" w:sz="4" w:space="0"/>
            </w:tcBorders>
            <w:vAlign w:val="center"/>
          </w:tcPr>
          <w:p>
            <w:pPr>
              <w:snapToGrid w:val="0"/>
              <w:spacing w:line="320" w:lineRule="exact"/>
              <w:rPr>
                <w:rFonts w:ascii="宋体" w:hAnsi="宋体" w:cs="宋体"/>
                <w:color w:val="auto"/>
                <w:spacing w:val="-8"/>
                <w:sz w:val="24"/>
                <w:szCs w:val="24"/>
                <w:highlight w:val="none"/>
              </w:rPr>
            </w:pPr>
            <w:r>
              <w:rPr>
                <w:rFonts w:hint="eastAsia" w:ascii="宋体" w:hAnsi="宋体" w:cs="宋体"/>
                <w:color w:val="auto"/>
                <w:spacing w:val="-8"/>
                <w:sz w:val="24"/>
                <w:szCs w:val="24"/>
                <w:highlight w:val="none"/>
              </w:rPr>
              <w:t>15、</w:t>
            </w:r>
            <w:r>
              <w:rPr>
                <w:rFonts w:hint="eastAsia" w:ascii="宋体" w:hAnsi="宋体" w:cs="宋体"/>
                <w:color w:val="auto"/>
                <w:sz w:val="24"/>
                <w:szCs w:val="24"/>
                <w:highlight w:val="none"/>
              </w:rPr>
              <w:t>做好果壳箱、移动垃圾箱及垃圾房、分类垃圾房（亭）内垃圾清运巡回检查，并保持周围整洁干净，无房外暴露垃圾，无垃圾满溢现象。</w:t>
            </w:r>
          </w:p>
        </w:tc>
        <w:tc>
          <w:tcPr>
            <w:tcW w:w="3763" w:type="dxa"/>
            <w:tcBorders>
              <w:bottom w:val="single" w:color="auto" w:sz="4" w:space="0"/>
            </w:tcBorders>
            <w:vAlign w:val="center"/>
          </w:tcPr>
          <w:p>
            <w:pPr>
              <w:snapToGrid w:val="0"/>
              <w:spacing w:line="320" w:lineRule="exact"/>
              <w:rPr>
                <w:rFonts w:ascii="宋体" w:hAnsi="宋体" w:cs="宋体"/>
                <w:color w:val="auto"/>
                <w:spacing w:val="-8"/>
                <w:sz w:val="24"/>
                <w:szCs w:val="24"/>
                <w:highlight w:val="none"/>
              </w:rPr>
            </w:pPr>
            <w:r>
              <w:rPr>
                <w:rFonts w:hint="eastAsia" w:ascii="宋体" w:hAnsi="宋体" w:cs="宋体"/>
                <w:color w:val="auto"/>
                <w:spacing w:val="-8"/>
                <w:sz w:val="24"/>
                <w:szCs w:val="24"/>
                <w:highlight w:val="none"/>
              </w:rPr>
              <w:t>15、</w:t>
            </w:r>
            <w:r>
              <w:rPr>
                <w:rFonts w:hint="eastAsia" w:ascii="宋体" w:hAnsi="宋体" w:cs="宋体"/>
                <w:color w:val="auto"/>
                <w:sz w:val="24"/>
                <w:szCs w:val="24"/>
                <w:highlight w:val="none"/>
              </w:rPr>
              <w:t>果壳箱、移动垃圾箱及垃圾房、分类垃圾房（亭）有垃圾满溢的每处扣0.5分，周围地面不洁有暴露垃圾、垃圾堆和污水的每处扣0.2-1分。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16、清扫、清运收集的垃圾不应随意倾倒，不得焚烧垃圾、树叶、杂物，无主建筑垃圾应及时处理。</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16、焚烧垃圾、树叶、杂物的每次扣0.2-1分，垃圾收集车内的垃圾未直接运往垃圾中转站倾倒，随意倾倒或造成二次污染的每次扣0.3-2分，无主建筑垃圾处理不及时的每处扣0.2-1分。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17、</w:t>
            </w:r>
            <w:r>
              <w:rPr>
                <w:rFonts w:hint="eastAsia" w:ascii="宋体" w:hAnsi="宋体" w:cs="宋体"/>
                <w:color w:val="auto"/>
                <w:sz w:val="24"/>
                <w:szCs w:val="24"/>
                <w:highlight w:val="none"/>
                <w:u w:val="single"/>
              </w:rPr>
              <w:t>生活垃圾分类区域严格按垃圾分类技术要求收集、转运、处置生活垃圾。</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17、</w:t>
            </w:r>
            <w:r>
              <w:rPr>
                <w:rFonts w:hint="eastAsia" w:ascii="宋体" w:hAnsi="宋体" w:cs="宋体"/>
                <w:color w:val="auto"/>
                <w:sz w:val="24"/>
                <w:szCs w:val="24"/>
                <w:highlight w:val="none"/>
                <w:u w:val="single"/>
              </w:rPr>
              <w:t>未按垃圾分类技术要求收集、转运、处置生活垃圾的或将分类垃圾混装的，发现每次扣0.2-1分。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930"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清扫</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管理</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指标</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落实</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情况</w:t>
            </w:r>
          </w:p>
        </w:tc>
        <w:tc>
          <w:tcPr>
            <w:tcW w:w="831"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现</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场</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检</w:t>
            </w:r>
          </w:p>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查</w:t>
            </w: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18、严格按规定在每日上午（夏秋季7：30、春冬季8：00）下午14点前完成普扫。</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18、未在规定时间内完成普扫的，每处扣0.2-1分；未普扫的每处扣0.5-3分；经督查仍未按要求进行补扫的，</w:t>
            </w:r>
            <w:r>
              <w:rPr>
                <w:rFonts w:hint="eastAsia" w:ascii="宋体" w:hAnsi="宋体" w:cs="宋体"/>
                <w:color w:val="auto"/>
                <w:sz w:val="24"/>
                <w:szCs w:val="24"/>
                <w:highlight w:val="none"/>
                <w:u w:val="single"/>
              </w:rPr>
              <w:t>每处扣5分并给予警告。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19、保洁作业时不得漏扫、反扫、垃圾应归拢、归堆并清除彻底，垃圾不得扫入窨井、阴沟及道路两侧。</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19、道路、人行道漏扫、反扫的每处扣0.2分，垃圾归拢、归堆未清除的每处扣0.5分，清除不彻底的每处扣0.2分，垃圾扫入窨井、河道、道路两侧的每次扣0.5分。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pacing w:val="-8"/>
                <w:sz w:val="24"/>
                <w:szCs w:val="24"/>
                <w:highlight w:val="none"/>
              </w:rPr>
              <w:t>20、清扫保洁人员将清扫收集的垃圾，必须用垃圾收集车运至垃圾中转站。</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pacing w:val="-8"/>
                <w:sz w:val="24"/>
                <w:szCs w:val="24"/>
                <w:highlight w:val="none"/>
              </w:rPr>
              <w:t>20、清扫保洁人员将清扫收集的垃圾倒入垃圾房内的，每发现一次扣0.5分。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21、做好房前屋后及绿化带、天井、空地的巡回保洁工作。做到路面无垃圾、无杂草、无积泥（沙石），晴天无积水。雨水井沟眼畅通干净，人行道板及各类井盖缝隙无垃圾、杂物。</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21、巡回保洁未到位，绿化带有垃圾的每处扣0.5分，整条道路、主通道、房前屋后及天井、空地路面＜3㎡内有垃圾、杂物的每处扣0.2分，可视范围（半径15米）内有多处零星垃圾（多于5处）的每处扣0.5分，有成堆垃圾的每处扣1分。</w:t>
            </w:r>
          </w:p>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雨水井沟眼有积泥（嵌石）的每处扣0.2分。</w:t>
            </w:r>
          </w:p>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在一定区域内有杂草、道路积泥（沙石）每处扣0.2分，较多的每处扣0.5分。</w:t>
            </w:r>
          </w:p>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道路晴天积水＜3㎡的每处扣0.2分，≥3㎡的每处扣0.5分，冬季路面积水导致路面结冰的每处扣1分，导致有责交通事故的每次扣2分。</w:t>
            </w:r>
          </w:p>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人行道板间、人行道各类井盖间的缝隙有垃圾、杂物的每处扣0.2分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22、楼道及水、电表箱等附属物应按要求清扫、打尘、擦洗扶手，无垃圾、蜘蛛网、扶手无积尘；绿化带、污水沟、柴火间平台及时清理，无垃圾、杂物。</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22、楼道及水、电表箱等附属物有垃圾、蜘蛛网、扶手等有积尘的每条扣0.2分，污水沟、柴火间平台有垃圾、杂物的每处扣0.2分。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napToGrid w:val="0"/>
              <w:spacing w:line="320" w:lineRule="exact"/>
              <w:rPr>
                <w:rFonts w:ascii="宋体" w:hAnsi="宋体" w:cs="宋体"/>
                <w:color w:val="auto"/>
                <w:spacing w:val="-8"/>
                <w:sz w:val="24"/>
                <w:szCs w:val="24"/>
                <w:highlight w:val="none"/>
              </w:rPr>
            </w:pPr>
            <w:r>
              <w:rPr>
                <w:rFonts w:hint="eastAsia" w:ascii="宋体" w:hAnsi="宋体" w:cs="宋体"/>
                <w:color w:val="auto"/>
                <w:spacing w:val="-8"/>
                <w:sz w:val="24"/>
                <w:szCs w:val="24"/>
                <w:highlight w:val="none"/>
              </w:rPr>
              <w:t>23、建立健全马路市场长效保洁制度，在马路市场营业时间保洁工作落实，保洁人员、保洁机具、垃圾收集容器到位，垃圾桶不满溢，路面干净整洁。</w:t>
            </w:r>
          </w:p>
        </w:tc>
        <w:tc>
          <w:tcPr>
            <w:tcW w:w="3763" w:type="dxa"/>
            <w:vAlign w:val="center"/>
          </w:tcPr>
          <w:p>
            <w:pPr>
              <w:snapToGrid w:val="0"/>
              <w:spacing w:line="320" w:lineRule="exact"/>
              <w:rPr>
                <w:rFonts w:ascii="宋体" w:hAnsi="宋体" w:cs="宋体"/>
                <w:color w:val="auto"/>
                <w:spacing w:val="-8"/>
                <w:sz w:val="24"/>
                <w:szCs w:val="24"/>
                <w:highlight w:val="none"/>
              </w:rPr>
            </w:pPr>
            <w:r>
              <w:rPr>
                <w:rFonts w:hint="eastAsia" w:ascii="宋体" w:hAnsi="宋体" w:cs="宋体"/>
                <w:color w:val="auto"/>
                <w:spacing w:val="-8"/>
                <w:sz w:val="24"/>
                <w:szCs w:val="24"/>
                <w:highlight w:val="none"/>
              </w:rPr>
              <w:t>23、马路市场保洁人员安排不足、责任落实不到位，保洁不及时造成大面积环境卫生脏乱差的，每发生一次扣2分。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napToGrid w:val="0"/>
              <w:spacing w:line="320" w:lineRule="exact"/>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u w:val="single"/>
              </w:rPr>
              <w:t>24、社区、城中村主要通道及马路市场道路清洗每星期要求一次以上，并保持随脏随洗。清洗作业规范，清洗后路面无油污、无污垢、无积水，见本色。</w:t>
            </w:r>
          </w:p>
        </w:tc>
        <w:tc>
          <w:tcPr>
            <w:tcW w:w="3763" w:type="dxa"/>
            <w:vAlign w:val="center"/>
          </w:tcPr>
          <w:p>
            <w:pPr>
              <w:snapToGrid w:val="0"/>
              <w:spacing w:line="320" w:lineRule="exact"/>
              <w:rPr>
                <w:rFonts w:ascii="宋体" w:hAnsi="宋体" w:cs="宋体"/>
                <w:color w:val="auto"/>
                <w:spacing w:val="-8"/>
                <w:sz w:val="24"/>
                <w:szCs w:val="24"/>
                <w:highlight w:val="none"/>
                <w:u w:val="single"/>
              </w:rPr>
            </w:pPr>
            <w:r>
              <w:rPr>
                <w:rFonts w:hint="eastAsia" w:ascii="宋体" w:hAnsi="宋体" w:cs="宋体"/>
                <w:color w:val="auto"/>
                <w:spacing w:val="-8"/>
                <w:sz w:val="24"/>
                <w:szCs w:val="24"/>
                <w:highlight w:val="none"/>
                <w:u w:val="single"/>
              </w:rPr>
              <w:t>24、社区、城中村主要通道及马路市场道路清洗频次不到位，每发生一处扣1分；清洗作业不规范，清洗质量不达标，清洗后路面有油污、污垢、积水的，每发生一处扣0.2分。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9"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930"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安全生产管理落实情况</w:t>
            </w:r>
          </w:p>
        </w:tc>
        <w:tc>
          <w:tcPr>
            <w:tcW w:w="831"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台账、现场检查</w:t>
            </w: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25、落实安全生产工作，保洁人员在道路清扫保洁作业时须穿反光安全环卫工作服，并佩证上岗。人力清扫专用车的车厢后栏板处设置规范的荧光交通警示标志，发生环卫工人伤亡的交通事故应立即上报，妥善处理后事。</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25、保洁人员作业时未穿反光安全环卫工作服的每人次扣0.5分，未佩证上岗的每人/次扣0.1分。人力清扫专用车的车厢后栏板处未设置规范的荧光交通警示标志的每车每次扣1分。每发生一起安全事故确认有责的，扣3分；有人员伤亡事故扣5分，扣分值作当月累计；重大安全事故可强制退出，终止合同。未及时上报安全事故原因的扣3分，不妥善处理事故，造成影响的扣5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tcPr>
          <w:p>
            <w:pPr>
              <w:snapToGrid w:val="0"/>
              <w:spacing w:line="320" w:lineRule="exact"/>
              <w:rPr>
                <w:rFonts w:ascii="宋体" w:hAnsi="宋体" w:cs="宋体"/>
                <w:color w:val="auto"/>
                <w:sz w:val="24"/>
                <w:szCs w:val="24"/>
                <w:highlight w:val="none"/>
                <w:u w:val="single"/>
              </w:rPr>
            </w:pPr>
            <w:r>
              <w:rPr>
                <w:rFonts w:hint="eastAsia" w:ascii="宋体" w:hAnsi="宋体" w:cs="宋体"/>
                <w:color w:val="auto"/>
                <w:spacing w:val="-8"/>
                <w:sz w:val="24"/>
                <w:szCs w:val="24"/>
                <w:highlight w:val="none"/>
                <w:u w:val="single"/>
              </w:rPr>
              <w:t>26、环卫作业单位安全生产工作落实， 清除大片污染时，应做到有组织、有交通安全防护措施，并设置</w:t>
            </w:r>
            <w:r>
              <w:rPr>
                <w:rFonts w:hint="eastAsia" w:ascii="宋体" w:hAnsi="宋体" w:cs="宋体"/>
                <w:color w:val="auto"/>
                <w:sz w:val="24"/>
                <w:szCs w:val="24"/>
                <w:highlight w:val="none"/>
                <w:u w:val="single"/>
              </w:rPr>
              <w:t>交通警示标志</w:t>
            </w:r>
            <w:r>
              <w:rPr>
                <w:rFonts w:hint="eastAsia" w:ascii="宋体" w:hAnsi="宋体" w:cs="宋体"/>
                <w:color w:val="auto"/>
                <w:spacing w:val="-8"/>
                <w:sz w:val="24"/>
                <w:szCs w:val="24"/>
                <w:highlight w:val="none"/>
                <w:u w:val="single"/>
              </w:rPr>
              <w:t>；做好防台风、防暑降温等自然灾害的预案和预防。</w:t>
            </w:r>
          </w:p>
        </w:tc>
        <w:tc>
          <w:tcPr>
            <w:tcW w:w="3763" w:type="dxa"/>
          </w:tcPr>
          <w:p>
            <w:pPr>
              <w:snapToGrid w:val="0"/>
              <w:spacing w:line="320" w:lineRule="exact"/>
              <w:rPr>
                <w:rFonts w:ascii="宋体" w:hAnsi="宋体" w:cs="宋体"/>
                <w:color w:val="auto"/>
                <w:sz w:val="24"/>
                <w:szCs w:val="24"/>
                <w:highlight w:val="none"/>
                <w:u w:val="single"/>
              </w:rPr>
            </w:pPr>
            <w:r>
              <w:rPr>
                <w:rFonts w:hint="eastAsia" w:ascii="宋体" w:hAnsi="宋体" w:cs="宋体"/>
                <w:color w:val="auto"/>
                <w:spacing w:val="-8"/>
                <w:sz w:val="24"/>
                <w:szCs w:val="24"/>
                <w:highlight w:val="none"/>
                <w:u w:val="single"/>
              </w:rPr>
              <w:t>26、清除大片污染时，组织不周密或交通安全防护措施不落实的，每发现1次扣0.5-2分。未做好防台风、防暑降温等自然灾害的预案和预防工作，每发生一次扣0.5-2分；发生人员伤亡的每发生一次扣1-5分，</w:t>
            </w:r>
            <w:r>
              <w:rPr>
                <w:rFonts w:hint="eastAsia" w:ascii="宋体" w:hAnsi="宋体" w:cs="宋体"/>
                <w:color w:val="auto"/>
                <w:sz w:val="24"/>
                <w:szCs w:val="24"/>
                <w:highlight w:val="none"/>
                <w:u w:val="single"/>
              </w:rPr>
              <w:t>扣分值作当月累计</w:t>
            </w:r>
            <w:r>
              <w:rPr>
                <w:rFonts w:hint="eastAsia" w:ascii="宋体" w:hAnsi="宋体" w:cs="宋体"/>
                <w:color w:val="auto"/>
                <w:spacing w:val="-8"/>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502"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930" w:type="dxa"/>
            <w:vMerge w:val="restart"/>
            <w:vAlign w:val="center"/>
          </w:tcPr>
          <w:p>
            <w:pPr>
              <w:spacing w:line="32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监督管理落实情况</w:t>
            </w:r>
          </w:p>
        </w:tc>
        <w:tc>
          <w:tcPr>
            <w:tcW w:w="831" w:type="dxa"/>
            <w:vMerge w:val="restart"/>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27、严格履行招标文件承诺及附加服务项目。</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27、未履行招标文件承诺及附加服务项目的，每次扣3分，扣分值作当月累计。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28、标段项目经理按要求参加行业主管部门召集的例会</w:t>
            </w:r>
          </w:p>
        </w:tc>
        <w:tc>
          <w:tcPr>
            <w:tcW w:w="3763"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28、在一年度内，标段项目经理未按要求参加行业主管部门召集的例会或请假数多于5次（含）的，给予警告一次。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29、无投诉（包括电话、信访、市长公开电话等），有责投诉后处置及时；无责任事件被新闻媒体曝光、领导督办。</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29、出现一次有责电话、信访投诉扣1分；被新闻媒体曝光、领导督办问题，经查实有责的每次扣2分；限期仍未及时处理的扣5分（扣分值作当月累计），</w:t>
            </w:r>
            <w:r>
              <w:rPr>
                <w:rFonts w:hint="eastAsia" w:ascii="宋体" w:hAnsi="宋体" w:cs="宋体"/>
                <w:color w:val="auto"/>
                <w:sz w:val="24"/>
                <w:szCs w:val="24"/>
                <w:highlight w:val="none"/>
                <w:u w:val="single"/>
              </w:rPr>
              <w:t>并警告一次。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tcPr>
          <w:p>
            <w:pPr>
              <w:pStyle w:val="26"/>
              <w:spacing w:line="320" w:lineRule="exact"/>
              <w:rPr>
                <w:rFonts w:hAnsi="宋体" w:cs="宋体"/>
                <w:color w:val="auto"/>
                <w:sz w:val="24"/>
                <w:szCs w:val="24"/>
                <w:highlight w:val="none"/>
                <w:u w:val="single"/>
              </w:rPr>
            </w:pPr>
            <w:r>
              <w:rPr>
                <w:rFonts w:hint="eastAsia" w:hAnsi="宋体" w:cs="宋体"/>
                <w:color w:val="auto"/>
                <w:spacing w:val="-8"/>
                <w:sz w:val="24"/>
                <w:szCs w:val="24"/>
                <w:highlight w:val="none"/>
                <w:u w:val="single"/>
              </w:rPr>
              <w:t>30、保洁公司应在法律法规和合同要求下规范管理，发生环卫工人群体性事件的，妥善解决，并及时上报至街道办事处和环卫局。</w:t>
            </w:r>
          </w:p>
        </w:tc>
        <w:tc>
          <w:tcPr>
            <w:tcW w:w="3763"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30、因管理不善、违反《劳动法》等法规，</w:t>
            </w:r>
            <w:r>
              <w:rPr>
                <w:rFonts w:hint="eastAsia" w:ascii="宋体" w:hAnsi="宋体" w:cs="宋体"/>
                <w:color w:val="auto"/>
                <w:spacing w:val="-8"/>
                <w:sz w:val="24"/>
                <w:szCs w:val="24"/>
                <w:highlight w:val="none"/>
                <w:u w:val="single"/>
              </w:rPr>
              <w:t>发生环卫工人群体性事件的，未及时上报的扣5分，</w:t>
            </w:r>
            <w:r>
              <w:rPr>
                <w:rFonts w:hint="eastAsia" w:ascii="宋体" w:hAnsi="宋体" w:cs="宋体"/>
                <w:color w:val="auto"/>
                <w:sz w:val="24"/>
                <w:szCs w:val="24"/>
                <w:highlight w:val="none"/>
                <w:u w:val="single"/>
              </w:rPr>
              <w:t>扣分值作当月累计</w:t>
            </w:r>
            <w:r>
              <w:rPr>
                <w:rFonts w:hint="eastAsia" w:ascii="宋体" w:hAnsi="宋体" w:cs="宋体"/>
                <w:color w:val="auto"/>
                <w:spacing w:val="-8"/>
                <w:sz w:val="24"/>
                <w:szCs w:val="24"/>
                <w:highlight w:val="none"/>
                <w:u w:val="single"/>
              </w:rPr>
              <w:t>；</w:t>
            </w:r>
            <w:r>
              <w:rPr>
                <w:rFonts w:hint="eastAsia" w:ascii="宋体" w:hAnsi="宋体" w:cs="宋体"/>
                <w:color w:val="auto"/>
                <w:sz w:val="24"/>
                <w:szCs w:val="24"/>
                <w:highlight w:val="none"/>
                <w:u w:val="single"/>
              </w:rPr>
              <w:t>造成恶劣影响的</w:t>
            </w:r>
            <w:r>
              <w:rPr>
                <w:rFonts w:hint="eastAsia" w:ascii="宋体" w:hAnsi="宋体" w:cs="宋体"/>
                <w:color w:val="auto"/>
                <w:spacing w:val="-8"/>
                <w:sz w:val="24"/>
                <w:szCs w:val="24"/>
                <w:highlight w:val="none"/>
                <w:u w:val="single"/>
              </w:rPr>
              <w:t>，</w:t>
            </w:r>
            <w:r>
              <w:rPr>
                <w:rFonts w:hint="eastAsia" w:ascii="宋体" w:hAnsi="宋体" w:cs="宋体"/>
                <w:color w:val="auto"/>
                <w:sz w:val="24"/>
                <w:szCs w:val="24"/>
                <w:highlight w:val="none"/>
                <w:u w:val="single"/>
              </w:rPr>
              <w:t>终止合同并没收履约保证金。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napToGrid w:val="0"/>
              <w:spacing w:line="320" w:lineRule="exact"/>
              <w:rPr>
                <w:rFonts w:ascii="宋体" w:hAnsi="宋体" w:cs="宋体"/>
                <w:color w:val="auto"/>
                <w:sz w:val="24"/>
                <w:szCs w:val="24"/>
                <w:highlight w:val="none"/>
                <w:u w:val="single"/>
              </w:rPr>
            </w:pPr>
            <w:r>
              <w:rPr>
                <w:rFonts w:hint="eastAsia" w:ascii="宋体" w:hAnsi="宋体" w:cs="宋体"/>
                <w:color w:val="auto"/>
                <w:spacing w:val="-8"/>
                <w:sz w:val="24"/>
                <w:szCs w:val="24"/>
                <w:highlight w:val="none"/>
                <w:u w:val="single"/>
              </w:rPr>
              <w:t>31、重大活动保障到位，检查不失责任分。突发事件应急处置及时妥当。</w:t>
            </w:r>
          </w:p>
        </w:tc>
        <w:tc>
          <w:tcPr>
            <w:tcW w:w="3763" w:type="dxa"/>
          </w:tcPr>
          <w:p>
            <w:pPr>
              <w:pStyle w:val="26"/>
              <w:spacing w:line="320" w:lineRule="exact"/>
              <w:rPr>
                <w:rFonts w:hAnsi="宋体" w:cs="宋体"/>
                <w:color w:val="auto"/>
                <w:sz w:val="24"/>
                <w:szCs w:val="24"/>
                <w:highlight w:val="none"/>
                <w:u w:val="single"/>
              </w:rPr>
            </w:pPr>
            <w:r>
              <w:rPr>
                <w:rFonts w:hint="eastAsia" w:hAnsi="宋体" w:cs="宋体"/>
                <w:color w:val="auto"/>
                <w:kern w:val="0"/>
                <w:sz w:val="24"/>
                <w:szCs w:val="24"/>
                <w:highlight w:val="none"/>
                <w:u w:val="single"/>
              </w:rPr>
              <w:t>31、遇有重大活动或突发应急事件时，不服从统一指挥，保障不力的，扣5分并给予警告；在省级以上重大创建活动迎检过程中，因保障不力、责任失分，造成检查未通过的，</w:t>
            </w:r>
            <w:r>
              <w:rPr>
                <w:rFonts w:hint="eastAsia" w:hAnsi="宋体" w:cs="宋体"/>
                <w:color w:val="auto"/>
                <w:sz w:val="24"/>
                <w:szCs w:val="24"/>
                <w:highlight w:val="none"/>
                <w:u w:val="single"/>
              </w:rPr>
              <w:t>终止合同并没收履约保证金</w:t>
            </w:r>
            <w:r>
              <w:rPr>
                <w:rFonts w:hint="eastAsia" w:hAnsi="宋体" w:cs="宋体"/>
                <w:color w:val="auto"/>
                <w:kern w:val="0"/>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32、配合考核部门管理部门检查考核工作。</w:t>
            </w:r>
          </w:p>
        </w:tc>
        <w:tc>
          <w:tcPr>
            <w:tcW w:w="3763"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32、不配合考核部门管理部门检查、考核工作，阻扰、谩骂、威胁、攻击考核人员的，给予警告一次；造成社会重大恶劣影响的，终止服务合同并没收履约保证金。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33、及时处理缙云县新碧街道办事处人民政府等相关部门检查要求整改、督办的问题。</w:t>
            </w:r>
          </w:p>
        </w:tc>
        <w:tc>
          <w:tcPr>
            <w:tcW w:w="3763" w:type="dxa"/>
            <w:vAlign w:val="center"/>
          </w:tcPr>
          <w:p>
            <w:pPr>
              <w:spacing w:line="320" w:lineRule="exact"/>
              <w:rPr>
                <w:rFonts w:ascii="宋体" w:hAnsi="宋体" w:cs="宋体"/>
                <w:color w:val="auto"/>
                <w:sz w:val="24"/>
                <w:szCs w:val="24"/>
                <w:highlight w:val="none"/>
              </w:rPr>
            </w:pPr>
            <w:r>
              <w:rPr>
                <w:rFonts w:hint="eastAsia" w:ascii="宋体" w:hAnsi="宋体" w:cs="宋体"/>
                <w:color w:val="auto"/>
                <w:sz w:val="24"/>
                <w:szCs w:val="24"/>
                <w:highlight w:val="none"/>
              </w:rPr>
              <w:t>33、未及时处理相关管理部门要求整改、督办问题的每次扣0.3-2分；经复查后仍落实不到位的扣1-3分（扣分值作当月累计），并给予警告一次。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502" w:type="dxa"/>
            <w:vMerge w:val="continue"/>
            <w:vAlign w:val="center"/>
          </w:tcPr>
          <w:p>
            <w:pPr>
              <w:spacing w:line="320" w:lineRule="exact"/>
              <w:jc w:val="center"/>
              <w:rPr>
                <w:rFonts w:ascii="宋体" w:hAnsi="宋体" w:cs="宋体"/>
                <w:color w:val="auto"/>
                <w:sz w:val="24"/>
                <w:szCs w:val="24"/>
                <w:highlight w:val="none"/>
              </w:rPr>
            </w:pPr>
          </w:p>
        </w:tc>
        <w:tc>
          <w:tcPr>
            <w:tcW w:w="930" w:type="dxa"/>
            <w:vMerge w:val="continue"/>
            <w:vAlign w:val="center"/>
          </w:tcPr>
          <w:p>
            <w:pPr>
              <w:spacing w:line="320" w:lineRule="exact"/>
              <w:jc w:val="center"/>
              <w:rPr>
                <w:rFonts w:ascii="宋体" w:hAnsi="宋体" w:cs="宋体"/>
                <w:color w:val="auto"/>
                <w:sz w:val="24"/>
                <w:szCs w:val="24"/>
                <w:highlight w:val="none"/>
              </w:rPr>
            </w:pPr>
          </w:p>
        </w:tc>
        <w:tc>
          <w:tcPr>
            <w:tcW w:w="831" w:type="dxa"/>
            <w:vMerge w:val="continue"/>
            <w:vAlign w:val="center"/>
          </w:tcPr>
          <w:p>
            <w:pPr>
              <w:spacing w:line="320" w:lineRule="exact"/>
              <w:jc w:val="center"/>
              <w:rPr>
                <w:rFonts w:ascii="宋体" w:hAnsi="宋体" w:cs="宋体"/>
                <w:color w:val="auto"/>
                <w:sz w:val="24"/>
                <w:szCs w:val="24"/>
                <w:highlight w:val="none"/>
              </w:rPr>
            </w:pPr>
          </w:p>
        </w:tc>
        <w:tc>
          <w:tcPr>
            <w:tcW w:w="2802"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34、无条件接收新增保洁范围，并及时按保洁配置要求安排人员、机具。</w:t>
            </w:r>
          </w:p>
        </w:tc>
        <w:tc>
          <w:tcPr>
            <w:tcW w:w="3763" w:type="dxa"/>
            <w:vAlign w:val="center"/>
          </w:tcPr>
          <w:p>
            <w:pPr>
              <w:spacing w:line="320" w:lineRule="exact"/>
              <w:rPr>
                <w:rFonts w:ascii="宋体" w:hAnsi="宋体" w:cs="宋体"/>
                <w:color w:val="auto"/>
                <w:sz w:val="24"/>
                <w:szCs w:val="24"/>
                <w:highlight w:val="none"/>
                <w:u w:val="single"/>
              </w:rPr>
            </w:pPr>
            <w:r>
              <w:rPr>
                <w:rFonts w:hint="eastAsia" w:ascii="宋体" w:hAnsi="宋体" w:cs="宋体"/>
                <w:color w:val="auto"/>
                <w:sz w:val="24"/>
                <w:szCs w:val="24"/>
                <w:highlight w:val="none"/>
                <w:u w:val="single"/>
              </w:rPr>
              <w:t>34、未按保洁配置要求安排人员的，每少一人扣0.2-1分；拒不接收新增保洁范围的，给予终止服务合同。</w:t>
            </w:r>
          </w:p>
        </w:tc>
      </w:tr>
    </w:tbl>
    <w:p>
      <w:pPr>
        <w:pStyle w:val="80"/>
        <w:spacing w:before="0" w:beforeAutospacing="0" w:after="0" w:afterAutospacing="0" w:line="360" w:lineRule="auto"/>
        <w:ind w:firstLine="482" w:firstLineChars="200"/>
        <w:rPr>
          <w:rFonts w:cs="宋体"/>
          <w:color w:val="auto"/>
          <w:sz w:val="21"/>
          <w:szCs w:val="21"/>
          <w:highlight w:val="none"/>
        </w:rPr>
      </w:pPr>
      <w:r>
        <w:rPr>
          <w:rFonts w:hint="eastAsia" w:cs="宋体"/>
          <w:b/>
          <w:color w:val="auto"/>
          <w:szCs w:val="24"/>
          <w:highlight w:val="none"/>
        </w:rPr>
        <w:t>六、对未尽事项，根据实际情况扣分。</w:t>
      </w:r>
    </w:p>
    <w:p>
      <w:pPr>
        <w:rPr>
          <w:rFonts w:ascii="宋体" w:hAnsi="宋体"/>
          <w:color w:val="auto"/>
          <w:sz w:val="36"/>
          <w:szCs w:val="36"/>
          <w:highlight w:val="none"/>
        </w:rPr>
        <w:sectPr>
          <w:pgSz w:w="11906" w:h="16838"/>
          <w:pgMar w:top="1418" w:right="1418" w:bottom="1418" w:left="1418" w:header="851" w:footer="851" w:gutter="0"/>
          <w:cols w:space="720" w:num="1"/>
          <w:docGrid w:linePitch="312" w:charSpace="0"/>
        </w:sectPr>
      </w:pPr>
    </w:p>
    <w:p>
      <w:pPr>
        <w:pStyle w:val="45"/>
        <w:spacing w:before="0" w:after="0" w:line="360" w:lineRule="auto"/>
        <w:rPr>
          <w:rFonts w:ascii="宋体" w:hAnsi="宋体"/>
          <w:color w:val="auto"/>
          <w:sz w:val="36"/>
          <w:szCs w:val="36"/>
          <w:highlight w:val="none"/>
        </w:rPr>
      </w:pPr>
      <w:bookmarkStart w:id="28" w:name="_Toc15049"/>
      <w:r>
        <w:rPr>
          <w:rFonts w:hint="eastAsia" w:ascii="宋体" w:hAnsi="宋体"/>
          <w:color w:val="auto"/>
          <w:sz w:val="36"/>
          <w:szCs w:val="36"/>
          <w:highlight w:val="none"/>
        </w:rPr>
        <w:t>第三章  投标人须知</w:t>
      </w:r>
      <w:bookmarkEnd w:id="20"/>
      <w:bookmarkEnd w:id="21"/>
      <w:bookmarkEnd w:id="22"/>
      <w:bookmarkEnd w:id="23"/>
      <w:bookmarkEnd w:id="28"/>
    </w:p>
    <w:p>
      <w:pPr>
        <w:pStyle w:val="45"/>
        <w:spacing w:after="240"/>
        <w:jc w:val="left"/>
        <w:outlineLvl w:val="1"/>
        <w:rPr>
          <w:rFonts w:ascii="宋体" w:hAnsi="宋体"/>
          <w:color w:val="auto"/>
          <w:sz w:val="28"/>
          <w:szCs w:val="28"/>
          <w:highlight w:val="none"/>
        </w:rPr>
      </w:pPr>
      <w:bookmarkStart w:id="29" w:name="_Toc493956032"/>
      <w:bookmarkStart w:id="30" w:name="_Toc486423882"/>
      <w:bookmarkStart w:id="31" w:name="_Toc530551820"/>
      <w:bookmarkStart w:id="32" w:name="_Toc531358975"/>
      <w:bookmarkStart w:id="33" w:name="_Toc3424"/>
      <w:bookmarkStart w:id="34" w:name="EB4c7125c6dc654ed08b5f32dccfe34746"/>
      <w:bookmarkStart w:id="35" w:name="_Toc493956033"/>
      <w:r>
        <w:rPr>
          <w:rFonts w:hint="eastAsia" w:ascii="宋体" w:hAnsi="宋体"/>
          <w:color w:val="auto"/>
          <w:sz w:val="28"/>
          <w:szCs w:val="28"/>
          <w:highlight w:val="none"/>
        </w:rPr>
        <w:t>投标</w:t>
      </w:r>
      <w:r>
        <w:rPr>
          <w:rFonts w:ascii="宋体" w:hAnsi="宋体"/>
          <w:color w:val="auto"/>
          <w:sz w:val="28"/>
          <w:szCs w:val="28"/>
          <w:highlight w:val="none"/>
        </w:rPr>
        <w:t>人须知</w:t>
      </w:r>
      <w:r>
        <w:rPr>
          <w:rFonts w:hint="eastAsia" w:ascii="宋体" w:hAnsi="宋体"/>
          <w:color w:val="auto"/>
          <w:sz w:val="28"/>
          <w:szCs w:val="28"/>
          <w:highlight w:val="none"/>
        </w:rPr>
        <w:t>前附表</w:t>
      </w:r>
      <w:bookmarkEnd w:id="29"/>
      <w:bookmarkEnd w:id="30"/>
      <w:bookmarkEnd w:id="31"/>
      <w:bookmarkEnd w:id="32"/>
      <w:r>
        <w:rPr>
          <w:rFonts w:hint="eastAsia" w:ascii="宋体" w:hAnsi="宋体"/>
          <w:color w:val="auto"/>
          <w:sz w:val="28"/>
          <w:szCs w:val="28"/>
          <w:highlight w:val="none"/>
        </w:rPr>
        <w:t>（一）</w:t>
      </w:r>
      <w:bookmarkEnd w:id="33"/>
    </w:p>
    <w:tbl>
      <w:tblPr>
        <w:tblStyle w:val="54"/>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6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922" w:type="dxa"/>
            <w:vAlign w:val="center"/>
          </w:tcPr>
          <w:p>
            <w:pPr>
              <w:ind w:right="-86" w:rightChars="-41"/>
              <w:jc w:val="center"/>
              <w:rPr>
                <w:rFonts w:ascii="宋体" w:hAnsi="宋体" w:cs="宋体"/>
                <w:b/>
                <w:color w:val="auto"/>
                <w:sz w:val="24"/>
                <w:szCs w:val="24"/>
                <w:highlight w:val="none"/>
              </w:rPr>
            </w:pPr>
            <w:r>
              <w:rPr>
                <w:rFonts w:hint="eastAsia" w:ascii="宋体" w:hAnsi="宋体" w:cs="宋体"/>
                <w:b/>
                <w:color w:val="auto"/>
                <w:sz w:val="24"/>
                <w:szCs w:val="24"/>
                <w:highlight w:val="none"/>
              </w:rPr>
              <w:t>条款号</w:t>
            </w:r>
          </w:p>
        </w:tc>
        <w:tc>
          <w:tcPr>
            <w:tcW w:w="1560"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条款名称</w:t>
            </w:r>
          </w:p>
        </w:tc>
        <w:tc>
          <w:tcPr>
            <w:tcW w:w="6769" w:type="dxa"/>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1.2.1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采购人</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1.2.2</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采购代理机构</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1.4.1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联合体投标</w:t>
            </w:r>
          </w:p>
        </w:tc>
        <w:tc>
          <w:tcPr>
            <w:tcW w:w="6769" w:type="dxa"/>
            <w:vAlign w:val="center"/>
          </w:tcPr>
          <w:p>
            <w:pPr>
              <w:rPr>
                <w:rFonts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sz w:val="24"/>
                <w:szCs w:val="24"/>
                <w:highlight w:val="none"/>
              </w:rPr>
              <w:fldChar w:fldCharType="end"/>
            </w:r>
            <w:r>
              <w:rPr>
                <w:rFonts w:hint="eastAsia" w:ascii="宋体" w:hAnsi="宋体" w:cs="宋体"/>
                <w:color w:val="auto"/>
                <w:sz w:val="24"/>
                <w:szCs w:val="24"/>
                <w:highlight w:val="none"/>
              </w:rPr>
              <w:t>不接受；</w:t>
            </w:r>
          </w:p>
          <w:p>
            <w:pPr>
              <w:numPr>
                <w:ilvl w:val="0"/>
                <w:numId w:val="11"/>
              </w:numPr>
              <w:rPr>
                <w:rFonts w:ascii="宋体" w:hAnsi="宋体" w:cs="宋体"/>
                <w:color w:val="auto"/>
                <w:sz w:val="24"/>
                <w:szCs w:val="24"/>
                <w:highlight w:val="none"/>
              </w:rPr>
            </w:pPr>
            <w:r>
              <w:rPr>
                <w:rFonts w:hint="eastAsia" w:ascii="宋体" w:hAnsi="宋体" w:cs="宋体"/>
                <w:color w:val="auto"/>
                <w:sz w:val="24"/>
                <w:szCs w:val="24"/>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1.7.1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现场踏勘</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sz w:val="24"/>
                <w:szCs w:val="24"/>
                <w:highlight w:val="none"/>
              </w:rPr>
              <w:fldChar w:fldCharType="end"/>
            </w:r>
            <w:r>
              <w:rPr>
                <w:rFonts w:hint="eastAsia" w:ascii="宋体" w:hAnsi="宋体" w:cs="宋体"/>
                <w:color w:val="auto"/>
                <w:sz w:val="24"/>
                <w:szCs w:val="24"/>
                <w:highlight w:val="none"/>
              </w:rPr>
              <w:t xml:space="preserve"> 不组织。</w:t>
            </w:r>
          </w:p>
          <w:p>
            <w:pPr>
              <w:rPr>
                <w:rFonts w:ascii="宋体" w:hAnsi="宋体" w:cs="宋体"/>
                <w:bCs/>
                <w:color w:val="auto"/>
                <w:sz w:val="24"/>
                <w:szCs w:val="24"/>
                <w:highlight w:val="none"/>
              </w:rPr>
            </w:pPr>
            <w:r>
              <w:rPr>
                <w:rFonts w:hint="eastAsia" w:ascii="宋体" w:hAnsi="宋体" w:cs="宋体"/>
                <w:bCs/>
                <w:color w:val="auto"/>
                <w:sz w:val="24"/>
                <w:szCs w:val="24"/>
                <w:highlight w:val="none"/>
              </w:rPr>
              <w:sym w:font="Wingdings 2" w:char="F0A3"/>
            </w:r>
            <w:r>
              <w:rPr>
                <w:rFonts w:hint="eastAsia" w:ascii="宋体" w:hAnsi="宋体" w:cs="宋体"/>
                <w:bCs/>
                <w:color w:val="auto"/>
                <w:sz w:val="24"/>
                <w:szCs w:val="24"/>
                <w:highlight w:val="none"/>
              </w:rPr>
              <w:t xml:space="preserve"> 组织，详见第二章招标需求。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1.8.1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答疑会</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sz w:val="24"/>
                <w:szCs w:val="24"/>
                <w:highlight w:val="none"/>
              </w:rPr>
              <w:fldChar w:fldCharType="end"/>
            </w:r>
            <w:r>
              <w:rPr>
                <w:rFonts w:hint="eastAsia" w:ascii="宋体" w:hAnsi="宋体" w:cs="宋体"/>
                <w:color w:val="auto"/>
                <w:sz w:val="24"/>
                <w:szCs w:val="24"/>
                <w:highlight w:val="none"/>
              </w:rPr>
              <w:t xml:space="preserve"> 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1.9.1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分包</w:t>
            </w:r>
          </w:p>
        </w:tc>
        <w:tc>
          <w:tcPr>
            <w:tcW w:w="6769" w:type="dxa"/>
          </w:tcPr>
          <w:p>
            <w:pPr>
              <w:ind w:left="-113" w:leftChars="-54" w:right="-107" w:rightChars="-51" w:firstLine="120" w:firstLineChars="50"/>
              <w:jc w:val="left"/>
              <w:rPr>
                <w:rFonts w:ascii="宋体" w:hAnsi="宋体" w:cs="宋体"/>
                <w:bCs/>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position w:val="2"/>
                <w:sz w:val="16"/>
                <w:szCs w:val="24"/>
                <w:highlight w:val="none"/>
              </w:rPr>
              <w:instrText xml:space="preserve">√</w:instrText>
            </w:r>
            <w:r>
              <w:rPr>
                <w:rFonts w:hint="eastAsia" w:ascii="宋体" w:hAnsi="宋体" w:cs="宋体"/>
                <w:bCs/>
                <w:color w:val="auto"/>
                <w:sz w:val="24"/>
                <w:szCs w:val="24"/>
                <w:highlight w:val="none"/>
              </w:rPr>
              <w:instrText xml:space="preserve">)</w:instrText>
            </w:r>
            <w:r>
              <w:rPr>
                <w:rFonts w:hint="eastAsia" w:ascii="宋体" w:hAnsi="宋体" w:cs="宋体"/>
                <w:bCs/>
                <w:color w:val="auto"/>
                <w:sz w:val="24"/>
                <w:szCs w:val="24"/>
                <w:highlight w:val="none"/>
              </w:rPr>
              <w:fldChar w:fldCharType="end"/>
            </w:r>
            <w:r>
              <w:rPr>
                <w:rFonts w:hint="eastAsia" w:ascii="宋体" w:hAnsi="宋体" w:cs="宋体"/>
                <w:bCs/>
                <w:color w:val="auto"/>
                <w:sz w:val="24"/>
                <w:szCs w:val="24"/>
                <w:highlight w:val="none"/>
              </w:rPr>
              <w:t xml:space="preserve"> 1. 本项目不允许分包。</w:t>
            </w:r>
          </w:p>
          <w:p>
            <w:pPr>
              <w:ind w:left="-113" w:leftChars="-54" w:right="-107" w:rightChars="-51" w:firstLine="120" w:firstLineChars="50"/>
              <w:jc w:val="left"/>
              <w:rPr>
                <w:rFonts w:ascii="宋体" w:hAnsi="宋体" w:cs="宋体"/>
                <w:bCs/>
                <w:color w:val="auto"/>
                <w:sz w:val="24"/>
                <w:szCs w:val="24"/>
                <w:highlight w:val="none"/>
              </w:rPr>
            </w:pPr>
            <w:r>
              <w:rPr>
                <w:rFonts w:hint="eastAsia" w:ascii="宋体" w:hAnsi="宋体" w:cs="宋体"/>
                <w:bCs/>
                <w:color w:val="auto"/>
                <w:sz w:val="24"/>
                <w:szCs w:val="24"/>
                <w:highlight w:val="none"/>
              </w:rPr>
              <w:t>□ 2. 本项目可以分包，但主体部分不得分包。本项目主体部分是指：</w:t>
            </w:r>
            <w:r>
              <w:rPr>
                <w:rFonts w:hint="eastAsia" w:ascii="宋体" w:hAnsi="宋体" w:cs="宋体"/>
                <w:bCs/>
                <w:color w:val="auto"/>
                <w:sz w:val="24"/>
                <w:szCs w:val="24"/>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color w:val="auto"/>
                <w:sz w:val="24"/>
                <w:szCs w:val="24"/>
                <w:highlight w:val="none"/>
              </w:rPr>
              <w:t>1.11.1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节能环保产品认证</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1.11.2</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强制采购的节能产品</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1.11.3</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小型、微型企业的价格扣除</w:t>
            </w:r>
          </w:p>
        </w:tc>
        <w:tc>
          <w:tcPr>
            <w:tcW w:w="6769" w:type="dxa"/>
            <w:vAlign w:val="center"/>
          </w:tcPr>
          <w:p>
            <w:pPr>
              <w:ind w:left="-88" w:leftChars="-42" w:right="-113" w:rightChars="-54" w:firstLine="120" w:firstLineChars="50"/>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 对小型和微型企业产品给予</w:t>
            </w:r>
            <w:r>
              <w:rPr>
                <w:rFonts w:hint="eastAsia" w:ascii="宋体" w:hAnsi="宋体" w:cs="宋体"/>
                <w:bCs/>
                <w:snapToGrid w:val="0"/>
                <w:color w:val="auto"/>
                <w:sz w:val="24"/>
                <w:szCs w:val="24"/>
                <w:highlight w:val="none"/>
                <w:u w:val="single"/>
              </w:rPr>
              <w:t>6%</w:t>
            </w:r>
            <w:r>
              <w:rPr>
                <w:rFonts w:hint="eastAsia" w:ascii="宋体" w:hAnsi="宋体" w:cs="宋体"/>
                <w:bCs/>
                <w:snapToGrid w:val="0"/>
                <w:color w:val="auto"/>
                <w:sz w:val="24"/>
                <w:szCs w:val="24"/>
                <w:highlight w:val="none"/>
              </w:rPr>
              <w:t>的价格扣除</w:t>
            </w:r>
          </w:p>
          <w:p>
            <w:pPr>
              <w:ind w:left="17" w:leftChars="8" w:right="-113" w:rightChars="-54"/>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2. 小型、微型企业的协议合同金额占到联合协议合同总金额30%以上的，给予联合体</w:t>
            </w:r>
            <w:r>
              <w:rPr>
                <w:rFonts w:hint="eastAsia" w:ascii="宋体" w:hAnsi="宋体" w:cs="宋体"/>
                <w:bCs/>
                <w:snapToGrid w:val="0"/>
                <w:color w:val="auto"/>
                <w:sz w:val="24"/>
                <w:szCs w:val="24"/>
                <w:highlight w:val="none"/>
                <w:u w:val="single"/>
              </w:rPr>
              <w:t>2%</w:t>
            </w:r>
            <w:r>
              <w:rPr>
                <w:rFonts w:hint="eastAsia" w:ascii="宋体" w:hAnsi="宋体" w:cs="宋体"/>
                <w:bCs/>
                <w:snapToGrid w:val="0"/>
                <w:color w:val="auto"/>
                <w:sz w:val="24"/>
                <w:szCs w:val="24"/>
                <w:highlight w:val="none"/>
              </w:rPr>
              <w:t>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22" w:type="dxa"/>
            <w:vAlign w:val="center"/>
          </w:tcPr>
          <w:p>
            <w:pPr>
              <w:ind w:left="-88" w:leftChars="-42" w:right="-113" w:rightChars="-54"/>
              <w:jc w:val="center"/>
              <w:rPr>
                <w:rFonts w:ascii="宋体" w:hAnsi="宋体" w:cs="宋体"/>
                <w:bCs/>
                <w:color w:val="auto"/>
                <w:sz w:val="24"/>
                <w:szCs w:val="24"/>
                <w:highlight w:val="none"/>
              </w:rPr>
            </w:pPr>
            <w:r>
              <w:rPr>
                <w:rFonts w:hint="eastAsia" w:ascii="宋体" w:hAnsi="宋体" w:cs="宋体"/>
                <w:bCs/>
                <w:color w:val="auto"/>
                <w:sz w:val="24"/>
                <w:szCs w:val="24"/>
                <w:highlight w:val="none"/>
              </w:rPr>
              <w:t>1.11.6</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采购进口产品</w:t>
            </w:r>
          </w:p>
        </w:tc>
        <w:tc>
          <w:tcPr>
            <w:tcW w:w="6769" w:type="dxa"/>
            <w:vAlign w:val="center"/>
          </w:tcPr>
          <w:p>
            <w:pPr>
              <w:snapToGrid w:val="0"/>
              <w:spacing w:line="400" w:lineRule="exact"/>
              <w:rPr>
                <w:rFonts w:ascii="宋体" w:hAnsi="宋体" w:cs="宋体"/>
                <w:bCs/>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position w:val="2"/>
                <w:sz w:val="16"/>
                <w:szCs w:val="24"/>
                <w:highlight w:val="none"/>
              </w:rPr>
              <w:instrText xml:space="preserve">√</w:instrText>
            </w:r>
            <w:r>
              <w:rPr>
                <w:rFonts w:hint="eastAsia" w:ascii="宋体" w:hAnsi="宋体" w:cs="宋体"/>
                <w:bCs/>
                <w:color w:val="auto"/>
                <w:sz w:val="24"/>
                <w:szCs w:val="24"/>
                <w:highlight w:val="none"/>
              </w:rPr>
              <w:instrText xml:space="preserve">)</w:instrText>
            </w:r>
            <w:r>
              <w:rPr>
                <w:rFonts w:hint="eastAsia" w:ascii="宋体" w:hAnsi="宋体" w:cs="宋体"/>
                <w:bCs/>
                <w:color w:val="auto"/>
                <w:sz w:val="24"/>
                <w:szCs w:val="24"/>
                <w:highlight w:val="none"/>
              </w:rPr>
              <w:fldChar w:fldCharType="end"/>
            </w:r>
            <w:r>
              <w:rPr>
                <w:rFonts w:hint="eastAsia" w:ascii="宋体" w:hAnsi="宋体" w:cs="宋体"/>
                <w:bCs/>
                <w:color w:val="auto"/>
                <w:sz w:val="24"/>
                <w:szCs w:val="24"/>
                <w:highlight w:val="none"/>
              </w:rPr>
              <w:t>不允许采购进口产品</w:t>
            </w:r>
          </w:p>
          <w:p>
            <w:pPr>
              <w:snapToGrid w:val="0"/>
              <w:spacing w:line="400" w:lineRule="exact"/>
              <w:rPr>
                <w:rFonts w:ascii="宋体" w:hAnsi="宋体" w:cs="宋体"/>
                <w:bCs/>
                <w:color w:val="auto"/>
                <w:sz w:val="24"/>
                <w:szCs w:val="24"/>
                <w:highlight w:val="none"/>
              </w:rPr>
            </w:pPr>
            <w:r>
              <w:rPr>
                <w:rFonts w:hint="eastAsia" w:ascii="宋体" w:hAnsi="宋体" w:cs="宋体"/>
                <w:bCs/>
                <w:color w:val="auto"/>
                <w:sz w:val="24"/>
                <w:szCs w:val="24"/>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1.12.2</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核心产品</w:t>
            </w:r>
          </w:p>
        </w:tc>
        <w:tc>
          <w:tcPr>
            <w:tcW w:w="6769" w:type="dxa"/>
            <w:vAlign w:val="center"/>
          </w:tcPr>
          <w:p>
            <w:pPr>
              <w:ind w:left="-88" w:leftChars="-42" w:right="-113" w:rightChars="-54" w:firstLine="120" w:firstLineChars="50"/>
              <w:rPr>
                <w:rFonts w:ascii="宋体" w:hAnsi="宋体" w:cs="宋体"/>
                <w:bCs/>
                <w:snapToGrid w:val="0"/>
                <w:color w:val="auto"/>
                <w:sz w:val="24"/>
                <w:szCs w:val="24"/>
                <w:highlight w:val="none"/>
              </w:rPr>
            </w:pPr>
            <w:r>
              <w:rPr>
                <w:rFonts w:hint="eastAsia" w:ascii="宋体" w:hAnsi="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1.14.6</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质疑联系人</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1. 招标需求及投标人资格条件质疑：</w:t>
            </w:r>
          </w:p>
          <w:p>
            <w:pPr>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   单  位：</w:t>
            </w:r>
            <w:r>
              <w:rPr>
                <w:rFonts w:hint="eastAsia" w:ascii="宋体" w:hAnsi="宋体" w:cs="宋体"/>
                <w:bCs/>
                <w:color w:val="auto"/>
                <w:sz w:val="24"/>
                <w:szCs w:val="24"/>
                <w:highlight w:val="none"/>
                <w:u w:val="single"/>
              </w:rPr>
              <w:t>缙云县人民政府新碧街道办事处</w:t>
            </w:r>
          </w:p>
          <w:p>
            <w:pPr>
              <w:ind w:firstLine="360" w:firstLineChars="150"/>
              <w:rPr>
                <w:rFonts w:ascii="宋体" w:hAnsi="宋体" w:cs="宋体"/>
                <w:bCs/>
                <w:color w:val="auto"/>
                <w:sz w:val="24"/>
                <w:szCs w:val="24"/>
                <w:highlight w:val="none"/>
              </w:rPr>
            </w:pPr>
            <w:r>
              <w:rPr>
                <w:rFonts w:hint="eastAsia" w:ascii="宋体" w:hAnsi="宋体" w:cs="宋体"/>
                <w:bCs/>
                <w:color w:val="auto"/>
                <w:sz w:val="24"/>
                <w:szCs w:val="24"/>
                <w:highlight w:val="none"/>
              </w:rPr>
              <w:t>联系人：</w:t>
            </w:r>
            <w:r>
              <w:rPr>
                <w:rFonts w:hint="eastAsia" w:ascii="宋体" w:hAnsi="宋体" w:cs="宋体"/>
                <w:color w:val="auto"/>
                <w:sz w:val="24"/>
                <w:szCs w:val="24"/>
                <w:highlight w:val="none"/>
                <w:lang w:eastAsia="zh-CN"/>
              </w:rPr>
              <w:t>王武</w:t>
            </w:r>
            <w:r>
              <w:rPr>
                <w:rFonts w:hint="eastAsia" w:ascii="宋体" w:hAnsi="宋体" w:cs="宋体"/>
                <w:color w:val="auto"/>
                <w:sz w:val="24"/>
                <w:szCs w:val="24"/>
                <w:highlight w:val="none"/>
              </w:rPr>
              <w:t>； 联系电话：</w:t>
            </w:r>
            <w:r>
              <w:rPr>
                <w:rFonts w:hint="eastAsia" w:ascii="宋体" w:hAnsi="宋体" w:cs="宋体"/>
                <w:color w:val="auto"/>
                <w:sz w:val="24"/>
                <w:szCs w:val="24"/>
                <w:highlight w:val="none"/>
                <w:lang w:val="en-US" w:eastAsia="zh-CN"/>
              </w:rPr>
              <w:t>18857822210</w:t>
            </w:r>
            <w:r>
              <w:rPr>
                <w:rFonts w:hint="eastAsia" w:ascii="宋体" w:hAnsi="宋体" w:cs="宋体"/>
                <w:color w:val="auto"/>
                <w:sz w:val="24"/>
                <w:szCs w:val="24"/>
                <w:highlight w:val="none"/>
              </w:rPr>
              <w:t xml:space="preserve">   </w:t>
            </w:r>
          </w:p>
          <w:p>
            <w:pPr>
              <w:rPr>
                <w:rFonts w:ascii="宋体" w:hAnsi="宋体" w:cs="宋体"/>
                <w:bCs/>
                <w:color w:val="auto"/>
                <w:sz w:val="24"/>
                <w:szCs w:val="24"/>
                <w:highlight w:val="none"/>
              </w:rPr>
            </w:pPr>
            <w:r>
              <w:rPr>
                <w:rFonts w:hint="eastAsia" w:ascii="宋体" w:hAnsi="宋体" w:cs="宋体"/>
                <w:bCs/>
                <w:color w:val="auto"/>
                <w:sz w:val="24"/>
                <w:szCs w:val="24"/>
                <w:highlight w:val="none"/>
              </w:rPr>
              <w:t>2. 其他事项质疑：</w:t>
            </w:r>
          </w:p>
          <w:p>
            <w:pPr>
              <w:rPr>
                <w:rFonts w:ascii="宋体" w:hAnsi="宋体" w:cs="宋体"/>
                <w:color w:val="auto"/>
                <w:sz w:val="24"/>
                <w:szCs w:val="24"/>
                <w:highlight w:val="none"/>
              </w:rPr>
            </w:pP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rPr>
              <w:t>单  位：</w:t>
            </w:r>
            <w:r>
              <w:rPr>
                <w:rFonts w:hint="eastAsia" w:ascii="宋体" w:hAnsi="宋体" w:cs="宋体"/>
                <w:color w:val="auto"/>
                <w:sz w:val="24"/>
                <w:szCs w:val="24"/>
                <w:highlight w:val="none"/>
                <w:u w:val="single"/>
              </w:rPr>
              <w:t>浙江鼎峰工程咨询有限公司</w:t>
            </w:r>
            <w:r>
              <w:rPr>
                <w:rFonts w:hint="eastAsia" w:ascii="宋体" w:hAnsi="宋体" w:cs="宋体"/>
                <w:color w:val="auto"/>
                <w:sz w:val="24"/>
                <w:szCs w:val="24"/>
                <w:highlight w:val="none"/>
              </w:rPr>
              <w:t xml:space="preserve"> </w:t>
            </w:r>
          </w:p>
          <w:p>
            <w:pPr>
              <w:ind w:firstLine="360" w:firstLineChars="150"/>
              <w:rPr>
                <w:rFonts w:ascii="宋体" w:hAnsi="宋体" w:cs="宋体"/>
                <w:bCs/>
                <w:color w:val="auto"/>
                <w:sz w:val="24"/>
                <w:szCs w:val="24"/>
                <w:highlight w:val="none"/>
              </w:rPr>
            </w:pPr>
            <w:r>
              <w:rPr>
                <w:rFonts w:hint="eastAsia" w:ascii="宋体" w:hAnsi="宋体" w:cs="宋体"/>
                <w:color w:val="auto"/>
                <w:sz w:val="24"/>
                <w:szCs w:val="24"/>
                <w:highlight w:val="none"/>
              </w:rPr>
              <w:t>联系人：李先生  联系电话：</w:t>
            </w:r>
            <w:r>
              <w:rPr>
                <w:rFonts w:hint="eastAsia" w:ascii="宋体" w:hAnsi="宋体" w:cs="宋体"/>
                <w:bCs/>
                <w:color w:val="auto"/>
                <w:sz w:val="24"/>
                <w:szCs w:val="24"/>
                <w:highlight w:val="none"/>
              </w:rPr>
              <w:t>0578-3311234</w:t>
            </w:r>
            <w:r>
              <w:rPr>
                <w:rFonts w:hint="eastAsia" w:ascii="宋体" w:hAnsi="宋体" w:cs="宋体"/>
                <w:color w:val="auto"/>
                <w:sz w:val="24"/>
                <w:szCs w:val="24"/>
                <w:highlight w:val="none"/>
              </w:rPr>
              <w:t xml:space="preserve">  传真：</w:t>
            </w:r>
            <w:r>
              <w:rPr>
                <w:rFonts w:hint="eastAsia" w:ascii="宋体" w:hAnsi="宋体" w:cs="宋体"/>
                <w:bCs/>
                <w:color w:val="auto"/>
                <w:sz w:val="24"/>
                <w:szCs w:val="24"/>
                <w:highlight w:val="none"/>
              </w:rPr>
              <w:t>0578-3311234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1.14.11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同级政府采购监督管理部门</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2.2.1</w:t>
            </w:r>
          </w:p>
        </w:tc>
        <w:tc>
          <w:tcPr>
            <w:tcW w:w="1560" w:type="dxa"/>
            <w:vAlign w:val="center"/>
          </w:tcPr>
          <w:p>
            <w:pPr>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投标人要求提交澄清、修改截止时间</w:t>
            </w:r>
          </w:p>
        </w:tc>
        <w:tc>
          <w:tcPr>
            <w:tcW w:w="6769"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2.2.2</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澄清、修改发布网址</w:t>
            </w:r>
          </w:p>
        </w:tc>
        <w:tc>
          <w:tcPr>
            <w:tcW w:w="6769" w:type="dxa"/>
            <w:vAlign w:val="center"/>
          </w:tcPr>
          <w:p>
            <w:pPr>
              <w:wordWrap w:val="0"/>
              <w:rPr>
                <w:rFonts w:ascii="宋体" w:hAnsi="宋体" w:cs="宋体"/>
                <w:bCs/>
                <w:color w:val="auto"/>
                <w:sz w:val="24"/>
                <w:szCs w:val="24"/>
                <w:highlight w:val="none"/>
              </w:rPr>
            </w:pPr>
            <w:r>
              <w:rPr>
                <w:rFonts w:hint="eastAsia" w:ascii="宋体" w:hAnsi="宋体" w:cs="宋体"/>
                <w:bCs/>
                <w:color w:val="auto"/>
                <w:sz w:val="24"/>
                <w:szCs w:val="24"/>
                <w:highlight w:val="none"/>
              </w:rPr>
              <w:t>1. 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s="宋体"/>
                <w:color w:val="auto"/>
                <w:sz w:val="24"/>
                <w:szCs w:val="24"/>
                <w:highlight w:val="none"/>
              </w:rPr>
              <w:t>www.zjzfcg.gov.cn</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t>）</w:t>
            </w:r>
          </w:p>
          <w:p>
            <w:pPr>
              <w:wordWrap w:val="0"/>
              <w:rPr>
                <w:rFonts w:ascii="宋体" w:hAnsi="宋体" w:cs="宋体"/>
                <w:bCs/>
                <w:color w:val="auto"/>
                <w:sz w:val="24"/>
                <w:szCs w:val="24"/>
                <w:highlight w:val="none"/>
              </w:rPr>
            </w:pPr>
            <w:r>
              <w:rPr>
                <w:rFonts w:hint="eastAsia" w:ascii="宋体" w:hAnsi="宋体" w:cs="宋体"/>
                <w:bCs/>
                <w:color w:val="auto"/>
                <w:sz w:val="24"/>
                <w:szCs w:val="24"/>
                <w:highlight w:val="none"/>
              </w:rPr>
              <w:t>2. 丽水市公共资源交易网（</w:t>
            </w:r>
            <w:r>
              <w:rPr>
                <w:color w:val="auto"/>
                <w:highlight w:val="none"/>
              </w:rPr>
              <w:fldChar w:fldCharType="begin"/>
            </w:r>
            <w:r>
              <w:rPr>
                <w:color w:val="auto"/>
                <w:highlight w:val="none"/>
              </w:rPr>
              <w:instrText xml:space="preserve"> HYPERLINK "http://www.lssggzy.com" </w:instrText>
            </w:r>
            <w:r>
              <w:rPr>
                <w:color w:val="auto"/>
                <w:highlight w:val="none"/>
              </w:rPr>
              <w:fldChar w:fldCharType="separate"/>
            </w:r>
            <w:r>
              <w:rPr>
                <w:rStyle w:val="51"/>
                <w:rFonts w:hint="eastAsia" w:ascii="宋体" w:hAnsi="宋体" w:cs="宋体"/>
                <w:bCs/>
                <w:color w:val="auto"/>
                <w:sz w:val="24"/>
                <w:szCs w:val="24"/>
                <w:highlight w:val="none"/>
                <w:u w:val="none"/>
              </w:rPr>
              <w:t>www.lssggzy.com</w:t>
            </w:r>
            <w:r>
              <w:rPr>
                <w:rStyle w:val="51"/>
                <w:rFonts w:hint="eastAsia" w:ascii="宋体" w:hAnsi="宋体" w:cs="宋体"/>
                <w:bCs/>
                <w:color w:val="auto"/>
                <w:sz w:val="24"/>
                <w:szCs w:val="24"/>
                <w:highlight w:val="none"/>
                <w:u w:val="none"/>
              </w:rPr>
              <w:fldChar w:fldCharType="end"/>
            </w:r>
            <w:r>
              <w:rPr>
                <w:rFonts w:hint="eastAsia" w:ascii="宋体" w:hAnsi="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3.2</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资格审查文件组成</w:t>
            </w:r>
          </w:p>
        </w:tc>
        <w:tc>
          <w:tcPr>
            <w:tcW w:w="6769" w:type="dxa"/>
            <w:vAlign w:val="center"/>
          </w:tcPr>
          <w:p>
            <w:pPr>
              <w:wordWrap w:val="0"/>
              <w:jc w:val="left"/>
              <w:rPr>
                <w:rFonts w:ascii="宋体" w:hAnsi="宋体" w:cs="宋体"/>
                <w:color w:val="auto"/>
                <w:kern w:val="0"/>
                <w:sz w:val="24"/>
                <w:szCs w:val="24"/>
                <w:highlight w:val="none"/>
              </w:rPr>
            </w:pPr>
            <w:r>
              <w:rPr>
                <w:rFonts w:hint="eastAsia" w:ascii="宋体" w:hAnsi="宋体" w:cs="宋体"/>
                <w:bCs/>
                <w:color w:val="auto"/>
                <w:sz w:val="24"/>
                <w:szCs w:val="24"/>
                <w:highlight w:val="none"/>
              </w:rPr>
              <w:t>1. 有效的营业执照复印件；</w:t>
            </w:r>
          </w:p>
          <w:p>
            <w:pPr>
              <w:wordWrap w:val="0"/>
              <w:jc w:val="left"/>
              <w:rPr>
                <w:rFonts w:ascii="宋体" w:hAnsi="宋体" w:cs="宋体"/>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rPr>
              <w:t>负责人身份证复印件；</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bCs/>
                <w:color w:val="auto"/>
                <w:sz w:val="24"/>
                <w:szCs w:val="24"/>
                <w:highlight w:val="none"/>
              </w:rPr>
              <w:t xml:space="preserve">. </w:t>
            </w:r>
            <w:r>
              <w:rPr>
                <w:rFonts w:hint="eastAsia" w:ascii="宋体" w:hAnsi="宋体" w:cs="宋体"/>
                <w:color w:val="auto"/>
                <w:sz w:val="24"/>
                <w:szCs w:val="24"/>
                <w:highlight w:val="none"/>
              </w:rPr>
              <w:t>若有委托代理人的，则还应当提供授权委托书及委托代理人的身份证复印件；</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4. 财务状况报告复印件；</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5. 依法缴纳税收和社会保障资金复印件；</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6. 无重大违法记录声明书；</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7、信用中国（www.creditchina.gov.cn）、中国政府采购网（www.ccgp.gov.cn）；</w:t>
            </w:r>
          </w:p>
          <w:p>
            <w:pPr>
              <w:wordWrap w:val="0"/>
              <w:jc w:val="left"/>
              <w:rPr>
                <w:color w:val="auto"/>
                <w:highlight w:val="none"/>
              </w:rPr>
            </w:pPr>
            <w:r>
              <w:rPr>
                <w:rFonts w:hint="eastAsia" w:ascii="宋体" w:hAnsi="宋体" w:cs="宋体"/>
                <w:color w:val="auto"/>
                <w:sz w:val="24"/>
                <w:szCs w:val="24"/>
                <w:highlight w:val="none"/>
              </w:rPr>
              <w:t>有无被列入失信被执行人、重大税收违法案件当事人名单、政府采购严重违法失信行为记录名单截图；</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8. 其他。</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3.3</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资信商务及技术文件组成</w:t>
            </w:r>
          </w:p>
        </w:tc>
        <w:tc>
          <w:tcPr>
            <w:tcW w:w="6769" w:type="dxa"/>
            <w:vAlign w:val="center"/>
          </w:tcPr>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1. 投标函；</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2. 保洁管理计划</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3. 保洁作业力量保障；</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4. 项目交接平稳过渡计划和人员维稳管理及安全生产排除方案；</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5. 综合协调方案；</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6. 保洁管理制度、措施；</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7. 企业管理制度；</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8. 服务承诺；</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9.其他必要提供的资料；</w:t>
            </w:r>
          </w:p>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3.4</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报价文件组成</w:t>
            </w:r>
          </w:p>
        </w:tc>
        <w:tc>
          <w:tcPr>
            <w:tcW w:w="6769" w:type="dxa"/>
            <w:vAlign w:val="center"/>
          </w:tcPr>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1. 开标一览表；</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2. 投标分项报价表；</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3. </w:t>
            </w:r>
            <w:r>
              <w:rPr>
                <w:rFonts w:hint="eastAsia" w:ascii="宋体" w:hAnsi="宋体" w:cs="宋体"/>
                <w:bCs/>
                <w:color w:val="auto"/>
                <w:sz w:val="24"/>
                <w:szCs w:val="24"/>
                <w:highlight w:val="none"/>
                <w:lang w:eastAsia="zh-CN"/>
              </w:rPr>
              <w:t>小微企业</w:t>
            </w:r>
            <w:r>
              <w:rPr>
                <w:rFonts w:hint="eastAsia" w:ascii="宋体" w:hAnsi="宋体" w:cs="宋体"/>
                <w:bCs/>
                <w:color w:val="auto"/>
                <w:sz w:val="24"/>
                <w:szCs w:val="24"/>
                <w:highlight w:val="none"/>
              </w:rPr>
              <w:t>声明函（若有）；</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4. 监狱企业声明函（若有）；</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lang w:val="en-US" w:eastAsia="zh-CN"/>
              </w:rPr>
              <w:t>5</w:t>
            </w:r>
            <w:r>
              <w:rPr>
                <w:rFonts w:hint="eastAsia" w:ascii="宋体" w:hAnsi="宋体" w:cs="宋体"/>
                <w:bCs/>
                <w:color w:val="auto"/>
                <w:sz w:val="24"/>
                <w:szCs w:val="24"/>
                <w:highlight w:val="none"/>
              </w:rPr>
              <w:t>. 残疾人福利性企业声明函（若有）。</w:t>
            </w:r>
          </w:p>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4.4.1</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投标有效期</w:t>
            </w:r>
          </w:p>
        </w:tc>
        <w:tc>
          <w:tcPr>
            <w:tcW w:w="6769" w:type="dxa"/>
            <w:vAlign w:val="center"/>
          </w:tcPr>
          <w:p>
            <w:pPr>
              <w:wordWrap w:val="0"/>
              <w:ind w:firstLine="120" w:firstLineChars="50"/>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90 </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4.6.1</w:t>
            </w:r>
          </w:p>
        </w:tc>
        <w:tc>
          <w:tcPr>
            <w:tcW w:w="1560" w:type="dxa"/>
            <w:vAlign w:val="center"/>
          </w:tcPr>
          <w:p>
            <w:pPr>
              <w:wordWrap w:val="0"/>
              <w:ind w:left="-44" w:leftChars="-53" w:right="-65" w:rightChars="-31" w:hanging="67" w:hangingChars="28"/>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投标文件份数</w:t>
            </w:r>
          </w:p>
        </w:tc>
        <w:tc>
          <w:tcPr>
            <w:tcW w:w="6769" w:type="dxa"/>
            <w:vAlign w:val="center"/>
          </w:tcPr>
          <w:p>
            <w:pPr>
              <w:wordWrap w:val="0"/>
              <w:rPr>
                <w:rFonts w:ascii="宋体" w:hAnsi="宋体" w:cs="宋体"/>
                <w:b/>
                <w:color w:val="auto"/>
                <w:sz w:val="24"/>
                <w:szCs w:val="24"/>
                <w:highlight w:val="none"/>
              </w:rPr>
            </w:pPr>
            <w:r>
              <w:rPr>
                <w:rFonts w:hint="eastAsia" w:ascii="宋体" w:hAnsi="宋体" w:cs="宋体"/>
                <w:b/>
                <w:color w:val="auto"/>
                <w:sz w:val="24"/>
                <w:szCs w:val="24"/>
                <w:highlight w:val="none"/>
              </w:rPr>
              <w:t>电子响应文件：按政采云平台供应商项目采购-电子招投标操作指南(网址：https://help.zcygov.cn/web/site_2/2018/12-28/2573.html)及本招标文件要求提交。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5.2.1</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投标文件提交截止时间</w:t>
            </w:r>
          </w:p>
        </w:tc>
        <w:tc>
          <w:tcPr>
            <w:tcW w:w="6769" w:type="dxa"/>
            <w:vAlign w:val="center"/>
          </w:tcPr>
          <w:p>
            <w:pPr>
              <w:wordWrap w:val="0"/>
              <w:rPr>
                <w:rFonts w:ascii="宋体" w:hAnsi="宋体" w:cs="宋体"/>
                <w:b/>
                <w:bCs/>
                <w:color w:val="auto"/>
                <w:sz w:val="24"/>
                <w:szCs w:val="24"/>
                <w:highlight w:val="none"/>
              </w:rPr>
            </w:pPr>
            <w:r>
              <w:rPr>
                <w:rFonts w:hint="eastAsia" w:ascii="宋体" w:hAnsi="宋体" w:cs="宋体"/>
                <w:b/>
                <w:bCs/>
                <w:color w:val="auto"/>
                <w:sz w:val="24"/>
                <w:szCs w:val="24"/>
                <w:highlight w:val="none"/>
              </w:rPr>
              <w:t>同投标截止时间，见第一章招标公告</w:t>
            </w:r>
          </w:p>
          <w:p>
            <w:pPr>
              <w:wordWrap w:val="0"/>
              <w:rPr>
                <w:rFonts w:ascii="宋体" w:hAnsi="宋体" w:cs="宋体"/>
                <w:b/>
                <w:bCs/>
                <w:color w:val="auto"/>
                <w:sz w:val="24"/>
                <w:szCs w:val="24"/>
                <w:highlight w:val="none"/>
              </w:rPr>
            </w:pPr>
            <w:r>
              <w:rPr>
                <w:rFonts w:hint="eastAsia" w:ascii="宋体" w:hAnsi="宋体" w:cs="宋体"/>
                <w:b/>
                <w:color w:val="auto"/>
                <w:sz w:val="24"/>
                <w:szCs w:val="24"/>
                <w:highlight w:val="none"/>
              </w:rPr>
              <w:t>在投标截止时间前，投标人可对已提交的电子</w:t>
            </w:r>
            <w:r>
              <w:rPr>
                <w:rFonts w:hint="eastAsia" w:ascii="宋体" w:hAnsi="宋体" w:cs="宋体"/>
                <w:b/>
                <w:color w:val="auto"/>
                <w:kern w:val="0"/>
                <w:sz w:val="24"/>
                <w:szCs w:val="24"/>
                <w:highlight w:val="none"/>
              </w:rPr>
              <w:t>投标文件</w:t>
            </w:r>
            <w:r>
              <w:rPr>
                <w:rFonts w:hint="eastAsia" w:ascii="宋体" w:hAnsi="宋体" w:cs="宋体"/>
                <w:b/>
                <w:color w:val="auto"/>
                <w:sz w:val="24"/>
                <w:szCs w:val="24"/>
                <w:highlight w:val="none"/>
              </w:rPr>
              <w:t>进行补充、修改或撤回。补充、修改电子投标文件的，应当先行撤回原文件，补充、修改后重新生成加密的电子投标文件并重新传输递交</w:t>
            </w:r>
            <w:r>
              <w:rPr>
                <w:rFonts w:hint="eastAsia" w:ascii="宋体" w:hAnsi="宋体" w:cs="宋体"/>
                <w:b/>
                <w:bCs/>
                <w:color w:val="auto"/>
                <w:sz w:val="24"/>
                <w:szCs w:val="24"/>
                <w:highlight w:val="none"/>
              </w:rPr>
              <w:t>。投标截止时间前未完成传输的，视为撤回投标文件。投标截止时间后递交的电子投标文件，将被拒收。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5.2.2</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投标文件提交地点</w:t>
            </w:r>
          </w:p>
        </w:tc>
        <w:tc>
          <w:tcPr>
            <w:tcW w:w="6769" w:type="dxa"/>
            <w:vAlign w:val="center"/>
          </w:tcPr>
          <w:p>
            <w:pPr>
              <w:wordWrap w:val="0"/>
              <w:rPr>
                <w:rFonts w:ascii="宋体" w:hAnsi="宋体" w:cs="宋体"/>
                <w:b/>
                <w:bCs/>
                <w:color w:val="auto"/>
                <w:sz w:val="24"/>
                <w:szCs w:val="24"/>
                <w:highlight w:val="none"/>
              </w:rPr>
            </w:pPr>
            <w:r>
              <w:rPr>
                <w:rFonts w:hint="eastAsia" w:ascii="宋体" w:hAnsi="宋体" w:cs="宋体"/>
                <w:b/>
                <w:color w:val="auto"/>
                <w:sz w:val="24"/>
                <w:szCs w:val="24"/>
                <w:highlight w:val="none"/>
              </w:rPr>
              <w:t>本项目实行电子招投标，投标人须在投标截止时间前，前往政采云平台上传电子投标文件，无需到达现场提交投标文件。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6.1.1</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开标时间和地点</w:t>
            </w:r>
          </w:p>
        </w:tc>
        <w:tc>
          <w:tcPr>
            <w:tcW w:w="6769" w:type="dxa"/>
            <w:vAlign w:val="center"/>
          </w:tcPr>
          <w:p>
            <w:pPr>
              <w:rPr>
                <w:rFonts w:ascii="宋体" w:hAnsi="宋体" w:cs="宋体"/>
                <w:b/>
                <w:color w:val="auto"/>
                <w:sz w:val="24"/>
                <w:szCs w:val="24"/>
                <w:highlight w:val="none"/>
                <w:u w:val="single"/>
              </w:rPr>
            </w:pPr>
            <w:r>
              <w:rPr>
                <w:rFonts w:hint="eastAsia" w:ascii="宋体" w:hAnsi="宋体" w:cs="宋体"/>
                <w:b/>
                <w:color w:val="auto"/>
                <w:sz w:val="24"/>
                <w:szCs w:val="24"/>
                <w:highlight w:val="none"/>
                <w:u w:val="single"/>
              </w:rPr>
              <w:t>时间：2020年</w:t>
            </w:r>
            <w:r>
              <w:rPr>
                <w:rFonts w:hint="eastAsia" w:ascii="宋体" w:hAnsi="宋体" w:cs="宋体"/>
                <w:b/>
                <w:color w:val="auto"/>
                <w:sz w:val="24"/>
                <w:szCs w:val="24"/>
                <w:highlight w:val="none"/>
                <w:u w:val="single"/>
                <w:lang w:val="en-US" w:eastAsia="zh-CN"/>
              </w:rPr>
              <w:t>10</w:t>
            </w:r>
            <w:r>
              <w:rPr>
                <w:rFonts w:hint="eastAsia" w:ascii="宋体" w:hAnsi="宋体" w:cs="宋体"/>
                <w:b/>
                <w:color w:val="auto"/>
                <w:sz w:val="24"/>
                <w:szCs w:val="24"/>
                <w:highlight w:val="none"/>
                <w:u w:val="single"/>
              </w:rPr>
              <w:t>月</w:t>
            </w:r>
            <w:r>
              <w:rPr>
                <w:rFonts w:hint="eastAsia" w:ascii="宋体" w:hAnsi="宋体" w:cs="宋体"/>
                <w:b/>
                <w:color w:val="auto"/>
                <w:sz w:val="24"/>
                <w:szCs w:val="24"/>
                <w:highlight w:val="none"/>
                <w:u w:val="single"/>
                <w:lang w:val="en-US" w:eastAsia="zh-CN"/>
              </w:rPr>
              <w:t>22</w:t>
            </w:r>
            <w:r>
              <w:rPr>
                <w:rFonts w:hint="eastAsia" w:ascii="宋体" w:hAnsi="宋体" w:cs="宋体"/>
                <w:b/>
                <w:color w:val="auto"/>
                <w:sz w:val="24"/>
                <w:szCs w:val="24"/>
                <w:highlight w:val="none"/>
                <w:u w:val="single"/>
              </w:rPr>
              <w:t>日</w:t>
            </w:r>
            <w:r>
              <w:rPr>
                <w:rFonts w:hint="eastAsia" w:ascii="宋体" w:hAnsi="宋体" w:cs="宋体"/>
                <w:b/>
                <w:color w:val="auto"/>
                <w:sz w:val="24"/>
                <w:szCs w:val="24"/>
                <w:highlight w:val="none"/>
                <w:u w:val="single"/>
                <w:lang w:val="en-US" w:eastAsia="zh-CN"/>
              </w:rPr>
              <w:t>12</w:t>
            </w:r>
            <w:r>
              <w:rPr>
                <w:rFonts w:hint="eastAsia" w:ascii="宋体" w:hAnsi="宋体" w:cs="宋体"/>
                <w:b/>
                <w:color w:val="auto"/>
                <w:sz w:val="24"/>
                <w:szCs w:val="24"/>
                <w:highlight w:val="none"/>
                <w:u w:val="single"/>
              </w:rPr>
              <w:t>时00分开始</w:t>
            </w:r>
          </w:p>
          <w:p>
            <w:pPr>
              <w:rPr>
                <w:rFonts w:ascii="宋体" w:hAnsi="宋体" w:cs="宋体"/>
                <w:color w:val="auto"/>
                <w:sz w:val="24"/>
                <w:szCs w:val="24"/>
                <w:highlight w:val="none"/>
              </w:rPr>
            </w:pPr>
            <w:r>
              <w:rPr>
                <w:rFonts w:hint="eastAsia" w:ascii="宋体" w:hAnsi="宋体" w:cs="宋体"/>
                <w:bCs/>
                <w:color w:val="auto"/>
                <w:sz w:val="24"/>
                <w:szCs w:val="24"/>
                <w:highlight w:val="none"/>
              </w:rPr>
              <w:t>地点：缙云县公共资源交易中心</w:t>
            </w:r>
            <w:r>
              <w:rPr>
                <w:rFonts w:hint="eastAsia" w:ascii="宋体" w:hAnsi="宋体" w:cs="宋体"/>
                <w:color w:val="auto"/>
                <w:sz w:val="24"/>
                <w:szCs w:val="24"/>
                <w:highlight w:val="none"/>
              </w:rPr>
              <w:t>（缙云县五云街道新区黄龙路广电大楼六楼）。</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开标时间后1小时内（2020年</w:t>
            </w:r>
            <w:r>
              <w:rPr>
                <w:rFonts w:hint="eastAsia" w:ascii="宋体" w:hAnsi="宋体" w:cs="宋体"/>
                <w:b/>
                <w:color w:val="auto"/>
                <w:sz w:val="24"/>
                <w:szCs w:val="24"/>
                <w:highlight w:val="none"/>
                <w:lang w:val="en-US" w:eastAsia="zh-CN"/>
              </w:rPr>
              <w:t>10</w:t>
            </w:r>
            <w:r>
              <w:rPr>
                <w:rFonts w:hint="eastAsia" w:ascii="宋体" w:hAnsi="宋体" w:cs="宋体"/>
                <w:b/>
                <w:color w:val="auto"/>
                <w:sz w:val="24"/>
                <w:szCs w:val="24"/>
                <w:highlight w:val="none"/>
              </w:rPr>
              <w:t>月</w:t>
            </w:r>
            <w:r>
              <w:rPr>
                <w:rFonts w:hint="eastAsia" w:ascii="宋体" w:hAnsi="宋体" w:cs="宋体"/>
                <w:b/>
                <w:color w:val="auto"/>
                <w:sz w:val="24"/>
                <w:szCs w:val="24"/>
                <w:highlight w:val="none"/>
                <w:lang w:val="en-US" w:eastAsia="zh-CN"/>
              </w:rPr>
              <w:t>22</w:t>
            </w:r>
            <w:r>
              <w:rPr>
                <w:rFonts w:hint="eastAsia" w:ascii="宋体" w:hAnsi="宋体" w:cs="宋体"/>
                <w:b/>
                <w:color w:val="auto"/>
                <w:sz w:val="24"/>
                <w:szCs w:val="24"/>
                <w:highlight w:val="none"/>
              </w:rPr>
              <w:t>日</w:t>
            </w:r>
            <w:r>
              <w:rPr>
                <w:rFonts w:hint="eastAsia" w:ascii="宋体" w:hAnsi="宋体" w:cs="宋体"/>
                <w:b/>
                <w:color w:val="auto"/>
                <w:sz w:val="24"/>
                <w:szCs w:val="24"/>
                <w:highlight w:val="none"/>
                <w:lang w:val="en-US" w:eastAsia="zh-CN"/>
              </w:rPr>
              <w:t>13</w:t>
            </w:r>
            <w:r>
              <w:rPr>
                <w:rFonts w:hint="eastAsia" w:ascii="宋体" w:hAnsi="宋体" w:cs="宋体"/>
                <w:b/>
                <w:color w:val="auto"/>
                <w:sz w:val="24"/>
                <w:szCs w:val="24"/>
                <w:highlight w:val="none"/>
              </w:rPr>
              <w:t>:00前）供应商可以登录“政采云”平台，用“项目采购-开标评标”功能进行解密投标文件。若供应商在规定时间内无法解密或解密失败，将导致投标无效或失败。</w:t>
            </w:r>
          </w:p>
          <w:p>
            <w:pPr>
              <w:spacing w:line="400" w:lineRule="exact"/>
              <w:rPr>
                <w:rFonts w:ascii="宋体" w:hAnsi="宋体" w:cs="宋体"/>
                <w:bCs/>
                <w:color w:val="auto"/>
                <w:sz w:val="24"/>
                <w:szCs w:val="24"/>
                <w:highlight w:val="none"/>
              </w:rPr>
            </w:pPr>
            <w:r>
              <w:rPr>
                <w:rFonts w:hint="eastAsia" w:ascii="宋体" w:hAnsi="宋体" w:cs="宋体"/>
                <w:bCs/>
                <w:color w:val="auto"/>
                <w:sz w:val="24"/>
                <w:szCs w:val="24"/>
                <w:highlight w:val="none"/>
              </w:rPr>
              <w:t>备注：为确保采购项目顺利实施，避免因政采云上电子投标文件解密失败导致投标方投标无效，投标人可在解密时间结束</w:t>
            </w:r>
            <w:r>
              <w:rPr>
                <w:color w:val="auto"/>
                <w:highlight w:val="none"/>
              </w:rPr>
              <w:fldChar w:fldCharType="begin"/>
            </w:r>
            <w:r>
              <w:rPr>
                <w:color w:val="auto"/>
                <w:highlight w:val="none"/>
              </w:rPr>
              <w:instrText xml:space="preserve"> HYPERLINK "mailto:日09时00分前将在政采云平台上最后生成的具备电子签章的备份加密投标文件（文件名后缀为备份文件四字的首字母）以电子邮件方式传送至邮箱（287547300@qq.com），传送的备份电子投标文件需打包压缩并加密，加密密码由投标方自行保管，如政采云上电子投标文件出现解密失败情况（开标当日9:00-10:00期间进行解密），投标方可按照自身意愿确认是否同意提供加密密码解密传送至邮箱（287547300@qq.com）的备份文件，并以备份文件作为替代电子投标文件，如投标方未按照规定时间（2020年3月" </w:instrText>
            </w:r>
            <w:r>
              <w:rPr>
                <w:color w:val="auto"/>
                <w:highlight w:val="none"/>
              </w:rPr>
              <w:fldChar w:fldCharType="separate"/>
            </w:r>
            <w:r>
              <w:rPr>
                <w:rFonts w:hint="eastAsia" w:ascii="宋体" w:hAnsi="宋体" w:cs="宋体"/>
                <w:bCs/>
                <w:color w:val="auto"/>
                <w:sz w:val="24"/>
                <w:szCs w:val="24"/>
                <w:highlight w:val="none"/>
              </w:rPr>
              <w:t>前将在政采云平台上最后生成的具备电子签章的备份投标文件以电子邮件方式传送至邮箱（287547300@qq.com），并以备份文件作为替代电子投标文件，如投标方未</w:t>
            </w:r>
            <w:r>
              <w:rPr>
                <w:rFonts w:hint="eastAsia" w:ascii="宋体" w:hAnsi="宋体" w:cs="宋体"/>
                <w:bCs/>
                <w:color w:val="auto"/>
                <w:sz w:val="24"/>
                <w:szCs w:val="24"/>
                <w:highlight w:val="none"/>
              </w:rPr>
              <w:fldChar w:fldCharType="end"/>
            </w:r>
            <w:r>
              <w:rPr>
                <w:rFonts w:hint="eastAsia" w:ascii="宋体" w:hAnsi="宋体" w:cs="宋体"/>
                <w:bCs/>
                <w:color w:val="auto"/>
                <w:sz w:val="24"/>
                <w:szCs w:val="24"/>
                <w:highlight w:val="none"/>
              </w:rPr>
              <w:t>在解密时间结束前提供有效备份文件，同时政采云上投标文件解密失败的，将导致投标无效。</w:t>
            </w:r>
          </w:p>
          <w:p>
            <w:pPr>
              <w:wordWrap w:val="0"/>
              <w:rPr>
                <w:rFonts w:ascii="宋体" w:hAnsi="宋体" w:cs="宋体"/>
                <w:color w:val="auto"/>
                <w:sz w:val="24"/>
                <w:szCs w:val="24"/>
                <w:highlight w:val="none"/>
              </w:rPr>
            </w:pPr>
            <w:r>
              <w:rPr>
                <w:rFonts w:hint="eastAsia" w:ascii="宋体" w:hAnsi="宋体" w:cs="宋体"/>
                <w:bCs/>
                <w:color w:val="auto"/>
                <w:sz w:val="24"/>
                <w:szCs w:val="24"/>
                <w:highlight w:val="none"/>
              </w:rPr>
              <w:t>投标方无需在开标当天到达开标现场对电子投标进行解密，可在公司办公场地在规定时间内对电子投标文件进行解密。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6.1.2</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开标时投标人需携带资料</w:t>
            </w:r>
          </w:p>
        </w:tc>
        <w:tc>
          <w:tcPr>
            <w:tcW w:w="6769" w:type="dxa"/>
            <w:vAlign w:val="center"/>
          </w:tcPr>
          <w:p>
            <w:pPr>
              <w:wordWrap w:val="0"/>
              <w:rPr>
                <w:rFonts w:ascii="宋体" w:hAnsi="宋体" w:cs="宋体"/>
                <w:color w:val="auto"/>
                <w:sz w:val="24"/>
                <w:szCs w:val="24"/>
                <w:highlight w:val="none"/>
              </w:rPr>
            </w:pPr>
            <w:r>
              <w:rPr>
                <w:rFonts w:hint="eastAsia" w:ascii="宋体" w:hAnsi="宋体" w:cs="宋体"/>
                <w:b/>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6.3.1</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评标方法</w:t>
            </w:r>
          </w:p>
        </w:tc>
        <w:tc>
          <w:tcPr>
            <w:tcW w:w="6769" w:type="dxa"/>
            <w:vAlign w:val="center"/>
          </w:tcPr>
          <w:p>
            <w:pPr>
              <w:wordWrap w:val="0"/>
              <w:rPr>
                <w:rFonts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sz w:val="24"/>
                <w:szCs w:val="24"/>
                <w:highlight w:val="none"/>
              </w:rPr>
              <w:fldChar w:fldCharType="end"/>
            </w:r>
            <w:r>
              <w:rPr>
                <w:rFonts w:hint="eastAsia" w:ascii="宋体" w:hAnsi="宋体" w:cs="宋体"/>
                <w:color w:val="auto"/>
                <w:sz w:val="24"/>
                <w:szCs w:val="24"/>
                <w:highlight w:val="none"/>
              </w:rPr>
              <w:t>综合评分法</w:t>
            </w:r>
          </w:p>
          <w:p>
            <w:pPr>
              <w:wordWrap w:val="0"/>
              <w:rPr>
                <w:rFonts w:ascii="宋体" w:hAnsi="宋体" w:cs="宋体"/>
                <w:color w:val="auto"/>
                <w:sz w:val="24"/>
                <w:szCs w:val="24"/>
                <w:highlight w:val="none"/>
              </w:rPr>
            </w:pPr>
            <w:r>
              <w:rPr>
                <w:rFonts w:hint="eastAsia" w:ascii="宋体" w:hAnsi="宋体" w:cs="宋体"/>
                <w:color w:val="auto"/>
                <w:sz w:val="24"/>
                <w:szCs w:val="24"/>
                <w:highlight w:val="none"/>
              </w:rPr>
              <w:sym w:font="Wingdings 2" w:char="F0A3"/>
            </w:r>
            <w:r>
              <w:rPr>
                <w:rFonts w:hint="eastAsia" w:ascii="宋体" w:hAnsi="宋体" w:cs="宋体"/>
                <w:color w:val="auto"/>
                <w:sz w:val="24"/>
                <w:szCs w:val="24"/>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bCs/>
                <w:snapToGrid w:val="0"/>
                <w:color w:val="auto"/>
                <w:sz w:val="24"/>
                <w:szCs w:val="24"/>
                <w:highlight w:val="none"/>
              </w:rPr>
              <w:t>7.3</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color w:val="auto"/>
                <w:sz w:val="24"/>
                <w:szCs w:val="24"/>
                <w:highlight w:val="none"/>
              </w:rPr>
              <w:t>非实质性条款负偏离项数</w:t>
            </w:r>
          </w:p>
        </w:tc>
        <w:tc>
          <w:tcPr>
            <w:tcW w:w="6769" w:type="dxa"/>
            <w:vAlign w:val="center"/>
          </w:tcPr>
          <w:p>
            <w:pPr>
              <w:wordWrap w:val="0"/>
              <w:rPr>
                <w:rFonts w:ascii="宋体" w:hAnsi="宋体" w:cs="宋体"/>
                <w:color w:val="auto"/>
                <w:sz w:val="24"/>
                <w:szCs w:val="24"/>
                <w:highlight w:val="none"/>
              </w:rPr>
            </w:pPr>
            <w:r>
              <w:rPr>
                <w:rFonts w:hint="eastAsia" w:ascii="宋体" w:hAnsi="宋体"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2" w:type="dxa"/>
            <w:vAlign w:val="center"/>
          </w:tcPr>
          <w:p>
            <w:pPr>
              <w:wordWrap w:val="0"/>
              <w:ind w:left="-88" w:leftChars="-42" w:right="-113" w:rightChars="-54"/>
              <w:jc w:val="center"/>
              <w:rPr>
                <w:rFonts w:ascii="宋体" w:hAnsi="宋体" w:cs="宋体"/>
                <w:bCs/>
                <w:snapToGrid w:val="0"/>
                <w:color w:val="auto"/>
                <w:sz w:val="24"/>
                <w:szCs w:val="24"/>
                <w:highlight w:val="none"/>
              </w:rPr>
            </w:pPr>
            <w:r>
              <w:rPr>
                <w:rFonts w:hint="eastAsia" w:ascii="宋体" w:hAnsi="宋体" w:cs="宋体"/>
                <w:color w:val="auto"/>
                <w:sz w:val="24"/>
                <w:szCs w:val="24"/>
                <w:highlight w:val="none"/>
              </w:rPr>
              <w:t>8.2.1</w:t>
            </w:r>
          </w:p>
        </w:tc>
        <w:tc>
          <w:tcPr>
            <w:tcW w:w="1560" w:type="dxa"/>
            <w:vAlign w:val="center"/>
          </w:tcPr>
          <w:p>
            <w:pPr>
              <w:wordWrap w:val="0"/>
              <w:ind w:left="-44" w:leftChars="-53" w:right="-65" w:rightChars="-31" w:hanging="67" w:hangingChars="28"/>
              <w:jc w:val="center"/>
              <w:rPr>
                <w:rFonts w:ascii="宋体" w:hAnsi="宋体" w:cs="宋体"/>
                <w:bCs/>
                <w:color w:val="auto"/>
                <w:sz w:val="24"/>
                <w:szCs w:val="24"/>
                <w:highlight w:val="none"/>
              </w:rPr>
            </w:pPr>
            <w:r>
              <w:rPr>
                <w:rFonts w:hint="eastAsia" w:ascii="宋体" w:hAnsi="宋体" w:cs="宋体"/>
                <w:bCs/>
                <w:color w:val="auto"/>
                <w:sz w:val="24"/>
                <w:szCs w:val="24"/>
                <w:highlight w:val="none"/>
              </w:rPr>
              <w:t>中标公告发布网址</w:t>
            </w:r>
          </w:p>
        </w:tc>
        <w:tc>
          <w:tcPr>
            <w:tcW w:w="6769" w:type="dxa"/>
            <w:vAlign w:val="center"/>
          </w:tcPr>
          <w:p>
            <w:pPr>
              <w:wordWrap w:val="0"/>
              <w:rPr>
                <w:rFonts w:ascii="宋体" w:hAnsi="宋体" w:cs="宋体"/>
                <w:bCs/>
                <w:color w:val="auto"/>
                <w:sz w:val="24"/>
                <w:szCs w:val="24"/>
                <w:highlight w:val="none"/>
              </w:rPr>
            </w:pPr>
            <w:r>
              <w:rPr>
                <w:rFonts w:hint="eastAsia" w:ascii="宋体" w:hAnsi="宋体" w:cs="宋体"/>
                <w:bCs/>
                <w:color w:val="auto"/>
                <w:sz w:val="24"/>
                <w:szCs w:val="24"/>
                <w:highlight w:val="none"/>
              </w:rPr>
              <w:t>1. 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s="宋体"/>
                <w:color w:val="auto"/>
                <w:sz w:val="24"/>
                <w:szCs w:val="24"/>
                <w:highlight w:val="none"/>
              </w:rPr>
              <w:t>www.zjzfcg.gov.cn</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t>）</w:t>
            </w:r>
          </w:p>
          <w:p>
            <w:pPr>
              <w:wordWrap w:val="0"/>
              <w:rPr>
                <w:rFonts w:ascii="宋体" w:hAnsi="宋体" w:cs="宋体"/>
                <w:color w:val="auto"/>
                <w:sz w:val="24"/>
                <w:szCs w:val="24"/>
                <w:highlight w:val="none"/>
              </w:rPr>
            </w:pPr>
            <w:r>
              <w:rPr>
                <w:rFonts w:hint="eastAsia" w:ascii="宋体" w:hAnsi="宋体" w:cs="宋体"/>
                <w:bCs/>
                <w:color w:val="auto"/>
                <w:sz w:val="24"/>
                <w:szCs w:val="24"/>
                <w:highlight w:val="none"/>
              </w:rPr>
              <w:t>2. 丽水市公共资源交易网（</w:t>
            </w:r>
            <w:r>
              <w:rPr>
                <w:color w:val="auto"/>
                <w:highlight w:val="none"/>
              </w:rPr>
              <w:fldChar w:fldCharType="begin"/>
            </w:r>
            <w:r>
              <w:rPr>
                <w:color w:val="auto"/>
                <w:highlight w:val="none"/>
              </w:rPr>
              <w:instrText xml:space="preserve"> HYPERLINK "http://www.lssggzy.com" </w:instrText>
            </w:r>
            <w:r>
              <w:rPr>
                <w:color w:val="auto"/>
                <w:highlight w:val="none"/>
              </w:rPr>
              <w:fldChar w:fldCharType="separate"/>
            </w:r>
            <w:r>
              <w:rPr>
                <w:rStyle w:val="51"/>
                <w:rFonts w:hint="eastAsia" w:ascii="宋体" w:hAnsi="宋体" w:cs="宋体"/>
                <w:bCs/>
                <w:color w:val="auto"/>
                <w:sz w:val="24"/>
                <w:szCs w:val="24"/>
                <w:highlight w:val="none"/>
                <w:u w:val="none"/>
              </w:rPr>
              <w:t>www.lssggzy.com</w:t>
            </w:r>
            <w:r>
              <w:rPr>
                <w:rStyle w:val="51"/>
                <w:rFonts w:hint="eastAsia" w:ascii="宋体" w:hAnsi="宋体" w:cs="宋体"/>
                <w:bCs/>
                <w:color w:val="auto"/>
                <w:sz w:val="24"/>
                <w:szCs w:val="24"/>
                <w:highlight w:val="none"/>
                <w:u w:val="none"/>
              </w:rPr>
              <w:fldChar w:fldCharType="end"/>
            </w:r>
            <w:r>
              <w:rPr>
                <w:rFonts w:hint="eastAsia" w:ascii="宋体" w:hAnsi="宋体" w:cs="宋体"/>
                <w:bCs/>
                <w:color w:val="auto"/>
                <w:sz w:val="24"/>
                <w:szCs w:val="24"/>
                <w:highlight w:val="none"/>
              </w:rPr>
              <w:t>）</w:t>
            </w:r>
          </w:p>
        </w:tc>
      </w:tr>
    </w:tbl>
    <w:p>
      <w:pPr>
        <w:wordWrap w:val="0"/>
        <w:rPr>
          <w:rFonts w:ascii="宋体" w:hAnsi="宋体"/>
          <w:color w:val="auto"/>
          <w:highlight w:val="none"/>
        </w:rPr>
      </w:pPr>
    </w:p>
    <w:p>
      <w:pPr>
        <w:pStyle w:val="45"/>
        <w:wordWrap w:val="0"/>
        <w:spacing w:after="240"/>
        <w:outlineLvl w:val="1"/>
        <w:rPr>
          <w:rFonts w:ascii="宋体" w:hAnsi="宋体"/>
          <w:color w:val="auto"/>
          <w:sz w:val="30"/>
          <w:szCs w:val="30"/>
          <w:highlight w:val="none"/>
        </w:rPr>
        <w:sectPr>
          <w:pgSz w:w="11906" w:h="16838"/>
          <w:pgMar w:top="1418" w:right="1418" w:bottom="1418" w:left="1418" w:header="851" w:footer="851" w:gutter="0"/>
          <w:cols w:space="720" w:num="1"/>
          <w:docGrid w:linePitch="312" w:charSpace="0"/>
        </w:sectPr>
      </w:pPr>
    </w:p>
    <w:p>
      <w:pPr>
        <w:pStyle w:val="45"/>
        <w:wordWrap w:val="0"/>
        <w:spacing w:after="240"/>
        <w:jc w:val="left"/>
        <w:outlineLvl w:val="1"/>
        <w:rPr>
          <w:rFonts w:ascii="宋体" w:hAnsi="宋体" w:cs="宋体"/>
          <w:color w:val="auto"/>
          <w:sz w:val="28"/>
          <w:szCs w:val="28"/>
          <w:highlight w:val="none"/>
        </w:rPr>
      </w:pPr>
      <w:bookmarkStart w:id="36" w:name="_Toc20936"/>
      <w:r>
        <w:rPr>
          <w:rFonts w:hint="eastAsia" w:ascii="宋体" w:hAnsi="宋体" w:cs="宋体"/>
          <w:color w:val="auto"/>
          <w:sz w:val="28"/>
          <w:szCs w:val="28"/>
          <w:highlight w:val="none"/>
        </w:rPr>
        <w:t>投标人须知前附表（二）</w:t>
      </w:r>
      <w:bookmarkEnd w:id="36"/>
    </w:p>
    <w:p>
      <w:pPr>
        <w:wordWrap w:val="0"/>
        <w:jc w:val="center"/>
        <w:rPr>
          <w:rFonts w:ascii="宋体" w:hAnsi="宋体" w:cs="宋体"/>
          <w:b/>
          <w:color w:val="auto"/>
          <w:sz w:val="24"/>
          <w:szCs w:val="24"/>
          <w:highlight w:val="none"/>
        </w:rPr>
      </w:pPr>
      <w:r>
        <w:rPr>
          <w:rFonts w:hint="eastAsia" w:ascii="宋体" w:hAnsi="宋体" w:cs="宋体"/>
          <w:b/>
          <w:color w:val="auto"/>
          <w:sz w:val="24"/>
          <w:szCs w:val="24"/>
          <w:highlight w:val="none"/>
        </w:rPr>
        <w:t>招标活动日程安排表</w:t>
      </w:r>
    </w:p>
    <w:tbl>
      <w:tblPr>
        <w:tblStyle w:val="54"/>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4"/>
        <w:gridCol w:w="396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2144"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工作内容</w:t>
            </w:r>
          </w:p>
        </w:tc>
        <w:tc>
          <w:tcPr>
            <w:tcW w:w="3969"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时间安排</w:t>
            </w:r>
          </w:p>
        </w:tc>
        <w:tc>
          <w:tcPr>
            <w:tcW w:w="2715"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2144"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发布招标公告</w:t>
            </w:r>
          </w:p>
        </w:tc>
        <w:tc>
          <w:tcPr>
            <w:tcW w:w="3969" w:type="dxa"/>
            <w:vAlign w:val="center"/>
          </w:tcPr>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9</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tc>
        <w:tc>
          <w:tcPr>
            <w:tcW w:w="2715" w:type="dxa"/>
            <w:vAlign w:val="center"/>
          </w:tcPr>
          <w:p>
            <w:pPr>
              <w:wordWrap w:val="0"/>
              <w:jc w:val="left"/>
              <w:rPr>
                <w:rFonts w:ascii="宋体" w:hAnsi="宋体" w:cs="宋体"/>
                <w:bCs/>
                <w:color w:val="auto"/>
                <w:sz w:val="24"/>
                <w:szCs w:val="24"/>
                <w:highlight w:val="none"/>
              </w:rPr>
            </w:pPr>
            <w:r>
              <w:rPr>
                <w:rFonts w:hint="eastAsia" w:ascii="宋体" w:hAnsi="宋体" w:cs="宋体"/>
                <w:bCs/>
                <w:color w:val="auto"/>
                <w:sz w:val="24"/>
                <w:szCs w:val="24"/>
                <w:highlight w:val="none"/>
              </w:rPr>
              <w:t>1.浙江政府采购网（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Fonts w:hint="eastAsia" w:ascii="宋体" w:hAnsi="宋体" w:cs="宋体"/>
                <w:color w:val="auto"/>
                <w:sz w:val="24"/>
                <w:szCs w:val="24"/>
                <w:highlight w:val="none"/>
              </w:rPr>
              <w:t>www.zjzfcg.gov.cn</w:t>
            </w:r>
            <w:r>
              <w:rPr>
                <w:rFonts w:hint="eastAsia" w:ascii="宋体" w:hAnsi="宋体" w:cs="宋体"/>
                <w:color w:val="auto"/>
                <w:sz w:val="24"/>
                <w:szCs w:val="24"/>
                <w:highlight w:val="none"/>
              </w:rPr>
              <w:fldChar w:fldCharType="end"/>
            </w:r>
            <w:r>
              <w:rPr>
                <w:rFonts w:hint="eastAsia" w:ascii="宋体" w:hAnsi="宋体" w:cs="宋体"/>
                <w:bCs/>
                <w:color w:val="auto"/>
                <w:sz w:val="24"/>
                <w:szCs w:val="24"/>
                <w:highlight w:val="none"/>
              </w:rPr>
              <w:t>）</w:t>
            </w:r>
          </w:p>
          <w:p>
            <w:pPr>
              <w:wordWrap w:val="0"/>
              <w:jc w:val="left"/>
              <w:rPr>
                <w:rFonts w:ascii="宋体" w:hAnsi="宋体" w:cs="宋体"/>
                <w:color w:val="auto"/>
                <w:sz w:val="24"/>
                <w:szCs w:val="24"/>
                <w:highlight w:val="none"/>
              </w:rPr>
            </w:pPr>
            <w:r>
              <w:rPr>
                <w:rFonts w:hint="eastAsia" w:ascii="宋体" w:hAnsi="宋体" w:cs="宋体"/>
                <w:bCs/>
                <w:color w:val="auto"/>
                <w:sz w:val="24"/>
                <w:szCs w:val="24"/>
                <w:highlight w:val="none"/>
              </w:rPr>
              <w:t>2.丽水市公共资源交易网（</w:t>
            </w:r>
            <w:r>
              <w:rPr>
                <w:color w:val="auto"/>
                <w:highlight w:val="none"/>
              </w:rPr>
              <w:fldChar w:fldCharType="begin"/>
            </w:r>
            <w:r>
              <w:rPr>
                <w:color w:val="auto"/>
                <w:highlight w:val="none"/>
              </w:rPr>
              <w:instrText xml:space="preserve"> HYPERLINK "http://www.lssggzy.com" </w:instrText>
            </w:r>
            <w:r>
              <w:rPr>
                <w:color w:val="auto"/>
                <w:highlight w:val="none"/>
              </w:rPr>
              <w:fldChar w:fldCharType="separate"/>
            </w:r>
            <w:r>
              <w:rPr>
                <w:rStyle w:val="51"/>
                <w:rFonts w:hint="eastAsia" w:ascii="宋体" w:hAnsi="宋体" w:cs="宋体"/>
                <w:bCs/>
                <w:color w:val="auto"/>
                <w:sz w:val="24"/>
                <w:szCs w:val="24"/>
                <w:highlight w:val="none"/>
                <w:u w:val="none"/>
              </w:rPr>
              <w:t>www.lssggzy.com</w:t>
            </w:r>
            <w:r>
              <w:rPr>
                <w:rStyle w:val="51"/>
                <w:rFonts w:hint="eastAsia" w:ascii="宋体" w:hAnsi="宋体" w:cs="宋体"/>
                <w:bCs/>
                <w:color w:val="auto"/>
                <w:sz w:val="24"/>
                <w:szCs w:val="24"/>
                <w:highlight w:val="none"/>
                <w:u w:val="none"/>
              </w:rPr>
              <w:fldChar w:fldCharType="end"/>
            </w:r>
            <w:r>
              <w:rPr>
                <w:rFonts w:hint="eastAsia" w:ascii="宋体" w:hAnsi="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2144"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发放招标文件</w:t>
            </w:r>
          </w:p>
        </w:tc>
        <w:tc>
          <w:tcPr>
            <w:tcW w:w="3969" w:type="dxa"/>
            <w:vAlign w:val="center"/>
          </w:tcPr>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2020</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9</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30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w:t>
            </w:r>
          </w:p>
        </w:tc>
        <w:tc>
          <w:tcPr>
            <w:tcW w:w="2715" w:type="dxa"/>
            <w:vAlign w:val="center"/>
          </w:tcPr>
          <w:p>
            <w:pPr>
              <w:tabs>
                <w:tab w:val="left" w:pos="2752"/>
              </w:tabs>
              <w:wordWrap w:val="0"/>
              <w:rPr>
                <w:rFonts w:ascii="宋体" w:hAnsi="宋体" w:cs="宋体"/>
                <w:color w:val="auto"/>
                <w:sz w:val="24"/>
                <w:szCs w:val="24"/>
                <w:highlight w:val="none"/>
              </w:rPr>
            </w:pPr>
            <w:r>
              <w:rPr>
                <w:rFonts w:hint="eastAsia" w:ascii="宋体" w:hAnsi="宋体" w:cs="宋体"/>
                <w:color w:val="auto"/>
                <w:sz w:val="24"/>
                <w:szCs w:val="24"/>
                <w:highlight w:val="none"/>
              </w:rPr>
              <w:t>获取方式：招标公告附件自行下载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2144"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现场踏勘和答疑</w:t>
            </w:r>
          </w:p>
        </w:tc>
        <w:tc>
          <w:tcPr>
            <w:tcW w:w="3969" w:type="dxa"/>
            <w:vAlign w:val="center"/>
          </w:tcPr>
          <w:p>
            <w:pPr>
              <w:wordWrap w:val="0"/>
              <w:jc w:val="left"/>
              <w:rPr>
                <w:rFonts w:ascii="宋体" w:hAnsi="宋体" w:cs="宋体"/>
                <w:color w:val="auto"/>
                <w:sz w:val="24"/>
                <w:szCs w:val="24"/>
                <w:highlight w:val="none"/>
              </w:rPr>
            </w:pPr>
            <w:r>
              <w:rPr>
                <w:rFonts w:hint="eastAsia" w:ascii="宋体" w:hAnsi="宋体" w:cs="宋体"/>
                <w:bCs/>
                <w:color w:val="auto"/>
                <w:sz w:val="24"/>
                <w:szCs w:val="24"/>
                <w:highlight w:val="none"/>
              </w:rPr>
              <w:fldChar w:fldCharType="begin"/>
            </w:r>
            <w:r>
              <w:rPr>
                <w:rFonts w:hint="eastAsia" w:ascii="宋体" w:hAnsi="宋体" w:cs="宋体"/>
                <w:bCs/>
                <w:color w:val="auto"/>
                <w:sz w:val="24"/>
                <w:szCs w:val="24"/>
                <w:highlight w:val="none"/>
              </w:rPr>
              <w:instrText xml:space="preserve"> eq \o\ac(</w:instrText>
            </w:r>
            <w:r>
              <w:rPr>
                <w:rFonts w:hint="eastAsia" w:ascii="宋体" w:hAnsi="宋体" w:cs="宋体"/>
                <w:bCs/>
                <w:color w:val="auto"/>
                <w:position w:val="-4"/>
                <w:sz w:val="36"/>
                <w:szCs w:val="24"/>
                <w:highlight w:val="none"/>
              </w:rPr>
              <w:instrText xml:space="preserve">□</w:instrText>
            </w:r>
            <w:r>
              <w:rPr>
                <w:rFonts w:hint="eastAsia" w:ascii="宋体" w:hAnsi="宋体" w:cs="宋体"/>
                <w:bCs/>
                <w:color w:val="auto"/>
                <w:sz w:val="24"/>
                <w:szCs w:val="24"/>
                <w:highlight w:val="none"/>
              </w:rPr>
              <w:instrText xml:space="preserve">,√)</w:instrText>
            </w:r>
            <w:r>
              <w:rPr>
                <w:rFonts w:hint="eastAsia" w:ascii="宋体" w:hAnsi="宋体" w:cs="宋体"/>
                <w:bCs/>
                <w:color w:val="auto"/>
                <w:sz w:val="24"/>
                <w:szCs w:val="24"/>
                <w:highlight w:val="none"/>
              </w:rPr>
              <w:fldChar w:fldCharType="end"/>
            </w:r>
            <w:r>
              <w:rPr>
                <w:rFonts w:hint="eastAsia" w:ascii="宋体" w:hAnsi="宋体" w:cs="宋体"/>
                <w:color w:val="auto"/>
                <w:sz w:val="24"/>
                <w:szCs w:val="24"/>
                <w:highlight w:val="none"/>
              </w:rPr>
              <w:t xml:space="preserve"> 无</w:t>
            </w:r>
          </w:p>
        </w:tc>
        <w:tc>
          <w:tcPr>
            <w:tcW w:w="2715" w:type="dxa"/>
            <w:vAlign w:val="center"/>
          </w:tcPr>
          <w:p>
            <w:pPr>
              <w:wordWrap w:val="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wordWrap w:val="0"/>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2144" w:type="dxa"/>
            <w:vAlign w:val="center"/>
          </w:tcPr>
          <w:p>
            <w:pPr>
              <w:wordWrap w:val="0"/>
              <w:jc w:val="center"/>
              <w:rPr>
                <w:rFonts w:ascii="宋体" w:hAnsi="宋体" w:cs="宋体"/>
                <w:color w:val="auto"/>
                <w:sz w:val="24"/>
                <w:szCs w:val="24"/>
                <w:highlight w:val="none"/>
              </w:rPr>
            </w:pPr>
            <w:r>
              <w:rPr>
                <w:rFonts w:hint="eastAsia" w:ascii="宋体" w:hAnsi="宋体" w:cs="宋体"/>
                <w:color w:val="auto"/>
                <w:sz w:val="24"/>
                <w:szCs w:val="24"/>
                <w:highlight w:val="none"/>
              </w:rPr>
              <w:t>更正公告</w:t>
            </w:r>
          </w:p>
        </w:tc>
        <w:tc>
          <w:tcPr>
            <w:tcW w:w="3969" w:type="dxa"/>
            <w:vAlign w:val="center"/>
          </w:tcPr>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澄清或修改内容可能影响投标文件编制的，投标截止时间15日前，不足15日的，顺延</w:t>
            </w:r>
            <w:r>
              <w:rPr>
                <w:rFonts w:hint="eastAsia" w:ascii="宋体" w:hAnsi="宋体" w:cs="宋体"/>
                <w:bCs/>
                <w:color w:val="auto"/>
                <w:sz w:val="24"/>
                <w:szCs w:val="24"/>
                <w:highlight w:val="none"/>
              </w:rPr>
              <w:t>投标截止时间</w:t>
            </w:r>
            <w:r>
              <w:rPr>
                <w:rFonts w:hint="eastAsia" w:ascii="宋体" w:hAnsi="宋体" w:cs="宋体"/>
                <w:color w:val="auto"/>
                <w:sz w:val="24"/>
                <w:szCs w:val="24"/>
                <w:highlight w:val="none"/>
              </w:rPr>
              <w:t>；</w:t>
            </w:r>
          </w:p>
        </w:tc>
        <w:tc>
          <w:tcPr>
            <w:tcW w:w="2715" w:type="dxa"/>
            <w:vAlign w:val="center"/>
          </w:tcPr>
          <w:p>
            <w:pPr>
              <w:wordWrap w:val="0"/>
              <w:jc w:val="left"/>
              <w:rPr>
                <w:rFonts w:ascii="宋体" w:hAnsi="宋体" w:cs="宋体"/>
                <w:color w:val="auto"/>
                <w:sz w:val="24"/>
                <w:szCs w:val="24"/>
                <w:highlight w:val="none"/>
              </w:rPr>
            </w:pPr>
            <w:r>
              <w:rPr>
                <w:rFonts w:hint="eastAsia" w:ascii="宋体" w:hAnsi="宋体" w:cs="宋体"/>
                <w:color w:val="auto"/>
                <w:sz w:val="24"/>
                <w:szCs w:val="24"/>
                <w:highlight w:val="none"/>
              </w:rPr>
              <w:t>澄清或修改内容获取方式：更正公告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2144"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投标文件提交截止时间</w:t>
            </w:r>
          </w:p>
        </w:tc>
        <w:tc>
          <w:tcPr>
            <w:tcW w:w="3969"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同投标人须知前附表（一）</w:t>
            </w:r>
          </w:p>
        </w:tc>
        <w:tc>
          <w:tcPr>
            <w:tcW w:w="271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tcBorders>
              <w:bottom w:val="single" w:color="auto" w:sz="4" w:space="0"/>
            </w:tcBorders>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2144" w:type="dxa"/>
            <w:tcBorders>
              <w:bottom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开标时间</w:t>
            </w:r>
          </w:p>
        </w:tc>
        <w:tc>
          <w:tcPr>
            <w:tcW w:w="3969" w:type="dxa"/>
            <w:tcBorders>
              <w:bottom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同投标截止时间</w:t>
            </w:r>
          </w:p>
        </w:tc>
        <w:tc>
          <w:tcPr>
            <w:tcW w:w="2715" w:type="dxa"/>
            <w:tcBorders>
              <w:bottom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7</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中标公告及中标通知书</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中标人确定之日起2个工作日内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质疑期限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中标结果公告期限届满之日起7个工作日内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投诉期限</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质疑答复期满后15个工作日内</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签订合同</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中标通知书发出之日起</w:t>
            </w:r>
            <w:r>
              <w:rPr>
                <w:rFonts w:hint="eastAsia" w:ascii="宋体" w:hAnsi="宋体" w:cs="宋体"/>
                <w:color w:val="auto"/>
                <w:sz w:val="24"/>
                <w:szCs w:val="24"/>
                <w:highlight w:val="none"/>
                <w:u w:val="single"/>
              </w:rPr>
              <w:t>30</w:t>
            </w:r>
            <w:r>
              <w:rPr>
                <w:rFonts w:hint="eastAsia" w:ascii="宋体" w:hAnsi="宋体" w:cs="宋体"/>
                <w:color w:val="auto"/>
                <w:sz w:val="24"/>
                <w:szCs w:val="24"/>
                <w:highlight w:val="none"/>
              </w:rPr>
              <w:t>日内，按照招标文件和中标人投标文件的规定，与中标人签订书面合同。</w:t>
            </w:r>
          </w:p>
        </w:tc>
        <w:tc>
          <w:tcPr>
            <w:tcW w:w="27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highlight w:val="none"/>
              </w:rPr>
            </w:pPr>
          </w:p>
        </w:tc>
      </w:tr>
      <w:bookmarkEnd w:id="34"/>
    </w:tbl>
    <w:p>
      <w:pPr>
        <w:pStyle w:val="45"/>
        <w:spacing w:beforeLines="100" w:afterLines="100"/>
        <w:jc w:val="left"/>
        <w:outlineLvl w:val="1"/>
        <w:rPr>
          <w:rFonts w:ascii="宋体" w:hAnsi="宋体"/>
          <w:color w:val="auto"/>
          <w:sz w:val="30"/>
          <w:szCs w:val="30"/>
          <w:highlight w:val="none"/>
        </w:rPr>
        <w:sectPr>
          <w:headerReference r:id="rId10" w:type="default"/>
          <w:footerReference r:id="rId11" w:type="even"/>
          <w:pgSz w:w="11906" w:h="16838"/>
          <w:pgMar w:top="1440" w:right="1440" w:bottom="1440" w:left="1440" w:header="851" w:footer="851" w:gutter="0"/>
          <w:cols w:space="720" w:num="1"/>
          <w:docGrid w:linePitch="312" w:charSpace="0"/>
        </w:sectPr>
      </w:pPr>
      <w:bookmarkStart w:id="37" w:name="_Toc530551821"/>
      <w:bookmarkStart w:id="38" w:name="_Toc531358976"/>
    </w:p>
    <w:p>
      <w:pPr>
        <w:pStyle w:val="45"/>
        <w:spacing w:beforeLines="100" w:afterLines="100"/>
        <w:jc w:val="left"/>
        <w:outlineLvl w:val="1"/>
        <w:rPr>
          <w:rFonts w:ascii="宋体" w:hAnsi="宋体"/>
          <w:color w:val="auto"/>
          <w:sz w:val="30"/>
          <w:szCs w:val="30"/>
          <w:highlight w:val="none"/>
        </w:rPr>
      </w:pPr>
      <w:bookmarkStart w:id="39" w:name="_Toc10744"/>
      <w:r>
        <w:rPr>
          <w:rFonts w:hint="eastAsia" w:ascii="宋体" w:hAnsi="宋体"/>
          <w:color w:val="auto"/>
          <w:sz w:val="30"/>
          <w:szCs w:val="30"/>
          <w:highlight w:val="none"/>
        </w:rPr>
        <w:t xml:space="preserve">一   </w:t>
      </w:r>
      <w:r>
        <w:rPr>
          <w:rFonts w:ascii="宋体" w:hAnsi="宋体"/>
          <w:color w:val="auto"/>
          <w:sz w:val="30"/>
          <w:szCs w:val="30"/>
          <w:highlight w:val="none"/>
        </w:rPr>
        <w:t xml:space="preserve"> </w:t>
      </w:r>
      <w:r>
        <w:rPr>
          <w:rFonts w:hint="eastAsia" w:ascii="宋体" w:hAnsi="宋体"/>
          <w:color w:val="auto"/>
          <w:sz w:val="30"/>
          <w:szCs w:val="30"/>
          <w:highlight w:val="none"/>
        </w:rPr>
        <w:t>总则</w:t>
      </w:r>
      <w:bookmarkEnd w:id="35"/>
      <w:bookmarkEnd w:id="37"/>
      <w:bookmarkEnd w:id="38"/>
      <w:bookmarkEnd w:id="39"/>
    </w:p>
    <w:p>
      <w:pPr>
        <w:pStyle w:val="109"/>
        <w:rPr>
          <w:rFonts w:ascii="宋体" w:eastAsia="宋体"/>
          <w:color w:val="auto"/>
          <w:szCs w:val="24"/>
          <w:highlight w:val="none"/>
        </w:rPr>
      </w:pPr>
      <w:bookmarkStart w:id="40" w:name="_Toc530551822"/>
      <w:bookmarkStart w:id="41" w:name="_Toc531358977"/>
      <w:bookmarkStart w:id="42" w:name="_Toc25444"/>
      <w:r>
        <w:rPr>
          <w:rFonts w:hint="eastAsia" w:ascii="宋体" w:eastAsia="宋体"/>
          <w:color w:val="auto"/>
          <w:szCs w:val="24"/>
          <w:highlight w:val="none"/>
        </w:rPr>
        <w:t>1.1  适用范围</w:t>
      </w:r>
      <w:bookmarkEnd w:id="40"/>
      <w:bookmarkEnd w:id="41"/>
      <w:bookmarkEnd w:id="42"/>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招标文件</w:t>
      </w:r>
      <w:r>
        <w:rPr>
          <w:rFonts w:hint="eastAsia" w:ascii="宋体" w:hAnsi="宋体" w:cs="宋体"/>
          <w:color w:val="auto"/>
          <w:sz w:val="24"/>
          <w:szCs w:val="24"/>
          <w:highlight w:val="none"/>
        </w:rPr>
        <w:t>适用于本次招标项目的采购行为，法律、法规另有规定的，从其规定。</w:t>
      </w:r>
    </w:p>
    <w:p>
      <w:pPr>
        <w:pStyle w:val="109"/>
        <w:rPr>
          <w:rFonts w:ascii="宋体" w:eastAsia="宋体"/>
          <w:color w:val="auto"/>
          <w:szCs w:val="24"/>
          <w:highlight w:val="none"/>
        </w:rPr>
      </w:pPr>
      <w:bookmarkStart w:id="43" w:name="_Toc6812"/>
      <w:bookmarkStart w:id="44" w:name="_Toc530551823"/>
      <w:bookmarkStart w:id="45" w:name="_Toc531358978"/>
      <w:r>
        <w:rPr>
          <w:rFonts w:hint="eastAsia" w:ascii="宋体" w:eastAsia="宋体"/>
          <w:color w:val="auto"/>
          <w:szCs w:val="24"/>
          <w:highlight w:val="none"/>
        </w:rPr>
        <w:t>1.2  定义</w:t>
      </w:r>
      <w:bookmarkEnd w:id="43"/>
      <w:bookmarkEnd w:id="44"/>
      <w:bookmarkEnd w:id="4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1.2.1“采购人”是指：见投标人须知前附表（一）；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 “采购代理机构”系指招标公告中载明的本项目的采购代理机构，详见投标人须知前附表（一）；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 “投标人”系指按照本招标文件的规定参加并递交投标文件的自然人、法人或其他组织；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 “负责人”系指法人企业的法定代表人，或其他组织为法律、行政法规规定代表单位行使职权的主要负责人，或自然人本人；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 “投标人代表”系指负责人或其授权的委托代理人；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 “合同”系指采购人与中标人双方签署的规定双方权利与义务的协议，以及所有附件、附录、招标文件和投标文件所提到的构成合同的所有文件；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1.2.7“产品”系指投标人按招标文件规定，须向采购人提供的一切产品（包括：虚拟产品），以及产品相关的保险、税金、备品备件、附件、耗材、工具、手册及其它有关技术资料和材料等；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1.2.8 “服务”系指投标人按招标文件规定应承担的送货上门、安装、调试、技术协助、维修、产品三包制度、校准、培训、技术指导以及其他类似的附随义务；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1.2.9“项目”系指投标人按招标文件规定向采购人提供的产品和服务；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1.2.10标有“▲”符号均属于“实质性条款”，不允许负偏离；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1.2.11标有“★”系指项目关键核心产品，作为判断同品牌产品的依据。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1.2.12“电子投标文件”系指投标人通过政采云电子投标工具编制的数据电文形式的加密标书。</w:t>
      </w:r>
    </w:p>
    <w:p>
      <w:pPr>
        <w:pStyle w:val="109"/>
        <w:rPr>
          <w:rFonts w:ascii="宋体" w:eastAsia="宋体"/>
          <w:color w:val="auto"/>
          <w:szCs w:val="24"/>
          <w:highlight w:val="none"/>
        </w:rPr>
      </w:pPr>
      <w:bookmarkStart w:id="46" w:name="_Toc531358980"/>
      <w:bookmarkStart w:id="47" w:name="_Toc3629"/>
      <w:bookmarkStart w:id="48" w:name="_Toc530551825"/>
      <w:r>
        <w:rPr>
          <w:rFonts w:hint="eastAsia" w:ascii="宋体" w:eastAsia="宋体"/>
          <w:color w:val="auto"/>
          <w:szCs w:val="24"/>
          <w:highlight w:val="none"/>
        </w:rPr>
        <w:t>1.3  投标人应具备资格条件</w:t>
      </w:r>
      <w:bookmarkEnd w:id="46"/>
      <w:bookmarkEnd w:id="47"/>
      <w:bookmarkEnd w:id="48"/>
    </w:p>
    <w:p>
      <w:pPr>
        <w:spacing w:line="360" w:lineRule="auto"/>
        <w:ind w:firstLine="480" w:firstLineChars="200"/>
        <w:rPr>
          <w:rFonts w:ascii="宋体" w:hAnsi="宋体" w:cs="宋体"/>
          <w:color w:val="auto"/>
          <w:sz w:val="24"/>
          <w:szCs w:val="24"/>
          <w:highlight w:val="none"/>
        </w:rPr>
      </w:pPr>
      <w:bookmarkStart w:id="49" w:name="_Toc530551826"/>
      <w:r>
        <w:rPr>
          <w:rFonts w:hint="eastAsia" w:ascii="宋体" w:hAnsi="宋体" w:cs="宋体"/>
          <w:color w:val="auto"/>
          <w:sz w:val="24"/>
          <w:szCs w:val="24"/>
          <w:highlight w:val="none"/>
        </w:rPr>
        <w:t>1.3.1符合本文件第一章第“六”条的规定；</w:t>
      </w:r>
    </w:p>
    <w:p>
      <w:pPr>
        <w:pStyle w:val="109"/>
        <w:rPr>
          <w:rFonts w:ascii="宋体" w:eastAsia="宋体"/>
          <w:color w:val="auto"/>
          <w:szCs w:val="24"/>
          <w:highlight w:val="none"/>
        </w:rPr>
      </w:pPr>
      <w:bookmarkStart w:id="50" w:name="_Toc23743"/>
      <w:bookmarkStart w:id="51" w:name="_Toc531358981"/>
      <w:r>
        <w:rPr>
          <w:rFonts w:hint="eastAsia" w:ascii="宋体" w:eastAsia="宋体"/>
          <w:color w:val="auto"/>
          <w:szCs w:val="24"/>
          <w:highlight w:val="none"/>
        </w:rPr>
        <w:t>1.4  联合体投标</w:t>
      </w:r>
      <w:bookmarkEnd w:id="49"/>
      <w:bookmarkEnd w:id="50"/>
      <w:bookmarkEnd w:id="5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1.4.1联合体投标：本工程不接受联合体投标；</w:t>
      </w:r>
    </w:p>
    <w:p>
      <w:pPr>
        <w:pStyle w:val="109"/>
        <w:rPr>
          <w:rFonts w:ascii="宋体" w:eastAsia="宋体"/>
          <w:color w:val="auto"/>
          <w:szCs w:val="24"/>
          <w:highlight w:val="none"/>
        </w:rPr>
      </w:pPr>
      <w:bookmarkStart w:id="52" w:name="_Toc22118"/>
      <w:bookmarkStart w:id="53" w:name="_Toc530551827"/>
      <w:bookmarkStart w:id="54" w:name="_Toc531358982"/>
      <w:r>
        <w:rPr>
          <w:rFonts w:hint="eastAsia" w:ascii="宋体" w:eastAsia="宋体"/>
          <w:color w:val="auto"/>
          <w:szCs w:val="24"/>
          <w:highlight w:val="none"/>
        </w:rPr>
        <w:t>1.5  投标文件的语言及计量</w:t>
      </w:r>
      <w:bookmarkEnd w:id="52"/>
      <w:bookmarkEnd w:id="53"/>
      <w:bookmarkEnd w:id="5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1.5.1投标文件以及投标人、采购人与采购代理机构就有关投标事宜的所有来往函电，均应以简体中文书写，除签名、盖章、专用名称等特殊情形外；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1.5.2投标资料提供外文证书或者外国语视听资料的，应当附有中文译本，由翻译机构盖章或者翻译人员签名；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1.5.3投标计量单位，招标文件已有明确规定的，使用招标文件规定的计量单位；招标文件没有规定的，应当采用中华人民共和国法定计量单位。</w:t>
      </w:r>
    </w:p>
    <w:p>
      <w:pPr>
        <w:pStyle w:val="109"/>
        <w:rPr>
          <w:rFonts w:ascii="宋体" w:eastAsia="宋体"/>
          <w:color w:val="auto"/>
          <w:szCs w:val="24"/>
          <w:highlight w:val="none"/>
        </w:rPr>
      </w:pPr>
      <w:bookmarkStart w:id="55" w:name="_Toc530551828"/>
      <w:bookmarkStart w:id="56" w:name="_Toc531358983"/>
      <w:bookmarkStart w:id="57" w:name="_Toc21963"/>
      <w:r>
        <w:rPr>
          <w:rFonts w:hint="eastAsia" w:ascii="宋体" w:eastAsia="宋体"/>
          <w:color w:val="auto"/>
          <w:szCs w:val="24"/>
          <w:highlight w:val="none"/>
        </w:rPr>
        <w:t>1.6  投标费用</w:t>
      </w:r>
      <w:bookmarkEnd w:id="55"/>
      <w:bookmarkEnd w:id="56"/>
      <w:bookmarkEnd w:id="5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不论投标的结果如何，投标人均应自行承担所有与投标有关的全部费用。</w:t>
      </w:r>
    </w:p>
    <w:p>
      <w:pPr>
        <w:pStyle w:val="109"/>
        <w:rPr>
          <w:rFonts w:ascii="宋体" w:eastAsia="宋体"/>
          <w:color w:val="auto"/>
          <w:szCs w:val="24"/>
          <w:highlight w:val="none"/>
        </w:rPr>
      </w:pPr>
      <w:bookmarkStart w:id="58" w:name="_Toc530551829"/>
      <w:bookmarkStart w:id="59" w:name="_Toc32062"/>
      <w:bookmarkStart w:id="60" w:name="_Toc531358984"/>
      <w:r>
        <w:rPr>
          <w:rFonts w:hint="eastAsia" w:ascii="宋体" w:eastAsia="宋体"/>
          <w:color w:val="auto"/>
          <w:szCs w:val="24"/>
          <w:highlight w:val="none"/>
        </w:rPr>
        <w:t>1.7  现场踏勘</w:t>
      </w:r>
      <w:bookmarkEnd w:id="58"/>
      <w:bookmarkEnd w:id="59"/>
      <w:bookmarkEnd w:id="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1.7.1 采购人按投标人须知前附表（一）规定的时间、地点组织投标人现场踏勘；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1.7.2 投标人踏勘现场发生的费用自理；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1.7.3 除招标人的原因外，投标人自行负责在踏勘现场中所发生的人员伤亡和财产损失；</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1.7.4 招标人在现场踏勘中介绍的场地和相关的周边环境情况，供投标人在编制投标文件时参考，采购人不对投标人据此作出的判断和决策负责；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1.7.5 投标人自身原因不参与现场踏勘的，不得就差别待遇或歧视待遇提出质疑。</w:t>
      </w:r>
    </w:p>
    <w:p>
      <w:pPr>
        <w:pStyle w:val="109"/>
        <w:rPr>
          <w:rFonts w:ascii="宋体" w:eastAsia="宋体"/>
          <w:color w:val="auto"/>
          <w:szCs w:val="24"/>
          <w:highlight w:val="none"/>
        </w:rPr>
      </w:pPr>
      <w:bookmarkStart w:id="61" w:name="_Toc530551830"/>
      <w:bookmarkStart w:id="62" w:name="_Toc5623"/>
      <w:bookmarkStart w:id="63" w:name="_Toc531358985"/>
      <w:r>
        <w:rPr>
          <w:rFonts w:hint="eastAsia" w:ascii="宋体" w:eastAsia="宋体"/>
          <w:color w:val="auto"/>
          <w:szCs w:val="24"/>
          <w:highlight w:val="none"/>
        </w:rPr>
        <w:t>1.8  答疑会</w:t>
      </w:r>
      <w:bookmarkEnd w:id="61"/>
      <w:bookmarkEnd w:id="62"/>
      <w:bookmarkEnd w:id="6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1.8.1 采购人或采购代理机构按投标人须知前附表（一）规定的时间和地点召开答疑会；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1.8.2 答疑会后，采购人或采购代理机构按本章第2.2款规定对投标人所提问题进行澄清答复；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1.8.4 投标人自身原因不参与答疑会的，不得就差别待遇或歧视待遇提出质疑。</w:t>
      </w:r>
    </w:p>
    <w:p>
      <w:pPr>
        <w:pStyle w:val="109"/>
        <w:rPr>
          <w:rFonts w:ascii="宋体" w:eastAsia="宋体"/>
          <w:color w:val="auto"/>
          <w:szCs w:val="24"/>
          <w:highlight w:val="none"/>
        </w:rPr>
      </w:pPr>
      <w:bookmarkStart w:id="64" w:name="_Toc531358986"/>
      <w:bookmarkStart w:id="65" w:name="_Toc530551831"/>
      <w:bookmarkStart w:id="66" w:name="_Toc24261"/>
      <w:r>
        <w:rPr>
          <w:rFonts w:hint="eastAsia" w:ascii="宋体" w:eastAsia="宋体"/>
          <w:color w:val="auto"/>
          <w:szCs w:val="24"/>
          <w:highlight w:val="none"/>
        </w:rPr>
        <w:t>1.9  分包</w:t>
      </w:r>
      <w:bookmarkEnd w:id="64"/>
      <w:bookmarkEnd w:id="65"/>
      <w:bookmarkEnd w:id="6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1.9.1分包：见投标人须知前附表（一）；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1.9.2投标人根据招标文件的规定和采购项目的实际情况，拟在中标后将中标项目的非主体、非关键性工作分包的，应当在投标文件中载明分包承担主体，分包承担主体应当具备相应资质条件且不得再次分包。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09"/>
        <w:rPr>
          <w:rFonts w:ascii="宋体" w:eastAsia="宋体"/>
          <w:color w:val="auto"/>
          <w:szCs w:val="24"/>
          <w:highlight w:val="none"/>
        </w:rPr>
      </w:pPr>
      <w:bookmarkStart w:id="67" w:name="_Toc530551832"/>
      <w:bookmarkStart w:id="68" w:name="_Toc531358987"/>
      <w:bookmarkStart w:id="69" w:name="_Toc19166"/>
      <w:r>
        <w:rPr>
          <w:rFonts w:hint="eastAsia" w:ascii="宋体" w:eastAsia="宋体"/>
          <w:color w:val="auto"/>
          <w:szCs w:val="24"/>
          <w:highlight w:val="none"/>
        </w:rPr>
        <w:t>1.10  保密</w:t>
      </w:r>
      <w:bookmarkEnd w:id="67"/>
      <w:bookmarkEnd w:id="68"/>
      <w:bookmarkEnd w:id="6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参与招标投标活动的各方当事人应当对评标情况以及在评标过程中的获悉的国家秘密、商业秘密负有保密责任，违者应对由此造成的后果承担法律责任。</w:t>
      </w:r>
    </w:p>
    <w:p>
      <w:pPr>
        <w:pStyle w:val="109"/>
        <w:rPr>
          <w:rFonts w:ascii="宋体" w:eastAsia="宋体"/>
          <w:color w:val="auto"/>
          <w:szCs w:val="24"/>
          <w:highlight w:val="none"/>
        </w:rPr>
      </w:pPr>
      <w:bookmarkStart w:id="70" w:name="_Toc531358988"/>
      <w:bookmarkStart w:id="71" w:name="_Toc29878"/>
      <w:bookmarkStart w:id="72" w:name="_Toc530551833"/>
      <w:r>
        <w:rPr>
          <w:rFonts w:hint="eastAsia" w:ascii="宋体" w:eastAsia="宋体"/>
          <w:color w:val="auto"/>
          <w:szCs w:val="24"/>
          <w:highlight w:val="none"/>
        </w:rPr>
        <w:t>1.11 政府采购政策</w:t>
      </w:r>
      <w:bookmarkEnd w:id="70"/>
      <w:bookmarkEnd w:id="71"/>
      <w:bookmarkEnd w:id="7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1.11.1节能环保产品认证：见投标人须知前附表（一）；有效的节能、环境标志产品认证系指国家确定的认证机构出具的、处于有效期之内的节能产品、环境标志产品认证证书，并且认证证书的认证标准必须符合国家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1.11.2 政府强制采购的节能产品品目：见投标人须知前附表（一）。各投标人拟投产品属于政府强制采购的，必须提供符合第1.11.1条规定的认证证书；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1.11.3 根据《政府采购促进中小企业发展暂行办法》（财库〔2011〕181号）文件要求，在政府采购活动按下列情形之一给予价格扣除：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对于非专门面向中小企业的项目，对小型和微型企业产品的价格给予扣除，用扣除后的价格参与评审，价格扣除比例见投标人须知前附表（一）；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参加政府采购活动的中小企业应当提供《投标人类型声明函》及相应的《小微企业声明函》或《监狱企业声明函》或《残疾人福利性企业声明函》及《制造企业声明函》。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1.11.4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1.11.5投标人符合《三部门联合发布关于促进残疾人就业政府采购政策的通知》（财库〔2017〕141号）文件要求，并提供《残疾人福利性单位声明函》的，则视同小型、微型企业，享受第1.11.3条的扶持政策。残疾人福利性单位属于小型、微型、企业的，不再重复享受政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1.11.6  采购进口产品：招标需求中未注明进口产品或允许进口产品，不得提供进口产品。</w:t>
      </w:r>
    </w:p>
    <w:p>
      <w:pPr>
        <w:pStyle w:val="109"/>
        <w:rPr>
          <w:rFonts w:ascii="宋体" w:eastAsia="宋体"/>
          <w:color w:val="auto"/>
          <w:szCs w:val="24"/>
          <w:highlight w:val="none"/>
        </w:rPr>
      </w:pPr>
      <w:bookmarkStart w:id="73" w:name="_Toc530551834"/>
      <w:bookmarkStart w:id="74" w:name="_Toc531358989"/>
      <w:bookmarkStart w:id="75" w:name="_Toc10169"/>
      <w:r>
        <w:rPr>
          <w:rFonts w:hint="eastAsia" w:ascii="宋体" w:eastAsia="宋体"/>
          <w:color w:val="auto"/>
          <w:szCs w:val="24"/>
          <w:highlight w:val="none"/>
        </w:rPr>
        <w:t>1.12 相同品牌产品</w:t>
      </w:r>
      <w:bookmarkEnd w:id="73"/>
      <w:bookmarkEnd w:id="74"/>
      <w:r>
        <w:rPr>
          <w:rFonts w:hint="eastAsia" w:ascii="宋体" w:eastAsia="宋体"/>
          <w:color w:val="auto"/>
          <w:szCs w:val="24"/>
          <w:highlight w:val="none"/>
        </w:rPr>
        <w:t>（本项目不适用）</w:t>
      </w:r>
      <w:bookmarkEnd w:id="7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1.12.1 如多家投标人提供相同品牌的产品参加同一政府采购项目竞争的，应当按一家投标人认定。评审后得分最高投标人获得中标人推荐资格；得分相同时，取报价最低者；报价相同时，取技术文件得分高者；均相同时，随机抽取方式确定。其他同品牌投标人不作为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1.12.2非单一产品采购项目中，招标文件第二章采购内容及清单中标注★的为项目关键核心产品，视为提供的是同品牌的产品，投标人均按一家投标人认定。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非单一产品采购项目中，如项目无标注关键核心产品的，项目采购内容及清单中单一产品品牌相同且报价占项目总报价50%以上（含本数，下同）的，视为提供的是同品牌的产品；多家投标人中，有一家投标人的报价达到50%以上，提供同品牌产品的投标人均按一家投标人认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1.12.3 当技术评审时发现多家投标人提供相同品牌的产品参加同一政府采购项目竞争的，或非单一产品采购项目中作为关键核心部分的单一产品品牌相同且有一家以上投标人报价占项目总报价50%以上的，评审后得分最高为有效投标人，其他同品牌投标人将作为无效投标处理。如按一家有效投标人认定后，造成项目有效投标人不足三家的，项目应予以废标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1.12.4  核心产品：见投标人须知前附表（一）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1.12.4  因相同品牌产品原因造成多家投标人按一家有效认定后，造成项目有效投标人不足三家的，项目应予以废标处理。</w:t>
      </w:r>
    </w:p>
    <w:p>
      <w:pPr>
        <w:pStyle w:val="109"/>
        <w:rPr>
          <w:rFonts w:ascii="宋体" w:eastAsia="宋体"/>
          <w:color w:val="auto"/>
          <w:szCs w:val="24"/>
          <w:highlight w:val="none"/>
        </w:rPr>
      </w:pPr>
      <w:bookmarkStart w:id="76" w:name="_Toc531358990"/>
      <w:bookmarkStart w:id="77" w:name="_Toc530551835"/>
      <w:bookmarkStart w:id="78" w:name="_Toc19521"/>
      <w:r>
        <w:rPr>
          <w:rFonts w:hint="eastAsia" w:ascii="宋体" w:eastAsia="宋体"/>
          <w:color w:val="auto"/>
          <w:szCs w:val="24"/>
          <w:highlight w:val="none"/>
        </w:rPr>
        <w:t>1.13 信用信息记录查询</w:t>
      </w:r>
      <w:bookmarkEnd w:id="76"/>
      <w:bookmarkEnd w:id="77"/>
      <w:bookmarkEnd w:id="7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1.13.1查询渠道：信用中国网站（www.creditchina.gov.cn）、中国政府采购网（www.ccgp.gov.cn）；</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1.13.2信用信息记录查询截止时间：同资格审查结束时间，网站显示的信用信息记录将作为投标人资格审查的依据；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1.13.3查询内容：列入失信被执行人、重大税收违法案件当事人名单、政府采购严重违法失信行为记录名单；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1.13.4信用信息留存方式：信用信息查询记录和证据以网页页面打印（或截图）等方式进行留存；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1.13.5 联合体成员存在不良信用信息记录的，视同联合体存在不良信用记录。</w:t>
      </w:r>
    </w:p>
    <w:p>
      <w:pPr>
        <w:pStyle w:val="109"/>
        <w:rPr>
          <w:rFonts w:ascii="宋体" w:eastAsia="宋体"/>
          <w:color w:val="auto"/>
          <w:szCs w:val="24"/>
          <w:highlight w:val="none"/>
        </w:rPr>
      </w:pPr>
      <w:bookmarkStart w:id="79" w:name="_Toc30818"/>
      <w:bookmarkStart w:id="80" w:name="_Toc531358991"/>
      <w:bookmarkStart w:id="81" w:name="_Toc530551836"/>
      <w:r>
        <w:rPr>
          <w:rFonts w:hint="eastAsia" w:ascii="宋体" w:eastAsia="宋体"/>
          <w:color w:val="auto"/>
          <w:szCs w:val="24"/>
          <w:highlight w:val="none"/>
        </w:rPr>
        <w:t>1.14 质疑和投诉</w:t>
      </w:r>
      <w:bookmarkEnd w:id="79"/>
      <w:bookmarkEnd w:id="80"/>
      <w:bookmarkEnd w:id="8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1.14.1投标人认为招标文件、招标过程、中标结果使自己的权益受到损害的，可以在知道或者应知其权益受到损害之日起7个工作日内，以书面形式向采购人、采购代理机构提出质疑。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1.14.2提出质疑的投标人应当是参与所质疑项目招标活动的投标人；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潜在投标人已依法获取其可质疑的招标文件的，可以对该文件提出质疑。对招标文件提出质疑的，应当在获取招标文件或者招标文件公告期限届满之日起7个工作日内提出；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1.14.3同一招标程序环节的质疑，投标人须一次性提出，否则不予以答复；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1.14.4质疑主要内容应符合《政府采购质疑和投诉办法》（财政部94号令）等相关规定，质疑内容涉及保密事项，质疑人应提供有效的信息来源或有效证据；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1.14.5质疑人可直接提交、传真或邮寄方式提交质疑函（一式三份以上）。以其他方式提出的质疑，采购人或采购代理机构可不予接受、答复。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邮寄方式送达质疑函的，以采购人或采购代理机构实际收到邮件之日作为收到质疑的日期。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传真方式送达质疑函的，质疑人应当取得采购人或采购代理机构确认收到传真的意见，并及时将质疑函原件送达采购人或采购代理机构。采购人或采购代理机构以实际收到原件之日作为收到质疑的日期。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在质疑期限届满前，质疑函已经邮寄或传真成功的，质疑不视为过期。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1.14.6质疑联系人：见投标人须知前附表（一）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1.14.7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1.14.8采购人或采购代理机构在收到质疑人的书面质疑后7个工作日内作出答复，并以书面形式答复质疑人；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1.14.9质疑人捏造事实、提供虚假材料进行质疑的，采购人或采购代理机构报告同级政府采购监督管理部门，由同级政府采购监督管理部门审查，情况属实的，应列入不良行为记录，并在指定的媒体上公告；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1.14.10 质疑人对采购人或采购代理机构的答复不满意或者采购人、采购代理机构未在规定时间内答复的，可以在答复期满后15个工作日内向同级政府采购监督管理部门提起投诉；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1.14.11 同级政府采购监督管理部门：见投标人须知前附表（一）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1.14.12 质疑函、投诉书范本在浙江政府采购网（www.zjzfcg.gov.cn）-下载专区中下载。</w:t>
      </w:r>
    </w:p>
    <w:p>
      <w:pPr>
        <w:pStyle w:val="109"/>
        <w:rPr>
          <w:rFonts w:ascii="宋体" w:eastAsia="宋体"/>
          <w:color w:val="auto"/>
          <w:szCs w:val="24"/>
          <w:highlight w:val="none"/>
        </w:rPr>
      </w:pPr>
      <w:bookmarkStart w:id="82" w:name="_Toc28544"/>
      <w:bookmarkStart w:id="83" w:name="_Toc530551837"/>
      <w:bookmarkStart w:id="84" w:name="_Toc531358992"/>
      <w:r>
        <w:rPr>
          <w:rFonts w:hint="eastAsia" w:ascii="宋体" w:eastAsia="宋体"/>
          <w:color w:val="auto"/>
          <w:szCs w:val="24"/>
          <w:highlight w:val="none"/>
        </w:rPr>
        <w:t>1.15  特别声明</w:t>
      </w:r>
      <w:bookmarkEnd w:id="82"/>
      <w:bookmarkEnd w:id="83"/>
      <w:bookmarkEnd w:id="8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1.15.1 单位负责人为同一人或者存在直接控股、管理关系的不同投标人，以及属于同一母公司或集团的不同投标人不得参加同一合同项下的政府采购活动；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1.15.2 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1.15.3 本项目排名第一的中标候选人未注册成为浙江省政府采购网“正式供应商”的，将会影响该项目合同备案及付款，由此造成的不利影响由投标人自行承担。</w:t>
      </w:r>
    </w:p>
    <w:p>
      <w:pPr>
        <w:pStyle w:val="45"/>
        <w:spacing w:beforeLines="100" w:afterLines="100"/>
        <w:jc w:val="left"/>
        <w:outlineLvl w:val="1"/>
        <w:rPr>
          <w:rFonts w:ascii="宋体" w:hAnsi="宋体"/>
          <w:color w:val="auto"/>
          <w:sz w:val="30"/>
          <w:szCs w:val="30"/>
          <w:highlight w:val="none"/>
        </w:rPr>
      </w:pPr>
      <w:bookmarkStart w:id="85" w:name="_Toc32149"/>
      <w:bookmarkStart w:id="86" w:name="_Toc493956034"/>
      <w:bookmarkStart w:id="87" w:name="_Toc530551838"/>
      <w:bookmarkStart w:id="88" w:name="_Toc531358993"/>
      <w:r>
        <w:rPr>
          <w:rFonts w:hint="eastAsia" w:ascii="宋体" w:hAnsi="宋体"/>
          <w:color w:val="auto"/>
          <w:sz w:val="30"/>
          <w:szCs w:val="30"/>
          <w:highlight w:val="none"/>
        </w:rPr>
        <w:t>二</w:t>
      </w:r>
      <w:r>
        <w:rPr>
          <w:rFonts w:ascii="宋体" w:hAnsi="宋体"/>
          <w:color w:val="auto"/>
          <w:sz w:val="30"/>
          <w:szCs w:val="30"/>
          <w:highlight w:val="none"/>
        </w:rPr>
        <w:t xml:space="preserve">  </w:t>
      </w:r>
      <w:r>
        <w:rPr>
          <w:rFonts w:hint="eastAsia" w:ascii="宋体" w:hAnsi="宋体"/>
          <w:color w:val="auto"/>
          <w:sz w:val="30"/>
          <w:szCs w:val="30"/>
          <w:highlight w:val="none"/>
        </w:rPr>
        <w:t>招标文件</w:t>
      </w:r>
      <w:bookmarkEnd w:id="85"/>
      <w:bookmarkEnd w:id="86"/>
      <w:bookmarkEnd w:id="87"/>
      <w:bookmarkEnd w:id="88"/>
    </w:p>
    <w:p>
      <w:pPr>
        <w:pStyle w:val="109"/>
        <w:rPr>
          <w:rFonts w:ascii="宋体" w:eastAsia="宋体"/>
          <w:color w:val="auto"/>
          <w:szCs w:val="24"/>
          <w:highlight w:val="none"/>
        </w:rPr>
      </w:pPr>
      <w:bookmarkStart w:id="89" w:name="_Toc1852"/>
      <w:bookmarkStart w:id="90" w:name="_Toc530551839"/>
      <w:bookmarkStart w:id="91" w:name="_Toc531358994"/>
      <w:r>
        <w:rPr>
          <w:rFonts w:ascii="宋体" w:eastAsia="宋体"/>
          <w:color w:val="auto"/>
          <w:szCs w:val="24"/>
          <w:highlight w:val="none"/>
        </w:rPr>
        <w:t xml:space="preserve">2.1  </w:t>
      </w:r>
      <w:r>
        <w:rPr>
          <w:rFonts w:hint="eastAsia" w:ascii="宋体" w:eastAsia="宋体"/>
          <w:color w:val="auto"/>
          <w:szCs w:val="24"/>
          <w:highlight w:val="none"/>
        </w:rPr>
        <w:t>招标文件的组成</w:t>
      </w:r>
      <w:bookmarkEnd w:id="89"/>
      <w:bookmarkEnd w:id="90"/>
      <w:bookmarkEnd w:id="9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2.1.1   第一章  招标公告；</w:t>
      </w:r>
    </w:p>
    <w:p>
      <w:pPr>
        <w:spacing w:line="360" w:lineRule="auto"/>
        <w:ind w:firstLine="480" w:firstLineChars="200"/>
        <w:rPr>
          <w:rFonts w:ascii="宋体" w:hAnsi="宋体" w:cs="宋体"/>
          <w:color w:val="auto"/>
          <w:sz w:val="24"/>
          <w:szCs w:val="24"/>
          <w:highlight w:val="none"/>
        </w:rPr>
      </w:pPr>
      <w:bookmarkStart w:id="92" w:name="_Toc301187619"/>
      <w:r>
        <w:rPr>
          <w:rFonts w:hint="eastAsia" w:ascii="宋体" w:hAnsi="宋体" w:cs="宋体"/>
          <w:color w:val="auto"/>
          <w:sz w:val="24"/>
          <w:szCs w:val="24"/>
          <w:highlight w:val="none"/>
        </w:rPr>
        <w:t>2.1.2   第二章  招标需求</w:t>
      </w:r>
      <w:bookmarkEnd w:id="92"/>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bookmarkStart w:id="93" w:name="_Toc301187620"/>
      <w:r>
        <w:rPr>
          <w:rFonts w:hint="eastAsia" w:ascii="宋体" w:hAnsi="宋体" w:cs="宋体"/>
          <w:color w:val="auto"/>
          <w:sz w:val="24"/>
          <w:szCs w:val="24"/>
          <w:highlight w:val="none"/>
        </w:rPr>
        <w:t>2.1.3   第三章  投标人须知</w:t>
      </w:r>
      <w:bookmarkEnd w:id="93"/>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bookmarkStart w:id="94" w:name="_Toc301187621"/>
      <w:r>
        <w:rPr>
          <w:rFonts w:hint="eastAsia" w:ascii="宋体" w:hAnsi="宋体" w:cs="宋体"/>
          <w:color w:val="auto"/>
          <w:sz w:val="24"/>
          <w:szCs w:val="24"/>
          <w:highlight w:val="none"/>
        </w:rPr>
        <w:t>2.1.4   第四章  政府采购合同格式；</w:t>
      </w:r>
    </w:p>
    <w:bookmarkEnd w:id="94"/>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2.1.5   第五章  投标文件格式；</w:t>
      </w:r>
    </w:p>
    <w:p>
      <w:pPr>
        <w:spacing w:line="360" w:lineRule="auto"/>
        <w:ind w:firstLine="480" w:firstLineChars="200"/>
        <w:rPr>
          <w:rFonts w:ascii="宋体" w:hAnsi="宋体" w:cs="宋体"/>
          <w:color w:val="auto"/>
          <w:sz w:val="24"/>
          <w:szCs w:val="24"/>
          <w:highlight w:val="none"/>
        </w:rPr>
      </w:pPr>
      <w:bookmarkStart w:id="95" w:name="_Toc301187623"/>
      <w:r>
        <w:rPr>
          <w:rFonts w:hint="eastAsia" w:ascii="宋体" w:hAnsi="宋体" w:cs="宋体"/>
          <w:color w:val="auto"/>
          <w:sz w:val="24"/>
          <w:szCs w:val="24"/>
          <w:highlight w:val="none"/>
        </w:rPr>
        <w:t>2.1.6   第六章  评标办法及标准</w:t>
      </w:r>
      <w:bookmarkEnd w:id="95"/>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bookmarkStart w:id="96" w:name="_Toc301187624"/>
      <w:r>
        <w:rPr>
          <w:rFonts w:hint="eastAsia" w:ascii="宋体" w:hAnsi="宋体" w:cs="宋体"/>
          <w:color w:val="auto"/>
          <w:sz w:val="24"/>
          <w:szCs w:val="24"/>
          <w:highlight w:val="none"/>
        </w:rPr>
        <w:t>2.1.7   本项目招标文件的澄清、修改的内容</w:t>
      </w:r>
      <w:bookmarkEnd w:id="96"/>
      <w:r>
        <w:rPr>
          <w:rFonts w:hint="eastAsia" w:ascii="宋体" w:hAnsi="宋体" w:cs="宋体"/>
          <w:color w:val="auto"/>
          <w:sz w:val="24"/>
          <w:szCs w:val="24"/>
          <w:highlight w:val="none"/>
        </w:rPr>
        <w:t>。</w:t>
      </w:r>
    </w:p>
    <w:p>
      <w:pPr>
        <w:pStyle w:val="109"/>
        <w:rPr>
          <w:rFonts w:ascii="宋体" w:eastAsia="宋体"/>
          <w:color w:val="auto"/>
          <w:szCs w:val="24"/>
          <w:highlight w:val="none"/>
        </w:rPr>
      </w:pPr>
      <w:bookmarkStart w:id="97" w:name="_Toc531358996"/>
      <w:bookmarkStart w:id="98" w:name="_Toc25603"/>
      <w:bookmarkStart w:id="99" w:name="_Toc530551841"/>
      <w:r>
        <w:rPr>
          <w:rFonts w:ascii="宋体" w:eastAsia="宋体"/>
          <w:color w:val="auto"/>
          <w:szCs w:val="24"/>
          <w:highlight w:val="none"/>
        </w:rPr>
        <w:t xml:space="preserve">2.2  </w:t>
      </w:r>
      <w:r>
        <w:rPr>
          <w:rFonts w:hint="eastAsia" w:ascii="宋体" w:eastAsia="宋体"/>
          <w:color w:val="auto"/>
          <w:szCs w:val="24"/>
          <w:highlight w:val="none"/>
        </w:rPr>
        <w:t>招标文件的澄清、修改</w:t>
      </w:r>
      <w:bookmarkEnd w:id="97"/>
      <w:bookmarkEnd w:id="98"/>
      <w:bookmarkEnd w:id="9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2.2.1 招标文件的澄清、修改截止时间：见投标人须知前附表（一）。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 澄清或修改内容可能影响投标文件编制的，采购代理机构在提交投标截止时间15日前，将以发布更正公告的形式通知各潜在的投标人。不足15日的，采购代理机构有权顺延投标截止时间；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2.2.3 投标截止时间前，采购代理机构可以对发出的招标文件进行必要的澄清或修改，澄清或修改后的补充文件，作为招标文件的组成部分，对各投标人起同等约束作用；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2.2.4 澄清、修改等更正内容发布网址：见投标人须知前附表（一）；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2.2.5 当招标文件与澄清或修改文件就同一内容的表述不一致时，以最后发出的澄清或修改文件为准。</w:t>
      </w:r>
    </w:p>
    <w:p>
      <w:pPr>
        <w:pStyle w:val="45"/>
        <w:spacing w:beforeLines="100" w:afterLines="100"/>
        <w:jc w:val="left"/>
        <w:outlineLvl w:val="1"/>
        <w:rPr>
          <w:rFonts w:ascii="宋体" w:hAnsi="宋体"/>
          <w:color w:val="auto"/>
          <w:sz w:val="30"/>
          <w:szCs w:val="30"/>
          <w:highlight w:val="none"/>
        </w:rPr>
      </w:pPr>
      <w:bookmarkStart w:id="100" w:name="_Toc24617"/>
      <w:bookmarkStart w:id="101" w:name="_Toc530551842"/>
      <w:bookmarkStart w:id="102" w:name="_Toc531358997"/>
      <w:r>
        <w:rPr>
          <w:rFonts w:hint="eastAsia" w:ascii="宋体" w:hAnsi="宋体"/>
          <w:color w:val="auto"/>
          <w:sz w:val="30"/>
          <w:szCs w:val="30"/>
          <w:highlight w:val="none"/>
        </w:rPr>
        <w:t>三  投标文件</w:t>
      </w:r>
      <w:bookmarkEnd w:id="100"/>
      <w:bookmarkEnd w:id="101"/>
      <w:bookmarkEnd w:id="102"/>
    </w:p>
    <w:p>
      <w:pPr>
        <w:pStyle w:val="109"/>
        <w:rPr>
          <w:rFonts w:ascii="宋体" w:eastAsia="宋体"/>
          <w:color w:val="auto"/>
          <w:szCs w:val="24"/>
          <w:highlight w:val="none"/>
        </w:rPr>
      </w:pPr>
      <w:bookmarkStart w:id="103" w:name="_Toc530551843"/>
      <w:bookmarkStart w:id="104" w:name="_Toc30004"/>
      <w:bookmarkStart w:id="105" w:name="_Toc531358998"/>
      <w:r>
        <w:rPr>
          <w:rFonts w:hint="eastAsia" w:ascii="宋体" w:eastAsia="宋体"/>
          <w:color w:val="auto"/>
          <w:szCs w:val="24"/>
          <w:highlight w:val="none"/>
        </w:rPr>
        <w:t>3.</w:t>
      </w:r>
      <w:r>
        <w:rPr>
          <w:rFonts w:ascii="宋体" w:eastAsia="宋体"/>
          <w:color w:val="auto"/>
          <w:szCs w:val="24"/>
          <w:highlight w:val="none"/>
        </w:rPr>
        <w:t>1</w:t>
      </w:r>
      <w:r>
        <w:rPr>
          <w:rFonts w:hint="eastAsia" w:ascii="宋体" w:eastAsia="宋体"/>
          <w:color w:val="auto"/>
          <w:szCs w:val="24"/>
          <w:highlight w:val="none"/>
        </w:rPr>
        <w:t xml:space="preserve">  投标</w:t>
      </w:r>
      <w:r>
        <w:rPr>
          <w:rFonts w:ascii="宋体" w:eastAsia="宋体"/>
          <w:color w:val="auto"/>
          <w:szCs w:val="24"/>
          <w:highlight w:val="none"/>
        </w:rPr>
        <w:t>文件组成</w:t>
      </w:r>
      <w:bookmarkEnd w:id="103"/>
      <w:bookmarkEnd w:id="104"/>
      <w:bookmarkEnd w:id="10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投标文件由资格审查文件、资信商务及技术文件、报价文件三部分组成。</w:t>
      </w:r>
    </w:p>
    <w:p>
      <w:pPr>
        <w:pStyle w:val="109"/>
        <w:rPr>
          <w:rFonts w:ascii="宋体" w:eastAsia="宋体"/>
          <w:color w:val="auto"/>
          <w:szCs w:val="24"/>
          <w:highlight w:val="none"/>
        </w:rPr>
      </w:pPr>
      <w:bookmarkStart w:id="106" w:name="_Toc530551844"/>
      <w:bookmarkStart w:id="107" w:name="_Toc5835"/>
      <w:bookmarkStart w:id="108" w:name="_Toc531358999"/>
      <w:r>
        <w:rPr>
          <w:rFonts w:hint="eastAsia" w:ascii="宋体" w:eastAsia="宋体"/>
          <w:color w:val="auto"/>
          <w:szCs w:val="24"/>
          <w:highlight w:val="none"/>
        </w:rPr>
        <w:t>3.</w:t>
      </w:r>
      <w:r>
        <w:rPr>
          <w:rFonts w:ascii="宋体" w:eastAsia="宋体"/>
          <w:color w:val="auto"/>
          <w:szCs w:val="24"/>
          <w:highlight w:val="none"/>
        </w:rPr>
        <w:t xml:space="preserve">2  </w:t>
      </w:r>
      <w:r>
        <w:rPr>
          <w:rFonts w:hint="eastAsia" w:ascii="宋体" w:eastAsia="宋体"/>
          <w:color w:val="auto"/>
          <w:szCs w:val="24"/>
          <w:highlight w:val="none"/>
        </w:rPr>
        <w:t>资格</w:t>
      </w:r>
      <w:r>
        <w:rPr>
          <w:rFonts w:ascii="宋体" w:eastAsia="宋体"/>
          <w:color w:val="auto"/>
          <w:szCs w:val="24"/>
          <w:highlight w:val="none"/>
        </w:rPr>
        <w:t>审查文件</w:t>
      </w:r>
      <w:r>
        <w:rPr>
          <w:rFonts w:hint="eastAsia" w:ascii="宋体" w:eastAsia="宋体"/>
          <w:color w:val="auto"/>
          <w:szCs w:val="24"/>
          <w:highlight w:val="none"/>
        </w:rPr>
        <w:t>的</w:t>
      </w:r>
      <w:r>
        <w:rPr>
          <w:rFonts w:ascii="宋体" w:eastAsia="宋体"/>
          <w:color w:val="auto"/>
          <w:szCs w:val="24"/>
          <w:highlight w:val="none"/>
        </w:rPr>
        <w:t>组成</w:t>
      </w:r>
      <w:bookmarkEnd w:id="106"/>
      <w:bookmarkEnd w:id="107"/>
      <w:bookmarkEnd w:id="10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资格审查文件的组成：见投标人须知前附表（一）。</w:t>
      </w:r>
    </w:p>
    <w:p>
      <w:pPr>
        <w:pStyle w:val="109"/>
        <w:rPr>
          <w:rFonts w:ascii="宋体" w:eastAsia="宋体"/>
          <w:color w:val="auto"/>
          <w:szCs w:val="24"/>
          <w:highlight w:val="none"/>
        </w:rPr>
      </w:pPr>
      <w:bookmarkStart w:id="109" w:name="_Toc22607"/>
      <w:bookmarkStart w:id="110" w:name="_Toc531359000"/>
      <w:bookmarkStart w:id="111" w:name="_Toc530551845"/>
      <w:r>
        <w:rPr>
          <w:rFonts w:hint="eastAsia" w:ascii="宋体" w:eastAsia="宋体"/>
          <w:color w:val="auto"/>
          <w:szCs w:val="24"/>
          <w:highlight w:val="none"/>
        </w:rPr>
        <w:t>3.</w:t>
      </w:r>
      <w:r>
        <w:rPr>
          <w:rFonts w:ascii="宋体" w:eastAsia="宋体"/>
          <w:color w:val="auto"/>
          <w:szCs w:val="24"/>
          <w:highlight w:val="none"/>
        </w:rPr>
        <w:t xml:space="preserve">3  </w:t>
      </w:r>
      <w:r>
        <w:rPr>
          <w:rFonts w:hint="eastAsia" w:ascii="宋体" w:eastAsia="宋体"/>
          <w:color w:val="auto"/>
          <w:szCs w:val="24"/>
          <w:highlight w:val="none"/>
        </w:rPr>
        <w:t>资信</w:t>
      </w:r>
      <w:r>
        <w:rPr>
          <w:rFonts w:ascii="宋体" w:eastAsia="宋体"/>
          <w:color w:val="auto"/>
          <w:szCs w:val="24"/>
          <w:highlight w:val="none"/>
        </w:rPr>
        <w:t>商务</w:t>
      </w:r>
      <w:r>
        <w:rPr>
          <w:rFonts w:hint="eastAsia" w:ascii="宋体" w:eastAsia="宋体"/>
          <w:color w:val="auto"/>
          <w:szCs w:val="24"/>
          <w:highlight w:val="none"/>
        </w:rPr>
        <w:t>及</w:t>
      </w:r>
      <w:r>
        <w:rPr>
          <w:rFonts w:ascii="宋体" w:eastAsia="宋体"/>
          <w:color w:val="auto"/>
          <w:szCs w:val="24"/>
          <w:highlight w:val="none"/>
        </w:rPr>
        <w:t>技术文件</w:t>
      </w:r>
      <w:r>
        <w:rPr>
          <w:rFonts w:hint="eastAsia" w:ascii="宋体" w:eastAsia="宋体"/>
          <w:color w:val="auto"/>
          <w:szCs w:val="24"/>
          <w:highlight w:val="none"/>
        </w:rPr>
        <w:t>的</w:t>
      </w:r>
      <w:r>
        <w:rPr>
          <w:rFonts w:ascii="宋体" w:eastAsia="宋体"/>
          <w:color w:val="auto"/>
          <w:szCs w:val="24"/>
          <w:highlight w:val="none"/>
        </w:rPr>
        <w:t>组成</w:t>
      </w:r>
      <w:bookmarkEnd w:id="109"/>
      <w:bookmarkEnd w:id="110"/>
      <w:bookmarkEnd w:id="1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资信商务及技术文件的组成：见投标人须知前附表（一）。</w:t>
      </w:r>
    </w:p>
    <w:p>
      <w:pPr>
        <w:pStyle w:val="109"/>
        <w:rPr>
          <w:rFonts w:ascii="宋体" w:eastAsia="宋体"/>
          <w:color w:val="auto"/>
          <w:szCs w:val="24"/>
          <w:highlight w:val="none"/>
        </w:rPr>
      </w:pPr>
      <w:bookmarkStart w:id="112" w:name="_Toc1942"/>
      <w:bookmarkStart w:id="113" w:name="_Toc530551846"/>
      <w:bookmarkStart w:id="114" w:name="_Toc531359001"/>
      <w:r>
        <w:rPr>
          <w:rFonts w:hint="eastAsia" w:ascii="宋体" w:eastAsia="宋体"/>
          <w:color w:val="auto"/>
          <w:szCs w:val="24"/>
          <w:highlight w:val="none"/>
        </w:rPr>
        <w:t>3.</w:t>
      </w:r>
      <w:r>
        <w:rPr>
          <w:rFonts w:ascii="宋体" w:eastAsia="宋体"/>
          <w:color w:val="auto"/>
          <w:szCs w:val="24"/>
          <w:highlight w:val="none"/>
        </w:rPr>
        <w:t xml:space="preserve">4  </w:t>
      </w:r>
      <w:r>
        <w:rPr>
          <w:rFonts w:hint="eastAsia" w:ascii="宋体" w:eastAsia="宋体"/>
          <w:color w:val="auto"/>
          <w:szCs w:val="24"/>
          <w:highlight w:val="none"/>
        </w:rPr>
        <w:t>报价文件的组成</w:t>
      </w:r>
      <w:bookmarkEnd w:id="112"/>
      <w:bookmarkEnd w:id="113"/>
      <w:bookmarkEnd w:id="11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报价文件的组成：见投标人须知前附表（一）。</w:t>
      </w:r>
    </w:p>
    <w:p>
      <w:pPr>
        <w:pStyle w:val="45"/>
        <w:spacing w:beforeLines="100" w:afterLines="100"/>
        <w:jc w:val="left"/>
        <w:outlineLvl w:val="1"/>
        <w:rPr>
          <w:rFonts w:ascii="宋体" w:hAnsi="宋体"/>
          <w:color w:val="auto"/>
          <w:sz w:val="30"/>
          <w:szCs w:val="30"/>
          <w:highlight w:val="none"/>
        </w:rPr>
      </w:pPr>
      <w:bookmarkStart w:id="115" w:name="_Toc530551847"/>
      <w:bookmarkStart w:id="116" w:name="_Toc10812"/>
      <w:bookmarkStart w:id="117" w:name="_Toc531359002"/>
      <w:r>
        <w:rPr>
          <w:rFonts w:hint="eastAsia" w:ascii="宋体" w:hAnsi="宋体"/>
          <w:color w:val="auto"/>
          <w:sz w:val="30"/>
          <w:szCs w:val="30"/>
          <w:highlight w:val="none"/>
        </w:rPr>
        <w:t xml:space="preserve">四 </w:t>
      </w:r>
      <w:r>
        <w:rPr>
          <w:rFonts w:ascii="宋体" w:hAnsi="宋体"/>
          <w:color w:val="auto"/>
          <w:sz w:val="30"/>
          <w:szCs w:val="30"/>
          <w:highlight w:val="none"/>
        </w:rPr>
        <w:t xml:space="preserve"> </w:t>
      </w:r>
      <w:r>
        <w:rPr>
          <w:rFonts w:hint="eastAsia" w:ascii="宋体" w:hAnsi="宋体"/>
          <w:color w:val="auto"/>
          <w:sz w:val="30"/>
          <w:szCs w:val="30"/>
          <w:highlight w:val="none"/>
        </w:rPr>
        <w:t>投标文件的编制</w:t>
      </w:r>
      <w:bookmarkEnd w:id="115"/>
      <w:bookmarkEnd w:id="116"/>
      <w:bookmarkEnd w:id="117"/>
    </w:p>
    <w:p>
      <w:pPr>
        <w:pStyle w:val="109"/>
        <w:rPr>
          <w:rFonts w:ascii="宋体" w:eastAsia="宋体"/>
          <w:color w:val="auto"/>
          <w:szCs w:val="24"/>
          <w:highlight w:val="none"/>
        </w:rPr>
      </w:pPr>
      <w:bookmarkStart w:id="118" w:name="_Toc19725"/>
      <w:bookmarkStart w:id="119" w:name="_Toc531359004"/>
      <w:bookmarkStart w:id="120" w:name="_Toc530551849"/>
      <w:r>
        <w:rPr>
          <w:rFonts w:hint="eastAsia" w:ascii="宋体" w:eastAsia="宋体"/>
          <w:color w:val="auto"/>
          <w:szCs w:val="24"/>
          <w:highlight w:val="none"/>
        </w:rPr>
        <w:t>4.1  投标</w:t>
      </w:r>
      <w:r>
        <w:rPr>
          <w:rFonts w:ascii="宋体" w:eastAsia="宋体"/>
          <w:color w:val="auto"/>
          <w:szCs w:val="24"/>
          <w:highlight w:val="none"/>
        </w:rPr>
        <w:t>文件编制</w:t>
      </w:r>
      <w:bookmarkEnd w:id="118"/>
      <w:bookmarkEnd w:id="119"/>
      <w:bookmarkEnd w:id="12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 本招标文件中若有多标项的，若参与多标项投标的，则按每个标项分别独立编制投标文件；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4.1.3 投标文件编制时应有正确的索引目录及连续页码标注；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4.1.4 投标文件须清晰可辨，因模糊不清所引起的后果由投标人自行负责。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4.1.5 因招标失败后重新招标而造成投标文件的招标编号后缀不一致时，不影响投标文件的有效性。</w:t>
      </w:r>
    </w:p>
    <w:p>
      <w:pPr>
        <w:pStyle w:val="109"/>
        <w:rPr>
          <w:rFonts w:ascii="宋体" w:eastAsia="宋体"/>
          <w:color w:val="auto"/>
          <w:szCs w:val="24"/>
          <w:highlight w:val="none"/>
        </w:rPr>
      </w:pPr>
      <w:bookmarkStart w:id="121" w:name="_Toc12221"/>
      <w:bookmarkStart w:id="122" w:name="_Toc531359005"/>
      <w:bookmarkStart w:id="123" w:name="_Toc530551850"/>
      <w:r>
        <w:rPr>
          <w:rFonts w:hint="eastAsia" w:ascii="宋体" w:eastAsia="宋体"/>
          <w:color w:val="auto"/>
          <w:szCs w:val="24"/>
          <w:highlight w:val="none"/>
        </w:rPr>
        <w:t xml:space="preserve">4.2 </w:t>
      </w:r>
      <w:r>
        <w:rPr>
          <w:rFonts w:ascii="宋体" w:eastAsia="宋体"/>
          <w:color w:val="auto"/>
          <w:szCs w:val="24"/>
          <w:highlight w:val="none"/>
        </w:rPr>
        <w:t xml:space="preserve"> </w:t>
      </w:r>
      <w:r>
        <w:rPr>
          <w:rFonts w:hint="eastAsia" w:ascii="宋体" w:eastAsia="宋体"/>
          <w:color w:val="auto"/>
          <w:szCs w:val="24"/>
          <w:highlight w:val="none"/>
        </w:rPr>
        <w:t>投标报价</w:t>
      </w:r>
      <w:r>
        <w:rPr>
          <w:rFonts w:ascii="宋体" w:eastAsia="宋体"/>
          <w:color w:val="auto"/>
          <w:szCs w:val="24"/>
          <w:highlight w:val="none"/>
        </w:rPr>
        <w:t>要求</w:t>
      </w:r>
      <w:bookmarkEnd w:id="121"/>
      <w:bookmarkEnd w:id="122"/>
      <w:bookmarkEnd w:id="12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 投标报价是履行合同的最终价格，包括人工工资、易损材料、工具、修理费、清洗费、卫生用具、办公、食宿、通信、劳保、福利、利润、税金、基本养老保险、基本医疗保险、失业保险、工伤保险、生育保险等社会保险以及政策性收费等实施本项目所需的其他一切费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 投标文件只允许有一个报价，有选择的或有条件的报价将不予接受。</w:t>
      </w:r>
    </w:p>
    <w:p>
      <w:pPr>
        <w:pStyle w:val="109"/>
        <w:rPr>
          <w:rFonts w:ascii="宋体" w:eastAsia="宋体"/>
          <w:color w:val="auto"/>
          <w:szCs w:val="24"/>
          <w:highlight w:val="none"/>
        </w:rPr>
      </w:pPr>
      <w:bookmarkStart w:id="124" w:name="_Toc531359006"/>
      <w:bookmarkStart w:id="125" w:name="_Toc530551851"/>
      <w:bookmarkStart w:id="126" w:name="_Toc9202"/>
      <w:r>
        <w:rPr>
          <w:rFonts w:hint="eastAsia" w:ascii="宋体" w:eastAsia="宋体"/>
          <w:color w:val="auto"/>
          <w:szCs w:val="24"/>
          <w:highlight w:val="none"/>
        </w:rPr>
        <w:t>4.3  投标</w:t>
      </w:r>
      <w:r>
        <w:rPr>
          <w:rFonts w:ascii="宋体" w:eastAsia="宋体"/>
          <w:color w:val="auto"/>
          <w:szCs w:val="24"/>
          <w:highlight w:val="none"/>
        </w:rPr>
        <w:t>文件</w:t>
      </w:r>
      <w:bookmarkEnd w:id="124"/>
      <w:bookmarkEnd w:id="125"/>
      <w:r>
        <w:rPr>
          <w:rFonts w:hint="eastAsia" w:ascii="宋体" w:eastAsia="宋体"/>
          <w:color w:val="auto"/>
          <w:szCs w:val="24"/>
          <w:highlight w:val="none"/>
        </w:rPr>
        <w:t>排版</w:t>
      </w:r>
      <w:bookmarkEnd w:id="126"/>
    </w:p>
    <w:p>
      <w:pPr>
        <w:spacing w:line="360" w:lineRule="auto"/>
        <w:ind w:left="964" w:hanging="964" w:hangingChars="400"/>
        <w:rPr>
          <w:rFonts w:ascii="宋体"/>
          <w:b/>
          <w:color w:val="auto"/>
          <w:sz w:val="24"/>
          <w:szCs w:val="24"/>
          <w:highlight w:val="none"/>
        </w:rPr>
      </w:pPr>
      <w:r>
        <w:rPr>
          <w:rFonts w:hint="eastAsia" w:ascii="宋体"/>
          <w:b/>
          <w:color w:val="auto"/>
          <w:sz w:val="24"/>
          <w:szCs w:val="24"/>
          <w:highlight w:val="none"/>
        </w:rPr>
        <w:t>4</w:t>
      </w:r>
      <w:r>
        <w:rPr>
          <w:rFonts w:ascii="宋体"/>
          <w:b/>
          <w:color w:val="auto"/>
          <w:sz w:val="24"/>
          <w:szCs w:val="24"/>
          <w:highlight w:val="none"/>
        </w:rPr>
        <w:t xml:space="preserve">.3.1 </w:t>
      </w:r>
      <w:r>
        <w:rPr>
          <w:rFonts w:hint="eastAsia" w:ascii="宋体"/>
          <w:b/>
          <w:color w:val="auto"/>
          <w:sz w:val="24"/>
          <w:szCs w:val="24"/>
          <w:highlight w:val="none"/>
        </w:rPr>
        <w:t>投标人应当按照投标文件各部分的组成内容的相关顺序进行排版。</w:t>
      </w:r>
    </w:p>
    <w:p>
      <w:pPr>
        <w:pStyle w:val="109"/>
        <w:rPr>
          <w:rFonts w:ascii="宋体" w:eastAsia="宋体"/>
          <w:color w:val="auto"/>
          <w:szCs w:val="24"/>
          <w:highlight w:val="none"/>
        </w:rPr>
      </w:pPr>
      <w:bookmarkStart w:id="127" w:name="_Toc530551853"/>
      <w:bookmarkStart w:id="128" w:name="_Toc14708"/>
      <w:bookmarkStart w:id="129" w:name="_Toc531359008"/>
      <w:r>
        <w:rPr>
          <w:rFonts w:hint="eastAsia" w:ascii="宋体" w:eastAsia="宋体"/>
          <w:color w:val="auto"/>
          <w:szCs w:val="24"/>
          <w:highlight w:val="none"/>
        </w:rPr>
        <w:t>4.</w:t>
      </w:r>
      <w:r>
        <w:rPr>
          <w:rFonts w:ascii="宋体" w:eastAsia="宋体"/>
          <w:color w:val="auto"/>
          <w:szCs w:val="24"/>
          <w:highlight w:val="none"/>
        </w:rPr>
        <w:t>4</w:t>
      </w:r>
      <w:r>
        <w:rPr>
          <w:rFonts w:hint="eastAsia" w:ascii="宋体" w:eastAsia="宋体"/>
          <w:color w:val="auto"/>
          <w:szCs w:val="24"/>
          <w:highlight w:val="none"/>
        </w:rPr>
        <w:t xml:space="preserve">  投标</w:t>
      </w:r>
      <w:r>
        <w:rPr>
          <w:rFonts w:ascii="宋体" w:eastAsia="宋体"/>
          <w:color w:val="auto"/>
          <w:szCs w:val="24"/>
          <w:highlight w:val="none"/>
        </w:rPr>
        <w:t>有效期</w:t>
      </w:r>
      <w:bookmarkEnd w:id="127"/>
      <w:bookmarkEnd w:id="128"/>
      <w:bookmarkEnd w:id="129"/>
    </w:p>
    <w:p>
      <w:pPr>
        <w:spacing w:line="360" w:lineRule="auto"/>
        <w:ind w:firstLine="480" w:firstLineChars="200"/>
        <w:rPr>
          <w:rFonts w:ascii="宋体" w:hAnsi="宋体" w:cs="宋体"/>
          <w:color w:val="auto"/>
          <w:sz w:val="24"/>
          <w:szCs w:val="24"/>
          <w:highlight w:val="none"/>
        </w:rPr>
      </w:pPr>
      <w:bookmarkStart w:id="130" w:name="_Toc301187640"/>
      <w:r>
        <w:rPr>
          <w:rFonts w:hint="eastAsia" w:ascii="宋体" w:hAnsi="宋体" w:cs="宋体"/>
          <w:color w:val="auto"/>
          <w:sz w:val="24"/>
          <w:szCs w:val="24"/>
          <w:highlight w:val="none"/>
        </w:rPr>
        <w:t>4.4.1 投标有效期：见投标人须知前附表（一）。投标有效期从提交投标文件的截止之日起算。投标文件中承诺的投标有效期应当不少于招标文件中载明的投标有效期</w:t>
      </w:r>
      <w:bookmarkEnd w:id="130"/>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4.4.2 在特殊情况下，采购人可与投标人协商延长投标书的有效期，这种要求和答复均以书面形式进行。</w:t>
      </w:r>
    </w:p>
    <w:p>
      <w:pPr>
        <w:pStyle w:val="109"/>
        <w:rPr>
          <w:rFonts w:ascii="宋体" w:eastAsia="宋体"/>
          <w:color w:val="auto"/>
          <w:szCs w:val="24"/>
          <w:highlight w:val="none"/>
        </w:rPr>
      </w:pPr>
      <w:bookmarkStart w:id="131" w:name="_Toc3516"/>
      <w:bookmarkStart w:id="132" w:name="_Toc531359009"/>
      <w:bookmarkStart w:id="133" w:name="_Toc530551854"/>
      <w:r>
        <w:rPr>
          <w:rFonts w:ascii="宋体" w:eastAsia="宋体"/>
          <w:color w:val="auto"/>
          <w:szCs w:val="24"/>
          <w:highlight w:val="none"/>
        </w:rPr>
        <w:t xml:space="preserve">4.5  </w:t>
      </w:r>
      <w:r>
        <w:rPr>
          <w:rFonts w:hint="eastAsia" w:ascii="宋体" w:eastAsia="宋体"/>
          <w:color w:val="auto"/>
          <w:szCs w:val="24"/>
          <w:highlight w:val="none"/>
        </w:rPr>
        <w:t>投标</w:t>
      </w:r>
      <w:r>
        <w:rPr>
          <w:rFonts w:ascii="宋体" w:eastAsia="宋体"/>
          <w:color w:val="auto"/>
          <w:szCs w:val="24"/>
          <w:highlight w:val="none"/>
        </w:rPr>
        <w:t>文件格式</w:t>
      </w:r>
      <w:bookmarkEnd w:id="131"/>
      <w:bookmarkEnd w:id="132"/>
      <w:bookmarkEnd w:id="13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投标文件格式见招标文件“第五章投标文件格式”，投标文件应当按照招标文件已提供的格式填写，无格式的可自行设计。</w:t>
      </w:r>
    </w:p>
    <w:p>
      <w:pPr>
        <w:pStyle w:val="109"/>
        <w:rPr>
          <w:rFonts w:ascii="宋体" w:eastAsia="宋体"/>
          <w:color w:val="auto"/>
          <w:szCs w:val="24"/>
          <w:highlight w:val="none"/>
        </w:rPr>
      </w:pPr>
      <w:bookmarkStart w:id="134" w:name="_Toc20718"/>
      <w:bookmarkStart w:id="135" w:name="_Toc531359010"/>
      <w:bookmarkStart w:id="136" w:name="_Toc530551855"/>
      <w:r>
        <w:rPr>
          <w:rFonts w:hint="eastAsia" w:ascii="宋体" w:eastAsia="宋体"/>
          <w:color w:val="auto"/>
          <w:szCs w:val="24"/>
          <w:highlight w:val="none"/>
        </w:rPr>
        <w:t>4.</w:t>
      </w:r>
      <w:r>
        <w:rPr>
          <w:rFonts w:ascii="宋体" w:eastAsia="宋体"/>
          <w:color w:val="auto"/>
          <w:szCs w:val="24"/>
          <w:highlight w:val="none"/>
        </w:rPr>
        <w:t>6</w:t>
      </w:r>
      <w:r>
        <w:rPr>
          <w:rFonts w:hint="eastAsia" w:ascii="宋体" w:eastAsia="宋体"/>
          <w:color w:val="auto"/>
          <w:szCs w:val="24"/>
          <w:highlight w:val="none"/>
        </w:rPr>
        <w:t xml:space="preserve">  投标文件份数</w:t>
      </w:r>
      <w:r>
        <w:rPr>
          <w:rFonts w:ascii="宋体" w:eastAsia="宋体"/>
          <w:color w:val="auto"/>
          <w:szCs w:val="24"/>
          <w:highlight w:val="none"/>
        </w:rPr>
        <w:t>及签署</w:t>
      </w:r>
      <w:bookmarkEnd w:id="134"/>
      <w:bookmarkEnd w:id="135"/>
      <w:bookmarkEnd w:id="13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4.6.1  投标文件份数：见投标人须知前附表（一）；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  电子投标文件所有加盖公章处则采用CA签章。CA签章流程详见（电子招投标操作指南网址：http://www.qingtian.gov.cn/cgtb/zxdt/202002/t20200228_4372050.html）</w:t>
      </w:r>
      <w:r>
        <w:rPr>
          <w:rFonts w:hint="eastAsia" w:ascii="宋体" w:hAnsi="宋体" w:cs="宋体"/>
          <w:color w:val="auto"/>
          <w:w w:val="90"/>
          <w:sz w:val="24"/>
          <w:szCs w:val="24"/>
          <w:highlight w:val="none"/>
        </w:rPr>
        <w:t>。</w:t>
      </w:r>
    </w:p>
    <w:p>
      <w:pPr>
        <w:spacing w:line="360" w:lineRule="auto"/>
        <w:ind w:left="964" w:hanging="964" w:hangingChars="400"/>
        <w:rPr>
          <w:rFonts w:ascii="宋体" w:hAnsi="宋体"/>
          <w:b/>
          <w:color w:val="auto"/>
          <w:sz w:val="24"/>
          <w:szCs w:val="24"/>
          <w:highlight w:val="none"/>
        </w:rPr>
      </w:pPr>
      <w:r>
        <w:rPr>
          <w:rFonts w:hint="eastAsia" w:ascii="宋体" w:hAnsi="宋体"/>
          <w:b/>
          <w:color w:val="auto"/>
          <w:sz w:val="24"/>
          <w:szCs w:val="24"/>
          <w:highlight w:val="none"/>
        </w:rPr>
        <w:t>4.7  投标文件的形式和效力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4.7.1 投标文件形式为电子投标文件；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4.7.2 本项目开评标均启用电子交易，在电子交易使用的电子投标文件具有相关法律效力。</w:t>
      </w:r>
    </w:p>
    <w:p>
      <w:pPr>
        <w:pStyle w:val="45"/>
        <w:spacing w:beforeLines="100" w:afterLines="100"/>
        <w:jc w:val="left"/>
        <w:outlineLvl w:val="1"/>
        <w:rPr>
          <w:rFonts w:ascii="宋体" w:hAnsi="宋体"/>
          <w:color w:val="auto"/>
          <w:sz w:val="30"/>
          <w:szCs w:val="30"/>
          <w:highlight w:val="none"/>
        </w:rPr>
      </w:pPr>
      <w:bookmarkStart w:id="137" w:name="_Toc3051"/>
      <w:bookmarkStart w:id="138" w:name="_Toc531359011"/>
      <w:bookmarkStart w:id="139" w:name="_Toc530551856"/>
      <w:r>
        <w:rPr>
          <w:rFonts w:hint="eastAsia" w:ascii="宋体" w:hAnsi="宋体"/>
          <w:color w:val="auto"/>
          <w:sz w:val="30"/>
          <w:szCs w:val="30"/>
          <w:highlight w:val="none"/>
        </w:rPr>
        <w:t>五 投标</w:t>
      </w:r>
      <w:r>
        <w:rPr>
          <w:rFonts w:ascii="宋体" w:hAnsi="宋体"/>
          <w:color w:val="auto"/>
          <w:sz w:val="30"/>
          <w:szCs w:val="30"/>
          <w:highlight w:val="none"/>
        </w:rPr>
        <w:t>文件的</w:t>
      </w:r>
      <w:r>
        <w:rPr>
          <w:rFonts w:hint="eastAsia" w:ascii="宋体" w:hAnsi="宋体"/>
          <w:color w:val="auto"/>
          <w:sz w:val="30"/>
          <w:szCs w:val="30"/>
          <w:highlight w:val="none"/>
        </w:rPr>
        <w:t>提</w:t>
      </w:r>
      <w:r>
        <w:rPr>
          <w:rFonts w:ascii="宋体" w:hAnsi="宋体"/>
          <w:color w:val="auto"/>
          <w:sz w:val="30"/>
          <w:szCs w:val="30"/>
          <w:highlight w:val="none"/>
        </w:rPr>
        <w:t>交</w:t>
      </w:r>
      <w:bookmarkEnd w:id="137"/>
      <w:bookmarkEnd w:id="138"/>
      <w:bookmarkEnd w:id="139"/>
    </w:p>
    <w:p>
      <w:pPr>
        <w:pStyle w:val="109"/>
        <w:rPr>
          <w:rFonts w:ascii="宋体" w:eastAsia="宋体"/>
          <w:color w:val="auto"/>
          <w:szCs w:val="24"/>
          <w:highlight w:val="none"/>
        </w:rPr>
      </w:pPr>
      <w:bookmarkStart w:id="140" w:name="_Toc531359012"/>
      <w:bookmarkStart w:id="141" w:name="_Toc16169"/>
      <w:bookmarkStart w:id="142" w:name="_Toc530551857"/>
      <w:r>
        <w:rPr>
          <w:rFonts w:hint="eastAsia" w:ascii="宋体" w:eastAsia="宋体"/>
          <w:color w:val="auto"/>
          <w:szCs w:val="24"/>
          <w:highlight w:val="none"/>
        </w:rPr>
        <w:t>5.1</w:t>
      </w:r>
      <w:r>
        <w:rPr>
          <w:rFonts w:ascii="宋体" w:eastAsia="宋体"/>
          <w:color w:val="auto"/>
          <w:szCs w:val="24"/>
          <w:highlight w:val="none"/>
        </w:rPr>
        <w:t xml:space="preserve"> </w:t>
      </w:r>
      <w:r>
        <w:rPr>
          <w:rFonts w:hint="eastAsia" w:ascii="宋体" w:eastAsia="宋体"/>
          <w:color w:val="auto"/>
          <w:szCs w:val="24"/>
          <w:highlight w:val="none"/>
        </w:rPr>
        <w:t>投标</w:t>
      </w:r>
      <w:r>
        <w:rPr>
          <w:rFonts w:ascii="宋体" w:eastAsia="宋体"/>
          <w:color w:val="auto"/>
          <w:szCs w:val="24"/>
          <w:highlight w:val="none"/>
        </w:rPr>
        <w:t>文件的</w:t>
      </w:r>
      <w:r>
        <w:rPr>
          <w:rFonts w:hint="eastAsia" w:ascii="宋体" w:eastAsia="宋体"/>
          <w:color w:val="auto"/>
          <w:szCs w:val="24"/>
          <w:highlight w:val="none"/>
        </w:rPr>
        <w:t>导入及加</w:t>
      </w:r>
      <w:r>
        <w:rPr>
          <w:rFonts w:ascii="宋体" w:eastAsia="宋体"/>
          <w:color w:val="auto"/>
          <w:szCs w:val="24"/>
          <w:highlight w:val="none"/>
        </w:rPr>
        <w:t>密</w:t>
      </w:r>
      <w:bookmarkEnd w:id="140"/>
      <w:bookmarkEnd w:id="141"/>
      <w:bookmarkEnd w:id="14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5.1.1 投标人应当按照资格审查文件、资信商务及技术文件和报价文件三部分分别导入相应位置，各文件之间不得混装；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5.1.2 投标文件应当生成电子加密投标文件，生成电子加密投标文件具体操作详见（电子招投标操作指南网址：https://help.zcygov.cn/web/site_2/2018/12-28/2573.html）。</w:t>
      </w:r>
    </w:p>
    <w:p>
      <w:pPr>
        <w:pStyle w:val="109"/>
        <w:rPr>
          <w:rFonts w:ascii="宋体" w:eastAsia="宋体"/>
          <w:color w:val="auto"/>
          <w:szCs w:val="24"/>
          <w:highlight w:val="none"/>
        </w:rPr>
      </w:pPr>
      <w:bookmarkStart w:id="143" w:name="_Toc25345"/>
      <w:bookmarkStart w:id="144" w:name="_Toc530551858"/>
      <w:bookmarkStart w:id="145" w:name="_Toc531359013"/>
      <w:r>
        <w:rPr>
          <w:rFonts w:hint="eastAsia" w:ascii="宋体" w:eastAsia="宋体"/>
          <w:color w:val="auto"/>
          <w:szCs w:val="24"/>
          <w:highlight w:val="none"/>
        </w:rPr>
        <w:t>5.2  投标</w:t>
      </w:r>
      <w:r>
        <w:rPr>
          <w:rFonts w:ascii="宋体" w:eastAsia="宋体"/>
          <w:color w:val="auto"/>
          <w:szCs w:val="24"/>
          <w:highlight w:val="none"/>
        </w:rPr>
        <w:t>文件的</w:t>
      </w:r>
      <w:r>
        <w:rPr>
          <w:rFonts w:hint="eastAsia" w:ascii="宋体" w:eastAsia="宋体"/>
          <w:color w:val="auto"/>
          <w:szCs w:val="24"/>
          <w:highlight w:val="none"/>
        </w:rPr>
        <w:t>提交</w:t>
      </w:r>
      <w:bookmarkEnd w:id="143"/>
      <w:bookmarkEnd w:id="144"/>
      <w:bookmarkEnd w:id="145"/>
    </w:p>
    <w:p>
      <w:pPr>
        <w:spacing w:line="360" w:lineRule="auto"/>
        <w:ind w:firstLine="480" w:firstLineChars="200"/>
        <w:rPr>
          <w:rFonts w:ascii="宋体" w:hAnsi="宋体" w:cs="宋体"/>
          <w:color w:val="auto"/>
          <w:sz w:val="24"/>
          <w:szCs w:val="24"/>
          <w:highlight w:val="none"/>
        </w:rPr>
      </w:pPr>
      <w:bookmarkStart w:id="146" w:name="_Toc301187685"/>
      <w:r>
        <w:rPr>
          <w:rFonts w:hint="eastAsia" w:ascii="宋体" w:hAnsi="宋体" w:cs="宋体"/>
          <w:color w:val="auto"/>
          <w:sz w:val="24"/>
          <w:szCs w:val="24"/>
          <w:highlight w:val="none"/>
        </w:rPr>
        <w:t>5.2.1</w:t>
      </w:r>
      <w:bookmarkEnd w:id="146"/>
      <w:r>
        <w:rPr>
          <w:rFonts w:hint="eastAsia" w:ascii="宋体" w:hAnsi="宋体" w:cs="宋体"/>
          <w:color w:val="auto"/>
          <w:sz w:val="24"/>
          <w:szCs w:val="24"/>
          <w:highlight w:val="none"/>
        </w:rPr>
        <w:t xml:space="preserve"> 投标文件提交截止时间：见投标人须知前附表（一）</w:t>
      </w:r>
    </w:p>
    <w:p>
      <w:pPr>
        <w:spacing w:line="360" w:lineRule="auto"/>
        <w:ind w:firstLine="480" w:firstLineChars="200"/>
        <w:rPr>
          <w:rFonts w:ascii="宋体" w:hAnsi="宋体" w:cs="宋体"/>
          <w:color w:val="auto"/>
          <w:sz w:val="24"/>
          <w:szCs w:val="24"/>
          <w:highlight w:val="none"/>
        </w:rPr>
      </w:pPr>
      <w:bookmarkStart w:id="147" w:name="_Toc301187686"/>
      <w:r>
        <w:rPr>
          <w:rFonts w:hint="eastAsia" w:ascii="宋体" w:hAnsi="宋体" w:cs="宋体"/>
          <w:color w:val="auto"/>
          <w:sz w:val="24"/>
          <w:szCs w:val="24"/>
          <w:highlight w:val="none"/>
        </w:rPr>
        <w:t xml:space="preserve">5.2.2 </w:t>
      </w:r>
      <w:bookmarkEnd w:id="147"/>
      <w:r>
        <w:rPr>
          <w:rFonts w:hint="eastAsia" w:ascii="宋体" w:hAnsi="宋体" w:cs="宋体"/>
          <w:color w:val="auto"/>
          <w:sz w:val="24"/>
          <w:szCs w:val="24"/>
          <w:highlight w:val="none"/>
        </w:rPr>
        <w:t>投标文件提交地点：见投标人须知前附表（一）</w:t>
      </w:r>
    </w:p>
    <w:p>
      <w:pPr>
        <w:spacing w:line="360" w:lineRule="auto"/>
        <w:ind w:firstLine="480" w:firstLineChars="200"/>
        <w:rPr>
          <w:rFonts w:ascii="宋体" w:hAnsi="宋体" w:cs="宋体"/>
          <w:color w:val="auto"/>
          <w:sz w:val="24"/>
          <w:szCs w:val="24"/>
          <w:highlight w:val="none"/>
        </w:rPr>
      </w:pPr>
      <w:bookmarkStart w:id="148" w:name="_Toc301187687"/>
      <w:r>
        <w:rPr>
          <w:rFonts w:hint="eastAsia" w:ascii="宋体" w:hAnsi="宋体" w:cs="宋体"/>
          <w:color w:val="auto"/>
          <w:sz w:val="24"/>
          <w:szCs w:val="24"/>
          <w:highlight w:val="none"/>
        </w:rPr>
        <w:t>5.2.3 不予接收的投标文件情形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bookmarkEnd w:id="148"/>
      <w:r>
        <w:rPr>
          <w:rFonts w:hint="eastAsia" w:ascii="宋体" w:hAnsi="宋体" w:cs="宋体"/>
          <w:color w:val="auto"/>
          <w:sz w:val="24"/>
          <w:szCs w:val="24"/>
          <w:highlight w:val="none"/>
        </w:rPr>
        <w:t>投标截止时间前未完成传输的电子投标文件；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未生成加密的电子投标文件；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⑶在规定时间内未解密的电子投标文件，或者解密不成功未提供备份投标文件的。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5.2.4 投标人所提交的投标文件不予退还。</w:t>
      </w:r>
    </w:p>
    <w:p>
      <w:pPr>
        <w:pStyle w:val="109"/>
        <w:rPr>
          <w:rFonts w:ascii="宋体" w:eastAsia="宋体"/>
          <w:color w:val="auto"/>
          <w:szCs w:val="24"/>
          <w:highlight w:val="none"/>
        </w:rPr>
      </w:pPr>
      <w:bookmarkStart w:id="149" w:name="_Toc530551859"/>
      <w:bookmarkStart w:id="150" w:name="_Toc531359014"/>
      <w:bookmarkStart w:id="151" w:name="_Toc16434"/>
      <w:r>
        <w:rPr>
          <w:rFonts w:hint="eastAsia" w:ascii="宋体" w:eastAsia="宋体"/>
          <w:color w:val="auto"/>
          <w:szCs w:val="24"/>
          <w:highlight w:val="none"/>
        </w:rPr>
        <w:t>5.3  投标</w:t>
      </w:r>
      <w:r>
        <w:rPr>
          <w:rFonts w:ascii="宋体" w:eastAsia="宋体"/>
          <w:color w:val="auto"/>
          <w:szCs w:val="24"/>
          <w:highlight w:val="none"/>
        </w:rPr>
        <w:t>文件修改和</w:t>
      </w:r>
      <w:r>
        <w:rPr>
          <w:rFonts w:hint="eastAsia" w:ascii="宋体" w:eastAsia="宋体"/>
          <w:color w:val="auto"/>
          <w:szCs w:val="24"/>
          <w:highlight w:val="none"/>
        </w:rPr>
        <w:t>撤回</w:t>
      </w:r>
      <w:bookmarkEnd w:id="149"/>
      <w:bookmarkEnd w:id="150"/>
      <w:bookmarkEnd w:id="15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5.3.1 在投标截止时间前，投标人可对已提交的电子投标文件进行补充、修改或撤回。补充、修改电子投标文件的，应当先行撤回原文件，补充、修改后重新生成加密的电子投标文件并重新传输递交；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5.3.2 补充、修改后重新提交的电子投标文件应按招标文件的规定编制、导入、加密和提交；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5.3.3 在投标截止时间后，投标人不得修改、撤回已提交的电子投标文件。</w:t>
      </w:r>
    </w:p>
    <w:p>
      <w:pPr>
        <w:pStyle w:val="109"/>
        <w:rPr>
          <w:rFonts w:ascii="宋体" w:eastAsia="宋体"/>
          <w:color w:val="auto"/>
          <w:szCs w:val="24"/>
          <w:highlight w:val="none"/>
        </w:rPr>
      </w:pPr>
      <w:bookmarkStart w:id="152" w:name="_Toc531359015"/>
      <w:bookmarkStart w:id="153" w:name="_Toc2590"/>
      <w:r>
        <w:rPr>
          <w:rFonts w:hint="eastAsia" w:ascii="宋体" w:eastAsia="宋体"/>
          <w:color w:val="auto"/>
          <w:szCs w:val="24"/>
          <w:highlight w:val="none"/>
        </w:rPr>
        <w:t>5.4  备选</w:t>
      </w:r>
      <w:r>
        <w:rPr>
          <w:rFonts w:ascii="宋体" w:eastAsia="宋体"/>
          <w:color w:val="auto"/>
          <w:szCs w:val="24"/>
          <w:highlight w:val="none"/>
        </w:rPr>
        <w:t>投标</w:t>
      </w:r>
      <w:r>
        <w:rPr>
          <w:rFonts w:hint="eastAsia" w:ascii="宋体" w:eastAsia="宋体"/>
          <w:color w:val="auto"/>
          <w:szCs w:val="24"/>
          <w:highlight w:val="none"/>
        </w:rPr>
        <w:t>方案</w:t>
      </w:r>
      <w:bookmarkEnd w:id="152"/>
      <w:bookmarkEnd w:id="153"/>
    </w:p>
    <w:p>
      <w:pPr>
        <w:spacing w:line="360" w:lineRule="auto"/>
        <w:ind w:left="960" w:hanging="960" w:hangingChars="400"/>
        <w:rPr>
          <w:rFonts w:ascii="宋体" w:hAnsi="宋体"/>
          <w:color w:val="auto"/>
          <w:sz w:val="24"/>
          <w:szCs w:val="24"/>
          <w:highlight w:val="none"/>
        </w:rPr>
      </w:pPr>
      <w:r>
        <w:rPr>
          <w:rFonts w:hint="eastAsia" w:ascii="宋体" w:hAnsi="宋体"/>
          <w:color w:val="auto"/>
          <w:sz w:val="24"/>
          <w:szCs w:val="24"/>
          <w:highlight w:val="none"/>
        </w:rPr>
        <w:t xml:space="preserve">        本</w:t>
      </w:r>
      <w:r>
        <w:rPr>
          <w:rFonts w:ascii="宋体" w:hAnsi="宋体"/>
          <w:color w:val="auto"/>
          <w:sz w:val="24"/>
          <w:szCs w:val="24"/>
          <w:highlight w:val="none"/>
        </w:rPr>
        <w:t>项目不接受备选投标方案。</w:t>
      </w:r>
    </w:p>
    <w:p>
      <w:pPr>
        <w:pStyle w:val="109"/>
        <w:rPr>
          <w:rFonts w:ascii="宋体" w:eastAsia="宋体"/>
          <w:color w:val="auto"/>
          <w:szCs w:val="24"/>
          <w:highlight w:val="none"/>
        </w:rPr>
      </w:pPr>
      <w:bookmarkStart w:id="154" w:name="_Toc14170771"/>
      <w:bookmarkStart w:id="155" w:name="_Toc5328"/>
      <w:r>
        <w:rPr>
          <w:rFonts w:hint="eastAsia" w:ascii="宋体" w:eastAsia="宋体"/>
          <w:color w:val="auto"/>
          <w:szCs w:val="24"/>
          <w:highlight w:val="none"/>
        </w:rPr>
        <w:t>5.5  投标诚实信用</w:t>
      </w:r>
      <w:bookmarkEnd w:id="154"/>
      <w:bookmarkEnd w:id="155"/>
    </w:p>
    <w:p>
      <w:pPr>
        <w:spacing w:line="360" w:lineRule="auto"/>
        <w:ind w:firstLine="480" w:firstLineChars="200"/>
        <w:rPr>
          <w:rFonts w:ascii="宋体" w:hAnsi="宋体" w:cs="宋体"/>
          <w:color w:val="auto"/>
          <w:sz w:val="24"/>
          <w:szCs w:val="24"/>
          <w:highlight w:val="none"/>
        </w:rPr>
      </w:pPr>
      <w:bookmarkStart w:id="156" w:name="_Toc301187651"/>
      <w:r>
        <w:rPr>
          <w:rFonts w:hint="eastAsia" w:ascii="宋体" w:hAnsi="宋体" w:cs="宋体"/>
          <w:color w:val="auto"/>
          <w:sz w:val="24"/>
          <w:szCs w:val="24"/>
          <w:highlight w:val="none"/>
        </w:rPr>
        <w:t>5.5.1 投标人应当遵守诚实信用原则。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5.5.2 投标人有下列情形之一的，将会报告财政部门并按照相关规定处理：</w:t>
      </w:r>
      <w:bookmarkEnd w:id="156"/>
    </w:p>
    <w:p>
      <w:pPr>
        <w:spacing w:line="360" w:lineRule="auto"/>
        <w:ind w:firstLine="480" w:firstLineChars="200"/>
        <w:rPr>
          <w:rFonts w:ascii="宋体" w:hAnsi="宋体" w:cs="宋体"/>
          <w:color w:val="auto"/>
          <w:sz w:val="24"/>
          <w:szCs w:val="24"/>
          <w:highlight w:val="none"/>
        </w:rPr>
      </w:pPr>
      <w:bookmarkStart w:id="157" w:name="_Toc301187652"/>
      <w:r>
        <w:rPr>
          <w:rFonts w:hint="eastAsia" w:ascii="宋体" w:hAnsi="宋体" w:cs="宋体"/>
          <w:color w:val="auto"/>
          <w:sz w:val="24"/>
          <w:szCs w:val="24"/>
          <w:highlight w:val="none"/>
        </w:rPr>
        <w:t>（1）投标人在投标有效期内撤销投标文件的；</w:t>
      </w:r>
      <w:bookmarkEnd w:id="157"/>
    </w:p>
    <w:p>
      <w:pPr>
        <w:spacing w:line="360" w:lineRule="auto"/>
        <w:ind w:firstLine="480" w:firstLineChars="200"/>
        <w:rPr>
          <w:rFonts w:ascii="宋体" w:hAnsi="宋体" w:cs="宋体"/>
          <w:color w:val="auto"/>
          <w:sz w:val="24"/>
          <w:szCs w:val="24"/>
          <w:highlight w:val="none"/>
        </w:rPr>
      </w:pPr>
      <w:bookmarkStart w:id="158" w:name="_Toc301187653"/>
      <w:r>
        <w:rPr>
          <w:rFonts w:hint="eastAsia" w:ascii="宋体" w:hAnsi="宋体" w:cs="宋体"/>
          <w:color w:val="auto"/>
          <w:sz w:val="24"/>
          <w:szCs w:val="24"/>
          <w:highlight w:val="none"/>
        </w:rPr>
        <w:t>（2）未按规定提交履约保证金的；</w:t>
      </w:r>
      <w:bookmarkEnd w:id="158"/>
    </w:p>
    <w:p>
      <w:pPr>
        <w:spacing w:line="360" w:lineRule="auto"/>
        <w:ind w:firstLine="480" w:firstLineChars="200"/>
        <w:rPr>
          <w:rFonts w:ascii="宋体" w:hAnsi="宋体" w:cs="宋体"/>
          <w:color w:val="auto"/>
          <w:sz w:val="24"/>
          <w:szCs w:val="24"/>
          <w:highlight w:val="none"/>
        </w:rPr>
      </w:pPr>
      <w:bookmarkStart w:id="159" w:name="_Toc301187654"/>
      <w:r>
        <w:rPr>
          <w:rFonts w:hint="eastAsia" w:ascii="宋体" w:hAnsi="宋体" w:cs="宋体"/>
          <w:color w:val="auto"/>
          <w:sz w:val="24"/>
          <w:szCs w:val="24"/>
          <w:highlight w:val="none"/>
        </w:rPr>
        <w:t>（3）投标人在投标过程中弄虚作假，提供虚假材料的；</w:t>
      </w:r>
      <w:bookmarkEnd w:id="159"/>
    </w:p>
    <w:p>
      <w:pPr>
        <w:spacing w:line="360" w:lineRule="auto"/>
        <w:ind w:firstLine="480" w:firstLineChars="200"/>
        <w:rPr>
          <w:rFonts w:ascii="宋体" w:hAnsi="宋体" w:cs="宋体"/>
          <w:color w:val="auto"/>
          <w:sz w:val="24"/>
          <w:szCs w:val="24"/>
          <w:highlight w:val="none"/>
        </w:rPr>
      </w:pPr>
      <w:bookmarkStart w:id="160" w:name="_Toc301187655"/>
      <w:r>
        <w:rPr>
          <w:rFonts w:hint="eastAsia" w:ascii="宋体" w:hAnsi="宋体" w:cs="宋体"/>
          <w:color w:val="auto"/>
          <w:sz w:val="24"/>
          <w:szCs w:val="24"/>
          <w:highlight w:val="none"/>
        </w:rPr>
        <w:t>（4）中标人无正当理由不与采购人签订合同的；</w:t>
      </w:r>
      <w:bookmarkEnd w:id="16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（5）投标人有串通投标行为的；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（6）严重扰乱政府采购程序的；</w:t>
      </w:r>
    </w:p>
    <w:p>
      <w:pPr>
        <w:spacing w:line="360" w:lineRule="auto"/>
        <w:ind w:firstLine="480" w:firstLineChars="200"/>
        <w:rPr>
          <w:rFonts w:ascii="宋体" w:hAnsi="宋体" w:cs="宋体"/>
          <w:color w:val="auto"/>
          <w:sz w:val="24"/>
          <w:szCs w:val="24"/>
          <w:highlight w:val="none"/>
        </w:rPr>
      </w:pPr>
      <w:bookmarkStart w:id="161" w:name="_Toc301187658"/>
      <w:r>
        <w:rPr>
          <w:rFonts w:hint="eastAsia" w:ascii="宋体" w:hAnsi="宋体" w:cs="宋体"/>
          <w:color w:val="auto"/>
          <w:sz w:val="24"/>
          <w:szCs w:val="24"/>
          <w:highlight w:val="none"/>
        </w:rPr>
        <w:t>（7）违反其他法律法规规定的情形。</w:t>
      </w:r>
      <w:bookmarkEnd w:id="16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5.5.3 因投标人有第5.5.2条情形之一造成采购人和采购代理机构损失的，采购人和采购代理机构有权追究投标人赔偿责任。</w:t>
      </w:r>
    </w:p>
    <w:p>
      <w:pPr>
        <w:pStyle w:val="45"/>
        <w:spacing w:beforeLines="100" w:afterLines="100"/>
        <w:jc w:val="left"/>
        <w:outlineLvl w:val="1"/>
        <w:rPr>
          <w:rFonts w:ascii="宋体" w:hAnsi="宋体"/>
          <w:color w:val="auto"/>
          <w:sz w:val="30"/>
          <w:szCs w:val="30"/>
          <w:highlight w:val="none"/>
        </w:rPr>
      </w:pPr>
      <w:bookmarkStart w:id="162" w:name="_Toc530551861"/>
      <w:bookmarkStart w:id="163" w:name="_Toc531359017"/>
      <w:bookmarkStart w:id="164" w:name="_Toc21645"/>
      <w:r>
        <w:rPr>
          <w:rFonts w:hint="eastAsia" w:ascii="宋体" w:hAnsi="宋体"/>
          <w:color w:val="auto"/>
          <w:sz w:val="30"/>
          <w:szCs w:val="30"/>
          <w:highlight w:val="none"/>
        </w:rPr>
        <w:t>六  开标、资格审查</w:t>
      </w:r>
      <w:r>
        <w:rPr>
          <w:rFonts w:ascii="宋体" w:hAnsi="宋体"/>
          <w:color w:val="auto"/>
          <w:sz w:val="30"/>
          <w:szCs w:val="30"/>
          <w:highlight w:val="none"/>
        </w:rPr>
        <w:t>、评标</w:t>
      </w:r>
      <w:bookmarkEnd w:id="162"/>
      <w:bookmarkEnd w:id="163"/>
      <w:bookmarkEnd w:id="164"/>
    </w:p>
    <w:p>
      <w:pPr>
        <w:pStyle w:val="109"/>
        <w:rPr>
          <w:rFonts w:ascii="宋体" w:eastAsia="宋体"/>
          <w:color w:val="auto"/>
          <w:szCs w:val="24"/>
          <w:highlight w:val="none"/>
        </w:rPr>
      </w:pPr>
      <w:bookmarkStart w:id="165" w:name="_Toc530551862"/>
      <w:bookmarkStart w:id="166" w:name="_Toc531359018"/>
      <w:bookmarkStart w:id="167" w:name="_Toc27214"/>
      <w:r>
        <w:rPr>
          <w:rFonts w:hint="eastAsia" w:ascii="宋体" w:eastAsia="宋体"/>
          <w:color w:val="auto"/>
          <w:szCs w:val="24"/>
          <w:highlight w:val="none"/>
        </w:rPr>
        <w:t>6.1  开标</w:t>
      </w:r>
      <w:bookmarkEnd w:id="165"/>
      <w:bookmarkEnd w:id="166"/>
      <w:bookmarkEnd w:id="16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6.1.1 开标时间和地点：见投标人须知前附表（一）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6.1.2 开标时投标人需携带资料：见投标人须知前附表（一）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6.1.3 本项目采用电子交易进行开标、评审，投标人均应当准时在线参加，否则产生的风险由投标人自身承担；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6.1.4 开标程序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（1）主持人宣布项目开标会开始，介绍参加本次开标会的相关人员；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（2）介绍招标项目招标情况，包括采购方式，发布媒体，提交投标文件的投标人家数、投标人名称；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（3）宣布开标纪律；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（4）投标截止时间后的1小时内（开标当日</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:00-</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 xml:space="preserve">:00时），由各投标人自行对电子投标文件进行解密（请各投标人务必在规定时间内完成电子投标文件的解密工作，在电子开评标期间，投标方（授权代表）需确保在各自所在的区域具备上网的技术条件并保持网络及联系方式畅通），同时为避免出现以外，建议全程由一台电脑进行操作（包括标书制作、上传、解密等），中途不要更换电脑；解密未成功的，投标人应当在解密时间内向采购代理机构通过电子邮箱提供备份投标文件，并以备份文件作为替代电子投标文件，如投标方未在解密时间内提供有效备份文件，同时政采云上投标文件解密失败的，将导致投标无效；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（5）采购代理机构做好开标记录，投标人在解密完成后可点击【查看开标记录】查看开标记录；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6.1.5 投标人代表对开标过程和开标记录有疑义，以及认为采购人、采购代理机构相关工作人员有需要回避的情形，应通过电话、电子邮箱、传真等形式向采购代理机构提出询问或回避申请；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6.1.6 开标会议结束。 </w:t>
      </w:r>
    </w:p>
    <w:p>
      <w:pPr>
        <w:pStyle w:val="109"/>
        <w:rPr>
          <w:rFonts w:ascii="宋体" w:eastAsia="宋体"/>
          <w:color w:val="auto"/>
          <w:szCs w:val="24"/>
          <w:highlight w:val="none"/>
        </w:rPr>
      </w:pPr>
      <w:bookmarkStart w:id="168" w:name="_Toc530551863"/>
      <w:bookmarkStart w:id="169" w:name="_Toc531359019"/>
      <w:bookmarkStart w:id="170" w:name="_Toc3279"/>
      <w:r>
        <w:rPr>
          <w:rFonts w:hint="eastAsia" w:ascii="宋体" w:eastAsia="宋体"/>
          <w:color w:val="auto"/>
          <w:szCs w:val="24"/>
          <w:highlight w:val="none"/>
        </w:rPr>
        <w:t>6.2  资格审查</w:t>
      </w:r>
      <w:bookmarkEnd w:id="168"/>
      <w:bookmarkEnd w:id="169"/>
      <w:bookmarkEnd w:id="17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6.2.1  资格审查内容：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采购人或采购代理机构按招标公告内投标人资格要求及本章第3.2条资格审查文件的组成内容进行审查；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6.2.2  资格审查：全部满足下表要求的投标人为合格投标人，否则资格审查不予以通过；</w:t>
      </w:r>
    </w:p>
    <w:tbl>
      <w:tblPr>
        <w:tblStyle w:val="54"/>
        <w:tblW w:w="8220" w:type="dxa"/>
        <w:tblInd w:w="9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1"/>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资格审查内容</w:t>
            </w:r>
          </w:p>
        </w:tc>
        <w:tc>
          <w:tcPr>
            <w:tcW w:w="581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营业执照</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营业期限在有效期内；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Merge w:val="restart"/>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负责人身份</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1. 负责人身份证正、反面复印件；</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2. 和营业执照上的法定代表人或负责人一致；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Merge w:val="continue"/>
            <w:vAlign w:val="center"/>
          </w:tcPr>
          <w:p>
            <w:pPr>
              <w:jc w:val="center"/>
              <w:rPr>
                <w:rFonts w:ascii="宋体" w:hAnsi="宋体" w:cs="宋体"/>
                <w:color w:val="auto"/>
                <w:sz w:val="24"/>
                <w:szCs w:val="24"/>
                <w:highlight w:val="none"/>
              </w:rPr>
            </w:pP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授权委托书及委托代理人</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1. 是否按授权委托书格式内容填写且签字盖章；</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2. 委托代理人的身份证正、反面复印件；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财务状况报告</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下列方式取其中之一：</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1. 有资质的审计部门提供的近三年中，任一年度的资产负债表、利润表、现金流量表、所有者权益表及其附注的复印件（即四表一注须有审计部门盖章）；</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2. 有资质的审计部门提供的近三年中，任一年度的有审计部门盖章完整的财务报告；</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3. 投标截止时间前三年中，任一年度银行出具的信用等级证书复印件；</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4. 投标截止时间前三个月中，任一个月内其基本账户开户银行出具的资信证明复印件。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依法缴纳税收和社会保障资金</w:t>
            </w:r>
          </w:p>
        </w:tc>
        <w:tc>
          <w:tcPr>
            <w:tcW w:w="5811" w:type="dxa"/>
          </w:tcPr>
          <w:p>
            <w:pPr>
              <w:ind w:left="-92" w:leftChars="-44" w:firstLine="91" w:firstLineChars="38"/>
              <w:rPr>
                <w:rFonts w:ascii="宋体" w:hAnsi="宋体" w:cs="宋体"/>
                <w:color w:val="auto"/>
                <w:sz w:val="24"/>
                <w:szCs w:val="24"/>
                <w:highlight w:val="none"/>
              </w:rPr>
            </w:pPr>
            <w:r>
              <w:rPr>
                <w:rFonts w:hint="eastAsia" w:ascii="宋体" w:hAnsi="宋体" w:cs="宋体"/>
                <w:color w:val="auto"/>
                <w:sz w:val="24"/>
                <w:szCs w:val="24"/>
                <w:highlight w:val="none"/>
              </w:rPr>
              <w:t xml:space="preserve">1. 依法缴纳税收：投标截止时间前六个月中，任一月税务部门出具的完税证明的复印件； </w:t>
            </w:r>
          </w:p>
          <w:p>
            <w:pPr>
              <w:ind w:left="-92" w:leftChars="-44" w:firstLine="91" w:firstLineChars="38"/>
              <w:rPr>
                <w:rFonts w:ascii="宋体" w:hAnsi="宋体" w:cs="宋体"/>
                <w:color w:val="auto"/>
                <w:sz w:val="24"/>
                <w:szCs w:val="24"/>
                <w:highlight w:val="none"/>
              </w:rPr>
            </w:pPr>
            <w:r>
              <w:rPr>
                <w:rFonts w:hint="eastAsia" w:ascii="宋体" w:hAnsi="宋体" w:cs="宋体"/>
                <w:color w:val="auto"/>
                <w:sz w:val="24"/>
                <w:szCs w:val="24"/>
                <w:highlight w:val="none"/>
              </w:rPr>
              <w:t>2. 社会保障资金：投标截止时间前六个月中，任一月缴纳社会保险的凭据复印件（税务部门出具的专用收据或社保部门出具的社会保险缴纳清单）；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无重大违法记录</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是否按无重大违法记录声明书格式填写且盖章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8"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701"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信用信息查询</w:t>
            </w:r>
          </w:p>
        </w:tc>
        <w:tc>
          <w:tcPr>
            <w:tcW w:w="5811" w:type="dxa"/>
            <w:vAlign w:val="center"/>
          </w:tcPr>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1. 查询网址：</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信用中国（www.creditchina.gov.cn）</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中国政府采购网（www.ccgp.gov.cn）</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2. 核对事项：</w:t>
            </w:r>
          </w:p>
          <w:p>
            <w:pPr>
              <w:ind w:left="-92" w:leftChars="-44" w:firstLine="91" w:firstLineChars="38"/>
              <w:jc w:val="left"/>
              <w:rPr>
                <w:rFonts w:ascii="宋体" w:hAnsi="宋体" w:cs="宋体"/>
                <w:color w:val="auto"/>
                <w:sz w:val="24"/>
                <w:szCs w:val="24"/>
                <w:highlight w:val="none"/>
              </w:rPr>
            </w:pPr>
            <w:r>
              <w:rPr>
                <w:rFonts w:hint="eastAsia" w:ascii="宋体" w:hAnsi="宋体" w:cs="宋体"/>
                <w:color w:val="auto"/>
                <w:sz w:val="24"/>
                <w:szCs w:val="24"/>
                <w:highlight w:val="none"/>
              </w:rPr>
              <w:t>有无被列入失信被执行人、重大税收违法案件当事人名单、政府采购严重违法失信行为记录名单；</w:t>
            </w:r>
          </w:p>
          <w:p>
            <w:pPr>
              <w:ind w:left="-92" w:leftChars="-44" w:firstLine="92" w:firstLineChars="38"/>
              <w:jc w:val="left"/>
              <w:rPr>
                <w:rFonts w:ascii="宋体" w:hAnsi="宋体" w:cs="宋体"/>
                <w:color w:val="auto"/>
                <w:sz w:val="24"/>
                <w:szCs w:val="24"/>
                <w:highlight w:val="none"/>
              </w:rPr>
            </w:pPr>
            <w:r>
              <w:rPr>
                <w:rFonts w:hint="eastAsia" w:ascii="宋体" w:hAnsi="宋体" w:cs="宋体"/>
                <w:b/>
                <w:color w:val="auto"/>
                <w:sz w:val="24"/>
                <w:szCs w:val="24"/>
                <w:highlight w:val="none"/>
              </w:rPr>
              <w:t>注：</w:t>
            </w:r>
            <w:r>
              <w:rPr>
                <w:rFonts w:hint="eastAsia" w:ascii="宋体" w:hAnsi="宋体" w:cs="宋体"/>
                <w:color w:val="auto"/>
                <w:sz w:val="24"/>
                <w:szCs w:val="24"/>
                <w:highlight w:val="none"/>
              </w:rPr>
              <w:t>信用信息已修复的，以修复后的信息为准。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20" w:type="dxa"/>
            <w:gridSpan w:val="3"/>
            <w:vAlign w:val="center"/>
          </w:tcPr>
          <w:p>
            <w:pPr>
              <w:jc w:val="left"/>
              <w:rPr>
                <w:rFonts w:ascii="宋体" w:hAnsi="宋体" w:cs="宋体"/>
                <w:b/>
                <w:color w:val="auto"/>
                <w:sz w:val="24"/>
                <w:szCs w:val="24"/>
                <w:highlight w:val="none"/>
              </w:rPr>
            </w:pPr>
            <w:r>
              <w:rPr>
                <w:rFonts w:hint="eastAsia" w:ascii="宋体" w:hAnsi="宋体" w:cs="宋体"/>
                <w:b/>
                <w:color w:val="auto"/>
                <w:sz w:val="24"/>
                <w:szCs w:val="24"/>
                <w:highlight w:val="none"/>
              </w:rPr>
              <w:t>注：以上资料内容须清晰可辨的，模糊不清造成资格审查不予以通过，由投标人自行负责；</w:t>
            </w:r>
          </w:p>
        </w:tc>
      </w:tr>
    </w:tbl>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6.2.3  经资格审查后合格的投标人不足三家的，不得进入评标，并按相关规定重新组织采购。</w:t>
      </w:r>
    </w:p>
    <w:p>
      <w:pPr>
        <w:pStyle w:val="109"/>
        <w:rPr>
          <w:rFonts w:ascii="宋体" w:eastAsia="宋体"/>
          <w:color w:val="auto"/>
          <w:szCs w:val="24"/>
          <w:highlight w:val="none"/>
        </w:rPr>
      </w:pPr>
      <w:bookmarkStart w:id="171" w:name="_Toc531359020"/>
      <w:bookmarkStart w:id="172" w:name="_Toc4588"/>
      <w:r>
        <w:rPr>
          <w:rFonts w:hint="eastAsia" w:ascii="宋体" w:eastAsia="宋体"/>
          <w:color w:val="auto"/>
          <w:szCs w:val="24"/>
          <w:highlight w:val="none"/>
        </w:rPr>
        <w:t>6.3  评标</w:t>
      </w:r>
      <w:bookmarkEnd w:id="171"/>
      <w:bookmarkEnd w:id="17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6.3.1 评标办法：见投标人须知前附表（一）；</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6.3.2 评标委员会由采购代理机构组建：评标委员会由评审专家或采购人代表和评审专家组成，成员人数为5人，其中评审专家不少于成员总数的三分之二，评审专家按规定从评审专家库中随机抽取。如有特殊情况的，按相关规定组建评标委员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6.3.3 评标由评标委员会负责，评标委员会应当按照客观、公正、审慎的原则，根据招标文件确定评标程序、评标办法和评审标准独立评审；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6.3.4 评标程序：符合性审查、资信商务及技术文件评审、报价文件评审；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6.3.5 符合性审查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评标委员会对投标文件的有效性、完整性和对招标文件的响应程度进行符合性审查，以确定是否对招标文件的实质性要求作出响应，实质性响应是指投标文件符合招标文件规定的实质性内容、条件和规定；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通过符合性审查不足三家的，除采购任务取消情形外，按相关规定重新组织招标。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6.3.6 资信商务及技术文件评审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标委员会依据招标文件的规定，对各投标人的资信商务及技术文件进行评审，其中客观部分应统一意见后统一给分，其他技术部分由评委委员会对各投标文件进行比较和必要的澄清，若有演示环节要求的和资信商务及技术文件评审同步进行，演示循序由开标现场随机抽取产生，并根据澄清、演示、样品等情况按评审细则进行独立打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各投标人的资信商务及技术得分，为各评审专家对该投标人的评审得分结果汇总后的算术平均数。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6.3.7 报价文件评审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评标委员会依据招标文件的规定，对各投标人的报价的完整性、合理性进行审查，必要时可要求投标人对其报价做出澄清、说明；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报价修正；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政府采购政策价格扣除；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评审委员会根据投标人的报价和评审标准，计算各投标人的报价得分。</w:t>
      </w:r>
    </w:p>
    <w:p>
      <w:pPr>
        <w:pStyle w:val="109"/>
        <w:rPr>
          <w:rFonts w:ascii="宋体" w:eastAsia="宋体"/>
          <w:color w:val="auto"/>
          <w:szCs w:val="24"/>
          <w:highlight w:val="none"/>
        </w:rPr>
      </w:pPr>
      <w:bookmarkStart w:id="173" w:name="_Toc531359021"/>
      <w:bookmarkStart w:id="174" w:name="_Toc13541"/>
      <w:r>
        <w:rPr>
          <w:rFonts w:hint="eastAsia" w:ascii="宋体" w:eastAsia="宋体"/>
          <w:color w:val="auto"/>
          <w:szCs w:val="24"/>
          <w:highlight w:val="none"/>
        </w:rPr>
        <w:t>6.4  投标文件的澄清、说明或补正</w:t>
      </w:r>
      <w:bookmarkEnd w:id="173"/>
      <w:bookmarkEnd w:id="17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6.4.1  </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对投标文件中含义不明确、同类问题表述不一致或者有明显文字和计算错误的内容，评标委员会通过政采云平台要求投标人作出必要的澄清、说明或者补正。电子投标文件的澄清、说明或者补正采用政采云平台交换数据电文，投标人提交的澄清、说明或补正的时间为30分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投标人的的澄清、说明或补正将作为投标文件的一部分；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6.4.2 评审时评标委员会认为投标人的报价明显低于其他通过符合性审查投标人的报价，有可能影响产品质量或者不能诚信履约的，在评标现场合理的时间内通过政采云平台交换数据电文要求投标人进行说明原因和提供证明材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6.4.3 不接受投标人主动对投标文件的澄清、说明或者补正。</w:t>
      </w:r>
    </w:p>
    <w:p>
      <w:pPr>
        <w:pStyle w:val="109"/>
        <w:rPr>
          <w:rFonts w:ascii="宋体" w:eastAsia="宋体"/>
          <w:color w:val="auto"/>
          <w:szCs w:val="24"/>
          <w:highlight w:val="none"/>
        </w:rPr>
      </w:pPr>
      <w:bookmarkStart w:id="175" w:name="_Toc531359022"/>
      <w:bookmarkStart w:id="176" w:name="_Toc3197"/>
      <w:r>
        <w:rPr>
          <w:rFonts w:hint="eastAsia" w:ascii="宋体" w:eastAsia="宋体"/>
          <w:color w:val="auto"/>
          <w:szCs w:val="24"/>
          <w:highlight w:val="none"/>
        </w:rPr>
        <w:t>6.5  报价错误修正</w:t>
      </w:r>
      <w:bookmarkEnd w:id="175"/>
      <w:bookmarkEnd w:id="17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6.5.1 评标委员会对确定投标文件为实质上响应招标文件要求的，投标文件报价出现前后不一致的，按照下列规定修正：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正本与副本不一致时，以正本为准；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报价文件中开标一览表（报价表）内容与报价明细表相应内容不一致的，以开标一览表（报价表）为准；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报价文件的大写金额和小写金额不一致的，以大写金额为准；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单价金额小数点或者百分比有明显错位的，以开标一览表（报价表）的总价为准，并修改单价；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5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⑸</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总价金额与按单价汇总金额不一致的，以单价金额计算结果为准；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6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⑹</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同时出现两种以上不一致的，按上述顺序修正；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7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⑺</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对不同文字文本投标文件的解释发生异议的，以中文文本为准；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8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⑻</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电子投标文件修正错误的投标报价，通过电子交易平台，经投标人同意签章确认后产生约束力；</w:t>
      </w:r>
    </w:p>
    <w:p>
      <w:pPr>
        <w:pStyle w:val="109"/>
        <w:rPr>
          <w:rFonts w:ascii="宋体" w:eastAsia="宋体"/>
          <w:color w:val="auto"/>
          <w:szCs w:val="24"/>
          <w:highlight w:val="none"/>
        </w:rPr>
      </w:pPr>
      <w:bookmarkStart w:id="177" w:name="_Toc531359024"/>
      <w:bookmarkStart w:id="178" w:name="_Toc32222"/>
      <w:r>
        <w:rPr>
          <w:rFonts w:hint="eastAsia" w:ascii="宋体" w:eastAsia="宋体"/>
          <w:color w:val="auto"/>
          <w:szCs w:val="24"/>
          <w:highlight w:val="none"/>
        </w:rPr>
        <w:t>6.6  评标报告</w:t>
      </w:r>
      <w:bookmarkEnd w:id="177"/>
      <w:bookmarkEnd w:id="17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6.6.1 评审结果汇总，同品牌投标人的确定，投标人结果排序；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6.6.2 评标委员会根据全体评审成员签字的原始评审记录和评审结果编写评标报告，并推荐中标候选人或确定中标人；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6.6.3 评标报告由评标委员会成员签字确认生效，持不同意见的评标委员会成员应当在评标报告上签署不同意见及理由，否则视为同意评标报告；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6.6.4 评标结束后，采购代理机构宣布评标结果。</w:t>
      </w:r>
    </w:p>
    <w:p>
      <w:pPr>
        <w:pStyle w:val="45"/>
        <w:spacing w:beforeLines="100" w:afterLines="100"/>
        <w:jc w:val="left"/>
        <w:outlineLvl w:val="1"/>
        <w:rPr>
          <w:rFonts w:ascii="宋体" w:hAnsi="宋体"/>
          <w:color w:val="auto"/>
          <w:sz w:val="30"/>
          <w:szCs w:val="30"/>
          <w:highlight w:val="none"/>
        </w:rPr>
      </w:pPr>
      <w:bookmarkStart w:id="179" w:name="_Toc21554"/>
      <w:bookmarkStart w:id="180" w:name="_Toc523398512"/>
      <w:bookmarkStart w:id="181" w:name="_Toc531359025"/>
      <w:r>
        <w:rPr>
          <w:rFonts w:hint="eastAsia" w:ascii="宋体" w:hAnsi="宋体"/>
          <w:color w:val="auto"/>
          <w:sz w:val="30"/>
          <w:szCs w:val="30"/>
          <w:highlight w:val="none"/>
        </w:rPr>
        <w:t>七 投标无效的情形</w:t>
      </w:r>
      <w:bookmarkEnd w:id="179"/>
      <w:bookmarkEnd w:id="180"/>
      <w:bookmarkEnd w:id="181"/>
    </w:p>
    <w:p>
      <w:pPr>
        <w:pStyle w:val="109"/>
        <w:rPr>
          <w:rFonts w:ascii="宋体" w:eastAsia="宋体"/>
          <w:color w:val="auto"/>
          <w:szCs w:val="24"/>
          <w:highlight w:val="none"/>
        </w:rPr>
      </w:pPr>
      <w:bookmarkStart w:id="182" w:name="_Toc22781"/>
      <w:r>
        <w:rPr>
          <w:rFonts w:hint="eastAsia" w:ascii="宋体" w:eastAsia="宋体"/>
          <w:color w:val="auto"/>
          <w:szCs w:val="24"/>
          <w:highlight w:val="none"/>
        </w:rPr>
        <w:t>7</w:t>
      </w:r>
      <w:r>
        <w:rPr>
          <w:rFonts w:ascii="宋体" w:eastAsia="宋体"/>
          <w:color w:val="auto"/>
          <w:szCs w:val="24"/>
          <w:highlight w:val="none"/>
        </w:rPr>
        <w:t xml:space="preserve">.1  </w:t>
      </w:r>
      <w:r>
        <w:rPr>
          <w:rFonts w:hint="eastAsia" w:ascii="宋体" w:eastAsia="宋体"/>
          <w:color w:val="auto"/>
          <w:szCs w:val="24"/>
          <w:highlight w:val="none"/>
        </w:rPr>
        <w:t>在</w:t>
      </w:r>
      <w:r>
        <w:rPr>
          <w:rFonts w:ascii="宋体" w:eastAsia="宋体"/>
          <w:color w:val="auto"/>
          <w:szCs w:val="24"/>
          <w:highlight w:val="none"/>
        </w:rPr>
        <w:t>开标</w:t>
      </w:r>
      <w:r>
        <w:rPr>
          <w:rFonts w:hint="eastAsia" w:ascii="宋体" w:eastAsia="宋体"/>
          <w:color w:val="auto"/>
          <w:szCs w:val="24"/>
          <w:highlight w:val="none"/>
        </w:rPr>
        <w:t>时，如</w:t>
      </w:r>
      <w:r>
        <w:rPr>
          <w:rFonts w:ascii="宋体" w:eastAsia="宋体"/>
          <w:color w:val="auto"/>
          <w:szCs w:val="24"/>
          <w:highlight w:val="none"/>
        </w:rPr>
        <w:t>发现</w:t>
      </w:r>
      <w:r>
        <w:rPr>
          <w:rFonts w:hint="eastAsia" w:ascii="宋体" w:eastAsia="宋体"/>
          <w:color w:val="auto"/>
          <w:szCs w:val="24"/>
          <w:highlight w:val="none"/>
        </w:rPr>
        <w:t>有</w:t>
      </w:r>
      <w:r>
        <w:rPr>
          <w:rFonts w:ascii="宋体" w:eastAsia="宋体"/>
          <w:color w:val="auto"/>
          <w:szCs w:val="24"/>
          <w:highlight w:val="none"/>
        </w:rPr>
        <w:t>以下情形</w:t>
      </w:r>
      <w:r>
        <w:rPr>
          <w:rFonts w:hint="eastAsia" w:ascii="宋体" w:eastAsia="宋体"/>
          <w:color w:val="auto"/>
          <w:szCs w:val="24"/>
          <w:highlight w:val="none"/>
        </w:rPr>
        <w:t>之一</w:t>
      </w:r>
      <w:r>
        <w:rPr>
          <w:rFonts w:ascii="宋体" w:eastAsia="宋体"/>
          <w:color w:val="auto"/>
          <w:szCs w:val="24"/>
          <w:highlight w:val="none"/>
        </w:rPr>
        <w:t>的，</w:t>
      </w:r>
      <w:r>
        <w:rPr>
          <w:rFonts w:hint="eastAsia" w:ascii="宋体" w:eastAsia="宋体"/>
          <w:color w:val="auto"/>
          <w:szCs w:val="24"/>
          <w:highlight w:val="none"/>
        </w:rPr>
        <w:t>其投标</w:t>
      </w:r>
      <w:r>
        <w:rPr>
          <w:rFonts w:ascii="宋体" w:eastAsia="宋体"/>
          <w:color w:val="auto"/>
          <w:szCs w:val="24"/>
          <w:highlight w:val="none"/>
        </w:rPr>
        <w:t>无效</w:t>
      </w:r>
      <w:bookmarkEnd w:id="18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（1）不予接收的投标文件；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（2）各文件之间混装的；</w:t>
      </w:r>
    </w:p>
    <w:p>
      <w:pPr>
        <w:pStyle w:val="109"/>
        <w:rPr>
          <w:rFonts w:ascii="宋体" w:eastAsia="宋体"/>
          <w:color w:val="auto"/>
          <w:szCs w:val="24"/>
          <w:highlight w:val="none"/>
        </w:rPr>
      </w:pPr>
      <w:bookmarkStart w:id="183" w:name="_Toc23988"/>
      <w:r>
        <w:rPr>
          <w:rFonts w:hint="eastAsia" w:ascii="宋体" w:eastAsia="宋体"/>
          <w:color w:val="auto"/>
          <w:szCs w:val="24"/>
          <w:highlight w:val="none"/>
        </w:rPr>
        <w:t>7</w:t>
      </w:r>
      <w:r>
        <w:rPr>
          <w:rFonts w:ascii="宋体" w:eastAsia="宋体"/>
          <w:color w:val="auto"/>
          <w:szCs w:val="24"/>
          <w:highlight w:val="none"/>
        </w:rPr>
        <w:t xml:space="preserve">.2  </w:t>
      </w:r>
      <w:r>
        <w:rPr>
          <w:rFonts w:hint="eastAsia" w:ascii="宋体" w:eastAsia="宋体"/>
          <w:color w:val="auto"/>
          <w:szCs w:val="24"/>
          <w:highlight w:val="none"/>
        </w:rPr>
        <w:t>在符合性审查时，如发现下列情形之一的，其投标</w:t>
      </w:r>
      <w:r>
        <w:rPr>
          <w:rFonts w:ascii="宋体" w:eastAsia="宋体"/>
          <w:color w:val="auto"/>
          <w:szCs w:val="24"/>
          <w:highlight w:val="none"/>
        </w:rPr>
        <w:t>无效</w:t>
      </w:r>
      <w:bookmarkEnd w:id="18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未按招标文件规定进行盖章、签字的；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未实质响应招标文件中带“▲”条款要求的投标文件；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存在一个或一个以上备选（替代）投标方案的；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投标人提交两份或两份以上内容不同的投标文件，未声明哪一份有效的。</w:t>
      </w:r>
    </w:p>
    <w:p>
      <w:pPr>
        <w:pStyle w:val="5"/>
        <w:spacing w:before="0" w:after="0"/>
        <w:ind w:left="964" w:hanging="964" w:hangingChars="400"/>
        <w:rPr>
          <w:rFonts w:ascii="宋体" w:hAnsi="宋体" w:eastAsia="宋体"/>
          <w:color w:val="auto"/>
          <w:sz w:val="24"/>
          <w:szCs w:val="24"/>
          <w:highlight w:val="none"/>
        </w:rPr>
      </w:pPr>
      <w:bookmarkStart w:id="184" w:name="_Toc22262"/>
      <w:r>
        <w:rPr>
          <w:rFonts w:hint="eastAsia" w:ascii="宋体" w:hAnsi="宋体" w:eastAsia="宋体"/>
          <w:color w:val="auto"/>
          <w:sz w:val="24"/>
          <w:szCs w:val="24"/>
          <w:highlight w:val="none"/>
        </w:rPr>
        <w:t>7.3  在资信商务</w:t>
      </w:r>
      <w:r>
        <w:rPr>
          <w:rFonts w:ascii="宋体" w:hAnsi="宋体" w:eastAsia="宋体"/>
          <w:color w:val="auto"/>
          <w:sz w:val="24"/>
          <w:szCs w:val="24"/>
          <w:highlight w:val="none"/>
        </w:rPr>
        <w:t>技术</w:t>
      </w:r>
      <w:r>
        <w:rPr>
          <w:rFonts w:hint="eastAsia" w:ascii="宋体" w:hAnsi="宋体" w:eastAsia="宋体"/>
          <w:color w:val="auto"/>
          <w:sz w:val="24"/>
          <w:szCs w:val="24"/>
          <w:highlight w:val="none"/>
        </w:rPr>
        <w:t>评审</w:t>
      </w:r>
      <w:r>
        <w:rPr>
          <w:rFonts w:ascii="宋体" w:hAnsi="宋体" w:eastAsia="宋体"/>
          <w:color w:val="auto"/>
          <w:sz w:val="24"/>
          <w:szCs w:val="24"/>
          <w:highlight w:val="none"/>
        </w:rPr>
        <w:t>时，</w:t>
      </w:r>
      <w:r>
        <w:rPr>
          <w:rFonts w:hint="eastAsia" w:ascii="宋体" w:hAnsi="宋体" w:eastAsia="宋体"/>
          <w:color w:val="auto"/>
          <w:sz w:val="24"/>
          <w:szCs w:val="24"/>
          <w:highlight w:val="none"/>
        </w:rPr>
        <w:t>如发现下列情形之一的，其投标</w:t>
      </w:r>
      <w:r>
        <w:rPr>
          <w:rFonts w:ascii="宋体" w:hAnsi="宋体" w:eastAsia="宋体"/>
          <w:color w:val="auto"/>
          <w:sz w:val="24"/>
          <w:szCs w:val="24"/>
          <w:highlight w:val="none"/>
        </w:rPr>
        <w:t>无效</w:t>
      </w:r>
      <w:bookmarkEnd w:id="18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投标文件含有采购人不能接受的附加条款的；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投标文件中提供赠品、回扣或者与采购无关的其他商品、服务的；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评标委员会评定有非实质性条款负偏离超过招标文件规定项数的，项数要求见投标人须知前附表；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5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⑸</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采购产品为政府强制采购的节能产品，投标人未提供节能产品认证证书的；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6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⑹</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投标文件内容不全或内容字迹模糊辨认不清的而导致评标无法正常进行（经评标委员会认定并允许其当场更正的笔误除外的）；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7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⑺</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违反国家及政府部门相关法律、法规、文件规定或经评标委员认定的其他属于重大偏离的。</w:t>
      </w:r>
    </w:p>
    <w:p>
      <w:pPr>
        <w:pStyle w:val="5"/>
        <w:spacing w:before="0" w:after="0"/>
        <w:ind w:left="964" w:hanging="964" w:hangingChars="400"/>
        <w:rPr>
          <w:rFonts w:ascii="宋体" w:hAnsi="宋体" w:eastAsia="宋体"/>
          <w:color w:val="auto"/>
          <w:sz w:val="24"/>
          <w:szCs w:val="24"/>
          <w:highlight w:val="none"/>
        </w:rPr>
      </w:pPr>
      <w:bookmarkStart w:id="185" w:name="_Toc21227"/>
      <w:r>
        <w:rPr>
          <w:rFonts w:hint="eastAsia" w:ascii="宋体" w:hAnsi="宋体" w:eastAsia="宋体"/>
          <w:color w:val="auto"/>
          <w:sz w:val="24"/>
          <w:szCs w:val="24"/>
          <w:highlight w:val="none"/>
        </w:rPr>
        <w:t>7.4 在</w:t>
      </w:r>
      <w:r>
        <w:rPr>
          <w:rFonts w:ascii="宋体" w:hAnsi="宋体" w:eastAsia="宋体"/>
          <w:color w:val="auto"/>
          <w:sz w:val="24"/>
          <w:szCs w:val="24"/>
          <w:highlight w:val="none"/>
        </w:rPr>
        <w:t>报价评审时</w:t>
      </w:r>
      <w:r>
        <w:rPr>
          <w:rFonts w:hint="eastAsia" w:ascii="宋体" w:hAnsi="宋体" w:eastAsia="宋体"/>
          <w:color w:val="auto"/>
          <w:sz w:val="24"/>
          <w:szCs w:val="24"/>
          <w:highlight w:val="none"/>
        </w:rPr>
        <w:t>，如发现下列情形之一的，其投标</w:t>
      </w:r>
      <w:r>
        <w:rPr>
          <w:rFonts w:ascii="宋体" w:hAnsi="宋体" w:eastAsia="宋体"/>
          <w:color w:val="auto"/>
          <w:sz w:val="24"/>
          <w:szCs w:val="24"/>
          <w:highlight w:val="none"/>
        </w:rPr>
        <w:t>无效</w:t>
      </w:r>
      <w:bookmarkEnd w:id="18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报价超过招标文件中规定的最高限价的；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投标报价存在漏项或报价数量少于采购要求的（招标文件中注明允许的除外），报价文件内容与对应资信商务及技术文件内容不一致的；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评标委员会评定其投标的报价明显高于其市场报价或报价明显不合理或低于成本，有可能影响产品质量或者不能诚信履约的，在评标现场合理的时间内不能合理说明原因和提供证明材料的来证明其报价合理性的；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报价有涂改，涂改处未加盖单位公章或由负责人（或委托代理人）签字或盖章的；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5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⑸</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拒不接受报价错误修正或报价错误修正后未签章确认的。</w:t>
      </w:r>
    </w:p>
    <w:p>
      <w:pPr>
        <w:pStyle w:val="5"/>
        <w:spacing w:before="0" w:after="0"/>
        <w:ind w:left="964" w:hanging="964" w:hangingChars="400"/>
        <w:rPr>
          <w:rFonts w:ascii="宋体" w:hAnsi="宋体" w:eastAsia="宋体"/>
          <w:color w:val="auto"/>
          <w:sz w:val="24"/>
          <w:szCs w:val="24"/>
          <w:highlight w:val="none"/>
        </w:rPr>
      </w:pPr>
      <w:bookmarkStart w:id="186" w:name="_Toc28169"/>
      <w:r>
        <w:rPr>
          <w:rFonts w:hint="eastAsia" w:ascii="宋体" w:hAnsi="宋体" w:eastAsia="宋体"/>
          <w:color w:val="auto"/>
          <w:sz w:val="24"/>
          <w:szCs w:val="24"/>
          <w:highlight w:val="none"/>
        </w:rPr>
        <w:t>7.</w:t>
      </w:r>
      <w:r>
        <w:rPr>
          <w:rFonts w:ascii="宋体" w:hAnsi="宋体" w:eastAsia="宋体"/>
          <w:color w:val="auto"/>
          <w:sz w:val="24"/>
          <w:szCs w:val="24"/>
          <w:highlight w:val="none"/>
        </w:rPr>
        <w:t>5</w:t>
      </w:r>
      <w:r>
        <w:rPr>
          <w:rFonts w:hint="eastAsia" w:ascii="宋体" w:hAnsi="宋体" w:eastAsia="宋体"/>
          <w:color w:val="auto"/>
          <w:sz w:val="24"/>
          <w:szCs w:val="24"/>
          <w:highlight w:val="none"/>
        </w:rPr>
        <w:t xml:space="preserve"> 如有</w:t>
      </w:r>
      <w:r>
        <w:rPr>
          <w:rFonts w:ascii="宋体" w:hAnsi="宋体" w:eastAsia="宋体"/>
          <w:color w:val="auto"/>
          <w:sz w:val="24"/>
          <w:szCs w:val="24"/>
          <w:highlight w:val="none"/>
        </w:rPr>
        <w:t>下列情形之一的，</w:t>
      </w:r>
      <w:r>
        <w:rPr>
          <w:rFonts w:hint="eastAsia" w:ascii="宋体" w:hAnsi="宋体" w:eastAsia="宋体"/>
          <w:color w:val="auto"/>
          <w:sz w:val="24"/>
          <w:szCs w:val="24"/>
          <w:highlight w:val="none"/>
        </w:rPr>
        <w:t>其</w:t>
      </w:r>
      <w:r>
        <w:rPr>
          <w:rFonts w:ascii="宋体" w:hAnsi="宋体" w:eastAsia="宋体"/>
          <w:color w:val="auto"/>
          <w:sz w:val="24"/>
          <w:szCs w:val="24"/>
          <w:highlight w:val="none"/>
        </w:rPr>
        <w:t>投标无效</w:t>
      </w:r>
      <w:bookmarkEnd w:id="18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⑴</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投标人直接或者间接从采购人或者采购代理机构处获得其他投标人的相关情况并修改其投标文件；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⑵</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投标人按照采购人或者采购代理机构的授意撤换、修改投标文件；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⑶</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投标人之间协商投标文件的实质性内容；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4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⑷</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属于同一集团、协会、商会等组织成员的投标人按照该组织要求协同参加政府采购活动；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5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⑸</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投标人之间事先约定由某一特定投标人中标、成交；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6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⑹</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投标人之间商定部分投标人放弃参加政府采购活动或者放弃中标、成交；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7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⑺</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投标人与采购人或者采购代理机构之间、投标人相互之间，为谋求特定投标人中标、成交或者排斥其他投标人的其他串通行为；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8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⑻</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不同投标人的投标文件由同一单位或者个人编制；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9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⑼</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不同投标人委托同一单位或者个人办理投标事宜；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10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⑽</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不同投标人的投标文件载明的项目管理成员或者联系人员为同一人；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11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⑾</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不同投标人的投标文件异常一致或者投标报价呈规律性差异；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12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⑿</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不同投标人的投标文件相互混装；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 13 \* GB2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⒀</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提供虚假材料谋取中标的。</w:t>
      </w:r>
    </w:p>
    <w:p>
      <w:pPr>
        <w:pStyle w:val="5"/>
        <w:spacing w:before="0" w:after="0"/>
        <w:ind w:left="964" w:hanging="964" w:hangingChars="400"/>
        <w:rPr>
          <w:rFonts w:ascii="宋体" w:hAnsi="宋体" w:eastAsia="宋体"/>
          <w:color w:val="auto"/>
          <w:sz w:val="24"/>
          <w:szCs w:val="24"/>
          <w:highlight w:val="none"/>
        </w:rPr>
      </w:pPr>
      <w:bookmarkStart w:id="187" w:name="_Toc23850"/>
      <w:r>
        <w:rPr>
          <w:rFonts w:hint="eastAsia" w:ascii="宋体" w:hAnsi="宋体" w:eastAsia="宋体"/>
          <w:color w:val="auto"/>
          <w:sz w:val="24"/>
          <w:szCs w:val="24"/>
          <w:highlight w:val="none"/>
        </w:rPr>
        <w:t>7.6 突发情况处理</w:t>
      </w:r>
      <w:bookmarkEnd w:id="18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7.6.1 采购过程中出现以下情形，导致政采云平台无法正常运行，或者无法保证电子交易的公平、公正和安全时，采购代理机构将中止电子交易活动：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⑴电子交易平台发生故障而无法登录访问的；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⑵电子交易平台应用或数据库出现错误，不能进行正常操作的；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⑶电子交易平台发现严重安全漏洞，有潜在泄密危险的；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⑷病毒发作导致不能进行正常操作的；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⑸其他无法保证电子交易的公平、公正和安全的情况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7.6.2 采购代理机构或评审小组因不可抗力（不可抗力包括但不限于自然灾害、断电、传播疫病等）原因造成电子交易活动无法正常运行的，将采取以下措施：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⑴短时间内能消除不可抗力因素的，采购代理机构或评审小组在消除不可抗力因素后继续组织电子交易活动。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⑵长时间内无法消除不可抗力因素的，采购代理机构或评审小组将中止电子交易活动。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7.6.4 中止电子交易活动的，采购人应当重新组织政府采购活动。</w:t>
      </w:r>
    </w:p>
    <w:p>
      <w:pPr>
        <w:pStyle w:val="45"/>
        <w:spacing w:beforeLines="100" w:afterLines="100"/>
        <w:jc w:val="left"/>
        <w:outlineLvl w:val="1"/>
        <w:rPr>
          <w:rFonts w:ascii="宋体" w:hAnsi="宋体"/>
          <w:color w:val="auto"/>
          <w:sz w:val="30"/>
          <w:szCs w:val="30"/>
          <w:highlight w:val="none"/>
        </w:rPr>
      </w:pPr>
      <w:bookmarkStart w:id="188" w:name="_Toc301187772"/>
      <w:bookmarkStart w:id="189" w:name="_Toc303756400"/>
      <w:bookmarkStart w:id="190" w:name="_Toc359934597"/>
      <w:bookmarkStart w:id="191" w:name="_Toc515526193"/>
      <w:bookmarkStart w:id="192" w:name="_Toc531359026"/>
      <w:bookmarkStart w:id="193" w:name="_Toc17928"/>
      <w:r>
        <w:rPr>
          <w:rFonts w:hint="eastAsia" w:ascii="宋体" w:hAnsi="宋体"/>
          <w:color w:val="auto"/>
          <w:sz w:val="30"/>
          <w:szCs w:val="30"/>
          <w:highlight w:val="none"/>
        </w:rPr>
        <w:t>八  中标和合同</w:t>
      </w:r>
      <w:bookmarkEnd w:id="188"/>
      <w:bookmarkEnd w:id="189"/>
      <w:bookmarkEnd w:id="190"/>
      <w:bookmarkEnd w:id="191"/>
      <w:bookmarkEnd w:id="192"/>
      <w:bookmarkEnd w:id="193"/>
    </w:p>
    <w:p>
      <w:pPr>
        <w:pStyle w:val="109"/>
        <w:rPr>
          <w:rFonts w:ascii="宋体" w:eastAsia="宋体"/>
          <w:color w:val="auto"/>
          <w:szCs w:val="24"/>
          <w:highlight w:val="none"/>
        </w:rPr>
      </w:pPr>
      <w:bookmarkStart w:id="194" w:name="_Toc301187776"/>
      <w:bookmarkStart w:id="195" w:name="_Toc303756402"/>
      <w:bookmarkStart w:id="196" w:name="_Toc359934599"/>
      <w:bookmarkStart w:id="197" w:name="_Toc515526194"/>
      <w:bookmarkStart w:id="198" w:name="_Toc531359027"/>
      <w:bookmarkStart w:id="199" w:name="_Toc16795"/>
      <w:r>
        <w:rPr>
          <w:rFonts w:hint="eastAsia" w:ascii="宋体" w:eastAsia="宋体"/>
          <w:color w:val="auto"/>
          <w:szCs w:val="24"/>
          <w:highlight w:val="none"/>
        </w:rPr>
        <w:t>8.1</w:t>
      </w:r>
      <w:bookmarkEnd w:id="194"/>
      <w:bookmarkEnd w:id="195"/>
      <w:bookmarkEnd w:id="196"/>
      <w:r>
        <w:rPr>
          <w:rFonts w:ascii="宋体" w:eastAsia="宋体"/>
          <w:color w:val="auto"/>
          <w:szCs w:val="24"/>
          <w:highlight w:val="none"/>
        </w:rPr>
        <w:t xml:space="preserve">  </w:t>
      </w:r>
      <w:r>
        <w:rPr>
          <w:rFonts w:hint="eastAsia" w:ascii="宋体" w:eastAsia="宋体"/>
          <w:color w:val="auto"/>
          <w:szCs w:val="24"/>
          <w:highlight w:val="none"/>
        </w:rPr>
        <w:t>中标</w:t>
      </w:r>
      <w:bookmarkEnd w:id="197"/>
      <w:bookmarkEnd w:id="198"/>
      <w:bookmarkEnd w:id="199"/>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8.1.1  采购代理机构在评标结束后2个工作日内将评标报告提交采购人确认；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8.1.2  采购人应当自收到评标报告之日起5个工作日内，按照评标报告中推荐的中标候选人名单顺序在线确定第一名中标候选人为中标人；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8.1.3  采购人在收到评标报告5个工作日内未确定中标人，又不能说明合法理由的，视同按评标报告推荐的顺序确定排名第一的中标候选人为中标人；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8.1.4  中标人拒绝与采购人签订合同的，采购人可以按照评标报告推荐的中标人名单排序，确定下一候选人为中标人，也可以重新开展政府采购活动。</w:t>
      </w:r>
    </w:p>
    <w:p>
      <w:pPr>
        <w:pStyle w:val="109"/>
        <w:rPr>
          <w:rFonts w:ascii="宋体" w:eastAsia="宋体"/>
          <w:color w:val="auto"/>
          <w:szCs w:val="24"/>
          <w:highlight w:val="none"/>
        </w:rPr>
      </w:pPr>
      <w:bookmarkStart w:id="200" w:name="_Toc531359028"/>
      <w:bookmarkStart w:id="201" w:name="_Toc24976"/>
      <w:r>
        <w:rPr>
          <w:rFonts w:hint="eastAsia" w:ascii="宋体" w:eastAsia="宋体"/>
          <w:color w:val="auto"/>
          <w:szCs w:val="24"/>
          <w:highlight w:val="none"/>
        </w:rPr>
        <w:t>8.2  中标</w:t>
      </w:r>
      <w:r>
        <w:rPr>
          <w:rFonts w:ascii="宋体" w:eastAsia="宋体"/>
          <w:color w:val="auto"/>
          <w:szCs w:val="24"/>
          <w:highlight w:val="none"/>
        </w:rPr>
        <w:t>公告和中标通知书</w:t>
      </w:r>
      <w:bookmarkEnd w:id="200"/>
      <w:bookmarkEnd w:id="20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8.2.1 采购代理机构应当自中标人确定之日起2个工作日内，在投标人须知前附表（一）规定的网址发布中标结果；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8.2.3 中标公告期限为1个工作日；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8.2.4 采购代理机构通过政采云平台向中标人发出中标通知书，中标人应当及时通过政采云平台查看中标通知书；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8.2.5 中标通知书发出后，采购人不得改变中标结果，中标人无正当理由不得放弃中标。否则将作为不良行为记录上报财政部门，由财政部门按相关法律法规给予处理。</w:t>
      </w:r>
    </w:p>
    <w:p>
      <w:pPr>
        <w:pStyle w:val="109"/>
        <w:rPr>
          <w:rFonts w:ascii="宋体" w:eastAsia="宋体"/>
          <w:color w:val="auto"/>
          <w:szCs w:val="24"/>
          <w:highlight w:val="none"/>
        </w:rPr>
      </w:pPr>
      <w:bookmarkStart w:id="202" w:name="_Toc531359029"/>
      <w:bookmarkStart w:id="203" w:name="_Toc27160"/>
      <w:r>
        <w:rPr>
          <w:rFonts w:hint="eastAsia" w:ascii="宋体" w:eastAsia="宋体"/>
          <w:color w:val="auto"/>
          <w:szCs w:val="24"/>
          <w:highlight w:val="none"/>
        </w:rPr>
        <w:t>8.</w:t>
      </w:r>
      <w:r>
        <w:rPr>
          <w:rFonts w:ascii="宋体" w:eastAsia="宋体"/>
          <w:color w:val="auto"/>
          <w:szCs w:val="24"/>
          <w:highlight w:val="none"/>
        </w:rPr>
        <w:t>3</w:t>
      </w:r>
      <w:r>
        <w:rPr>
          <w:rFonts w:hint="eastAsia" w:ascii="宋体" w:eastAsia="宋体"/>
          <w:color w:val="auto"/>
          <w:szCs w:val="24"/>
          <w:highlight w:val="none"/>
        </w:rPr>
        <w:t xml:space="preserve">  </w:t>
      </w:r>
      <w:r>
        <w:rPr>
          <w:rFonts w:ascii="宋体" w:eastAsia="宋体"/>
          <w:color w:val="auto"/>
          <w:szCs w:val="24"/>
          <w:highlight w:val="none"/>
        </w:rPr>
        <w:t>履约</w:t>
      </w:r>
      <w:r>
        <w:rPr>
          <w:rFonts w:hint="eastAsia" w:ascii="宋体" w:eastAsia="宋体"/>
          <w:color w:val="auto"/>
          <w:szCs w:val="24"/>
          <w:highlight w:val="none"/>
        </w:rPr>
        <w:t>保证金</w:t>
      </w:r>
      <w:bookmarkEnd w:id="202"/>
      <w:bookmarkEnd w:id="20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8.3.1 履约保证金：乙方须向甲方缴纳合同总金额5%的履约保证金。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8.3.2 中标人提供的货物质量和服务符合合同约定并经验收合格的，其履约保证金按规定要求由采购人无息退还。</w:t>
      </w:r>
    </w:p>
    <w:p>
      <w:pPr>
        <w:pStyle w:val="109"/>
        <w:rPr>
          <w:rFonts w:ascii="宋体" w:eastAsia="宋体"/>
          <w:color w:val="auto"/>
          <w:szCs w:val="24"/>
          <w:highlight w:val="none"/>
        </w:rPr>
      </w:pPr>
      <w:bookmarkStart w:id="204" w:name="_Toc531359030"/>
      <w:bookmarkStart w:id="205" w:name="_Toc30200"/>
      <w:r>
        <w:rPr>
          <w:rFonts w:hint="eastAsia" w:ascii="宋体" w:eastAsia="宋体"/>
          <w:color w:val="auto"/>
          <w:szCs w:val="24"/>
          <w:highlight w:val="none"/>
        </w:rPr>
        <w:t>8.</w:t>
      </w:r>
      <w:r>
        <w:rPr>
          <w:rFonts w:ascii="宋体" w:eastAsia="宋体"/>
          <w:color w:val="auto"/>
          <w:szCs w:val="24"/>
          <w:highlight w:val="none"/>
        </w:rPr>
        <w:t>4</w:t>
      </w:r>
      <w:r>
        <w:rPr>
          <w:rFonts w:hint="eastAsia" w:ascii="宋体" w:eastAsia="宋体"/>
          <w:color w:val="auto"/>
          <w:szCs w:val="24"/>
          <w:highlight w:val="none"/>
        </w:rPr>
        <w:t xml:space="preserve"> 合同</w:t>
      </w:r>
      <w:bookmarkEnd w:id="204"/>
      <w:bookmarkEnd w:id="20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8.4.1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8.4.2 询问或者质疑事项可能影响中标（成交）结果的，采购人应当暂停签订合同，已经签订合同的，应当中止履行合同。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8.4.3 采购人应当自政府采购合同签订之日起2个工作日内，将政府采购合同在浙江省政府采购网（www.zjzfcg.gov.cn）上公告，但政府采购合同中涉及国家秘密、商业秘密的内容除外。</w:t>
      </w:r>
    </w:p>
    <w:p>
      <w:pPr>
        <w:pStyle w:val="45"/>
        <w:spacing w:beforeLines="100" w:afterLines="100"/>
        <w:jc w:val="left"/>
        <w:outlineLvl w:val="1"/>
        <w:rPr>
          <w:rFonts w:ascii="宋体" w:hAnsi="宋体"/>
          <w:color w:val="auto"/>
          <w:sz w:val="30"/>
          <w:szCs w:val="30"/>
          <w:highlight w:val="none"/>
        </w:rPr>
      </w:pPr>
      <w:bookmarkStart w:id="206" w:name="_Toc15805937"/>
      <w:bookmarkStart w:id="207" w:name="_Toc15813254"/>
      <w:bookmarkStart w:id="208" w:name="_Toc45506731"/>
      <w:bookmarkStart w:id="209" w:name="_Toc47756031"/>
      <w:bookmarkStart w:id="210" w:name="_Toc107820052"/>
      <w:bookmarkStart w:id="211" w:name="_Toc334087240"/>
      <w:bookmarkStart w:id="212" w:name="_Toc335664282"/>
      <w:bookmarkStart w:id="213" w:name="_Toc493956048"/>
      <w:bookmarkStart w:id="214" w:name="_Toc530551873"/>
      <w:bookmarkStart w:id="215" w:name="_Toc531359032"/>
      <w:bookmarkStart w:id="216" w:name="_Toc1504"/>
      <w:r>
        <w:rPr>
          <w:rFonts w:hint="eastAsia" w:ascii="宋体" w:hAnsi="宋体"/>
          <w:color w:val="auto"/>
          <w:sz w:val="30"/>
          <w:szCs w:val="30"/>
          <w:highlight w:val="none"/>
        </w:rPr>
        <w:t xml:space="preserve">九 </w:t>
      </w:r>
      <w:r>
        <w:rPr>
          <w:rFonts w:ascii="宋体" w:hAnsi="宋体"/>
          <w:color w:val="auto"/>
          <w:sz w:val="30"/>
          <w:szCs w:val="30"/>
          <w:highlight w:val="none"/>
        </w:rPr>
        <w:t xml:space="preserve"> </w:t>
      </w:r>
      <w:r>
        <w:rPr>
          <w:rFonts w:hint="eastAsia" w:ascii="宋体" w:hAnsi="宋体"/>
          <w:color w:val="auto"/>
          <w:sz w:val="30"/>
          <w:szCs w:val="30"/>
          <w:highlight w:val="none"/>
        </w:rPr>
        <w:t>其他事项</w:t>
      </w:r>
      <w:bookmarkEnd w:id="206"/>
      <w:bookmarkEnd w:id="207"/>
      <w:bookmarkEnd w:id="208"/>
      <w:bookmarkEnd w:id="209"/>
      <w:bookmarkEnd w:id="210"/>
      <w:bookmarkEnd w:id="211"/>
      <w:bookmarkEnd w:id="212"/>
      <w:bookmarkEnd w:id="213"/>
      <w:bookmarkEnd w:id="214"/>
      <w:bookmarkEnd w:id="215"/>
      <w:bookmarkEnd w:id="216"/>
    </w:p>
    <w:p>
      <w:pPr>
        <w:spacing w:line="360" w:lineRule="auto"/>
        <w:ind w:firstLine="482" w:firstLineChars="200"/>
        <w:rPr>
          <w:rFonts w:ascii="宋体" w:hAnsi="宋体"/>
          <w:b/>
          <w:bCs/>
          <w:color w:val="auto"/>
          <w:sz w:val="24"/>
          <w:szCs w:val="24"/>
          <w:highlight w:val="none"/>
        </w:rPr>
      </w:pPr>
      <w:bookmarkStart w:id="217" w:name="_Toc493956049"/>
      <w:bookmarkStart w:id="218" w:name="_Toc530551874"/>
      <w:bookmarkStart w:id="219" w:name="_Toc531359036"/>
      <w:r>
        <w:rPr>
          <w:rFonts w:hint="eastAsia" w:ascii="宋体" w:hAnsi="宋体" w:cs="宋体"/>
          <w:b/>
          <w:color w:val="auto"/>
          <w:sz w:val="24"/>
          <w:szCs w:val="24"/>
          <w:highlight w:val="none"/>
        </w:rPr>
        <w:t>9.1. 代理服务费标准：</w:t>
      </w:r>
      <w:r>
        <w:rPr>
          <w:rFonts w:hint="eastAsia" w:ascii="宋体" w:hAnsi="宋体"/>
          <w:b/>
          <w:bCs/>
          <w:color w:val="auto"/>
          <w:sz w:val="24"/>
          <w:szCs w:val="24"/>
          <w:highlight w:val="none"/>
        </w:rPr>
        <w:t>由中标单位支付代理服务费，</w:t>
      </w:r>
      <w:r>
        <w:rPr>
          <w:rFonts w:hint="eastAsia" w:ascii="宋体" w:hAnsi="宋体"/>
          <w:b/>
          <w:color w:val="auto"/>
          <w:sz w:val="24"/>
          <w:szCs w:val="24"/>
          <w:highlight w:val="none"/>
        </w:rPr>
        <w:t>费用按《招标代理服务收费管理暂行办法》（计价格[2002]1980号）计取</w:t>
      </w:r>
      <w:r>
        <w:rPr>
          <w:rFonts w:hint="eastAsia" w:ascii="宋体" w:hAnsi="宋体"/>
          <w:b/>
          <w:bCs/>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w:t>
      </w:r>
      <w:r>
        <w:rPr>
          <w:rFonts w:ascii="宋体" w:hAnsi="宋体"/>
          <w:color w:val="auto"/>
          <w:sz w:val="24"/>
          <w:szCs w:val="24"/>
          <w:highlight w:val="none"/>
        </w:rPr>
        <w:t xml:space="preserve"> 招标代理服务收费标准</w:t>
      </w:r>
    </w:p>
    <w:tbl>
      <w:tblPr>
        <w:tblStyle w:val="54"/>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60"/>
        <w:gridCol w:w="2126"/>
        <w:gridCol w:w="1843"/>
        <w:gridCol w:w="1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服务类型</w:t>
            </w:r>
          </w:p>
          <w:p>
            <w:pPr>
              <w:widowControl/>
              <w:ind w:firstLine="1080" w:firstLineChars="450"/>
              <w:rPr>
                <w:rFonts w:ascii="宋体" w:hAnsi="宋体"/>
                <w:color w:val="auto"/>
                <w:sz w:val="24"/>
                <w:szCs w:val="24"/>
                <w:highlight w:val="none"/>
              </w:rPr>
            </w:pPr>
            <w:r>
              <w:rPr>
                <w:rFonts w:ascii="宋体" w:hAnsi="宋体"/>
                <w:color w:val="auto"/>
                <w:sz w:val="24"/>
                <w:szCs w:val="24"/>
                <w:highlight w:val="none"/>
              </w:rPr>
              <w:t>费率</w:t>
            </w:r>
          </w:p>
          <w:p>
            <w:pPr>
              <w:widowControl/>
              <w:jc w:val="center"/>
              <w:rPr>
                <w:rFonts w:ascii="宋体" w:hAnsi="宋体"/>
                <w:color w:val="auto"/>
                <w:sz w:val="24"/>
                <w:szCs w:val="24"/>
                <w:highlight w:val="none"/>
              </w:rPr>
            </w:pPr>
            <w:r>
              <w:rPr>
                <w:rFonts w:ascii="宋体" w:hAnsi="宋体"/>
                <w:color w:val="auto"/>
                <w:sz w:val="24"/>
                <w:szCs w:val="24"/>
                <w:highlight w:val="none"/>
              </w:rPr>
              <w:t>中标金额（万元）</w:t>
            </w:r>
          </w:p>
        </w:tc>
        <w:tc>
          <w:tcPr>
            <w:tcW w:w="212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货物招标</w:t>
            </w:r>
          </w:p>
        </w:tc>
        <w:tc>
          <w:tcPr>
            <w:tcW w:w="184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服务招标</w:t>
            </w:r>
          </w:p>
        </w:tc>
        <w:tc>
          <w:tcPr>
            <w:tcW w:w="1893"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tcPr>
          <w:p>
            <w:pPr>
              <w:widowControl/>
              <w:jc w:val="left"/>
              <w:rPr>
                <w:rFonts w:ascii="宋体" w:hAnsi="宋体"/>
                <w:color w:val="auto"/>
                <w:sz w:val="24"/>
                <w:szCs w:val="24"/>
                <w:highlight w:val="none"/>
              </w:rPr>
            </w:pPr>
            <w:r>
              <w:rPr>
                <w:rFonts w:ascii="宋体" w:hAnsi="宋体"/>
                <w:color w:val="auto"/>
                <w:sz w:val="24"/>
                <w:szCs w:val="24"/>
                <w:highlight w:val="none"/>
              </w:rPr>
              <w:t>100以下</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1.5%</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1.5%</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100-500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1.1%</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0.8%</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500-1000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0.8%</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0.45%</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1000-5000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0.5%</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0.25%</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5000-10000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0.25%</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0.1%</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10000-100000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0.05%</w:t>
            </w:r>
          </w:p>
        </w:tc>
        <w:tc>
          <w:tcPr>
            <w:tcW w:w="1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0.05%</w:t>
            </w:r>
          </w:p>
        </w:tc>
        <w:tc>
          <w:tcPr>
            <w:tcW w:w="1893"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660" w:type="dxa"/>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color w:val="auto"/>
                <w:sz w:val="24"/>
                <w:szCs w:val="24"/>
                <w:highlight w:val="none"/>
              </w:rPr>
            </w:pPr>
            <w:r>
              <w:rPr>
                <w:rFonts w:ascii="宋体" w:hAnsi="宋体"/>
                <w:color w:val="auto"/>
                <w:sz w:val="24"/>
                <w:szCs w:val="24"/>
                <w:highlight w:val="none"/>
              </w:rPr>
              <w:t>100000以上</w:t>
            </w:r>
          </w:p>
        </w:tc>
        <w:tc>
          <w:tcPr>
            <w:tcW w:w="2126"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0.01%</w:t>
            </w:r>
          </w:p>
        </w:tc>
        <w:tc>
          <w:tcPr>
            <w:tcW w:w="184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0.01%</w:t>
            </w:r>
          </w:p>
        </w:tc>
        <w:tc>
          <w:tcPr>
            <w:tcW w:w="1893"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hAnsi="宋体"/>
                <w:color w:val="auto"/>
                <w:sz w:val="24"/>
                <w:szCs w:val="24"/>
                <w:highlight w:val="none"/>
              </w:rPr>
            </w:pPr>
            <w:r>
              <w:rPr>
                <w:rFonts w:ascii="宋体" w:hAnsi="宋体"/>
                <w:color w:val="auto"/>
                <w:sz w:val="24"/>
                <w:szCs w:val="24"/>
                <w:highlight w:val="none"/>
              </w:rPr>
              <w:t>0.01%</w:t>
            </w:r>
          </w:p>
        </w:tc>
      </w:tr>
    </w:tbl>
    <w:p>
      <w:pPr>
        <w:widowControl/>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注：1、招标代理服务收费按差额定率累进法计算。</w:t>
      </w:r>
    </w:p>
    <w:p>
      <w:pPr>
        <w:spacing w:line="420" w:lineRule="exact"/>
        <w:ind w:firstLine="477" w:firstLineChars="198"/>
        <w:rPr>
          <w:rFonts w:ascii="宋体" w:hAnsi="宋体" w:cs="宋体"/>
          <w:b/>
          <w:color w:val="auto"/>
          <w:sz w:val="24"/>
          <w:highlight w:val="none"/>
        </w:rPr>
      </w:pPr>
    </w:p>
    <w:p>
      <w:pPr>
        <w:rPr>
          <w:rFonts w:ascii="宋体" w:hAnsi="宋体" w:cs="宋体"/>
          <w:color w:val="auto"/>
          <w:highlight w:val="none"/>
        </w:rPr>
      </w:pPr>
    </w:p>
    <w:p>
      <w:pPr>
        <w:rPr>
          <w:rFonts w:ascii="宋体" w:hAnsi="宋体"/>
          <w:color w:val="auto"/>
          <w:sz w:val="36"/>
          <w:szCs w:val="36"/>
          <w:highlight w:val="none"/>
        </w:rPr>
      </w:pPr>
      <w:r>
        <w:rPr>
          <w:rFonts w:hint="eastAsia" w:ascii="宋体" w:hAnsi="宋体"/>
          <w:color w:val="auto"/>
          <w:sz w:val="36"/>
          <w:szCs w:val="36"/>
          <w:highlight w:val="none"/>
        </w:rPr>
        <w:br w:type="page"/>
      </w:r>
    </w:p>
    <w:p>
      <w:pPr>
        <w:pStyle w:val="45"/>
        <w:spacing w:before="0" w:after="0" w:line="360" w:lineRule="auto"/>
        <w:rPr>
          <w:rFonts w:ascii="宋体" w:hAnsi="宋体"/>
          <w:color w:val="auto"/>
          <w:sz w:val="36"/>
          <w:szCs w:val="36"/>
          <w:highlight w:val="none"/>
        </w:rPr>
      </w:pPr>
      <w:bookmarkStart w:id="220" w:name="_Toc4034"/>
      <w:r>
        <w:rPr>
          <w:rFonts w:hint="eastAsia" w:ascii="宋体" w:hAnsi="宋体"/>
          <w:color w:val="auto"/>
          <w:sz w:val="36"/>
          <w:szCs w:val="36"/>
          <w:highlight w:val="none"/>
        </w:rPr>
        <w:t>第四章  合同格式</w:t>
      </w:r>
      <w:bookmarkEnd w:id="217"/>
      <w:bookmarkEnd w:id="218"/>
      <w:bookmarkEnd w:id="219"/>
      <w:bookmarkEnd w:id="220"/>
    </w:p>
    <w:p>
      <w:pPr>
        <w:widowControl/>
        <w:snapToGrid w:val="0"/>
        <w:spacing w:line="360" w:lineRule="auto"/>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招标方：缙云县人民政府新碧街道办事处（以下简称甲方）</w:t>
      </w:r>
    </w:p>
    <w:p>
      <w:pPr>
        <w:widowControl/>
        <w:snapToGrid w:val="0"/>
        <w:spacing w:line="360" w:lineRule="auto"/>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中标企业：                  （以下简称乙方）</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bCs/>
          <w:color w:val="auto"/>
          <w:kern w:val="0"/>
          <w:sz w:val="24"/>
          <w:highlight w:val="none"/>
        </w:rPr>
        <w:t>为确保缙云县新碧街道办事处环境卫生质量，更好的美化缙云县新碧街道办事处，促进环卫事业健康有序的发展。经甲方公开招标，确定乙方为中标企业，根据《中华人民共和国合同法》及采购编号</w:t>
      </w:r>
      <w:r>
        <w:rPr>
          <w:rFonts w:hint="eastAsia" w:ascii="宋体" w:hAnsi="宋体" w:cs="宋体"/>
          <w:bCs/>
          <w:color w:val="auto"/>
          <w:kern w:val="0"/>
          <w:sz w:val="24"/>
          <w:highlight w:val="none"/>
          <w:u w:val="single"/>
        </w:rPr>
        <w:t xml:space="preserve">           </w:t>
      </w:r>
      <w:r>
        <w:rPr>
          <w:rFonts w:hint="eastAsia" w:ascii="宋体" w:hAnsi="宋体" w:cs="宋体"/>
          <w:bCs/>
          <w:color w:val="auto"/>
          <w:kern w:val="0"/>
          <w:sz w:val="24"/>
          <w:highlight w:val="none"/>
        </w:rPr>
        <w:t>的采购结果，</w:t>
      </w:r>
      <w:r>
        <w:rPr>
          <w:rFonts w:hint="eastAsia" w:ascii="宋体" w:hAnsi="宋体" w:cs="宋体"/>
          <w:color w:val="auto"/>
          <w:sz w:val="24"/>
          <w:highlight w:val="none"/>
        </w:rPr>
        <w:t>为确保清扫保洁服务质量，明确甲乙双方的权利和义务，经双方协商一致，签署本道路清扫保洁服务合同。</w:t>
      </w:r>
    </w:p>
    <w:p>
      <w:pPr>
        <w:widowControl/>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一、服务期限：</w:t>
      </w:r>
    </w:p>
    <w:p>
      <w:pPr>
        <w:widowControl/>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2020年   月   日-2022年   月   日</w:t>
      </w:r>
      <w:r>
        <w:rPr>
          <w:rFonts w:hint="eastAsia" w:ascii="宋体" w:hAnsi="宋体" w:cs="宋体"/>
          <w:color w:val="auto"/>
          <w:sz w:val="24"/>
          <w:highlight w:val="none"/>
        </w:rPr>
        <w:t>。</w:t>
      </w:r>
    </w:p>
    <w:p>
      <w:pPr>
        <w:widowControl/>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二、服务范围、内容：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rPr>
        <w:t>乙方承包清扫保洁服务的路段范围为</w:t>
      </w:r>
      <w:r>
        <w:rPr>
          <w:rFonts w:hint="eastAsia" w:ascii="宋体" w:hAnsi="宋体" w:eastAsia="宋体" w:cs="宋体"/>
          <w:color w:val="auto"/>
          <w:sz w:val="24"/>
          <w:highlight w:val="none"/>
        </w:rPr>
        <w:t>:330国道供电所-高速出口两侧</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公厕3座</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碧溪路公厕，新中路公厕，碧进路公厕</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窨井疏通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清扫保洁面积约696396.5平方米，</w:t>
      </w:r>
      <w:r>
        <w:rPr>
          <w:rFonts w:hint="eastAsia" w:ascii="宋体" w:hAnsi="宋体" w:eastAsia="宋体" w:cs="宋体"/>
          <w:color w:val="auto"/>
          <w:sz w:val="24"/>
          <w:highlight w:val="none"/>
          <w:lang w:eastAsia="zh-CN"/>
        </w:rPr>
        <w:t>农村</w:t>
      </w:r>
      <w:r>
        <w:rPr>
          <w:rFonts w:hint="eastAsia" w:ascii="宋体" w:hAnsi="宋体" w:eastAsia="宋体" w:cs="宋体"/>
          <w:color w:val="auto"/>
          <w:sz w:val="24"/>
          <w:highlight w:val="none"/>
        </w:rPr>
        <w:t>垃圾清运。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2、招标文件中的数据为现有数据，合同期内路段有增减的，其路段增减部分面积保洁经费按保洁的每平方米中标平均价给予核算拨付。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kern w:val="0"/>
          <w:sz w:val="24"/>
          <w:highlight w:val="none"/>
        </w:rPr>
        <w:t>为了保证清扫保洁质量，中标企业在合同期内人员及设备的配置必须达到招标方的要求；</w:t>
      </w:r>
      <w:r>
        <w:rPr>
          <w:rFonts w:hint="eastAsia" w:ascii="宋体" w:hAnsi="宋体" w:cs="宋体"/>
          <w:color w:val="auto"/>
          <w:sz w:val="24"/>
          <w:highlight w:val="none"/>
        </w:rPr>
        <w:t>中标企业承包期运行管理中，按路段内具体情况必须配备一定数量的设备，费用自行承担。</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三、承包款及支付方式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乙方的清扫保洁经费大写为：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计每月为清扫保洁经费大写为：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签订后，每个月由缙云县人民政府新碧街道办事处将当月道路清扫保洁工作质量考核结果汇总，根据管理考核办法规定，按月在次月15日前支付当月的承包款；每月15日前承包者必须按招标文件及合同规定，足额发放工资、加班费及各种费用，不得拖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2、承包期不足一年的，按月计算。即：不足一年时间的费用=（全年费用/12）*实际月数。</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3、招标方提前告知中标企业当月扣除的保洁经费，中标企业按被告知的每月应得保洁经费向招标方结算，并出具有效收据。</w:t>
      </w:r>
    </w:p>
    <w:p>
      <w:pPr>
        <w:pStyle w:val="2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4、合同期满十天内根据考核结果，将余款一次结清。</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四、甲、乙双方的权利和义务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（一）甲方的职责和义务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1、甲方有权在承包合同执行期间对《缙云县新碧街道办事处环境卫生作业规范》、《</w:t>
      </w:r>
      <w:r>
        <w:rPr>
          <w:rFonts w:hint="eastAsia" w:ascii="宋体" w:hAnsi="宋体" w:cs="宋体"/>
          <w:bCs/>
          <w:color w:val="auto"/>
          <w:sz w:val="24"/>
          <w:highlight w:val="none"/>
        </w:rPr>
        <w:t>缙云县新碧街道办事处小区环境卫生作业规范》、</w:t>
      </w:r>
      <w:r>
        <w:rPr>
          <w:rFonts w:hint="eastAsia" w:ascii="宋体" w:hAnsi="宋体" w:cs="宋体"/>
          <w:color w:val="auto"/>
          <w:sz w:val="24"/>
          <w:highlight w:val="none"/>
        </w:rPr>
        <w:t>《缙云县新碧街道办事处道路保洁、小区保洁、垃圾清运、公厕保洁考核管理办法》的相关条款作出修改或增加。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2、乙方不符合服务要求的，甲方有权提出整改意见，并要求乙方按甲方的整改意见进行实施。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3、甲方对乙方聘请的作业、管理人员进行业务指导和日常监督。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4、根据考核结果，按月支付乙方的保洁经费。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5、甲方根据考核办法对乙方的服务承诺和附加服务承诺进行考核。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6、招标文件中约定的甲方其他权利和义务。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（二）乙方的职责和义务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1、乙方在承包合同执行期间应根据甲方最新的《缙云县新碧街道办事处环境卫生作业规范》、《</w:t>
      </w:r>
      <w:r>
        <w:rPr>
          <w:rFonts w:hint="eastAsia" w:ascii="宋体" w:hAnsi="宋体" w:cs="宋体"/>
          <w:bCs/>
          <w:color w:val="auto"/>
          <w:sz w:val="24"/>
          <w:highlight w:val="none"/>
        </w:rPr>
        <w:t>缙云县新碧街道办事处小区环境卫生作业规范》、</w:t>
      </w:r>
      <w:r>
        <w:rPr>
          <w:rFonts w:hint="eastAsia" w:ascii="宋体" w:hAnsi="宋体" w:cs="宋体"/>
          <w:color w:val="auto"/>
          <w:sz w:val="24"/>
          <w:highlight w:val="none"/>
        </w:rPr>
        <w:t>《缙云县新碧街道办事处道路保洁、小区保洁、垃圾清运、公厕保洁考核管理办法》执行。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2、乙方应配备</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名以上专职管理人员。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3、乙方在接到甲方紧急、特别事件和相关投诉事件需要处理时，应快速、准确、有效的处理事件，并将处理结果及时向甲方汇报。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乙方须根据《中华人民共和国劳动法》用工要求组建固定的专业清扫保洁队伍，保障环卫职工的合法权益，确保其工资不低于当地最低工资标准的110%，并为环卫工人缴纳养老保险。为确保环卫工人养老保险的正常缴纳，乙方雇佣的环卫工人健康状况须良好，男性环卫工人年龄必须在60周岁以下，女性环卫工人年龄必须在50周岁以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乙方必须做好雇佣人员安全生产工作，遵守国家法律法规；驾驶清运、管理车辆人员应按交警部门规定的准驾车型配置，乙方须为每位在职保洁人员和专职管理人员缴纳意外险；合同执行期内发生各类纠纷或事故等，由此造成的一切经济及法律责任概由乙方自行全额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6、如遇重大节日、突发事件或甲方安排的环境卫生整治活动，乙方应无条件按甲方的要求进行作业。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7、未经甲方书面同意，乙方不得将清扫保洁服务项目转包、变相转包、或分包他人经营。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8、招标文件中约定的乙方其他权利和义务。</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五、其他约定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在本合同签订之前，乙方须向甲方缴纳合同总金额5%的履约保证金。【本保证金不计息；为保障环卫工人权益，如发生乙方保洁人员的工资不及时发放等情况，甲方将从合同履约保证金中进行扣款代发；如无其他类似情况，合同期满后10个工作日内退还乙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（二）甲方因政策和其他不可抗拒因素，需要提前终止合同的，应在一个月前提前书面通知乙方，并会同乙方做好后续交接工作。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（三）乙方因经营、管理不善及其他原因，致使合同无法继续履行的，应在二个月前提前书面通知甲方；在甲方未确定新服务企业之前，应按原合同继续履行保洁服务。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（四）因人力不可抗拒因素致使乙方不能按本合同的要求进行保洁作业的，应及时向甲方汇报，征得甲方书面同意后，保洁标准予以适当调整。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（五）组成本合同的文件包括</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1、合同通用条款和专用条款（按《合同法》规定执行）；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2、甲方的采购文件和乙方的投标文件，成交通知书；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3、甲乙双方商定的其他必要文件；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上述合同文件内容互为补充，如有不明确，由甲方负责解释；以上文件与本合同有同等效力，如乙方违反合同或达不到本合同要求，由甲方按有关规定处理，并将合同履约保证金转为合同履约赔偿金。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（六）本合同如遇政府政策性变动，合同条款由甲、乙双方另行协商解决，协商后形成的书面协议，与本合同具有同等法律效力。</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六、违约责任</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（一）乙方服务标准达不到本合同要求的，甲方扣减乙方的服务费，并有权根据</w:t>
      </w:r>
      <w:r>
        <w:rPr>
          <w:rFonts w:hint="eastAsia" w:ascii="宋体" w:hAnsi="宋体" w:cs="宋体"/>
          <w:color w:val="auto"/>
          <w:kern w:val="0"/>
          <w:sz w:val="24"/>
          <w:highlight w:val="none"/>
        </w:rPr>
        <w:t>《缙云县新碧街道办事处环境卫生保洁和管理考核办法》规定单方终止乙方的服务合同，乙方不得要求甲方对其保洁服务投入予以补偿或赔偿。</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乙方擅自转包、变相转包或分包的，甲方有权单方终止合同，并没收乙方的合同履约保证金；如乙方按照整改意见进行服务，路面废弃物控制指标仍然达不到考核验收的标准，甲方可以终止合同并不予支付已提供的服务各项费用，乙方应承担由此产生的一切损失。</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七、争议的解决方式 </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sz w:val="24"/>
          <w:highlight w:val="none"/>
        </w:rPr>
        <w:t>如本合同执行过程中发生纠纷，作如下处理：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（一）甲乙双方首先通过协商解决并达成书面协议；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（二）申请仲裁，仲裁机构为甲方所在地仲裁委员会；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（三）提起诉讼，诉讼机构为甲方所在地法院。</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八、合同的修补和补充</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本合同未尽事宜，遵照招标文件中条款及双方协商解决；甲、乙双方经协商一致可对本合同的条款进行修改和补充，以书面形式签定修改或补充协议，补充协议与本合同具有同等法律效力。</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九、本合同一式肆份，甲、乙双方各执一份，</w:t>
      </w:r>
      <w:r>
        <w:rPr>
          <w:rFonts w:hint="eastAsia" w:ascii="宋体" w:hAnsi="宋体" w:cs="宋体"/>
          <w:color w:val="auto"/>
          <w:sz w:val="24"/>
          <w:highlight w:val="none"/>
        </w:rPr>
        <w:t>浙江鼎峰工程咨询有限公司、缙云县政府采购办公室各备案一份。</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十、本合同自甲、乙双方均签字盖章之日起生效。</w:t>
      </w:r>
    </w:p>
    <w:p>
      <w:pPr>
        <w:spacing w:line="360" w:lineRule="auto"/>
        <w:ind w:firstLine="480" w:firstLineChars="200"/>
        <w:rPr>
          <w:rFonts w:ascii="宋体" w:hAnsi="宋体" w:cs="宋体"/>
          <w:color w:val="auto"/>
          <w:kern w:val="0"/>
          <w:sz w:val="24"/>
          <w:highlight w:val="none"/>
        </w:rPr>
      </w:pP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甲方（盖章）：                    乙方（盖章）：</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法人代表：                        法人代表：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                            地址：</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委托代理人：                      委托代理人：</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联系电话：                        联系电话：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账号：                            账号：</w:t>
      </w:r>
    </w:p>
    <w:p>
      <w:pPr>
        <w:snapToGrid w:val="0"/>
        <w:spacing w:line="360" w:lineRule="auto"/>
        <w:ind w:firstLine="480" w:firstLineChars="200"/>
        <w:rPr>
          <w:rFonts w:ascii="宋体" w:hAnsi="宋体" w:cs="宋体"/>
          <w:color w:val="auto"/>
          <w:sz w:val="24"/>
          <w:highlight w:val="none"/>
        </w:rPr>
      </w:pPr>
      <w:bookmarkStart w:id="221" w:name="_Toc472875089"/>
      <w:r>
        <w:rPr>
          <w:rFonts w:hint="eastAsia" w:ascii="宋体" w:hAnsi="宋体" w:cs="宋体"/>
          <w:color w:val="auto"/>
          <w:sz w:val="24"/>
          <w:szCs w:val="24"/>
          <w:highlight w:val="none"/>
        </w:rPr>
        <w:t>合同签订日期：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bookmarkEnd w:id="221"/>
    </w:p>
    <w:p>
      <w:pPr>
        <w:snapToGrid w:val="0"/>
        <w:spacing w:line="480" w:lineRule="auto"/>
        <w:rPr>
          <w:color w:val="auto"/>
          <w:w w:val="200"/>
          <w:highlight w:val="none"/>
        </w:rPr>
      </w:pPr>
      <w:r>
        <w:rPr>
          <w:rFonts w:hint="eastAsia" w:eastAsia="仿宋_GB2312"/>
          <w:color w:val="auto"/>
          <w:sz w:val="24"/>
          <w:highlight w:val="none"/>
        </w:rPr>
        <w:t> </w:t>
      </w:r>
    </w:p>
    <w:p>
      <w:pPr>
        <w:pStyle w:val="45"/>
        <w:spacing w:before="0" w:after="0" w:line="360" w:lineRule="auto"/>
        <w:rPr>
          <w:rFonts w:ascii="仿宋_GB2312" w:eastAsia="仿宋_GB2312"/>
          <w:color w:val="auto"/>
          <w:sz w:val="36"/>
          <w:szCs w:val="36"/>
          <w:highlight w:val="none"/>
        </w:rPr>
        <w:sectPr>
          <w:pgSz w:w="11906" w:h="16838"/>
          <w:pgMar w:top="1440" w:right="1440" w:bottom="1440" w:left="1440" w:header="851" w:footer="851" w:gutter="0"/>
          <w:cols w:space="720" w:num="1"/>
          <w:docGrid w:linePitch="312" w:charSpace="0"/>
        </w:sectPr>
      </w:pPr>
      <w:bookmarkStart w:id="222" w:name="_Toc493956050"/>
      <w:bookmarkStart w:id="223" w:name="_Toc530551875"/>
    </w:p>
    <w:p>
      <w:pPr>
        <w:pStyle w:val="45"/>
        <w:spacing w:before="0" w:after="0" w:line="360" w:lineRule="auto"/>
        <w:rPr>
          <w:rFonts w:ascii="宋体" w:hAnsi="宋体"/>
          <w:color w:val="auto"/>
          <w:sz w:val="36"/>
          <w:szCs w:val="36"/>
          <w:highlight w:val="none"/>
        </w:rPr>
      </w:pPr>
      <w:bookmarkStart w:id="224" w:name="_Toc531359037"/>
      <w:bookmarkStart w:id="225" w:name="_Toc2237"/>
      <w:r>
        <w:rPr>
          <w:rFonts w:hint="eastAsia" w:ascii="宋体" w:hAnsi="宋体"/>
          <w:color w:val="auto"/>
          <w:sz w:val="36"/>
          <w:szCs w:val="36"/>
          <w:highlight w:val="none"/>
        </w:rPr>
        <w:t>第五章  投标文件格式</w:t>
      </w:r>
      <w:bookmarkEnd w:id="222"/>
      <w:bookmarkEnd w:id="223"/>
      <w:bookmarkEnd w:id="224"/>
      <w:bookmarkEnd w:id="225"/>
      <w:bookmarkStart w:id="226" w:name="_Toc15805942"/>
    </w:p>
    <w:p>
      <w:pPr>
        <w:pStyle w:val="45"/>
        <w:spacing w:beforeLines="100" w:afterLines="100"/>
        <w:outlineLvl w:val="1"/>
        <w:rPr>
          <w:rFonts w:ascii="宋体" w:hAnsi="宋体"/>
          <w:color w:val="auto"/>
          <w:sz w:val="44"/>
          <w:szCs w:val="44"/>
          <w:highlight w:val="none"/>
        </w:rPr>
      </w:pPr>
      <w:bookmarkStart w:id="227" w:name="_Toc493956051"/>
      <w:bookmarkStart w:id="228" w:name="_Toc530551876"/>
      <w:bookmarkStart w:id="229" w:name="_Toc531359038"/>
      <w:bookmarkStart w:id="230" w:name="_Toc20374"/>
      <w:r>
        <w:rPr>
          <w:rFonts w:hint="eastAsia" w:ascii="宋体" w:hAnsi="宋体"/>
          <w:color w:val="auto"/>
          <w:sz w:val="44"/>
          <w:szCs w:val="44"/>
          <w:highlight w:val="none"/>
        </w:rPr>
        <w:t xml:space="preserve">一 </w:t>
      </w:r>
      <w:r>
        <w:rPr>
          <w:rFonts w:ascii="宋体" w:hAnsi="宋体"/>
          <w:color w:val="auto"/>
          <w:sz w:val="44"/>
          <w:szCs w:val="44"/>
          <w:highlight w:val="none"/>
        </w:rPr>
        <w:t xml:space="preserve"> </w:t>
      </w:r>
      <w:r>
        <w:rPr>
          <w:rFonts w:hint="eastAsia" w:ascii="宋体" w:hAnsi="宋体"/>
          <w:color w:val="auto"/>
          <w:sz w:val="44"/>
          <w:szCs w:val="44"/>
          <w:highlight w:val="none"/>
        </w:rPr>
        <w:t>资格审查文件格式</w:t>
      </w:r>
      <w:bookmarkEnd w:id="227"/>
      <w:bookmarkEnd w:id="228"/>
      <w:bookmarkEnd w:id="229"/>
      <w:bookmarkEnd w:id="230"/>
    </w:p>
    <w:p>
      <w:pPr>
        <w:spacing w:line="360" w:lineRule="auto"/>
        <w:rPr>
          <w:rFonts w:ascii="仿宋_GB2312" w:eastAsia="仿宋_GB2312"/>
          <w:color w:val="auto"/>
          <w:sz w:val="24"/>
          <w:szCs w:val="24"/>
          <w:highlight w:val="none"/>
        </w:rPr>
      </w:pPr>
    </w:p>
    <w:p>
      <w:pPr>
        <w:pStyle w:val="5"/>
        <w:spacing w:before="0" w:after="0"/>
        <w:ind w:firstLine="0" w:firstLineChars="0"/>
        <w:jc w:val="left"/>
        <w:rPr>
          <w:rFonts w:ascii="宋体" w:hAnsi="宋体" w:eastAsia="宋体" w:cs="宋体"/>
          <w:color w:val="auto"/>
          <w:sz w:val="24"/>
          <w:szCs w:val="24"/>
          <w:highlight w:val="none"/>
        </w:rPr>
      </w:pPr>
      <w:bookmarkStart w:id="231" w:name="_Toc531359040"/>
      <w:bookmarkStart w:id="232" w:name="_Toc17564"/>
      <w:r>
        <w:rPr>
          <w:rFonts w:hint="eastAsia" w:ascii="宋体" w:hAnsi="宋体" w:eastAsia="宋体" w:cs="宋体"/>
          <w:color w:val="auto"/>
          <w:sz w:val="24"/>
          <w:szCs w:val="24"/>
          <w:highlight w:val="none"/>
        </w:rPr>
        <w:t>1.1    资格审查文件封面</w:t>
      </w:r>
      <w:bookmarkEnd w:id="231"/>
      <w:r>
        <w:rPr>
          <w:rFonts w:hint="eastAsia" w:ascii="宋体" w:hAnsi="宋体" w:eastAsia="宋体" w:cs="宋体"/>
          <w:color w:val="auto"/>
          <w:sz w:val="24"/>
          <w:szCs w:val="24"/>
          <w:highlight w:val="none"/>
        </w:rPr>
        <w:t>格式</w:t>
      </w:r>
      <w:bookmarkEnd w:id="232"/>
    </w:p>
    <w:p>
      <w:pPr>
        <w:pStyle w:val="6"/>
        <w:ind w:firstLine="0"/>
        <w:rPr>
          <w:rFonts w:ascii="宋体" w:hAnsi="宋体" w:cs="宋体"/>
          <w:color w:val="auto"/>
          <w:sz w:val="24"/>
          <w:szCs w:val="24"/>
          <w:highlight w:val="none"/>
        </w:rPr>
      </w:pPr>
    </w:p>
    <w:p>
      <w:pPr>
        <w:pStyle w:val="6"/>
        <w:spacing w:line="360" w:lineRule="auto"/>
        <w:ind w:firstLine="0"/>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投标文件</w:t>
      </w:r>
    </w:p>
    <w:tbl>
      <w:tblPr>
        <w:tblStyle w:val="54"/>
        <w:tblW w:w="7054" w:type="dxa"/>
        <w:jc w:val="center"/>
        <w:tblInd w:w="0" w:type="dxa"/>
        <w:tblLayout w:type="fixed"/>
        <w:tblCellMar>
          <w:top w:w="0" w:type="dxa"/>
          <w:left w:w="108" w:type="dxa"/>
          <w:bottom w:w="0" w:type="dxa"/>
          <w:right w:w="108" w:type="dxa"/>
        </w:tblCellMar>
      </w:tblPr>
      <w:tblGrid>
        <w:gridCol w:w="2518"/>
        <w:gridCol w:w="4536"/>
      </w:tblGrid>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投标文件名称：</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资格审查文件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采 购 编 号：</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项 目 名 称：</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标      项：</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（若有）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p>
        </w:tc>
        <w:tc>
          <w:tcPr>
            <w:tcW w:w="4536" w:type="dxa"/>
            <w:vAlign w:val="center"/>
          </w:tcPr>
          <w:p>
            <w:pPr>
              <w:jc w:val="left"/>
              <w:rPr>
                <w:rFonts w:ascii="宋体" w:hAnsi="宋体" w:cs="宋体"/>
                <w:color w:val="auto"/>
                <w:sz w:val="24"/>
                <w:szCs w:val="24"/>
                <w:highlight w:val="none"/>
              </w:rPr>
            </w:pP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投标人全称（盖章）：</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s="宋体"/>
                <w:color w:val="auto"/>
                <w:sz w:val="24"/>
                <w:szCs w:val="24"/>
                <w:highlight w:val="none"/>
              </w:rPr>
            </w:pPr>
            <w:r>
              <w:rPr>
                <w:rFonts w:hint="eastAsia" w:ascii="宋体" w:hAnsi="宋体" w:cs="宋体"/>
                <w:color w:val="auto"/>
                <w:sz w:val="24"/>
                <w:szCs w:val="24"/>
                <w:highlight w:val="none"/>
              </w:rPr>
              <w:t>投标人地址：</w:t>
            </w:r>
          </w:p>
        </w:tc>
        <w:tc>
          <w:tcPr>
            <w:tcW w:w="4536"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宋体" w:hAnsi="宋体" w:cs="宋体"/>
                <w:color w:val="auto"/>
                <w:sz w:val="24"/>
                <w:szCs w:val="24"/>
                <w:highlight w:val="none"/>
                <w:u w:val="single"/>
              </w:rPr>
            </w:pP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年  月  日</w:t>
            </w:r>
          </w:p>
        </w:tc>
      </w:tr>
    </w:tbl>
    <w:p>
      <w:pPr>
        <w:rPr>
          <w:rFonts w:ascii="宋体" w:hAnsi="宋体"/>
          <w:color w:val="auto"/>
          <w:highlight w:val="none"/>
        </w:rPr>
      </w:pPr>
      <w:bookmarkStart w:id="233" w:name="_Toc531359041"/>
      <w:bookmarkStart w:id="234" w:name="_Toc493956052"/>
      <w:bookmarkStart w:id="235" w:name="_Toc523398524"/>
      <w:bookmarkStart w:id="236" w:name="_Toc493956053"/>
      <w:bookmarkStart w:id="237" w:name="_Toc530551878"/>
    </w:p>
    <w:p>
      <w:pPr>
        <w:rPr>
          <w:color w:val="auto"/>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238" w:name="_Toc11275"/>
      <w:r>
        <w:rPr>
          <w:rFonts w:ascii="宋体" w:hAnsi="宋体" w:eastAsia="宋体"/>
          <w:color w:val="auto"/>
          <w:sz w:val="24"/>
          <w:szCs w:val="24"/>
          <w:highlight w:val="none"/>
        </w:rPr>
        <w:t>1.</w:t>
      </w:r>
      <w:r>
        <w:rPr>
          <w:rFonts w:hint="eastAsia" w:ascii="宋体" w:hAnsi="宋体" w:eastAsia="宋体"/>
          <w:color w:val="auto"/>
          <w:sz w:val="24"/>
          <w:szCs w:val="24"/>
          <w:highlight w:val="none"/>
        </w:rPr>
        <w:t>2</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资格</w:t>
      </w:r>
      <w:r>
        <w:rPr>
          <w:rFonts w:ascii="宋体" w:hAnsi="宋体" w:eastAsia="宋体"/>
          <w:color w:val="auto"/>
          <w:sz w:val="24"/>
          <w:szCs w:val="24"/>
          <w:highlight w:val="none"/>
        </w:rPr>
        <w:t>审查文件目录</w:t>
      </w:r>
      <w:bookmarkEnd w:id="233"/>
      <w:bookmarkEnd w:id="238"/>
    </w:p>
    <w:p>
      <w:pPr>
        <w:pStyle w:val="6"/>
        <w:ind w:firstLine="0"/>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spacing w:line="360" w:lineRule="auto"/>
        <w:ind w:firstLine="0"/>
        <w:jc w:val="left"/>
        <w:rPr>
          <w:rFonts w:ascii="宋体" w:hAnsi="宋体"/>
          <w:color w:val="auto"/>
          <w:sz w:val="24"/>
          <w:szCs w:val="24"/>
          <w:highlight w:val="none"/>
        </w:rPr>
      </w:pPr>
    </w:p>
    <w:p>
      <w:pPr>
        <w:pStyle w:val="6"/>
        <w:spacing w:line="360" w:lineRule="auto"/>
        <w:ind w:firstLine="0"/>
        <w:jc w:val="left"/>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39" w:name="_Toc531359042"/>
      <w:bookmarkStart w:id="240" w:name="_Toc30886"/>
      <w:r>
        <w:rPr>
          <w:rFonts w:ascii="宋体" w:hAnsi="宋体" w:eastAsia="宋体"/>
          <w:color w:val="auto"/>
          <w:sz w:val="24"/>
          <w:szCs w:val="24"/>
          <w:highlight w:val="none"/>
        </w:rPr>
        <w:t>1.</w:t>
      </w:r>
      <w:r>
        <w:rPr>
          <w:rFonts w:hint="eastAsia" w:ascii="宋体" w:hAnsi="宋体" w:eastAsia="宋体"/>
          <w:color w:val="auto"/>
          <w:sz w:val="24"/>
          <w:szCs w:val="24"/>
          <w:highlight w:val="none"/>
        </w:rPr>
        <w:t xml:space="preserve">3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有效营业执照复印件</w:t>
      </w:r>
      <w:bookmarkEnd w:id="234"/>
      <w:bookmarkEnd w:id="235"/>
      <w:bookmarkEnd w:id="239"/>
      <w:bookmarkEnd w:id="240"/>
    </w:p>
    <w:p>
      <w:pPr>
        <w:pStyle w:val="6"/>
        <w:ind w:firstLine="0"/>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内容要求：</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1、须</w:t>
      </w:r>
      <w:r>
        <w:rPr>
          <w:rFonts w:ascii="宋体" w:hAnsi="宋体"/>
          <w:color w:val="auto"/>
          <w:sz w:val="24"/>
          <w:szCs w:val="24"/>
          <w:highlight w:val="none"/>
        </w:rPr>
        <w:t>有效的营业执照复印件；</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41" w:name="_Toc531359043"/>
      <w:bookmarkStart w:id="242" w:name="_Toc18127"/>
      <w:r>
        <w:rPr>
          <w:rFonts w:ascii="宋体" w:hAnsi="宋体" w:eastAsia="宋体"/>
          <w:color w:val="auto"/>
          <w:sz w:val="24"/>
          <w:szCs w:val="24"/>
          <w:highlight w:val="none"/>
        </w:rPr>
        <w:t>1.</w:t>
      </w:r>
      <w:bookmarkEnd w:id="236"/>
      <w:bookmarkEnd w:id="237"/>
      <w:r>
        <w:rPr>
          <w:rFonts w:hint="eastAsia" w:ascii="宋体" w:hAnsi="宋体" w:eastAsia="宋体"/>
          <w:color w:val="auto"/>
          <w:sz w:val="24"/>
          <w:szCs w:val="24"/>
          <w:highlight w:val="none"/>
        </w:rPr>
        <w:t xml:space="preserve">4 </w:t>
      </w:r>
      <w:r>
        <w:rPr>
          <w:rFonts w:ascii="宋体" w:hAnsi="宋体" w:eastAsia="宋体"/>
          <w:color w:val="auto"/>
          <w:sz w:val="24"/>
          <w:szCs w:val="24"/>
          <w:highlight w:val="none"/>
        </w:rPr>
        <w:t xml:space="preserve">   负责人</w:t>
      </w:r>
      <w:r>
        <w:rPr>
          <w:rFonts w:hint="eastAsia" w:ascii="宋体" w:hAnsi="宋体" w:eastAsia="宋体"/>
          <w:color w:val="auto"/>
          <w:sz w:val="24"/>
          <w:szCs w:val="24"/>
          <w:highlight w:val="none"/>
        </w:rPr>
        <w:t>身份</w:t>
      </w:r>
      <w:r>
        <w:rPr>
          <w:rFonts w:ascii="宋体" w:hAnsi="宋体" w:eastAsia="宋体"/>
          <w:color w:val="auto"/>
          <w:sz w:val="24"/>
          <w:szCs w:val="24"/>
          <w:highlight w:val="none"/>
        </w:rPr>
        <w:t>证复印件</w:t>
      </w:r>
      <w:bookmarkEnd w:id="241"/>
      <w:bookmarkEnd w:id="242"/>
    </w:p>
    <w:p>
      <w:pPr>
        <w:pStyle w:val="6"/>
        <w:ind w:firstLine="0"/>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内容要求</w:t>
      </w:r>
      <w:r>
        <w:rPr>
          <w:rFonts w:ascii="宋体" w:hAnsi="宋体"/>
          <w:color w:val="auto"/>
          <w:sz w:val="24"/>
          <w:szCs w:val="24"/>
          <w:highlight w:val="none"/>
        </w:rPr>
        <w:t>：</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负责人身份证</w:t>
      </w:r>
      <w:r>
        <w:rPr>
          <w:rFonts w:hint="eastAsia" w:ascii="宋体" w:hAnsi="宋体"/>
          <w:color w:val="auto"/>
          <w:sz w:val="24"/>
          <w:szCs w:val="24"/>
          <w:highlight w:val="none"/>
        </w:rPr>
        <w:t>正、反</w:t>
      </w:r>
      <w:r>
        <w:rPr>
          <w:rFonts w:ascii="宋体" w:hAnsi="宋体"/>
          <w:color w:val="auto"/>
          <w:sz w:val="24"/>
          <w:szCs w:val="24"/>
          <w:highlight w:val="none"/>
        </w:rPr>
        <w:t>面复印件</w:t>
      </w:r>
      <w:r>
        <w:rPr>
          <w:rFonts w:hint="eastAsia" w:ascii="宋体" w:hAnsi="宋体"/>
          <w:color w:val="auto"/>
          <w:sz w:val="24"/>
          <w:szCs w:val="24"/>
          <w:highlight w:val="none"/>
        </w:rPr>
        <w:t>；</w:t>
      </w:r>
    </w:p>
    <w:p>
      <w:pPr>
        <w:spacing w:line="360" w:lineRule="auto"/>
        <w:ind w:firstLine="482" w:firstLineChars="200"/>
        <w:rPr>
          <w:rFonts w:ascii="仿宋_GB2312" w:eastAsia="仿宋_GB2312"/>
          <w:b/>
          <w:color w:val="auto"/>
          <w:sz w:val="24"/>
          <w:szCs w:val="24"/>
          <w:highlight w:val="none"/>
        </w:rPr>
      </w:pPr>
      <w:r>
        <w:rPr>
          <w:rFonts w:ascii="宋体" w:hAnsi="宋体"/>
          <w:b/>
          <w:color w:val="auto"/>
          <w:sz w:val="24"/>
          <w:szCs w:val="24"/>
          <w:highlight w:val="none"/>
        </w:rPr>
        <w:t>2</w:t>
      </w:r>
      <w:r>
        <w:rPr>
          <w:rFonts w:hint="eastAsia" w:ascii="宋体" w:hAnsi="宋体"/>
          <w:b/>
          <w:color w:val="auto"/>
          <w:sz w:val="24"/>
          <w:szCs w:val="24"/>
          <w:highlight w:val="none"/>
        </w:rPr>
        <w:t>、若有委托代理人的，则还应当提供授权委托书及委托代理人的身份证复印件。</w:t>
      </w:r>
    </w:p>
    <w:p>
      <w:pPr>
        <w:spacing w:line="360" w:lineRule="auto"/>
        <w:ind w:firstLine="480" w:firstLineChars="200"/>
        <w:rPr>
          <w:rFonts w:ascii="仿宋_GB2312" w:eastAsia="仿宋_GB2312"/>
          <w:color w:val="auto"/>
          <w:sz w:val="24"/>
          <w:highlight w:val="none"/>
        </w:rPr>
      </w:pPr>
    </w:p>
    <w:p>
      <w:pPr>
        <w:pStyle w:val="6"/>
        <w:rPr>
          <w:color w:val="auto"/>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243" w:name="_Toc531359044"/>
      <w:bookmarkStart w:id="244" w:name="_Toc19030"/>
      <w:r>
        <w:rPr>
          <w:rFonts w:ascii="宋体" w:hAnsi="宋体" w:eastAsia="宋体"/>
          <w:color w:val="auto"/>
          <w:sz w:val="24"/>
          <w:szCs w:val="24"/>
          <w:highlight w:val="none"/>
        </w:rPr>
        <w:t>1.</w:t>
      </w:r>
      <w:r>
        <w:rPr>
          <w:rFonts w:hint="eastAsia" w:ascii="宋体" w:hAnsi="宋体" w:eastAsia="宋体"/>
          <w:color w:val="auto"/>
          <w:sz w:val="24"/>
          <w:szCs w:val="24"/>
          <w:highlight w:val="none"/>
        </w:rPr>
        <w:t xml:space="preserve">5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授权委托书</w:t>
      </w:r>
      <w:bookmarkEnd w:id="243"/>
      <w:r>
        <w:rPr>
          <w:rFonts w:hint="eastAsia" w:ascii="宋体" w:hAnsi="宋体" w:eastAsia="宋体"/>
          <w:color w:val="auto"/>
          <w:sz w:val="24"/>
          <w:szCs w:val="24"/>
          <w:highlight w:val="none"/>
        </w:rPr>
        <w:t>格式</w:t>
      </w:r>
      <w:bookmarkEnd w:id="244"/>
    </w:p>
    <w:p>
      <w:pPr>
        <w:pStyle w:val="6"/>
        <w:ind w:firstLine="0"/>
        <w:rPr>
          <w:color w:val="auto"/>
          <w:highlight w:val="none"/>
        </w:rPr>
      </w:pPr>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授权委托书</w:t>
      </w:r>
    </w:p>
    <w:p>
      <w:pPr>
        <w:pStyle w:val="214"/>
        <w:spacing w:line="360" w:lineRule="auto"/>
        <w:rPr>
          <w:rFonts w:ascii="宋体" w:hAnsi="宋体"/>
          <w:b/>
          <w:color w:val="auto"/>
          <w:sz w:val="24"/>
          <w:highlight w:val="none"/>
        </w:rPr>
      </w:pPr>
      <w:r>
        <w:rPr>
          <w:rFonts w:hint="eastAsia" w:ascii="宋体" w:hAnsi="宋体"/>
          <w:color w:val="auto"/>
          <w:sz w:val="24"/>
          <w:highlight w:val="none"/>
          <w:u w:val="single"/>
        </w:rPr>
        <w:t>（采购</w:t>
      </w:r>
      <w:r>
        <w:rPr>
          <w:rFonts w:ascii="宋体" w:hAnsi="宋体"/>
          <w:color w:val="auto"/>
          <w:sz w:val="24"/>
          <w:highlight w:val="none"/>
          <w:u w:val="single"/>
        </w:rPr>
        <w:t>代理机构名称</w:t>
      </w:r>
      <w:r>
        <w:rPr>
          <w:rFonts w:hint="eastAsia" w:ascii="宋体" w:hAnsi="宋体"/>
          <w:color w:val="auto"/>
          <w:sz w:val="24"/>
          <w:highlight w:val="none"/>
          <w:u w:val="single"/>
        </w:rPr>
        <w:t>）</w:t>
      </w:r>
      <w:r>
        <w:rPr>
          <w:rFonts w:hint="eastAsia" w:ascii="宋体" w:hAnsi="宋体"/>
          <w:color w:val="auto"/>
          <w:sz w:val="24"/>
          <w:highlight w:val="none"/>
        </w:rPr>
        <w:t>：</w:t>
      </w:r>
    </w:p>
    <w:p>
      <w:pPr>
        <w:pStyle w:val="214"/>
        <w:autoSpaceDE w:val="0"/>
        <w:autoSpaceDN w:val="0"/>
        <w:spacing w:line="360" w:lineRule="auto"/>
        <w:textAlignment w:val="bottom"/>
        <w:rPr>
          <w:rFonts w:ascii="宋体" w:hAnsi="宋体"/>
          <w:color w:val="auto"/>
          <w:sz w:val="24"/>
          <w:highlight w:val="none"/>
        </w:rPr>
      </w:pPr>
      <w:r>
        <w:rPr>
          <w:rFonts w:hint="eastAsia" w:ascii="宋体" w:hAnsi="宋体"/>
          <w:color w:val="auto"/>
          <w:sz w:val="24"/>
          <w:highlight w:val="none"/>
        </w:rPr>
        <w:t xml:space="preserve">     我</w:t>
      </w:r>
      <w:r>
        <w:rPr>
          <w:rFonts w:hint="eastAsia" w:ascii="宋体" w:hAnsi="宋体"/>
          <w:color w:val="auto"/>
          <w:sz w:val="24"/>
          <w:highlight w:val="none"/>
          <w:u w:val="single"/>
        </w:rPr>
        <w:t xml:space="preserve"> 法定</w:t>
      </w:r>
      <w:r>
        <w:rPr>
          <w:rFonts w:ascii="宋体" w:hAnsi="宋体"/>
          <w:color w:val="auto"/>
          <w:sz w:val="24"/>
          <w:highlight w:val="none"/>
          <w:u w:val="single"/>
        </w:rPr>
        <w:t>代表人</w:t>
      </w:r>
      <w:r>
        <w:rPr>
          <w:rFonts w:hint="eastAsia" w:ascii="宋体" w:hAnsi="宋体"/>
          <w:color w:val="auto"/>
          <w:sz w:val="24"/>
          <w:highlight w:val="none"/>
          <w:u w:val="single"/>
        </w:rPr>
        <w:t>（</w:t>
      </w:r>
      <w:r>
        <w:rPr>
          <w:rFonts w:ascii="宋体" w:hAnsi="宋体"/>
          <w:color w:val="auto"/>
          <w:sz w:val="24"/>
          <w:highlight w:val="none"/>
          <w:u w:val="single"/>
        </w:rPr>
        <w:t>负责人</w:t>
      </w:r>
      <w:r>
        <w:rPr>
          <w:rFonts w:hint="eastAsia" w:ascii="宋体" w:hAnsi="宋体"/>
          <w:color w:val="auto"/>
          <w:sz w:val="24"/>
          <w:highlight w:val="none"/>
          <w:u w:val="single"/>
        </w:rPr>
        <w:t>）</w:t>
      </w:r>
      <w:r>
        <w:rPr>
          <w:rFonts w:hint="eastAsia" w:ascii="宋体" w:hAnsi="宋体"/>
          <w:color w:val="auto"/>
          <w:sz w:val="24"/>
          <w:highlight w:val="none"/>
        </w:rPr>
        <w:t>系</w:t>
      </w:r>
      <w:r>
        <w:rPr>
          <w:rFonts w:hint="eastAsia" w:ascii="宋体" w:hAnsi="宋体"/>
          <w:color w:val="auto"/>
          <w:sz w:val="24"/>
          <w:highlight w:val="none"/>
          <w:u w:val="single"/>
        </w:rPr>
        <w:t xml:space="preserve"> （投标人全称） </w:t>
      </w:r>
      <w:r>
        <w:rPr>
          <w:rFonts w:hint="eastAsia" w:ascii="宋体" w:hAnsi="宋体"/>
          <w:color w:val="auto"/>
          <w:sz w:val="24"/>
          <w:highlight w:val="none"/>
        </w:rPr>
        <w:t>的法定代表</w:t>
      </w:r>
      <w:r>
        <w:rPr>
          <w:rFonts w:ascii="宋体" w:hAnsi="宋体"/>
          <w:color w:val="auto"/>
          <w:sz w:val="24"/>
          <w:highlight w:val="none"/>
        </w:rPr>
        <w:t>人</w:t>
      </w:r>
      <w:r>
        <w:rPr>
          <w:rFonts w:hint="eastAsia" w:ascii="宋体" w:hAnsi="宋体"/>
          <w:color w:val="auto"/>
          <w:sz w:val="24"/>
          <w:highlight w:val="none"/>
        </w:rPr>
        <w:t>（或</w:t>
      </w:r>
      <w:r>
        <w:rPr>
          <w:rFonts w:ascii="宋体" w:hAnsi="宋体"/>
          <w:color w:val="auto"/>
          <w:sz w:val="24"/>
          <w:highlight w:val="none"/>
        </w:rPr>
        <w:t>负责人</w:t>
      </w:r>
      <w:r>
        <w:rPr>
          <w:rFonts w:hint="eastAsia" w:ascii="宋体" w:hAnsi="宋体"/>
          <w:color w:val="auto"/>
          <w:sz w:val="24"/>
          <w:highlight w:val="none"/>
        </w:rPr>
        <w:t>），现授权委托本单位在职职工</w:t>
      </w:r>
      <w:r>
        <w:rPr>
          <w:rFonts w:hint="eastAsia" w:ascii="宋体" w:hAnsi="宋体"/>
          <w:color w:val="auto"/>
          <w:sz w:val="24"/>
          <w:highlight w:val="none"/>
          <w:u w:val="single"/>
        </w:rPr>
        <w:t xml:space="preserve">   （姓名）  </w:t>
      </w:r>
      <w:r>
        <w:rPr>
          <w:rFonts w:hint="eastAsia" w:ascii="宋体" w:hAnsi="宋体"/>
          <w:color w:val="auto"/>
          <w:sz w:val="24"/>
          <w:highlight w:val="none"/>
        </w:rPr>
        <w:t>以我方的名义参加就贵方组织的</w:t>
      </w:r>
      <w:r>
        <w:rPr>
          <w:rFonts w:hint="eastAsia" w:ascii="宋体" w:hAnsi="宋体"/>
          <w:color w:val="auto"/>
          <w:sz w:val="24"/>
          <w:highlight w:val="none"/>
          <w:u w:val="single"/>
        </w:rPr>
        <w:t xml:space="preserve">   （</w:t>
      </w:r>
      <w:r>
        <w:rPr>
          <w:rFonts w:ascii="宋体" w:hAnsi="宋体"/>
          <w:color w:val="auto"/>
          <w:sz w:val="24"/>
          <w:highlight w:val="none"/>
          <w:u w:val="single"/>
        </w:rPr>
        <w:t>项目名称</w:t>
      </w:r>
      <w:r>
        <w:rPr>
          <w:rFonts w:hint="eastAsia" w:ascii="宋体" w:hAnsi="宋体"/>
          <w:color w:val="auto"/>
          <w:sz w:val="24"/>
          <w:highlight w:val="none"/>
          <w:u w:val="single"/>
        </w:rPr>
        <w:t xml:space="preserve">）（项目编号）（标项） </w:t>
      </w:r>
      <w:r>
        <w:rPr>
          <w:rFonts w:hint="eastAsia" w:ascii="宋体" w:hAnsi="宋体"/>
          <w:color w:val="auto"/>
          <w:sz w:val="24"/>
          <w:highlight w:val="none"/>
        </w:rPr>
        <w:t>的投标活动，并代表我方全权办理针对上述项目的投标、开标、评审、签约等具体事务和签署相关文件。</w:t>
      </w:r>
    </w:p>
    <w:p>
      <w:pPr>
        <w:pStyle w:val="214"/>
        <w:autoSpaceDE w:val="0"/>
        <w:autoSpaceDN w:val="0"/>
        <w:spacing w:line="360" w:lineRule="auto"/>
        <w:textAlignment w:val="bottom"/>
        <w:rPr>
          <w:rFonts w:ascii="宋体" w:hAnsi="宋体"/>
          <w:color w:val="auto"/>
          <w:sz w:val="24"/>
          <w:highlight w:val="none"/>
        </w:rPr>
      </w:pPr>
      <w:r>
        <w:rPr>
          <w:rFonts w:hint="eastAsia" w:ascii="宋体" w:hAnsi="宋体"/>
          <w:color w:val="auto"/>
          <w:sz w:val="24"/>
          <w:highlight w:val="none"/>
        </w:rPr>
        <w:t xml:space="preserve">    我方对委托代理人的签字或盖章事项负全部责任。</w:t>
      </w:r>
    </w:p>
    <w:p>
      <w:pPr>
        <w:pStyle w:val="214"/>
        <w:spacing w:line="360" w:lineRule="auto"/>
        <w:ind w:firstLine="480"/>
        <w:rPr>
          <w:rFonts w:ascii="宋体" w:hAnsi="宋体"/>
          <w:color w:val="auto"/>
          <w:sz w:val="24"/>
          <w:highlight w:val="none"/>
        </w:rPr>
      </w:pPr>
      <w:r>
        <w:rPr>
          <w:rFonts w:hint="eastAsia" w:ascii="宋体" w:hAnsi="宋体"/>
          <w:color w:val="auto"/>
          <w:sz w:val="24"/>
          <w:highlight w:val="none"/>
        </w:rPr>
        <w:t>本授权书自签署之日起生效，在撤销授权的书面通知送达贵方以前，本授权委托书一直有效。委托代理人在授权书有效期内签署的所有文件不因授权的撤销而失效。</w:t>
      </w:r>
    </w:p>
    <w:p>
      <w:pPr>
        <w:pStyle w:val="214"/>
        <w:spacing w:line="360" w:lineRule="auto"/>
        <w:ind w:firstLine="480"/>
        <w:rPr>
          <w:rFonts w:ascii="宋体" w:hAnsi="宋体"/>
          <w:color w:val="auto"/>
          <w:sz w:val="24"/>
          <w:highlight w:val="none"/>
        </w:rPr>
      </w:pPr>
      <w:r>
        <w:rPr>
          <w:rFonts w:hint="eastAsia" w:ascii="宋体" w:hAnsi="宋体"/>
          <w:color w:val="auto"/>
          <w:sz w:val="24"/>
          <w:highlight w:val="none"/>
        </w:rPr>
        <w:t>委托代理人无转委托权，特此声明。</w:t>
      </w:r>
    </w:p>
    <w:p>
      <w:pPr>
        <w:pStyle w:val="214"/>
        <w:spacing w:line="360" w:lineRule="auto"/>
        <w:ind w:firstLine="480"/>
        <w:rPr>
          <w:rFonts w:ascii="宋体" w:hAnsi="宋体"/>
          <w:color w:val="auto"/>
          <w:sz w:val="24"/>
          <w:highlight w:val="none"/>
        </w:rPr>
      </w:pPr>
    </w:p>
    <w:p>
      <w:pPr>
        <w:pStyle w:val="214"/>
        <w:spacing w:line="360" w:lineRule="auto"/>
        <w:ind w:firstLine="480"/>
        <w:rPr>
          <w:rFonts w:ascii="宋体" w:hAnsi="宋体"/>
          <w:color w:val="auto"/>
          <w:sz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wordWrap w:val="0"/>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440" w:lineRule="exact"/>
        <w:rPr>
          <w:rFonts w:ascii="宋体" w:hAnsi="宋体"/>
          <w:color w:val="auto"/>
          <w:sz w:val="24"/>
          <w:highlight w:val="none"/>
        </w:rPr>
      </w:pPr>
      <w:r>
        <w:rPr>
          <w:rFonts w:ascii="宋体" w:hAnsi="宋体"/>
          <w:color w:val="auto"/>
          <w:sz w:val="24"/>
          <w:highlight w:val="none"/>
        </w:rPr>
        <w:pict>
          <v:shape id="_x0000_s1026" o:spid="_x0000_s1026" o:spt="32" type="#_x0000_t32" style="position:absolute;left:0pt;margin-left:-16.5pt;margin-top:10.5pt;height:0pt;width:477.75pt;z-index:251658240;mso-width-relative:page;mso-height-relative:page;" filled="f" coordsize="21600,2160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EMLINgAAAAJAQAADwAAAAAA&#10;AAABACAAAAAiAAAAZHJzL2Rvd25yZXYueG1sUEsBAhQAFAAAAAgAh07iQKBPBwnaAQAAlgMAAA4A&#10;AAAAAAAAAQAgAAAAJwEAAGRycy9lMm9Eb2MueG1sUEsFBgAAAAAGAAYAWQEAAHMFAAAAAA==&#10;">
            <v:path arrowok="t"/>
            <v:fill on="f" focussize="0,0"/>
            <v:stroke dashstyle="longDash"/>
            <v:imagedata o:title=""/>
            <o:lock v:ext="edit"/>
          </v:shape>
        </w:pict>
      </w:r>
    </w:p>
    <w:p>
      <w:pPr>
        <w:pStyle w:val="214"/>
        <w:spacing w:line="440" w:lineRule="exact"/>
        <w:rPr>
          <w:rFonts w:ascii="宋体" w:hAnsi="宋体"/>
          <w:color w:val="auto"/>
          <w:sz w:val="24"/>
          <w:highlight w:val="none"/>
        </w:rPr>
      </w:pPr>
      <w:r>
        <w:rPr>
          <w:rFonts w:hint="eastAsia" w:ascii="宋体" w:hAnsi="宋体"/>
          <w:color w:val="auto"/>
          <w:sz w:val="24"/>
          <w:highlight w:val="none"/>
        </w:rPr>
        <w:t>附：1、委托代理人工作单位：</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职务： </w:t>
      </w:r>
    </w:p>
    <w:p>
      <w:pPr>
        <w:pStyle w:val="214"/>
        <w:spacing w:line="440" w:lineRule="exact"/>
        <w:ind w:firstLine="480"/>
        <w:rPr>
          <w:rFonts w:ascii="宋体" w:hAnsi="宋体"/>
          <w:color w:val="auto"/>
          <w:sz w:val="24"/>
          <w:highlight w:val="none"/>
        </w:rPr>
      </w:pPr>
      <w:r>
        <w:rPr>
          <w:rFonts w:hint="eastAsia" w:ascii="宋体" w:hAnsi="宋体"/>
          <w:color w:val="auto"/>
          <w:sz w:val="24"/>
          <w:highlight w:val="none"/>
        </w:rPr>
        <w:t xml:space="preserve">   身份证号码：　　　　　　　　　　   性别： </w:t>
      </w:r>
    </w:p>
    <w:p>
      <w:pPr>
        <w:pStyle w:val="214"/>
        <w:spacing w:line="440" w:lineRule="exact"/>
        <w:ind w:firstLine="480"/>
        <w:rPr>
          <w:rFonts w:ascii="宋体" w:hAnsi="宋体"/>
          <w:color w:val="auto"/>
          <w:spacing w:val="20"/>
          <w:sz w:val="24"/>
          <w:highlight w:val="none"/>
          <w:u w:val="single"/>
        </w:rPr>
      </w:pPr>
      <w:r>
        <w:rPr>
          <w:rFonts w:ascii="宋体" w:hAnsi="宋体"/>
          <w:color w:val="auto"/>
          <w:sz w:val="24"/>
          <w:highlight w:val="none"/>
        </w:rPr>
        <w:t>2</w:t>
      </w:r>
      <w:r>
        <w:rPr>
          <w:rFonts w:hint="eastAsia" w:ascii="宋体" w:hAnsi="宋体"/>
          <w:color w:val="auto"/>
          <w:sz w:val="24"/>
          <w:highlight w:val="none"/>
        </w:rPr>
        <w:t>、附</w:t>
      </w:r>
      <w:r>
        <w:rPr>
          <w:rFonts w:hint="eastAsia" w:ascii="宋体" w:hAnsi="宋体"/>
          <w:bCs/>
          <w:color w:val="auto"/>
          <w:sz w:val="24"/>
          <w:highlight w:val="none"/>
        </w:rPr>
        <w:t>委托代理人身份证正</w:t>
      </w:r>
      <w:r>
        <w:rPr>
          <w:rFonts w:ascii="宋体" w:hAnsi="宋体"/>
          <w:bCs/>
          <w:color w:val="auto"/>
          <w:sz w:val="24"/>
          <w:highlight w:val="none"/>
        </w:rPr>
        <w:t>、反面复印件</w:t>
      </w:r>
      <w:r>
        <w:rPr>
          <w:rFonts w:hint="eastAsia" w:ascii="宋体" w:hAnsi="宋体"/>
          <w:bCs/>
          <w:color w:val="auto"/>
          <w:sz w:val="24"/>
          <w:highlight w:val="none"/>
        </w:rPr>
        <w:t>：</w:t>
      </w:r>
    </w:p>
    <w:tbl>
      <w:tblPr>
        <w:tblStyle w:val="54"/>
        <w:tblW w:w="9242" w:type="dxa"/>
        <w:tblInd w:w="0" w:type="dxa"/>
        <w:tblLayout w:type="fixed"/>
        <w:tblCellMar>
          <w:top w:w="0" w:type="dxa"/>
          <w:left w:w="108" w:type="dxa"/>
          <w:bottom w:w="0" w:type="dxa"/>
          <w:right w:w="108" w:type="dxa"/>
        </w:tblCellMar>
      </w:tblPr>
      <w:tblGrid>
        <w:gridCol w:w="4621"/>
        <w:gridCol w:w="4621"/>
      </w:tblGrid>
      <w:tr>
        <w:tblPrEx>
          <w:tblLayout w:type="fixed"/>
          <w:tblCellMar>
            <w:top w:w="0" w:type="dxa"/>
            <w:left w:w="108" w:type="dxa"/>
            <w:bottom w:w="0" w:type="dxa"/>
            <w:right w:w="108" w:type="dxa"/>
          </w:tblCellMar>
        </w:tblPrEx>
        <w:trPr>
          <w:trHeight w:val="2733" w:hRule="atLeast"/>
        </w:trPr>
        <w:tc>
          <w:tcPr>
            <w:tcW w:w="4621" w:type="dxa"/>
          </w:tcPr>
          <w:p>
            <w:pPr>
              <w:pStyle w:val="214"/>
              <w:spacing w:line="440" w:lineRule="exact"/>
              <w:rPr>
                <w:rFonts w:ascii="宋体" w:hAnsi="宋体"/>
                <w:color w:val="auto"/>
                <w:spacing w:val="20"/>
                <w:sz w:val="24"/>
                <w:highlight w:val="none"/>
              </w:rPr>
            </w:pPr>
          </w:p>
        </w:tc>
        <w:tc>
          <w:tcPr>
            <w:tcW w:w="4621" w:type="dxa"/>
          </w:tcPr>
          <w:p>
            <w:pPr>
              <w:pStyle w:val="214"/>
              <w:spacing w:line="440" w:lineRule="exact"/>
              <w:rPr>
                <w:rFonts w:ascii="宋体" w:hAnsi="宋体"/>
                <w:color w:val="auto"/>
                <w:spacing w:val="20"/>
                <w:sz w:val="24"/>
                <w:highlight w:val="none"/>
                <w:u w:val="single"/>
              </w:rPr>
            </w:pPr>
          </w:p>
        </w:tc>
      </w:tr>
    </w:tbl>
    <w:p>
      <w:pPr>
        <w:pStyle w:val="214"/>
        <w:ind w:left="587" w:leftChars="50" w:hanging="482" w:hangingChars="200"/>
        <w:rPr>
          <w:rFonts w:ascii="宋体" w:hAnsi="宋体"/>
          <w:color w:val="auto"/>
          <w:sz w:val="24"/>
          <w:highlight w:val="none"/>
        </w:rPr>
      </w:pPr>
      <w:r>
        <w:rPr>
          <w:rFonts w:hint="eastAsia" w:ascii="宋体" w:hAnsi="宋体"/>
          <w:b/>
          <w:color w:val="auto"/>
          <w:sz w:val="24"/>
          <w:highlight w:val="none"/>
        </w:rPr>
        <w:t>注：</w:t>
      </w:r>
      <w:r>
        <w:rPr>
          <w:rFonts w:hint="eastAsia" w:ascii="宋体" w:hAnsi="宋体"/>
          <w:color w:val="auto"/>
          <w:sz w:val="24"/>
          <w:highlight w:val="none"/>
        </w:rPr>
        <w:t>1.</w:t>
      </w:r>
      <w:r>
        <w:rPr>
          <w:rFonts w:ascii="宋体" w:hAnsi="宋体"/>
          <w:color w:val="auto"/>
          <w:sz w:val="24"/>
          <w:highlight w:val="none"/>
        </w:rPr>
        <w:t xml:space="preserve"> </w:t>
      </w:r>
      <w:r>
        <w:rPr>
          <w:rFonts w:hint="eastAsia" w:ascii="宋体" w:hAnsi="宋体"/>
          <w:color w:val="auto"/>
          <w:sz w:val="24"/>
          <w:highlight w:val="none"/>
        </w:rPr>
        <w:t>投标人为法人企业的，其负责人为其法定代表人；投标人为其他组织的，其负责人为</w:t>
      </w:r>
      <w:r>
        <w:rPr>
          <w:rFonts w:ascii="宋体" w:hAnsi="宋体"/>
          <w:color w:val="auto"/>
          <w:sz w:val="24"/>
          <w:highlight w:val="none"/>
        </w:rPr>
        <w:t>法律、行政法规规定代表单位行使职权的主要负责人</w:t>
      </w:r>
      <w:r>
        <w:rPr>
          <w:rFonts w:hint="eastAsia" w:ascii="宋体" w:hAnsi="宋体"/>
          <w:color w:val="auto"/>
          <w:sz w:val="24"/>
          <w:highlight w:val="none"/>
        </w:rPr>
        <w:t>；投标人为自然人的，其负责人为自然人本人。</w:t>
      </w:r>
    </w:p>
    <w:p>
      <w:pPr>
        <w:pStyle w:val="214"/>
        <w:ind w:left="585" w:leftChars="50" w:hanging="480" w:hangingChars="200"/>
        <w:rPr>
          <w:rFonts w:ascii="宋体" w:hAnsi="宋体"/>
          <w:color w:val="auto"/>
          <w:sz w:val="24"/>
          <w:highlight w:val="none"/>
        </w:rPr>
      </w:pPr>
      <w:r>
        <w:rPr>
          <w:rFonts w:hint="eastAsia" w:ascii="宋体" w:hAnsi="宋体"/>
          <w:color w:val="auto"/>
          <w:sz w:val="24"/>
          <w:highlight w:val="none"/>
        </w:rPr>
        <w:t xml:space="preserve">    2.</w:t>
      </w:r>
      <w:r>
        <w:rPr>
          <w:rFonts w:ascii="宋体" w:hAnsi="宋体"/>
          <w:color w:val="auto"/>
          <w:sz w:val="24"/>
          <w:highlight w:val="none"/>
        </w:rPr>
        <w:t xml:space="preserve"> </w:t>
      </w:r>
      <w:r>
        <w:rPr>
          <w:rFonts w:hint="eastAsia" w:ascii="宋体" w:hAnsi="宋体"/>
          <w:color w:val="auto"/>
          <w:sz w:val="24"/>
          <w:highlight w:val="none"/>
        </w:rPr>
        <w:t>若</w:t>
      </w:r>
      <w:r>
        <w:rPr>
          <w:rFonts w:ascii="宋体" w:hAnsi="宋体"/>
          <w:color w:val="auto"/>
          <w:sz w:val="24"/>
          <w:highlight w:val="none"/>
        </w:rPr>
        <w:t>是</w:t>
      </w:r>
      <w:r>
        <w:rPr>
          <w:rFonts w:hint="eastAsia" w:ascii="宋体" w:hAnsi="宋体"/>
          <w:color w:val="auto"/>
          <w:sz w:val="24"/>
          <w:highlight w:val="none"/>
        </w:rPr>
        <w:t>负责人参会</w:t>
      </w:r>
      <w:r>
        <w:rPr>
          <w:rFonts w:ascii="宋体" w:hAnsi="宋体"/>
          <w:color w:val="auto"/>
          <w:sz w:val="24"/>
          <w:highlight w:val="none"/>
        </w:rPr>
        <w:t>的，</w:t>
      </w:r>
      <w:r>
        <w:rPr>
          <w:rFonts w:hint="eastAsia" w:ascii="宋体" w:hAnsi="宋体"/>
          <w:color w:val="auto"/>
          <w:sz w:val="24"/>
          <w:highlight w:val="none"/>
        </w:rPr>
        <w:t>不</w:t>
      </w:r>
      <w:r>
        <w:rPr>
          <w:rFonts w:ascii="宋体" w:hAnsi="宋体"/>
          <w:color w:val="auto"/>
          <w:sz w:val="24"/>
          <w:highlight w:val="none"/>
        </w:rPr>
        <w:t>需要提供</w:t>
      </w:r>
      <w:r>
        <w:rPr>
          <w:rFonts w:hint="eastAsia" w:ascii="宋体" w:hAnsi="宋体"/>
          <w:color w:val="auto"/>
          <w:sz w:val="24"/>
          <w:highlight w:val="none"/>
        </w:rPr>
        <w:t>此授权</w:t>
      </w:r>
      <w:r>
        <w:rPr>
          <w:rFonts w:ascii="宋体" w:hAnsi="宋体"/>
          <w:color w:val="auto"/>
          <w:sz w:val="24"/>
          <w:highlight w:val="none"/>
        </w:rPr>
        <w:t>委托书。</w:t>
      </w:r>
    </w:p>
    <w:p>
      <w:pPr>
        <w:rPr>
          <w:color w:val="auto"/>
          <w:sz w:val="24"/>
          <w:szCs w:val="24"/>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245" w:name="_Toc531359045"/>
      <w:bookmarkStart w:id="246" w:name="_Toc493956054"/>
      <w:bookmarkStart w:id="247" w:name="_Toc530551879"/>
      <w:bookmarkStart w:id="248" w:name="_Toc6120"/>
      <w:r>
        <w:rPr>
          <w:rFonts w:ascii="宋体" w:hAnsi="宋体" w:eastAsia="宋体"/>
          <w:color w:val="auto"/>
          <w:sz w:val="24"/>
          <w:szCs w:val="24"/>
          <w:highlight w:val="none"/>
        </w:rPr>
        <w:t>1.</w:t>
      </w:r>
      <w:r>
        <w:rPr>
          <w:rFonts w:hint="eastAsia" w:ascii="宋体" w:hAnsi="宋体" w:eastAsia="宋体"/>
          <w:color w:val="auto"/>
          <w:sz w:val="24"/>
          <w:szCs w:val="24"/>
          <w:highlight w:val="none"/>
        </w:rPr>
        <w:t xml:space="preserve">6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财务状况报告</w:t>
      </w:r>
      <w:bookmarkEnd w:id="245"/>
      <w:bookmarkEnd w:id="246"/>
      <w:bookmarkEnd w:id="247"/>
      <w:bookmarkEnd w:id="248"/>
    </w:p>
    <w:p>
      <w:pPr>
        <w:pStyle w:val="6"/>
        <w:ind w:firstLine="0"/>
        <w:jc w:val="left"/>
        <w:rPr>
          <w:rFonts w:ascii="宋体" w:hAnsi="宋体"/>
          <w:color w:val="auto"/>
          <w:sz w:val="24"/>
          <w:szCs w:val="24"/>
          <w:highlight w:val="none"/>
        </w:rPr>
      </w:pPr>
    </w:p>
    <w:p>
      <w:pPr>
        <w:pStyle w:val="237"/>
        <w:spacing w:line="360" w:lineRule="auto"/>
        <w:rPr>
          <w:rFonts w:ascii="宋体" w:hAnsi="宋体"/>
          <w:bCs/>
          <w:color w:val="auto"/>
          <w:sz w:val="24"/>
          <w:szCs w:val="24"/>
          <w:highlight w:val="none"/>
        </w:rPr>
      </w:pPr>
      <w:r>
        <w:rPr>
          <w:rFonts w:hint="eastAsia" w:ascii="宋体" w:hAnsi="宋体"/>
          <w:bCs/>
          <w:color w:val="auto"/>
          <w:sz w:val="24"/>
          <w:szCs w:val="24"/>
          <w:highlight w:val="none"/>
        </w:rPr>
        <w:t>内容要求：</w:t>
      </w:r>
    </w:p>
    <w:p>
      <w:pPr>
        <w:pStyle w:val="237"/>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投标人可提供以下任一种材料作为本单位财务报告：</w:t>
      </w:r>
    </w:p>
    <w:p>
      <w:pPr>
        <w:pStyle w:val="237"/>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1、有资质的审计部门提供的近三年中，任一年度的资产负债表、利润表、现金流量表、所有者权益表及其附注（即四表一注须有审计部门盖章）；</w:t>
      </w:r>
    </w:p>
    <w:p>
      <w:pPr>
        <w:pStyle w:val="237"/>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2、有资质的审计部门提供的近三年中，</w:t>
      </w:r>
      <w:r>
        <w:rPr>
          <w:rFonts w:ascii="宋体" w:hAnsi="宋体"/>
          <w:bCs/>
          <w:color w:val="auto"/>
          <w:sz w:val="24"/>
          <w:szCs w:val="24"/>
          <w:highlight w:val="none"/>
        </w:rPr>
        <w:t>任一年度的</w:t>
      </w:r>
      <w:r>
        <w:rPr>
          <w:rFonts w:hint="eastAsia" w:ascii="宋体" w:hAnsi="宋体"/>
          <w:bCs/>
          <w:color w:val="auto"/>
          <w:sz w:val="24"/>
          <w:szCs w:val="24"/>
          <w:highlight w:val="none"/>
        </w:rPr>
        <w:t>有审计部门盖章完整的财务报告；</w:t>
      </w:r>
    </w:p>
    <w:p>
      <w:pPr>
        <w:pStyle w:val="237"/>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3、投标截止时间前三年中，任一年度银行出具的信用等级证书；</w:t>
      </w:r>
    </w:p>
    <w:p>
      <w:pPr>
        <w:pStyle w:val="237"/>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4、投标截止时间前三个月中</w:t>
      </w:r>
      <w:r>
        <w:rPr>
          <w:rFonts w:ascii="宋体" w:hAnsi="宋体"/>
          <w:bCs/>
          <w:color w:val="auto"/>
          <w:sz w:val="24"/>
          <w:szCs w:val="24"/>
          <w:highlight w:val="none"/>
        </w:rPr>
        <w:t>，</w:t>
      </w:r>
      <w:r>
        <w:rPr>
          <w:rFonts w:hint="eastAsia" w:ascii="宋体" w:hAnsi="宋体"/>
          <w:bCs/>
          <w:color w:val="auto"/>
          <w:sz w:val="24"/>
          <w:szCs w:val="24"/>
          <w:highlight w:val="none"/>
        </w:rPr>
        <w:t>任一个月内其基本账户开户银行出具的资信证明。</w:t>
      </w:r>
    </w:p>
    <w:p>
      <w:pPr>
        <w:pStyle w:val="237"/>
        <w:spacing w:line="360" w:lineRule="auto"/>
        <w:ind w:firstLine="480" w:firstLineChars="200"/>
        <w:rPr>
          <w:rFonts w:ascii="宋体" w:hAnsi="宋体"/>
          <w:color w:val="auto"/>
          <w:sz w:val="24"/>
          <w:szCs w:val="24"/>
          <w:highlight w:val="none"/>
        </w:rPr>
      </w:pPr>
      <w:bookmarkStart w:id="249" w:name="_Toc530551880"/>
      <w:bookmarkStart w:id="250" w:name="_Toc493956055"/>
    </w:p>
    <w:p>
      <w:pPr>
        <w:pStyle w:val="237"/>
        <w:spacing w:line="360" w:lineRule="auto"/>
        <w:ind w:firstLine="480" w:firstLineChars="200"/>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51" w:name="_Toc531359046"/>
      <w:bookmarkStart w:id="252" w:name="_Toc44"/>
      <w:r>
        <w:rPr>
          <w:rFonts w:ascii="宋体" w:hAnsi="宋体" w:eastAsia="宋体"/>
          <w:color w:val="auto"/>
          <w:sz w:val="24"/>
          <w:szCs w:val="24"/>
          <w:highlight w:val="none"/>
        </w:rPr>
        <w:t>1.</w:t>
      </w:r>
      <w:r>
        <w:rPr>
          <w:rFonts w:hint="eastAsia" w:ascii="宋体" w:hAnsi="宋体" w:eastAsia="宋体"/>
          <w:color w:val="auto"/>
          <w:sz w:val="24"/>
          <w:szCs w:val="24"/>
          <w:highlight w:val="none"/>
        </w:rPr>
        <w:t xml:space="preserve">7 </w:t>
      </w:r>
      <w:r>
        <w:rPr>
          <w:rFonts w:ascii="宋体" w:hAnsi="宋体" w:eastAsia="宋体"/>
          <w:color w:val="auto"/>
          <w:sz w:val="24"/>
          <w:szCs w:val="24"/>
          <w:highlight w:val="none"/>
        </w:rPr>
        <w:t xml:space="preserve">   依法缴纳税收和社会保障资金</w:t>
      </w:r>
      <w:bookmarkEnd w:id="249"/>
      <w:bookmarkEnd w:id="250"/>
      <w:bookmarkEnd w:id="251"/>
      <w:bookmarkEnd w:id="252"/>
    </w:p>
    <w:p>
      <w:pPr>
        <w:pStyle w:val="6"/>
        <w:ind w:firstLine="0"/>
        <w:rPr>
          <w:rFonts w:ascii="宋体" w:hAnsi="宋体"/>
          <w:color w:val="auto"/>
          <w:sz w:val="24"/>
          <w:szCs w:val="24"/>
          <w:highlight w:val="none"/>
        </w:rPr>
      </w:pPr>
    </w:p>
    <w:p>
      <w:pPr>
        <w:pStyle w:val="237"/>
        <w:spacing w:line="360" w:lineRule="auto"/>
        <w:rPr>
          <w:rFonts w:ascii="宋体" w:hAnsi="宋体"/>
          <w:bCs/>
          <w:color w:val="auto"/>
          <w:sz w:val="24"/>
          <w:szCs w:val="24"/>
          <w:highlight w:val="none"/>
        </w:rPr>
      </w:pPr>
      <w:r>
        <w:rPr>
          <w:rFonts w:hint="eastAsia" w:ascii="宋体" w:hAnsi="宋体"/>
          <w:bCs/>
          <w:color w:val="auto"/>
          <w:sz w:val="24"/>
          <w:szCs w:val="24"/>
          <w:highlight w:val="none"/>
        </w:rPr>
        <w:t>内容要求：</w:t>
      </w:r>
    </w:p>
    <w:p>
      <w:pPr>
        <w:spacing w:line="360" w:lineRule="auto"/>
        <w:ind w:right="-15" w:firstLine="480" w:firstLineChars="200"/>
        <w:rPr>
          <w:rFonts w:ascii="宋体" w:hAnsi="宋体"/>
          <w:color w:val="auto"/>
          <w:sz w:val="24"/>
          <w:szCs w:val="24"/>
          <w:highlight w:val="none"/>
        </w:rPr>
      </w:pPr>
      <w:r>
        <w:rPr>
          <w:rFonts w:hint="eastAsia" w:ascii="宋体" w:hAnsi="宋体"/>
          <w:color w:val="auto"/>
          <w:sz w:val="24"/>
          <w:szCs w:val="24"/>
          <w:highlight w:val="none"/>
        </w:rPr>
        <w:t>1、依法缴纳税收相关材料：</w:t>
      </w:r>
    </w:p>
    <w:p>
      <w:pPr>
        <w:pStyle w:val="241"/>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投标截止时间</w:t>
      </w:r>
      <w:r>
        <w:rPr>
          <w:rFonts w:ascii="宋体" w:hAnsi="宋体"/>
          <w:color w:val="auto"/>
          <w:sz w:val="24"/>
          <w:szCs w:val="24"/>
          <w:highlight w:val="none"/>
        </w:rPr>
        <w:t>前</w:t>
      </w:r>
      <w:r>
        <w:rPr>
          <w:rFonts w:hint="eastAsia" w:ascii="宋体" w:hAnsi="宋体"/>
          <w:color w:val="auto"/>
          <w:sz w:val="24"/>
          <w:szCs w:val="24"/>
          <w:highlight w:val="none"/>
        </w:rPr>
        <w:t>六</w:t>
      </w:r>
      <w:r>
        <w:rPr>
          <w:rFonts w:ascii="宋体" w:hAnsi="宋体"/>
          <w:color w:val="auto"/>
          <w:sz w:val="24"/>
          <w:szCs w:val="24"/>
          <w:highlight w:val="none"/>
        </w:rPr>
        <w:t>个月</w:t>
      </w:r>
      <w:r>
        <w:rPr>
          <w:rFonts w:hint="eastAsia" w:ascii="宋体" w:hAnsi="宋体"/>
          <w:color w:val="auto"/>
          <w:sz w:val="24"/>
          <w:szCs w:val="24"/>
          <w:highlight w:val="none"/>
        </w:rPr>
        <w:t>中，</w:t>
      </w:r>
      <w:r>
        <w:rPr>
          <w:rFonts w:ascii="宋体" w:hAnsi="宋体"/>
          <w:color w:val="auto"/>
          <w:sz w:val="24"/>
          <w:szCs w:val="24"/>
          <w:highlight w:val="none"/>
        </w:rPr>
        <w:t>任一月税务部门出具</w:t>
      </w:r>
      <w:r>
        <w:rPr>
          <w:rFonts w:hint="eastAsia" w:ascii="宋体" w:hAnsi="宋体"/>
          <w:color w:val="auto"/>
          <w:sz w:val="24"/>
          <w:szCs w:val="24"/>
          <w:highlight w:val="none"/>
        </w:rPr>
        <w:t>的完税证明；</w:t>
      </w:r>
    </w:p>
    <w:p>
      <w:pPr>
        <w:pStyle w:val="241"/>
        <w:spacing w:line="360" w:lineRule="auto"/>
        <w:ind w:firstLine="42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、社会</w:t>
      </w:r>
      <w:r>
        <w:rPr>
          <w:rFonts w:ascii="宋体" w:hAnsi="宋体"/>
          <w:color w:val="auto"/>
          <w:sz w:val="24"/>
          <w:szCs w:val="24"/>
          <w:highlight w:val="none"/>
        </w:rPr>
        <w:t>保障资金</w:t>
      </w:r>
      <w:r>
        <w:rPr>
          <w:rFonts w:hint="eastAsia" w:ascii="宋体" w:hAnsi="宋体"/>
          <w:color w:val="auto"/>
          <w:sz w:val="24"/>
          <w:szCs w:val="24"/>
          <w:highlight w:val="none"/>
        </w:rPr>
        <w:t>相关</w:t>
      </w:r>
      <w:r>
        <w:rPr>
          <w:rFonts w:ascii="宋体" w:hAnsi="宋体"/>
          <w:color w:val="auto"/>
          <w:sz w:val="24"/>
          <w:szCs w:val="24"/>
          <w:highlight w:val="none"/>
        </w:rPr>
        <w:t>材料：</w:t>
      </w:r>
    </w:p>
    <w:p>
      <w:pPr>
        <w:pStyle w:val="241"/>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投标截止时间前六</w:t>
      </w:r>
      <w:r>
        <w:rPr>
          <w:rFonts w:ascii="宋体" w:hAnsi="宋体"/>
          <w:color w:val="auto"/>
          <w:sz w:val="24"/>
          <w:szCs w:val="24"/>
          <w:highlight w:val="none"/>
        </w:rPr>
        <w:t>个月</w:t>
      </w:r>
      <w:r>
        <w:rPr>
          <w:rFonts w:hint="eastAsia" w:ascii="宋体" w:hAnsi="宋体"/>
          <w:color w:val="auto"/>
          <w:sz w:val="24"/>
          <w:szCs w:val="24"/>
          <w:highlight w:val="none"/>
        </w:rPr>
        <w:t>中，</w:t>
      </w:r>
      <w:r>
        <w:rPr>
          <w:rFonts w:ascii="宋体" w:hAnsi="宋体"/>
          <w:color w:val="auto"/>
          <w:sz w:val="24"/>
          <w:szCs w:val="24"/>
          <w:highlight w:val="none"/>
        </w:rPr>
        <w:t>任一月</w:t>
      </w:r>
      <w:r>
        <w:rPr>
          <w:rFonts w:hint="eastAsia" w:ascii="宋体" w:hAnsi="宋体"/>
          <w:color w:val="auto"/>
          <w:sz w:val="24"/>
          <w:szCs w:val="24"/>
          <w:highlight w:val="none"/>
        </w:rPr>
        <w:t>缴纳</w:t>
      </w:r>
      <w:r>
        <w:rPr>
          <w:rFonts w:ascii="宋体" w:hAnsi="宋体"/>
          <w:color w:val="auto"/>
          <w:sz w:val="24"/>
          <w:szCs w:val="24"/>
          <w:highlight w:val="none"/>
        </w:rPr>
        <w:t>社会保险</w:t>
      </w:r>
      <w:r>
        <w:rPr>
          <w:rFonts w:hint="eastAsia" w:ascii="宋体" w:hAnsi="宋体"/>
          <w:color w:val="auto"/>
          <w:sz w:val="24"/>
          <w:szCs w:val="24"/>
          <w:highlight w:val="none"/>
        </w:rPr>
        <w:t>的凭据</w:t>
      </w:r>
      <w:r>
        <w:rPr>
          <w:rFonts w:ascii="宋体" w:hAnsi="宋体"/>
          <w:color w:val="auto"/>
          <w:sz w:val="24"/>
          <w:szCs w:val="24"/>
          <w:highlight w:val="none"/>
        </w:rPr>
        <w:t>（</w:t>
      </w:r>
      <w:r>
        <w:rPr>
          <w:rFonts w:hint="eastAsia" w:ascii="宋体" w:hAnsi="宋体"/>
          <w:color w:val="auto"/>
          <w:sz w:val="24"/>
          <w:szCs w:val="24"/>
          <w:highlight w:val="none"/>
        </w:rPr>
        <w:t>税务</w:t>
      </w:r>
      <w:r>
        <w:rPr>
          <w:rFonts w:ascii="宋体" w:hAnsi="宋体"/>
          <w:color w:val="auto"/>
          <w:sz w:val="24"/>
          <w:szCs w:val="24"/>
          <w:highlight w:val="none"/>
        </w:rPr>
        <w:t>部门出具的</w:t>
      </w:r>
      <w:r>
        <w:rPr>
          <w:rFonts w:hint="eastAsia" w:ascii="宋体" w:hAnsi="宋体"/>
          <w:color w:val="auto"/>
          <w:sz w:val="24"/>
          <w:szCs w:val="24"/>
          <w:highlight w:val="none"/>
        </w:rPr>
        <w:t>专用</w:t>
      </w:r>
      <w:r>
        <w:rPr>
          <w:rFonts w:ascii="宋体" w:hAnsi="宋体"/>
          <w:color w:val="auto"/>
          <w:sz w:val="24"/>
          <w:szCs w:val="24"/>
          <w:highlight w:val="none"/>
        </w:rPr>
        <w:t>收据或</w:t>
      </w:r>
      <w:r>
        <w:rPr>
          <w:rFonts w:hint="eastAsia" w:ascii="宋体" w:hAnsi="宋体"/>
          <w:color w:val="auto"/>
          <w:sz w:val="24"/>
          <w:szCs w:val="24"/>
          <w:highlight w:val="none"/>
        </w:rPr>
        <w:t>社保部门</w:t>
      </w:r>
      <w:r>
        <w:rPr>
          <w:rFonts w:ascii="宋体" w:hAnsi="宋体"/>
          <w:color w:val="auto"/>
          <w:sz w:val="24"/>
          <w:szCs w:val="24"/>
          <w:highlight w:val="none"/>
        </w:rPr>
        <w:t>出具的社会保险缴纳清单）</w:t>
      </w:r>
      <w:bookmarkStart w:id="253" w:name="_Toc493956056"/>
      <w:r>
        <w:rPr>
          <w:rFonts w:hint="eastAsia" w:ascii="宋体" w:hAnsi="宋体"/>
          <w:color w:val="auto"/>
          <w:sz w:val="24"/>
          <w:szCs w:val="24"/>
          <w:highlight w:val="none"/>
        </w:rPr>
        <w:t>。</w:t>
      </w:r>
    </w:p>
    <w:p>
      <w:pPr>
        <w:pStyle w:val="6"/>
        <w:spacing w:line="360" w:lineRule="auto"/>
        <w:rPr>
          <w:rFonts w:ascii="宋体" w:hAnsi="宋体"/>
          <w:color w:val="auto"/>
          <w:sz w:val="24"/>
          <w:szCs w:val="24"/>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254" w:name="_Toc531359049"/>
      <w:bookmarkStart w:id="255" w:name="_Toc530551882"/>
      <w:bookmarkStart w:id="256" w:name="_Toc2085"/>
      <w:r>
        <w:rPr>
          <w:rFonts w:ascii="宋体" w:hAnsi="宋体" w:eastAsia="宋体"/>
          <w:color w:val="auto"/>
          <w:sz w:val="24"/>
          <w:szCs w:val="24"/>
          <w:highlight w:val="none"/>
        </w:rPr>
        <w:t>1.</w:t>
      </w:r>
      <w:r>
        <w:rPr>
          <w:rFonts w:hint="eastAsia" w:ascii="宋体" w:hAnsi="宋体" w:eastAsia="宋体"/>
          <w:color w:val="auto"/>
          <w:sz w:val="24"/>
          <w:szCs w:val="24"/>
          <w:highlight w:val="none"/>
        </w:rPr>
        <w:t xml:space="preserve">8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无重大违法记录声明书</w:t>
      </w:r>
      <w:bookmarkEnd w:id="253"/>
      <w:bookmarkEnd w:id="254"/>
      <w:bookmarkEnd w:id="255"/>
      <w:r>
        <w:rPr>
          <w:rFonts w:hint="eastAsia" w:ascii="宋体" w:hAnsi="宋体" w:eastAsia="宋体"/>
          <w:color w:val="auto"/>
          <w:sz w:val="24"/>
          <w:szCs w:val="24"/>
          <w:highlight w:val="none"/>
        </w:rPr>
        <w:t>格式</w:t>
      </w:r>
      <w:bookmarkEnd w:id="256"/>
    </w:p>
    <w:p>
      <w:pPr>
        <w:pStyle w:val="6"/>
        <w:ind w:firstLine="0"/>
        <w:rPr>
          <w:color w:val="auto"/>
          <w:highlight w:val="none"/>
        </w:rPr>
      </w:pPr>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无重大违法记录声明书</w:t>
      </w:r>
    </w:p>
    <w:p>
      <w:pPr>
        <w:pStyle w:val="228"/>
        <w:spacing w:line="360" w:lineRule="auto"/>
        <w:rPr>
          <w:rFonts w:ascii="宋体" w:hAnsi="宋体"/>
          <w:color w:val="auto"/>
          <w:spacing w:val="6"/>
          <w:sz w:val="24"/>
          <w:highlight w:val="none"/>
        </w:rPr>
      </w:pPr>
      <w:r>
        <w:rPr>
          <w:rFonts w:hint="eastAsia" w:ascii="宋体" w:hAnsi="宋体"/>
          <w:color w:val="auto"/>
          <w:sz w:val="24"/>
          <w:highlight w:val="none"/>
          <w:u w:val="single"/>
        </w:rPr>
        <w:t>（采购</w:t>
      </w:r>
      <w:r>
        <w:rPr>
          <w:rFonts w:ascii="宋体" w:hAnsi="宋体"/>
          <w:color w:val="auto"/>
          <w:sz w:val="24"/>
          <w:highlight w:val="none"/>
          <w:u w:val="single"/>
        </w:rPr>
        <w:t>代理机构名称</w:t>
      </w:r>
      <w:r>
        <w:rPr>
          <w:rFonts w:hint="eastAsia" w:ascii="宋体" w:hAnsi="宋体"/>
          <w:color w:val="auto"/>
          <w:sz w:val="24"/>
          <w:highlight w:val="none"/>
          <w:u w:val="single"/>
        </w:rPr>
        <w:t>）</w:t>
      </w:r>
      <w:r>
        <w:rPr>
          <w:rFonts w:hint="eastAsia" w:ascii="宋体" w:hAnsi="宋体"/>
          <w:color w:val="auto"/>
          <w:spacing w:val="6"/>
          <w:sz w:val="24"/>
          <w:highlight w:val="none"/>
        </w:rPr>
        <w:t>：</w:t>
      </w:r>
    </w:p>
    <w:p>
      <w:pPr>
        <w:pStyle w:val="22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 xml:space="preserve"> 我方参与的</w:t>
      </w:r>
      <w:r>
        <w:rPr>
          <w:rFonts w:hint="eastAsia" w:ascii="宋体" w:hAnsi="宋体"/>
          <w:color w:val="auto"/>
          <w:spacing w:val="6"/>
          <w:sz w:val="24"/>
          <w:highlight w:val="none"/>
          <w:u w:val="single"/>
        </w:rPr>
        <w:t xml:space="preserve">     （项目名称）（项目编号）（标项）    </w:t>
      </w:r>
      <w:r>
        <w:rPr>
          <w:rFonts w:hint="eastAsia" w:ascii="宋体" w:hAnsi="宋体"/>
          <w:color w:val="auto"/>
          <w:spacing w:val="6"/>
          <w:sz w:val="24"/>
          <w:highlight w:val="none"/>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228"/>
        <w:spacing w:line="360" w:lineRule="auto"/>
        <w:ind w:firstLine="504" w:firstLineChars="200"/>
        <w:rPr>
          <w:rFonts w:ascii="宋体" w:hAnsi="宋体"/>
          <w:color w:val="auto"/>
          <w:spacing w:val="6"/>
          <w:sz w:val="24"/>
          <w:highlight w:val="none"/>
        </w:rPr>
      </w:pPr>
      <w:r>
        <w:rPr>
          <w:rFonts w:hint="eastAsia" w:ascii="宋体" w:hAnsi="宋体"/>
          <w:color w:val="auto"/>
          <w:spacing w:val="6"/>
          <w:sz w:val="24"/>
          <w:highlight w:val="none"/>
        </w:rPr>
        <w:tab/>
      </w:r>
      <w:r>
        <w:rPr>
          <w:rFonts w:hint="eastAsia" w:ascii="宋体" w:hAnsi="宋体"/>
          <w:color w:val="auto"/>
          <w:spacing w:val="6"/>
          <w:sz w:val="24"/>
          <w:highlight w:val="none"/>
        </w:rPr>
        <w:t>特此声明。</w:t>
      </w:r>
      <w:bookmarkStart w:id="257" w:name="_Toc523398458"/>
      <w:bookmarkStart w:id="258" w:name="_Toc531359051"/>
      <w:bookmarkStart w:id="259" w:name="_Toc500333505"/>
    </w:p>
    <w:p>
      <w:pPr>
        <w:pStyle w:val="228"/>
        <w:spacing w:line="360" w:lineRule="auto"/>
        <w:rPr>
          <w:rFonts w:ascii="宋体" w:hAnsi="宋体"/>
          <w:color w:val="auto"/>
          <w:spacing w:val="6"/>
          <w:sz w:val="24"/>
          <w:highlight w:val="none"/>
        </w:rPr>
      </w:pPr>
    </w:p>
    <w:p>
      <w:pPr>
        <w:pStyle w:val="228"/>
        <w:spacing w:line="360" w:lineRule="auto"/>
        <w:ind w:right="140"/>
        <w:jc w:val="left"/>
        <w:rPr>
          <w:rFonts w:ascii="宋体" w:hAnsi="宋体"/>
          <w:color w:val="auto"/>
          <w:spacing w:val="20"/>
          <w:sz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wordWrap w:val="0"/>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5"/>
        <w:spacing w:before="0" w:after="0"/>
        <w:ind w:firstLine="0" w:firstLineChars="0"/>
        <w:jc w:val="right"/>
        <w:rPr>
          <w:rFonts w:ascii="宋体" w:hAnsi="宋体" w:eastAsia="宋体"/>
          <w:color w:val="auto"/>
          <w:sz w:val="21"/>
          <w:szCs w:val="21"/>
          <w:highlight w:val="none"/>
        </w:rPr>
        <w:sectPr>
          <w:pgSz w:w="11906" w:h="16838"/>
          <w:pgMar w:top="1440" w:right="1440" w:bottom="1440" w:left="1440" w:header="851" w:footer="851" w:gutter="0"/>
          <w:cols w:space="720" w:num="1"/>
          <w:docGrid w:linePitch="312" w:charSpace="0"/>
        </w:sectPr>
      </w:pPr>
    </w:p>
    <w:bookmarkEnd w:id="257"/>
    <w:bookmarkEnd w:id="258"/>
    <w:bookmarkEnd w:id="259"/>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60" w:name="_Toc21214"/>
      <w:r>
        <w:rPr>
          <w:rFonts w:hint="eastAsia" w:ascii="宋体" w:hAnsi="宋体" w:eastAsia="宋体"/>
          <w:color w:val="auto"/>
          <w:sz w:val="24"/>
          <w:szCs w:val="24"/>
          <w:highlight w:val="none"/>
        </w:rPr>
        <w:t>1.9信用中国（www.creditchina.gov.cn）、中国政府采购网（www.ccgp.gov.cn）</w:t>
      </w:r>
      <w:bookmarkEnd w:id="260"/>
    </w:p>
    <w:p>
      <w:pPr>
        <w:pStyle w:val="5"/>
        <w:spacing w:before="0" w:after="0"/>
        <w:ind w:firstLine="0" w:firstLineChars="0"/>
        <w:jc w:val="left"/>
        <w:rPr>
          <w:rFonts w:ascii="宋体" w:hAnsi="宋体" w:eastAsia="宋体"/>
          <w:color w:val="auto"/>
          <w:sz w:val="24"/>
          <w:szCs w:val="24"/>
          <w:highlight w:val="none"/>
        </w:rPr>
      </w:pPr>
      <w:bookmarkStart w:id="261" w:name="_Toc7162"/>
      <w:r>
        <w:rPr>
          <w:rFonts w:hint="eastAsia" w:ascii="宋体" w:hAnsi="宋体" w:eastAsia="宋体"/>
          <w:color w:val="auto"/>
          <w:sz w:val="24"/>
          <w:szCs w:val="24"/>
          <w:highlight w:val="none"/>
        </w:rPr>
        <w:t>有无被列入失信被执行人、重大税收违法案件当事人名单、政府采购严重违法失信行为记录名单截图；</w:t>
      </w:r>
      <w:bookmarkEnd w:id="261"/>
    </w:p>
    <w:p>
      <w:pPr>
        <w:pStyle w:val="227"/>
        <w:spacing w:line="360" w:lineRule="auto"/>
        <w:jc w:val="left"/>
        <w:rPr>
          <w:rFonts w:hAnsi="宋体"/>
          <w:b/>
          <w:color w:val="auto"/>
          <w:szCs w:val="21"/>
          <w:highlight w:val="none"/>
        </w:rPr>
      </w:pPr>
    </w:p>
    <w:p>
      <w:pPr>
        <w:pStyle w:val="5"/>
        <w:spacing w:before="0" w:after="0"/>
        <w:ind w:firstLine="0" w:firstLineChars="0"/>
        <w:jc w:val="left"/>
        <w:rPr>
          <w:rFonts w:ascii="宋体" w:hAnsi="宋体" w:eastAsia="宋体"/>
          <w:color w:val="auto"/>
          <w:sz w:val="24"/>
          <w:szCs w:val="24"/>
          <w:highlight w:val="none"/>
        </w:rPr>
      </w:pPr>
      <w:bookmarkStart w:id="262" w:name="_Toc531359053"/>
      <w:bookmarkStart w:id="263" w:name="_Toc4414"/>
      <w:r>
        <w:rPr>
          <w:rFonts w:ascii="宋体" w:hAnsi="宋体" w:eastAsia="宋体"/>
          <w:color w:val="auto"/>
          <w:sz w:val="24"/>
          <w:szCs w:val="24"/>
          <w:highlight w:val="none"/>
        </w:rPr>
        <w:t>1.</w:t>
      </w:r>
      <w:r>
        <w:rPr>
          <w:rFonts w:hint="eastAsia" w:ascii="宋体" w:hAnsi="宋体" w:eastAsia="宋体"/>
          <w:color w:val="auto"/>
          <w:sz w:val="24"/>
          <w:szCs w:val="24"/>
          <w:highlight w:val="none"/>
        </w:rPr>
        <w:t>10</w:t>
      </w:r>
      <w:r>
        <w:rPr>
          <w:rFonts w:ascii="宋体" w:hAnsi="宋体" w:eastAsia="宋体"/>
          <w:color w:val="auto"/>
          <w:sz w:val="24"/>
          <w:szCs w:val="24"/>
          <w:highlight w:val="none"/>
        </w:rPr>
        <w:t xml:space="preserve">  其他</w:t>
      </w:r>
      <w:bookmarkEnd w:id="262"/>
      <w:bookmarkEnd w:id="263"/>
    </w:p>
    <w:p>
      <w:pPr>
        <w:pStyle w:val="6"/>
        <w:spacing w:line="360" w:lineRule="auto"/>
        <w:ind w:firstLine="0"/>
        <w:rPr>
          <w:rFonts w:ascii="宋体" w:hAnsi="宋体"/>
          <w:color w:val="auto"/>
          <w:sz w:val="24"/>
          <w:szCs w:val="24"/>
          <w:highlight w:val="none"/>
        </w:rPr>
      </w:pPr>
    </w:p>
    <w:p>
      <w:pPr>
        <w:pStyle w:val="227"/>
        <w:spacing w:line="360" w:lineRule="auto"/>
        <w:jc w:val="center"/>
        <w:rPr>
          <w:rFonts w:hAnsi="宋体"/>
          <w:color w:val="auto"/>
          <w:sz w:val="24"/>
          <w:szCs w:val="24"/>
          <w:highlight w:val="none"/>
        </w:rPr>
      </w:pPr>
      <w:r>
        <w:rPr>
          <w:rFonts w:hint="eastAsia" w:hAnsi="宋体"/>
          <w:color w:val="auto"/>
          <w:sz w:val="24"/>
          <w:szCs w:val="24"/>
          <w:highlight w:val="none"/>
        </w:rPr>
        <w:t>（格式自行设计）</w:t>
      </w:r>
    </w:p>
    <w:p>
      <w:pPr>
        <w:pStyle w:val="228"/>
        <w:spacing w:line="360" w:lineRule="auto"/>
        <w:rPr>
          <w:rFonts w:ascii="宋体" w:hAnsi="宋体"/>
          <w:color w:val="auto"/>
          <w:spacing w:val="6"/>
          <w:sz w:val="24"/>
          <w:highlight w:val="none"/>
        </w:rPr>
      </w:pPr>
    </w:p>
    <w:p>
      <w:pPr>
        <w:pStyle w:val="228"/>
        <w:spacing w:line="360" w:lineRule="auto"/>
        <w:jc w:val="center"/>
        <w:rPr>
          <w:rFonts w:ascii="宋体" w:hAnsi="宋体"/>
          <w:color w:val="auto"/>
          <w:spacing w:val="6"/>
          <w:sz w:val="24"/>
          <w:highlight w:val="none"/>
        </w:rPr>
      </w:pPr>
      <w:r>
        <w:rPr>
          <w:rFonts w:hint="eastAsia" w:ascii="宋体" w:hAnsi="宋体"/>
          <w:color w:val="auto"/>
          <w:spacing w:val="6"/>
          <w:sz w:val="24"/>
          <w:highlight w:val="none"/>
        </w:rPr>
        <w:t>（投标人认为有利于其本次投标的其它资格</w:t>
      </w:r>
      <w:r>
        <w:rPr>
          <w:rFonts w:ascii="宋体" w:hAnsi="宋体"/>
          <w:color w:val="auto"/>
          <w:spacing w:val="6"/>
          <w:sz w:val="24"/>
          <w:highlight w:val="none"/>
        </w:rPr>
        <w:t>证明材料</w:t>
      </w:r>
      <w:r>
        <w:rPr>
          <w:rFonts w:hint="eastAsia" w:ascii="宋体" w:hAnsi="宋体"/>
          <w:color w:val="auto"/>
          <w:spacing w:val="6"/>
          <w:sz w:val="24"/>
          <w:highlight w:val="none"/>
        </w:rPr>
        <w:t>等。）</w:t>
      </w:r>
    </w:p>
    <w:p>
      <w:pPr>
        <w:pStyle w:val="6"/>
        <w:rPr>
          <w:color w:val="auto"/>
          <w:sz w:val="24"/>
          <w:szCs w:val="24"/>
          <w:highlight w:val="none"/>
        </w:rPr>
        <w:sectPr>
          <w:pgSz w:w="11906" w:h="16838"/>
          <w:pgMar w:top="1440" w:right="1440" w:bottom="1440" w:left="1440" w:header="851" w:footer="851" w:gutter="0"/>
          <w:cols w:space="720" w:num="1"/>
          <w:docGrid w:linePitch="312" w:charSpace="0"/>
        </w:sectPr>
      </w:pPr>
    </w:p>
    <w:p>
      <w:pPr>
        <w:pStyle w:val="45"/>
        <w:spacing w:beforeLines="100" w:afterLines="100"/>
        <w:outlineLvl w:val="1"/>
        <w:rPr>
          <w:rFonts w:ascii="宋体" w:hAnsi="宋体"/>
          <w:color w:val="auto"/>
          <w:sz w:val="44"/>
          <w:szCs w:val="44"/>
          <w:highlight w:val="none"/>
        </w:rPr>
      </w:pPr>
      <w:bookmarkStart w:id="264" w:name="_Toc493956058"/>
      <w:bookmarkStart w:id="265" w:name="_Toc530551883"/>
      <w:bookmarkStart w:id="266" w:name="_Toc6748"/>
      <w:bookmarkStart w:id="267" w:name="_Toc531359054"/>
      <w:r>
        <w:rPr>
          <w:rFonts w:hint="eastAsia" w:ascii="宋体" w:hAnsi="宋体"/>
          <w:color w:val="auto"/>
          <w:sz w:val="44"/>
          <w:szCs w:val="44"/>
          <w:highlight w:val="none"/>
        </w:rPr>
        <w:t xml:space="preserve">二 </w:t>
      </w:r>
      <w:r>
        <w:rPr>
          <w:rFonts w:ascii="宋体" w:hAnsi="宋体"/>
          <w:color w:val="auto"/>
          <w:sz w:val="44"/>
          <w:szCs w:val="44"/>
          <w:highlight w:val="none"/>
        </w:rPr>
        <w:t xml:space="preserve"> </w:t>
      </w:r>
      <w:r>
        <w:rPr>
          <w:rFonts w:hint="eastAsia" w:ascii="宋体" w:hAnsi="宋体"/>
          <w:color w:val="auto"/>
          <w:sz w:val="44"/>
          <w:szCs w:val="44"/>
          <w:highlight w:val="none"/>
        </w:rPr>
        <w:t>资信商务及技术文</w:t>
      </w:r>
      <w:r>
        <w:rPr>
          <w:rFonts w:ascii="宋体" w:hAnsi="宋体"/>
          <w:color w:val="auto"/>
          <w:sz w:val="44"/>
          <w:szCs w:val="44"/>
          <w:highlight w:val="none"/>
        </w:rPr>
        <w:t>件</w:t>
      </w:r>
      <w:r>
        <w:rPr>
          <w:rFonts w:hint="eastAsia" w:ascii="宋体" w:hAnsi="宋体"/>
          <w:color w:val="auto"/>
          <w:sz w:val="44"/>
          <w:szCs w:val="44"/>
          <w:highlight w:val="none"/>
        </w:rPr>
        <w:t>格式</w:t>
      </w:r>
      <w:bookmarkEnd w:id="264"/>
      <w:bookmarkEnd w:id="265"/>
      <w:bookmarkEnd w:id="266"/>
      <w:bookmarkEnd w:id="267"/>
    </w:p>
    <w:p>
      <w:pPr>
        <w:pStyle w:val="218"/>
        <w:spacing w:line="360" w:lineRule="auto"/>
        <w:jc w:val="center"/>
        <w:rPr>
          <w:rFonts w:ascii="宋体" w:hAnsi="宋体"/>
          <w:color w:val="auto"/>
          <w:sz w:val="28"/>
          <w:szCs w:val="28"/>
          <w:highlight w:val="none"/>
        </w:rPr>
      </w:pPr>
      <w:r>
        <w:rPr>
          <w:rFonts w:hint="eastAsia" w:ascii="宋体" w:hAnsi="宋体"/>
          <w:color w:val="auto"/>
          <w:sz w:val="28"/>
          <w:szCs w:val="28"/>
          <w:highlight w:val="none"/>
        </w:rPr>
        <w:t>（根据</w:t>
      </w:r>
      <w:r>
        <w:rPr>
          <w:rFonts w:ascii="宋体" w:hAnsi="宋体"/>
          <w:color w:val="auto"/>
          <w:sz w:val="28"/>
          <w:szCs w:val="28"/>
          <w:highlight w:val="none"/>
        </w:rPr>
        <w:t>具体实施项目调整</w:t>
      </w:r>
      <w:r>
        <w:rPr>
          <w:rFonts w:hint="eastAsia" w:ascii="宋体" w:hAnsi="宋体"/>
          <w:color w:val="auto"/>
          <w:sz w:val="28"/>
          <w:szCs w:val="28"/>
          <w:highlight w:val="none"/>
        </w:rPr>
        <w:t>相关</w:t>
      </w:r>
      <w:r>
        <w:rPr>
          <w:rFonts w:ascii="宋体" w:hAnsi="宋体"/>
          <w:color w:val="auto"/>
          <w:sz w:val="28"/>
          <w:szCs w:val="28"/>
          <w:highlight w:val="none"/>
        </w:rPr>
        <w:t>格式</w:t>
      </w:r>
      <w:r>
        <w:rPr>
          <w:rFonts w:hint="eastAsia" w:ascii="宋体" w:hAnsi="宋体"/>
          <w:color w:val="auto"/>
          <w:sz w:val="28"/>
          <w:szCs w:val="28"/>
          <w:highlight w:val="none"/>
        </w:rPr>
        <w:t>）</w:t>
      </w:r>
      <w:bookmarkStart w:id="268" w:name="_Toc531359055"/>
      <w:bookmarkStart w:id="269" w:name="_Toc493956059"/>
      <w:bookmarkStart w:id="270" w:name="_Toc530551884"/>
    </w:p>
    <w:p>
      <w:pPr>
        <w:pStyle w:val="218"/>
        <w:jc w:val="left"/>
        <w:rPr>
          <w:rFonts w:ascii="仿宋_GB2312" w:eastAsia="仿宋_GB2312"/>
          <w:color w:val="auto"/>
          <w:sz w:val="28"/>
          <w:szCs w:val="28"/>
          <w:highlight w:val="none"/>
        </w:rPr>
      </w:pPr>
    </w:p>
    <w:bookmarkEnd w:id="268"/>
    <w:p>
      <w:pPr>
        <w:pStyle w:val="5"/>
        <w:spacing w:before="0" w:after="0"/>
        <w:ind w:firstLine="0" w:firstLineChars="0"/>
        <w:jc w:val="left"/>
        <w:rPr>
          <w:rFonts w:ascii="宋体" w:hAnsi="宋体" w:eastAsia="宋体"/>
          <w:color w:val="auto"/>
          <w:sz w:val="24"/>
          <w:szCs w:val="24"/>
          <w:highlight w:val="none"/>
        </w:rPr>
      </w:pPr>
      <w:bookmarkStart w:id="271" w:name="_Toc531359056"/>
      <w:bookmarkStart w:id="272" w:name="_Toc29744"/>
      <w:r>
        <w:rPr>
          <w:rFonts w:ascii="宋体" w:hAnsi="宋体" w:eastAsia="宋体"/>
          <w:color w:val="auto"/>
          <w:sz w:val="24"/>
          <w:szCs w:val="24"/>
          <w:highlight w:val="none"/>
        </w:rPr>
        <w:t>2.</w:t>
      </w: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资信及商务文件封面</w:t>
      </w:r>
      <w:bookmarkEnd w:id="271"/>
      <w:r>
        <w:rPr>
          <w:rFonts w:hint="eastAsia" w:ascii="宋体" w:hAnsi="宋体" w:eastAsia="宋体"/>
          <w:color w:val="auto"/>
          <w:sz w:val="24"/>
          <w:szCs w:val="24"/>
          <w:highlight w:val="none"/>
        </w:rPr>
        <w:t>格式</w:t>
      </w:r>
      <w:bookmarkEnd w:id="272"/>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投标文件</w:t>
      </w:r>
    </w:p>
    <w:p>
      <w:pPr>
        <w:snapToGrid w:val="0"/>
        <w:jc w:val="center"/>
        <w:rPr>
          <w:rFonts w:ascii="宋体" w:hAnsi="宋体"/>
          <w:bCs/>
          <w:color w:val="auto"/>
          <w:sz w:val="24"/>
          <w:szCs w:val="24"/>
          <w:highlight w:val="none"/>
        </w:rPr>
      </w:pPr>
    </w:p>
    <w:tbl>
      <w:tblPr>
        <w:tblStyle w:val="54"/>
        <w:tblW w:w="7054" w:type="dxa"/>
        <w:jc w:val="center"/>
        <w:tblInd w:w="0" w:type="dxa"/>
        <w:tblLayout w:type="fixed"/>
        <w:tblCellMar>
          <w:top w:w="0" w:type="dxa"/>
          <w:left w:w="108" w:type="dxa"/>
          <w:bottom w:w="0" w:type="dxa"/>
          <w:right w:w="108" w:type="dxa"/>
        </w:tblCellMar>
      </w:tblPr>
      <w:tblGrid>
        <w:gridCol w:w="2518"/>
        <w:gridCol w:w="4536"/>
      </w:tblGrid>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投标文件名称：</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资信商务及技术文件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采 购 编 号：</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项 目 名 称：</w:t>
            </w:r>
          </w:p>
        </w:tc>
        <w:tc>
          <w:tcPr>
            <w:tcW w:w="4536" w:type="dxa"/>
            <w:vAlign w:val="center"/>
          </w:tcPr>
          <w:p>
            <w:pPr>
              <w:jc w:val="left"/>
              <w:rPr>
                <w:rFonts w:ascii="宋体" w:hAnsi="宋体"/>
                <w:color w:val="auto"/>
                <w:sz w:val="24"/>
                <w:szCs w:val="24"/>
                <w:highlight w:val="none"/>
              </w:rPr>
            </w:pP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 xml:space="preserve">标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项：</w:t>
            </w:r>
          </w:p>
        </w:tc>
        <w:tc>
          <w:tcPr>
            <w:tcW w:w="4536" w:type="dxa"/>
            <w:vAlign w:val="center"/>
          </w:tcPr>
          <w:p>
            <w:pPr>
              <w:jc w:val="left"/>
              <w:rPr>
                <w:rFonts w:ascii="宋体" w:hAnsi="宋体"/>
                <w:color w:val="auto"/>
                <w:sz w:val="24"/>
                <w:szCs w:val="24"/>
                <w:highlight w:val="none"/>
                <w:u w:val="single"/>
              </w:rPr>
            </w:pPr>
            <w:r>
              <w:rPr>
                <w:rFonts w:hint="eastAsia" w:ascii="宋体" w:hAnsi="宋体"/>
                <w:color w:val="auto"/>
                <w:sz w:val="24"/>
                <w:szCs w:val="24"/>
                <w:highlight w:val="none"/>
                <w:u w:val="single"/>
              </w:rPr>
              <w:t xml:space="preserve">（若有）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p>
        </w:tc>
        <w:tc>
          <w:tcPr>
            <w:tcW w:w="4536" w:type="dxa"/>
            <w:vAlign w:val="center"/>
          </w:tcPr>
          <w:p>
            <w:pPr>
              <w:jc w:val="left"/>
              <w:rPr>
                <w:rFonts w:ascii="宋体" w:hAnsi="宋体"/>
                <w:color w:val="auto"/>
                <w:sz w:val="24"/>
                <w:szCs w:val="24"/>
                <w:highlight w:val="none"/>
              </w:rPr>
            </w:pP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投标人全称（盖章）：</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投标人地址：</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宋体" w:hAnsi="宋体"/>
                <w:color w:val="auto"/>
                <w:sz w:val="24"/>
                <w:szCs w:val="24"/>
                <w:highlight w:val="none"/>
                <w:u w:val="single"/>
              </w:rPr>
            </w:pP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 xml:space="preserve">年 </w:t>
            </w:r>
            <w:r>
              <w:rPr>
                <w:rFonts w:ascii="宋体" w:hAnsi="宋体"/>
                <w:color w:val="auto"/>
                <w:sz w:val="24"/>
                <w:szCs w:val="24"/>
                <w:highlight w:val="none"/>
              </w:rPr>
              <w:t xml:space="preserve"> 月</w:t>
            </w:r>
            <w:r>
              <w:rPr>
                <w:rFonts w:hint="eastAsia" w:ascii="宋体" w:hAnsi="宋体"/>
                <w:color w:val="auto"/>
                <w:sz w:val="24"/>
                <w:szCs w:val="24"/>
                <w:highlight w:val="none"/>
              </w:rPr>
              <w:t xml:space="preserve">  </w:t>
            </w:r>
            <w:r>
              <w:rPr>
                <w:rFonts w:ascii="宋体" w:hAnsi="宋体"/>
                <w:color w:val="auto"/>
                <w:sz w:val="24"/>
                <w:szCs w:val="24"/>
                <w:highlight w:val="none"/>
              </w:rPr>
              <w:t>日</w:t>
            </w:r>
          </w:p>
        </w:tc>
      </w:tr>
    </w:tbl>
    <w:p>
      <w:pPr>
        <w:spacing w:line="360" w:lineRule="auto"/>
        <w:rPr>
          <w:rFonts w:ascii="宋体" w:hAnsi="宋体"/>
          <w:color w:val="auto"/>
          <w:szCs w:val="21"/>
          <w:highlight w:val="none"/>
        </w:rPr>
      </w:pPr>
    </w:p>
    <w:p>
      <w:pPr>
        <w:pStyle w:val="5"/>
        <w:spacing w:before="0" w:after="0"/>
        <w:ind w:firstLine="0" w:firstLineChars="0"/>
        <w:jc w:val="left"/>
        <w:rPr>
          <w:rFonts w:hAnsi="宋体"/>
          <w:color w:val="auto"/>
          <w:sz w:val="24"/>
          <w:szCs w:val="24"/>
          <w:highlight w:val="none"/>
        </w:rPr>
        <w:sectPr>
          <w:pgSz w:w="11906" w:h="16838"/>
          <w:pgMar w:top="1440" w:right="1440" w:bottom="1440" w:left="1440" w:header="851" w:footer="851" w:gutter="0"/>
          <w:cols w:space="720" w:num="1"/>
          <w:docGrid w:linePitch="312" w:charSpace="0"/>
        </w:sectPr>
      </w:pPr>
      <w:bookmarkStart w:id="273" w:name="_Toc531359057"/>
    </w:p>
    <w:p>
      <w:pPr>
        <w:pStyle w:val="5"/>
        <w:spacing w:before="0" w:after="0"/>
        <w:ind w:firstLine="0" w:firstLineChars="0"/>
        <w:jc w:val="left"/>
        <w:rPr>
          <w:rFonts w:ascii="宋体" w:hAnsi="宋体" w:eastAsia="宋体"/>
          <w:color w:val="auto"/>
          <w:sz w:val="24"/>
          <w:szCs w:val="24"/>
          <w:highlight w:val="none"/>
        </w:rPr>
      </w:pPr>
      <w:bookmarkStart w:id="274" w:name="_Toc14169"/>
      <w:r>
        <w:rPr>
          <w:rFonts w:ascii="宋体" w:hAnsi="宋体" w:eastAsia="宋体"/>
          <w:color w:val="auto"/>
          <w:sz w:val="24"/>
          <w:szCs w:val="24"/>
          <w:highlight w:val="none"/>
        </w:rPr>
        <w:t>2.</w:t>
      </w:r>
      <w:r>
        <w:rPr>
          <w:rFonts w:hint="eastAsia" w:ascii="宋体" w:hAnsi="宋体" w:eastAsia="宋体"/>
          <w:color w:val="auto"/>
          <w:sz w:val="24"/>
          <w:szCs w:val="24"/>
          <w:highlight w:val="none"/>
        </w:rPr>
        <w:t xml:space="preserve">2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资信商务及技术文件</w:t>
      </w:r>
      <w:r>
        <w:rPr>
          <w:rFonts w:ascii="宋体" w:hAnsi="宋体" w:eastAsia="宋体"/>
          <w:color w:val="auto"/>
          <w:sz w:val="24"/>
          <w:szCs w:val="24"/>
          <w:highlight w:val="none"/>
        </w:rPr>
        <w:t>目录</w:t>
      </w:r>
      <w:bookmarkEnd w:id="273"/>
      <w:bookmarkEnd w:id="274"/>
    </w:p>
    <w:p>
      <w:pPr>
        <w:pStyle w:val="6"/>
        <w:spacing w:line="360" w:lineRule="auto"/>
        <w:ind w:firstLine="0"/>
        <w:rPr>
          <w:rFonts w:ascii="宋体" w:hAnsi="宋体"/>
          <w:color w:val="auto"/>
          <w:sz w:val="24"/>
          <w:szCs w:val="24"/>
          <w:highlight w:val="none"/>
        </w:rPr>
      </w:pPr>
    </w:p>
    <w:p>
      <w:pPr>
        <w:pStyle w:val="6"/>
        <w:ind w:firstLine="0"/>
        <w:jc w:val="center"/>
        <w:rPr>
          <w:rFonts w:ascii="宋体" w:hAnsi="宋体"/>
          <w:color w:val="auto"/>
          <w:sz w:val="24"/>
          <w:szCs w:val="24"/>
          <w:highlight w:val="none"/>
        </w:rPr>
      </w:pPr>
      <w:r>
        <w:rPr>
          <w:rFonts w:hint="eastAsia" w:ascii="宋体" w:hAnsi="宋体"/>
          <w:color w:val="auto"/>
          <w:sz w:val="24"/>
          <w:szCs w:val="24"/>
          <w:highlight w:val="none"/>
        </w:rPr>
        <w:t>（格式自行设计）</w:t>
      </w:r>
      <w:bookmarkStart w:id="275" w:name="_Toc531359058"/>
    </w:p>
    <w:p>
      <w:pPr>
        <w:pStyle w:val="6"/>
        <w:spacing w:line="360" w:lineRule="auto"/>
        <w:ind w:firstLine="0"/>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76" w:name="_Toc11105"/>
      <w:r>
        <w:rPr>
          <w:rFonts w:ascii="宋体" w:hAnsi="宋体" w:eastAsia="宋体"/>
          <w:color w:val="auto"/>
          <w:sz w:val="24"/>
          <w:szCs w:val="24"/>
          <w:highlight w:val="none"/>
        </w:rPr>
        <w:t>2.</w:t>
      </w:r>
      <w:r>
        <w:rPr>
          <w:rFonts w:hint="eastAsia" w:ascii="宋体" w:hAnsi="宋体" w:eastAsia="宋体"/>
          <w:color w:val="auto"/>
          <w:sz w:val="24"/>
          <w:szCs w:val="24"/>
          <w:highlight w:val="none"/>
        </w:rPr>
        <w:t xml:space="preserve">3 </w:t>
      </w:r>
      <w:r>
        <w:rPr>
          <w:rFonts w:ascii="宋体" w:hAnsi="宋体" w:eastAsia="宋体"/>
          <w:color w:val="auto"/>
          <w:sz w:val="24"/>
          <w:szCs w:val="24"/>
          <w:highlight w:val="none"/>
        </w:rPr>
        <w:t xml:space="preserve">   投标</w:t>
      </w:r>
      <w:bookmarkEnd w:id="269"/>
      <w:bookmarkEnd w:id="270"/>
      <w:r>
        <w:rPr>
          <w:rFonts w:hint="eastAsia" w:ascii="宋体" w:hAnsi="宋体" w:eastAsia="宋体"/>
          <w:color w:val="auto"/>
          <w:sz w:val="24"/>
          <w:szCs w:val="24"/>
          <w:highlight w:val="none"/>
        </w:rPr>
        <w:t>函</w:t>
      </w:r>
      <w:bookmarkEnd w:id="275"/>
      <w:r>
        <w:rPr>
          <w:rFonts w:hint="eastAsia" w:ascii="宋体" w:hAnsi="宋体" w:eastAsia="宋体"/>
          <w:color w:val="auto"/>
          <w:sz w:val="24"/>
          <w:szCs w:val="24"/>
          <w:highlight w:val="none"/>
        </w:rPr>
        <w:t>格式</w:t>
      </w:r>
      <w:bookmarkEnd w:id="276"/>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投标函</w:t>
      </w:r>
    </w:p>
    <w:p>
      <w:pPr>
        <w:pStyle w:val="103"/>
        <w:tabs>
          <w:tab w:val="left" w:pos="0"/>
        </w:tabs>
        <w:spacing w:line="360" w:lineRule="auto"/>
        <w:rPr>
          <w:rFonts w:hAnsi="宋体"/>
          <w:color w:val="auto"/>
          <w:sz w:val="24"/>
          <w:szCs w:val="24"/>
          <w:highlight w:val="none"/>
        </w:rPr>
      </w:pPr>
      <w:r>
        <w:rPr>
          <w:rFonts w:hint="eastAsia" w:hAnsi="宋体"/>
          <w:color w:val="auto"/>
          <w:sz w:val="24"/>
          <w:szCs w:val="24"/>
          <w:highlight w:val="none"/>
        </w:rPr>
        <w:t>致：</w:t>
      </w:r>
      <w:r>
        <w:rPr>
          <w:rFonts w:hint="eastAsia" w:hAnsi="宋体"/>
          <w:color w:val="auto"/>
          <w:sz w:val="24"/>
          <w:szCs w:val="24"/>
          <w:highlight w:val="none"/>
          <w:u w:val="single"/>
        </w:rPr>
        <w:t>（采购人名称）</w:t>
      </w:r>
      <w:r>
        <w:rPr>
          <w:rFonts w:hint="eastAsia" w:hAnsi="宋体"/>
          <w:color w:val="auto"/>
          <w:sz w:val="24"/>
          <w:szCs w:val="24"/>
          <w:highlight w:val="none"/>
        </w:rPr>
        <w:t>：</w:t>
      </w:r>
    </w:p>
    <w:p>
      <w:pPr>
        <w:pStyle w:val="10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根据贵方</w:t>
      </w:r>
      <w:r>
        <w:rPr>
          <w:rFonts w:hint="eastAsia" w:hAnsi="宋体"/>
          <w:color w:val="auto"/>
          <w:sz w:val="24"/>
          <w:szCs w:val="24"/>
          <w:highlight w:val="none"/>
          <w:u w:val="single"/>
        </w:rPr>
        <w:t>（</w:t>
      </w:r>
      <w:r>
        <w:rPr>
          <w:rFonts w:hAnsi="宋体"/>
          <w:color w:val="auto"/>
          <w:sz w:val="24"/>
          <w:szCs w:val="24"/>
          <w:highlight w:val="none"/>
          <w:u w:val="single"/>
        </w:rPr>
        <w:t>项目名称</w:t>
      </w:r>
      <w:r>
        <w:rPr>
          <w:rFonts w:hint="eastAsia" w:hAnsi="宋体"/>
          <w:color w:val="auto"/>
          <w:sz w:val="24"/>
          <w:szCs w:val="24"/>
          <w:highlight w:val="none"/>
          <w:u w:val="single"/>
        </w:rPr>
        <w:t xml:space="preserve">）（项目编号）（标项） </w:t>
      </w:r>
      <w:r>
        <w:rPr>
          <w:rFonts w:hint="eastAsia" w:hAnsi="宋体"/>
          <w:color w:val="auto"/>
          <w:sz w:val="24"/>
          <w:szCs w:val="24"/>
          <w:highlight w:val="none"/>
        </w:rPr>
        <w:t>的招标文件要求，正式授权下述签字人</w:t>
      </w:r>
      <w:r>
        <w:rPr>
          <w:rFonts w:hint="eastAsia" w:hAnsi="宋体"/>
          <w:color w:val="auto"/>
          <w:sz w:val="24"/>
          <w:szCs w:val="24"/>
          <w:highlight w:val="none"/>
          <w:u w:val="single"/>
        </w:rPr>
        <w:t>（姓名和职务）</w:t>
      </w:r>
      <w:r>
        <w:rPr>
          <w:rFonts w:hint="eastAsia" w:hAnsi="宋体"/>
          <w:color w:val="auto"/>
          <w:sz w:val="24"/>
          <w:szCs w:val="24"/>
          <w:highlight w:val="none"/>
        </w:rPr>
        <w:t>全权代表投标人</w:t>
      </w:r>
      <w:r>
        <w:rPr>
          <w:rFonts w:hint="eastAsia" w:hAnsi="宋体"/>
          <w:color w:val="auto"/>
          <w:sz w:val="24"/>
          <w:szCs w:val="24"/>
          <w:highlight w:val="none"/>
          <w:u w:val="single"/>
        </w:rPr>
        <w:t>（投标人全称）</w:t>
      </w:r>
      <w:r>
        <w:rPr>
          <w:rFonts w:hint="eastAsia" w:hAnsi="宋体"/>
          <w:color w:val="auto"/>
          <w:sz w:val="24"/>
          <w:szCs w:val="24"/>
          <w:highlight w:val="none"/>
        </w:rPr>
        <w:t>参加贵方组织的有关招标活动，并提交下述文件：</w:t>
      </w:r>
    </w:p>
    <w:p>
      <w:pPr>
        <w:pStyle w:val="10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根据政采云系统提交电子投标文件。</w:t>
      </w:r>
    </w:p>
    <w:p>
      <w:pPr>
        <w:pStyle w:val="10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据</w:t>
      </w:r>
      <w:r>
        <w:rPr>
          <w:rFonts w:hAnsi="宋体"/>
          <w:color w:val="auto"/>
          <w:sz w:val="24"/>
          <w:szCs w:val="24"/>
          <w:highlight w:val="none"/>
        </w:rPr>
        <w:t>此函我</w:t>
      </w:r>
      <w:r>
        <w:rPr>
          <w:rFonts w:hint="eastAsia" w:hAnsi="宋体"/>
          <w:color w:val="auto"/>
          <w:sz w:val="24"/>
          <w:szCs w:val="24"/>
          <w:highlight w:val="none"/>
        </w:rPr>
        <w:t>方就本次投标有关事项郑重承诺如下：</w:t>
      </w:r>
    </w:p>
    <w:p>
      <w:pPr>
        <w:pStyle w:val="103"/>
        <w:spacing w:line="360" w:lineRule="auto"/>
        <w:ind w:firstLine="480" w:firstLineChars="200"/>
        <w:rPr>
          <w:rFonts w:hAnsi="宋体"/>
          <w:color w:val="auto"/>
          <w:sz w:val="24"/>
          <w:szCs w:val="24"/>
          <w:highlight w:val="none"/>
        </w:rPr>
      </w:pPr>
      <w:r>
        <w:rPr>
          <w:rFonts w:hint="eastAsia" w:hAnsi="宋体"/>
          <w:color w:val="auto"/>
          <w:sz w:val="24"/>
          <w:szCs w:val="24"/>
          <w:highlight w:val="none"/>
        </w:rPr>
        <w:t>1、我方向贵方提交的所有投标文件、资料都是准确的和真实的。</w:t>
      </w:r>
    </w:p>
    <w:p>
      <w:pPr>
        <w:pStyle w:val="103"/>
        <w:spacing w:line="360" w:lineRule="auto"/>
        <w:ind w:firstLine="480" w:firstLineChars="200"/>
        <w:rPr>
          <w:rFonts w:hAnsi="宋体"/>
          <w:color w:val="auto"/>
          <w:sz w:val="24"/>
          <w:szCs w:val="24"/>
          <w:highlight w:val="none"/>
        </w:rPr>
      </w:pPr>
      <w:r>
        <w:rPr>
          <w:rFonts w:hint="eastAsia" w:hAnsi="宋体"/>
          <w:color w:val="auto"/>
          <w:sz w:val="24"/>
          <w:szCs w:val="24"/>
          <w:highlight w:val="none"/>
        </w:rPr>
        <w:t>2、我方承诺已经具备《中华人民共和国政府采购法》、《中华人民共和国政府采购法实施条例》中规定的参加政府采购活动的投标人应当具备的条件，并真实提供相关材料。</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、如果我方中标，接到采购人货物需求及清单后</w:t>
      </w:r>
      <w:r>
        <w:rPr>
          <w:rFonts w:hint="eastAsia" w:hAnsi="宋体"/>
          <w:color w:val="auto"/>
          <w:sz w:val="24"/>
          <w:szCs w:val="24"/>
          <w:highlight w:val="none"/>
          <w:u w:val="single"/>
        </w:rPr>
        <w:t xml:space="preserve">      </w:t>
      </w:r>
      <w:r>
        <w:rPr>
          <w:rFonts w:hint="eastAsia" w:hAnsi="宋体"/>
          <w:color w:val="auto"/>
          <w:sz w:val="24"/>
          <w:szCs w:val="24"/>
          <w:highlight w:val="none"/>
        </w:rPr>
        <w:t>天内，按要求免费送至采购人指定地点。</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、如果我方中标，将派出</w:t>
      </w:r>
      <w:r>
        <w:rPr>
          <w:rFonts w:hint="eastAsia" w:hAnsi="宋体"/>
          <w:color w:val="auto"/>
          <w:sz w:val="24"/>
          <w:szCs w:val="24"/>
          <w:highlight w:val="none"/>
          <w:u w:val="single"/>
        </w:rPr>
        <w:t>（姓名及身份证号码），</w:t>
      </w:r>
      <w:r>
        <w:rPr>
          <w:rFonts w:hint="eastAsia" w:hAnsi="宋体"/>
          <w:color w:val="auto"/>
          <w:sz w:val="24"/>
          <w:szCs w:val="24"/>
          <w:highlight w:val="none"/>
        </w:rPr>
        <w:t>作为本项目与采购单位联系的项目实施负责人，联系手机号码：</w:t>
      </w:r>
      <w:r>
        <w:rPr>
          <w:rFonts w:hAnsi="宋体"/>
          <w:color w:val="auto"/>
          <w:sz w:val="24"/>
          <w:szCs w:val="24"/>
          <w:highlight w:val="none"/>
          <w:u w:val="single"/>
        </w:rPr>
        <w:t xml:space="preserve">            </w:t>
      </w:r>
      <w:r>
        <w:rPr>
          <w:rFonts w:hint="eastAsia" w:hAnsi="宋体"/>
          <w:color w:val="auto"/>
          <w:sz w:val="24"/>
          <w:szCs w:val="24"/>
          <w:highlight w:val="none"/>
        </w:rPr>
        <w:t>。在项目实施过程中，并承诺项目实施负责人不更换，若确需要更换的，书面征得采购人同意后才准予更换。</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、我方的投标有效期自在开标日起</w:t>
      </w:r>
      <w:r>
        <w:rPr>
          <w:rFonts w:hAnsi="宋体"/>
          <w:color w:val="auto"/>
          <w:sz w:val="24"/>
          <w:szCs w:val="24"/>
          <w:highlight w:val="none"/>
          <w:u w:val="single"/>
        </w:rPr>
        <w:t xml:space="preserve">     </w:t>
      </w:r>
      <w:r>
        <w:rPr>
          <w:rFonts w:hint="eastAsia" w:hAnsi="宋体"/>
          <w:color w:val="auto"/>
          <w:sz w:val="24"/>
          <w:szCs w:val="24"/>
          <w:highlight w:val="none"/>
        </w:rPr>
        <w:t>天内有效。如果在开标后规定的投标有效期内撤回投标，贵方可按相关规定</w:t>
      </w:r>
      <w:r>
        <w:rPr>
          <w:rFonts w:hAnsi="宋体"/>
          <w:color w:val="auto"/>
          <w:sz w:val="24"/>
          <w:szCs w:val="24"/>
          <w:highlight w:val="none"/>
        </w:rPr>
        <w:t>处理我方</w:t>
      </w:r>
      <w:r>
        <w:rPr>
          <w:rFonts w:hint="eastAsia" w:hAnsi="宋体"/>
          <w:color w:val="auto"/>
          <w:sz w:val="24"/>
          <w:szCs w:val="24"/>
          <w:highlight w:val="none"/>
        </w:rPr>
        <w:t>。</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、我方在投标之前已经与贵方进行了充分的沟通，完全理解并接受招标文件的各项规定和要求，对招标文件的合理性、合法性不再有异议。</w:t>
      </w:r>
    </w:p>
    <w:p>
      <w:pPr>
        <w:pStyle w:val="103"/>
        <w:spacing w:line="360" w:lineRule="auto"/>
        <w:ind w:firstLine="480" w:firstLineChars="200"/>
        <w:rPr>
          <w:rFonts w:hAnsi="宋体"/>
          <w:color w:val="auto"/>
          <w:sz w:val="24"/>
          <w:szCs w:val="24"/>
          <w:highlight w:val="none"/>
        </w:rPr>
      </w:pPr>
      <w:r>
        <w:rPr>
          <w:rFonts w:hint="eastAsia" w:hAnsi="宋体"/>
          <w:color w:val="auto"/>
          <w:sz w:val="24"/>
          <w:szCs w:val="24"/>
          <w:highlight w:val="none"/>
        </w:rPr>
        <w:t>我方愿意向贵方提供真实完整的任何与该项投标有关的数据、情况和技术资料。若贵方需要，我方愿意提供我方作出的一切承诺的证明材料。</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7</w:t>
      </w:r>
      <w:r>
        <w:rPr>
          <w:rFonts w:hint="eastAsia" w:hAnsi="宋体"/>
          <w:color w:val="auto"/>
          <w:sz w:val="24"/>
          <w:szCs w:val="24"/>
          <w:highlight w:val="none"/>
        </w:rPr>
        <w:t>、我方已详细审核全部招标文件，包括招标文件的澄清或修改文件（如有的话）、参考资料及有关附件，已经了解我方对于招标文件、采购过程、采购结果有依法进行询问、质疑、投诉的权利及相关渠道和要求。</w:t>
      </w:r>
    </w:p>
    <w:p>
      <w:pPr>
        <w:pStyle w:val="103"/>
        <w:spacing w:line="360" w:lineRule="auto"/>
        <w:ind w:firstLine="480" w:firstLineChars="200"/>
        <w:rPr>
          <w:rFonts w:hAnsi="宋体"/>
          <w:color w:val="auto"/>
          <w:sz w:val="24"/>
          <w:szCs w:val="24"/>
          <w:highlight w:val="none"/>
        </w:rPr>
      </w:pPr>
      <w:r>
        <w:rPr>
          <w:rFonts w:hAnsi="宋体"/>
          <w:color w:val="auto"/>
          <w:sz w:val="24"/>
          <w:szCs w:val="24"/>
          <w:highlight w:val="none"/>
        </w:rPr>
        <w:t>8</w:t>
      </w:r>
      <w:r>
        <w:rPr>
          <w:rFonts w:hint="eastAsia" w:hAnsi="宋体"/>
          <w:color w:val="auto"/>
          <w:sz w:val="24"/>
          <w:szCs w:val="24"/>
          <w:highlight w:val="none"/>
        </w:rPr>
        <w:t>、我方不是采购人的附属机构，并未为本项目提供整体设计、规范编制或者项目管理、监理、监测等服务。</w:t>
      </w:r>
    </w:p>
    <w:p>
      <w:pPr>
        <w:pStyle w:val="103"/>
        <w:spacing w:line="360" w:lineRule="auto"/>
        <w:ind w:firstLine="480" w:firstLineChars="200"/>
        <w:rPr>
          <w:rFonts w:hAnsi="宋体"/>
          <w:color w:val="auto"/>
          <w:sz w:val="24"/>
          <w:szCs w:val="24"/>
          <w:highlight w:val="none"/>
        </w:rPr>
      </w:pPr>
      <w:r>
        <w:rPr>
          <w:rFonts w:hint="eastAsia" w:hAnsi="宋体"/>
          <w:color w:val="auto"/>
          <w:sz w:val="24"/>
          <w:szCs w:val="24"/>
          <w:highlight w:val="none"/>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（一）提供虚假材料谋取中标、中标的；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（二）采取不正当手段诋毁、排挤其他投标人的；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（三）与采购人、其它投标人或者采购代理机构恶意串通的；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（四）向采购人、采购代理机构行贿或者提供其他不正当利益的；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（五）在招标采购过程中与采购人进行协商谈判的；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（六）拒绝有关部门监督检查或提供虚假情况的。</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10、如中标，本投标文件至本项目合同履行完毕止均保持有效，我方将按招标文件及政府采购法律、法规的规定履行合同责任和义务。</w:t>
      </w:r>
    </w:p>
    <w:p>
      <w:pPr>
        <w:pStyle w:val="103"/>
        <w:spacing w:line="360" w:lineRule="auto"/>
        <w:ind w:firstLine="240" w:firstLineChars="100"/>
        <w:rPr>
          <w:rFonts w:hAnsi="宋体"/>
          <w:color w:val="auto"/>
          <w:sz w:val="24"/>
          <w:szCs w:val="24"/>
          <w:highlight w:val="none"/>
        </w:rPr>
      </w:pPr>
      <w:r>
        <w:rPr>
          <w:rFonts w:hint="eastAsia" w:hAnsi="宋体"/>
          <w:color w:val="auto"/>
          <w:sz w:val="24"/>
          <w:szCs w:val="24"/>
          <w:highlight w:val="none"/>
        </w:rPr>
        <w:t>11、以上事项如有虚假或隐瞒，我方愿意承担一切不利后果，并不再寻求任何旨在减轻或免除法律责任。</w:t>
      </w:r>
    </w:p>
    <w:p>
      <w:pPr>
        <w:pStyle w:val="103"/>
        <w:spacing w:line="360" w:lineRule="auto"/>
        <w:ind w:firstLine="480"/>
        <w:rPr>
          <w:rFonts w:hAnsi="宋体"/>
          <w:color w:val="auto"/>
          <w:sz w:val="24"/>
          <w:szCs w:val="24"/>
          <w:highlight w:val="none"/>
        </w:rPr>
      </w:pPr>
      <w:r>
        <w:rPr>
          <w:rFonts w:hint="eastAsia" w:hAnsi="宋体"/>
          <w:color w:val="auto"/>
          <w:sz w:val="24"/>
          <w:szCs w:val="24"/>
          <w:highlight w:val="none"/>
        </w:rPr>
        <w:t>与本次投标有关的一切正式往来信函请寄：</w:t>
      </w:r>
    </w:p>
    <w:p>
      <w:pPr>
        <w:pStyle w:val="103"/>
        <w:spacing w:line="360" w:lineRule="auto"/>
        <w:ind w:firstLine="480"/>
        <w:rPr>
          <w:rFonts w:hAnsi="宋体"/>
          <w:color w:val="auto"/>
          <w:sz w:val="24"/>
          <w:szCs w:val="24"/>
          <w:highlight w:val="none"/>
        </w:rPr>
      </w:pPr>
      <w:r>
        <w:rPr>
          <w:rFonts w:hAnsi="宋体"/>
          <w:color w:val="auto"/>
          <w:sz w:val="24"/>
          <w:szCs w:val="24"/>
          <w:highlight w:val="none"/>
        </w:rPr>
        <w:t>地址：</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r>
        <w:rPr>
          <w:rFonts w:hAnsi="宋体"/>
          <w:color w:val="auto"/>
          <w:sz w:val="24"/>
          <w:szCs w:val="24"/>
          <w:highlight w:val="none"/>
        </w:rPr>
        <w:t xml:space="preserve">     邮编：</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r>
        <w:rPr>
          <w:rFonts w:hAnsi="宋体"/>
          <w:color w:val="auto"/>
          <w:sz w:val="24"/>
          <w:szCs w:val="24"/>
          <w:highlight w:val="none"/>
        </w:rPr>
        <w:t>　</w:t>
      </w:r>
    </w:p>
    <w:p>
      <w:pPr>
        <w:pStyle w:val="26"/>
        <w:spacing w:line="360" w:lineRule="auto"/>
        <w:ind w:firstLine="480" w:firstLineChars="200"/>
        <w:rPr>
          <w:rFonts w:hAnsi="宋体"/>
          <w:color w:val="auto"/>
          <w:sz w:val="24"/>
          <w:szCs w:val="24"/>
          <w:highlight w:val="none"/>
        </w:rPr>
      </w:pPr>
      <w:r>
        <w:rPr>
          <w:rFonts w:hAnsi="宋体"/>
          <w:color w:val="auto"/>
          <w:sz w:val="24"/>
          <w:szCs w:val="24"/>
          <w:highlight w:val="none"/>
        </w:rPr>
        <w:t>电话：</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r>
        <w:rPr>
          <w:rFonts w:hAnsi="宋体"/>
          <w:color w:val="auto"/>
          <w:sz w:val="24"/>
          <w:szCs w:val="24"/>
          <w:highlight w:val="none"/>
        </w:rPr>
        <w:t xml:space="preserve">     传真：</w:t>
      </w:r>
      <w:r>
        <w:rPr>
          <w:rFonts w:hAnsi="宋体"/>
          <w:color w:val="auto"/>
          <w:spacing w:val="20"/>
          <w:sz w:val="24"/>
          <w:szCs w:val="24"/>
          <w:highlight w:val="none"/>
          <w:u w:val="single"/>
        </w:rPr>
        <w:t xml:space="preserve">        </w:t>
      </w:r>
      <w:r>
        <w:rPr>
          <w:rFonts w:hint="eastAsia" w:hAnsi="宋体"/>
          <w:color w:val="auto"/>
          <w:spacing w:val="20"/>
          <w:sz w:val="24"/>
          <w:szCs w:val="24"/>
          <w:highlight w:val="none"/>
          <w:u w:val="single"/>
        </w:rPr>
        <w:t xml:space="preserve"> </w:t>
      </w:r>
      <w:r>
        <w:rPr>
          <w:rFonts w:hAnsi="宋体"/>
          <w:color w:val="auto"/>
          <w:spacing w:val="20"/>
          <w:sz w:val="24"/>
          <w:szCs w:val="24"/>
          <w:highlight w:val="none"/>
          <w:u w:val="single"/>
        </w:rPr>
        <w:t xml:space="preserve">  </w:t>
      </w:r>
    </w:p>
    <w:p>
      <w:pPr>
        <w:pStyle w:val="260"/>
        <w:spacing w:line="360" w:lineRule="auto"/>
        <w:rPr>
          <w:rFonts w:ascii="宋体" w:hAnsi="宋体"/>
          <w:bCs/>
          <w:color w:val="auto"/>
          <w:sz w:val="24"/>
          <w:szCs w:val="24"/>
          <w:highlight w:val="none"/>
        </w:rPr>
      </w:pPr>
    </w:p>
    <w:p>
      <w:pPr>
        <w:pStyle w:val="224"/>
        <w:spacing w:line="360" w:lineRule="auto"/>
        <w:rPr>
          <w:rFonts w:hAnsi="宋体"/>
          <w:color w:val="auto"/>
          <w:sz w:val="24"/>
          <w:szCs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jc w:val="left"/>
        <w:rPr>
          <w:rFonts w:ascii="宋体" w:hAnsi="宋体"/>
          <w:color w:val="auto"/>
          <w:spacing w:val="20"/>
          <w:sz w:val="24"/>
          <w:highlight w:val="none"/>
          <w:u w:val="single"/>
        </w:rPr>
      </w:pPr>
    </w:p>
    <w:p>
      <w:pPr>
        <w:pStyle w:val="103"/>
        <w:spacing w:line="360" w:lineRule="auto"/>
        <w:rPr>
          <w:rFonts w:hAnsi="宋体"/>
          <w:color w:val="auto"/>
          <w:sz w:val="24"/>
          <w:szCs w:val="24"/>
          <w:highlight w:val="none"/>
        </w:rPr>
      </w:pPr>
    </w:p>
    <w:p>
      <w:pPr>
        <w:pStyle w:val="103"/>
        <w:spacing w:line="360" w:lineRule="auto"/>
        <w:rPr>
          <w:rFonts w:hAnsi="宋体"/>
          <w:color w:val="auto"/>
          <w:sz w:val="24"/>
          <w:szCs w:val="24"/>
          <w:highlight w:val="none"/>
        </w:rPr>
      </w:pPr>
      <w:r>
        <w:rPr>
          <w:rFonts w:hint="eastAsia" w:hAnsi="宋体"/>
          <w:color w:val="auto"/>
          <w:sz w:val="24"/>
          <w:szCs w:val="24"/>
          <w:highlight w:val="none"/>
        </w:rPr>
        <w:t>注：按照本声明书要求填报。</w:t>
      </w:r>
    </w:p>
    <w:p>
      <w:pPr>
        <w:pStyle w:val="5"/>
        <w:spacing w:before="0" w:after="0"/>
        <w:ind w:firstLine="0" w:firstLineChars="0"/>
        <w:jc w:val="center"/>
        <w:rPr>
          <w:color w:val="auto"/>
          <w:sz w:val="24"/>
          <w:szCs w:val="24"/>
          <w:highlight w:val="none"/>
        </w:rPr>
        <w:sectPr>
          <w:pgSz w:w="11906" w:h="16838"/>
          <w:pgMar w:top="1440" w:right="1440" w:bottom="1440" w:left="1440" w:header="851" w:footer="851" w:gutter="0"/>
          <w:cols w:space="720" w:num="1"/>
          <w:docGrid w:linePitch="312" w:charSpace="0"/>
        </w:sectPr>
      </w:pPr>
      <w:bookmarkStart w:id="277" w:name="_Toc493956060"/>
    </w:p>
    <w:bookmarkEnd w:id="277"/>
    <w:p>
      <w:pPr>
        <w:pStyle w:val="5"/>
        <w:spacing w:before="0" w:after="0"/>
        <w:ind w:firstLine="0" w:firstLineChars="0"/>
        <w:jc w:val="left"/>
        <w:rPr>
          <w:rFonts w:ascii="宋体" w:hAnsi="宋体" w:eastAsia="宋体"/>
          <w:color w:val="auto"/>
          <w:sz w:val="24"/>
          <w:szCs w:val="24"/>
          <w:highlight w:val="none"/>
        </w:rPr>
      </w:pPr>
      <w:bookmarkStart w:id="278" w:name="_Toc493956067"/>
      <w:bookmarkStart w:id="279" w:name="_Toc530551891"/>
      <w:bookmarkStart w:id="280" w:name="_Toc531359064"/>
    </w:p>
    <w:p>
      <w:pPr>
        <w:pStyle w:val="5"/>
        <w:spacing w:before="0" w:after="0"/>
        <w:ind w:firstLine="0" w:firstLineChars="0"/>
        <w:jc w:val="left"/>
        <w:rPr>
          <w:rFonts w:ascii="宋体" w:hAnsi="宋体" w:eastAsia="宋体"/>
          <w:color w:val="auto"/>
          <w:sz w:val="24"/>
          <w:szCs w:val="24"/>
          <w:highlight w:val="none"/>
        </w:rPr>
      </w:pPr>
      <w:bookmarkStart w:id="281" w:name="_Toc18550"/>
      <w:r>
        <w:rPr>
          <w:rFonts w:hint="eastAsia" w:ascii="宋体" w:hAnsi="宋体" w:eastAsia="宋体"/>
          <w:color w:val="auto"/>
          <w:sz w:val="24"/>
          <w:szCs w:val="24"/>
          <w:highlight w:val="none"/>
        </w:rPr>
        <w:t>2.</w:t>
      </w:r>
      <w:bookmarkEnd w:id="278"/>
      <w:bookmarkEnd w:id="279"/>
      <w:bookmarkEnd w:id="280"/>
      <w:r>
        <w:rPr>
          <w:rFonts w:hint="eastAsia" w:ascii="宋体" w:hAnsi="宋体" w:eastAsia="宋体"/>
          <w:color w:val="auto"/>
          <w:sz w:val="24"/>
          <w:szCs w:val="24"/>
          <w:highlight w:val="none"/>
        </w:rPr>
        <w:t>4     保洁管理计划</w:t>
      </w:r>
      <w:bookmarkEnd w:id="281"/>
    </w:p>
    <w:p>
      <w:pPr>
        <w:spacing w:line="360" w:lineRule="auto"/>
        <w:rPr>
          <w:rFonts w:ascii="宋体" w:hAnsi="宋体" w:cs="宋体"/>
          <w:color w:val="auto"/>
          <w:sz w:val="24"/>
          <w:highlight w:val="none"/>
        </w:rPr>
      </w:pPr>
      <w:r>
        <w:rPr>
          <w:rFonts w:hint="eastAsia" w:ascii="宋体" w:hAnsi="宋体" w:cs="宋体"/>
          <w:color w:val="auto"/>
          <w:sz w:val="24"/>
          <w:highlight w:val="none"/>
        </w:rPr>
        <w:t>内容包括：</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1.保洁方案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2.突破传统运作模式，保洁管理、作业措施有创新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3.制定的突击保障任务和突发事件的处理方案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w:t>
      </w:r>
    </w:p>
    <w:p>
      <w:pPr>
        <w:spacing w:line="360" w:lineRule="auto"/>
        <w:rPr>
          <w:rFonts w:ascii="宋体" w:hAnsi="宋体" w:cs="宋体"/>
          <w:color w:val="auto"/>
          <w:sz w:val="24"/>
          <w:highlight w:val="none"/>
        </w:rPr>
      </w:pPr>
    </w:p>
    <w:p>
      <w:pPr>
        <w:pStyle w:val="6"/>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jc w:val="center"/>
        <w:rPr>
          <w:rFonts w:ascii="宋体" w:hAnsi="宋体"/>
          <w:color w:val="auto"/>
          <w:sz w:val="24"/>
          <w:szCs w:val="24"/>
          <w:highlight w:val="none"/>
        </w:rPr>
      </w:pPr>
    </w:p>
    <w:p>
      <w:pPr>
        <w:pStyle w:val="6"/>
        <w:jc w:val="center"/>
        <w:rPr>
          <w:rFonts w:ascii="宋体" w:hAnsi="宋体"/>
          <w:color w:val="auto"/>
          <w:sz w:val="24"/>
          <w:szCs w:val="24"/>
          <w:highlight w:val="none"/>
        </w:rPr>
      </w:pPr>
    </w:p>
    <w:p>
      <w:pPr>
        <w:pStyle w:val="6"/>
        <w:jc w:val="center"/>
        <w:rPr>
          <w:rFonts w:ascii="宋体" w:hAnsi="宋体"/>
          <w:color w:val="auto"/>
          <w:sz w:val="24"/>
          <w:szCs w:val="24"/>
          <w:highlight w:val="none"/>
        </w:rPr>
      </w:pPr>
    </w:p>
    <w:p>
      <w:pPr>
        <w:pStyle w:val="6"/>
        <w:rPr>
          <w:color w:val="auto"/>
          <w:highlight w:val="none"/>
        </w:rPr>
      </w:pPr>
    </w:p>
    <w:p>
      <w:pPr>
        <w:pStyle w:val="214"/>
        <w:spacing w:line="360" w:lineRule="auto"/>
        <w:ind w:firstLine="480"/>
        <w:jc w:val="center"/>
        <w:rPr>
          <w:rFonts w:ascii="宋体" w:hAnsi="宋体"/>
          <w:color w:val="auto"/>
          <w:sz w:val="24"/>
          <w:highlight w:val="none"/>
          <w:u w:val="single"/>
        </w:rPr>
      </w:pPr>
      <w:r>
        <w:rPr>
          <w:rFonts w:hint="eastAsia" w:ascii="宋体" w:hAnsi="宋体"/>
          <w:color w:val="auto"/>
          <w:sz w:val="24"/>
          <w:highlight w:val="none"/>
        </w:rPr>
        <w:t xml:space="preserve">                                        </w:t>
      </w: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center"/>
        <w:rPr>
          <w:rFonts w:ascii="宋体" w:hAnsi="宋体"/>
          <w:color w:val="auto"/>
          <w:sz w:val="24"/>
          <w:highlight w:val="none"/>
          <w:u w:val="single"/>
        </w:rPr>
      </w:pPr>
      <w:r>
        <w:rPr>
          <w:rFonts w:hint="eastAsia" w:ascii="宋体" w:hAnsi="宋体"/>
          <w:color w:val="auto"/>
          <w:sz w:val="24"/>
          <w:highlight w:val="none"/>
        </w:rPr>
        <w:t xml:space="preserve">                       </w:t>
      </w: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pStyle w:val="214"/>
        <w:spacing w:line="440" w:lineRule="exact"/>
        <w:jc w:val="left"/>
        <w:rPr>
          <w:rFonts w:ascii="宋体" w:hAnsi="宋体"/>
          <w:color w:val="auto"/>
          <w:spacing w:val="20"/>
          <w:sz w:val="24"/>
          <w:highlight w:val="none"/>
          <w:u w:val="single"/>
        </w:rPr>
      </w:pPr>
    </w:p>
    <w:p>
      <w:pPr>
        <w:pStyle w:val="5"/>
        <w:spacing w:before="0" w:after="0"/>
        <w:ind w:firstLine="0" w:firstLineChars="0"/>
        <w:jc w:val="left"/>
        <w:rPr>
          <w:rFonts w:ascii="宋体" w:hAnsi="宋体" w:eastAsia="宋体"/>
          <w:color w:val="auto"/>
          <w:sz w:val="24"/>
          <w:szCs w:val="24"/>
          <w:highlight w:val="none"/>
        </w:rPr>
      </w:pPr>
      <w:bookmarkStart w:id="282" w:name="_Toc531359065"/>
      <w:r>
        <w:rPr>
          <w:rFonts w:ascii="宋体" w:hAnsi="宋体" w:eastAsia="宋体"/>
          <w:color w:val="auto"/>
          <w:sz w:val="24"/>
          <w:szCs w:val="24"/>
          <w:highlight w:val="none"/>
        </w:rPr>
        <w:br w:type="page"/>
      </w:r>
    </w:p>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83" w:name="_Toc12443"/>
      <w:r>
        <w:rPr>
          <w:rFonts w:hint="eastAsia" w:ascii="宋体" w:hAnsi="宋体" w:eastAsia="宋体"/>
          <w:color w:val="auto"/>
          <w:sz w:val="24"/>
          <w:szCs w:val="24"/>
          <w:highlight w:val="none"/>
        </w:rPr>
        <w:t>2.5   保洁作业力量保障</w:t>
      </w:r>
      <w:bookmarkEnd w:id="283"/>
    </w:p>
    <w:p>
      <w:pPr>
        <w:spacing w:line="360" w:lineRule="auto"/>
        <w:rPr>
          <w:rFonts w:ascii="宋体" w:hAnsi="宋体" w:cs="宋体"/>
          <w:color w:val="auto"/>
          <w:sz w:val="24"/>
          <w:highlight w:val="none"/>
        </w:rPr>
      </w:pPr>
      <w:r>
        <w:rPr>
          <w:rFonts w:hint="eastAsia" w:ascii="宋体" w:hAnsi="宋体" w:cs="宋体"/>
          <w:color w:val="auto"/>
          <w:sz w:val="24"/>
          <w:highlight w:val="none"/>
        </w:rPr>
        <w:t>内容包括：</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 人员配置方案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机具配置方案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3.其他</w:t>
      </w:r>
    </w:p>
    <w:p>
      <w:pPr>
        <w:spacing w:line="360" w:lineRule="auto"/>
        <w:ind w:firstLine="480" w:firstLineChars="200"/>
        <w:rPr>
          <w:rFonts w:ascii="仿宋_GB2312" w:eastAsia="仿宋_GB2312"/>
          <w:color w:val="auto"/>
          <w:sz w:val="24"/>
          <w:highlight w:val="none"/>
        </w:rPr>
      </w:pPr>
    </w:p>
    <w:p>
      <w:pPr>
        <w:pStyle w:val="6"/>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jc w:val="center"/>
        <w:rPr>
          <w:rFonts w:ascii="宋体" w:hAnsi="宋体"/>
          <w:color w:val="auto"/>
          <w:sz w:val="24"/>
          <w:szCs w:val="24"/>
          <w:highlight w:val="none"/>
        </w:rPr>
      </w:pPr>
    </w:p>
    <w:p>
      <w:pPr>
        <w:pStyle w:val="6"/>
        <w:rPr>
          <w:rFonts w:ascii="仿宋_GB2312" w:eastAsia="仿宋_GB2312"/>
          <w:color w:val="auto"/>
          <w:sz w:val="24"/>
          <w:highlight w:val="none"/>
        </w:rPr>
      </w:pPr>
    </w:p>
    <w:p>
      <w:pPr>
        <w:pStyle w:val="6"/>
        <w:rPr>
          <w:rFonts w:ascii="仿宋_GB2312" w:eastAsia="仿宋_GB2312"/>
          <w:color w:val="auto"/>
          <w:sz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5520" w:firstLineChars="2300"/>
        <w:rPr>
          <w:rFonts w:ascii="仿宋_GB2312" w:eastAsia="仿宋_GB2312"/>
          <w:color w:val="auto"/>
          <w:sz w:val="24"/>
          <w:highlight w:val="none"/>
        </w:rPr>
      </w:pPr>
      <w:r>
        <w:rPr>
          <w:rFonts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p>
    <w:p>
      <w:pPr>
        <w:spacing w:line="360" w:lineRule="auto"/>
        <w:ind w:firstLine="480" w:firstLineChars="200"/>
        <w:jc w:val="center"/>
        <w:rPr>
          <w:rFonts w:ascii="仿宋_GB2312" w:eastAsia="仿宋_GB2312"/>
          <w:color w:val="auto"/>
          <w:sz w:val="24"/>
          <w:highlight w:val="none"/>
        </w:rPr>
      </w:pPr>
    </w:p>
    <w:p>
      <w:pPr>
        <w:pStyle w:val="5"/>
        <w:spacing w:before="0" w:after="0"/>
        <w:ind w:firstLine="0" w:firstLineChars="0"/>
        <w:jc w:val="left"/>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84" w:name="_Toc31018"/>
      <w:r>
        <w:rPr>
          <w:rFonts w:hint="eastAsia" w:ascii="宋体" w:hAnsi="宋体" w:eastAsia="宋体"/>
          <w:color w:val="auto"/>
          <w:sz w:val="24"/>
          <w:szCs w:val="24"/>
          <w:highlight w:val="none"/>
        </w:rPr>
        <w:t>2.6    项目交接平稳过渡计划和人员维稳管理及安全生产排除方案</w:t>
      </w:r>
      <w:bookmarkEnd w:id="284"/>
    </w:p>
    <w:bookmarkEnd w:id="282"/>
    <w:p>
      <w:pPr>
        <w:pStyle w:val="75"/>
        <w:spacing w:line="360" w:lineRule="auto"/>
        <w:jc w:val="left"/>
        <w:rPr>
          <w:rFonts w:ascii="宋体" w:hAnsi="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内容要求：</w:t>
      </w:r>
    </w:p>
    <w:p>
      <w:pPr>
        <w:pStyle w:val="75"/>
        <w:spacing w:line="360" w:lineRule="auto"/>
        <w:jc w:val="left"/>
        <w:rPr>
          <w:rFonts w:ascii="宋体" w:hAnsi="宋体" w:cs="宋体"/>
          <w:color w:val="auto"/>
          <w:sz w:val="24"/>
          <w:highlight w:val="none"/>
        </w:rPr>
      </w:pPr>
      <w:r>
        <w:rPr>
          <w:rFonts w:hint="eastAsia" w:ascii="宋体" w:hAnsi="宋体" w:cs="宋体"/>
          <w:color w:val="auto"/>
          <w:sz w:val="24"/>
          <w:highlight w:val="none"/>
        </w:rPr>
        <w:t>1、投标人根据自身特点提供合理的方案。</w:t>
      </w:r>
    </w:p>
    <w:p>
      <w:pPr>
        <w:pStyle w:val="75"/>
        <w:spacing w:line="360" w:lineRule="auto"/>
        <w:jc w:val="left"/>
        <w:rPr>
          <w:rFonts w:ascii="宋体" w:hAnsi="宋体"/>
          <w:color w:val="auto"/>
          <w:sz w:val="24"/>
          <w:highlight w:val="none"/>
        </w:rPr>
      </w:pPr>
    </w:p>
    <w:p>
      <w:pPr>
        <w:pStyle w:val="75"/>
        <w:spacing w:line="360" w:lineRule="auto"/>
        <w:jc w:val="center"/>
        <w:rPr>
          <w:rFonts w:ascii="宋体" w:hAnsi="宋体"/>
          <w:color w:val="auto"/>
          <w:sz w:val="24"/>
          <w:highlight w:val="none"/>
        </w:rPr>
      </w:pPr>
      <w:r>
        <w:rPr>
          <w:rFonts w:hint="eastAsia" w:ascii="宋体" w:hAnsi="宋体"/>
          <w:color w:val="auto"/>
          <w:sz w:val="24"/>
          <w:highlight w:val="none"/>
        </w:rPr>
        <w:t>（格式自行设计）</w:t>
      </w:r>
    </w:p>
    <w:p>
      <w:pPr>
        <w:pStyle w:val="36"/>
        <w:snapToGrid w:val="0"/>
        <w:ind w:left="480" w:hanging="480"/>
        <w:jc w:val="left"/>
        <w:rPr>
          <w:rFonts w:ascii="宋体" w:hAnsi="宋体"/>
          <w:color w:val="auto"/>
          <w:sz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75"/>
        <w:spacing w:line="360" w:lineRule="auto"/>
        <w:jc w:val="left"/>
        <w:rPr>
          <w:rFonts w:ascii="仿宋_GB2312" w:eastAsia="仿宋_GB2312"/>
          <w:color w:val="auto"/>
          <w:sz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85" w:name="_Toc531359066"/>
      <w:r>
        <w:rPr>
          <w:rFonts w:hint="eastAsia" w:ascii="宋体" w:hAnsi="宋体" w:eastAsia="宋体"/>
          <w:color w:val="auto"/>
          <w:sz w:val="24"/>
          <w:szCs w:val="24"/>
          <w:highlight w:val="none"/>
        </w:rPr>
        <w:br w:type="page"/>
      </w:r>
    </w:p>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86" w:name="_Toc7924"/>
      <w:r>
        <w:rPr>
          <w:rFonts w:hint="eastAsia" w:ascii="宋体" w:hAnsi="宋体" w:eastAsia="宋体"/>
          <w:color w:val="auto"/>
          <w:sz w:val="24"/>
          <w:szCs w:val="24"/>
          <w:highlight w:val="none"/>
        </w:rPr>
        <w:t xml:space="preserve">2.7   </w:t>
      </w:r>
      <w:bookmarkEnd w:id="285"/>
      <w:r>
        <w:rPr>
          <w:rFonts w:hint="eastAsia" w:ascii="宋体" w:hAnsi="宋体" w:eastAsia="宋体"/>
          <w:color w:val="auto"/>
          <w:sz w:val="24"/>
          <w:szCs w:val="24"/>
          <w:highlight w:val="none"/>
        </w:rPr>
        <w:t>综合协调方案</w:t>
      </w:r>
      <w:bookmarkEnd w:id="286"/>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内容要求:</w:t>
      </w:r>
    </w:p>
    <w:p>
      <w:pPr>
        <w:pStyle w:val="75"/>
        <w:numPr>
          <w:ilvl w:val="0"/>
          <w:numId w:val="12"/>
        </w:numPr>
        <w:spacing w:line="360" w:lineRule="auto"/>
        <w:rPr>
          <w:rFonts w:ascii="宋体" w:hAnsi="宋体" w:cs="宋体"/>
          <w:color w:val="auto"/>
          <w:sz w:val="24"/>
          <w:highlight w:val="none"/>
        </w:rPr>
      </w:pPr>
      <w:r>
        <w:rPr>
          <w:rFonts w:hint="eastAsia" w:ascii="宋体" w:hAnsi="宋体" w:cs="宋体"/>
          <w:color w:val="auto"/>
          <w:sz w:val="24"/>
          <w:highlight w:val="none"/>
        </w:rPr>
        <w:t>投标人应根据本项目特点提供完整的处理方案</w:t>
      </w:r>
    </w:p>
    <w:p>
      <w:pPr>
        <w:spacing w:line="360" w:lineRule="auto"/>
        <w:rPr>
          <w:rFonts w:ascii="宋体" w:hAnsi="宋体"/>
          <w:color w:val="auto"/>
          <w:sz w:val="24"/>
          <w:szCs w:val="24"/>
          <w:highlight w:val="none"/>
        </w:rPr>
      </w:pPr>
    </w:p>
    <w:p>
      <w:pPr>
        <w:pStyle w:val="6"/>
        <w:rPr>
          <w:rFonts w:ascii="宋体" w:hAnsi="宋体"/>
          <w:color w:val="auto"/>
          <w:sz w:val="24"/>
          <w:szCs w:val="24"/>
          <w:highlight w:val="none"/>
        </w:rPr>
      </w:pPr>
    </w:p>
    <w:p>
      <w:pPr>
        <w:pStyle w:val="6"/>
        <w:rPr>
          <w:rFonts w:ascii="宋体" w:hAnsi="宋体"/>
          <w:color w:val="auto"/>
          <w:sz w:val="24"/>
          <w:szCs w:val="24"/>
          <w:highlight w:val="none"/>
        </w:rPr>
      </w:pPr>
    </w:p>
    <w:p>
      <w:pPr>
        <w:pStyle w:val="6"/>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jc w:val="center"/>
        <w:rPr>
          <w:rFonts w:ascii="宋体" w:hAnsi="宋体"/>
          <w:color w:val="auto"/>
          <w:sz w:val="24"/>
          <w:szCs w:val="24"/>
          <w:highlight w:val="none"/>
        </w:rPr>
      </w:pPr>
    </w:p>
    <w:p>
      <w:pPr>
        <w:pStyle w:val="6"/>
        <w:jc w:val="center"/>
        <w:rPr>
          <w:rFonts w:ascii="宋体" w:hAnsi="宋体"/>
          <w:color w:val="auto"/>
          <w:sz w:val="24"/>
          <w:szCs w:val="24"/>
          <w:highlight w:val="none"/>
        </w:rPr>
      </w:pPr>
    </w:p>
    <w:p>
      <w:pPr>
        <w:pStyle w:val="6"/>
        <w:jc w:val="center"/>
        <w:rPr>
          <w:rFonts w:ascii="宋体" w:hAnsi="宋体"/>
          <w:color w:val="auto"/>
          <w:sz w:val="24"/>
          <w:szCs w:val="24"/>
          <w:highlight w:val="none"/>
        </w:rPr>
      </w:pPr>
    </w:p>
    <w:p>
      <w:pPr>
        <w:pStyle w:val="6"/>
        <w:jc w:val="center"/>
        <w:rPr>
          <w:rFonts w:ascii="宋体" w:hAnsi="宋体"/>
          <w:color w:val="auto"/>
          <w:sz w:val="24"/>
          <w:szCs w:val="24"/>
          <w:highlight w:val="none"/>
        </w:rPr>
      </w:pPr>
    </w:p>
    <w:p>
      <w:pPr>
        <w:pStyle w:val="36"/>
        <w:snapToGrid w:val="0"/>
        <w:ind w:left="480" w:hanging="480"/>
        <w:jc w:val="left"/>
        <w:rPr>
          <w:rFonts w:ascii="宋体" w:hAnsi="宋体"/>
          <w:color w:val="auto"/>
          <w:sz w:val="24"/>
          <w:highlight w:val="none"/>
        </w:rPr>
      </w:pPr>
      <w:bookmarkStart w:id="287" w:name="_Toc530551892"/>
      <w:bookmarkStart w:id="288" w:name="_Toc493956068"/>
    </w:p>
    <w:p>
      <w:pPr>
        <w:pStyle w:val="214"/>
        <w:spacing w:line="360" w:lineRule="auto"/>
        <w:ind w:firstLine="480"/>
        <w:jc w:val="right"/>
        <w:rPr>
          <w:rFonts w:ascii="宋体" w:hAnsi="宋体"/>
          <w:color w:val="auto"/>
          <w:sz w:val="24"/>
          <w:highlight w:val="none"/>
          <w:u w:val="single"/>
        </w:rPr>
      </w:pPr>
      <w:bookmarkStart w:id="289" w:name="_Toc531359067"/>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jc w:val="left"/>
        <w:rPr>
          <w:rFonts w:ascii="仿宋_GB2312" w:hAnsi="Courier New" w:eastAsia="仿宋_GB2312"/>
          <w:color w:val="auto"/>
          <w:sz w:val="24"/>
          <w:szCs w:val="21"/>
          <w:highlight w:val="none"/>
          <w:u w:val="single"/>
        </w:rPr>
      </w:pPr>
    </w:p>
    <w:p>
      <w:pPr>
        <w:pStyle w:val="214"/>
        <w:spacing w:line="360" w:lineRule="auto"/>
        <w:jc w:val="left"/>
        <w:rPr>
          <w:rFonts w:ascii="仿宋_GB2312" w:hAnsi="Courier New" w:eastAsia="仿宋_GB2312"/>
          <w:color w:val="auto"/>
          <w:sz w:val="24"/>
          <w:szCs w:val="21"/>
          <w:highlight w:val="none"/>
          <w:u w:val="single"/>
        </w:rPr>
      </w:pPr>
    </w:p>
    <w:p>
      <w:pPr>
        <w:pStyle w:val="5"/>
        <w:spacing w:before="0" w:after="0"/>
        <w:ind w:firstLine="0" w:firstLineChars="0"/>
        <w:jc w:val="left"/>
        <w:rPr>
          <w:rFonts w:ascii="宋体" w:hAnsi="宋体" w:eastAsia="宋体"/>
          <w:color w:val="auto"/>
          <w:sz w:val="21"/>
          <w:szCs w:val="21"/>
          <w:highlight w:val="none"/>
        </w:rPr>
      </w:pPr>
      <w:r>
        <w:rPr>
          <w:rFonts w:ascii="宋体" w:hAnsi="宋体" w:eastAsia="宋体"/>
          <w:color w:val="auto"/>
          <w:sz w:val="21"/>
          <w:szCs w:val="21"/>
          <w:highlight w:val="none"/>
        </w:rPr>
        <w:br w:type="page"/>
      </w:r>
    </w:p>
    <w:p>
      <w:pPr>
        <w:pStyle w:val="5"/>
        <w:spacing w:before="0" w:after="0"/>
        <w:ind w:firstLine="0" w:firstLineChars="0"/>
        <w:jc w:val="left"/>
        <w:rPr>
          <w:rFonts w:ascii="宋体" w:hAnsi="宋体" w:eastAsia="宋体"/>
          <w:color w:val="auto"/>
          <w:sz w:val="21"/>
          <w:szCs w:val="21"/>
          <w:highlight w:val="none"/>
        </w:rPr>
      </w:pPr>
    </w:p>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90" w:name="_Toc26594"/>
      <w:r>
        <w:rPr>
          <w:rFonts w:hint="eastAsia" w:ascii="宋体" w:hAnsi="宋体" w:eastAsia="宋体"/>
          <w:color w:val="auto"/>
          <w:sz w:val="24"/>
          <w:szCs w:val="24"/>
          <w:highlight w:val="none"/>
        </w:rPr>
        <w:t xml:space="preserve">2.8  </w:t>
      </w:r>
      <w:bookmarkEnd w:id="287"/>
      <w:bookmarkEnd w:id="288"/>
      <w:bookmarkEnd w:id="289"/>
      <w:r>
        <w:rPr>
          <w:rFonts w:hint="eastAsia" w:ascii="宋体" w:hAnsi="宋体" w:eastAsia="宋体"/>
          <w:color w:val="auto"/>
          <w:sz w:val="24"/>
          <w:szCs w:val="24"/>
          <w:highlight w:val="none"/>
        </w:rPr>
        <w:t xml:space="preserve"> 保洁管理制度、措施</w:t>
      </w:r>
      <w:bookmarkEnd w:id="290"/>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内容要求：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1、质量管理体系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2、组织管理体系</w:t>
      </w:r>
    </w:p>
    <w:p>
      <w:pPr>
        <w:pStyle w:val="222"/>
        <w:spacing w:line="400" w:lineRule="exact"/>
        <w:ind w:firstLine="480" w:firstLineChars="200"/>
        <w:jc w:val="center"/>
        <w:rPr>
          <w:rFonts w:ascii="宋体" w:hAnsi="宋体"/>
          <w:color w:val="auto"/>
          <w:sz w:val="24"/>
          <w:highlight w:val="none"/>
        </w:rPr>
      </w:pPr>
    </w:p>
    <w:p>
      <w:pPr>
        <w:pStyle w:val="222"/>
        <w:spacing w:line="400" w:lineRule="exact"/>
        <w:ind w:firstLine="480" w:firstLineChars="200"/>
        <w:jc w:val="center"/>
        <w:rPr>
          <w:rFonts w:ascii="宋体" w:hAnsi="宋体" w:cs="宋体"/>
          <w:b/>
          <w:bCs/>
          <w:color w:val="auto"/>
          <w:sz w:val="24"/>
          <w:highlight w:val="none"/>
        </w:rPr>
      </w:pPr>
      <w:r>
        <w:rPr>
          <w:rFonts w:hint="eastAsia" w:ascii="宋体" w:hAnsi="宋体"/>
          <w:color w:val="auto"/>
          <w:sz w:val="24"/>
          <w:highlight w:val="none"/>
        </w:rPr>
        <w:t>（格式自行设计）</w:t>
      </w:r>
    </w:p>
    <w:p>
      <w:pPr>
        <w:pStyle w:val="214"/>
        <w:spacing w:line="400" w:lineRule="exact"/>
        <w:rPr>
          <w:rFonts w:ascii="宋体" w:hAnsi="宋体" w:cs="宋体"/>
          <w:color w:val="auto"/>
          <w:spacing w:val="20"/>
          <w:sz w:val="24"/>
          <w:highlight w:val="none"/>
        </w:rPr>
      </w:pPr>
    </w:p>
    <w:p>
      <w:pPr>
        <w:pStyle w:val="214"/>
        <w:spacing w:line="360" w:lineRule="auto"/>
        <w:ind w:firstLine="480"/>
        <w:jc w:val="right"/>
        <w:rPr>
          <w:rFonts w:ascii="宋体" w:hAnsi="宋体" w:cs="宋体"/>
          <w:color w:val="auto"/>
          <w:sz w:val="24"/>
          <w:highlight w:val="none"/>
        </w:rPr>
      </w:pPr>
    </w:p>
    <w:p>
      <w:pPr>
        <w:pStyle w:val="214"/>
        <w:spacing w:line="360" w:lineRule="auto"/>
        <w:ind w:firstLine="480"/>
        <w:jc w:val="right"/>
        <w:rPr>
          <w:rFonts w:ascii="宋体" w:hAnsi="宋体" w:cs="宋体"/>
          <w:color w:val="auto"/>
          <w:sz w:val="24"/>
          <w:highlight w:val="none"/>
        </w:rPr>
      </w:pPr>
    </w:p>
    <w:p>
      <w:pPr>
        <w:pStyle w:val="214"/>
        <w:spacing w:line="360" w:lineRule="auto"/>
        <w:ind w:firstLine="480"/>
        <w:jc w:val="right"/>
        <w:rPr>
          <w:rFonts w:ascii="宋体" w:hAnsi="宋体" w:cs="宋体"/>
          <w:color w:val="auto"/>
          <w:sz w:val="24"/>
          <w:highlight w:val="none"/>
          <w:u w:val="single"/>
        </w:rPr>
      </w:pPr>
      <w:r>
        <w:rPr>
          <w:rFonts w:hint="eastAsia" w:ascii="宋体" w:hAnsi="宋体" w:cs="宋体"/>
          <w:color w:val="auto"/>
          <w:sz w:val="24"/>
          <w:highlight w:val="none"/>
        </w:rPr>
        <w:t>投标人盖章：</w:t>
      </w:r>
      <w:r>
        <w:rPr>
          <w:rFonts w:hint="eastAsia" w:ascii="宋体" w:hAnsi="宋体" w:cs="宋体"/>
          <w:color w:val="auto"/>
          <w:sz w:val="24"/>
          <w:highlight w:val="none"/>
          <w:u w:val="single"/>
        </w:rPr>
        <w:t xml:space="preserve">               。</w:t>
      </w:r>
    </w:p>
    <w:p>
      <w:pPr>
        <w:pStyle w:val="214"/>
        <w:spacing w:line="360" w:lineRule="auto"/>
        <w:ind w:firstLine="480"/>
        <w:jc w:val="right"/>
        <w:rPr>
          <w:rFonts w:ascii="宋体" w:hAnsi="宋体" w:cs="宋体"/>
          <w:color w:val="auto"/>
          <w:sz w:val="24"/>
          <w:highlight w:val="none"/>
          <w:u w:val="single"/>
        </w:r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pStyle w:val="214"/>
        <w:spacing w:line="360" w:lineRule="auto"/>
        <w:rPr>
          <w:rFonts w:hAnsi="宋体"/>
          <w:color w:val="auto"/>
          <w:sz w:val="24"/>
          <w:highlight w:val="none"/>
        </w:rPr>
      </w:pPr>
      <w:bookmarkStart w:id="291" w:name="_Toc531359068"/>
      <w:bookmarkStart w:id="292" w:name="_Toc493956070"/>
      <w:bookmarkStart w:id="293" w:name="_Toc530551894"/>
    </w:p>
    <w:p>
      <w:pPr>
        <w:pStyle w:val="214"/>
        <w:spacing w:line="360" w:lineRule="auto"/>
        <w:rPr>
          <w:rFonts w:hAnsi="宋体"/>
          <w:color w:val="auto"/>
          <w:sz w:val="24"/>
          <w:highlight w:val="none"/>
        </w:rPr>
      </w:pPr>
    </w:p>
    <w:bookmarkEnd w:id="291"/>
    <w:p>
      <w:pPr>
        <w:pStyle w:val="257"/>
        <w:spacing w:line="360" w:lineRule="auto"/>
        <w:jc w:val="left"/>
        <w:rPr>
          <w:rFonts w:ascii="宋体" w:hAnsi="宋体"/>
          <w:color w:val="auto"/>
          <w:szCs w:val="21"/>
          <w:highlight w:val="none"/>
        </w:rPr>
      </w:pPr>
    </w:p>
    <w:p>
      <w:pPr>
        <w:pStyle w:val="5"/>
        <w:spacing w:before="0" w:after="0"/>
        <w:ind w:firstLine="0" w:firstLineChars="0"/>
        <w:jc w:val="left"/>
        <w:rPr>
          <w:rFonts w:ascii="宋体" w:hAnsi="宋体" w:eastAsia="宋体"/>
          <w:color w:val="auto"/>
          <w:sz w:val="21"/>
          <w:szCs w:val="21"/>
          <w:highlight w:val="none"/>
        </w:rPr>
        <w:sectPr>
          <w:pgSz w:w="11906" w:h="16838"/>
          <w:pgMar w:top="1440" w:right="1440" w:bottom="1440" w:left="1440" w:header="851" w:footer="851" w:gutter="0"/>
          <w:cols w:space="720" w:num="1"/>
          <w:docGrid w:linePitch="312" w:charSpace="0"/>
        </w:sectPr>
      </w:pPr>
      <w:bookmarkStart w:id="294" w:name="_Toc531359069"/>
    </w:p>
    <w:p>
      <w:pPr>
        <w:pStyle w:val="5"/>
        <w:spacing w:before="0" w:after="0"/>
        <w:ind w:firstLine="0" w:firstLineChars="0"/>
        <w:jc w:val="left"/>
        <w:rPr>
          <w:rFonts w:ascii="宋体" w:hAnsi="宋体" w:eastAsia="宋体"/>
          <w:color w:val="auto"/>
          <w:sz w:val="24"/>
          <w:szCs w:val="24"/>
          <w:highlight w:val="none"/>
        </w:rPr>
      </w:pPr>
      <w:bookmarkStart w:id="295" w:name="_Toc29731"/>
      <w:r>
        <w:rPr>
          <w:rFonts w:hint="eastAsia" w:ascii="宋体" w:hAnsi="宋体" w:eastAsia="宋体"/>
          <w:color w:val="auto"/>
          <w:sz w:val="24"/>
          <w:szCs w:val="24"/>
          <w:highlight w:val="none"/>
        </w:rPr>
        <w:t xml:space="preserve">2.9   </w:t>
      </w:r>
      <w:bookmarkEnd w:id="294"/>
      <w:r>
        <w:rPr>
          <w:rFonts w:hint="eastAsia" w:ascii="宋体" w:hAnsi="宋体" w:eastAsia="宋体"/>
          <w:color w:val="auto"/>
          <w:sz w:val="24"/>
          <w:szCs w:val="24"/>
          <w:highlight w:val="none"/>
        </w:rPr>
        <w:t>企业管理制度</w:t>
      </w:r>
      <w:bookmarkEnd w:id="295"/>
    </w:p>
    <w:p>
      <w:pPr>
        <w:spacing w:line="360" w:lineRule="auto"/>
        <w:rPr>
          <w:rFonts w:ascii="宋体" w:hAnsi="宋体" w:cs="宋体"/>
          <w:color w:val="auto"/>
          <w:sz w:val="24"/>
          <w:highlight w:val="none"/>
        </w:rPr>
      </w:pPr>
      <w:r>
        <w:rPr>
          <w:rFonts w:hint="eastAsia" w:ascii="宋体" w:hAnsi="宋体" w:cs="宋体"/>
          <w:color w:val="auto"/>
          <w:sz w:val="24"/>
          <w:highlight w:val="none"/>
        </w:rPr>
        <w:t>内容要求:</w:t>
      </w:r>
    </w:p>
    <w:p>
      <w:pPr>
        <w:pStyle w:val="5"/>
        <w:spacing w:before="0" w:after="0"/>
        <w:ind w:firstLine="0" w:firstLineChars="0"/>
        <w:jc w:val="left"/>
        <w:rPr>
          <w:rFonts w:ascii="宋体" w:hAnsi="宋体" w:eastAsia="宋体" w:cs="宋体"/>
          <w:color w:val="auto"/>
          <w:sz w:val="24"/>
          <w:szCs w:val="24"/>
          <w:highlight w:val="none"/>
        </w:rPr>
      </w:pPr>
      <w:bookmarkStart w:id="296" w:name="_Toc6260"/>
      <w:r>
        <w:rPr>
          <w:rFonts w:hint="eastAsia" w:ascii="宋体" w:hAnsi="宋体" w:eastAsia="宋体" w:cs="宋体"/>
          <w:color w:val="auto"/>
          <w:sz w:val="24"/>
          <w:highlight w:val="none"/>
        </w:rPr>
        <w:t>1、投标人应根据本项目特点提供相应的企业管理制度</w:t>
      </w:r>
      <w:bookmarkEnd w:id="296"/>
    </w:p>
    <w:p>
      <w:pPr>
        <w:spacing w:line="360" w:lineRule="auto"/>
        <w:rPr>
          <w:rFonts w:ascii="宋体" w:hAnsi="宋体"/>
          <w:color w:val="auto"/>
          <w:sz w:val="24"/>
          <w:szCs w:val="24"/>
          <w:highlight w:val="none"/>
        </w:rPr>
      </w:pPr>
    </w:p>
    <w:p>
      <w:pPr>
        <w:pStyle w:val="75"/>
        <w:spacing w:line="360" w:lineRule="auto"/>
        <w:jc w:val="center"/>
        <w:rPr>
          <w:rFonts w:ascii="宋体" w:hAnsi="宋体"/>
          <w:color w:val="auto"/>
          <w:sz w:val="24"/>
          <w:highlight w:val="none"/>
        </w:rPr>
      </w:pPr>
      <w:r>
        <w:rPr>
          <w:rFonts w:hint="eastAsia" w:ascii="宋体" w:hAnsi="宋体"/>
          <w:color w:val="auto"/>
          <w:sz w:val="24"/>
          <w:highlight w:val="none"/>
        </w:rPr>
        <w:t>（格式自行设计）</w:t>
      </w:r>
    </w:p>
    <w:p>
      <w:pPr>
        <w:spacing w:line="360" w:lineRule="auto"/>
        <w:rPr>
          <w:rFonts w:ascii="宋体" w:hAnsi="宋体"/>
          <w:color w:val="auto"/>
          <w:sz w:val="24"/>
          <w:szCs w:val="24"/>
          <w:highlight w:val="none"/>
        </w:rPr>
      </w:pPr>
    </w:p>
    <w:p>
      <w:pPr>
        <w:pStyle w:val="6"/>
        <w:ind w:firstLine="0"/>
        <w:rPr>
          <w:rFonts w:ascii="宋体" w:hAnsi="宋体"/>
          <w:color w:val="auto"/>
          <w:sz w:val="24"/>
          <w:szCs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bookmarkStart w:id="297" w:name="_Toc531359070"/>
    </w:p>
    <w:p>
      <w:pPr>
        <w:pStyle w:val="214"/>
        <w:spacing w:line="360" w:lineRule="auto"/>
        <w:ind w:firstLine="480"/>
        <w:jc w:val="right"/>
        <w:rPr>
          <w:rFonts w:ascii="宋体" w:hAnsi="宋体"/>
          <w:color w:val="auto"/>
          <w:sz w:val="24"/>
          <w:highlight w:val="none"/>
          <w:u w:val="single"/>
        </w:rPr>
      </w:pPr>
    </w:p>
    <w:p>
      <w:pPr>
        <w:pStyle w:val="214"/>
        <w:spacing w:line="360" w:lineRule="auto"/>
        <w:jc w:val="left"/>
        <w:rPr>
          <w:rFonts w:ascii="宋体" w:hAnsi="宋体"/>
          <w:color w:val="auto"/>
          <w:sz w:val="24"/>
          <w:highlight w:val="none"/>
          <w:u w:val="single"/>
        </w:rPr>
      </w:pPr>
    </w:p>
    <w:p>
      <w:pPr>
        <w:pStyle w:val="5"/>
        <w:spacing w:before="0" w:after="0"/>
        <w:ind w:firstLine="0" w:firstLineChars="0"/>
        <w:jc w:val="left"/>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5"/>
        <w:spacing w:before="0" w:after="0"/>
        <w:ind w:firstLine="0" w:firstLineChars="0"/>
        <w:jc w:val="left"/>
        <w:rPr>
          <w:rFonts w:ascii="宋体" w:hAnsi="宋体" w:eastAsia="宋体"/>
          <w:color w:val="auto"/>
          <w:sz w:val="24"/>
          <w:szCs w:val="24"/>
          <w:highlight w:val="none"/>
        </w:rPr>
      </w:pPr>
      <w:bookmarkStart w:id="298" w:name="_Toc5561"/>
      <w:r>
        <w:rPr>
          <w:rFonts w:hint="eastAsia" w:ascii="宋体" w:hAnsi="宋体" w:eastAsia="宋体"/>
          <w:color w:val="auto"/>
          <w:sz w:val="24"/>
          <w:szCs w:val="24"/>
          <w:highlight w:val="none"/>
        </w:rPr>
        <w:t>2.10     服务承诺</w:t>
      </w:r>
      <w:bookmarkEnd w:id="298"/>
    </w:p>
    <w:p>
      <w:pPr>
        <w:spacing w:line="360" w:lineRule="auto"/>
        <w:rPr>
          <w:rFonts w:ascii="宋体" w:hAnsi="宋体" w:cs="宋体"/>
          <w:color w:val="auto"/>
          <w:sz w:val="24"/>
          <w:highlight w:val="none"/>
        </w:rPr>
      </w:pPr>
      <w:r>
        <w:rPr>
          <w:rFonts w:hint="eastAsia" w:ascii="宋体" w:hAnsi="宋体" w:cs="宋体"/>
          <w:color w:val="auto"/>
          <w:sz w:val="24"/>
          <w:highlight w:val="none"/>
        </w:rPr>
        <w:t>内容要求：</w:t>
      </w:r>
    </w:p>
    <w:p>
      <w:pPr>
        <w:numPr>
          <w:ilvl w:val="0"/>
          <w:numId w:val="13"/>
        </w:numPr>
        <w:jc w:val="left"/>
        <w:rPr>
          <w:rFonts w:ascii="宋体" w:hAnsi="宋体" w:cs="宋体"/>
          <w:color w:val="auto"/>
          <w:sz w:val="24"/>
          <w:highlight w:val="none"/>
        </w:rPr>
      </w:pPr>
      <w:r>
        <w:rPr>
          <w:rFonts w:hint="eastAsia" w:ascii="宋体" w:hAnsi="宋体" w:cs="宋体"/>
          <w:color w:val="auto"/>
          <w:sz w:val="24"/>
          <w:highlight w:val="none"/>
        </w:rPr>
        <w:t>投标人应根据本项目特点提供相应的服务承诺</w:t>
      </w:r>
    </w:p>
    <w:p>
      <w:pPr>
        <w:pStyle w:val="6"/>
        <w:rPr>
          <w:rFonts w:ascii="宋体" w:hAnsi="宋体" w:cs="宋体"/>
          <w:color w:val="auto"/>
          <w:sz w:val="24"/>
          <w:highlight w:val="none"/>
        </w:rPr>
      </w:pPr>
    </w:p>
    <w:p>
      <w:pPr>
        <w:pStyle w:val="6"/>
        <w:rPr>
          <w:rFonts w:ascii="宋体" w:hAnsi="宋体" w:cs="宋体"/>
          <w:color w:val="auto"/>
          <w:sz w:val="24"/>
          <w:highlight w:val="none"/>
        </w:rPr>
      </w:pPr>
    </w:p>
    <w:p>
      <w:pPr>
        <w:pStyle w:val="6"/>
        <w:rPr>
          <w:rFonts w:ascii="宋体" w:hAnsi="宋体" w:cs="宋体"/>
          <w:color w:val="auto"/>
          <w:sz w:val="24"/>
          <w:highlight w:val="none"/>
        </w:rPr>
      </w:pPr>
    </w:p>
    <w:p>
      <w:pPr>
        <w:pStyle w:val="6"/>
        <w:ind w:firstLine="0"/>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ind w:firstLine="0"/>
        <w:jc w:val="center"/>
        <w:rPr>
          <w:rFonts w:ascii="宋体" w:hAnsi="宋体"/>
          <w:color w:val="auto"/>
          <w:sz w:val="24"/>
          <w:szCs w:val="24"/>
          <w:highlight w:val="none"/>
        </w:rPr>
      </w:pPr>
    </w:p>
    <w:p>
      <w:pPr>
        <w:pStyle w:val="6"/>
        <w:ind w:firstLine="0"/>
        <w:jc w:val="center"/>
        <w:rPr>
          <w:rFonts w:ascii="宋体" w:hAnsi="宋体"/>
          <w:color w:val="auto"/>
          <w:sz w:val="24"/>
          <w:szCs w:val="24"/>
          <w:highlight w:val="none"/>
        </w:rPr>
      </w:pPr>
    </w:p>
    <w:p>
      <w:pPr>
        <w:pStyle w:val="6"/>
        <w:ind w:firstLine="0"/>
        <w:jc w:val="center"/>
        <w:rPr>
          <w:rFonts w:ascii="宋体" w:hAnsi="宋体"/>
          <w:color w:val="auto"/>
          <w:sz w:val="24"/>
          <w:szCs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6"/>
        <w:ind w:firstLine="5520" w:firstLineChars="2300"/>
        <w:rPr>
          <w:color w:val="auto"/>
          <w:highlight w:val="none"/>
        </w:rPr>
      </w:pPr>
      <w:r>
        <w:rPr>
          <w:rFonts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w:t>
      </w:r>
    </w:p>
    <w:p>
      <w:pPr>
        <w:pStyle w:val="6"/>
        <w:ind w:firstLine="0"/>
        <w:rPr>
          <w:color w:val="auto"/>
          <w:highlight w:val="none"/>
        </w:rPr>
      </w:pPr>
    </w:p>
    <w:p>
      <w:pPr>
        <w:pStyle w:val="5"/>
        <w:spacing w:before="0" w:after="0"/>
        <w:ind w:firstLine="0" w:firstLineChars="0"/>
        <w:jc w:val="left"/>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5"/>
        <w:spacing w:before="0" w:after="0"/>
        <w:ind w:firstLine="0" w:firstLineChars="0"/>
        <w:jc w:val="left"/>
        <w:rPr>
          <w:rFonts w:ascii="宋体" w:hAnsi="宋体" w:eastAsia="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299" w:name="_Toc20209"/>
      <w:r>
        <w:rPr>
          <w:rFonts w:ascii="宋体" w:hAnsi="宋体" w:eastAsia="宋体"/>
          <w:color w:val="auto"/>
          <w:sz w:val="24"/>
          <w:szCs w:val="24"/>
          <w:highlight w:val="none"/>
        </w:rPr>
        <w:t>2.</w:t>
      </w:r>
      <w:r>
        <w:rPr>
          <w:rFonts w:hint="eastAsia" w:ascii="宋体" w:hAnsi="宋体" w:eastAsia="宋体"/>
          <w:color w:val="auto"/>
          <w:sz w:val="24"/>
          <w:szCs w:val="24"/>
          <w:highlight w:val="none"/>
        </w:rPr>
        <w:t xml:space="preserve">11 </w:t>
      </w:r>
      <w:r>
        <w:rPr>
          <w:rFonts w:ascii="宋体" w:hAnsi="宋体" w:eastAsia="宋体"/>
          <w:color w:val="auto"/>
          <w:sz w:val="24"/>
          <w:szCs w:val="24"/>
          <w:highlight w:val="none"/>
        </w:rPr>
        <w:t xml:space="preserve">   </w:t>
      </w:r>
      <w:bookmarkEnd w:id="297"/>
      <w:r>
        <w:rPr>
          <w:rFonts w:hint="eastAsia" w:ascii="宋体" w:hAnsi="宋体" w:eastAsia="宋体"/>
          <w:color w:val="auto"/>
          <w:sz w:val="24"/>
          <w:szCs w:val="24"/>
          <w:highlight w:val="none"/>
          <w:lang w:val="zh-CN"/>
        </w:rPr>
        <w:t>其他必要提供的资料</w:t>
      </w:r>
      <w:r>
        <w:rPr>
          <w:rFonts w:hint="eastAsia" w:ascii="宋体" w:hAnsi="宋体" w:eastAsia="宋体"/>
          <w:color w:val="auto"/>
          <w:sz w:val="24"/>
          <w:szCs w:val="24"/>
          <w:highlight w:val="none"/>
        </w:rPr>
        <w:t>（结合采购需求、商务要求及评分办法等）</w:t>
      </w:r>
      <w:bookmarkEnd w:id="299"/>
    </w:p>
    <w:p>
      <w:pPr>
        <w:pStyle w:val="75"/>
        <w:spacing w:line="360" w:lineRule="auto"/>
        <w:jc w:val="center"/>
        <w:rPr>
          <w:rFonts w:ascii="宋体" w:hAnsi="宋体"/>
          <w:color w:val="auto"/>
          <w:sz w:val="24"/>
          <w:highlight w:val="none"/>
        </w:rPr>
      </w:pPr>
    </w:p>
    <w:p>
      <w:pPr>
        <w:pStyle w:val="75"/>
        <w:spacing w:line="360" w:lineRule="auto"/>
        <w:jc w:val="center"/>
        <w:rPr>
          <w:rFonts w:ascii="宋体" w:hAnsi="宋体"/>
          <w:color w:val="auto"/>
          <w:sz w:val="24"/>
          <w:highlight w:val="none"/>
        </w:rPr>
      </w:pPr>
      <w:r>
        <w:rPr>
          <w:rFonts w:hint="eastAsia" w:ascii="宋体" w:hAnsi="宋体"/>
          <w:color w:val="auto"/>
          <w:sz w:val="24"/>
          <w:highlight w:val="none"/>
        </w:rPr>
        <w:t>（格式自行设计）</w:t>
      </w:r>
    </w:p>
    <w:p>
      <w:pPr>
        <w:pStyle w:val="36"/>
        <w:snapToGrid w:val="0"/>
        <w:spacing w:line="360" w:lineRule="auto"/>
        <w:ind w:left="480" w:hanging="480"/>
        <w:jc w:val="left"/>
        <w:rPr>
          <w:rFonts w:ascii="宋体" w:hAnsi="宋体"/>
          <w:color w:val="auto"/>
          <w:sz w:val="24"/>
          <w:highlight w:val="none"/>
        </w:rPr>
      </w:pPr>
      <w:bookmarkStart w:id="300" w:name="_Toc531359071"/>
    </w:p>
    <w:p>
      <w:pPr>
        <w:pStyle w:val="36"/>
        <w:snapToGrid w:val="0"/>
        <w:spacing w:line="360" w:lineRule="auto"/>
        <w:ind w:left="480" w:hanging="480"/>
        <w:jc w:val="left"/>
        <w:rPr>
          <w:rFonts w:ascii="宋体" w:hAnsi="宋体"/>
          <w:color w:val="auto"/>
          <w:sz w:val="24"/>
          <w:highlight w:val="none"/>
        </w:rPr>
      </w:pP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bookmarkEnd w:id="292"/>
      <w:bookmarkEnd w:id="293"/>
      <w:bookmarkEnd w:id="300"/>
      <w:bookmarkStart w:id="301" w:name="_Toc530551896"/>
      <w:bookmarkStart w:id="302" w:name="_Toc531359073"/>
    </w:p>
    <w:p>
      <w:pPr>
        <w:pStyle w:val="214"/>
        <w:spacing w:line="360" w:lineRule="auto"/>
        <w:ind w:firstLine="480"/>
        <w:jc w:val="right"/>
        <w:rPr>
          <w:rFonts w:ascii="宋体" w:hAnsi="宋体"/>
          <w:color w:val="auto"/>
          <w:sz w:val="24"/>
          <w:highlight w:val="none"/>
          <w:u w:val="single"/>
        </w:rPr>
        <w:sectPr>
          <w:pgSz w:w="11906" w:h="16838"/>
          <w:pgMar w:top="1440" w:right="1440" w:bottom="1440" w:left="1440" w:header="851" w:footer="851" w:gutter="0"/>
          <w:cols w:space="720" w:num="1"/>
          <w:docGrid w:linePitch="312" w:charSpace="0"/>
        </w:sectPr>
      </w:pPr>
    </w:p>
    <w:p>
      <w:pPr>
        <w:pStyle w:val="45"/>
        <w:spacing w:beforeLines="100" w:afterLines="100"/>
        <w:outlineLvl w:val="1"/>
        <w:rPr>
          <w:rFonts w:ascii="宋体" w:hAnsi="宋体"/>
          <w:color w:val="auto"/>
          <w:sz w:val="44"/>
          <w:szCs w:val="44"/>
          <w:highlight w:val="none"/>
        </w:rPr>
      </w:pPr>
      <w:bookmarkStart w:id="303" w:name="_Toc291"/>
      <w:r>
        <w:rPr>
          <w:rFonts w:hint="eastAsia" w:ascii="宋体" w:hAnsi="宋体"/>
          <w:color w:val="auto"/>
          <w:sz w:val="44"/>
          <w:szCs w:val="44"/>
          <w:highlight w:val="none"/>
        </w:rPr>
        <w:t>三  报价</w:t>
      </w:r>
      <w:r>
        <w:rPr>
          <w:rFonts w:ascii="宋体" w:hAnsi="宋体"/>
          <w:color w:val="auto"/>
          <w:sz w:val="44"/>
          <w:szCs w:val="44"/>
          <w:highlight w:val="none"/>
        </w:rPr>
        <w:t>文件格式</w:t>
      </w:r>
      <w:bookmarkEnd w:id="301"/>
      <w:bookmarkEnd w:id="302"/>
      <w:bookmarkEnd w:id="303"/>
    </w:p>
    <w:p>
      <w:pPr>
        <w:spacing w:line="360" w:lineRule="auto"/>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1"/>
          <w:szCs w:val="21"/>
          <w:highlight w:val="none"/>
        </w:rPr>
      </w:pPr>
      <w:bookmarkStart w:id="304" w:name="_Toc15919"/>
      <w:bookmarkStart w:id="305" w:name="_Toc493956072"/>
      <w:bookmarkStart w:id="306" w:name="_Toc530551897"/>
      <w:bookmarkStart w:id="307" w:name="_Toc531359074"/>
      <w:r>
        <w:rPr>
          <w:rFonts w:ascii="宋体" w:hAnsi="宋体" w:eastAsia="宋体"/>
          <w:color w:val="auto"/>
          <w:sz w:val="24"/>
          <w:szCs w:val="24"/>
          <w:highlight w:val="none"/>
        </w:rPr>
        <w:t>3.</w:t>
      </w:r>
      <w:r>
        <w:rPr>
          <w:rFonts w:hint="eastAsia" w:ascii="宋体" w:hAnsi="宋体" w:eastAsia="宋体"/>
          <w:color w:val="auto"/>
          <w:sz w:val="24"/>
          <w:szCs w:val="24"/>
          <w:highlight w:val="none"/>
        </w:rPr>
        <w:t>1</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报价文件文件封面格式</w:t>
      </w:r>
      <w:bookmarkEnd w:id="304"/>
    </w:p>
    <w:p>
      <w:pPr>
        <w:pStyle w:val="6"/>
        <w:spacing w:line="360" w:lineRule="auto"/>
        <w:ind w:firstLine="0"/>
        <w:jc w:val="center"/>
        <w:rPr>
          <w:rFonts w:ascii="宋体" w:hAnsi="宋体"/>
          <w:bCs/>
          <w:color w:val="auto"/>
          <w:sz w:val="24"/>
          <w:highlight w:val="none"/>
        </w:rPr>
      </w:pPr>
      <w:r>
        <w:rPr>
          <w:rFonts w:hint="eastAsia" w:ascii="宋体" w:hAnsi="宋体"/>
          <w:b/>
          <w:color w:val="auto"/>
          <w:sz w:val="32"/>
          <w:szCs w:val="32"/>
          <w:highlight w:val="none"/>
        </w:rPr>
        <w:t>投标文件</w:t>
      </w:r>
    </w:p>
    <w:tbl>
      <w:tblPr>
        <w:tblStyle w:val="54"/>
        <w:tblW w:w="7054" w:type="dxa"/>
        <w:jc w:val="center"/>
        <w:tblInd w:w="0" w:type="dxa"/>
        <w:tblLayout w:type="fixed"/>
        <w:tblCellMar>
          <w:top w:w="0" w:type="dxa"/>
          <w:left w:w="108" w:type="dxa"/>
          <w:bottom w:w="0" w:type="dxa"/>
          <w:right w:w="108" w:type="dxa"/>
        </w:tblCellMar>
      </w:tblPr>
      <w:tblGrid>
        <w:gridCol w:w="2518"/>
        <w:gridCol w:w="4536"/>
      </w:tblGrid>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投标文件名称：</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报价文件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采 购 编 号：</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项 目 名 称：</w:t>
            </w:r>
          </w:p>
        </w:tc>
        <w:tc>
          <w:tcPr>
            <w:tcW w:w="4536" w:type="dxa"/>
            <w:vAlign w:val="center"/>
          </w:tcPr>
          <w:p>
            <w:pPr>
              <w:jc w:val="left"/>
              <w:rPr>
                <w:rFonts w:ascii="宋体" w:hAnsi="宋体"/>
                <w:color w:val="auto"/>
                <w:sz w:val="24"/>
                <w:szCs w:val="24"/>
                <w:highlight w:val="none"/>
              </w:rPr>
            </w:pP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 xml:space="preserve">标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项：</w:t>
            </w:r>
          </w:p>
        </w:tc>
        <w:tc>
          <w:tcPr>
            <w:tcW w:w="4536" w:type="dxa"/>
            <w:vAlign w:val="center"/>
          </w:tcPr>
          <w:p>
            <w:pPr>
              <w:jc w:val="left"/>
              <w:rPr>
                <w:rFonts w:ascii="宋体" w:hAnsi="宋体"/>
                <w:color w:val="auto"/>
                <w:sz w:val="24"/>
                <w:szCs w:val="24"/>
                <w:highlight w:val="none"/>
                <w:u w:val="single"/>
              </w:rPr>
            </w:pPr>
            <w:r>
              <w:rPr>
                <w:rFonts w:hint="eastAsia" w:ascii="宋体" w:hAnsi="宋体"/>
                <w:color w:val="auto"/>
                <w:sz w:val="24"/>
                <w:szCs w:val="24"/>
                <w:highlight w:val="none"/>
                <w:u w:val="single"/>
              </w:rPr>
              <w:t xml:space="preserve">（若有）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p>
        </w:tc>
        <w:tc>
          <w:tcPr>
            <w:tcW w:w="4536" w:type="dxa"/>
            <w:vAlign w:val="center"/>
          </w:tcPr>
          <w:p>
            <w:pPr>
              <w:jc w:val="left"/>
              <w:rPr>
                <w:rFonts w:ascii="宋体" w:hAnsi="宋体"/>
                <w:color w:val="auto"/>
                <w:sz w:val="24"/>
                <w:szCs w:val="24"/>
                <w:highlight w:val="none"/>
              </w:rPr>
            </w:pP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投标人全称（盖章）：</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2518" w:type="dxa"/>
            <w:vAlign w:val="center"/>
          </w:tcPr>
          <w:p>
            <w:pPr>
              <w:jc w:val="distribute"/>
              <w:rPr>
                <w:rFonts w:ascii="宋体" w:hAnsi="宋体"/>
                <w:color w:val="auto"/>
                <w:sz w:val="24"/>
                <w:szCs w:val="24"/>
                <w:highlight w:val="none"/>
              </w:rPr>
            </w:pPr>
            <w:r>
              <w:rPr>
                <w:rFonts w:hint="eastAsia" w:ascii="宋体" w:hAnsi="宋体"/>
                <w:color w:val="auto"/>
                <w:sz w:val="24"/>
                <w:szCs w:val="24"/>
                <w:highlight w:val="none"/>
              </w:rPr>
              <w:t>投标人地址：</w:t>
            </w:r>
          </w:p>
        </w:tc>
        <w:tc>
          <w:tcPr>
            <w:tcW w:w="4536" w:type="dxa"/>
            <w:vAlign w:val="center"/>
          </w:tcPr>
          <w:p>
            <w:pPr>
              <w:jc w:val="left"/>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left"/>
              <w:rPr>
                <w:rFonts w:ascii="宋体" w:hAnsi="宋体"/>
                <w:color w:val="auto"/>
                <w:sz w:val="24"/>
                <w:szCs w:val="24"/>
                <w:highlight w:val="none"/>
                <w:u w:val="single"/>
              </w:rPr>
            </w:pPr>
          </w:p>
        </w:tc>
      </w:tr>
      <w:tr>
        <w:tblPrEx>
          <w:tblLayout w:type="fixed"/>
          <w:tblCellMar>
            <w:top w:w="0" w:type="dxa"/>
            <w:left w:w="108" w:type="dxa"/>
            <w:bottom w:w="0" w:type="dxa"/>
            <w:right w:w="108" w:type="dxa"/>
          </w:tblCellMar>
        </w:tblPrEx>
        <w:trPr>
          <w:trHeight w:val="397" w:hRule="atLeast"/>
          <w:jc w:val="center"/>
        </w:trPr>
        <w:tc>
          <w:tcPr>
            <w:tcW w:w="7054" w:type="dxa"/>
            <w:gridSpan w:val="2"/>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 xml:space="preserve">年 </w:t>
            </w:r>
            <w:r>
              <w:rPr>
                <w:rFonts w:ascii="宋体" w:hAnsi="宋体"/>
                <w:color w:val="auto"/>
                <w:sz w:val="24"/>
                <w:szCs w:val="24"/>
                <w:highlight w:val="none"/>
              </w:rPr>
              <w:t xml:space="preserve"> 月</w:t>
            </w:r>
            <w:r>
              <w:rPr>
                <w:rFonts w:hint="eastAsia" w:ascii="宋体" w:hAnsi="宋体"/>
                <w:color w:val="auto"/>
                <w:sz w:val="24"/>
                <w:szCs w:val="24"/>
                <w:highlight w:val="none"/>
              </w:rPr>
              <w:t xml:space="preserve">  </w:t>
            </w:r>
            <w:r>
              <w:rPr>
                <w:rFonts w:ascii="宋体" w:hAnsi="宋体"/>
                <w:color w:val="auto"/>
                <w:sz w:val="24"/>
                <w:szCs w:val="24"/>
                <w:highlight w:val="none"/>
              </w:rPr>
              <w:t>日</w:t>
            </w:r>
          </w:p>
        </w:tc>
      </w:tr>
    </w:tbl>
    <w:p>
      <w:pPr>
        <w:spacing w:line="360" w:lineRule="auto"/>
        <w:rPr>
          <w:rFonts w:ascii="仿宋_GB2312" w:eastAsia="仿宋_GB2312"/>
          <w:color w:val="auto"/>
          <w:szCs w:val="21"/>
          <w:highlight w:val="none"/>
        </w:rPr>
      </w:pPr>
    </w:p>
    <w:p>
      <w:pPr>
        <w:pStyle w:val="5"/>
        <w:spacing w:before="0" w:after="0"/>
        <w:ind w:firstLine="0" w:firstLineChars="0"/>
        <w:jc w:val="left"/>
        <w:rPr>
          <w:rFonts w:hAnsi="宋体"/>
          <w:color w:val="auto"/>
          <w:sz w:val="24"/>
          <w:szCs w:val="24"/>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308" w:name="_Toc1169"/>
      <w:r>
        <w:rPr>
          <w:rFonts w:ascii="宋体" w:hAnsi="宋体" w:eastAsia="宋体"/>
          <w:color w:val="auto"/>
          <w:sz w:val="24"/>
          <w:szCs w:val="24"/>
          <w:highlight w:val="none"/>
        </w:rPr>
        <w:t>3.</w:t>
      </w:r>
      <w:r>
        <w:rPr>
          <w:rFonts w:hint="eastAsia" w:ascii="宋体" w:hAnsi="宋体" w:eastAsia="宋体"/>
          <w:color w:val="auto"/>
          <w:sz w:val="24"/>
          <w:szCs w:val="24"/>
          <w:highlight w:val="none"/>
        </w:rPr>
        <w:t xml:space="preserve">2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报价文件文件</w:t>
      </w:r>
      <w:r>
        <w:rPr>
          <w:rFonts w:ascii="宋体" w:hAnsi="宋体" w:eastAsia="宋体"/>
          <w:color w:val="auto"/>
          <w:sz w:val="24"/>
          <w:szCs w:val="24"/>
          <w:highlight w:val="none"/>
        </w:rPr>
        <w:t>目录</w:t>
      </w:r>
      <w:bookmarkEnd w:id="308"/>
    </w:p>
    <w:p>
      <w:pPr>
        <w:pStyle w:val="6"/>
        <w:spacing w:line="360" w:lineRule="auto"/>
        <w:ind w:firstLine="0"/>
        <w:rPr>
          <w:rFonts w:ascii="宋体" w:hAnsi="宋体"/>
          <w:color w:val="auto"/>
          <w:sz w:val="24"/>
          <w:szCs w:val="24"/>
          <w:highlight w:val="none"/>
        </w:rPr>
      </w:pPr>
    </w:p>
    <w:p>
      <w:pPr>
        <w:pStyle w:val="6"/>
        <w:spacing w:line="360" w:lineRule="auto"/>
        <w:ind w:firstLine="0"/>
        <w:jc w:val="center"/>
        <w:rPr>
          <w:rFonts w:ascii="宋体" w:hAnsi="宋体"/>
          <w:color w:val="auto"/>
          <w:sz w:val="24"/>
          <w:szCs w:val="24"/>
          <w:highlight w:val="none"/>
        </w:rPr>
      </w:pPr>
      <w:r>
        <w:rPr>
          <w:rFonts w:hint="eastAsia" w:ascii="宋体" w:hAnsi="宋体"/>
          <w:color w:val="auto"/>
          <w:sz w:val="24"/>
          <w:szCs w:val="24"/>
          <w:highlight w:val="none"/>
        </w:rPr>
        <w:t>（格式自行设计）</w:t>
      </w:r>
    </w:p>
    <w:p>
      <w:pPr>
        <w:pStyle w:val="6"/>
        <w:spacing w:line="360" w:lineRule="auto"/>
        <w:ind w:firstLine="0"/>
        <w:jc w:val="left"/>
        <w:rPr>
          <w:rFonts w:ascii="宋体" w:hAnsi="宋体"/>
          <w:color w:val="auto"/>
          <w:sz w:val="24"/>
          <w:szCs w:val="24"/>
          <w:highlight w:val="none"/>
        </w:rPr>
      </w:pPr>
    </w:p>
    <w:p>
      <w:pPr>
        <w:pStyle w:val="6"/>
        <w:spacing w:line="360" w:lineRule="auto"/>
        <w:ind w:firstLine="0"/>
        <w:jc w:val="left"/>
        <w:rPr>
          <w:rFonts w:ascii="宋体" w:hAnsi="宋体"/>
          <w:color w:val="auto"/>
          <w:sz w:val="24"/>
          <w:szCs w:val="24"/>
          <w:highlight w:val="none"/>
        </w:rPr>
      </w:pPr>
    </w:p>
    <w:p>
      <w:pPr>
        <w:pStyle w:val="5"/>
        <w:spacing w:before="0" w:after="0"/>
        <w:ind w:firstLine="0" w:firstLineChars="0"/>
        <w:jc w:val="left"/>
        <w:rPr>
          <w:rFonts w:ascii="宋体" w:hAnsi="宋体" w:eastAsia="宋体"/>
          <w:color w:val="auto"/>
          <w:sz w:val="24"/>
          <w:szCs w:val="24"/>
          <w:highlight w:val="none"/>
        </w:rPr>
      </w:pPr>
      <w:bookmarkStart w:id="309" w:name="_Toc3977"/>
      <w:r>
        <w:rPr>
          <w:rFonts w:ascii="宋体" w:hAnsi="宋体" w:eastAsia="宋体"/>
          <w:color w:val="auto"/>
          <w:sz w:val="24"/>
          <w:szCs w:val="24"/>
          <w:highlight w:val="none"/>
        </w:rPr>
        <w:t>3.</w:t>
      </w:r>
      <w:r>
        <w:rPr>
          <w:rFonts w:hint="eastAsia" w:ascii="宋体" w:hAnsi="宋体" w:eastAsia="宋体"/>
          <w:color w:val="auto"/>
          <w:sz w:val="24"/>
          <w:szCs w:val="24"/>
          <w:highlight w:val="none"/>
        </w:rPr>
        <w:t xml:space="preserve">3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开标一览表</w:t>
      </w:r>
      <w:bookmarkEnd w:id="305"/>
      <w:bookmarkEnd w:id="306"/>
      <w:bookmarkEnd w:id="307"/>
      <w:r>
        <w:rPr>
          <w:rFonts w:hint="eastAsia" w:ascii="宋体" w:hAnsi="宋体" w:eastAsia="宋体"/>
          <w:color w:val="auto"/>
          <w:sz w:val="24"/>
          <w:szCs w:val="24"/>
          <w:highlight w:val="none"/>
        </w:rPr>
        <w:t>格式</w:t>
      </w:r>
      <w:bookmarkEnd w:id="309"/>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项目编号：</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p>
    <w:p>
      <w:pPr>
        <w:spacing w:line="360" w:lineRule="auto"/>
        <w:jc w:val="left"/>
        <w:rPr>
          <w:rFonts w:ascii="宋体" w:hAnsi="宋体"/>
          <w:color w:val="auto"/>
          <w:sz w:val="24"/>
          <w:szCs w:val="24"/>
          <w:highlight w:val="none"/>
        </w:rPr>
      </w:pPr>
      <w:r>
        <w:rPr>
          <w:rFonts w:hint="eastAsia" w:ascii="宋体" w:hAnsi="宋体"/>
          <w:color w:val="auto"/>
          <w:sz w:val="24"/>
          <w:szCs w:val="24"/>
          <w:highlight w:val="none"/>
        </w:rPr>
        <w:t>项目名称：</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标项：</w:t>
      </w:r>
      <w:r>
        <w:rPr>
          <w:rFonts w:hint="eastAsia" w:ascii="宋体" w:hAnsi="宋体"/>
          <w:color w:val="auto"/>
          <w:sz w:val="24"/>
          <w:szCs w:val="24"/>
          <w:highlight w:val="none"/>
          <w:u w:val="single"/>
        </w:rPr>
        <w:t>（若有）</w:t>
      </w:r>
    </w:p>
    <w:tbl>
      <w:tblPr>
        <w:tblStyle w:val="54"/>
        <w:tblW w:w="9005" w:type="dxa"/>
        <w:jc w:val="center"/>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260"/>
              <w:tabs>
                <w:tab w:val="left" w:pos="420"/>
                <w:tab w:val="center" w:pos="4153"/>
                <w:tab w:val="right" w:pos="8306"/>
              </w:tabs>
              <w:adjustRightInd w:val="0"/>
              <w:jc w:val="center"/>
              <w:rPr>
                <w:rFonts w:ascii="宋体" w:hAnsi="宋体"/>
                <w:caps/>
                <w:color w:val="auto"/>
                <w:spacing w:val="20"/>
                <w:kern w:val="0"/>
                <w:sz w:val="24"/>
                <w:szCs w:val="24"/>
                <w:highlight w:val="none"/>
              </w:rPr>
            </w:pPr>
            <w:r>
              <w:rPr>
                <w:rFonts w:hint="eastAsia" w:ascii="宋体" w:hAnsi="宋体"/>
                <w:caps/>
                <w:color w:val="auto"/>
                <w:spacing w:val="20"/>
                <w:kern w:val="0"/>
                <w:sz w:val="24"/>
                <w:szCs w:val="24"/>
                <w:highlight w:val="none"/>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260"/>
              <w:jc w:val="center"/>
              <w:rPr>
                <w:rFonts w:ascii="宋体" w:hAnsi="宋体"/>
                <w:caps/>
                <w:color w:val="auto"/>
                <w:spacing w:val="20"/>
                <w:sz w:val="24"/>
                <w:szCs w:val="24"/>
                <w:highlight w:val="none"/>
              </w:rPr>
            </w:pPr>
            <w:r>
              <w:rPr>
                <w:rFonts w:hint="eastAsia" w:ascii="宋体" w:hAnsi="宋体"/>
                <w:caps/>
                <w:color w:val="auto"/>
                <w:spacing w:val="20"/>
                <w:sz w:val="24"/>
                <w:szCs w:val="24"/>
                <w:highlight w:val="none"/>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260"/>
              <w:jc w:val="center"/>
              <w:rPr>
                <w:rFonts w:ascii="宋体" w:hAnsi="宋体"/>
                <w:color w:val="auto"/>
                <w:spacing w:val="20"/>
                <w:sz w:val="24"/>
                <w:szCs w:val="24"/>
                <w:highlight w:val="none"/>
              </w:rPr>
            </w:pPr>
            <w:r>
              <w:rPr>
                <w:rFonts w:hint="eastAsia" w:ascii="宋体" w:hAnsi="宋体"/>
                <w:color w:val="auto"/>
                <w:spacing w:val="20"/>
                <w:sz w:val="24"/>
                <w:szCs w:val="24"/>
                <w:highlight w:val="none"/>
              </w:rPr>
              <w:t>项目总报价</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260"/>
              <w:rPr>
                <w:rFonts w:ascii="宋体" w:hAnsi="宋体"/>
                <w:color w:val="auto"/>
                <w:spacing w:val="20"/>
                <w:sz w:val="24"/>
                <w:szCs w:val="24"/>
                <w:highlight w:val="none"/>
              </w:rPr>
            </w:pPr>
            <w:r>
              <w:rPr>
                <w:rFonts w:hint="eastAsia" w:ascii="宋体" w:hAnsi="宋体"/>
                <w:color w:val="auto"/>
                <w:spacing w:val="20"/>
                <w:sz w:val="24"/>
                <w:szCs w:val="24"/>
                <w:highlight w:val="none"/>
              </w:rPr>
              <w:t>大写                （￥           ）</w:t>
            </w:r>
          </w:p>
        </w:tc>
      </w:tr>
    </w:tbl>
    <w:p>
      <w:pPr>
        <w:pStyle w:val="260"/>
        <w:spacing w:line="440" w:lineRule="exact"/>
        <w:rPr>
          <w:rFonts w:ascii="宋体" w:hAnsi="宋体"/>
          <w:b/>
          <w:iCs/>
          <w:color w:val="auto"/>
          <w:spacing w:val="20"/>
          <w:sz w:val="24"/>
          <w:szCs w:val="24"/>
          <w:highlight w:val="none"/>
        </w:rPr>
      </w:pPr>
      <w:r>
        <w:rPr>
          <w:rFonts w:hint="eastAsia" w:ascii="宋体" w:hAnsi="宋体"/>
          <w:b/>
          <w:color w:val="auto"/>
          <w:sz w:val="24"/>
          <w:szCs w:val="24"/>
          <w:highlight w:val="none"/>
        </w:rPr>
        <w:t xml:space="preserve"> </w:t>
      </w:r>
      <w:r>
        <w:rPr>
          <w:rFonts w:hint="eastAsia" w:ascii="宋体" w:hAnsi="宋体"/>
          <w:b/>
          <w:iCs/>
          <w:color w:val="auto"/>
          <w:spacing w:val="20"/>
          <w:sz w:val="24"/>
          <w:szCs w:val="24"/>
          <w:highlight w:val="none"/>
        </w:rPr>
        <w:t>注：</w:t>
      </w:r>
    </w:p>
    <w:p>
      <w:pPr>
        <w:pStyle w:val="260"/>
        <w:spacing w:line="360" w:lineRule="auto"/>
        <w:ind w:firstLine="480" w:firstLineChars="200"/>
        <w:jc w:val="left"/>
        <w:rPr>
          <w:rFonts w:ascii="宋体" w:hAnsi="宋体"/>
          <w:iCs/>
          <w:color w:val="auto"/>
          <w:sz w:val="24"/>
          <w:szCs w:val="24"/>
          <w:highlight w:val="none"/>
        </w:rPr>
      </w:pPr>
      <w:r>
        <w:rPr>
          <w:rFonts w:hint="eastAsia" w:ascii="宋体" w:hAnsi="宋体"/>
          <w:iCs/>
          <w:color w:val="auto"/>
          <w:sz w:val="24"/>
          <w:szCs w:val="24"/>
          <w:highlight w:val="none"/>
        </w:rPr>
        <w:t>1.</w:t>
      </w:r>
      <w:r>
        <w:rPr>
          <w:rFonts w:ascii="宋体" w:hAnsi="宋体"/>
          <w:iCs/>
          <w:color w:val="auto"/>
          <w:sz w:val="24"/>
          <w:szCs w:val="24"/>
          <w:highlight w:val="none"/>
        </w:rPr>
        <w:t xml:space="preserve"> </w:t>
      </w:r>
      <w:r>
        <w:rPr>
          <w:rFonts w:hint="eastAsia" w:ascii="宋体" w:hAnsi="宋体"/>
          <w:iCs/>
          <w:color w:val="auto"/>
          <w:sz w:val="24"/>
          <w:szCs w:val="24"/>
          <w:highlight w:val="none"/>
        </w:rPr>
        <w:t>具体价格明细详见《投标</w:t>
      </w:r>
      <w:r>
        <w:rPr>
          <w:rFonts w:ascii="宋体" w:hAnsi="宋体"/>
          <w:iCs/>
          <w:color w:val="auto"/>
          <w:sz w:val="24"/>
          <w:szCs w:val="24"/>
          <w:highlight w:val="none"/>
        </w:rPr>
        <w:t>分项报价表</w:t>
      </w:r>
      <w:r>
        <w:rPr>
          <w:rFonts w:hint="eastAsia" w:ascii="宋体" w:hAnsi="宋体"/>
          <w:iCs/>
          <w:color w:val="auto"/>
          <w:sz w:val="24"/>
          <w:szCs w:val="24"/>
          <w:highlight w:val="none"/>
        </w:rPr>
        <w:t>》</w:t>
      </w:r>
    </w:p>
    <w:p>
      <w:pPr>
        <w:pStyle w:val="260"/>
        <w:spacing w:line="360" w:lineRule="auto"/>
        <w:ind w:firstLine="480" w:firstLineChars="200"/>
        <w:jc w:val="left"/>
        <w:rPr>
          <w:rFonts w:ascii="宋体" w:hAnsi="宋体"/>
          <w:iCs/>
          <w:color w:val="auto"/>
          <w:sz w:val="24"/>
          <w:szCs w:val="24"/>
          <w:highlight w:val="none"/>
        </w:rPr>
      </w:pPr>
      <w:r>
        <w:rPr>
          <w:rFonts w:hint="eastAsia" w:ascii="宋体" w:hAnsi="宋体"/>
          <w:iCs/>
          <w:color w:val="auto"/>
          <w:sz w:val="24"/>
          <w:szCs w:val="24"/>
          <w:highlight w:val="none"/>
        </w:rPr>
        <w:t>2.</w:t>
      </w:r>
      <w:r>
        <w:rPr>
          <w:rFonts w:ascii="宋体" w:hAnsi="宋体"/>
          <w:iCs/>
          <w:color w:val="auto"/>
          <w:sz w:val="24"/>
          <w:szCs w:val="24"/>
          <w:highlight w:val="none"/>
        </w:rPr>
        <w:t xml:space="preserve"> </w:t>
      </w:r>
      <w:r>
        <w:rPr>
          <w:rFonts w:hint="eastAsia" w:ascii="宋体" w:hAnsi="宋体"/>
          <w:iCs/>
          <w:color w:val="auto"/>
          <w:sz w:val="24"/>
          <w:szCs w:val="24"/>
          <w:highlight w:val="none"/>
        </w:rPr>
        <w:t>总报价一经涂改，应在涂改处加盖单位公章或投标人</w:t>
      </w:r>
      <w:r>
        <w:rPr>
          <w:rFonts w:ascii="宋体" w:hAnsi="宋体"/>
          <w:iCs/>
          <w:color w:val="auto"/>
          <w:sz w:val="24"/>
          <w:szCs w:val="24"/>
          <w:highlight w:val="none"/>
        </w:rPr>
        <w:t>代表</w:t>
      </w:r>
      <w:r>
        <w:rPr>
          <w:rFonts w:hint="eastAsia" w:ascii="宋体" w:hAnsi="宋体"/>
          <w:iCs/>
          <w:color w:val="auto"/>
          <w:sz w:val="24"/>
          <w:szCs w:val="24"/>
          <w:highlight w:val="none"/>
        </w:rPr>
        <w:t>签字（或盖章），否则其投标作无效标处理。</w:t>
      </w:r>
    </w:p>
    <w:p>
      <w:pPr>
        <w:pStyle w:val="260"/>
        <w:spacing w:line="360" w:lineRule="auto"/>
        <w:ind w:firstLine="480" w:firstLineChars="200"/>
        <w:jc w:val="left"/>
        <w:rPr>
          <w:rFonts w:ascii="宋体" w:hAnsi="宋体"/>
          <w:iCs/>
          <w:color w:val="auto"/>
          <w:sz w:val="24"/>
          <w:szCs w:val="24"/>
          <w:highlight w:val="none"/>
          <w:lang w:val="zh-CN"/>
        </w:rPr>
      </w:pPr>
      <w:r>
        <w:rPr>
          <w:rFonts w:hint="eastAsia" w:ascii="宋体" w:hAnsi="宋体"/>
          <w:iCs/>
          <w:color w:val="auto"/>
          <w:sz w:val="24"/>
          <w:szCs w:val="24"/>
          <w:highlight w:val="none"/>
        </w:rPr>
        <w:t>3. 投标总价应包括人工工资、易损材料、工具、修理费、清洗费、卫生用具、办公、食宿、通信、劳保、福利、利润、税金、五金保险包括基本养老保险、基本医疗保险、失业保险、工伤保险、生育保险等社会保险以及政策性收费等一切费用</w:t>
      </w:r>
      <w:r>
        <w:rPr>
          <w:rFonts w:hint="eastAsia" w:ascii="宋体" w:hAnsi="宋体"/>
          <w:iCs/>
          <w:color w:val="auto"/>
          <w:sz w:val="24"/>
          <w:szCs w:val="24"/>
          <w:highlight w:val="none"/>
          <w:lang w:val="zh-CN"/>
        </w:rPr>
        <w:t>。</w:t>
      </w:r>
    </w:p>
    <w:p>
      <w:pPr>
        <w:pStyle w:val="260"/>
        <w:spacing w:line="360" w:lineRule="auto"/>
        <w:ind w:firstLine="480" w:firstLineChars="200"/>
        <w:jc w:val="left"/>
        <w:rPr>
          <w:rFonts w:ascii="宋体" w:hAnsi="宋体"/>
          <w:iCs/>
          <w:color w:val="auto"/>
          <w:sz w:val="24"/>
          <w:szCs w:val="24"/>
          <w:highlight w:val="none"/>
        </w:rPr>
      </w:pPr>
      <w:r>
        <w:rPr>
          <w:rFonts w:hint="eastAsia" w:ascii="宋体" w:hAnsi="宋体"/>
          <w:iCs/>
          <w:color w:val="auto"/>
          <w:sz w:val="24"/>
          <w:szCs w:val="24"/>
          <w:highlight w:val="none"/>
        </w:rPr>
        <w:t>4.基本养老保险、基本医疗保险、失业保险、工伤保险、生育保险等社会保险合计金额为1009360元（9176元/人/年），在本次招标报价时不得变更，否则作无效标处理。</w:t>
      </w:r>
    </w:p>
    <w:p>
      <w:pPr>
        <w:pStyle w:val="214"/>
        <w:spacing w:line="360" w:lineRule="auto"/>
        <w:ind w:firstLine="480"/>
        <w:jc w:val="right"/>
        <w:rPr>
          <w:rFonts w:ascii="宋体" w:hAnsi="宋体"/>
          <w:color w:val="auto"/>
          <w:spacing w:val="20"/>
          <w:sz w:val="24"/>
          <w:highlight w:val="none"/>
          <w:u w:val="single"/>
        </w:rPr>
      </w:pPr>
      <w:bookmarkStart w:id="310" w:name="_Toc530551898"/>
      <w:bookmarkStart w:id="311" w:name="_Toc531359075"/>
      <w:bookmarkStart w:id="312" w:name="_Toc493956073"/>
      <w:r>
        <w:rPr>
          <w:rFonts w:hint="eastAsia" w:ascii="宋体" w:hAnsi="宋体"/>
          <w:color w:val="auto"/>
          <w:spacing w:val="20"/>
          <w:sz w:val="24"/>
          <w:highlight w:val="none"/>
          <w:u w:val="single"/>
        </w:rPr>
        <w:t>。</w:t>
      </w:r>
    </w:p>
    <w:p>
      <w:pPr>
        <w:pStyle w:val="214"/>
        <w:spacing w:line="360" w:lineRule="auto"/>
        <w:ind w:firstLine="480"/>
        <w:jc w:val="right"/>
        <w:rPr>
          <w:rFonts w:ascii="宋体" w:hAnsi="宋体"/>
          <w:color w:val="auto"/>
          <w:sz w:val="24"/>
          <w:highlight w:val="none"/>
          <w:u w:val="single"/>
        </w:rPr>
      </w:pPr>
      <w:r>
        <w:rPr>
          <w:rFonts w:ascii="宋体" w:hAnsi="宋体"/>
          <w:color w:val="auto"/>
          <w:sz w:val="24"/>
          <w:highlight w:val="none"/>
        </w:rPr>
        <w:t>投标人盖章：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214"/>
        <w:wordWrap w:val="0"/>
        <w:spacing w:line="360" w:lineRule="auto"/>
        <w:ind w:firstLine="480"/>
        <w:jc w:val="right"/>
        <w:rPr>
          <w:rFonts w:ascii="宋体" w:hAnsi="宋体"/>
          <w:color w:val="auto"/>
          <w:sz w:val="24"/>
          <w:highlight w:val="none"/>
          <w:u w:val="single"/>
        </w:rPr>
      </w:pPr>
      <w:r>
        <w:rPr>
          <w:rFonts w:ascii="宋体" w:hAnsi="宋体"/>
          <w:color w:val="auto"/>
          <w:sz w:val="24"/>
          <w:highlight w:val="none"/>
        </w:rPr>
        <w:t>日      期：</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pStyle w:val="5"/>
        <w:spacing w:before="0" w:after="0"/>
        <w:ind w:firstLine="0" w:firstLineChars="0"/>
        <w:jc w:val="right"/>
        <w:rPr>
          <w:rFonts w:hAnsi="宋体"/>
          <w:color w:val="auto"/>
          <w:sz w:val="28"/>
          <w:szCs w:val="28"/>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313" w:name="_Toc4151"/>
      <w:r>
        <w:rPr>
          <w:rFonts w:ascii="宋体" w:hAnsi="宋体" w:eastAsia="宋体"/>
          <w:color w:val="auto"/>
          <w:sz w:val="24"/>
          <w:szCs w:val="24"/>
          <w:highlight w:val="none"/>
        </w:rPr>
        <w:t>3.</w:t>
      </w:r>
      <w:r>
        <w:rPr>
          <w:rFonts w:hint="eastAsia" w:ascii="宋体" w:hAnsi="宋体" w:eastAsia="宋体"/>
          <w:color w:val="auto"/>
          <w:sz w:val="24"/>
          <w:szCs w:val="24"/>
          <w:highlight w:val="none"/>
        </w:rPr>
        <w:t xml:space="preserve">4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投标分项报价表</w:t>
      </w:r>
      <w:bookmarkEnd w:id="310"/>
      <w:bookmarkEnd w:id="311"/>
      <w:bookmarkEnd w:id="312"/>
      <w:bookmarkEnd w:id="313"/>
    </w:p>
    <w:p>
      <w:pPr>
        <w:spacing w:line="360" w:lineRule="auto"/>
        <w:jc w:val="center"/>
        <w:rPr>
          <w:rFonts w:ascii="宋体" w:hAnsi="宋体"/>
          <w:iCs/>
          <w:color w:val="auto"/>
          <w:sz w:val="24"/>
          <w:szCs w:val="24"/>
          <w:highlight w:val="none"/>
        </w:rPr>
      </w:pPr>
      <w:bookmarkStart w:id="314" w:name="_Toc47756041"/>
      <w:bookmarkStart w:id="315" w:name="_Toc15813259"/>
      <w:bookmarkStart w:id="316" w:name="_Toc530551899"/>
      <w:bookmarkStart w:id="317" w:name="_Toc45506740"/>
      <w:r>
        <w:rPr>
          <w:rFonts w:hint="eastAsia" w:ascii="宋体" w:hAnsi="宋体"/>
          <w:iCs/>
          <w:color w:val="auto"/>
          <w:sz w:val="24"/>
          <w:szCs w:val="24"/>
          <w:highlight w:val="none"/>
        </w:rPr>
        <w:t>（格式自行编制）</w:t>
      </w:r>
    </w:p>
    <w:p>
      <w:pPr>
        <w:pStyle w:val="112"/>
        <w:spacing w:line="360" w:lineRule="auto"/>
        <w:ind w:firstLine="480" w:firstLineChars="200"/>
        <w:rPr>
          <w:rFonts w:ascii="宋体" w:hAnsi="宋体" w:eastAsia="宋体"/>
          <w:b/>
          <w:bCs/>
          <w:color w:val="auto"/>
          <w:kern w:val="2"/>
          <w:sz w:val="24"/>
          <w:szCs w:val="22"/>
          <w:highlight w:val="none"/>
        </w:rPr>
      </w:pPr>
      <w:r>
        <w:rPr>
          <w:rFonts w:hint="eastAsia" w:ascii="宋体" w:hAnsi="宋体" w:eastAsia="宋体"/>
          <w:color w:val="auto"/>
          <w:kern w:val="2"/>
          <w:sz w:val="24"/>
          <w:szCs w:val="22"/>
          <w:highlight w:val="none"/>
        </w:rPr>
        <w:t>注：1、投标人需按“总报价表”的报价，对“</w:t>
      </w:r>
      <w:r>
        <w:rPr>
          <w:rFonts w:hint="eastAsia" w:ascii="宋体" w:hAnsi="宋体"/>
          <w:color w:val="auto"/>
          <w:sz w:val="24"/>
          <w:highlight w:val="none"/>
        </w:rPr>
        <w:t>缙云县人民政府新碧街道办事处2020年道路清扫保洁、农村垃圾清运服务采购项目</w:t>
      </w:r>
      <w:r>
        <w:rPr>
          <w:rFonts w:hint="eastAsia" w:ascii="宋体" w:hAnsi="宋体" w:eastAsia="宋体"/>
          <w:color w:val="auto"/>
          <w:kern w:val="2"/>
          <w:sz w:val="24"/>
          <w:szCs w:val="22"/>
          <w:highlight w:val="none"/>
        </w:rPr>
        <w:t>”的</w:t>
      </w:r>
      <w:r>
        <w:rPr>
          <w:rFonts w:hint="eastAsia" w:ascii="宋体" w:hAnsi="宋体" w:eastAsia="宋体"/>
          <w:b/>
          <w:bCs/>
          <w:color w:val="auto"/>
          <w:kern w:val="2"/>
          <w:sz w:val="24"/>
          <w:szCs w:val="22"/>
          <w:highlight w:val="none"/>
        </w:rPr>
        <w:t>分项报价分别进行详细列表说明。</w:t>
      </w:r>
    </w:p>
    <w:p>
      <w:pPr>
        <w:pStyle w:val="112"/>
        <w:spacing w:line="360" w:lineRule="auto"/>
        <w:ind w:firstLine="480" w:firstLineChars="200"/>
        <w:rPr>
          <w:rFonts w:ascii="宋体" w:hAnsi="宋体" w:eastAsia="宋体"/>
          <w:color w:val="auto"/>
          <w:kern w:val="2"/>
          <w:sz w:val="24"/>
          <w:szCs w:val="22"/>
          <w:highlight w:val="none"/>
        </w:rPr>
      </w:pPr>
      <w:r>
        <w:rPr>
          <w:rFonts w:hint="eastAsia" w:ascii="宋体" w:hAnsi="宋体" w:eastAsia="宋体"/>
          <w:color w:val="auto"/>
          <w:kern w:val="2"/>
          <w:sz w:val="24"/>
          <w:szCs w:val="22"/>
          <w:highlight w:val="none"/>
        </w:rPr>
        <w:t>2、基本养老保险、基本医疗保险、失业保险、工伤保险、生育保险等社会保险合计金额为1009360元（9176元/人/年），在本次招标报价时不得变更，否则作无效标处理。</w:t>
      </w:r>
    </w:p>
    <w:p>
      <w:pPr>
        <w:spacing w:line="360" w:lineRule="auto"/>
        <w:jc w:val="left"/>
        <w:rPr>
          <w:rFonts w:ascii="宋体" w:hAnsi="宋体" w:cs="宋体"/>
          <w:color w:val="auto"/>
          <w:spacing w:val="20"/>
          <w:sz w:val="24"/>
          <w:szCs w:val="24"/>
          <w:highlight w:val="none"/>
        </w:rPr>
      </w:pPr>
    </w:p>
    <w:p>
      <w:pPr>
        <w:pStyle w:val="6"/>
        <w:rPr>
          <w:rFonts w:ascii="宋体" w:hAnsi="宋体" w:cs="宋体"/>
          <w:color w:val="auto"/>
          <w:spacing w:val="20"/>
          <w:sz w:val="24"/>
          <w:szCs w:val="24"/>
          <w:highlight w:val="none"/>
        </w:rPr>
      </w:pPr>
    </w:p>
    <w:p>
      <w:pPr>
        <w:pStyle w:val="6"/>
        <w:rPr>
          <w:rFonts w:ascii="宋体" w:hAnsi="宋体" w:cs="宋体"/>
          <w:color w:val="auto"/>
          <w:spacing w:val="20"/>
          <w:sz w:val="24"/>
          <w:szCs w:val="24"/>
          <w:highlight w:val="none"/>
        </w:rPr>
      </w:pPr>
    </w:p>
    <w:p>
      <w:pPr>
        <w:pStyle w:val="6"/>
        <w:rPr>
          <w:rFonts w:ascii="宋体" w:hAnsi="宋体" w:cs="宋体"/>
          <w:color w:val="auto"/>
          <w:spacing w:val="20"/>
          <w:sz w:val="24"/>
          <w:szCs w:val="24"/>
          <w:highlight w:val="none"/>
        </w:rPr>
      </w:pPr>
    </w:p>
    <w:p>
      <w:pPr>
        <w:pStyle w:val="6"/>
        <w:rPr>
          <w:rFonts w:ascii="宋体" w:hAnsi="宋体" w:cs="宋体"/>
          <w:color w:val="auto"/>
          <w:spacing w:val="20"/>
          <w:sz w:val="24"/>
          <w:szCs w:val="24"/>
          <w:highlight w:val="none"/>
        </w:rPr>
      </w:pPr>
    </w:p>
    <w:p>
      <w:pPr>
        <w:pStyle w:val="214"/>
        <w:spacing w:line="360" w:lineRule="auto"/>
        <w:ind w:firstLine="480"/>
        <w:jc w:val="right"/>
        <w:rPr>
          <w:rFonts w:ascii="宋体" w:hAnsi="宋体" w:cs="宋体"/>
          <w:color w:val="auto"/>
          <w:sz w:val="24"/>
          <w:highlight w:val="none"/>
          <w:u w:val="single"/>
        </w:rPr>
      </w:pPr>
      <w:bookmarkStart w:id="318" w:name="_Toc531359076"/>
      <w:bookmarkStart w:id="319" w:name="_Toc523398533"/>
      <w:bookmarkStart w:id="320" w:name="_Toc493956062"/>
      <w:r>
        <w:rPr>
          <w:rFonts w:hint="eastAsia" w:ascii="宋体" w:hAnsi="宋体" w:cs="宋体"/>
          <w:color w:val="auto"/>
          <w:sz w:val="24"/>
          <w:highlight w:val="none"/>
        </w:rPr>
        <w:t>投标人盖章：</w:t>
      </w:r>
      <w:r>
        <w:rPr>
          <w:rFonts w:hint="eastAsia" w:ascii="宋体" w:hAnsi="宋体" w:cs="宋体"/>
          <w:color w:val="auto"/>
          <w:sz w:val="24"/>
          <w:highlight w:val="none"/>
          <w:u w:val="single"/>
        </w:rPr>
        <w:t xml:space="preserve">               。</w:t>
      </w:r>
    </w:p>
    <w:p>
      <w:pPr>
        <w:pStyle w:val="214"/>
        <w:wordWrap w:val="0"/>
        <w:spacing w:line="360" w:lineRule="auto"/>
        <w:ind w:firstLine="480"/>
        <w:jc w:val="right"/>
        <w:rPr>
          <w:rFonts w:ascii="宋体" w:hAnsi="宋体" w:cs="宋体"/>
          <w:color w:val="auto"/>
          <w:sz w:val="24"/>
          <w:highlight w:val="none"/>
          <w:u w:val="single"/>
        </w:rPr>
      </w:pPr>
      <w:r>
        <w:rPr>
          <w:rFonts w:hint="eastAsia" w:ascii="宋体" w:hAnsi="宋体" w:cs="宋体"/>
          <w:color w:val="auto"/>
          <w:sz w:val="24"/>
          <w:highlight w:val="none"/>
        </w:rPr>
        <w:t>日      期：</w:t>
      </w:r>
      <w:r>
        <w:rPr>
          <w:rFonts w:hint="eastAsia" w:ascii="宋体" w:hAnsi="宋体" w:cs="宋体"/>
          <w:color w:val="auto"/>
          <w:sz w:val="24"/>
          <w:highlight w:val="none"/>
          <w:u w:val="single"/>
        </w:rPr>
        <w:t xml:space="preserve">               。</w:t>
      </w:r>
    </w:p>
    <w:p>
      <w:pPr>
        <w:pStyle w:val="5"/>
        <w:spacing w:before="0" w:after="0"/>
        <w:ind w:firstLine="0" w:firstLineChars="0"/>
        <w:jc w:val="right"/>
        <w:rPr>
          <w:rFonts w:ascii="宋体" w:hAnsi="宋体" w:eastAsia="宋体"/>
          <w:color w:val="auto"/>
          <w:sz w:val="21"/>
          <w:szCs w:val="21"/>
          <w:highlight w:val="none"/>
        </w:rPr>
        <w:sectPr>
          <w:pgSz w:w="11906" w:h="16838"/>
          <w:pgMar w:top="1440" w:right="1440" w:bottom="1440" w:left="1440" w:header="851" w:footer="851" w:gutter="0"/>
          <w:cols w:space="720" w:num="1"/>
          <w:docGrid w:linePitch="312" w:charSpace="0"/>
        </w:sectPr>
      </w:pPr>
    </w:p>
    <w:p>
      <w:pPr>
        <w:pStyle w:val="5"/>
        <w:spacing w:before="0" w:after="0"/>
        <w:ind w:firstLine="0" w:firstLineChars="0"/>
        <w:jc w:val="left"/>
        <w:rPr>
          <w:rFonts w:ascii="宋体" w:hAnsi="宋体" w:eastAsia="宋体"/>
          <w:color w:val="auto"/>
          <w:sz w:val="24"/>
          <w:szCs w:val="24"/>
          <w:highlight w:val="none"/>
        </w:rPr>
      </w:pPr>
      <w:bookmarkStart w:id="321" w:name="_Toc13726"/>
      <w:r>
        <w:rPr>
          <w:rFonts w:ascii="宋体" w:hAnsi="宋体" w:eastAsia="宋体"/>
          <w:color w:val="auto"/>
          <w:sz w:val="24"/>
          <w:szCs w:val="24"/>
          <w:highlight w:val="none"/>
        </w:rPr>
        <w:t>3.</w:t>
      </w:r>
      <w:r>
        <w:rPr>
          <w:rFonts w:hint="eastAsia" w:ascii="宋体" w:hAnsi="宋体" w:eastAsia="宋体"/>
          <w:color w:val="auto"/>
          <w:sz w:val="24"/>
          <w:szCs w:val="24"/>
          <w:highlight w:val="none"/>
        </w:rPr>
        <w:t xml:space="preserve">5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投标人类型声明函</w:t>
      </w:r>
      <w:bookmarkEnd w:id="318"/>
      <w:bookmarkEnd w:id="319"/>
      <w:bookmarkEnd w:id="320"/>
      <w:r>
        <w:rPr>
          <w:rFonts w:hint="eastAsia" w:ascii="宋体" w:hAnsi="宋体" w:eastAsia="宋体"/>
          <w:color w:val="auto"/>
          <w:sz w:val="24"/>
          <w:szCs w:val="24"/>
          <w:highlight w:val="none"/>
        </w:rPr>
        <w:t>格式</w:t>
      </w:r>
      <w:bookmarkEnd w:id="321"/>
    </w:p>
    <w:p>
      <w:pPr>
        <w:pStyle w:val="7"/>
        <w:spacing w:before="0" w:after="0" w:line="240" w:lineRule="auto"/>
        <w:rPr>
          <w:rFonts w:hint="eastAsia" w:ascii="宋体" w:hAnsi="宋体" w:eastAsia="宋体"/>
          <w:color w:val="auto"/>
          <w:sz w:val="24"/>
          <w:szCs w:val="24"/>
          <w:highlight w:val="none"/>
        </w:rPr>
      </w:pPr>
      <w:r>
        <w:rPr>
          <w:rFonts w:hint="eastAsia" w:ascii="宋体" w:hAnsi="宋体" w:eastAsia="宋体" w:cs="宋体"/>
          <w:color w:val="auto"/>
          <w:kern w:val="0"/>
          <w:sz w:val="24"/>
          <w:szCs w:val="24"/>
          <w:highlight w:val="none"/>
        </w:rPr>
        <w:t>小微企业声明函</w:t>
      </w:r>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小微企业声明函</w:t>
      </w:r>
    </w:p>
    <w:p>
      <w:pPr>
        <w:pStyle w:val="225"/>
        <w:spacing w:line="360" w:lineRule="auto"/>
        <w:jc w:val="center"/>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【小微企业提供】</w:t>
      </w:r>
    </w:p>
    <w:p>
      <w:pPr>
        <w:pStyle w:val="225"/>
        <w:jc w:val="center"/>
        <w:rPr>
          <w:rFonts w:hint="eastAsia" w:ascii="宋体" w:hAnsi="宋体" w:eastAsia="宋体" w:cs="宋体"/>
          <w:color w:val="auto"/>
          <w:spacing w:val="6"/>
          <w:sz w:val="24"/>
          <w:szCs w:val="24"/>
          <w:highlight w:val="none"/>
        </w:rPr>
      </w:pPr>
    </w:p>
    <w:p>
      <w:pPr>
        <w:pStyle w:val="22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本公司郑重声明，根据《政府采购促进中小企业发展暂行办法》（财库〔2011〕181号）的规定，本公司为</w:t>
      </w:r>
      <w:r>
        <w:rPr>
          <w:rFonts w:hint="eastAsia" w:ascii="宋体" w:hAnsi="宋体" w:eastAsia="宋体" w:cs="宋体"/>
          <w:color w:val="auto"/>
          <w:sz w:val="24"/>
          <w:szCs w:val="24"/>
          <w:highlight w:val="none"/>
          <w:u w:val="single"/>
        </w:rPr>
        <w:t>（请填写：小型、微型）</w:t>
      </w:r>
      <w:r>
        <w:rPr>
          <w:rFonts w:hint="eastAsia" w:ascii="宋体" w:hAnsi="宋体" w:eastAsia="宋体" w:cs="宋体"/>
          <w:color w:val="auto"/>
          <w:sz w:val="24"/>
          <w:szCs w:val="24"/>
          <w:highlight w:val="none"/>
        </w:rPr>
        <w:t>企业。即，本公司同时满足以下条件：</w:t>
      </w:r>
    </w:p>
    <w:p>
      <w:pPr>
        <w:pStyle w:val="225"/>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pacing w:val="6"/>
          <w:sz w:val="24"/>
          <w:szCs w:val="24"/>
          <w:highlight w:val="none"/>
          <w:u w:val="single"/>
        </w:rPr>
        <w:t xml:space="preserve">   （请填写：小型、微型）</w:t>
      </w:r>
      <w:r>
        <w:rPr>
          <w:rFonts w:hint="eastAsia" w:ascii="宋体" w:hAnsi="宋体" w:eastAsia="宋体" w:cs="宋体"/>
          <w:color w:val="auto"/>
          <w:spacing w:val="6"/>
          <w:sz w:val="24"/>
          <w:szCs w:val="24"/>
          <w:highlight w:val="none"/>
        </w:rPr>
        <w:t>企业。</w:t>
      </w:r>
    </w:p>
    <w:p>
      <w:pPr>
        <w:pStyle w:val="225"/>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2.本公司参加</w:t>
      </w:r>
      <w:r>
        <w:rPr>
          <w:rFonts w:hint="eastAsia" w:ascii="宋体" w:hAnsi="宋体" w:eastAsia="宋体" w:cs="宋体"/>
          <w:color w:val="auto"/>
          <w:spacing w:val="6"/>
          <w:sz w:val="24"/>
          <w:szCs w:val="24"/>
          <w:highlight w:val="none"/>
          <w:u w:val="single"/>
        </w:rPr>
        <w:t>（采购人名称）</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（项目名称）（项目编号）（标项）</w:t>
      </w:r>
      <w:r>
        <w:rPr>
          <w:rFonts w:hint="eastAsia" w:ascii="宋体" w:hAnsi="宋体" w:eastAsia="宋体" w:cs="宋体"/>
          <w:color w:val="auto"/>
          <w:spacing w:val="6"/>
          <w:sz w:val="24"/>
          <w:szCs w:val="24"/>
          <w:highlight w:val="none"/>
        </w:rPr>
        <w:t>采购活动提供本企业制造的产品（产品名称见下表一），由本企业承担工程、提供服务，或者提供其他</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（请填写：小型、微型）企业制造的产品（产品名称见表二）。本条所称货物不包括使用大型企业注册商标的货物。</w:t>
      </w: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397"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pStyle w:val="225"/>
        <w:spacing w:line="360" w:lineRule="auto"/>
        <w:ind w:firstLine="480" w:firstLineChars="200"/>
        <w:rPr>
          <w:rFonts w:hint="eastAsia" w:ascii="宋体" w:hAnsi="宋体" w:eastAsia="宋体" w:cs="宋体"/>
          <w:color w:val="auto"/>
          <w:sz w:val="24"/>
          <w:szCs w:val="24"/>
          <w:highlight w:val="none"/>
        </w:rPr>
      </w:pP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397"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pStyle w:val="22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本公司对上述声明的真实性负责。如有虚假，将依法承担相应责任。</w:t>
      </w:r>
    </w:p>
    <w:p>
      <w:pPr>
        <w:pStyle w:val="36"/>
        <w:snapToGrid w:val="0"/>
        <w:spacing w:line="360" w:lineRule="auto"/>
        <w:ind w:left="420" w:hanging="420"/>
        <w:jc w:val="left"/>
        <w:rPr>
          <w:rFonts w:hint="eastAsia" w:ascii="宋体" w:hAnsi="宋体" w:eastAsia="宋体" w:cs="宋体"/>
          <w:color w:val="auto"/>
          <w:sz w:val="24"/>
          <w:szCs w:val="24"/>
          <w:highlight w:val="none"/>
        </w:rPr>
      </w:pPr>
    </w:p>
    <w:p>
      <w:pPr>
        <w:pStyle w:val="36"/>
        <w:wordWrap w:val="0"/>
        <w:snapToGrid w:val="0"/>
        <w:spacing w:line="360" w:lineRule="auto"/>
        <w:ind w:left="420" w:hanging="42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投标人盖章：</w:t>
      </w:r>
      <w:r>
        <w:rPr>
          <w:rFonts w:hint="eastAsia" w:ascii="宋体" w:hAnsi="宋体" w:eastAsia="宋体" w:cs="宋体"/>
          <w:color w:val="auto"/>
          <w:sz w:val="24"/>
          <w:szCs w:val="24"/>
          <w:highlight w:val="none"/>
          <w:u w:val="single"/>
        </w:rPr>
        <w:t xml:space="preserve">         </w:t>
      </w:r>
    </w:p>
    <w:p>
      <w:pPr>
        <w:pStyle w:val="214"/>
        <w:wordWrap w:val="0"/>
        <w:spacing w:line="360" w:lineRule="auto"/>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pStyle w:val="7"/>
        <w:spacing w:before="0" w:after="0" w:line="240" w:lineRule="auto"/>
        <w:rPr>
          <w:rFonts w:ascii="宋体" w:hAnsi="宋体" w:eastAsia="宋体"/>
          <w:color w:val="auto"/>
          <w:sz w:val="24"/>
          <w:szCs w:val="24"/>
          <w:highlight w:val="none"/>
        </w:rPr>
      </w:pPr>
      <w:r>
        <w:rPr>
          <w:rFonts w:hint="eastAsia" w:ascii="宋体" w:hAnsi="宋体" w:eastAsia="宋体"/>
          <w:color w:val="auto"/>
          <w:sz w:val="24"/>
          <w:szCs w:val="24"/>
          <w:highlight w:val="none"/>
        </w:rPr>
        <w:br w:type="page"/>
      </w:r>
      <w:r>
        <w:rPr>
          <w:rFonts w:hint="eastAsia" w:ascii="宋体" w:hAnsi="宋体" w:eastAsia="宋体"/>
          <w:color w:val="auto"/>
          <w:sz w:val="24"/>
          <w:szCs w:val="24"/>
          <w:highlight w:val="none"/>
        </w:rPr>
        <w:t>监狱</w:t>
      </w:r>
      <w:r>
        <w:rPr>
          <w:rFonts w:ascii="宋体" w:hAnsi="宋体" w:eastAsia="宋体"/>
          <w:color w:val="auto"/>
          <w:sz w:val="24"/>
          <w:szCs w:val="24"/>
          <w:highlight w:val="none"/>
        </w:rPr>
        <w:t>企业</w:t>
      </w:r>
      <w:r>
        <w:rPr>
          <w:rFonts w:hint="eastAsia" w:ascii="宋体" w:hAnsi="宋体" w:eastAsia="宋体"/>
          <w:color w:val="auto"/>
          <w:sz w:val="24"/>
          <w:szCs w:val="24"/>
          <w:highlight w:val="none"/>
        </w:rPr>
        <w:t>声明</w:t>
      </w:r>
      <w:r>
        <w:rPr>
          <w:rFonts w:ascii="宋体" w:hAnsi="宋体" w:eastAsia="宋体"/>
          <w:color w:val="auto"/>
          <w:sz w:val="24"/>
          <w:szCs w:val="24"/>
          <w:highlight w:val="none"/>
        </w:rPr>
        <w:t>函</w:t>
      </w:r>
    </w:p>
    <w:p>
      <w:pPr>
        <w:pStyle w:val="6"/>
        <w:spacing w:line="360" w:lineRule="auto"/>
        <w:ind w:firstLine="0"/>
        <w:jc w:val="center"/>
        <w:rPr>
          <w:rFonts w:hint="eastAsia" w:ascii="宋体" w:hAnsi="宋体"/>
          <w:b/>
          <w:color w:val="auto"/>
          <w:sz w:val="32"/>
          <w:szCs w:val="32"/>
          <w:highlight w:val="none"/>
        </w:rPr>
      </w:pPr>
      <w:r>
        <w:rPr>
          <w:rFonts w:hint="eastAsia" w:ascii="宋体" w:hAnsi="宋体"/>
          <w:b/>
          <w:color w:val="auto"/>
          <w:sz w:val="32"/>
          <w:szCs w:val="32"/>
          <w:highlight w:val="none"/>
        </w:rPr>
        <w:t>监狱</w:t>
      </w:r>
      <w:r>
        <w:rPr>
          <w:rFonts w:ascii="宋体" w:hAnsi="宋体"/>
          <w:b/>
          <w:color w:val="auto"/>
          <w:sz w:val="32"/>
          <w:szCs w:val="32"/>
          <w:highlight w:val="none"/>
        </w:rPr>
        <w:t>企业</w:t>
      </w:r>
      <w:r>
        <w:rPr>
          <w:rFonts w:hint="eastAsia" w:ascii="宋体" w:hAnsi="宋体"/>
          <w:b/>
          <w:color w:val="auto"/>
          <w:sz w:val="32"/>
          <w:szCs w:val="32"/>
          <w:highlight w:val="none"/>
        </w:rPr>
        <w:t>声明</w:t>
      </w:r>
      <w:r>
        <w:rPr>
          <w:rFonts w:ascii="宋体" w:hAnsi="宋体"/>
          <w:b/>
          <w:color w:val="auto"/>
          <w:sz w:val="32"/>
          <w:szCs w:val="32"/>
          <w:highlight w:val="none"/>
        </w:rPr>
        <w:t>函</w:t>
      </w:r>
    </w:p>
    <w:p>
      <w:pPr>
        <w:pStyle w:val="6"/>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【监狱企业提供】</w:t>
      </w:r>
    </w:p>
    <w:p>
      <w:pPr>
        <w:pStyle w:val="6"/>
        <w:ind w:firstLine="0"/>
        <w:jc w:val="center"/>
        <w:rPr>
          <w:rFonts w:hint="eastAsia" w:ascii="宋体" w:hAnsi="宋体" w:eastAsia="宋体" w:cs="宋体"/>
          <w:color w:val="auto"/>
          <w:sz w:val="24"/>
          <w:szCs w:val="24"/>
          <w:highlight w:val="none"/>
        </w:rPr>
      </w:pPr>
    </w:p>
    <w:p>
      <w:pPr>
        <w:pStyle w:val="225"/>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本公司郑重声明，根据</w:t>
      </w:r>
      <w:r>
        <w:rPr>
          <w:rFonts w:hint="eastAsia" w:ascii="宋体" w:hAnsi="宋体" w:eastAsia="宋体" w:cs="宋体"/>
          <w:bCs/>
          <w:color w:val="auto"/>
          <w:sz w:val="24"/>
          <w:szCs w:val="24"/>
          <w:highlight w:val="none"/>
        </w:rPr>
        <w:t>《财政部、司法部关于政府采购支持监狱企业发展有关问题的通知》（财库〔2014〕68号）</w:t>
      </w:r>
      <w:r>
        <w:rPr>
          <w:rFonts w:hint="eastAsia" w:ascii="宋体" w:hAnsi="宋体" w:eastAsia="宋体" w:cs="宋体"/>
          <w:color w:val="auto"/>
          <w:spacing w:val="6"/>
          <w:sz w:val="24"/>
          <w:szCs w:val="24"/>
          <w:highlight w:val="none"/>
        </w:rPr>
        <w:t>的规定，本公司为监狱企业。</w:t>
      </w:r>
    </w:p>
    <w:p>
      <w:pPr>
        <w:pStyle w:val="225"/>
        <w:spacing w:line="360" w:lineRule="auto"/>
        <w:ind w:firstLine="504" w:firstLineChars="200"/>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本公司参加</w:t>
      </w:r>
      <w:r>
        <w:rPr>
          <w:rFonts w:hint="eastAsia" w:ascii="宋体" w:hAnsi="宋体" w:eastAsia="宋体" w:cs="宋体"/>
          <w:color w:val="auto"/>
          <w:spacing w:val="6"/>
          <w:sz w:val="24"/>
          <w:szCs w:val="24"/>
          <w:highlight w:val="none"/>
          <w:u w:val="single"/>
        </w:rPr>
        <w:t>（采购人名称）</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（项目名称）（项目编号）（标项）</w:t>
      </w:r>
      <w:r>
        <w:rPr>
          <w:rFonts w:hint="eastAsia" w:ascii="宋体" w:hAnsi="宋体" w:eastAsia="宋体" w:cs="宋体"/>
          <w:color w:val="auto"/>
          <w:spacing w:val="6"/>
          <w:sz w:val="24"/>
          <w:szCs w:val="24"/>
          <w:highlight w:val="none"/>
        </w:rPr>
        <w:t>供本企业制造的产品（产品名称见下表一），由本企业承担工程、提供服务，或者提供其他监狱企业制造的产品（产品名称见表二）。本条所称产品不包括使用其他监狱企业制造的产品。</w:t>
      </w: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pStyle w:val="225"/>
        <w:spacing w:line="360" w:lineRule="auto"/>
        <w:ind w:firstLine="480" w:firstLineChars="200"/>
        <w:rPr>
          <w:rFonts w:hint="eastAsia" w:ascii="宋体" w:hAnsi="宋体" w:eastAsia="宋体" w:cs="宋体"/>
          <w:color w:val="auto"/>
          <w:sz w:val="24"/>
          <w:szCs w:val="24"/>
          <w:highlight w:val="none"/>
        </w:rPr>
      </w:pP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pStyle w:val="225"/>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本公司对上述声明的真实性负责。如有虚假，将依法承担相应责任。</w:t>
      </w:r>
    </w:p>
    <w:p>
      <w:pPr>
        <w:pStyle w:val="36"/>
        <w:snapToGrid w:val="0"/>
        <w:spacing w:line="360" w:lineRule="auto"/>
        <w:ind w:left="422" w:hanging="422"/>
        <w:jc w:val="left"/>
        <w:rPr>
          <w:rFonts w:hint="eastAsia" w:ascii="宋体" w:hAnsi="宋体" w:eastAsia="宋体" w:cs="宋体"/>
          <w:b/>
          <w:color w:val="auto"/>
          <w:sz w:val="24"/>
          <w:szCs w:val="24"/>
          <w:highlight w:val="none"/>
        </w:rPr>
      </w:pPr>
    </w:p>
    <w:p>
      <w:pPr>
        <w:pStyle w:val="36"/>
        <w:wordWrap w:val="0"/>
        <w:snapToGrid w:val="0"/>
        <w:spacing w:line="360" w:lineRule="auto"/>
        <w:ind w:left="420" w:hanging="42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监狱企业盖章：</w:t>
      </w:r>
      <w:r>
        <w:rPr>
          <w:rFonts w:hint="eastAsia" w:ascii="宋体" w:hAnsi="宋体" w:eastAsia="宋体" w:cs="宋体"/>
          <w:color w:val="auto"/>
          <w:sz w:val="24"/>
          <w:szCs w:val="24"/>
          <w:highlight w:val="none"/>
          <w:u w:val="single"/>
        </w:rPr>
        <w:t xml:space="preserve">            </w:t>
      </w:r>
    </w:p>
    <w:p>
      <w:pPr>
        <w:pStyle w:val="214"/>
        <w:wordWrap w:val="0"/>
        <w:spacing w:line="360" w:lineRule="auto"/>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pStyle w:val="36"/>
        <w:snapToGrid w:val="0"/>
        <w:ind w:left="666" w:hanging="756" w:hangingChars="300"/>
        <w:jc w:val="left"/>
        <w:rPr>
          <w:rFonts w:hint="eastAsia" w:ascii="宋体" w:hAnsi="宋体" w:eastAsia="宋体" w:cs="宋体"/>
          <w:color w:val="auto"/>
          <w:spacing w:val="6"/>
          <w:sz w:val="24"/>
          <w:szCs w:val="24"/>
          <w:highlight w:val="none"/>
        </w:rPr>
      </w:pPr>
    </w:p>
    <w:p>
      <w:pPr>
        <w:pStyle w:val="36"/>
        <w:snapToGrid w:val="0"/>
        <w:ind w:left="666" w:hanging="756" w:hangingChars="300"/>
        <w:jc w:val="left"/>
        <w:rPr>
          <w:rFonts w:hint="eastAsia" w:ascii="宋体" w:hAnsi="宋体" w:eastAsia="宋体" w:cs="宋体"/>
          <w:color w:val="auto"/>
          <w:kern w:val="0"/>
          <w:sz w:val="24"/>
          <w:szCs w:val="24"/>
          <w:highlight w:val="none"/>
        </w:rPr>
      </w:pPr>
      <w:r>
        <w:rPr>
          <w:rFonts w:hint="eastAsia" w:ascii="宋体" w:hAnsi="宋体" w:eastAsia="宋体" w:cs="宋体"/>
          <w:color w:val="auto"/>
          <w:spacing w:val="6"/>
          <w:sz w:val="24"/>
          <w:szCs w:val="24"/>
          <w:highlight w:val="none"/>
        </w:rPr>
        <w:t>注：1.</w:t>
      </w:r>
      <w:r>
        <w:rPr>
          <w:rFonts w:hint="eastAsia" w:ascii="宋体" w:hAnsi="宋体" w:eastAsia="宋体" w:cs="宋体"/>
          <w:color w:val="auto"/>
          <w:kern w:val="0"/>
          <w:sz w:val="24"/>
          <w:szCs w:val="24"/>
          <w:highlight w:val="none"/>
        </w:rPr>
        <w:t>须附省级以上监狱管理局、戒毒管理局（含新疆生产建设兵团）出具的属于监狱企业的证明文件，否则</w:t>
      </w:r>
      <w:r>
        <w:rPr>
          <w:rFonts w:hint="eastAsia" w:ascii="宋体" w:hAnsi="宋体" w:eastAsia="宋体" w:cs="宋体"/>
          <w:bCs/>
          <w:color w:val="auto"/>
          <w:sz w:val="24"/>
          <w:szCs w:val="24"/>
          <w:highlight w:val="none"/>
        </w:rPr>
        <w:t>视为投标人放弃相关政策优惠处理</w:t>
      </w:r>
      <w:r>
        <w:rPr>
          <w:rFonts w:hint="eastAsia" w:ascii="宋体" w:hAnsi="宋体" w:eastAsia="宋体" w:cs="宋体"/>
          <w:color w:val="auto"/>
          <w:kern w:val="0"/>
          <w:sz w:val="24"/>
          <w:szCs w:val="24"/>
          <w:highlight w:val="none"/>
        </w:rPr>
        <w:t>；</w:t>
      </w:r>
    </w:p>
    <w:p>
      <w:pPr>
        <w:ind w:left="777" w:leftChars="250" w:hanging="252" w:hangingChars="100"/>
        <w:rPr>
          <w:rFonts w:hint="eastAsia" w:ascii="宋体" w:hAnsi="宋体" w:eastAsia="宋体" w:cs="宋体"/>
          <w:color w:val="auto"/>
          <w:spacing w:val="6"/>
          <w:sz w:val="24"/>
          <w:szCs w:val="24"/>
          <w:highlight w:val="none"/>
        </w:rPr>
      </w:pPr>
    </w:p>
    <w:p>
      <w:pPr>
        <w:pStyle w:val="225"/>
        <w:tabs>
          <w:tab w:val="left" w:pos="4860"/>
        </w:tabs>
        <w:spacing w:line="360" w:lineRule="auto"/>
        <w:ind w:right="1559" w:firstLine="640" w:firstLineChars="200"/>
        <w:jc w:val="left"/>
        <w:rPr>
          <w:color w:val="auto"/>
          <w:sz w:val="32"/>
          <w:szCs w:val="32"/>
          <w:highlight w:val="none"/>
        </w:rPr>
      </w:pPr>
    </w:p>
    <w:p>
      <w:pPr>
        <w:pStyle w:val="225"/>
        <w:tabs>
          <w:tab w:val="left" w:pos="4860"/>
        </w:tabs>
        <w:spacing w:line="360" w:lineRule="auto"/>
        <w:ind w:right="1559" w:firstLine="640" w:firstLineChars="200"/>
        <w:jc w:val="left"/>
        <w:rPr>
          <w:rFonts w:hint="eastAsia"/>
          <w:color w:val="auto"/>
          <w:sz w:val="32"/>
          <w:szCs w:val="32"/>
          <w:highlight w:val="none"/>
        </w:rPr>
        <w:sectPr>
          <w:footerReference r:id="rId12" w:type="default"/>
          <w:pgSz w:w="11906" w:h="16838"/>
          <w:pgMar w:top="1440" w:right="1440" w:bottom="1440" w:left="1440"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7"/>
        <w:spacing w:before="0" w:after="0" w:line="240" w:lineRule="auto"/>
        <w:rPr>
          <w:rFonts w:hint="eastAsia" w:ascii="宋体" w:hAnsi="宋体" w:eastAsia="宋体"/>
          <w:color w:val="auto"/>
          <w:sz w:val="21"/>
          <w:szCs w:val="21"/>
          <w:highlight w:val="none"/>
        </w:rPr>
      </w:pPr>
      <w:r>
        <w:rPr>
          <w:rFonts w:hint="eastAsia" w:ascii="宋体" w:hAnsi="宋体" w:eastAsia="宋体"/>
          <w:color w:val="auto"/>
          <w:sz w:val="24"/>
          <w:szCs w:val="24"/>
          <w:highlight w:val="none"/>
        </w:rPr>
        <w:t>残疾人福利性企业声明函</w:t>
      </w:r>
    </w:p>
    <w:p>
      <w:pPr>
        <w:pStyle w:val="6"/>
        <w:spacing w:line="360" w:lineRule="auto"/>
        <w:ind w:firstLine="0"/>
        <w:jc w:val="center"/>
        <w:rPr>
          <w:rFonts w:ascii="宋体" w:hAnsi="宋体"/>
          <w:b/>
          <w:color w:val="auto"/>
          <w:sz w:val="32"/>
          <w:szCs w:val="32"/>
          <w:highlight w:val="none"/>
        </w:rPr>
      </w:pPr>
      <w:r>
        <w:rPr>
          <w:rFonts w:hint="eastAsia" w:ascii="宋体" w:hAnsi="宋体"/>
          <w:b/>
          <w:color w:val="auto"/>
          <w:sz w:val="32"/>
          <w:szCs w:val="32"/>
          <w:highlight w:val="none"/>
        </w:rPr>
        <w:t>残疾人福利性企业声明函</w:t>
      </w:r>
    </w:p>
    <w:p>
      <w:pPr>
        <w:pStyle w:val="6"/>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【残疾人福利性企业提供】</w:t>
      </w:r>
    </w:p>
    <w:p>
      <w:pPr>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中国残疾人联合会关于促进残疾人就业政府采购政策的通知》（财库〔2017〕141号）的规定，本企业为符合条件的残疾人福利性单位，且本单位参加</w:t>
      </w:r>
      <w:r>
        <w:rPr>
          <w:rFonts w:hint="eastAsia" w:ascii="宋体" w:hAnsi="宋体" w:eastAsia="宋体" w:cs="宋体"/>
          <w:color w:val="auto"/>
          <w:spacing w:val="6"/>
          <w:sz w:val="24"/>
          <w:szCs w:val="24"/>
          <w:highlight w:val="none"/>
          <w:u w:val="single"/>
        </w:rPr>
        <w:t>（采购人名称）</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（项目名称）（项目编号）（标项）</w:t>
      </w:r>
      <w:r>
        <w:rPr>
          <w:rFonts w:hint="eastAsia" w:ascii="宋体" w:hAnsi="宋体" w:eastAsia="宋体" w:cs="宋体"/>
          <w:color w:val="auto"/>
          <w:sz w:val="24"/>
          <w:szCs w:val="24"/>
          <w:highlight w:val="none"/>
        </w:rPr>
        <w:t>项目采购活动提供本单位制造的产品（产品名称见下表一），由本单位承接工程、提供服务，或者提供其他残疾人福利性单位制造的产品（产品名称见下表二），本条不包括使用非残疾人福利性单位注册商标的货物。</w:t>
      </w: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表一</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pStyle w:val="225"/>
        <w:spacing w:line="360" w:lineRule="auto"/>
        <w:ind w:firstLine="480" w:firstLineChars="200"/>
        <w:rPr>
          <w:rFonts w:hint="eastAsia" w:ascii="宋体" w:hAnsi="宋体" w:eastAsia="宋体" w:cs="宋体"/>
          <w:color w:val="auto"/>
          <w:sz w:val="24"/>
          <w:szCs w:val="24"/>
          <w:highlight w:val="none"/>
        </w:rPr>
      </w:pPr>
    </w:p>
    <w:tbl>
      <w:tblPr>
        <w:tblStyle w:val="54"/>
        <w:tblW w:w="9137" w:type="dxa"/>
        <w:jc w:val="center"/>
        <w:tblInd w:w="0" w:type="dxa"/>
        <w:tblLayout w:type="fixed"/>
        <w:tblCellMar>
          <w:top w:w="0" w:type="dxa"/>
          <w:left w:w="108" w:type="dxa"/>
          <w:bottom w:w="0" w:type="dxa"/>
          <w:right w:w="108" w:type="dxa"/>
        </w:tblCellMar>
      </w:tblPr>
      <w:tblGrid>
        <w:gridCol w:w="699"/>
        <w:gridCol w:w="1490"/>
        <w:gridCol w:w="1491"/>
        <w:gridCol w:w="1490"/>
        <w:gridCol w:w="1491"/>
        <w:gridCol w:w="2476"/>
      </w:tblGrid>
      <w:tr>
        <w:tblPrEx>
          <w:tblLayout w:type="fixed"/>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表二</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ind w:left="-103" w:leftChars="-49" w:right="-48" w:rightChars="-23"/>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r>
        <w:tblPrEx>
          <w:tblLayout w:type="fixed"/>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225"/>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与分项报价表一致</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本公司对上述声明的真实性负责。如有虚假，将依法承担相应责任。</w:t>
      </w:r>
    </w:p>
    <w:p>
      <w:pPr>
        <w:pStyle w:val="36"/>
        <w:snapToGrid w:val="0"/>
        <w:spacing w:line="360" w:lineRule="auto"/>
        <w:ind w:left="175" w:hanging="200" w:hangingChars="83"/>
        <w:jc w:val="left"/>
        <w:rPr>
          <w:rFonts w:hint="eastAsia" w:ascii="宋体" w:hAnsi="宋体" w:eastAsia="宋体" w:cs="宋体"/>
          <w:b/>
          <w:color w:val="auto"/>
          <w:sz w:val="24"/>
          <w:szCs w:val="24"/>
          <w:highlight w:val="none"/>
        </w:rPr>
      </w:pPr>
    </w:p>
    <w:p>
      <w:pPr>
        <w:pStyle w:val="36"/>
        <w:wordWrap w:val="0"/>
        <w:snapToGrid w:val="0"/>
        <w:spacing w:line="360" w:lineRule="auto"/>
        <w:ind w:left="420" w:hanging="42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残疾人福利性企业盖章：</w:t>
      </w:r>
      <w:r>
        <w:rPr>
          <w:rFonts w:hint="eastAsia" w:ascii="宋体" w:hAnsi="宋体" w:eastAsia="宋体" w:cs="宋体"/>
          <w:color w:val="auto"/>
          <w:sz w:val="24"/>
          <w:szCs w:val="24"/>
          <w:highlight w:val="none"/>
          <w:u w:val="single"/>
        </w:rPr>
        <w:t xml:space="preserve">          </w:t>
      </w:r>
    </w:p>
    <w:p>
      <w:pPr>
        <w:pStyle w:val="214"/>
        <w:wordWrap w:val="0"/>
        <w:spacing w:line="360" w:lineRule="auto"/>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pStyle w:val="36"/>
        <w:snapToGrid w:val="0"/>
        <w:ind w:left="594" w:hanging="679" w:hangingChars="283"/>
        <w:jc w:val="left"/>
        <w:rPr>
          <w:rFonts w:hint="eastAsia" w:ascii="宋体" w:hAnsi="宋体" w:eastAsia="宋体" w:cs="宋体"/>
          <w:color w:val="auto"/>
          <w:sz w:val="24"/>
          <w:szCs w:val="24"/>
          <w:highlight w:val="none"/>
        </w:rPr>
      </w:pPr>
    </w:p>
    <w:p>
      <w:pPr>
        <w:pStyle w:val="214"/>
        <w:ind w:left="660" w:leftChars="200" w:hanging="240" w:hangingChars="100"/>
        <w:jc w:val="left"/>
        <w:rPr>
          <w:rFonts w:ascii="仿宋_GB2312" w:hAnsi="Courier New" w:eastAsia="仿宋_GB2312"/>
          <w:color w:val="auto"/>
          <w:sz w:val="24"/>
          <w:highlight w:val="none"/>
        </w:rPr>
      </w:pPr>
      <w:r>
        <w:rPr>
          <w:rFonts w:hint="eastAsia" w:ascii="宋体" w:hAnsi="宋体" w:eastAsia="宋体" w:cs="宋体"/>
          <w:color w:val="auto"/>
          <w:sz w:val="24"/>
          <w:szCs w:val="24"/>
          <w:highlight w:val="none"/>
        </w:rPr>
        <w:t>注：1.</w:t>
      </w:r>
      <w:r>
        <w:rPr>
          <w:rFonts w:hint="eastAsia" w:ascii="宋体" w:hAnsi="宋体" w:eastAsia="宋体" w:cs="宋体"/>
          <w:color w:val="auto"/>
          <w:kern w:val="0"/>
          <w:sz w:val="24"/>
          <w:szCs w:val="24"/>
          <w:highlight w:val="none"/>
        </w:rPr>
        <w:t>须附相关主管部门（民政或残疾人联合会）的证明文件，否则</w:t>
      </w:r>
      <w:r>
        <w:rPr>
          <w:rFonts w:hint="eastAsia" w:ascii="宋体" w:hAnsi="宋体" w:eastAsia="宋体" w:cs="宋体"/>
          <w:bCs/>
          <w:color w:val="auto"/>
          <w:sz w:val="24"/>
          <w:szCs w:val="24"/>
          <w:highlight w:val="none"/>
        </w:rPr>
        <w:t>视为投标人放弃相关政策优惠处理</w:t>
      </w:r>
      <w:r>
        <w:rPr>
          <w:rFonts w:hint="eastAsia" w:ascii="宋体" w:hAnsi="宋体" w:eastAsia="宋体" w:cs="宋体"/>
          <w:color w:val="auto"/>
          <w:kern w:val="0"/>
          <w:sz w:val="24"/>
          <w:szCs w:val="24"/>
          <w:highlight w:val="none"/>
        </w:rPr>
        <w:t>；</w:t>
      </w:r>
    </w:p>
    <w:p>
      <w:pPr>
        <w:pStyle w:val="225"/>
        <w:tabs>
          <w:tab w:val="left" w:pos="4860"/>
        </w:tabs>
        <w:spacing w:line="360" w:lineRule="auto"/>
        <w:ind w:right="1559" w:firstLine="480" w:firstLineChars="200"/>
        <w:jc w:val="right"/>
        <w:rPr>
          <w:color w:val="auto"/>
          <w:sz w:val="24"/>
          <w:highlight w:val="none"/>
        </w:rPr>
        <w:sectPr>
          <w:footerReference r:id="rId13" w:type="default"/>
          <w:pgSz w:w="11906" w:h="16838"/>
          <w:pgMar w:top="1440" w:right="1440" w:bottom="1440" w:left="1440" w:header="851" w:footer="851" w:gutter="0"/>
          <w:cols w:space="720" w:num="1"/>
          <w:docGrid w:linePitch="312" w:charSpace="0"/>
        </w:sectPr>
      </w:pPr>
    </w:p>
    <w:bookmarkEnd w:id="226"/>
    <w:bookmarkEnd w:id="314"/>
    <w:bookmarkEnd w:id="315"/>
    <w:bookmarkEnd w:id="316"/>
    <w:bookmarkEnd w:id="317"/>
    <w:p>
      <w:pPr>
        <w:pStyle w:val="45"/>
        <w:spacing w:before="0" w:after="0" w:line="360" w:lineRule="auto"/>
        <w:rPr>
          <w:rFonts w:ascii="宋体" w:hAnsi="宋体"/>
          <w:color w:val="auto"/>
          <w:sz w:val="36"/>
          <w:szCs w:val="36"/>
          <w:highlight w:val="none"/>
        </w:rPr>
      </w:pPr>
      <w:bookmarkStart w:id="322" w:name="_Toc531359077"/>
      <w:bookmarkStart w:id="323" w:name="_Toc493956074"/>
      <w:bookmarkStart w:id="324" w:name="_Toc530551900"/>
      <w:bookmarkStart w:id="325" w:name="_Toc335664294"/>
      <w:bookmarkStart w:id="326" w:name="_Toc27271"/>
      <w:bookmarkStart w:id="327" w:name="_Toc14170833"/>
      <w:r>
        <w:rPr>
          <w:rFonts w:hint="eastAsia" w:ascii="宋体" w:hAnsi="宋体"/>
          <w:color w:val="auto"/>
          <w:sz w:val="36"/>
          <w:szCs w:val="36"/>
          <w:highlight w:val="none"/>
        </w:rPr>
        <w:t>第六章  评标办法和</w:t>
      </w:r>
      <w:bookmarkEnd w:id="322"/>
      <w:bookmarkEnd w:id="323"/>
      <w:bookmarkEnd w:id="324"/>
      <w:bookmarkEnd w:id="325"/>
      <w:r>
        <w:rPr>
          <w:rFonts w:hint="eastAsia" w:ascii="宋体" w:hAnsi="宋体"/>
          <w:color w:val="auto"/>
          <w:sz w:val="36"/>
          <w:szCs w:val="36"/>
          <w:highlight w:val="none"/>
        </w:rPr>
        <w:t>评审标准</w:t>
      </w:r>
      <w:bookmarkEnd w:id="326"/>
      <w:bookmarkEnd w:id="327"/>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根据《中华人民共和国政府采购法》等有关法律法规的规定，并结合本项目的实际，特制定本办法，本办法只适用于本项目政府采购的评标。</w:t>
      </w:r>
    </w:p>
    <w:p>
      <w:pPr>
        <w:pStyle w:val="45"/>
        <w:spacing w:before="0" w:after="0"/>
        <w:jc w:val="left"/>
        <w:outlineLvl w:val="1"/>
        <w:rPr>
          <w:rFonts w:ascii="宋体" w:hAnsi="宋体" w:cs="宋体"/>
          <w:color w:val="auto"/>
          <w:sz w:val="24"/>
          <w:szCs w:val="24"/>
          <w:highlight w:val="none"/>
        </w:rPr>
      </w:pPr>
      <w:bookmarkStart w:id="328" w:name="_Toc14170834"/>
      <w:bookmarkStart w:id="329" w:name="_Toc18973"/>
      <w:bookmarkStart w:id="330" w:name="_Toc531359078"/>
      <w:bookmarkStart w:id="331" w:name="_Toc335664295"/>
      <w:bookmarkStart w:id="332" w:name="_Toc493956075"/>
      <w:bookmarkStart w:id="333" w:name="_Toc530551901"/>
      <w:r>
        <w:rPr>
          <w:rFonts w:hint="eastAsia" w:ascii="宋体" w:hAnsi="宋体" w:cs="宋体"/>
          <w:color w:val="auto"/>
          <w:sz w:val="24"/>
          <w:szCs w:val="24"/>
          <w:highlight w:val="none"/>
        </w:rPr>
        <w:t>一    总则</w:t>
      </w:r>
      <w:bookmarkEnd w:id="328"/>
      <w:bookmarkEnd w:id="329"/>
      <w:bookmarkEnd w:id="330"/>
      <w:bookmarkEnd w:id="331"/>
      <w:bookmarkEnd w:id="332"/>
      <w:bookmarkEnd w:id="333"/>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1.1  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pPr>
        <w:pStyle w:val="45"/>
        <w:spacing w:before="0" w:after="0"/>
        <w:jc w:val="left"/>
        <w:outlineLvl w:val="1"/>
        <w:rPr>
          <w:rFonts w:ascii="宋体" w:hAnsi="宋体" w:cs="宋体"/>
          <w:color w:val="auto"/>
          <w:sz w:val="24"/>
          <w:szCs w:val="24"/>
          <w:highlight w:val="none"/>
        </w:rPr>
      </w:pPr>
      <w:bookmarkStart w:id="334" w:name="_Toc10072"/>
      <w:bookmarkStart w:id="335" w:name="_Toc14170835"/>
      <w:r>
        <w:rPr>
          <w:rFonts w:hint="eastAsia" w:ascii="宋体" w:hAnsi="宋体" w:cs="宋体"/>
          <w:color w:val="auto"/>
          <w:sz w:val="24"/>
          <w:szCs w:val="24"/>
          <w:highlight w:val="none"/>
        </w:rPr>
        <w:t>二    评审一般规定</w:t>
      </w:r>
      <w:bookmarkEnd w:id="334"/>
      <w:bookmarkEnd w:id="335"/>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2.1  本次评标采用综合评分法，总分100分。</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2.2  商务资信、技术分的权重为</w:t>
      </w:r>
      <w:r>
        <w:rPr>
          <w:rFonts w:hint="eastAsia" w:ascii="宋体" w:hAnsi="宋体" w:eastAsia="宋体" w:cs="宋体"/>
          <w:color w:val="auto"/>
          <w:szCs w:val="24"/>
          <w:highlight w:val="none"/>
          <w:u w:val="single"/>
        </w:rPr>
        <w:t xml:space="preserve"> 80 </w:t>
      </w:r>
      <w:r>
        <w:rPr>
          <w:rFonts w:hint="eastAsia" w:ascii="宋体" w:hAnsi="宋体" w:eastAsia="宋体" w:cs="宋体"/>
          <w:color w:val="auto"/>
          <w:szCs w:val="24"/>
          <w:highlight w:val="none"/>
        </w:rPr>
        <w:t>%，评审分值为</w:t>
      </w:r>
      <w:r>
        <w:rPr>
          <w:rFonts w:hint="eastAsia" w:ascii="宋体" w:hAnsi="宋体" w:eastAsia="宋体" w:cs="宋体"/>
          <w:color w:val="auto"/>
          <w:szCs w:val="24"/>
          <w:highlight w:val="none"/>
          <w:u w:val="single"/>
        </w:rPr>
        <w:t>80</w:t>
      </w:r>
      <w:r>
        <w:rPr>
          <w:rFonts w:hint="eastAsia" w:ascii="宋体" w:hAnsi="宋体" w:eastAsia="宋体" w:cs="宋体"/>
          <w:color w:val="auto"/>
          <w:szCs w:val="24"/>
          <w:highlight w:val="none"/>
        </w:rPr>
        <w:t>分。评审专家对各投标人的商务资信及技术文件经充分审核，讨论后，其中客观部分（即商务资信部分）应统一意见后统一给分，其他部分（即技术部分）由评审专家独立评定打分。各有效投标人的商务资信及技术得分为各评审专家对该投标人的评审得分结果汇总后的算术平均值。</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2.3   报价分的权重为</w:t>
      </w:r>
      <w:r>
        <w:rPr>
          <w:rFonts w:hint="eastAsia" w:ascii="宋体" w:hAnsi="宋体" w:eastAsia="宋体" w:cs="宋体"/>
          <w:color w:val="auto"/>
          <w:szCs w:val="24"/>
          <w:highlight w:val="none"/>
          <w:u w:val="single"/>
        </w:rPr>
        <w:t>20</w:t>
      </w:r>
      <w:r>
        <w:rPr>
          <w:rFonts w:hint="eastAsia" w:ascii="宋体" w:hAnsi="宋体" w:eastAsia="宋体" w:cs="宋体"/>
          <w:color w:val="auto"/>
          <w:szCs w:val="24"/>
          <w:highlight w:val="none"/>
        </w:rPr>
        <w:t>%，评审分值为</w:t>
      </w:r>
      <w:r>
        <w:rPr>
          <w:rFonts w:hint="eastAsia" w:ascii="宋体" w:hAnsi="宋体" w:eastAsia="宋体" w:cs="宋体"/>
          <w:color w:val="auto"/>
          <w:szCs w:val="24"/>
          <w:highlight w:val="none"/>
          <w:u w:val="single"/>
        </w:rPr>
        <w:t xml:space="preserve"> 20</w:t>
      </w:r>
      <w:r>
        <w:rPr>
          <w:rFonts w:hint="eastAsia" w:ascii="宋体" w:hAnsi="宋体" w:eastAsia="宋体" w:cs="宋体"/>
          <w:color w:val="auto"/>
          <w:szCs w:val="24"/>
          <w:highlight w:val="none"/>
        </w:rPr>
        <w:t>分，由评标委员会按各投标人报价统一计算。</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2.4   投标人总得分=商务资信及技术得分+报价得分。</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2.5   评审专家在规定的分值范围内打分，评分保留两位小数。</w:t>
      </w:r>
    </w:p>
    <w:p>
      <w:pPr>
        <w:pStyle w:val="45"/>
        <w:spacing w:before="0" w:after="0"/>
        <w:jc w:val="left"/>
        <w:outlineLvl w:val="1"/>
        <w:rPr>
          <w:rFonts w:ascii="宋体" w:hAnsi="宋体" w:cs="宋体"/>
          <w:color w:val="auto"/>
          <w:sz w:val="24"/>
          <w:szCs w:val="24"/>
          <w:highlight w:val="none"/>
        </w:rPr>
      </w:pPr>
      <w:bookmarkStart w:id="336" w:name="_Toc14170836"/>
      <w:bookmarkStart w:id="337" w:name="_Toc30431"/>
      <w:r>
        <w:rPr>
          <w:rFonts w:hint="eastAsia" w:ascii="宋体" w:hAnsi="宋体" w:cs="宋体"/>
          <w:color w:val="auto"/>
          <w:sz w:val="24"/>
          <w:szCs w:val="24"/>
          <w:highlight w:val="none"/>
        </w:rPr>
        <w:t>三    评审内容及标准</w:t>
      </w:r>
      <w:bookmarkEnd w:id="336"/>
      <w:bookmarkEnd w:id="337"/>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3.1   报价分（20分）</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3.1.1 报价得分采用低价优先法计算，即满足招标文件要求且投标价格最低的投标报价为评标基准价，其他投标人的价格分按照下列公式计算：</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价格分=（评标基准价/投标报价）×报价权重×100</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3.3.1  价格扣除：因落实政府采购政策进行价格调整的，以调整后的价格计算评标基准价和投标报价。</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调整后的投标报价＝调整前的投标报价×(1-扣除率)</w:t>
      </w:r>
    </w:p>
    <w:p>
      <w:pPr>
        <w:pStyle w:val="29"/>
        <w:snapToGrid/>
        <w:spacing w:line="360" w:lineRule="auto"/>
        <w:ind w:firstLineChars="200"/>
        <w:rPr>
          <w:rFonts w:ascii="宋体" w:hAnsi="宋体" w:eastAsia="宋体" w:cs="宋体"/>
          <w:color w:val="auto"/>
          <w:szCs w:val="24"/>
          <w:highlight w:val="none"/>
        </w:rPr>
      </w:pPr>
      <w:r>
        <w:rPr>
          <w:rFonts w:hint="eastAsia" w:ascii="宋体" w:hAnsi="宋体" w:eastAsia="宋体" w:cs="宋体"/>
          <w:color w:val="auto"/>
          <w:szCs w:val="24"/>
          <w:highlight w:val="none"/>
        </w:rPr>
        <w:t>3.2  商务资信及技术分</w:t>
      </w:r>
      <w:r>
        <w:rPr>
          <w:rFonts w:hint="eastAsia" w:ascii="宋体" w:hAnsi="宋体" w:eastAsia="宋体" w:cs="宋体"/>
          <w:color w:val="auto"/>
          <w:szCs w:val="24"/>
          <w:highlight w:val="none"/>
          <w:u w:val="single"/>
        </w:rPr>
        <w:t>80</w:t>
      </w:r>
      <w:r>
        <w:rPr>
          <w:rFonts w:hint="eastAsia" w:ascii="宋体" w:hAnsi="宋体" w:eastAsia="宋体" w:cs="宋体"/>
          <w:color w:val="auto"/>
          <w:szCs w:val="24"/>
          <w:highlight w:val="none"/>
        </w:rPr>
        <w:t>分，详细评分见下表：</w:t>
      </w:r>
    </w:p>
    <w:p>
      <w:pPr>
        <w:pStyle w:val="6"/>
        <w:ind w:right="240"/>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单位：分</w:t>
      </w:r>
    </w:p>
    <w:tbl>
      <w:tblPr>
        <w:tblStyle w:val="54"/>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16"/>
        <w:gridCol w:w="4743"/>
        <w:gridCol w:w="87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6980" w:type="dxa"/>
            <w:gridSpan w:val="3"/>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评标内容</w:t>
            </w:r>
          </w:p>
        </w:tc>
        <w:tc>
          <w:tcPr>
            <w:tcW w:w="872" w:type="dxa"/>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分值</w:t>
            </w:r>
          </w:p>
        </w:tc>
        <w:tc>
          <w:tcPr>
            <w:tcW w:w="935" w:type="dxa"/>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合计分值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21" w:type="dxa"/>
            <w:vMerge w:val="restart"/>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资信/商务部分</w:t>
            </w: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行业资历</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行业资历：投标截止日，公司成立3周年及以上的，得1分；5周年及以上的，得2分（以企业注册营业执照的时间为准）；其他不得分。</w:t>
            </w:r>
          </w:p>
        </w:tc>
        <w:tc>
          <w:tcPr>
            <w:tcW w:w="872" w:type="dxa"/>
            <w:vAlign w:val="center"/>
          </w:tcPr>
          <w:p>
            <w:pPr>
              <w:spacing w:line="360" w:lineRule="auto"/>
              <w:jc w:val="center"/>
              <w:rPr>
                <w:rFonts w:ascii="宋体" w:hAnsi="宋体" w:cs="宋体"/>
                <w:b/>
                <w:color w:val="auto"/>
                <w:sz w:val="24"/>
                <w:szCs w:val="24"/>
                <w:highlight w:val="none"/>
              </w:rPr>
            </w:pPr>
            <w:r>
              <w:rPr>
                <w:rFonts w:hint="eastAsia" w:ascii="宋体" w:hAnsi="宋体" w:cs="宋体"/>
                <w:color w:val="auto"/>
                <w:sz w:val="24"/>
                <w:szCs w:val="24"/>
                <w:highlight w:val="none"/>
              </w:rPr>
              <w:t>0-2分</w:t>
            </w:r>
          </w:p>
        </w:tc>
        <w:tc>
          <w:tcPr>
            <w:tcW w:w="93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1" w:type="dxa"/>
            <w:vMerge w:val="continue"/>
            <w:vAlign w:val="center"/>
          </w:tcPr>
          <w:p>
            <w:pPr>
              <w:spacing w:line="360" w:lineRule="auto"/>
              <w:jc w:val="center"/>
              <w:rPr>
                <w:rFonts w:ascii="宋体" w:hAnsi="宋体" w:cs="宋体"/>
                <w:b/>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体系认证</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质量管理体系ISO9001、环境管理体系ISO14001、职业健康安全管理体系ISOSAS18001认证，公司获得3项认证的，得3分；获得2项认证的，得2分；获得1项认证的，得1分。最高分为3分。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0-3分</w:t>
            </w:r>
          </w:p>
        </w:tc>
        <w:tc>
          <w:tcPr>
            <w:tcW w:w="935"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3" w:hRule="atLeast"/>
        </w:trPr>
        <w:tc>
          <w:tcPr>
            <w:tcW w:w="821" w:type="dxa"/>
            <w:vMerge w:val="continue"/>
            <w:vAlign w:val="center"/>
          </w:tcPr>
          <w:p>
            <w:pPr>
              <w:spacing w:line="360" w:lineRule="auto"/>
              <w:jc w:val="center"/>
              <w:rPr>
                <w:rFonts w:ascii="宋体" w:hAnsi="宋体" w:cs="宋体"/>
                <w:b/>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企业业绩</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1、投标人自2015年1月1日—投标截止日（以合同签订之日为准）,具有单个合同面积在15万平方米及以上道路清扫保洁业绩（合同业主须为政府或环卫部门），单个合同每满1年且业主评价为优秀的得1分，每增加1年加1分，以此类推；合同不连续或不足12个月不得分；多个合同可累计加分；总分累加最高不超过加3分。（须提供采购中标（成交）通知书、合同及业主评价，三者缺一不可）。</w:t>
            </w:r>
          </w:p>
          <w:p>
            <w:pPr>
              <w:rPr>
                <w:rFonts w:ascii="宋体" w:hAnsi="宋体" w:cs="宋体"/>
                <w:color w:val="auto"/>
                <w:sz w:val="24"/>
                <w:szCs w:val="24"/>
                <w:highlight w:val="none"/>
              </w:rPr>
            </w:pPr>
            <w:r>
              <w:rPr>
                <w:rFonts w:hint="eastAsia" w:ascii="宋体" w:hAnsi="宋体" w:cs="宋体"/>
                <w:color w:val="auto"/>
                <w:sz w:val="24"/>
                <w:szCs w:val="24"/>
                <w:highlight w:val="none"/>
              </w:rPr>
              <w:t>2、投标人自2015年1月1日—投标截止日（以合同签订之日为准），具有农村生活垃圾清运服务合同, 单个合同每满1年且业主评价为优秀的得1分，每增加1年加1分，以此类推；合同不连续或不足12个月不得分；多个合同可累计加分；总分累加最高不超过加2分。（须提供采购中标（成交）通知书、合同及业主评价，三者缺一不可）。</w:t>
            </w:r>
          </w:p>
          <w:p>
            <w:pPr>
              <w:rPr>
                <w:color w:val="auto"/>
                <w:highlight w:val="none"/>
              </w:rPr>
            </w:pPr>
            <w:r>
              <w:rPr>
                <w:rFonts w:hint="eastAsia" w:ascii="宋体" w:hAnsi="宋体" w:cs="宋体"/>
                <w:color w:val="auto"/>
                <w:sz w:val="24"/>
                <w:szCs w:val="24"/>
                <w:highlight w:val="none"/>
              </w:rPr>
              <w:t>注：一个合同中同时包含道路清扫保洁和农村生活垃圾清运的，两者业绩均认可，若合同中不能体现规模和内容的，须提供原业主证明材料，否则不得分。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821" w:type="dxa"/>
            <w:vMerge w:val="restart"/>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技术部分</w:t>
            </w: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对本项目的理解</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根据投标人对本项目的理解和认识，深刻、全面、透彻的得5-3分，较深刻、全面、透彻的3-2分，一般的2-1分，较差的1-0分。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保洁方案</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保洁方案切合本招标项目预定要求（保洁方案必须包括市政道路清扫保洁、机械化保洁作业、垃圾桶果壳箱转运清洗消杀更换、垃圾收集和清运；窨井疏通；村庄垃圾清运及垃圾池周边保洁、管理；地坑垃圾池周边保洁、管理；公厕保洁等方案，方案要具有项目重点、难点，项目重点、难点的分析是否精确、全面，解决方案是否具有针对性和可操作性），针对性、操作性强，计划安排科学合理：</w:t>
            </w:r>
          </w:p>
          <w:p>
            <w:pPr>
              <w:rPr>
                <w:rFonts w:ascii="宋体" w:hAnsi="宋体" w:cs="宋体"/>
                <w:color w:val="auto"/>
                <w:sz w:val="24"/>
                <w:szCs w:val="24"/>
                <w:highlight w:val="none"/>
              </w:rPr>
            </w:pPr>
            <w:r>
              <w:rPr>
                <w:rFonts w:hint="eastAsia" w:ascii="宋体" w:hAnsi="宋体" w:cs="宋体"/>
                <w:color w:val="auto"/>
                <w:sz w:val="24"/>
                <w:szCs w:val="24"/>
                <w:highlight w:val="none"/>
              </w:rPr>
              <w:t>方案详实、精确、全面具有可操作性，很好的10-8分，较好的8-5分，一般的5-2分，较差的2-0分。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0-10分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环卫作业机具和其他环卫设施等配制及安排方案</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评标委员会根据投标人提供的技术文件中环卫作业机具和其他环卫设施等配制及安排方案的合理性、科学性进行综合比较后酌情给分：</w:t>
            </w:r>
          </w:p>
          <w:p>
            <w:pPr>
              <w:rPr>
                <w:rFonts w:ascii="宋体" w:hAnsi="宋体" w:cs="宋体"/>
                <w:color w:val="auto"/>
                <w:sz w:val="24"/>
                <w:szCs w:val="24"/>
                <w:highlight w:val="none"/>
              </w:rPr>
            </w:pPr>
            <w:r>
              <w:rPr>
                <w:rFonts w:hint="eastAsia" w:ascii="宋体" w:hAnsi="宋体" w:cs="宋体"/>
                <w:color w:val="auto"/>
                <w:sz w:val="24"/>
                <w:szCs w:val="24"/>
                <w:highlight w:val="none"/>
              </w:rPr>
              <w:t>方案很好的3-2.5分，较好的2.5-1.5分，一般的1.5-1分，较差的1-0分。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0-3分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人员配置</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人员配置分布合理、配置方案明确具有针对性，并附有保证用于本保洁项目人员配置的书面承诺书（人员配置数以商务标投标报价明细清单中的人员数为准）。</w:t>
            </w:r>
          </w:p>
          <w:p>
            <w:pPr>
              <w:rPr>
                <w:rFonts w:ascii="宋体" w:hAnsi="宋体" w:cs="宋体"/>
                <w:color w:val="auto"/>
                <w:sz w:val="24"/>
                <w:szCs w:val="24"/>
                <w:highlight w:val="none"/>
              </w:rPr>
            </w:pPr>
            <w:r>
              <w:rPr>
                <w:rFonts w:hint="eastAsia" w:ascii="宋体" w:hAnsi="宋体" w:cs="宋体"/>
                <w:color w:val="auto"/>
                <w:sz w:val="24"/>
                <w:szCs w:val="24"/>
                <w:highlight w:val="none"/>
              </w:rPr>
              <w:t>根据人员配置人数数量，配置方案的针对性、操作性，计划安排的科学合理可行性，排班合理等因素给分。</w:t>
            </w:r>
          </w:p>
          <w:p>
            <w:pPr>
              <w:rPr>
                <w:rFonts w:ascii="宋体" w:hAnsi="宋体" w:cs="宋体"/>
                <w:color w:val="auto"/>
                <w:sz w:val="24"/>
                <w:szCs w:val="24"/>
                <w:highlight w:val="none"/>
              </w:rPr>
            </w:pPr>
            <w:r>
              <w:rPr>
                <w:rFonts w:hint="eastAsia" w:ascii="宋体" w:hAnsi="宋体" w:cs="宋体"/>
                <w:color w:val="auto"/>
                <w:sz w:val="24"/>
                <w:szCs w:val="24"/>
                <w:highlight w:val="none"/>
              </w:rPr>
              <w:t>方案很好的6-4.5分，较好的4.5-3.0分，一般的3.0-1.5分，较差的1.5-0分。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tc>
        <w:tc>
          <w:tcPr>
            <w:tcW w:w="935" w:type="dxa"/>
          </w:tcPr>
          <w:p>
            <w:pPr>
              <w:pStyle w:val="6"/>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平稳交接</w:t>
            </w:r>
          </w:p>
        </w:tc>
        <w:tc>
          <w:tcPr>
            <w:tcW w:w="4743" w:type="dxa"/>
            <w:vAlign w:val="center"/>
          </w:tcPr>
          <w:p>
            <w:pP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项目交接平稳过渡计划和人员维稳管理及安全生产排除方案</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分。方案很好的5-3分，较好的3-2分，一般的2-1分，较差的1-0分</w:t>
            </w:r>
            <w:r>
              <w:rPr>
                <w:rFonts w:hint="eastAsia" w:ascii="宋体" w:hAnsi="宋体" w:cs="宋体"/>
                <w:color w:val="auto"/>
                <w:sz w:val="24"/>
                <w:szCs w:val="24"/>
                <w:highlight w:val="none"/>
                <w:lang w:val="en-US" w:eastAsia="zh-CN"/>
              </w:rPr>
              <w:t>。</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935" w:type="dxa"/>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制定的突击保障任务、节日及突发事件的处理方案</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评标委员会根据投标人提供的技术文件中节日及应急性环境卫生集中整治方案的科学性、合理性进行综合比较后酌情给分：</w:t>
            </w:r>
          </w:p>
          <w:p>
            <w:pPr>
              <w:rPr>
                <w:rFonts w:ascii="宋体" w:hAnsi="宋体" w:cs="宋体"/>
                <w:color w:val="auto"/>
                <w:sz w:val="24"/>
                <w:szCs w:val="24"/>
                <w:highlight w:val="none"/>
              </w:rPr>
            </w:pPr>
            <w:r>
              <w:rPr>
                <w:rFonts w:hint="eastAsia" w:ascii="宋体" w:hAnsi="宋体" w:cs="宋体"/>
                <w:color w:val="auto"/>
                <w:sz w:val="24"/>
                <w:szCs w:val="24"/>
                <w:highlight w:val="none"/>
              </w:rPr>
              <w:t>方案很好的6-4分，较好的4-2分，一般的2-1分，较差的1-0分。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0-6分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无主垃圾的日常管理方案</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评标委员会根据投标人提供的技术文件中无主垃圾的日常管理方案的科学性、合理性进行综合比较后酌情给分：</w:t>
            </w:r>
          </w:p>
          <w:p>
            <w:pPr>
              <w:rPr>
                <w:rFonts w:ascii="宋体" w:hAnsi="宋体" w:cs="宋体"/>
                <w:color w:val="auto"/>
                <w:sz w:val="24"/>
                <w:szCs w:val="24"/>
                <w:highlight w:val="none"/>
              </w:rPr>
            </w:pPr>
            <w:r>
              <w:rPr>
                <w:rFonts w:hint="eastAsia" w:ascii="宋体" w:hAnsi="宋体" w:cs="宋体"/>
                <w:color w:val="auto"/>
                <w:sz w:val="24"/>
                <w:szCs w:val="24"/>
                <w:highlight w:val="none"/>
              </w:rPr>
              <w:t>方案很好的5-3分，较好的3-2分，一般的2-1分，较差的1-0分。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管理人员配制及安排</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科学性进行综合比较后酌情给分：</w:t>
            </w:r>
          </w:p>
          <w:p>
            <w:pPr>
              <w:rPr>
                <w:rFonts w:ascii="宋体" w:hAnsi="宋体" w:cs="宋体"/>
                <w:color w:val="auto"/>
                <w:sz w:val="24"/>
                <w:szCs w:val="24"/>
                <w:highlight w:val="none"/>
              </w:rPr>
            </w:pPr>
            <w:r>
              <w:rPr>
                <w:rFonts w:hint="eastAsia" w:ascii="宋体" w:hAnsi="宋体" w:cs="宋体"/>
                <w:color w:val="auto"/>
                <w:sz w:val="24"/>
                <w:szCs w:val="24"/>
                <w:highlight w:val="none"/>
              </w:rPr>
              <w:t>好的5-3分，较好的3-2分，一般的2-1分，较差的1-0分。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安全管理及特别事件的应急措施</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评标委员会根据投标人提供的技术文件中安全管理及特别事件的应急措施的科学性、合理性进行评审：</w:t>
            </w:r>
          </w:p>
          <w:p>
            <w:pPr>
              <w:rPr>
                <w:rFonts w:ascii="宋体" w:hAnsi="宋体" w:cs="宋体"/>
                <w:color w:val="auto"/>
                <w:sz w:val="24"/>
                <w:szCs w:val="24"/>
                <w:highlight w:val="none"/>
              </w:rPr>
            </w:pPr>
            <w:r>
              <w:rPr>
                <w:rFonts w:hint="eastAsia" w:ascii="宋体" w:hAnsi="宋体" w:cs="宋体"/>
                <w:color w:val="auto"/>
                <w:sz w:val="24"/>
                <w:szCs w:val="24"/>
                <w:highlight w:val="none"/>
              </w:rPr>
              <w:t>好的5-3分，较好的3-2分，一般的2-1分，较差的1-0分。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企业管理制度</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包括企业内部的人事、财务、档案、安全、考核、台帐等制度：</w:t>
            </w:r>
          </w:p>
          <w:p>
            <w:pPr>
              <w:rPr>
                <w:rFonts w:ascii="宋体" w:hAnsi="宋体" w:cs="宋体"/>
                <w:color w:val="auto"/>
                <w:sz w:val="24"/>
                <w:szCs w:val="24"/>
                <w:highlight w:val="none"/>
              </w:rPr>
            </w:pPr>
            <w:r>
              <w:rPr>
                <w:rFonts w:hint="eastAsia" w:ascii="宋体" w:hAnsi="宋体" w:cs="宋体"/>
                <w:color w:val="auto"/>
                <w:sz w:val="24"/>
                <w:szCs w:val="24"/>
                <w:highlight w:val="none"/>
              </w:rPr>
              <w:t>制度完整全面，很好的2-1.5分，较好的1.5-1分，一般的1-0.5分，较差的0.5-0分。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0-2分</w:t>
            </w:r>
          </w:p>
        </w:tc>
        <w:tc>
          <w:tcPr>
            <w:tcW w:w="935" w:type="dxa"/>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服务承诺</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配合业主工作的服务承诺和附加服务承诺：承诺内容详尽完善程度，服务承诺是否在服务方案里体现：</w:t>
            </w:r>
          </w:p>
          <w:p>
            <w:pPr>
              <w:rPr>
                <w:rFonts w:ascii="宋体" w:hAnsi="宋体" w:cs="宋体"/>
                <w:color w:val="auto"/>
                <w:sz w:val="24"/>
                <w:szCs w:val="24"/>
                <w:highlight w:val="none"/>
              </w:rPr>
            </w:pPr>
            <w:r>
              <w:rPr>
                <w:rFonts w:hint="eastAsia" w:ascii="宋体" w:hAnsi="宋体" w:cs="宋体"/>
                <w:color w:val="auto"/>
                <w:sz w:val="24"/>
                <w:szCs w:val="24"/>
                <w:highlight w:val="none"/>
              </w:rPr>
              <w:t>很好的2-1.5分，较好的1.5-1分，一般的1-0.5分，较差的0.5-0分。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0-2分</w:t>
            </w:r>
          </w:p>
        </w:tc>
        <w:tc>
          <w:tcPr>
            <w:tcW w:w="935" w:type="dxa"/>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综合协调</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实行服务综合协调方案详实有具体举措的（如涉及保洁区域与居民、商户以及企业单位间的纠纷协调和落实安排等），内容具体且有可行性：</w:t>
            </w:r>
          </w:p>
          <w:p>
            <w:pPr>
              <w:rPr>
                <w:rFonts w:ascii="宋体" w:hAnsi="宋体" w:cs="宋体"/>
                <w:color w:val="auto"/>
                <w:sz w:val="24"/>
                <w:szCs w:val="24"/>
                <w:highlight w:val="none"/>
              </w:rPr>
            </w:pPr>
            <w:r>
              <w:rPr>
                <w:rFonts w:hint="eastAsia" w:ascii="宋体" w:hAnsi="宋体" w:cs="宋体"/>
                <w:color w:val="auto"/>
                <w:sz w:val="24"/>
                <w:szCs w:val="24"/>
                <w:highlight w:val="none"/>
              </w:rPr>
              <w:t>好的4-3分，较好的3-2分，一般的2-1分，较差的1-0分。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0-4分</w:t>
            </w:r>
          </w:p>
        </w:tc>
        <w:tc>
          <w:tcPr>
            <w:tcW w:w="935" w:type="dxa"/>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质量管理体系</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根据质量管理体系是否完善，有无制订内部考核制度，是否有专门的机构负责对本项目进行质量监管，有无针对本项目制订具体质量管理考核细则来打分：</w:t>
            </w:r>
          </w:p>
          <w:p>
            <w:pPr>
              <w:rPr>
                <w:rFonts w:ascii="宋体" w:hAnsi="宋体" w:cs="宋体"/>
                <w:color w:val="auto"/>
                <w:sz w:val="24"/>
                <w:szCs w:val="24"/>
                <w:highlight w:val="none"/>
              </w:rPr>
            </w:pPr>
            <w:r>
              <w:rPr>
                <w:rFonts w:hint="eastAsia" w:ascii="宋体" w:hAnsi="宋体" w:cs="宋体"/>
                <w:color w:val="auto"/>
                <w:sz w:val="24"/>
                <w:szCs w:val="24"/>
                <w:highlight w:val="none"/>
              </w:rPr>
              <w:t>很好的5-3分，较好的3-2分，一般的2-1分，较差的1-0分。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组织管理体系</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组织管理体系完善，项目主管、质检管理人员配备到位，项目管理事项明确，能参照相关企业管理规范要求：</w:t>
            </w:r>
          </w:p>
          <w:p>
            <w:pPr>
              <w:rPr>
                <w:rFonts w:ascii="宋体" w:hAnsi="宋体" w:cs="宋体"/>
                <w:color w:val="auto"/>
                <w:sz w:val="24"/>
                <w:szCs w:val="24"/>
                <w:highlight w:val="none"/>
              </w:rPr>
            </w:pPr>
            <w:r>
              <w:rPr>
                <w:rFonts w:hint="eastAsia" w:ascii="宋体" w:hAnsi="宋体" w:cs="宋体"/>
                <w:color w:val="auto"/>
                <w:sz w:val="24"/>
                <w:szCs w:val="24"/>
                <w:highlight w:val="none"/>
              </w:rPr>
              <w:t>很好的5-3分，较好的3-2分，一般的2-1分，较差的1-0分。</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0-5分</w:t>
            </w:r>
          </w:p>
        </w:tc>
        <w:tc>
          <w:tcPr>
            <w:tcW w:w="935" w:type="dxa"/>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trPr>
        <w:tc>
          <w:tcPr>
            <w:tcW w:w="821" w:type="dxa"/>
            <w:vMerge w:val="continue"/>
          </w:tcPr>
          <w:p>
            <w:pPr>
              <w:rPr>
                <w:rFonts w:ascii="宋体" w:hAnsi="宋体" w:cs="宋体"/>
                <w:color w:val="auto"/>
                <w:sz w:val="24"/>
                <w:szCs w:val="24"/>
                <w:highlight w:val="none"/>
              </w:rPr>
            </w:pPr>
          </w:p>
        </w:tc>
        <w:tc>
          <w:tcPr>
            <w:tcW w:w="141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投标文件内容表述</w:t>
            </w:r>
          </w:p>
        </w:tc>
        <w:tc>
          <w:tcPr>
            <w:tcW w:w="4743"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投标文件内容表述：</w:t>
            </w:r>
          </w:p>
          <w:p>
            <w:pPr>
              <w:rPr>
                <w:rFonts w:ascii="宋体" w:hAnsi="宋体" w:cs="宋体"/>
                <w:color w:val="auto"/>
                <w:sz w:val="24"/>
                <w:szCs w:val="24"/>
                <w:highlight w:val="none"/>
              </w:rPr>
            </w:pPr>
            <w:r>
              <w:rPr>
                <w:rFonts w:hint="eastAsia" w:ascii="宋体" w:hAnsi="宋体" w:cs="宋体"/>
                <w:color w:val="auto"/>
                <w:sz w:val="24"/>
                <w:szCs w:val="24"/>
                <w:highlight w:val="none"/>
              </w:rPr>
              <w:t>投标文件内容表述前后一致的得2分。经评审专家认定确实存在矛盾的每处扣</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分，最多扣</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分。（存在矛盾经答疑澄清后此项分值仍要扣分）（注：投标文件包括资信商务文件、技术文件、报价文件）</w:t>
            </w:r>
          </w:p>
        </w:tc>
        <w:tc>
          <w:tcPr>
            <w:tcW w:w="872"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-2分</w:t>
            </w:r>
          </w:p>
        </w:tc>
        <w:tc>
          <w:tcPr>
            <w:tcW w:w="935" w:type="dxa"/>
          </w:tcPr>
          <w:p>
            <w:pPr>
              <w:spacing w:line="360" w:lineRule="auto"/>
              <w:rPr>
                <w:rFonts w:ascii="宋体" w:hAnsi="宋体" w:cs="宋体"/>
                <w:b/>
                <w:color w:val="auto"/>
                <w:sz w:val="24"/>
                <w:szCs w:val="24"/>
                <w:highlight w:val="none"/>
              </w:rPr>
            </w:pPr>
            <w:bookmarkStart w:id="338" w:name="_GoBack"/>
            <w:bookmarkEnd w:id="338"/>
          </w:p>
        </w:tc>
      </w:tr>
    </w:tbl>
    <w:p>
      <w:pPr>
        <w:pStyle w:val="29"/>
        <w:snapToGrid/>
        <w:spacing w:line="360" w:lineRule="auto"/>
        <w:ind w:firstLine="0"/>
        <w:rPr>
          <w:rFonts w:ascii="仿宋_GB2312"/>
          <w:color w:val="auto"/>
          <w:highlight w:val="none"/>
        </w:rPr>
      </w:pPr>
    </w:p>
    <w:sectPr>
      <w:pgSz w:w="11906" w:h="16838"/>
      <w:pgMar w:top="1440" w:right="1440" w:bottom="1440" w:left="144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Gulim">
    <w:panose1 w:val="020B0600000101010101"/>
    <w:charset w:val="81"/>
    <w:family w:val="swiss"/>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0" w:usb3="00000000" w:csb0="00000001" w:csb1="00000000"/>
  </w:font>
  <w:font w:name="长城仿宋">
    <w:altName w:val="黑体"/>
    <w:panose1 w:val="00000000000000000000"/>
    <w:charset w:val="86"/>
    <w:family w:val="modern"/>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pPr>
    <w: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Bdr>
                    <w:top w:val="single" w:color="auto" w:sz="4" w:space="1"/>
                  </w:pBdr>
                  <w:jc w:val="cente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22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31"/>
                  <w:jc w:val="center"/>
                </w:pPr>
                <w:r>
                  <w:fldChar w:fldCharType="begin"/>
                </w:r>
                <w:r>
                  <w:instrText xml:space="preserve">PAGE   \* MERGEFORMAT</w:instrText>
                </w:r>
                <w:r>
                  <w:fldChar w:fldCharType="separate"/>
                </w:r>
                <w:r>
                  <w:rPr>
                    <w:lang w:val="zh-CN"/>
                  </w:rPr>
                  <w:t>72</w:t>
                </w:r>
                <w:r>
                  <w:rPr>
                    <w:lang w:val="zh-CN"/>
                  </w:rPr>
                  <w:fldChar w:fldCharType="end"/>
                </w:r>
              </w:p>
            </w:txbxContent>
          </v:textbox>
        </v:shape>
      </w:pict>
    </w:r>
  </w:p>
  <w:p>
    <w:pPr>
      <w:pBdr>
        <w:top w:val="single" w:color="auto" w:sz="4" w:space="1"/>
      </w:pBdr>
      <w:jc w:val="center"/>
      <w:rPr>
        <w:rFonts w:ascii="仿宋_GB2312" w:eastAsia="仿宋_GB2312"/>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8"/>
      </w:rPr>
    </w:pPr>
    <w:r>
      <w:fldChar w:fldCharType="begin"/>
    </w:r>
    <w:r>
      <w:rPr>
        <w:rStyle w:val="48"/>
        <w:highlight w:val="white"/>
      </w:rPr>
      <w:instrText xml:space="preserve">PAGE  </w:instrText>
    </w:r>
    <w:r>
      <w:fldChar w:fldCharType="separate"/>
    </w:r>
    <w:r>
      <w:rPr>
        <w:rStyle w:val="48"/>
        <w:highlight w:val="white"/>
      </w:rPr>
      <w:t>52</w:t>
    </w:r>
    <w:r>
      <w:fldChar w:fldCharType="end"/>
    </w:r>
  </w:p>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w:rPr>
        <w:sz w:val="24"/>
      </w:rPr>
      <w:pict>
        <v:shape id="文本框 6" o:spid="_x0000_s2053"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path/>
          <v:fill on="f" focussize="0,0"/>
          <v:stroke on="f" weight="0.5pt"/>
          <v:imagedata o:title=""/>
          <o:lock v:ext="edit" aspectratio="f"/>
          <v:textbox inset="0mm,0mm,0mm,0mm" style="mso-fit-shape-to-text:t;">
            <w:txbxContent>
              <w:p>
                <w:pPr>
                  <w:pStyle w:val="3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w:r>
    <w:r>
      <w:rPr>
        <w:rFonts w:hint="eastAsia" w:ascii="仿宋_GB2312" w:eastAsia="仿宋_GB2312"/>
        <w:sz w:val="24"/>
        <w:szCs w:val="24"/>
        <w:u w:val="single"/>
        <w:lang w:eastAsia="zh-CN"/>
      </w:rPr>
      <w:tab/>
    </w:r>
    <w:r>
      <w:rPr>
        <w:rFonts w:hint="eastAsia"/>
        <w:u w:val="single"/>
        <w:lang w:eastAsia="zh-CN"/>
      </w:rPr>
      <w:tab/>
    </w:r>
    <w:r>
      <w:rPr>
        <w:rFonts w:hint="eastAsia" w:ascii="仿宋_GB2312" w:eastAsia="仿宋_GB2312"/>
        <w:sz w:val="24"/>
        <w:szCs w:val="24"/>
        <w:u w:val="single"/>
        <w:lang w:eastAsia="zh-CN"/>
      </w:rPr>
      <w:tab/>
    </w:r>
    <w:r>
      <w:rPr>
        <w:rFonts w:ascii="仿宋_GB2312" w:eastAsia="仿宋_GB2312"/>
        <w:sz w:val="24"/>
        <w:szCs w:val="24"/>
        <w:u w:val="single"/>
      </w:rPr>
      <w:t xml:space="preserve">   </w:t>
    </w:r>
    <w:r>
      <w:rPr>
        <w:rFonts w:ascii="仿宋_GB2312" w:eastAsia="仿宋_GB2312"/>
        <w:sz w:val="24"/>
        <w:szCs w:val="24"/>
      </w:rPr>
      <w:t xml:space="preserve">                  </w:t>
    </w:r>
    <w:r>
      <w:rPr>
        <w:rFonts w:hint="eastAsia"/>
        <w:highlight w:val="white"/>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24"/>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31"/>
                </w:pPr>
                <w:r>
                  <w:fldChar w:fldCharType="begin"/>
                </w:r>
                <w:r>
                  <w:instrText xml:space="preserve"> PAGE  \* MERGEFORMAT </w:instrText>
                </w:r>
                <w:r>
                  <w:fldChar w:fldCharType="separate"/>
                </w:r>
                <w:r>
                  <w:t>95</w:t>
                </w:r>
                <w:r>
                  <w:fldChar w:fldCharType="end"/>
                </w:r>
              </w:p>
            </w:txbxContent>
          </v:textbox>
        </v:shape>
      </w:pict>
    </w:r>
    <w:r>
      <w:rPr>
        <w:rFonts w:hint="eastAsia" w:ascii="仿宋_GB2312" w:eastAsia="仿宋_GB2312"/>
        <w:sz w:val="24"/>
        <w:szCs w:val="24"/>
        <w:u w:val="single"/>
      </w:rPr>
      <w:tab/>
    </w:r>
    <w:r>
      <w:rPr>
        <w:rFonts w:hint="eastAsia"/>
        <w:u w:val="single"/>
      </w:rPr>
      <w:tab/>
    </w:r>
    <w:r>
      <w:rPr>
        <w:rFonts w:hint="eastAsia" w:ascii="仿宋_GB2312" w:eastAsia="仿宋_GB2312"/>
        <w:sz w:val="24"/>
        <w:szCs w:val="24"/>
        <w:u w:val="single"/>
      </w:rPr>
      <w:tab/>
    </w:r>
    <w:r>
      <w:rPr>
        <w:rFonts w:ascii="仿宋_GB2312" w:eastAsia="仿宋_GB2312"/>
        <w:sz w:val="24"/>
        <w:szCs w:val="24"/>
        <w:u w:val="single"/>
      </w:rPr>
      <w:t xml:space="preserve">   </w:t>
    </w:r>
    <w:r>
      <w:rPr>
        <w:rFonts w:ascii="仿宋_GB2312" w:eastAsia="仿宋_GB2312"/>
        <w:sz w:val="24"/>
        <w:szCs w:val="24"/>
      </w:rPr>
      <w:t xml:space="preserve">                  </w:t>
    </w:r>
    <w:r>
      <w:rPr>
        <w:rFonts w:hint="eastAsia"/>
        <w:highlight w:val="whit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40" w:lineRule="exact"/>
      <w:rPr>
        <w:u w:val="single"/>
      </w:rPr>
    </w:pPr>
    <w:r>
      <w:rPr>
        <w:rFonts w:hint="eastAsia" w:ascii="宋体" w:hAnsi="宋体"/>
        <w:kern w:val="0"/>
        <w:sz w:val="18"/>
        <w:szCs w:val="21"/>
        <w:u w:val="single"/>
      </w:rPr>
      <w:t xml:space="preserve">缙云县人民政府新碧街道办事处2020年道路清扫保洁、农村垃圾清运服务采购项目 </w:t>
    </w:r>
    <w:r>
      <w:rPr>
        <w:rFonts w:hint="eastAsia" w:ascii="宋体" w:hAnsi="宋体"/>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hint="eastAsia" w:ascii="宋体" w:hAnsi="宋体"/>
        <w:szCs w:val="21"/>
      </w:rPr>
      <w:t xml:space="preserve">缙云县人民政府新碧街道办事处2020年道路清扫保洁、农村垃圾清运服务采购项目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9D1D4"/>
    <w:multiLevelType w:val="singleLevel"/>
    <w:tmpl w:val="BAC9D1D4"/>
    <w:lvl w:ilvl="0" w:tentative="0">
      <w:start w:val="1"/>
      <w:numFmt w:val="decimal"/>
      <w:suff w:val="nothing"/>
      <w:lvlText w:val="%1、"/>
      <w:lvlJc w:val="left"/>
    </w:lvl>
  </w:abstractNum>
  <w:abstractNum w:abstractNumId="1">
    <w:nsid w:val="177B063D"/>
    <w:multiLevelType w:val="multilevel"/>
    <w:tmpl w:val="177B063D"/>
    <w:lvl w:ilvl="0" w:tentative="0">
      <w:start w:val="1"/>
      <w:numFmt w:val="decimal"/>
      <w:pStyle w:val="272"/>
      <w:lvlText w:val="%1、"/>
      <w:lvlJc w:val="left"/>
      <w:pPr>
        <w:tabs>
          <w:tab w:val="left" w:pos="360"/>
        </w:tabs>
        <w:ind w:left="360" w:hanging="360"/>
      </w:pPr>
      <w:rPr>
        <w:rFonts w:hint="eastAsia"/>
        <w:b w:val="0"/>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0A3458A"/>
    <w:multiLevelType w:val="multilevel"/>
    <w:tmpl w:val="20A3458A"/>
    <w:lvl w:ilvl="0" w:tentative="0">
      <w:start w:val="1"/>
      <w:numFmt w:val="decimal"/>
      <w:pStyle w:val="314"/>
      <w:lvlText w:val="(%1)"/>
      <w:lvlJc w:val="left"/>
      <w:pPr>
        <w:tabs>
          <w:tab w:val="left" w:pos="375"/>
        </w:tabs>
        <w:ind w:left="375" w:hanging="375"/>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44A515A"/>
    <w:multiLevelType w:val="multilevel"/>
    <w:tmpl w:val="244A515A"/>
    <w:lvl w:ilvl="0" w:tentative="0">
      <w:start w:val="1"/>
      <w:numFmt w:val="decimal"/>
      <w:pStyle w:val="295"/>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D2F8397"/>
    <w:multiLevelType w:val="singleLevel"/>
    <w:tmpl w:val="3D2F8397"/>
    <w:lvl w:ilvl="0" w:tentative="0">
      <w:start w:val="2"/>
      <w:numFmt w:val="chineseCounting"/>
      <w:suff w:val="nothing"/>
      <w:lvlText w:val="%1）"/>
      <w:lvlJc w:val="left"/>
      <w:rPr>
        <w:rFonts w:hint="eastAsia"/>
      </w:rPr>
    </w:lvl>
  </w:abstractNum>
  <w:abstractNum w:abstractNumId="5">
    <w:nsid w:val="407B6D4B"/>
    <w:multiLevelType w:val="singleLevel"/>
    <w:tmpl w:val="407B6D4B"/>
    <w:lvl w:ilvl="0" w:tentative="0">
      <w:start w:val="1"/>
      <w:numFmt w:val="chineseCounting"/>
      <w:suff w:val="nothing"/>
      <w:lvlText w:val="%1、"/>
      <w:lvlJc w:val="left"/>
      <w:rPr>
        <w:rFonts w:hint="eastAsia"/>
      </w:rPr>
    </w:lvl>
  </w:abstractNum>
  <w:abstractNum w:abstractNumId="6">
    <w:nsid w:val="46707E8B"/>
    <w:multiLevelType w:val="multilevel"/>
    <w:tmpl w:val="46707E8B"/>
    <w:lvl w:ilvl="0" w:tentative="0">
      <w:start w:val="1"/>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99A6145"/>
    <w:multiLevelType w:val="singleLevel"/>
    <w:tmpl w:val="599A6145"/>
    <w:lvl w:ilvl="0" w:tentative="0">
      <w:start w:val="1"/>
      <w:numFmt w:val="decimal"/>
      <w:suff w:val="nothing"/>
      <w:lvlText w:val="%1、"/>
      <w:lvlJc w:val="left"/>
    </w:lvl>
  </w:abstractNum>
  <w:abstractNum w:abstractNumId="8">
    <w:nsid w:val="62286DF6"/>
    <w:multiLevelType w:val="multilevel"/>
    <w:tmpl w:val="62286DF6"/>
    <w:lvl w:ilvl="0" w:tentative="0">
      <w:start w:val="1"/>
      <w:numFmt w:val="decimal"/>
      <w:pStyle w:val="30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76990B1"/>
    <w:multiLevelType w:val="singleLevel"/>
    <w:tmpl w:val="676990B1"/>
    <w:lvl w:ilvl="0" w:tentative="0">
      <w:start w:val="4"/>
      <w:numFmt w:val="chineseCounting"/>
      <w:suff w:val="nothing"/>
      <w:lvlText w:val="%1、"/>
      <w:lvlJc w:val="left"/>
      <w:rPr>
        <w:rFonts w:hint="eastAsia"/>
      </w:rPr>
    </w:lvl>
  </w:abstractNum>
  <w:abstractNum w:abstractNumId="10">
    <w:nsid w:val="72E86D87"/>
    <w:multiLevelType w:val="multilevel"/>
    <w:tmpl w:val="72E86D87"/>
    <w:lvl w:ilvl="0" w:tentative="0">
      <w:start w:val="2"/>
      <w:numFmt w:val="decimal"/>
      <w:pStyle w:val="287"/>
      <w:suff w:val="nothing"/>
      <w:lvlText w:val="第 %1 部分 "/>
      <w:lvlJc w:val="left"/>
      <w:pPr>
        <w:ind w:left="3420" w:hanging="180"/>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suff w:val="nothing"/>
      <w:lvlText w:val="%1.%2 "/>
      <w:lvlJc w:val="left"/>
      <w:pPr>
        <w:ind w:left="2165" w:firstLine="0"/>
      </w:pPr>
      <w:rPr>
        <w:rFonts w:hint="default" w:ascii="Times New Roman" w:hAnsi="Times New Roman" w:eastAsia="宋体"/>
        <w:b/>
        <w:i w:val="0"/>
        <w:sz w:val="36"/>
      </w:rPr>
    </w:lvl>
    <w:lvl w:ilvl="2" w:tentative="0">
      <w:start w:val="1"/>
      <w:numFmt w:val="decimal"/>
      <w:suff w:val="nothing"/>
      <w:lvlText w:val="%1.%2.%3 "/>
      <w:lvlJc w:val="left"/>
      <w:pPr>
        <w:ind w:left="0" w:firstLine="0"/>
      </w:pPr>
      <w:rPr>
        <w:rFonts w:hint="default" w:ascii="Times New Roman" w:hAnsi="Times New Roman" w:eastAsia="黑体"/>
        <w:b w:val="0"/>
        <w:i w:val="0"/>
        <w:sz w:val="32"/>
      </w:rPr>
    </w:lvl>
    <w:lvl w:ilvl="3" w:tentative="0">
      <w:start w:val="1"/>
      <w:numFmt w:val="decimal"/>
      <w:suff w:val="nothing"/>
      <w:lvlText w:val="%1.%2.3.%4 "/>
      <w:lvlJc w:val="left"/>
      <w:pPr>
        <w:ind w:left="720" w:firstLine="0"/>
      </w:pPr>
      <w:rPr>
        <w:rFonts w:hint="eastAsia" w:ascii="Times New Roman" w:hAnsi="Times New Roman" w:cs="Times New Roman"/>
        <w:i w:val="0"/>
        <w:iCs w:val="0"/>
        <w:caps w:val="0"/>
        <w:smallCaps w:val="0"/>
        <w:strike w:val="0"/>
        <w:dstrike w:val="0"/>
        <w:outline w:val="0"/>
        <w:shadow w:val="0"/>
        <w:emboss w:val="0"/>
        <w:imprint w:val="0"/>
        <w:vanish w:val="0"/>
        <w:color w:val="000000"/>
        <w:spacing w:val="0"/>
        <w:position w:val="0"/>
        <w:u w:val="none"/>
        <w:vertAlign w:val="baseline"/>
      </w:rPr>
    </w:lvl>
    <w:lvl w:ilvl="4" w:tentative="0">
      <w:start w:val="1"/>
      <w:numFmt w:val="decimal"/>
      <w:suff w:val="nothing"/>
      <w:lvlText w:val="%5、"/>
      <w:lvlJc w:val="left"/>
      <w:pPr>
        <w:ind w:left="720" w:firstLine="0"/>
      </w:pPr>
      <w:rPr>
        <w:rFonts w:hint="default" w:ascii="Times New Roman" w:hAnsi="Times New Roman" w:eastAsia="黑体"/>
        <w:b w:val="0"/>
        <w:i w:val="0"/>
        <w:sz w:val="28"/>
      </w:rPr>
    </w:lvl>
    <w:lvl w:ilvl="5" w:tentative="0">
      <w:start w:val="1"/>
      <w:numFmt w:val="none"/>
      <w:suff w:val="nothing"/>
      <w:lvlText w:val=""/>
      <w:lvlJc w:val="left"/>
      <w:pPr>
        <w:ind w:left="180" w:firstLine="0"/>
      </w:pPr>
      <w:rPr>
        <w:rFonts w:hint="eastAsia"/>
      </w:rPr>
    </w:lvl>
    <w:lvl w:ilvl="6" w:tentative="0">
      <w:start w:val="1"/>
      <w:numFmt w:val="none"/>
      <w:suff w:val="nothing"/>
      <w:lvlText w:val=""/>
      <w:lvlJc w:val="left"/>
      <w:pPr>
        <w:ind w:left="180" w:firstLine="0"/>
      </w:pPr>
      <w:rPr>
        <w:rFonts w:hint="eastAsia"/>
      </w:rPr>
    </w:lvl>
    <w:lvl w:ilvl="7" w:tentative="0">
      <w:start w:val="1"/>
      <w:numFmt w:val="none"/>
      <w:suff w:val="nothing"/>
      <w:lvlText w:val=""/>
      <w:lvlJc w:val="left"/>
      <w:pPr>
        <w:ind w:left="180" w:firstLine="0"/>
      </w:pPr>
      <w:rPr>
        <w:rFonts w:hint="eastAsia"/>
      </w:rPr>
    </w:lvl>
    <w:lvl w:ilvl="8" w:tentative="0">
      <w:start w:val="1"/>
      <w:numFmt w:val="none"/>
      <w:suff w:val="nothing"/>
      <w:lvlText w:val=""/>
      <w:lvlJc w:val="left"/>
      <w:pPr>
        <w:ind w:left="180" w:firstLine="0"/>
      </w:pPr>
      <w:rPr>
        <w:rFonts w:hint="eastAsia"/>
      </w:rPr>
    </w:lvl>
  </w:abstractNum>
  <w:abstractNum w:abstractNumId="11">
    <w:nsid w:val="7A2239FC"/>
    <w:multiLevelType w:val="multilevel"/>
    <w:tmpl w:val="7A2239FC"/>
    <w:lvl w:ilvl="0" w:tentative="0">
      <w:start w:val="1"/>
      <w:numFmt w:val="decimal"/>
      <w:pStyle w:val="271"/>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F6656C"/>
    <w:multiLevelType w:val="multilevel"/>
    <w:tmpl w:val="7BF6656C"/>
    <w:lvl w:ilvl="0" w:tentative="0">
      <w:start w:val="1"/>
      <w:numFmt w:val="decimal"/>
      <w:pStyle w:val="26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1"/>
  </w:num>
  <w:num w:numId="3">
    <w:abstractNumId w:val="1"/>
  </w:num>
  <w:num w:numId="4">
    <w:abstractNumId w:val="10"/>
  </w:num>
  <w:num w:numId="5">
    <w:abstractNumId w:val="3"/>
  </w:num>
  <w:num w:numId="6">
    <w:abstractNumId w:val="8"/>
  </w:num>
  <w:num w:numId="7">
    <w:abstractNumId w:val="2"/>
  </w:num>
  <w:num w:numId="8">
    <w:abstractNumId w:val="5"/>
  </w:num>
  <w:num w:numId="9">
    <w:abstractNumId w:val="9"/>
  </w:num>
  <w:num w:numId="10">
    <w:abstractNumId w:val="4"/>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autoHyphenation/>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41EE"/>
    <w:rsid w:val="0000092F"/>
    <w:rsid w:val="00000A06"/>
    <w:rsid w:val="000030EF"/>
    <w:rsid w:val="0000383A"/>
    <w:rsid w:val="00003C7B"/>
    <w:rsid w:val="00004AFC"/>
    <w:rsid w:val="00004FD5"/>
    <w:rsid w:val="000109BD"/>
    <w:rsid w:val="00010AEC"/>
    <w:rsid w:val="00012FF1"/>
    <w:rsid w:val="00015CBE"/>
    <w:rsid w:val="000174DF"/>
    <w:rsid w:val="000208C4"/>
    <w:rsid w:val="00020BA0"/>
    <w:rsid w:val="0002246D"/>
    <w:rsid w:val="000235E9"/>
    <w:rsid w:val="00023DF4"/>
    <w:rsid w:val="00023FAD"/>
    <w:rsid w:val="00024C2A"/>
    <w:rsid w:val="000259F4"/>
    <w:rsid w:val="0002693D"/>
    <w:rsid w:val="0003055A"/>
    <w:rsid w:val="0003200F"/>
    <w:rsid w:val="00032817"/>
    <w:rsid w:val="00032BF5"/>
    <w:rsid w:val="000330A5"/>
    <w:rsid w:val="00033D54"/>
    <w:rsid w:val="00037597"/>
    <w:rsid w:val="000376BD"/>
    <w:rsid w:val="00041881"/>
    <w:rsid w:val="00041E39"/>
    <w:rsid w:val="00046546"/>
    <w:rsid w:val="000478C7"/>
    <w:rsid w:val="00050AFF"/>
    <w:rsid w:val="00050B8F"/>
    <w:rsid w:val="0005124B"/>
    <w:rsid w:val="00051877"/>
    <w:rsid w:val="00051AA5"/>
    <w:rsid w:val="00051D5A"/>
    <w:rsid w:val="00053908"/>
    <w:rsid w:val="00054430"/>
    <w:rsid w:val="00054E45"/>
    <w:rsid w:val="00055535"/>
    <w:rsid w:val="0005629B"/>
    <w:rsid w:val="000578D3"/>
    <w:rsid w:val="00057DF4"/>
    <w:rsid w:val="00057E87"/>
    <w:rsid w:val="00060698"/>
    <w:rsid w:val="000609B4"/>
    <w:rsid w:val="000644E7"/>
    <w:rsid w:val="0006525C"/>
    <w:rsid w:val="000653A4"/>
    <w:rsid w:val="000660BA"/>
    <w:rsid w:val="00066DA3"/>
    <w:rsid w:val="00070FE5"/>
    <w:rsid w:val="00071EC4"/>
    <w:rsid w:val="00072AC1"/>
    <w:rsid w:val="00072B2E"/>
    <w:rsid w:val="00074470"/>
    <w:rsid w:val="000746D4"/>
    <w:rsid w:val="0007523A"/>
    <w:rsid w:val="00076C10"/>
    <w:rsid w:val="00077DAA"/>
    <w:rsid w:val="00080482"/>
    <w:rsid w:val="0008076A"/>
    <w:rsid w:val="000816B7"/>
    <w:rsid w:val="00081729"/>
    <w:rsid w:val="00081D09"/>
    <w:rsid w:val="00081F92"/>
    <w:rsid w:val="0008270D"/>
    <w:rsid w:val="00085BF6"/>
    <w:rsid w:val="0008634A"/>
    <w:rsid w:val="00087CE5"/>
    <w:rsid w:val="00092B1E"/>
    <w:rsid w:val="00094600"/>
    <w:rsid w:val="00095B0B"/>
    <w:rsid w:val="00096893"/>
    <w:rsid w:val="0009706F"/>
    <w:rsid w:val="000A0299"/>
    <w:rsid w:val="000A2DEF"/>
    <w:rsid w:val="000A332C"/>
    <w:rsid w:val="000A55FC"/>
    <w:rsid w:val="000A5FBD"/>
    <w:rsid w:val="000A61A1"/>
    <w:rsid w:val="000B0525"/>
    <w:rsid w:val="000B0603"/>
    <w:rsid w:val="000B3606"/>
    <w:rsid w:val="000B388B"/>
    <w:rsid w:val="000B442E"/>
    <w:rsid w:val="000B56C0"/>
    <w:rsid w:val="000B5B05"/>
    <w:rsid w:val="000C08F1"/>
    <w:rsid w:val="000C2B0E"/>
    <w:rsid w:val="000C4F6A"/>
    <w:rsid w:val="000C53A3"/>
    <w:rsid w:val="000C70A1"/>
    <w:rsid w:val="000C713B"/>
    <w:rsid w:val="000C71EB"/>
    <w:rsid w:val="000C7C98"/>
    <w:rsid w:val="000D3028"/>
    <w:rsid w:val="000D4F14"/>
    <w:rsid w:val="000D501D"/>
    <w:rsid w:val="000D5036"/>
    <w:rsid w:val="000D58C1"/>
    <w:rsid w:val="000E21F1"/>
    <w:rsid w:val="000E47C4"/>
    <w:rsid w:val="000E5105"/>
    <w:rsid w:val="000E5501"/>
    <w:rsid w:val="000E695C"/>
    <w:rsid w:val="000F0487"/>
    <w:rsid w:val="000F1858"/>
    <w:rsid w:val="000F2FE3"/>
    <w:rsid w:val="000F474D"/>
    <w:rsid w:val="000F4A6C"/>
    <w:rsid w:val="000F742D"/>
    <w:rsid w:val="00100CFC"/>
    <w:rsid w:val="00101953"/>
    <w:rsid w:val="00102EC0"/>
    <w:rsid w:val="00104F76"/>
    <w:rsid w:val="00105565"/>
    <w:rsid w:val="00105609"/>
    <w:rsid w:val="001068E2"/>
    <w:rsid w:val="00107F90"/>
    <w:rsid w:val="00110256"/>
    <w:rsid w:val="001102A1"/>
    <w:rsid w:val="00111A20"/>
    <w:rsid w:val="00112E9F"/>
    <w:rsid w:val="00112FB4"/>
    <w:rsid w:val="00113A80"/>
    <w:rsid w:val="0011467F"/>
    <w:rsid w:val="001151F1"/>
    <w:rsid w:val="0011591C"/>
    <w:rsid w:val="00115E51"/>
    <w:rsid w:val="001162CA"/>
    <w:rsid w:val="00121305"/>
    <w:rsid w:val="00122691"/>
    <w:rsid w:val="00122E47"/>
    <w:rsid w:val="001232F2"/>
    <w:rsid w:val="00123AD8"/>
    <w:rsid w:val="00123AF8"/>
    <w:rsid w:val="00124722"/>
    <w:rsid w:val="00124754"/>
    <w:rsid w:val="001248C2"/>
    <w:rsid w:val="001251D9"/>
    <w:rsid w:val="00125C09"/>
    <w:rsid w:val="00126B03"/>
    <w:rsid w:val="00131132"/>
    <w:rsid w:val="00131536"/>
    <w:rsid w:val="00133B46"/>
    <w:rsid w:val="00135823"/>
    <w:rsid w:val="00135CAE"/>
    <w:rsid w:val="00140938"/>
    <w:rsid w:val="00141D9E"/>
    <w:rsid w:val="00141E97"/>
    <w:rsid w:val="00142E5E"/>
    <w:rsid w:val="00143519"/>
    <w:rsid w:val="001440E2"/>
    <w:rsid w:val="00144DFC"/>
    <w:rsid w:val="00145D57"/>
    <w:rsid w:val="001464AB"/>
    <w:rsid w:val="00146A42"/>
    <w:rsid w:val="00150AFB"/>
    <w:rsid w:val="00153042"/>
    <w:rsid w:val="00157795"/>
    <w:rsid w:val="00157AE9"/>
    <w:rsid w:val="0016018D"/>
    <w:rsid w:val="001606CC"/>
    <w:rsid w:val="0016262C"/>
    <w:rsid w:val="0016270E"/>
    <w:rsid w:val="001633DF"/>
    <w:rsid w:val="001637E2"/>
    <w:rsid w:val="00163E1A"/>
    <w:rsid w:val="001641CF"/>
    <w:rsid w:val="001666DD"/>
    <w:rsid w:val="00167297"/>
    <w:rsid w:val="00167985"/>
    <w:rsid w:val="00170747"/>
    <w:rsid w:val="00174103"/>
    <w:rsid w:val="00175444"/>
    <w:rsid w:val="001759E8"/>
    <w:rsid w:val="00176C79"/>
    <w:rsid w:val="00177007"/>
    <w:rsid w:val="00177CAD"/>
    <w:rsid w:val="00177CEF"/>
    <w:rsid w:val="00180E19"/>
    <w:rsid w:val="001813EF"/>
    <w:rsid w:val="00182304"/>
    <w:rsid w:val="00182474"/>
    <w:rsid w:val="001836B1"/>
    <w:rsid w:val="00183B3F"/>
    <w:rsid w:val="0018534E"/>
    <w:rsid w:val="00185492"/>
    <w:rsid w:val="00185520"/>
    <w:rsid w:val="00185A7D"/>
    <w:rsid w:val="00185DBC"/>
    <w:rsid w:val="001905B0"/>
    <w:rsid w:val="0019078B"/>
    <w:rsid w:val="00191D3C"/>
    <w:rsid w:val="0019245C"/>
    <w:rsid w:val="00192D38"/>
    <w:rsid w:val="001934AA"/>
    <w:rsid w:val="00193534"/>
    <w:rsid w:val="00193C97"/>
    <w:rsid w:val="00193E34"/>
    <w:rsid w:val="001943E1"/>
    <w:rsid w:val="00194DC1"/>
    <w:rsid w:val="00196AE9"/>
    <w:rsid w:val="001A4346"/>
    <w:rsid w:val="001A4358"/>
    <w:rsid w:val="001A4C67"/>
    <w:rsid w:val="001A6554"/>
    <w:rsid w:val="001A6C4D"/>
    <w:rsid w:val="001A6EF3"/>
    <w:rsid w:val="001B069E"/>
    <w:rsid w:val="001B46D2"/>
    <w:rsid w:val="001B4C04"/>
    <w:rsid w:val="001B4E3A"/>
    <w:rsid w:val="001B6997"/>
    <w:rsid w:val="001B6A48"/>
    <w:rsid w:val="001C1F2F"/>
    <w:rsid w:val="001C23F2"/>
    <w:rsid w:val="001C2615"/>
    <w:rsid w:val="001C3262"/>
    <w:rsid w:val="001C4A6F"/>
    <w:rsid w:val="001C4EA9"/>
    <w:rsid w:val="001C6883"/>
    <w:rsid w:val="001C7521"/>
    <w:rsid w:val="001C79D3"/>
    <w:rsid w:val="001D151F"/>
    <w:rsid w:val="001D197A"/>
    <w:rsid w:val="001D2196"/>
    <w:rsid w:val="001D4D1D"/>
    <w:rsid w:val="001D52EA"/>
    <w:rsid w:val="001D64BB"/>
    <w:rsid w:val="001D6591"/>
    <w:rsid w:val="001E02F0"/>
    <w:rsid w:val="001E0C69"/>
    <w:rsid w:val="001E11C5"/>
    <w:rsid w:val="001E16DA"/>
    <w:rsid w:val="001E1964"/>
    <w:rsid w:val="001E1FF6"/>
    <w:rsid w:val="001E5438"/>
    <w:rsid w:val="001E5A4B"/>
    <w:rsid w:val="001E620E"/>
    <w:rsid w:val="001E7C8D"/>
    <w:rsid w:val="001F1D80"/>
    <w:rsid w:val="001F2189"/>
    <w:rsid w:val="001F320F"/>
    <w:rsid w:val="001F421D"/>
    <w:rsid w:val="001F51A5"/>
    <w:rsid w:val="001F5F64"/>
    <w:rsid w:val="00201F28"/>
    <w:rsid w:val="00202880"/>
    <w:rsid w:val="00202BEB"/>
    <w:rsid w:val="00210A70"/>
    <w:rsid w:val="00210B18"/>
    <w:rsid w:val="00211B97"/>
    <w:rsid w:val="00211BBC"/>
    <w:rsid w:val="002122FD"/>
    <w:rsid w:val="00212A64"/>
    <w:rsid w:val="00212C81"/>
    <w:rsid w:val="00214C7E"/>
    <w:rsid w:val="002154EF"/>
    <w:rsid w:val="0021691C"/>
    <w:rsid w:val="00217D30"/>
    <w:rsid w:val="0022361D"/>
    <w:rsid w:val="0022565D"/>
    <w:rsid w:val="00225A59"/>
    <w:rsid w:val="002260FD"/>
    <w:rsid w:val="00226E44"/>
    <w:rsid w:val="00232E89"/>
    <w:rsid w:val="00233FA2"/>
    <w:rsid w:val="00234249"/>
    <w:rsid w:val="00234A5C"/>
    <w:rsid w:val="002364FB"/>
    <w:rsid w:val="002367BA"/>
    <w:rsid w:val="002376AB"/>
    <w:rsid w:val="00241B9A"/>
    <w:rsid w:val="00244B03"/>
    <w:rsid w:val="002455EF"/>
    <w:rsid w:val="002459B5"/>
    <w:rsid w:val="00246028"/>
    <w:rsid w:val="00246C83"/>
    <w:rsid w:val="00247E8C"/>
    <w:rsid w:val="00250991"/>
    <w:rsid w:val="0025283C"/>
    <w:rsid w:val="002530A9"/>
    <w:rsid w:val="00253115"/>
    <w:rsid w:val="002531D3"/>
    <w:rsid w:val="002534CD"/>
    <w:rsid w:val="00256A55"/>
    <w:rsid w:val="00260AE5"/>
    <w:rsid w:val="00262EF3"/>
    <w:rsid w:val="0026324F"/>
    <w:rsid w:val="00266246"/>
    <w:rsid w:val="00271273"/>
    <w:rsid w:val="00271765"/>
    <w:rsid w:val="0027323F"/>
    <w:rsid w:val="002749CB"/>
    <w:rsid w:val="00274CFB"/>
    <w:rsid w:val="00275451"/>
    <w:rsid w:val="00275F3F"/>
    <w:rsid w:val="0027704D"/>
    <w:rsid w:val="00277FE6"/>
    <w:rsid w:val="0028257A"/>
    <w:rsid w:val="00286DEE"/>
    <w:rsid w:val="002878DC"/>
    <w:rsid w:val="0029032A"/>
    <w:rsid w:val="00291174"/>
    <w:rsid w:val="00292256"/>
    <w:rsid w:val="00293CC3"/>
    <w:rsid w:val="00297B2B"/>
    <w:rsid w:val="00297D4D"/>
    <w:rsid w:val="002A01EF"/>
    <w:rsid w:val="002A05A1"/>
    <w:rsid w:val="002A05B3"/>
    <w:rsid w:val="002A2292"/>
    <w:rsid w:val="002A2691"/>
    <w:rsid w:val="002A2D11"/>
    <w:rsid w:val="002A3ED9"/>
    <w:rsid w:val="002A3FDF"/>
    <w:rsid w:val="002A516F"/>
    <w:rsid w:val="002A6ED4"/>
    <w:rsid w:val="002B036E"/>
    <w:rsid w:val="002B26F8"/>
    <w:rsid w:val="002B4D2F"/>
    <w:rsid w:val="002B5889"/>
    <w:rsid w:val="002B66EB"/>
    <w:rsid w:val="002C08B9"/>
    <w:rsid w:val="002C0C8B"/>
    <w:rsid w:val="002C30F1"/>
    <w:rsid w:val="002C34E2"/>
    <w:rsid w:val="002C575D"/>
    <w:rsid w:val="002C6858"/>
    <w:rsid w:val="002D02A8"/>
    <w:rsid w:val="002D0368"/>
    <w:rsid w:val="002D0E25"/>
    <w:rsid w:val="002D2DFC"/>
    <w:rsid w:val="002D332E"/>
    <w:rsid w:val="002D3CD2"/>
    <w:rsid w:val="002D439D"/>
    <w:rsid w:val="002E0029"/>
    <w:rsid w:val="002E0FD1"/>
    <w:rsid w:val="002E11E7"/>
    <w:rsid w:val="002E2D08"/>
    <w:rsid w:val="002E351F"/>
    <w:rsid w:val="002E47A4"/>
    <w:rsid w:val="002E7312"/>
    <w:rsid w:val="002E76A0"/>
    <w:rsid w:val="002F0EB3"/>
    <w:rsid w:val="002F1936"/>
    <w:rsid w:val="002F2099"/>
    <w:rsid w:val="002F2C62"/>
    <w:rsid w:val="002F2E6A"/>
    <w:rsid w:val="002F3837"/>
    <w:rsid w:val="002F6697"/>
    <w:rsid w:val="002F6AE5"/>
    <w:rsid w:val="0030203D"/>
    <w:rsid w:val="00303428"/>
    <w:rsid w:val="00303E97"/>
    <w:rsid w:val="00304D74"/>
    <w:rsid w:val="003054DD"/>
    <w:rsid w:val="0031275C"/>
    <w:rsid w:val="003145D3"/>
    <w:rsid w:val="00315313"/>
    <w:rsid w:val="00316615"/>
    <w:rsid w:val="003166EB"/>
    <w:rsid w:val="00316F78"/>
    <w:rsid w:val="0031713E"/>
    <w:rsid w:val="00320D68"/>
    <w:rsid w:val="00320EC6"/>
    <w:rsid w:val="003214BA"/>
    <w:rsid w:val="00322432"/>
    <w:rsid w:val="00325911"/>
    <w:rsid w:val="003264BF"/>
    <w:rsid w:val="00326A78"/>
    <w:rsid w:val="00326E20"/>
    <w:rsid w:val="00331D17"/>
    <w:rsid w:val="00332BB8"/>
    <w:rsid w:val="00332FCE"/>
    <w:rsid w:val="00333221"/>
    <w:rsid w:val="003369E1"/>
    <w:rsid w:val="00337D64"/>
    <w:rsid w:val="00343E2A"/>
    <w:rsid w:val="00344591"/>
    <w:rsid w:val="00345678"/>
    <w:rsid w:val="00353424"/>
    <w:rsid w:val="00353C03"/>
    <w:rsid w:val="00354C4C"/>
    <w:rsid w:val="003574CD"/>
    <w:rsid w:val="00360304"/>
    <w:rsid w:val="00361121"/>
    <w:rsid w:val="003613A4"/>
    <w:rsid w:val="00362307"/>
    <w:rsid w:val="0036452A"/>
    <w:rsid w:val="00365B96"/>
    <w:rsid w:val="00366D66"/>
    <w:rsid w:val="00370C33"/>
    <w:rsid w:val="00371B82"/>
    <w:rsid w:val="00371D6D"/>
    <w:rsid w:val="003725BC"/>
    <w:rsid w:val="00373098"/>
    <w:rsid w:val="00375303"/>
    <w:rsid w:val="003764CB"/>
    <w:rsid w:val="003772E4"/>
    <w:rsid w:val="0037766A"/>
    <w:rsid w:val="00377F09"/>
    <w:rsid w:val="003815A0"/>
    <w:rsid w:val="0038269D"/>
    <w:rsid w:val="0038383B"/>
    <w:rsid w:val="0038497E"/>
    <w:rsid w:val="00384C37"/>
    <w:rsid w:val="00384E35"/>
    <w:rsid w:val="00384F97"/>
    <w:rsid w:val="0038704E"/>
    <w:rsid w:val="00391F30"/>
    <w:rsid w:val="0039347D"/>
    <w:rsid w:val="0039429B"/>
    <w:rsid w:val="00396C72"/>
    <w:rsid w:val="00397CC7"/>
    <w:rsid w:val="00397F18"/>
    <w:rsid w:val="003A0391"/>
    <w:rsid w:val="003A0949"/>
    <w:rsid w:val="003A0C0F"/>
    <w:rsid w:val="003A0EF7"/>
    <w:rsid w:val="003A1861"/>
    <w:rsid w:val="003A42E6"/>
    <w:rsid w:val="003A6001"/>
    <w:rsid w:val="003A6038"/>
    <w:rsid w:val="003B092A"/>
    <w:rsid w:val="003B0F08"/>
    <w:rsid w:val="003B34B6"/>
    <w:rsid w:val="003B57A3"/>
    <w:rsid w:val="003B65E6"/>
    <w:rsid w:val="003C07AF"/>
    <w:rsid w:val="003C60C3"/>
    <w:rsid w:val="003C7C0F"/>
    <w:rsid w:val="003C7E38"/>
    <w:rsid w:val="003D1208"/>
    <w:rsid w:val="003D1642"/>
    <w:rsid w:val="003D2AB2"/>
    <w:rsid w:val="003D3AB5"/>
    <w:rsid w:val="003D616C"/>
    <w:rsid w:val="003D62AC"/>
    <w:rsid w:val="003E034F"/>
    <w:rsid w:val="003E1BED"/>
    <w:rsid w:val="003E2B69"/>
    <w:rsid w:val="003E2F30"/>
    <w:rsid w:val="003E4391"/>
    <w:rsid w:val="003E497C"/>
    <w:rsid w:val="003E7304"/>
    <w:rsid w:val="003E7531"/>
    <w:rsid w:val="003F03B1"/>
    <w:rsid w:val="003F1BF5"/>
    <w:rsid w:val="003F1EAD"/>
    <w:rsid w:val="003F46EC"/>
    <w:rsid w:val="003F4B36"/>
    <w:rsid w:val="003F7BAF"/>
    <w:rsid w:val="00401AB3"/>
    <w:rsid w:val="00402603"/>
    <w:rsid w:val="00403F0B"/>
    <w:rsid w:val="0040427F"/>
    <w:rsid w:val="004059A7"/>
    <w:rsid w:val="004061E8"/>
    <w:rsid w:val="00406AA8"/>
    <w:rsid w:val="00410350"/>
    <w:rsid w:val="00416951"/>
    <w:rsid w:val="004202D2"/>
    <w:rsid w:val="004203B0"/>
    <w:rsid w:val="0042086C"/>
    <w:rsid w:val="00422749"/>
    <w:rsid w:val="004255E6"/>
    <w:rsid w:val="004305E0"/>
    <w:rsid w:val="00430AC0"/>
    <w:rsid w:val="00431510"/>
    <w:rsid w:val="004337F8"/>
    <w:rsid w:val="00434BF0"/>
    <w:rsid w:val="0043506B"/>
    <w:rsid w:val="0043609B"/>
    <w:rsid w:val="004375DE"/>
    <w:rsid w:val="00440078"/>
    <w:rsid w:val="00441845"/>
    <w:rsid w:val="00442B43"/>
    <w:rsid w:val="00445411"/>
    <w:rsid w:val="00446773"/>
    <w:rsid w:val="00451AAB"/>
    <w:rsid w:val="004520B3"/>
    <w:rsid w:val="004536EA"/>
    <w:rsid w:val="00454548"/>
    <w:rsid w:val="00454C36"/>
    <w:rsid w:val="00455751"/>
    <w:rsid w:val="0045663F"/>
    <w:rsid w:val="004600FD"/>
    <w:rsid w:val="00461D6D"/>
    <w:rsid w:val="00466051"/>
    <w:rsid w:val="00466B54"/>
    <w:rsid w:val="00467640"/>
    <w:rsid w:val="00470551"/>
    <w:rsid w:val="0047138E"/>
    <w:rsid w:val="004715BA"/>
    <w:rsid w:val="00471FF8"/>
    <w:rsid w:val="0047274D"/>
    <w:rsid w:val="004736BC"/>
    <w:rsid w:val="0047404D"/>
    <w:rsid w:val="004753E8"/>
    <w:rsid w:val="00475EEB"/>
    <w:rsid w:val="0047733E"/>
    <w:rsid w:val="0048236F"/>
    <w:rsid w:val="00483709"/>
    <w:rsid w:val="00485FDD"/>
    <w:rsid w:val="004860A4"/>
    <w:rsid w:val="004918A4"/>
    <w:rsid w:val="00493115"/>
    <w:rsid w:val="004940D8"/>
    <w:rsid w:val="0049496B"/>
    <w:rsid w:val="00496F88"/>
    <w:rsid w:val="00496FAE"/>
    <w:rsid w:val="004A07D0"/>
    <w:rsid w:val="004A2AE9"/>
    <w:rsid w:val="004A3FE5"/>
    <w:rsid w:val="004A41D1"/>
    <w:rsid w:val="004A41F5"/>
    <w:rsid w:val="004A43C5"/>
    <w:rsid w:val="004A6474"/>
    <w:rsid w:val="004A6DC8"/>
    <w:rsid w:val="004B076A"/>
    <w:rsid w:val="004B1656"/>
    <w:rsid w:val="004B2751"/>
    <w:rsid w:val="004B2C50"/>
    <w:rsid w:val="004B47A2"/>
    <w:rsid w:val="004B5FCD"/>
    <w:rsid w:val="004C0BB4"/>
    <w:rsid w:val="004C0C88"/>
    <w:rsid w:val="004C0D00"/>
    <w:rsid w:val="004C0EF9"/>
    <w:rsid w:val="004C1E0D"/>
    <w:rsid w:val="004C438D"/>
    <w:rsid w:val="004C6062"/>
    <w:rsid w:val="004C6AB2"/>
    <w:rsid w:val="004C7BE3"/>
    <w:rsid w:val="004D1E36"/>
    <w:rsid w:val="004D2894"/>
    <w:rsid w:val="004D4359"/>
    <w:rsid w:val="004E02D5"/>
    <w:rsid w:val="004E0654"/>
    <w:rsid w:val="004E2D32"/>
    <w:rsid w:val="004E47B4"/>
    <w:rsid w:val="004E5A7D"/>
    <w:rsid w:val="004E6F2C"/>
    <w:rsid w:val="004F0183"/>
    <w:rsid w:val="004F08F1"/>
    <w:rsid w:val="004F0C21"/>
    <w:rsid w:val="004F0F50"/>
    <w:rsid w:val="004F1585"/>
    <w:rsid w:val="004F1C07"/>
    <w:rsid w:val="004F1EDC"/>
    <w:rsid w:val="004F251F"/>
    <w:rsid w:val="004F4F78"/>
    <w:rsid w:val="004F590F"/>
    <w:rsid w:val="004F6127"/>
    <w:rsid w:val="004F612A"/>
    <w:rsid w:val="004F6446"/>
    <w:rsid w:val="004F6B72"/>
    <w:rsid w:val="004F7C7B"/>
    <w:rsid w:val="004F7E26"/>
    <w:rsid w:val="00501D3E"/>
    <w:rsid w:val="00502F40"/>
    <w:rsid w:val="00505310"/>
    <w:rsid w:val="00505EAB"/>
    <w:rsid w:val="00506EB9"/>
    <w:rsid w:val="00507E23"/>
    <w:rsid w:val="005104E1"/>
    <w:rsid w:val="00510A22"/>
    <w:rsid w:val="005138DF"/>
    <w:rsid w:val="005139B8"/>
    <w:rsid w:val="00514EC9"/>
    <w:rsid w:val="00520FD8"/>
    <w:rsid w:val="005213F1"/>
    <w:rsid w:val="005253C5"/>
    <w:rsid w:val="005262E2"/>
    <w:rsid w:val="005262EB"/>
    <w:rsid w:val="00526DBE"/>
    <w:rsid w:val="00527B9A"/>
    <w:rsid w:val="00530CB9"/>
    <w:rsid w:val="005311FB"/>
    <w:rsid w:val="0053246E"/>
    <w:rsid w:val="00532787"/>
    <w:rsid w:val="00533203"/>
    <w:rsid w:val="00535173"/>
    <w:rsid w:val="00537407"/>
    <w:rsid w:val="00537A9C"/>
    <w:rsid w:val="005410C6"/>
    <w:rsid w:val="00541B68"/>
    <w:rsid w:val="005434AE"/>
    <w:rsid w:val="005501EA"/>
    <w:rsid w:val="0055078C"/>
    <w:rsid w:val="00551664"/>
    <w:rsid w:val="0055192E"/>
    <w:rsid w:val="00551C68"/>
    <w:rsid w:val="00552CD3"/>
    <w:rsid w:val="00552ED5"/>
    <w:rsid w:val="00553171"/>
    <w:rsid w:val="0055493E"/>
    <w:rsid w:val="00554E4E"/>
    <w:rsid w:val="00555F95"/>
    <w:rsid w:val="00555FAE"/>
    <w:rsid w:val="00555FEF"/>
    <w:rsid w:val="00560434"/>
    <w:rsid w:val="00561039"/>
    <w:rsid w:val="005626E5"/>
    <w:rsid w:val="00562E65"/>
    <w:rsid w:val="00563B90"/>
    <w:rsid w:val="005664B4"/>
    <w:rsid w:val="00567CEA"/>
    <w:rsid w:val="00567D58"/>
    <w:rsid w:val="00567F3D"/>
    <w:rsid w:val="0057424C"/>
    <w:rsid w:val="00574F8D"/>
    <w:rsid w:val="0057622D"/>
    <w:rsid w:val="00577BF6"/>
    <w:rsid w:val="00577D2A"/>
    <w:rsid w:val="0058076B"/>
    <w:rsid w:val="00584C22"/>
    <w:rsid w:val="00585639"/>
    <w:rsid w:val="00585B9E"/>
    <w:rsid w:val="00585F1F"/>
    <w:rsid w:val="005864BA"/>
    <w:rsid w:val="005864C1"/>
    <w:rsid w:val="00586854"/>
    <w:rsid w:val="005871EC"/>
    <w:rsid w:val="00592050"/>
    <w:rsid w:val="00592FCA"/>
    <w:rsid w:val="00596047"/>
    <w:rsid w:val="00596E2C"/>
    <w:rsid w:val="00597116"/>
    <w:rsid w:val="00597354"/>
    <w:rsid w:val="00597E77"/>
    <w:rsid w:val="005A110B"/>
    <w:rsid w:val="005A1697"/>
    <w:rsid w:val="005A1BB5"/>
    <w:rsid w:val="005A37C9"/>
    <w:rsid w:val="005B038A"/>
    <w:rsid w:val="005B06D8"/>
    <w:rsid w:val="005B06E5"/>
    <w:rsid w:val="005B09BA"/>
    <w:rsid w:val="005B1AA6"/>
    <w:rsid w:val="005B209A"/>
    <w:rsid w:val="005B3314"/>
    <w:rsid w:val="005B3AF7"/>
    <w:rsid w:val="005B5120"/>
    <w:rsid w:val="005B6227"/>
    <w:rsid w:val="005C1BB2"/>
    <w:rsid w:val="005C235D"/>
    <w:rsid w:val="005C2B0F"/>
    <w:rsid w:val="005C4803"/>
    <w:rsid w:val="005C4C17"/>
    <w:rsid w:val="005C4CC8"/>
    <w:rsid w:val="005C5F3B"/>
    <w:rsid w:val="005C6E1E"/>
    <w:rsid w:val="005C72E8"/>
    <w:rsid w:val="005D02F1"/>
    <w:rsid w:val="005D33F0"/>
    <w:rsid w:val="005D3966"/>
    <w:rsid w:val="005D3CE5"/>
    <w:rsid w:val="005D4B8C"/>
    <w:rsid w:val="005D4FA2"/>
    <w:rsid w:val="005D5028"/>
    <w:rsid w:val="005D59C4"/>
    <w:rsid w:val="005E07EE"/>
    <w:rsid w:val="005E1603"/>
    <w:rsid w:val="005E297E"/>
    <w:rsid w:val="005E4DA1"/>
    <w:rsid w:val="005E586B"/>
    <w:rsid w:val="005E5A29"/>
    <w:rsid w:val="005E7D77"/>
    <w:rsid w:val="005F070C"/>
    <w:rsid w:val="005F1334"/>
    <w:rsid w:val="005F2568"/>
    <w:rsid w:val="005F3B18"/>
    <w:rsid w:val="005F43CE"/>
    <w:rsid w:val="005F72D5"/>
    <w:rsid w:val="00601E57"/>
    <w:rsid w:val="00602BCB"/>
    <w:rsid w:val="006041D7"/>
    <w:rsid w:val="00605FF4"/>
    <w:rsid w:val="00606ADD"/>
    <w:rsid w:val="00607C47"/>
    <w:rsid w:val="00610896"/>
    <w:rsid w:val="00614AE3"/>
    <w:rsid w:val="0061568B"/>
    <w:rsid w:val="006157B6"/>
    <w:rsid w:val="00616B47"/>
    <w:rsid w:val="00617285"/>
    <w:rsid w:val="006205A2"/>
    <w:rsid w:val="00621C79"/>
    <w:rsid w:val="00622A1E"/>
    <w:rsid w:val="00626889"/>
    <w:rsid w:val="0062691A"/>
    <w:rsid w:val="0063105F"/>
    <w:rsid w:val="0063215F"/>
    <w:rsid w:val="00632298"/>
    <w:rsid w:val="00633D32"/>
    <w:rsid w:val="00634112"/>
    <w:rsid w:val="0063439E"/>
    <w:rsid w:val="00634DFD"/>
    <w:rsid w:val="00635068"/>
    <w:rsid w:val="0063533D"/>
    <w:rsid w:val="00636D83"/>
    <w:rsid w:val="006372D4"/>
    <w:rsid w:val="00637C65"/>
    <w:rsid w:val="00640025"/>
    <w:rsid w:val="00643DEC"/>
    <w:rsid w:val="006442F1"/>
    <w:rsid w:val="00647624"/>
    <w:rsid w:val="006477F6"/>
    <w:rsid w:val="00647F83"/>
    <w:rsid w:val="00647F8A"/>
    <w:rsid w:val="00650466"/>
    <w:rsid w:val="00651908"/>
    <w:rsid w:val="00652085"/>
    <w:rsid w:val="00652A28"/>
    <w:rsid w:val="00653B19"/>
    <w:rsid w:val="0065575C"/>
    <w:rsid w:val="00656B0A"/>
    <w:rsid w:val="00661A93"/>
    <w:rsid w:val="00662026"/>
    <w:rsid w:val="00662C71"/>
    <w:rsid w:val="00667718"/>
    <w:rsid w:val="00667D70"/>
    <w:rsid w:val="006701B8"/>
    <w:rsid w:val="00671281"/>
    <w:rsid w:val="00674541"/>
    <w:rsid w:val="00677796"/>
    <w:rsid w:val="006777E9"/>
    <w:rsid w:val="0068042A"/>
    <w:rsid w:val="0068045F"/>
    <w:rsid w:val="00681695"/>
    <w:rsid w:val="00682FF8"/>
    <w:rsid w:val="00684A5E"/>
    <w:rsid w:val="00684FFE"/>
    <w:rsid w:val="00685675"/>
    <w:rsid w:val="006863B6"/>
    <w:rsid w:val="00686688"/>
    <w:rsid w:val="006868AA"/>
    <w:rsid w:val="006871EB"/>
    <w:rsid w:val="006872CF"/>
    <w:rsid w:val="00691FE7"/>
    <w:rsid w:val="00692C3F"/>
    <w:rsid w:val="00693C27"/>
    <w:rsid w:val="006946C5"/>
    <w:rsid w:val="00696325"/>
    <w:rsid w:val="006978B8"/>
    <w:rsid w:val="00697B43"/>
    <w:rsid w:val="00697DEE"/>
    <w:rsid w:val="006A0492"/>
    <w:rsid w:val="006A2F5F"/>
    <w:rsid w:val="006A4402"/>
    <w:rsid w:val="006A4CBE"/>
    <w:rsid w:val="006A4E73"/>
    <w:rsid w:val="006A67F4"/>
    <w:rsid w:val="006B1EF2"/>
    <w:rsid w:val="006B233F"/>
    <w:rsid w:val="006B284F"/>
    <w:rsid w:val="006B3263"/>
    <w:rsid w:val="006B5E3A"/>
    <w:rsid w:val="006B6E22"/>
    <w:rsid w:val="006C3599"/>
    <w:rsid w:val="006C76B8"/>
    <w:rsid w:val="006D0C58"/>
    <w:rsid w:val="006D1671"/>
    <w:rsid w:val="006D24BA"/>
    <w:rsid w:val="006D25E6"/>
    <w:rsid w:val="006D2821"/>
    <w:rsid w:val="006D2F0F"/>
    <w:rsid w:val="006D480C"/>
    <w:rsid w:val="006D50F3"/>
    <w:rsid w:val="006D621A"/>
    <w:rsid w:val="006D6D0A"/>
    <w:rsid w:val="006E1434"/>
    <w:rsid w:val="006E16BE"/>
    <w:rsid w:val="006E2182"/>
    <w:rsid w:val="006E2B68"/>
    <w:rsid w:val="006E2CC8"/>
    <w:rsid w:val="006E3C39"/>
    <w:rsid w:val="006E41A0"/>
    <w:rsid w:val="006E4530"/>
    <w:rsid w:val="006E51CB"/>
    <w:rsid w:val="006E58D6"/>
    <w:rsid w:val="006F05E0"/>
    <w:rsid w:val="006F2378"/>
    <w:rsid w:val="006F27E4"/>
    <w:rsid w:val="006F3339"/>
    <w:rsid w:val="006F425B"/>
    <w:rsid w:val="006F59FA"/>
    <w:rsid w:val="006F5CBE"/>
    <w:rsid w:val="006F6983"/>
    <w:rsid w:val="00704037"/>
    <w:rsid w:val="007058E6"/>
    <w:rsid w:val="00707A08"/>
    <w:rsid w:val="0071154E"/>
    <w:rsid w:val="007116CD"/>
    <w:rsid w:val="0071212D"/>
    <w:rsid w:val="00714EA0"/>
    <w:rsid w:val="007151D4"/>
    <w:rsid w:val="00715C2E"/>
    <w:rsid w:val="00717599"/>
    <w:rsid w:val="00717A30"/>
    <w:rsid w:val="007208CE"/>
    <w:rsid w:val="0072163A"/>
    <w:rsid w:val="00721F70"/>
    <w:rsid w:val="0072205A"/>
    <w:rsid w:val="0072289C"/>
    <w:rsid w:val="00723F5F"/>
    <w:rsid w:val="007244EC"/>
    <w:rsid w:val="007271B8"/>
    <w:rsid w:val="0072747E"/>
    <w:rsid w:val="00731203"/>
    <w:rsid w:val="00732EDD"/>
    <w:rsid w:val="00733F32"/>
    <w:rsid w:val="0073448D"/>
    <w:rsid w:val="00734546"/>
    <w:rsid w:val="00735235"/>
    <w:rsid w:val="00736A6E"/>
    <w:rsid w:val="00736C81"/>
    <w:rsid w:val="00737714"/>
    <w:rsid w:val="007378DD"/>
    <w:rsid w:val="00737D35"/>
    <w:rsid w:val="00742203"/>
    <w:rsid w:val="00743DD0"/>
    <w:rsid w:val="007452EB"/>
    <w:rsid w:val="00746706"/>
    <w:rsid w:val="0074783E"/>
    <w:rsid w:val="007508A6"/>
    <w:rsid w:val="00750A15"/>
    <w:rsid w:val="00750D51"/>
    <w:rsid w:val="007522B5"/>
    <w:rsid w:val="007568ED"/>
    <w:rsid w:val="00756BB6"/>
    <w:rsid w:val="007609D9"/>
    <w:rsid w:val="007625FA"/>
    <w:rsid w:val="00762F5F"/>
    <w:rsid w:val="007638A2"/>
    <w:rsid w:val="0076646A"/>
    <w:rsid w:val="00766E29"/>
    <w:rsid w:val="00767910"/>
    <w:rsid w:val="0077027D"/>
    <w:rsid w:val="00770D8B"/>
    <w:rsid w:val="00771A81"/>
    <w:rsid w:val="00772728"/>
    <w:rsid w:val="00774834"/>
    <w:rsid w:val="0077630A"/>
    <w:rsid w:val="0077633B"/>
    <w:rsid w:val="00776B09"/>
    <w:rsid w:val="007770A7"/>
    <w:rsid w:val="00780419"/>
    <w:rsid w:val="007806C7"/>
    <w:rsid w:val="00781269"/>
    <w:rsid w:val="007849CD"/>
    <w:rsid w:val="007868AB"/>
    <w:rsid w:val="00787CEF"/>
    <w:rsid w:val="00787F3F"/>
    <w:rsid w:val="00791B6B"/>
    <w:rsid w:val="007948AC"/>
    <w:rsid w:val="00795036"/>
    <w:rsid w:val="00795829"/>
    <w:rsid w:val="007A00B9"/>
    <w:rsid w:val="007A0C29"/>
    <w:rsid w:val="007A12EA"/>
    <w:rsid w:val="007A158D"/>
    <w:rsid w:val="007A2656"/>
    <w:rsid w:val="007A37B3"/>
    <w:rsid w:val="007A3BE3"/>
    <w:rsid w:val="007A3F43"/>
    <w:rsid w:val="007A40FF"/>
    <w:rsid w:val="007A609A"/>
    <w:rsid w:val="007A7328"/>
    <w:rsid w:val="007A7B95"/>
    <w:rsid w:val="007A7C11"/>
    <w:rsid w:val="007B12FF"/>
    <w:rsid w:val="007B23D7"/>
    <w:rsid w:val="007B24CF"/>
    <w:rsid w:val="007B462A"/>
    <w:rsid w:val="007B4F47"/>
    <w:rsid w:val="007B64DA"/>
    <w:rsid w:val="007B6AA6"/>
    <w:rsid w:val="007C03BD"/>
    <w:rsid w:val="007C0D5D"/>
    <w:rsid w:val="007C2AAC"/>
    <w:rsid w:val="007C3096"/>
    <w:rsid w:val="007C43B3"/>
    <w:rsid w:val="007C5D78"/>
    <w:rsid w:val="007C624D"/>
    <w:rsid w:val="007D13EE"/>
    <w:rsid w:val="007D172E"/>
    <w:rsid w:val="007D17BE"/>
    <w:rsid w:val="007D180F"/>
    <w:rsid w:val="007D260E"/>
    <w:rsid w:val="007D2936"/>
    <w:rsid w:val="007D3C61"/>
    <w:rsid w:val="007D488E"/>
    <w:rsid w:val="007D4C0C"/>
    <w:rsid w:val="007D6790"/>
    <w:rsid w:val="007D6E32"/>
    <w:rsid w:val="007D71A2"/>
    <w:rsid w:val="007D7D2C"/>
    <w:rsid w:val="007E1CD8"/>
    <w:rsid w:val="007E3498"/>
    <w:rsid w:val="007E39E5"/>
    <w:rsid w:val="007E64DC"/>
    <w:rsid w:val="007E77E5"/>
    <w:rsid w:val="007F0272"/>
    <w:rsid w:val="007F12C5"/>
    <w:rsid w:val="007F23B7"/>
    <w:rsid w:val="007F28EF"/>
    <w:rsid w:val="007F2B5B"/>
    <w:rsid w:val="007F2E75"/>
    <w:rsid w:val="007F5831"/>
    <w:rsid w:val="007F61B9"/>
    <w:rsid w:val="007F790A"/>
    <w:rsid w:val="00800A2B"/>
    <w:rsid w:val="00800D12"/>
    <w:rsid w:val="00801526"/>
    <w:rsid w:val="0080229F"/>
    <w:rsid w:val="00804282"/>
    <w:rsid w:val="0080443E"/>
    <w:rsid w:val="00804813"/>
    <w:rsid w:val="00804A0C"/>
    <w:rsid w:val="00805148"/>
    <w:rsid w:val="00807039"/>
    <w:rsid w:val="00810DDF"/>
    <w:rsid w:val="00811B11"/>
    <w:rsid w:val="00812704"/>
    <w:rsid w:val="008130EF"/>
    <w:rsid w:val="00814A19"/>
    <w:rsid w:val="00814E24"/>
    <w:rsid w:val="00816204"/>
    <w:rsid w:val="008204E6"/>
    <w:rsid w:val="00821840"/>
    <w:rsid w:val="00821D67"/>
    <w:rsid w:val="00822FF4"/>
    <w:rsid w:val="00823F73"/>
    <w:rsid w:val="008241EE"/>
    <w:rsid w:val="008315F2"/>
    <w:rsid w:val="00831A58"/>
    <w:rsid w:val="00831CAC"/>
    <w:rsid w:val="008339A6"/>
    <w:rsid w:val="008340F0"/>
    <w:rsid w:val="00834447"/>
    <w:rsid w:val="008349D5"/>
    <w:rsid w:val="00835D6A"/>
    <w:rsid w:val="00835ED8"/>
    <w:rsid w:val="00836B40"/>
    <w:rsid w:val="00837EA8"/>
    <w:rsid w:val="008444F0"/>
    <w:rsid w:val="008452D5"/>
    <w:rsid w:val="00845DC7"/>
    <w:rsid w:val="008461CD"/>
    <w:rsid w:val="00851A6C"/>
    <w:rsid w:val="008521B2"/>
    <w:rsid w:val="0085293B"/>
    <w:rsid w:val="00852A9B"/>
    <w:rsid w:val="008553B3"/>
    <w:rsid w:val="0085633E"/>
    <w:rsid w:val="00857660"/>
    <w:rsid w:val="00857FB4"/>
    <w:rsid w:val="00861A4F"/>
    <w:rsid w:val="00863DE8"/>
    <w:rsid w:val="008640AA"/>
    <w:rsid w:val="0086559F"/>
    <w:rsid w:val="0086562C"/>
    <w:rsid w:val="00865957"/>
    <w:rsid w:val="00866FDC"/>
    <w:rsid w:val="00870759"/>
    <w:rsid w:val="00870FCE"/>
    <w:rsid w:val="00871083"/>
    <w:rsid w:val="008727AA"/>
    <w:rsid w:val="00872FAB"/>
    <w:rsid w:val="00873E8E"/>
    <w:rsid w:val="00874930"/>
    <w:rsid w:val="00874EB6"/>
    <w:rsid w:val="00877579"/>
    <w:rsid w:val="00877811"/>
    <w:rsid w:val="00877C98"/>
    <w:rsid w:val="00880B26"/>
    <w:rsid w:val="0088171A"/>
    <w:rsid w:val="0088387C"/>
    <w:rsid w:val="00884BFF"/>
    <w:rsid w:val="00884E0D"/>
    <w:rsid w:val="00885E42"/>
    <w:rsid w:val="00886DBC"/>
    <w:rsid w:val="00887022"/>
    <w:rsid w:val="00887BA5"/>
    <w:rsid w:val="008930DF"/>
    <w:rsid w:val="00895D28"/>
    <w:rsid w:val="0089749A"/>
    <w:rsid w:val="008A009B"/>
    <w:rsid w:val="008A129D"/>
    <w:rsid w:val="008A18F4"/>
    <w:rsid w:val="008A261C"/>
    <w:rsid w:val="008A3D4A"/>
    <w:rsid w:val="008A4A5E"/>
    <w:rsid w:val="008A7B0E"/>
    <w:rsid w:val="008B0681"/>
    <w:rsid w:val="008B0796"/>
    <w:rsid w:val="008B2C84"/>
    <w:rsid w:val="008B41CE"/>
    <w:rsid w:val="008B440F"/>
    <w:rsid w:val="008B60F5"/>
    <w:rsid w:val="008B6F29"/>
    <w:rsid w:val="008B7BC7"/>
    <w:rsid w:val="008C06FE"/>
    <w:rsid w:val="008C0B63"/>
    <w:rsid w:val="008C0EBA"/>
    <w:rsid w:val="008C21DF"/>
    <w:rsid w:val="008C28ED"/>
    <w:rsid w:val="008C2955"/>
    <w:rsid w:val="008C436A"/>
    <w:rsid w:val="008C6054"/>
    <w:rsid w:val="008C63CA"/>
    <w:rsid w:val="008C64E9"/>
    <w:rsid w:val="008D1944"/>
    <w:rsid w:val="008D4564"/>
    <w:rsid w:val="008D5C57"/>
    <w:rsid w:val="008E2CDC"/>
    <w:rsid w:val="008E493B"/>
    <w:rsid w:val="008E64EC"/>
    <w:rsid w:val="008E7DB3"/>
    <w:rsid w:val="008F0D28"/>
    <w:rsid w:val="008F1D7E"/>
    <w:rsid w:val="008F204A"/>
    <w:rsid w:val="008F262B"/>
    <w:rsid w:val="008F3AE2"/>
    <w:rsid w:val="008F42ED"/>
    <w:rsid w:val="008F451A"/>
    <w:rsid w:val="008F4E01"/>
    <w:rsid w:val="008F513C"/>
    <w:rsid w:val="008F53B4"/>
    <w:rsid w:val="008F73AC"/>
    <w:rsid w:val="008F7A4B"/>
    <w:rsid w:val="00903A63"/>
    <w:rsid w:val="00904AE9"/>
    <w:rsid w:val="00904B8F"/>
    <w:rsid w:val="00905FD8"/>
    <w:rsid w:val="0091175D"/>
    <w:rsid w:val="009164CD"/>
    <w:rsid w:val="009179B4"/>
    <w:rsid w:val="00920AAB"/>
    <w:rsid w:val="009233F6"/>
    <w:rsid w:val="00923877"/>
    <w:rsid w:val="00924B10"/>
    <w:rsid w:val="00924DAA"/>
    <w:rsid w:val="00925DFA"/>
    <w:rsid w:val="00926179"/>
    <w:rsid w:val="00926281"/>
    <w:rsid w:val="00927934"/>
    <w:rsid w:val="00930E82"/>
    <w:rsid w:val="00933FD3"/>
    <w:rsid w:val="00934F5C"/>
    <w:rsid w:val="00937191"/>
    <w:rsid w:val="0093722C"/>
    <w:rsid w:val="009379C0"/>
    <w:rsid w:val="00940A55"/>
    <w:rsid w:val="00946181"/>
    <w:rsid w:val="00946DA0"/>
    <w:rsid w:val="00946EA3"/>
    <w:rsid w:val="00947B18"/>
    <w:rsid w:val="00950292"/>
    <w:rsid w:val="009529B1"/>
    <w:rsid w:val="009531B2"/>
    <w:rsid w:val="009546FE"/>
    <w:rsid w:val="00955023"/>
    <w:rsid w:val="00955E6E"/>
    <w:rsid w:val="0095674A"/>
    <w:rsid w:val="009624D7"/>
    <w:rsid w:val="0096257E"/>
    <w:rsid w:val="00962B71"/>
    <w:rsid w:val="00963545"/>
    <w:rsid w:val="00963DD3"/>
    <w:rsid w:val="0096452F"/>
    <w:rsid w:val="00964E6A"/>
    <w:rsid w:val="00965E2A"/>
    <w:rsid w:val="00966BF3"/>
    <w:rsid w:val="00967D6D"/>
    <w:rsid w:val="0097115F"/>
    <w:rsid w:val="00973510"/>
    <w:rsid w:val="00976B3F"/>
    <w:rsid w:val="00976DF6"/>
    <w:rsid w:val="00977907"/>
    <w:rsid w:val="009801F5"/>
    <w:rsid w:val="0098053F"/>
    <w:rsid w:val="00980835"/>
    <w:rsid w:val="0098083F"/>
    <w:rsid w:val="00982553"/>
    <w:rsid w:val="0098296A"/>
    <w:rsid w:val="00982AE9"/>
    <w:rsid w:val="00982F07"/>
    <w:rsid w:val="00983109"/>
    <w:rsid w:val="00984333"/>
    <w:rsid w:val="00984E00"/>
    <w:rsid w:val="00985913"/>
    <w:rsid w:val="009866F8"/>
    <w:rsid w:val="009874C0"/>
    <w:rsid w:val="00990253"/>
    <w:rsid w:val="00990FB6"/>
    <w:rsid w:val="009925AE"/>
    <w:rsid w:val="00992FB3"/>
    <w:rsid w:val="0099332E"/>
    <w:rsid w:val="00993617"/>
    <w:rsid w:val="00993846"/>
    <w:rsid w:val="009942AC"/>
    <w:rsid w:val="0099508D"/>
    <w:rsid w:val="00996D64"/>
    <w:rsid w:val="00997FE6"/>
    <w:rsid w:val="009A09BC"/>
    <w:rsid w:val="009A7D6A"/>
    <w:rsid w:val="009B31E9"/>
    <w:rsid w:val="009B6116"/>
    <w:rsid w:val="009B7F3B"/>
    <w:rsid w:val="009C0106"/>
    <w:rsid w:val="009C0841"/>
    <w:rsid w:val="009C09F7"/>
    <w:rsid w:val="009C63A1"/>
    <w:rsid w:val="009C7235"/>
    <w:rsid w:val="009C77C4"/>
    <w:rsid w:val="009D0B37"/>
    <w:rsid w:val="009D1E59"/>
    <w:rsid w:val="009D1F1F"/>
    <w:rsid w:val="009D3369"/>
    <w:rsid w:val="009D3757"/>
    <w:rsid w:val="009D5F91"/>
    <w:rsid w:val="009D7447"/>
    <w:rsid w:val="009D7A02"/>
    <w:rsid w:val="009E02B4"/>
    <w:rsid w:val="009E1184"/>
    <w:rsid w:val="009E1AB8"/>
    <w:rsid w:val="009E22CA"/>
    <w:rsid w:val="009E3FC5"/>
    <w:rsid w:val="009E73B3"/>
    <w:rsid w:val="009F0321"/>
    <w:rsid w:val="009F0394"/>
    <w:rsid w:val="009F0F58"/>
    <w:rsid w:val="009F2AE0"/>
    <w:rsid w:val="009F3928"/>
    <w:rsid w:val="009F43E8"/>
    <w:rsid w:val="009F4C51"/>
    <w:rsid w:val="009F4ECE"/>
    <w:rsid w:val="009F5608"/>
    <w:rsid w:val="009F5785"/>
    <w:rsid w:val="009F611F"/>
    <w:rsid w:val="009F6431"/>
    <w:rsid w:val="00A008C3"/>
    <w:rsid w:val="00A031BE"/>
    <w:rsid w:val="00A035A2"/>
    <w:rsid w:val="00A06AC2"/>
    <w:rsid w:val="00A07753"/>
    <w:rsid w:val="00A104FB"/>
    <w:rsid w:val="00A10E3F"/>
    <w:rsid w:val="00A10E90"/>
    <w:rsid w:val="00A11B69"/>
    <w:rsid w:val="00A1232C"/>
    <w:rsid w:val="00A16950"/>
    <w:rsid w:val="00A17D0F"/>
    <w:rsid w:val="00A2083F"/>
    <w:rsid w:val="00A21E28"/>
    <w:rsid w:val="00A241F1"/>
    <w:rsid w:val="00A262E0"/>
    <w:rsid w:val="00A275A1"/>
    <w:rsid w:val="00A301DB"/>
    <w:rsid w:val="00A316E1"/>
    <w:rsid w:val="00A328C4"/>
    <w:rsid w:val="00A32E0F"/>
    <w:rsid w:val="00A34005"/>
    <w:rsid w:val="00A34253"/>
    <w:rsid w:val="00A34D92"/>
    <w:rsid w:val="00A3680E"/>
    <w:rsid w:val="00A36D75"/>
    <w:rsid w:val="00A37261"/>
    <w:rsid w:val="00A40121"/>
    <w:rsid w:val="00A41996"/>
    <w:rsid w:val="00A4235D"/>
    <w:rsid w:val="00A44951"/>
    <w:rsid w:val="00A4636C"/>
    <w:rsid w:val="00A47F58"/>
    <w:rsid w:val="00A50616"/>
    <w:rsid w:val="00A50981"/>
    <w:rsid w:val="00A50E9A"/>
    <w:rsid w:val="00A518EA"/>
    <w:rsid w:val="00A527F6"/>
    <w:rsid w:val="00A52A75"/>
    <w:rsid w:val="00A536DE"/>
    <w:rsid w:val="00A551EA"/>
    <w:rsid w:val="00A55489"/>
    <w:rsid w:val="00A55585"/>
    <w:rsid w:val="00A566A4"/>
    <w:rsid w:val="00A63991"/>
    <w:rsid w:val="00A63CB5"/>
    <w:rsid w:val="00A63D36"/>
    <w:rsid w:val="00A654A3"/>
    <w:rsid w:val="00A6555B"/>
    <w:rsid w:val="00A722AA"/>
    <w:rsid w:val="00A722D9"/>
    <w:rsid w:val="00A72AE5"/>
    <w:rsid w:val="00A7331C"/>
    <w:rsid w:val="00A756A0"/>
    <w:rsid w:val="00A75711"/>
    <w:rsid w:val="00A75E17"/>
    <w:rsid w:val="00A76D04"/>
    <w:rsid w:val="00A7796E"/>
    <w:rsid w:val="00A80CF4"/>
    <w:rsid w:val="00A81951"/>
    <w:rsid w:val="00A839F2"/>
    <w:rsid w:val="00A8465C"/>
    <w:rsid w:val="00A84E6F"/>
    <w:rsid w:val="00A85F3A"/>
    <w:rsid w:val="00A90005"/>
    <w:rsid w:val="00A90DBE"/>
    <w:rsid w:val="00A910DF"/>
    <w:rsid w:val="00A914CA"/>
    <w:rsid w:val="00A930A2"/>
    <w:rsid w:val="00A936DA"/>
    <w:rsid w:val="00A946D1"/>
    <w:rsid w:val="00A952D2"/>
    <w:rsid w:val="00A95AC1"/>
    <w:rsid w:val="00A95B00"/>
    <w:rsid w:val="00A9712D"/>
    <w:rsid w:val="00A978FC"/>
    <w:rsid w:val="00AA09E4"/>
    <w:rsid w:val="00AA2866"/>
    <w:rsid w:val="00AA3CF9"/>
    <w:rsid w:val="00AA67BD"/>
    <w:rsid w:val="00AA6A76"/>
    <w:rsid w:val="00AA6BED"/>
    <w:rsid w:val="00AB0008"/>
    <w:rsid w:val="00AB01E9"/>
    <w:rsid w:val="00AB0DB9"/>
    <w:rsid w:val="00AB378B"/>
    <w:rsid w:val="00AB3E52"/>
    <w:rsid w:val="00AB49F8"/>
    <w:rsid w:val="00AB5511"/>
    <w:rsid w:val="00AB556D"/>
    <w:rsid w:val="00AB60D5"/>
    <w:rsid w:val="00AB62E9"/>
    <w:rsid w:val="00AB6E9A"/>
    <w:rsid w:val="00AC1FE2"/>
    <w:rsid w:val="00AC2F7D"/>
    <w:rsid w:val="00AC63F8"/>
    <w:rsid w:val="00AD159F"/>
    <w:rsid w:val="00AD3977"/>
    <w:rsid w:val="00AD43FF"/>
    <w:rsid w:val="00AD5E2B"/>
    <w:rsid w:val="00AE1CE3"/>
    <w:rsid w:val="00AE29B7"/>
    <w:rsid w:val="00AE5E3B"/>
    <w:rsid w:val="00AE7114"/>
    <w:rsid w:val="00AE7A88"/>
    <w:rsid w:val="00AF017D"/>
    <w:rsid w:val="00AF125B"/>
    <w:rsid w:val="00AF1329"/>
    <w:rsid w:val="00AF2820"/>
    <w:rsid w:val="00AF283E"/>
    <w:rsid w:val="00AF2C73"/>
    <w:rsid w:val="00AF4A52"/>
    <w:rsid w:val="00AF5954"/>
    <w:rsid w:val="00AF6D2F"/>
    <w:rsid w:val="00B0081D"/>
    <w:rsid w:val="00B0131B"/>
    <w:rsid w:val="00B02656"/>
    <w:rsid w:val="00B02F81"/>
    <w:rsid w:val="00B0379D"/>
    <w:rsid w:val="00B03A3D"/>
    <w:rsid w:val="00B064A9"/>
    <w:rsid w:val="00B0683C"/>
    <w:rsid w:val="00B11A3F"/>
    <w:rsid w:val="00B1310D"/>
    <w:rsid w:val="00B139C1"/>
    <w:rsid w:val="00B13D06"/>
    <w:rsid w:val="00B1494C"/>
    <w:rsid w:val="00B162EB"/>
    <w:rsid w:val="00B16847"/>
    <w:rsid w:val="00B16EE9"/>
    <w:rsid w:val="00B170F4"/>
    <w:rsid w:val="00B17EAE"/>
    <w:rsid w:val="00B2009A"/>
    <w:rsid w:val="00B20E54"/>
    <w:rsid w:val="00B22EE0"/>
    <w:rsid w:val="00B22F3E"/>
    <w:rsid w:val="00B2409B"/>
    <w:rsid w:val="00B24549"/>
    <w:rsid w:val="00B25CAC"/>
    <w:rsid w:val="00B25CF1"/>
    <w:rsid w:val="00B31EC5"/>
    <w:rsid w:val="00B323F1"/>
    <w:rsid w:val="00B34263"/>
    <w:rsid w:val="00B34792"/>
    <w:rsid w:val="00B35D0E"/>
    <w:rsid w:val="00B35FAE"/>
    <w:rsid w:val="00B36838"/>
    <w:rsid w:val="00B4058E"/>
    <w:rsid w:val="00B40C00"/>
    <w:rsid w:val="00B42CED"/>
    <w:rsid w:val="00B440E5"/>
    <w:rsid w:val="00B4421B"/>
    <w:rsid w:val="00B4743E"/>
    <w:rsid w:val="00B475C2"/>
    <w:rsid w:val="00B4763D"/>
    <w:rsid w:val="00B51E9D"/>
    <w:rsid w:val="00B52760"/>
    <w:rsid w:val="00B52D85"/>
    <w:rsid w:val="00B52E67"/>
    <w:rsid w:val="00B55B96"/>
    <w:rsid w:val="00B60914"/>
    <w:rsid w:val="00B6093A"/>
    <w:rsid w:val="00B649A6"/>
    <w:rsid w:val="00B65382"/>
    <w:rsid w:val="00B66941"/>
    <w:rsid w:val="00B71680"/>
    <w:rsid w:val="00B71996"/>
    <w:rsid w:val="00B76210"/>
    <w:rsid w:val="00B767B5"/>
    <w:rsid w:val="00B8171B"/>
    <w:rsid w:val="00B81878"/>
    <w:rsid w:val="00B81CC0"/>
    <w:rsid w:val="00B8224E"/>
    <w:rsid w:val="00B84C27"/>
    <w:rsid w:val="00B85245"/>
    <w:rsid w:val="00B853D1"/>
    <w:rsid w:val="00B85BCB"/>
    <w:rsid w:val="00B865F2"/>
    <w:rsid w:val="00B86DC5"/>
    <w:rsid w:val="00B878B5"/>
    <w:rsid w:val="00B90F20"/>
    <w:rsid w:val="00B925FC"/>
    <w:rsid w:val="00B94735"/>
    <w:rsid w:val="00B9530B"/>
    <w:rsid w:val="00B9572D"/>
    <w:rsid w:val="00B96003"/>
    <w:rsid w:val="00B972C1"/>
    <w:rsid w:val="00BA03D0"/>
    <w:rsid w:val="00BA0878"/>
    <w:rsid w:val="00BA0B6E"/>
    <w:rsid w:val="00BA1A3B"/>
    <w:rsid w:val="00BA23D8"/>
    <w:rsid w:val="00BA3901"/>
    <w:rsid w:val="00BA3C7D"/>
    <w:rsid w:val="00BA3FB3"/>
    <w:rsid w:val="00BA4CF4"/>
    <w:rsid w:val="00BA53CE"/>
    <w:rsid w:val="00BA5BB9"/>
    <w:rsid w:val="00BA7745"/>
    <w:rsid w:val="00BB0E4F"/>
    <w:rsid w:val="00BB4CF5"/>
    <w:rsid w:val="00BB58E5"/>
    <w:rsid w:val="00BB7358"/>
    <w:rsid w:val="00BB7378"/>
    <w:rsid w:val="00BB7523"/>
    <w:rsid w:val="00BB7C5F"/>
    <w:rsid w:val="00BC0357"/>
    <w:rsid w:val="00BC0B61"/>
    <w:rsid w:val="00BC177B"/>
    <w:rsid w:val="00BC19DD"/>
    <w:rsid w:val="00BC695C"/>
    <w:rsid w:val="00BC6F74"/>
    <w:rsid w:val="00BD1082"/>
    <w:rsid w:val="00BD15D4"/>
    <w:rsid w:val="00BD21C9"/>
    <w:rsid w:val="00BD24B9"/>
    <w:rsid w:val="00BD4EB4"/>
    <w:rsid w:val="00BD620D"/>
    <w:rsid w:val="00BD67F8"/>
    <w:rsid w:val="00BE0314"/>
    <w:rsid w:val="00BE0660"/>
    <w:rsid w:val="00BE0959"/>
    <w:rsid w:val="00BE09AF"/>
    <w:rsid w:val="00BE13C0"/>
    <w:rsid w:val="00BE2B4D"/>
    <w:rsid w:val="00BE3F1E"/>
    <w:rsid w:val="00BE4347"/>
    <w:rsid w:val="00BE4E76"/>
    <w:rsid w:val="00BE5763"/>
    <w:rsid w:val="00BE5F59"/>
    <w:rsid w:val="00BE5FD8"/>
    <w:rsid w:val="00BE7D39"/>
    <w:rsid w:val="00BF08BB"/>
    <w:rsid w:val="00BF6358"/>
    <w:rsid w:val="00BF6735"/>
    <w:rsid w:val="00BF6743"/>
    <w:rsid w:val="00BF6FF3"/>
    <w:rsid w:val="00C0030C"/>
    <w:rsid w:val="00C0165A"/>
    <w:rsid w:val="00C02461"/>
    <w:rsid w:val="00C046E1"/>
    <w:rsid w:val="00C04E03"/>
    <w:rsid w:val="00C05439"/>
    <w:rsid w:val="00C060A9"/>
    <w:rsid w:val="00C060AB"/>
    <w:rsid w:val="00C07C11"/>
    <w:rsid w:val="00C106FE"/>
    <w:rsid w:val="00C10928"/>
    <w:rsid w:val="00C11FC2"/>
    <w:rsid w:val="00C12554"/>
    <w:rsid w:val="00C12AE6"/>
    <w:rsid w:val="00C12FDD"/>
    <w:rsid w:val="00C16625"/>
    <w:rsid w:val="00C16F99"/>
    <w:rsid w:val="00C17B8A"/>
    <w:rsid w:val="00C17DCC"/>
    <w:rsid w:val="00C21DFD"/>
    <w:rsid w:val="00C23900"/>
    <w:rsid w:val="00C2666B"/>
    <w:rsid w:val="00C2672B"/>
    <w:rsid w:val="00C32301"/>
    <w:rsid w:val="00C32ACF"/>
    <w:rsid w:val="00C3565F"/>
    <w:rsid w:val="00C357B4"/>
    <w:rsid w:val="00C35EBE"/>
    <w:rsid w:val="00C377DC"/>
    <w:rsid w:val="00C40148"/>
    <w:rsid w:val="00C41250"/>
    <w:rsid w:val="00C417CB"/>
    <w:rsid w:val="00C4269E"/>
    <w:rsid w:val="00C42BF3"/>
    <w:rsid w:val="00C43E6A"/>
    <w:rsid w:val="00C45B7B"/>
    <w:rsid w:val="00C45C13"/>
    <w:rsid w:val="00C47931"/>
    <w:rsid w:val="00C52AA7"/>
    <w:rsid w:val="00C52B2F"/>
    <w:rsid w:val="00C53BBA"/>
    <w:rsid w:val="00C54AF2"/>
    <w:rsid w:val="00C54EDE"/>
    <w:rsid w:val="00C55386"/>
    <w:rsid w:val="00C5713A"/>
    <w:rsid w:val="00C61C5F"/>
    <w:rsid w:val="00C62274"/>
    <w:rsid w:val="00C62705"/>
    <w:rsid w:val="00C6291E"/>
    <w:rsid w:val="00C6513F"/>
    <w:rsid w:val="00C65D5D"/>
    <w:rsid w:val="00C6773F"/>
    <w:rsid w:val="00C705B2"/>
    <w:rsid w:val="00C71576"/>
    <w:rsid w:val="00C72E77"/>
    <w:rsid w:val="00C72FB6"/>
    <w:rsid w:val="00C7484C"/>
    <w:rsid w:val="00C760E2"/>
    <w:rsid w:val="00C76E8B"/>
    <w:rsid w:val="00C76FEB"/>
    <w:rsid w:val="00C81260"/>
    <w:rsid w:val="00C81FCA"/>
    <w:rsid w:val="00C82157"/>
    <w:rsid w:val="00C823B0"/>
    <w:rsid w:val="00C83F54"/>
    <w:rsid w:val="00C84251"/>
    <w:rsid w:val="00C84A61"/>
    <w:rsid w:val="00C863C7"/>
    <w:rsid w:val="00C869A9"/>
    <w:rsid w:val="00C86D5D"/>
    <w:rsid w:val="00C87245"/>
    <w:rsid w:val="00C908A1"/>
    <w:rsid w:val="00C91A45"/>
    <w:rsid w:val="00C93F8A"/>
    <w:rsid w:val="00C943C8"/>
    <w:rsid w:val="00C94517"/>
    <w:rsid w:val="00C951B8"/>
    <w:rsid w:val="00C9617F"/>
    <w:rsid w:val="00C966AF"/>
    <w:rsid w:val="00CA2208"/>
    <w:rsid w:val="00CA2B6E"/>
    <w:rsid w:val="00CA3599"/>
    <w:rsid w:val="00CA4CF3"/>
    <w:rsid w:val="00CA7E2B"/>
    <w:rsid w:val="00CB200A"/>
    <w:rsid w:val="00CB3010"/>
    <w:rsid w:val="00CB43B6"/>
    <w:rsid w:val="00CB48D0"/>
    <w:rsid w:val="00CB6B7C"/>
    <w:rsid w:val="00CB7793"/>
    <w:rsid w:val="00CC1BD3"/>
    <w:rsid w:val="00CC1C3F"/>
    <w:rsid w:val="00CC3575"/>
    <w:rsid w:val="00CC4BBC"/>
    <w:rsid w:val="00CC67A9"/>
    <w:rsid w:val="00CD3608"/>
    <w:rsid w:val="00CD5A0A"/>
    <w:rsid w:val="00CD7E39"/>
    <w:rsid w:val="00CD7E76"/>
    <w:rsid w:val="00CE2293"/>
    <w:rsid w:val="00CE2BE6"/>
    <w:rsid w:val="00CE4CEF"/>
    <w:rsid w:val="00CE5A9E"/>
    <w:rsid w:val="00CF06AD"/>
    <w:rsid w:val="00CF0C03"/>
    <w:rsid w:val="00CF1233"/>
    <w:rsid w:val="00CF15EE"/>
    <w:rsid w:val="00CF2069"/>
    <w:rsid w:val="00CF2515"/>
    <w:rsid w:val="00CF2B32"/>
    <w:rsid w:val="00CF4A68"/>
    <w:rsid w:val="00CF4BC2"/>
    <w:rsid w:val="00CF52B7"/>
    <w:rsid w:val="00CF7AF6"/>
    <w:rsid w:val="00D00F20"/>
    <w:rsid w:val="00D02058"/>
    <w:rsid w:val="00D0224B"/>
    <w:rsid w:val="00D03887"/>
    <w:rsid w:val="00D03F85"/>
    <w:rsid w:val="00D04635"/>
    <w:rsid w:val="00D05EB1"/>
    <w:rsid w:val="00D0637F"/>
    <w:rsid w:val="00D1140A"/>
    <w:rsid w:val="00D126B8"/>
    <w:rsid w:val="00D13064"/>
    <w:rsid w:val="00D13E0E"/>
    <w:rsid w:val="00D1407D"/>
    <w:rsid w:val="00D173ED"/>
    <w:rsid w:val="00D17DBE"/>
    <w:rsid w:val="00D21985"/>
    <w:rsid w:val="00D21DF7"/>
    <w:rsid w:val="00D23B38"/>
    <w:rsid w:val="00D26074"/>
    <w:rsid w:val="00D277DD"/>
    <w:rsid w:val="00D30262"/>
    <w:rsid w:val="00D311C2"/>
    <w:rsid w:val="00D31252"/>
    <w:rsid w:val="00D31AEC"/>
    <w:rsid w:val="00D32260"/>
    <w:rsid w:val="00D33754"/>
    <w:rsid w:val="00D34059"/>
    <w:rsid w:val="00D3614B"/>
    <w:rsid w:val="00D36553"/>
    <w:rsid w:val="00D40258"/>
    <w:rsid w:val="00D42464"/>
    <w:rsid w:val="00D42F4D"/>
    <w:rsid w:val="00D441EE"/>
    <w:rsid w:val="00D44C18"/>
    <w:rsid w:val="00D46A1D"/>
    <w:rsid w:val="00D46C13"/>
    <w:rsid w:val="00D47B0A"/>
    <w:rsid w:val="00D535DD"/>
    <w:rsid w:val="00D558AA"/>
    <w:rsid w:val="00D56145"/>
    <w:rsid w:val="00D62C94"/>
    <w:rsid w:val="00D638EA"/>
    <w:rsid w:val="00D63C53"/>
    <w:rsid w:val="00D657FB"/>
    <w:rsid w:val="00D66667"/>
    <w:rsid w:val="00D66F15"/>
    <w:rsid w:val="00D67FC3"/>
    <w:rsid w:val="00D70CDA"/>
    <w:rsid w:val="00D72FEB"/>
    <w:rsid w:val="00D730C0"/>
    <w:rsid w:val="00D7438B"/>
    <w:rsid w:val="00D74959"/>
    <w:rsid w:val="00D75C78"/>
    <w:rsid w:val="00D800C0"/>
    <w:rsid w:val="00D8025C"/>
    <w:rsid w:val="00D80708"/>
    <w:rsid w:val="00D810C2"/>
    <w:rsid w:val="00D82FFA"/>
    <w:rsid w:val="00D83068"/>
    <w:rsid w:val="00D8509B"/>
    <w:rsid w:val="00D863F5"/>
    <w:rsid w:val="00D90379"/>
    <w:rsid w:val="00D911A9"/>
    <w:rsid w:val="00D919F4"/>
    <w:rsid w:val="00D933CF"/>
    <w:rsid w:val="00D9344B"/>
    <w:rsid w:val="00D934E7"/>
    <w:rsid w:val="00D94258"/>
    <w:rsid w:val="00D94EE5"/>
    <w:rsid w:val="00D966FF"/>
    <w:rsid w:val="00D96A0C"/>
    <w:rsid w:val="00D97173"/>
    <w:rsid w:val="00DA10E7"/>
    <w:rsid w:val="00DA2004"/>
    <w:rsid w:val="00DA2619"/>
    <w:rsid w:val="00DA4E65"/>
    <w:rsid w:val="00DA57FE"/>
    <w:rsid w:val="00DA5E3E"/>
    <w:rsid w:val="00DA70AB"/>
    <w:rsid w:val="00DA7182"/>
    <w:rsid w:val="00DA78A6"/>
    <w:rsid w:val="00DB1B2C"/>
    <w:rsid w:val="00DB34ED"/>
    <w:rsid w:val="00DB40F1"/>
    <w:rsid w:val="00DB6A14"/>
    <w:rsid w:val="00DB7FD8"/>
    <w:rsid w:val="00DC2DDB"/>
    <w:rsid w:val="00DC4E14"/>
    <w:rsid w:val="00DC59A9"/>
    <w:rsid w:val="00DD0A73"/>
    <w:rsid w:val="00DD0D13"/>
    <w:rsid w:val="00DD3F73"/>
    <w:rsid w:val="00DD72D9"/>
    <w:rsid w:val="00DD7BEE"/>
    <w:rsid w:val="00DE23E4"/>
    <w:rsid w:val="00DE466D"/>
    <w:rsid w:val="00DE4851"/>
    <w:rsid w:val="00DE4927"/>
    <w:rsid w:val="00DE557D"/>
    <w:rsid w:val="00DE6B2C"/>
    <w:rsid w:val="00DE7196"/>
    <w:rsid w:val="00DE7B2C"/>
    <w:rsid w:val="00DF029E"/>
    <w:rsid w:val="00DF0BEC"/>
    <w:rsid w:val="00DF2DCB"/>
    <w:rsid w:val="00DF32D9"/>
    <w:rsid w:val="00DF3A7F"/>
    <w:rsid w:val="00DF4288"/>
    <w:rsid w:val="00DF4AC1"/>
    <w:rsid w:val="00DF5A54"/>
    <w:rsid w:val="00DF6F12"/>
    <w:rsid w:val="00E00F4A"/>
    <w:rsid w:val="00E02599"/>
    <w:rsid w:val="00E02633"/>
    <w:rsid w:val="00E03881"/>
    <w:rsid w:val="00E03B8A"/>
    <w:rsid w:val="00E04318"/>
    <w:rsid w:val="00E056DE"/>
    <w:rsid w:val="00E05E34"/>
    <w:rsid w:val="00E10E53"/>
    <w:rsid w:val="00E11E6A"/>
    <w:rsid w:val="00E133ED"/>
    <w:rsid w:val="00E13931"/>
    <w:rsid w:val="00E15104"/>
    <w:rsid w:val="00E16503"/>
    <w:rsid w:val="00E204E8"/>
    <w:rsid w:val="00E21B57"/>
    <w:rsid w:val="00E231F0"/>
    <w:rsid w:val="00E23F1E"/>
    <w:rsid w:val="00E25E24"/>
    <w:rsid w:val="00E277B3"/>
    <w:rsid w:val="00E303D2"/>
    <w:rsid w:val="00E30898"/>
    <w:rsid w:val="00E32C30"/>
    <w:rsid w:val="00E34000"/>
    <w:rsid w:val="00E407F3"/>
    <w:rsid w:val="00E42B07"/>
    <w:rsid w:val="00E434FD"/>
    <w:rsid w:val="00E449AA"/>
    <w:rsid w:val="00E45110"/>
    <w:rsid w:val="00E45E0F"/>
    <w:rsid w:val="00E46D75"/>
    <w:rsid w:val="00E47B66"/>
    <w:rsid w:val="00E51219"/>
    <w:rsid w:val="00E51C73"/>
    <w:rsid w:val="00E51DA0"/>
    <w:rsid w:val="00E52AEA"/>
    <w:rsid w:val="00E53107"/>
    <w:rsid w:val="00E5335F"/>
    <w:rsid w:val="00E54EC2"/>
    <w:rsid w:val="00E577F7"/>
    <w:rsid w:val="00E60741"/>
    <w:rsid w:val="00E60EB2"/>
    <w:rsid w:val="00E6206E"/>
    <w:rsid w:val="00E6273B"/>
    <w:rsid w:val="00E62C5C"/>
    <w:rsid w:val="00E64B51"/>
    <w:rsid w:val="00E67188"/>
    <w:rsid w:val="00E71AB7"/>
    <w:rsid w:val="00E71F1D"/>
    <w:rsid w:val="00E72BDB"/>
    <w:rsid w:val="00E73C0A"/>
    <w:rsid w:val="00E7460A"/>
    <w:rsid w:val="00E75BD2"/>
    <w:rsid w:val="00E76BF8"/>
    <w:rsid w:val="00E76FA6"/>
    <w:rsid w:val="00E819D2"/>
    <w:rsid w:val="00E8252B"/>
    <w:rsid w:val="00E82905"/>
    <w:rsid w:val="00E82E9C"/>
    <w:rsid w:val="00E8510D"/>
    <w:rsid w:val="00E85552"/>
    <w:rsid w:val="00E87C2F"/>
    <w:rsid w:val="00E906AF"/>
    <w:rsid w:val="00E912F6"/>
    <w:rsid w:val="00E91CFE"/>
    <w:rsid w:val="00E92F44"/>
    <w:rsid w:val="00E938EB"/>
    <w:rsid w:val="00E93F3E"/>
    <w:rsid w:val="00E94B09"/>
    <w:rsid w:val="00E95D4C"/>
    <w:rsid w:val="00E95E2B"/>
    <w:rsid w:val="00E97858"/>
    <w:rsid w:val="00EA0BCB"/>
    <w:rsid w:val="00EA1116"/>
    <w:rsid w:val="00EA2886"/>
    <w:rsid w:val="00EA2F24"/>
    <w:rsid w:val="00EA392D"/>
    <w:rsid w:val="00EA4091"/>
    <w:rsid w:val="00EA4D6D"/>
    <w:rsid w:val="00EA4FBC"/>
    <w:rsid w:val="00EA4FE6"/>
    <w:rsid w:val="00EA50BB"/>
    <w:rsid w:val="00EA5862"/>
    <w:rsid w:val="00EA6B57"/>
    <w:rsid w:val="00EA6D27"/>
    <w:rsid w:val="00EB03F0"/>
    <w:rsid w:val="00EB0AB1"/>
    <w:rsid w:val="00EB224E"/>
    <w:rsid w:val="00EB2B57"/>
    <w:rsid w:val="00EB313E"/>
    <w:rsid w:val="00EB4A77"/>
    <w:rsid w:val="00EB4AB2"/>
    <w:rsid w:val="00EB4ADD"/>
    <w:rsid w:val="00EB5351"/>
    <w:rsid w:val="00EB5522"/>
    <w:rsid w:val="00EB5E47"/>
    <w:rsid w:val="00EB62F4"/>
    <w:rsid w:val="00EC09E6"/>
    <w:rsid w:val="00EC13ED"/>
    <w:rsid w:val="00EC399F"/>
    <w:rsid w:val="00EC6B47"/>
    <w:rsid w:val="00EC70D2"/>
    <w:rsid w:val="00ED27CC"/>
    <w:rsid w:val="00ED37B7"/>
    <w:rsid w:val="00ED6A39"/>
    <w:rsid w:val="00EE181A"/>
    <w:rsid w:val="00EE26BA"/>
    <w:rsid w:val="00EE2DAC"/>
    <w:rsid w:val="00EE39D3"/>
    <w:rsid w:val="00EE3CF4"/>
    <w:rsid w:val="00EE3D21"/>
    <w:rsid w:val="00EE5021"/>
    <w:rsid w:val="00EE5719"/>
    <w:rsid w:val="00EE7192"/>
    <w:rsid w:val="00EF0648"/>
    <w:rsid w:val="00EF2B98"/>
    <w:rsid w:val="00EF2C2F"/>
    <w:rsid w:val="00EF4798"/>
    <w:rsid w:val="00EF579F"/>
    <w:rsid w:val="00EF638D"/>
    <w:rsid w:val="00EF65E0"/>
    <w:rsid w:val="00EF6999"/>
    <w:rsid w:val="00EF7E99"/>
    <w:rsid w:val="00F000DF"/>
    <w:rsid w:val="00F0089A"/>
    <w:rsid w:val="00F01141"/>
    <w:rsid w:val="00F01BB0"/>
    <w:rsid w:val="00F02334"/>
    <w:rsid w:val="00F04244"/>
    <w:rsid w:val="00F13638"/>
    <w:rsid w:val="00F141FD"/>
    <w:rsid w:val="00F14205"/>
    <w:rsid w:val="00F14785"/>
    <w:rsid w:val="00F160C8"/>
    <w:rsid w:val="00F22DEA"/>
    <w:rsid w:val="00F260B7"/>
    <w:rsid w:val="00F275A3"/>
    <w:rsid w:val="00F30686"/>
    <w:rsid w:val="00F315D9"/>
    <w:rsid w:val="00F31E41"/>
    <w:rsid w:val="00F334DC"/>
    <w:rsid w:val="00F33964"/>
    <w:rsid w:val="00F342F9"/>
    <w:rsid w:val="00F34464"/>
    <w:rsid w:val="00F34EF3"/>
    <w:rsid w:val="00F36032"/>
    <w:rsid w:val="00F3702F"/>
    <w:rsid w:val="00F37A3F"/>
    <w:rsid w:val="00F37AE8"/>
    <w:rsid w:val="00F405E0"/>
    <w:rsid w:val="00F40E17"/>
    <w:rsid w:val="00F4198F"/>
    <w:rsid w:val="00F41C48"/>
    <w:rsid w:val="00F43A83"/>
    <w:rsid w:val="00F44691"/>
    <w:rsid w:val="00F467A3"/>
    <w:rsid w:val="00F4690D"/>
    <w:rsid w:val="00F47475"/>
    <w:rsid w:val="00F50768"/>
    <w:rsid w:val="00F51F95"/>
    <w:rsid w:val="00F533B1"/>
    <w:rsid w:val="00F540DA"/>
    <w:rsid w:val="00F5532A"/>
    <w:rsid w:val="00F564C2"/>
    <w:rsid w:val="00F6134A"/>
    <w:rsid w:val="00F619E2"/>
    <w:rsid w:val="00F620B7"/>
    <w:rsid w:val="00F625D3"/>
    <w:rsid w:val="00F64146"/>
    <w:rsid w:val="00F66167"/>
    <w:rsid w:val="00F722EA"/>
    <w:rsid w:val="00F72A52"/>
    <w:rsid w:val="00F73908"/>
    <w:rsid w:val="00F74A35"/>
    <w:rsid w:val="00F7589C"/>
    <w:rsid w:val="00F761B1"/>
    <w:rsid w:val="00F7633C"/>
    <w:rsid w:val="00F76859"/>
    <w:rsid w:val="00F805AC"/>
    <w:rsid w:val="00F82B72"/>
    <w:rsid w:val="00F82FFC"/>
    <w:rsid w:val="00F834FD"/>
    <w:rsid w:val="00F84326"/>
    <w:rsid w:val="00F84ECF"/>
    <w:rsid w:val="00F853D3"/>
    <w:rsid w:val="00F85445"/>
    <w:rsid w:val="00F8719B"/>
    <w:rsid w:val="00F9251D"/>
    <w:rsid w:val="00F945C3"/>
    <w:rsid w:val="00F948EF"/>
    <w:rsid w:val="00F963C8"/>
    <w:rsid w:val="00FA02D3"/>
    <w:rsid w:val="00FA3AB1"/>
    <w:rsid w:val="00FA3BB7"/>
    <w:rsid w:val="00FA400D"/>
    <w:rsid w:val="00FA4728"/>
    <w:rsid w:val="00FA4ACE"/>
    <w:rsid w:val="00FA70C8"/>
    <w:rsid w:val="00FA76A1"/>
    <w:rsid w:val="00FB1325"/>
    <w:rsid w:val="00FB2B7A"/>
    <w:rsid w:val="00FB4257"/>
    <w:rsid w:val="00FB7CC0"/>
    <w:rsid w:val="00FC0EC5"/>
    <w:rsid w:val="00FC2A0E"/>
    <w:rsid w:val="00FC2B14"/>
    <w:rsid w:val="00FC2BDD"/>
    <w:rsid w:val="00FC4B3E"/>
    <w:rsid w:val="00FC66D5"/>
    <w:rsid w:val="00FC735A"/>
    <w:rsid w:val="00FC7F05"/>
    <w:rsid w:val="00FD0915"/>
    <w:rsid w:val="00FD1D7D"/>
    <w:rsid w:val="00FD22CE"/>
    <w:rsid w:val="00FD546E"/>
    <w:rsid w:val="00FD78C1"/>
    <w:rsid w:val="00FD7F5F"/>
    <w:rsid w:val="00FE0C86"/>
    <w:rsid w:val="00FE12C4"/>
    <w:rsid w:val="00FE17C1"/>
    <w:rsid w:val="00FE29DD"/>
    <w:rsid w:val="00FE3F09"/>
    <w:rsid w:val="00FE445C"/>
    <w:rsid w:val="00FE4E42"/>
    <w:rsid w:val="00FE5A38"/>
    <w:rsid w:val="00FE6E95"/>
    <w:rsid w:val="00FE763A"/>
    <w:rsid w:val="00FE7FC7"/>
    <w:rsid w:val="00FF255E"/>
    <w:rsid w:val="00FF28F9"/>
    <w:rsid w:val="00FF3F31"/>
    <w:rsid w:val="00FF40C4"/>
    <w:rsid w:val="00FF4311"/>
    <w:rsid w:val="00FF70A1"/>
    <w:rsid w:val="010819D1"/>
    <w:rsid w:val="01304244"/>
    <w:rsid w:val="02307EF8"/>
    <w:rsid w:val="02544924"/>
    <w:rsid w:val="02EB438D"/>
    <w:rsid w:val="0303470D"/>
    <w:rsid w:val="031409F3"/>
    <w:rsid w:val="035F3357"/>
    <w:rsid w:val="03AF3052"/>
    <w:rsid w:val="03C755C8"/>
    <w:rsid w:val="04350667"/>
    <w:rsid w:val="044B7279"/>
    <w:rsid w:val="04A45C4F"/>
    <w:rsid w:val="04B21BF7"/>
    <w:rsid w:val="05252754"/>
    <w:rsid w:val="052B3B07"/>
    <w:rsid w:val="054A5FE4"/>
    <w:rsid w:val="05E37A94"/>
    <w:rsid w:val="06443C15"/>
    <w:rsid w:val="06643A39"/>
    <w:rsid w:val="066E79B1"/>
    <w:rsid w:val="067510B1"/>
    <w:rsid w:val="06CE0EF7"/>
    <w:rsid w:val="06EF5FA7"/>
    <w:rsid w:val="071F0385"/>
    <w:rsid w:val="077B7BED"/>
    <w:rsid w:val="07954DAB"/>
    <w:rsid w:val="0804415C"/>
    <w:rsid w:val="086732B0"/>
    <w:rsid w:val="08AC5F65"/>
    <w:rsid w:val="08E25023"/>
    <w:rsid w:val="09404714"/>
    <w:rsid w:val="095D7506"/>
    <w:rsid w:val="09947BB6"/>
    <w:rsid w:val="0ABD5CB8"/>
    <w:rsid w:val="0B7902A0"/>
    <w:rsid w:val="0C89157E"/>
    <w:rsid w:val="0C907A2C"/>
    <w:rsid w:val="0C971FB2"/>
    <w:rsid w:val="0CEE0D5D"/>
    <w:rsid w:val="0CF55566"/>
    <w:rsid w:val="0D0C02F3"/>
    <w:rsid w:val="0D3474A6"/>
    <w:rsid w:val="0D533E69"/>
    <w:rsid w:val="0DF92A22"/>
    <w:rsid w:val="0E07224C"/>
    <w:rsid w:val="0E0E2454"/>
    <w:rsid w:val="0E563DA7"/>
    <w:rsid w:val="0EA51541"/>
    <w:rsid w:val="0F07612A"/>
    <w:rsid w:val="0F3277B0"/>
    <w:rsid w:val="0F3D55FC"/>
    <w:rsid w:val="0F6D5F8C"/>
    <w:rsid w:val="0F886264"/>
    <w:rsid w:val="0F935E54"/>
    <w:rsid w:val="0F996F43"/>
    <w:rsid w:val="0FA92DD9"/>
    <w:rsid w:val="0FA965BD"/>
    <w:rsid w:val="1004525D"/>
    <w:rsid w:val="1039353C"/>
    <w:rsid w:val="11226D2F"/>
    <w:rsid w:val="1123036F"/>
    <w:rsid w:val="114660D7"/>
    <w:rsid w:val="11802B43"/>
    <w:rsid w:val="11EA2847"/>
    <w:rsid w:val="12003B80"/>
    <w:rsid w:val="123A74BE"/>
    <w:rsid w:val="12B9391D"/>
    <w:rsid w:val="12CE037F"/>
    <w:rsid w:val="131829BB"/>
    <w:rsid w:val="135A2759"/>
    <w:rsid w:val="136D0A60"/>
    <w:rsid w:val="1378413C"/>
    <w:rsid w:val="13883725"/>
    <w:rsid w:val="13D53CF1"/>
    <w:rsid w:val="13E84B59"/>
    <w:rsid w:val="140C16CA"/>
    <w:rsid w:val="14153273"/>
    <w:rsid w:val="143741B2"/>
    <w:rsid w:val="144E0A56"/>
    <w:rsid w:val="145B41CA"/>
    <w:rsid w:val="147871DB"/>
    <w:rsid w:val="1489533D"/>
    <w:rsid w:val="14D94FDD"/>
    <w:rsid w:val="15764E82"/>
    <w:rsid w:val="164D4854"/>
    <w:rsid w:val="174A781C"/>
    <w:rsid w:val="17C35EC6"/>
    <w:rsid w:val="181B353F"/>
    <w:rsid w:val="18D2416B"/>
    <w:rsid w:val="194E22CD"/>
    <w:rsid w:val="19EA26E0"/>
    <w:rsid w:val="1A1869EC"/>
    <w:rsid w:val="1B051BC1"/>
    <w:rsid w:val="1B2A2D4C"/>
    <w:rsid w:val="1B911858"/>
    <w:rsid w:val="1B93209C"/>
    <w:rsid w:val="1BB40B11"/>
    <w:rsid w:val="1C630189"/>
    <w:rsid w:val="1CE94B99"/>
    <w:rsid w:val="1DB93C4F"/>
    <w:rsid w:val="1E0C634C"/>
    <w:rsid w:val="1E2C2580"/>
    <w:rsid w:val="1EDB6831"/>
    <w:rsid w:val="1F4D0ABE"/>
    <w:rsid w:val="20036A63"/>
    <w:rsid w:val="204479BD"/>
    <w:rsid w:val="208E0D42"/>
    <w:rsid w:val="216B5051"/>
    <w:rsid w:val="218000F4"/>
    <w:rsid w:val="21882B72"/>
    <w:rsid w:val="21E12B77"/>
    <w:rsid w:val="23392F36"/>
    <w:rsid w:val="23526274"/>
    <w:rsid w:val="23FE1639"/>
    <w:rsid w:val="24B56A2B"/>
    <w:rsid w:val="24EC69AE"/>
    <w:rsid w:val="25084DD5"/>
    <w:rsid w:val="262C2B94"/>
    <w:rsid w:val="2632462D"/>
    <w:rsid w:val="266B0F7A"/>
    <w:rsid w:val="269763CF"/>
    <w:rsid w:val="26AC4F0E"/>
    <w:rsid w:val="26EE3645"/>
    <w:rsid w:val="27D45761"/>
    <w:rsid w:val="283110C3"/>
    <w:rsid w:val="285555A3"/>
    <w:rsid w:val="28E4523A"/>
    <w:rsid w:val="29063F5C"/>
    <w:rsid w:val="290748D0"/>
    <w:rsid w:val="29FD6555"/>
    <w:rsid w:val="2A135451"/>
    <w:rsid w:val="2A7D2445"/>
    <w:rsid w:val="2AE574F6"/>
    <w:rsid w:val="2B5860A4"/>
    <w:rsid w:val="2B8E6B7A"/>
    <w:rsid w:val="2BF674AC"/>
    <w:rsid w:val="2C0E3DA3"/>
    <w:rsid w:val="2C2A77A2"/>
    <w:rsid w:val="2CC307E4"/>
    <w:rsid w:val="2CD262A4"/>
    <w:rsid w:val="2F025064"/>
    <w:rsid w:val="2F325265"/>
    <w:rsid w:val="30186C86"/>
    <w:rsid w:val="303E7EDD"/>
    <w:rsid w:val="309A3A90"/>
    <w:rsid w:val="31023406"/>
    <w:rsid w:val="32601289"/>
    <w:rsid w:val="3296315A"/>
    <w:rsid w:val="33070101"/>
    <w:rsid w:val="3321571D"/>
    <w:rsid w:val="33493941"/>
    <w:rsid w:val="33E3271D"/>
    <w:rsid w:val="351006EC"/>
    <w:rsid w:val="35704335"/>
    <w:rsid w:val="35814546"/>
    <w:rsid w:val="36144C64"/>
    <w:rsid w:val="362D7C1A"/>
    <w:rsid w:val="368F302C"/>
    <w:rsid w:val="36C455D1"/>
    <w:rsid w:val="36EE0DE7"/>
    <w:rsid w:val="37027566"/>
    <w:rsid w:val="372C721E"/>
    <w:rsid w:val="37646901"/>
    <w:rsid w:val="37E17D8A"/>
    <w:rsid w:val="37FA7BAC"/>
    <w:rsid w:val="386A6C68"/>
    <w:rsid w:val="38E0758C"/>
    <w:rsid w:val="38F71FB3"/>
    <w:rsid w:val="3A4E094C"/>
    <w:rsid w:val="3A51269F"/>
    <w:rsid w:val="3A5F0288"/>
    <w:rsid w:val="3AAB32D9"/>
    <w:rsid w:val="3B325303"/>
    <w:rsid w:val="3B4964DA"/>
    <w:rsid w:val="3B620187"/>
    <w:rsid w:val="3C960765"/>
    <w:rsid w:val="3CA874EC"/>
    <w:rsid w:val="3E2479B2"/>
    <w:rsid w:val="3E8D6CFE"/>
    <w:rsid w:val="3EDF5A8C"/>
    <w:rsid w:val="3F3A0E06"/>
    <w:rsid w:val="3F9A49DD"/>
    <w:rsid w:val="3FA64D53"/>
    <w:rsid w:val="3FD10DE4"/>
    <w:rsid w:val="3FDC379E"/>
    <w:rsid w:val="40873272"/>
    <w:rsid w:val="408C5CF7"/>
    <w:rsid w:val="40D064AD"/>
    <w:rsid w:val="40E443F0"/>
    <w:rsid w:val="415B52E5"/>
    <w:rsid w:val="41FE6F28"/>
    <w:rsid w:val="431D0B2E"/>
    <w:rsid w:val="43790120"/>
    <w:rsid w:val="43A316F5"/>
    <w:rsid w:val="447558D0"/>
    <w:rsid w:val="449A2F54"/>
    <w:rsid w:val="451161A2"/>
    <w:rsid w:val="452A66C2"/>
    <w:rsid w:val="460339CB"/>
    <w:rsid w:val="4674148B"/>
    <w:rsid w:val="46D34757"/>
    <w:rsid w:val="47072008"/>
    <w:rsid w:val="474D3D67"/>
    <w:rsid w:val="47726387"/>
    <w:rsid w:val="47C80750"/>
    <w:rsid w:val="481013BA"/>
    <w:rsid w:val="48783C5E"/>
    <w:rsid w:val="48CA770B"/>
    <w:rsid w:val="48E06450"/>
    <w:rsid w:val="48F56E07"/>
    <w:rsid w:val="49946D49"/>
    <w:rsid w:val="4A6F143F"/>
    <w:rsid w:val="4B2C4193"/>
    <w:rsid w:val="4B386C12"/>
    <w:rsid w:val="4B8E4804"/>
    <w:rsid w:val="4BB36430"/>
    <w:rsid w:val="4BCC7DFE"/>
    <w:rsid w:val="4C137FE4"/>
    <w:rsid w:val="4C626007"/>
    <w:rsid w:val="4C9F200D"/>
    <w:rsid w:val="4D5555CF"/>
    <w:rsid w:val="4D926624"/>
    <w:rsid w:val="4DB021D1"/>
    <w:rsid w:val="4DF915A9"/>
    <w:rsid w:val="4FBB77AC"/>
    <w:rsid w:val="4FE47B7C"/>
    <w:rsid w:val="4FEB7C3C"/>
    <w:rsid w:val="500A0A6B"/>
    <w:rsid w:val="5080609C"/>
    <w:rsid w:val="50EC553D"/>
    <w:rsid w:val="517B2A06"/>
    <w:rsid w:val="51BC69CC"/>
    <w:rsid w:val="51E67819"/>
    <w:rsid w:val="534F36A0"/>
    <w:rsid w:val="53A05C55"/>
    <w:rsid w:val="53EC1B47"/>
    <w:rsid w:val="540D6EA7"/>
    <w:rsid w:val="544454DE"/>
    <w:rsid w:val="54673350"/>
    <w:rsid w:val="547D58EC"/>
    <w:rsid w:val="54B31DC3"/>
    <w:rsid w:val="54D0673E"/>
    <w:rsid w:val="55395CA9"/>
    <w:rsid w:val="556754E7"/>
    <w:rsid w:val="5570302C"/>
    <w:rsid w:val="55863E98"/>
    <w:rsid w:val="567815B0"/>
    <w:rsid w:val="569079DA"/>
    <w:rsid w:val="56A10230"/>
    <w:rsid w:val="56D713F2"/>
    <w:rsid w:val="57A65BC7"/>
    <w:rsid w:val="57CD74EE"/>
    <w:rsid w:val="589B063A"/>
    <w:rsid w:val="58E57A57"/>
    <w:rsid w:val="59E43BF7"/>
    <w:rsid w:val="5A0905E7"/>
    <w:rsid w:val="5A22222D"/>
    <w:rsid w:val="5AB34059"/>
    <w:rsid w:val="5ABF339E"/>
    <w:rsid w:val="5ACF2EC5"/>
    <w:rsid w:val="5B175A77"/>
    <w:rsid w:val="5B9358F9"/>
    <w:rsid w:val="5BC1366C"/>
    <w:rsid w:val="5BEE05B4"/>
    <w:rsid w:val="5CB05AFF"/>
    <w:rsid w:val="5CF9060F"/>
    <w:rsid w:val="5D102119"/>
    <w:rsid w:val="5D145EF2"/>
    <w:rsid w:val="5E42593F"/>
    <w:rsid w:val="5E6519E9"/>
    <w:rsid w:val="5E9F17BB"/>
    <w:rsid w:val="5EB70868"/>
    <w:rsid w:val="5EF25FCE"/>
    <w:rsid w:val="5EFF5073"/>
    <w:rsid w:val="5F3801F9"/>
    <w:rsid w:val="5F8164D1"/>
    <w:rsid w:val="5FE523B5"/>
    <w:rsid w:val="61946648"/>
    <w:rsid w:val="61CA6D68"/>
    <w:rsid w:val="61CC4858"/>
    <w:rsid w:val="61E32EEC"/>
    <w:rsid w:val="6211113E"/>
    <w:rsid w:val="622060F1"/>
    <w:rsid w:val="62617FEE"/>
    <w:rsid w:val="62965026"/>
    <w:rsid w:val="63564431"/>
    <w:rsid w:val="63696D54"/>
    <w:rsid w:val="63ED743A"/>
    <w:rsid w:val="63FA0666"/>
    <w:rsid w:val="6473217A"/>
    <w:rsid w:val="650940AE"/>
    <w:rsid w:val="65FD713C"/>
    <w:rsid w:val="66441466"/>
    <w:rsid w:val="6668369D"/>
    <w:rsid w:val="66813825"/>
    <w:rsid w:val="66CC55FC"/>
    <w:rsid w:val="66FD31BE"/>
    <w:rsid w:val="674268B9"/>
    <w:rsid w:val="677E4F0A"/>
    <w:rsid w:val="67C22ED1"/>
    <w:rsid w:val="68115094"/>
    <w:rsid w:val="68F55A2E"/>
    <w:rsid w:val="69405ED8"/>
    <w:rsid w:val="69813C8C"/>
    <w:rsid w:val="6A111BFE"/>
    <w:rsid w:val="6A295311"/>
    <w:rsid w:val="6A357C11"/>
    <w:rsid w:val="6A7A03D3"/>
    <w:rsid w:val="6AC9693F"/>
    <w:rsid w:val="6AD1646B"/>
    <w:rsid w:val="6B046975"/>
    <w:rsid w:val="6B0A0175"/>
    <w:rsid w:val="6B493792"/>
    <w:rsid w:val="6B5848DC"/>
    <w:rsid w:val="6B9A4F39"/>
    <w:rsid w:val="6CB34331"/>
    <w:rsid w:val="6CF47EB3"/>
    <w:rsid w:val="6D17795D"/>
    <w:rsid w:val="6D354FA7"/>
    <w:rsid w:val="6D974C8B"/>
    <w:rsid w:val="6DCD3950"/>
    <w:rsid w:val="6E232E32"/>
    <w:rsid w:val="6E786012"/>
    <w:rsid w:val="6E8D3B41"/>
    <w:rsid w:val="6E9548D7"/>
    <w:rsid w:val="6EBA53A2"/>
    <w:rsid w:val="70592A0B"/>
    <w:rsid w:val="706B564F"/>
    <w:rsid w:val="7078619A"/>
    <w:rsid w:val="70DA559E"/>
    <w:rsid w:val="70E02899"/>
    <w:rsid w:val="70F6375A"/>
    <w:rsid w:val="71050512"/>
    <w:rsid w:val="71684121"/>
    <w:rsid w:val="717F5631"/>
    <w:rsid w:val="71A64D4E"/>
    <w:rsid w:val="72414D33"/>
    <w:rsid w:val="72934DC4"/>
    <w:rsid w:val="72A75765"/>
    <w:rsid w:val="72C85CB5"/>
    <w:rsid w:val="72F73EBA"/>
    <w:rsid w:val="73614E5A"/>
    <w:rsid w:val="73693294"/>
    <w:rsid w:val="738D03C4"/>
    <w:rsid w:val="73BA0613"/>
    <w:rsid w:val="74266B51"/>
    <w:rsid w:val="74BA3876"/>
    <w:rsid w:val="74E20EC6"/>
    <w:rsid w:val="74EC3792"/>
    <w:rsid w:val="75195B83"/>
    <w:rsid w:val="755A4191"/>
    <w:rsid w:val="75863235"/>
    <w:rsid w:val="768C78E1"/>
    <w:rsid w:val="76A41215"/>
    <w:rsid w:val="77273FEC"/>
    <w:rsid w:val="779E2803"/>
    <w:rsid w:val="77DD1B2C"/>
    <w:rsid w:val="788D034B"/>
    <w:rsid w:val="78AD2016"/>
    <w:rsid w:val="78D807ED"/>
    <w:rsid w:val="790E6931"/>
    <w:rsid w:val="791D3FEF"/>
    <w:rsid w:val="791F5DA2"/>
    <w:rsid w:val="799A0E53"/>
    <w:rsid w:val="799D745B"/>
    <w:rsid w:val="7A100641"/>
    <w:rsid w:val="7A7467D0"/>
    <w:rsid w:val="7A907550"/>
    <w:rsid w:val="7B690A3D"/>
    <w:rsid w:val="7BBD2FF8"/>
    <w:rsid w:val="7C3B025C"/>
    <w:rsid w:val="7C496C43"/>
    <w:rsid w:val="7D4C3037"/>
    <w:rsid w:val="7D542B61"/>
    <w:rsid w:val="7D6B3C0C"/>
    <w:rsid w:val="7DB61673"/>
    <w:rsid w:val="7E836435"/>
    <w:rsid w:val="7EBF5C5D"/>
    <w:rsid w:val="7EFB34E1"/>
    <w:rsid w:val="7F6853F7"/>
    <w:rsid w:val="7FC479A0"/>
    <w:rsid w:val="7FF7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22"/>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4">
    <w:name w:val="heading 2"/>
    <w:basedOn w:val="1"/>
    <w:next w:val="1"/>
    <w:link w:val="373"/>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5">
    <w:name w:val="heading 3"/>
    <w:basedOn w:val="1"/>
    <w:next w:val="6"/>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7">
    <w:name w:val="heading 4"/>
    <w:basedOn w:val="1"/>
    <w:next w:val="1"/>
    <w:link w:val="445"/>
    <w:qFormat/>
    <w:uiPriority w:val="0"/>
    <w:pPr>
      <w:keepLines/>
      <w:widowControl/>
      <w:spacing w:before="280" w:after="290" w:line="372" w:lineRule="auto"/>
      <w:outlineLvl w:val="3"/>
    </w:pPr>
    <w:rPr>
      <w:rFonts w:ascii="Arial" w:hAnsi="Arial" w:eastAsia="黑体"/>
      <w:b/>
      <w:color w:val="000000"/>
      <w:sz w:val="28"/>
      <w:szCs w:val="20"/>
    </w:rPr>
  </w:style>
  <w:style w:type="paragraph" w:styleId="8">
    <w:name w:val="heading 5"/>
    <w:basedOn w:val="1"/>
    <w:next w:val="1"/>
    <w:link w:val="446"/>
    <w:qFormat/>
    <w:uiPriority w:val="0"/>
    <w:pPr>
      <w:keepLines/>
      <w:widowControl/>
      <w:spacing w:before="280" w:after="290" w:line="372" w:lineRule="auto"/>
      <w:outlineLvl w:val="4"/>
    </w:pPr>
    <w:rPr>
      <w:b/>
      <w:color w:val="000000"/>
      <w:sz w:val="28"/>
      <w:szCs w:val="20"/>
    </w:rPr>
  </w:style>
  <w:style w:type="paragraph" w:styleId="9">
    <w:name w:val="heading 6"/>
    <w:basedOn w:val="1"/>
    <w:next w:val="1"/>
    <w:link w:val="423"/>
    <w:qFormat/>
    <w:uiPriority w:val="0"/>
    <w:pPr>
      <w:keepLines/>
      <w:widowControl/>
      <w:spacing w:before="240" w:after="64" w:line="312" w:lineRule="auto"/>
      <w:outlineLvl w:val="5"/>
    </w:pPr>
    <w:rPr>
      <w:rFonts w:ascii="Arial" w:hAnsi="Arial" w:eastAsia="黑体"/>
      <w:b/>
      <w:color w:val="000000"/>
      <w:sz w:val="24"/>
      <w:szCs w:val="20"/>
    </w:rPr>
  </w:style>
  <w:style w:type="paragraph" w:styleId="10">
    <w:name w:val="heading 7"/>
    <w:basedOn w:val="1"/>
    <w:next w:val="1"/>
    <w:link w:val="447"/>
    <w:qFormat/>
    <w:uiPriority w:val="0"/>
    <w:pPr>
      <w:keepLines/>
      <w:widowControl/>
      <w:spacing w:before="240" w:after="64" w:line="312" w:lineRule="auto"/>
      <w:outlineLvl w:val="6"/>
    </w:pPr>
    <w:rPr>
      <w:b/>
      <w:color w:val="000000"/>
      <w:sz w:val="24"/>
      <w:szCs w:val="20"/>
    </w:rPr>
  </w:style>
  <w:style w:type="paragraph" w:styleId="11">
    <w:name w:val="heading 8"/>
    <w:basedOn w:val="1"/>
    <w:next w:val="1"/>
    <w:link w:val="424"/>
    <w:qFormat/>
    <w:uiPriority w:val="0"/>
    <w:pPr>
      <w:keepLines/>
      <w:widowControl/>
      <w:spacing w:before="240" w:after="64" w:line="312" w:lineRule="auto"/>
      <w:outlineLvl w:val="7"/>
    </w:pPr>
    <w:rPr>
      <w:rFonts w:ascii="Arial" w:hAnsi="Arial" w:eastAsia="黑体"/>
      <w:color w:val="000000"/>
      <w:sz w:val="24"/>
      <w:szCs w:val="20"/>
    </w:rPr>
  </w:style>
  <w:style w:type="paragraph" w:styleId="12">
    <w:name w:val="heading 9"/>
    <w:basedOn w:val="1"/>
    <w:next w:val="1"/>
    <w:link w:val="448"/>
    <w:qFormat/>
    <w:uiPriority w:val="0"/>
    <w:pPr>
      <w:keepLines/>
      <w:widowControl/>
      <w:spacing w:before="240" w:after="64" w:line="312" w:lineRule="auto"/>
      <w:outlineLvl w:val="8"/>
    </w:pPr>
    <w:rPr>
      <w:rFonts w:ascii="Arial" w:hAnsi="Arial" w:eastAsia="黑体"/>
      <w:color w:val="000000"/>
      <w:szCs w:val="20"/>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449"/>
    <w:qFormat/>
    <w:uiPriority w:val="0"/>
    <w:pPr>
      <w:ind w:firstLine="540"/>
    </w:pPr>
    <w:rPr>
      <w:sz w:val="28"/>
      <w:szCs w:val="20"/>
    </w:rPr>
  </w:style>
  <w:style w:type="paragraph" w:styleId="6">
    <w:name w:val="Normal Indent"/>
    <w:basedOn w:val="1"/>
    <w:link w:val="444"/>
    <w:qFormat/>
    <w:uiPriority w:val="0"/>
    <w:pPr>
      <w:ind w:firstLine="420"/>
    </w:pPr>
    <w:rPr>
      <w:rFonts w:ascii="Times New Roman" w:hAnsi="Times New Roman"/>
      <w:szCs w:val="20"/>
    </w:rPr>
  </w:style>
  <w:style w:type="paragraph" w:styleId="13">
    <w:name w:val="annotation subject"/>
    <w:basedOn w:val="14"/>
    <w:next w:val="14"/>
    <w:link w:val="367"/>
    <w:qFormat/>
    <w:uiPriority w:val="0"/>
    <w:rPr>
      <w:b/>
      <w:bCs/>
    </w:rPr>
  </w:style>
  <w:style w:type="paragraph" w:styleId="14">
    <w:name w:val="annotation text"/>
    <w:basedOn w:val="1"/>
    <w:link w:val="357"/>
    <w:qFormat/>
    <w:uiPriority w:val="0"/>
    <w:pPr>
      <w:jc w:val="left"/>
    </w:pPr>
  </w:style>
  <w:style w:type="paragraph" w:styleId="15">
    <w:name w:val="toc 7"/>
    <w:basedOn w:val="1"/>
    <w:next w:val="1"/>
    <w:unhideWhenUsed/>
    <w:qFormat/>
    <w:uiPriority w:val="39"/>
    <w:pPr>
      <w:ind w:left="1260"/>
      <w:jc w:val="left"/>
    </w:pPr>
    <w:rPr>
      <w:sz w:val="18"/>
      <w:szCs w:val="18"/>
    </w:rPr>
  </w:style>
  <w:style w:type="paragraph" w:styleId="16">
    <w:name w:val="Body Text First Indent"/>
    <w:basedOn w:val="17"/>
    <w:link w:val="339"/>
    <w:qFormat/>
    <w:uiPriority w:val="0"/>
    <w:pPr>
      <w:tabs>
        <w:tab w:val="left" w:pos="208"/>
      </w:tabs>
      <w:spacing w:after="120" w:line="240" w:lineRule="auto"/>
      <w:ind w:firstLine="420" w:firstLineChars="100"/>
    </w:pPr>
    <w:rPr>
      <w:rFonts w:ascii="Times New Roman" w:eastAsia="宋体"/>
      <w:sz w:val="21"/>
    </w:rPr>
  </w:style>
  <w:style w:type="paragraph" w:styleId="17">
    <w:name w:val="Body Text"/>
    <w:basedOn w:val="1"/>
    <w:link w:val="358"/>
    <w:qFormat/>
    <w:uiPriority w:val="0"/>
    <w:pPr>
      <w:tabs>
        <w:tab w:val="left" w:pos="208"/>
      </w:tabs>
      <w:spacing w:line="432" w:lineRule="auto"/>
    </w:pPr>
    <w:rPr>
      <w:rFonts w:ascii="仿宋_GB2312" w:eastAsia="仿宋_GB2312"/>
      <w:sz w:val="28"/>
    </w:rPr>
  </w:style>
  <w:style w:type="paragraph" w:styleId="18">
    <w:name w:val="table of authorities"/>
    <w:basedOn w:val="1"/>
    <w:next w:val="1"/>
    <w:qFormat/>
    <w:uiPriority w:val="0"/>
    <w:pPr>
      <w:ind w:left="420" w:leftChars="200"/>
    </w:pPr>
  </w:style>
  <w:style w:type="paragraph" w:styleId="19">
    <w:name w:val="List Number"/>
    <w:basedOn w:val="1"/>
    <w:qFormat/>
    <w:uiPriority w:val="0"/>
    <w:pPr>
      <w:widowControl/>
      <w:tabs>
        <w:tab w:val="left" w:pos="454"/>
        <w:tab w:val="left" w:pos="525"/>
        <w:tab w:val="left" w:pos="720"/>
      </w:tabs>
      <w:spacing w:afterLines="50"/>
      <w:ind w:left="454" w:hanging="284"/>
      <w:jc w:val="left"/>
    </w:pPr>
    <w:rPr>
      <w:rFonts w:ascii="Cambria" w:hAnsi="Cambria"/>
      <w:kern w:val="0"/>
      <w:sz w:val="24"/>
      <w:szCs w:val="20"/>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Document Map"/>
    <w:basedOn w:val="1"/>
    <w:link w:val="363"/>
    <w:qFormat/>
    <w:uiPriority w:val="0"/>
    <w:pPr>
      <w:shd w:val="clear" w:color="auto" w:fill="000080"/>
    </w:pPr>
  </w:style>
  <w:style w:type="paragraph" w:styleId="22">
    <w:name w:val="Body Text 3"/>
    <w:basedOn w:val="1"/>
    <w:link w:val="366"/>
    <w:qFormat/>
    <w:uiPriority w:val="0"/>
    <w:pPr>
      <w:widowControl/>
      <w:spacing w:line="360" w:lineRule="auto"/>
    </w:pPr>
    <w:rPr>
      <w:rFonts w:ascii="仿宋_GB2312" w:eastAsia="仿宋_GB2312"/>
      <w:sz w:val="24"/>
      <w:szCs w:val="20"/>
    </w:rPr>
  </w:style>
  <w:style w:type="paragraph" w:styleId="23">
    <w:name w:val="Block Text"/>
    <w:basedOn w:val="1"/>
    <w:qFormat/>
    <w:uiPriority w:val="0"/>
    <w:pPr>
      <w:adjustRightInd w:val="0"/>
      <w:spacing w:line="360" w:lineRule="auto"/>
      <w:ind w:left="630" w:right="-609" w:firstLine="420"/>
    </w:pPr>
    <w:rPr>
      <w:rFonts w:hint="eastAsia" w:ascii="仿宋_GB2312" w:hAnsi="Cambria" w:eastAsia="仿宋_GB2312"/>
      <w:kern w:val="0"/>
      <w:szCs w:val="20"/>
    </w:rPr>
  </w:style>
  <w:style w:type="paragraph" w:styleId="24">
    <w:name w:val="toc 5"/>
    <w:basedOn w:val="1"/>
    <w:next w:val="1"/>
    <w:unhideWhenUsed/>
    <w:qFormat/>
    <w:uiPriority w:val="39"/>
    <w:pPr>
      <w:ind w:left="840"/>
      <w:jc w:val="left"/>
    </w:pPr>
    <w:rPr>
      <w:sz w:val="18"/>
      <w:szCs w:val="18"/>
    </w:rPr>
  </w:style>
  <w:style w:type="paragraph" w:styleId="25">
    <w:name w:val="toc 3"/>
    <w:basedOn w:val="1"/>
    <w:next w:val="1"/>
    <w:qFormat/>
    <w:uiPriority w:val="39"/>
    <w:pPr>
      <w:spacing w:before="40" w:after="40"/>
      <w:ind w:left="200" w:leftChars="200"/>
      <w:jc w:val="left"/>
    </w:pPr>
    <w:rPr>
      <w:rFonts w:eastAsia="仿宋_GB2312"/>
      <w:iCs/>
      <w:sz w:val="20"/>
      <w:szCs w:val="20"/>
    </w:rPr>
  </w:style>
  <w:style w:type="paragraph" w:styleId="26">
    <w:name w:val="Plain Text"/>
    <w:basedOn w:val="1"/>
    <w:next w:val="1"/>
    <w:link w:val="426"/>
    <w:qFormat/>
    <w:uiPriority w:val="0"/>
    <w:rPr>
      <w:rFonts w:ascii="宋体" w:hAnsi="Courier New"/>
      <w:szCs w:val="20"/>
    </w:rPr>
  </w:style>
  <w:style w:type="paragraph" w:styleId="27">
    <w:name w:val="toc 8"/>
    <w:basedOn w:val="1"/>
    <w:next w:val="1"/>
    <w:unhideWhenUsed/>
    <w:qFormat/>
    <w:uiPriority w:val="39"/>
    <w:pPr>
      <w:ind w:left="1470"/>
      <w:jc w:val="left"/>
    </w:pPr>
    <w:rPr>
      <w:sz w:val="18"/>
      <w:szCs w:val="18"/>
    </w:rPr>
  </w:style>
  <w:style w:type="paragraph" w:styleId="28">
    <w:name w:val="Date"/>
    <w:basedOn w:val="1"/>
    <w:next w:val="1"/>
    <w:link w:val="425"/>
    <w:qFormat/>
    <w:uiPriority w:val="0"/>
    <w:pPr>
      <w:adjustRightInd w:val="0"/>
      <w:spacing w:line="312" w:lineRule="atLeast"/>
    </w:pPr>
    <w:rPr>
      <w:rFonts w:hint="eastAsia" w:ascii="仿宋_GB2312" w:eastAsia="仿宋_GB2312"/>
      <w:kern w:val="0"/>
      <w:sz w:val="28"/>
      <w:szCs w:val="20"/>
    </w:rPr>
  </w:style>
  <w:style w:type="paragraph" w:styleId="29">
    <w:name w:val="Body Text Indent 2"/>
    <w:basedOn w:val="1"/>
    <w:qFormat/>
    <w:uiPriority w:val="0"/>
    <w:pPr>
      <w:snapToGrid w:val="0"/>
      <w:spacing w:line="400" w:lineRule="exact"/>
      <w:ind w:firstLine="480"/>
    </w:pPr>
    <w:rPr>
      <w:rFonts w:eastAsia="仿宋_GB2312"/>
      <w:sz w:val="24"/>
    </w:rPr>
  </w:style>
  <w:style w:type="paragraph" w:styleId="30">
    <w:name w:val="Balloon Text"/>
    <w:basedOn w:val="1"/>
    <w:link w:val="450"/>
    <w:qFormat/>
    <w:uiPriority w:val="0"/>
    <w:rPr>
      <w:rFonts w:ascii="Times New Roman" w:hAnsi="Times New Roman"/>
      <w:sz w:val="18"/>
      <w:szCs w:val="18"/>
    </w:rPr>
  </w:style>
  <w:style w:type="paragraph" w:styleId="31">
    <w:name w:val="footer"/>
    <w:basedOn w:val="1"/>
    <w:link w:val="364"/>
    <w:qFormat/>
    <w:uiPriority w:val="99"/>
    <w:pPr>
      <w:tabs>
        <w:tab w:val="center" w:pos="4153"/>
        <w:tab w:val="right" w:pos="8306"/>
      </w:tabs>
      <w:snapToGrid w:val="0"/>
      <w:jc w:val="left"/>
    </w:pPr>
    <w:rPr>
      <w:rFonts w:ascii="Times New Roman" w:hAnsi="Times New Roman"/>
      <w:sz w:val="18"/>
      <w:szCs w:val="18"/>
    </w:rPr>
  </w:style>
  <w:style w:type="paragraph" w:styleId="32">
    <w:name w:val="Body Text First Indent 2"/>
    <w:basedOn w:val="2"/>
    <w:unhideWhenUsed/>
    <w:qFormat/>
    <w:uiPriority w:val="99"/>
    <w:pPr>
      <w:ind w:firstLine="420" w:firstLineChars="200"/>
    </w:pPr>
  </w:style>
  <w:style w:type="paragraph" w:styleId="33">
    <w:name w:val="header"/>
    <w:basedOn w:val="1"/>
    <w:link w:val="392"/>
    <w:qFormat/>
    <w:uiPriority w:val="0"/>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34">
    <w:name w:val="toc 1"/>
    <w:basedOn w:val="1"/>
    <w:next w:val="1"/>
    <w:qFormat/>
    <w:uiPriority w:val="39"/>
    <w:pPr>
      <w:tabs>
        <w:tab w:val="right" w:leader="dot" w:pos="9060"/>
      </w:tabs>
      <w:spacing w:before="40" w:after="40"/>
      <w:jc w:val="left"/>
    </w:pPr>
    <w:rPr>
      <w:rFonts w:eastAsia="仿宋_GB2312"/>
      <w:b/>
      <w:bCs/>
      <w:caps/>
      <w:sz w:val="20"/>
      <w:szCs w:val="20"/>
    </w:rPr>
  </w:style>
  <w:style w:type="paragraph" w:styleId="35">
    <w:name w:val="toc 4"/>
    <w:basedOn w:val="1"/>
    <w:next w:val="1"/>
    <w:unhideWhenUsed/>
    <w:qFormat/>
    <w:uiPriority w:val="39"/>
    <w:pPr>
      <w:ind w:left="630"/>
      <w:jc w:val="left"/>
    </w:pPr>
    <w:rPr>
      <w:sz w:val="18"/>
      <w:szCs w:val="18"/>
    </w:rPr>
  </w:style>
  <w:style w:type="paragraph" w:styleId="36">
    <w:name w:val="List"/>
    <w:basedOn w:val="1"/>
    <w:qFormat/>
    <w:uiPriority w:val="0"/>
    <w:pPr>
      <w:ind w:left="200" w:hanging="200" w:hangingChars="200"/>
    </w:pPr>
    <w:rPr>
      <w:rFonts w:ascii="Times New Roman" w:hAnsi="Times New Roman"/>
      <w:szCs w:val="24"/>
    </w:rPr>
  </w:style>
  <w:style w:type="paragraph" w:styleId="37">
    <w:name w:val="footnote text"/>
    <w:basedOn w:val="1"/>
    <w:link w:val="457"/>
    <w:qFormat/>
    <w:uiPriority w:val="0"/>
    <w:pPr>
      <w:snapToGrid w:val="0"/>
      <w:jc w:val="left"/>
    </w:pPr>
    <w:rPr>
      <w:rFonts w:ascii="Tahoma" w:hAnsi="Tahoma"/>
      <w:sz w:val="18"/>
      <w:szCs w:val="18"/>
    </w:rPr>
  </w:style>
  <w:style w:type="paragraph" w:styleId="38">
    <w:name w:val="toc 6"/>
    <w:basedOn w:val="1"/>
    <w:next w:val="1"/>
    <w:unhideWhenUsed/>
    <w:qFormat/>
    <w:uiPriority w:val="39"/>
    <w:pPr>
      <w:ind w:left="1050"/>
      <w:jc w:val="left"/>
    </w:pPr>
    <w:rPr>
      <w:sz w:val="18"/>
      <w:szCs w:val="18"/>
    </w:rPr>
  </w:style>
  <w:style w:type="paragraph" w:styleId="39">
    <w:name w:val="Body Text Indent 3"/>
    <w:basedOn w:val="1"/>
    <w:link w:val="356"/>
    <w:qFormat/>
    <w:uiPriority w:val="0"/>
    <w:pPr>
      <w:spacing w:line="360" w:lineRule="auto"/>
      <w:ind w:left="220"/>
      <w:jc w:val="left"/>
    </w:pPr>
    <w:rPr>
      <w:rFonts w:ascii="仿宋_GB2312" w:eastAsia="仿宋_GB2312"/>
      <w:color w:val="000000"/>
      <w:sz w:val="24"/>
    </w:rPr>
  </w:style>
  <w:style w:type="paragraph" w:styleId="40">
    <w:name w:val="toc 2"/>
    <w:basedOn w:val="1"/>
    <w:next w:val="1"/>
    <w:qFormat/>
    <w:uiPriority w:val="39"/>
    <w:pPr>
      <w:spacing w:before="40" w:after="40"/>
      <w:ind w:left="100" w:leftChars="100"/>
      <w:jc w:val="left"/>
    </w:pPr>
    <w:rPr>
      <w:rFonts w:eastAsia="仿宋_GB2312"/>
      <w:b/>
      <w:smallCaps/>
      <w:sz w:val="20"/>
      <w:szCs w:val="20"/>
    </w:rPr>
  </w:style>
  <w:style w:type="paragraph" w:styleId="41">
    <w:name w:val="toc 9"/>
    <w:basedOn w:val="1"/>
    <w:next w:val="1"/>
    <w:unhideWhenUsed/>
    <w:qFormat/>
    <w:uiPriority w:val="39"/>
    <w:pPr>
      <w:ind w:left="1680"/>
      <w:jc w:val="left"/>
    </w:pPr>
    <w:rPr>
      <w:sz w:val="18"/>
      <w:szCs w:val="18"/>
    </w:rPr>
  </w:style>
  <w:style w:type="paragraph" w:styleId="42">
    <w:name w:val="Body Text 2"/>
    <w:basedOn w:val="1"/>
    <w:link w:val="340"/>
    <w:qFormat/>
    <w:uiPriority w:val="0"/>
    <w:pPr>
      <w:spacing w:line="560" w:lineRule="exact"/>
    </w:pPr>
    <w:rPr>
      <w:rFonts w:ascii="仿宋_GB2312" w:eastAsia="仿宋_GB2312"/>
      <w:sz w:val="24"/>
    </w:rPr>
  </w:style>
  <w:style w:type="paragraph" w:styleId="43">
    <w:name w:val="HTML Preformatted"/>
    <w:basedOn w:val="1"/>
    <w:link w:val="4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4">
    <w:name w:val="Normal (Web)"/>
    <w:basedOn w:val="1"/>
    <w:qFormat/>
    <w:uiPriority w:val="99"/>
    <w:pPr>
      <w:widowControl/>
      <w:spacing w:before="100" w:beforeAutospacing="1" w:after="100" w:afterAutospacing="1"/>
      <w:jc w:val="left"/>
    </w:pPr>
    <w:rPr>
      <w:rFonts w:ascii="宋体" w:hAnsi="宋体"/>
      <w:kern w:val="0"/>
      <w:sz w:val="24"/>
    </w:rPr>
  </w:style>
  <w:style w:type="paragraph" w:styleId="45">
    <w:name w:val="Title"/>
    <w:basedOn w:val="1"/>
    <w:link w:val="355"/>
    <w:qFormat/>
    <w:uiPriority w:val="0"/>
    <w:pPr>
      <w:spacing w:before="240" w:after="60"/>
      <w:jc w:val="center"/>
      <w:outlineLvl w:val="0"/>
    </w:pPr>
    <w:rPr>
      <w:rFonts w:ascii="Arial" w:hAnsi="Arial" w:cs="Arial"/>
      <w:b/>
      <w:bCs/>
      <w:sz w:val="32"/>
      <w:szCs w:val="32"/>
    </w:r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Emphasis"/>
    <w:qFormat/>
    <w:uiPriority w:val="0"/>
    <w:rPr>
      <w:rFonts w:eastAsia="幼圆"/>
      <w:b/>
      <w:caps/>
      <w:spacing w:val="10"/>
      <w:sz w:val="18"/>
    </w:rPr>
  </w:style>
  <w:style w:type="character" w:styleId="51">
    <w:name w:val="Hyperlink"/>
    <w:qFormat/>
    <w:uiPriority w:val="99"/>
    <w:rPr>
      <w:color w:val="0000FF"/>
      <w:u w:val="single"/>
    </w:rPr>
  </w:style>
  <w:style w:type="character" w:styleId="52">
    <w:name w:val="annotation reference"/>
    <w:unhideWhenUsed/>
    <w:qFormat/>
    <w:uiPriority w:val="99"/>
    <w:rPr>
      <w:sz w:val="21"/>
      <w:szCs w:val="21"/>
    </w:rPr>
  </w:style>
  <w:style w:type="character" w:styleId="53">
    <w:name w:val="footnote reference"/>
    <w:qFormat/>
    <w:uiPriority w:val="0"/>
    <w:rPr>
      <w:rFonts w:ascii="Tahoma" w:hAnsi="Tahoma" w:eastAsia="宋体"/>
      <w:kern w:val="2"/>
      <w:sz w:val="24"/>
      <w:szCs w:val="24"/>
      <w:vertAlign w:val="superscript"/>
      <w:lang w:val="en-US" w:eastAsia="zh-CN" w:bidi="ar-SA"/>
    </w:rPr>
  </w:style>
  <w:style w:type="table" w:styleId="55">
    <w:name w:val="Table Grid"/>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xl83"/>
    <w:basedOn w:val="1"/>
    <w:qFormat/>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57">
    <w:name w:val="xl70"/>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58">
    <w:name w:val="xl5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9">
    <w:name w:val="font11"/>
    <w:basedOn w:val="1"/>
    <w:qFormat/>
    <w:uiPriority w:val="0"/>
    <w:pPr>
      <w:widowControl/>
      <w:spacing w:before="100" w:beforeAutospacing="1" w:after="100" w:afterAutospacing="1"/>
      <w:jc w:val="left"/>
    </w:pPr>
    <w:rPr>
      <w:b/>
      <w:bCs/>
      <w:i/>
      <w:iCs/>
      <w:kern w:val="0"/>
      <w:sz w:val="24"/>
    </w:rPr>
  </w:style>
  <w:style w:type="paragraph" w:customStyle="1" w:styleId="60">
    <w:name w:val="xl79"/>
    <w:basedOn w:val="1"/>
    <w:qFormat/>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61">
    <w:name w:val="xl6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62">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63">
    <w:name w:val="font7"/>
    <w:basedOn w:val="1"/>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64">
    <w:name w:val="Normal_19"/>
    <w:qFormat/>
    <w:uiPriority w:val="0"/>
    <w:rPr>
      <w:rFonts w:ascii="黑体" w:hAnsi="黑体" w:eastAsia="黑体" w:cs="Times New Roman"/>
      <w:b/>
      <w:sz w:val="32"/>
      <w:szCs w:val="24"/>
      <w:lang w:val="en-US" w:eastAsia="zh-CN" w:bidi="ar-SA"/>
    </w:rPr>
  </w:style>
  <w:style w:type="paragraph" w:customStyle="1" w:styleId="65">
    <w:name w:val="Normal_5"/>
    <w:qFormat/>
    <w:uiPriority w:val="0"/>
    <w:rPr>
      <w:rFonts w:ascii="黑体" w:hAnsi="黑体" w:eastAsia="黑体" w:cs="Times New Roman"/>
      <w:b/>
      <w:sz w:val="32"/>
      <w:szCs w:val="24"/>
      <w:lang w:val="en-US" w:eastAsia="zh-CN" w:bidi="ar-SA"/>
    </w:rPr>
  </w:style>
  <w:style w:type="paragraph" w:customStyle="1" w:styleId="66">
    <w:name w:val="Normal_17"/>
    <w:qFormat/>
    <w:uiPriority w:val="0"/>
    <w:rPr>
      <w:rFonts w:ascii="黑体" w:hAnsi="黑体" w:eastAsia="黑体" w:cs="Times New Roman"/>
      <w:b/>
      <w:sz w:val="32"/>
      <w:szCs w:val="24"/>
      <w:lang w:val="en-US" w:eastAsia="zh-CN" w:bidi="ar-SA"/>
    </w:rPr>
  </w:style>
  <w:style w:type="paragraph" w:customStyle="1" w:styleId="67">
    <w:name w:val="Normal_4"/>
    <w:qFormat/>
    <w:uiPriority w:val="0"/>
    <w:rPr>
      <w:rFonts w:ascii="黑体" w:hAnsi="黑体" w:eastAsia="黑体" w:cs="Times New Roman"/>
      <w:b/>
      <w:sz w:val="32"/>
      <w:szCs w:val="24"/>
      <w:lang w:val="en-US" w:eastAsia="zh-CN" w:bidi="ar-SA"/>
    </w:rPr>
  </w:style>
  <w:style w:type="paragraph" w:customStyle="1" w:styleId="68">
    <w:name w:val="Normal_7"/>
    <w:qFormat/>
    <w:uiPriority w:val="0"/>
    <w:rPr>
      <w:rFonts w:ascii="黑体" w:hAnsi="黑体" w:eastAsia="黑体" w:cs="Times New Roman"/>
      <w:b/>
      <w:sz w:val="32"/>
      <w:szCs w:val="24"/>
      <w:lang w:val="en-US" w:eastAsia="zh-CN" w:bidi="ar-SA"/>
    </w:rPr>
  </w:style>
  <w:style w:type="paragraph" w:customStyle="1" w:styleId="69">
    <w:name w:val="标书正文格式 Char Char Char Char"/>
    <w:qFormat/>
    <w:uiPriority w:val="0"/>
    <w:pPr>
      <w:spacing w:line="360" w:lineRule="auto"/>
      <w:ind w:firstLine="200" w:firstLineChars="200"/>
    </w:pPr>
    <w:rPr>
      <w:rFonts w:ascii="Times New Roman" w:hAnsi="Times New Roman" w:eastAsia="仿宋_GB2312" w:cs="Times New Roman"/>
      <w:kern w:val="2"/>
      <w:sz w:val="30"/>
      <w:szCs w:val="24"/>
      <w:lang w:val="en-US" w:eastAsia="zh-CN" w:bidi="ar-SA"/>
    </w:rPr>
  </w:style>
  <w:style w:type="paragraph" w:customStyle="1" w:styleId="70">
    <w:name w:val="xl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71">
    <w:name w:val="xl82"/>
    <w:basedOn w:val="1"/>
    <w:qFormat/>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72">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73">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rPr>
  </w:style>
  <w:style w:type="paragraph" w:customStyle="1" w:styleId="74">
    <w:name w:val="font10"/>
    <w:basedOn w:val="1"/>
    <w:qFormat/>
    <w:uiPriority w:val="0"/>
    <w:pPr>
      <w:widowControl/>
      <w:spacing w:before="100" w:beforeAutospacing="1" w:after="100" w:afterAutospacing="1"/>
      <w:jc w:val="left"/>
    </w:pPr>
    <w:rPr>
      <w:rFonts w:hint="eastAsia" w:ascii="宋体" w:hAnsi="宋体"/>
      <w:b/>
      <w:bCs/>
      <w:i/>
      <w:iCs/>
      <w:kern w:val="0"/>
      <w:sz w:val="24"/>
    </w:rPr>
  </w:style>
  <w:style w:type="paragraph" w:customStyle="1" w:styleId="75">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普通(网站)_0_0"/>
    <w:basedOn w:val="77"/>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7">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7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80">
    <w:name w:val="普通(网站)_0"/>
    <w:basedOn w:val="81"/>
    <w:unhideWhenUsed/>
    <w:qFormat/>
    <w:uiPriority w:val="99"/>
    <w:pPr>
      <w:widowControl/>
      <w:spacing w:before="100" w:beforeAutospacing="1" w:after="100" w:afterAutospacing="1"/>
      <w:jc w:val="left"/>
    </w:pPr>
    <w:rPr>
      <w:rFonts w:ascii="宋体" w:hAnsi="宋体"/>
      <w:kern w:val="0"/>
      <w:sz w:val="24"/>
      <w:szCs w:val="22"/>
    </w:rPr>
  </w:style>
  <w:style w:type="paragraph" w:customStyle="1" w:styleId="8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83">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8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85">
    <w:name w:val="font8"/>
    <w:basedOn w:val="1"/>
    <w:qFormat/>
    <w:uiPriority w:val="0"/>
    <w:pPr>
      <w:widowControl/>
      <w:spacing w:before="100" w:beforeAutospacing="1" w:after="100" w:afterAutospacing="1"/>
      <w:jc w:val="left"/>
    </w:pPr>
    <w:rPr>
      <w:kern w:val="0"/>
      <w:sz w:val="20"/>
      <w:szCs w:val="20"/>
    </w:rPr>
  </w:style>
  <w:style w:type="paragraph" w:customStyle="1" w:styleId="86">
    <w:name w:val="Normal_6"/>
    <w:qFormat/>
    <w:uiPriority w:val="0"/>
    <w:rPr>
      <w:rFonts w:ascii="黑体" w:hAnsi="黑体" w:eastAsia="黑体" w:cs="Times New Roman"/>
      <w:b/>
      <w:sz w:val="32"/>
      <w:szCs w:val="24"/>
      <w:lang w:val="en-US" w:eastAsia="zh-CN" w:bidi="ar-SA"/>
    </w:rPr>
  </w:style>
  <w:style w:type="paragraph" w:customStyle="1" w:styleId="87">
    <w:name w:val="纯文本_4_3"/>
    <w:basedOn w:val="88"/>
    <w:link w:val="412"/>
    <w:qFormat/>
    <w:uiPriority w:val="0"/>
    <w:rPr>
      <w:rFonts w:ascii="宋体" w:hAnsi="Courier New"/>
      <w:szCs w:val="20"/>
    </w:rPr>
  </w:style>
  <w:style w:type="paragraph" w:customStyle="1" w:styleId="88">
    <w:name w:val="正文_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Normal_2"/>
    <w:qFormat/>
    <w:uiPriority w:val="0"/>
    <w:rPr>
      <w:rFonts w:ascii="黑体" w:hAnsi="黑体" w:eastAsia="黑体" w:cs="Times New Roman"/>
      <w:b/>
      <w:sz w:val="32"/>
      <w:szCs w:val="24"/>
      <w:lang w:val="en-US" w:eastAsia="zh-CN" w:bidi="ar-SA"/>
    </w:rPr>
  </w:style>
  <w:style w:type="paragraph" w:customStyle="1" w:styleId="90">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91">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xl6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93">
    <w:name w:val="默认段落字体 Para Char Char Char Char Char Char Char Char Char Char Char Char Char"/>
    <w:basedOn w:val="21"/>
    <w:qFormat/>
    <w:uiPriority w:val="0"/>
    <w:pPr>
      <w:shd w:val="clear" w:color="auto" w:fill="auto"/>
      <w:spacing w:line="300" w:lineRule="auto"/>
      <w:ind w:left="840" w:leftChars="400"/>
    </w:pPr>
  </w:style>
  <w:style w:type="paragraph" w:customStyle="1" w:styleId="94">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5">
    <w:name w:val="xl81"/>
    <w:basedOn w:val="1"/>
    <w:qFormat/>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96">
    <w:name w:val="xl68"/>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9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98">
    <w:name w:val="font9"/>
    <w:basedOn w:val="1"/>
    <w:qFormat/>
    <w:uiPriority w:val="0"/>
    <w:pPr>
      <w:widowControl/>
      <w:spacing w:before="100" w:beforeAutospacing="1" w:after="100" w:afterAutospacing="1"/>
      <w:jc w:val="left"/>
    </w:pPr>
    <w:rPr>
      <w:color w:val="000000"/>
      <w:kern w:val="0"/>
      <w:sz w:val="20"/>
      <w:szCs w:val="20"/>
    </w:rPr>
  </w:style>
  <w:style w:type="paragraph" w:customStyle="1" w:styleId="99">
    <w:name w:val="Normal_3"/>
    <w:qFormat/>
    <w:uiPriority w:val="0"/>
    <w:rPr>
      <w:rFonts w:ascii="黑体" w:hAnsi="黑体" w:eastAsia="黑体" w:cs="Times New Roman"/>
      <w:b/>
      <w:sz w:val="32"/>
      <w:szCs w:val="24"/>
      <w:lang w:val="en-US" w:eastAsia="zh-CN" w:bidi="ar-SA"/>
    </w:rPr>
  </w:style>
  <w:style w:type="paragraph" w:customStyle="1" w:styleId="100">
    <w:name w:val="xl77"/>
    <w:basedOn w:val="1"/>
    <w:qFormat/>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01">
    <w:name w:val="xl64"/>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102">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03">
    <w:name w:val="纯文本_0"/>
    <w:basedOn w:val="104"/>
    <w:link w:val="353"/>
    <w:unhideWhenUsed/>
    <w:qFormat/>
    <w:uiPriority w:val="99"/>
    <w:rPr>
      <w:rFonts w:ascii="宋体" w:hAnsi="Courier New"/>
      <w:kern w:val="0"/>
      <w:sz w:val="20"/>
      <w:szCs w:val="20"/>
    </w:rPr>
  </w:style>
  <w:style w:type="paragraph" w:customStyle="1" w:styleId="104">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06">
    <w:name w:val="表内文字"/>
    <w:basedOn w:val="1"/>
    <w:qFormat/>
    <w:uiPriority w:val="0"/>
    <w:pPr>
      <w:jc w:val="center"/>
    </w:pPr>
    <w:rPr>
      <w:rFonts w:ascii="仿宋_GB2312" w:eastAsia="仿宋_GB2312"/>
      <w:sz w:val="24"/>
    </w:rPr>
  </w:style>
  <w:style w:type="paragraph" w:customStyle="1" w:styleId="107">
    <w:name w:val="样式 标题 31.1.1标题 333rd levelBOD 0Bold HeadCTH3H31Heading ..."/>
    <w:basedOn w:val="7"/>
    <w:qFormat/>
    <w:uiPriority w:val="0"/>
    <w:pPr>
      <w:spacing w:before="0" w:after="0"/>
      <w:jc w:val="center"/>
    </w:pPr>
    <w:rPr>
      <w:rFonts w:cs="宋体"/>
    </w:rPr>
  </w:style>
  <w:style w:type="paragraph" w:customStyle="1" w:styleId="108">
    <w:name w:val="纯文本1"/>
    <w:basedOn w:val="1"/>
    <w:qFormat/>
    <w:uiPriority w:val="0"/>
    <w:pPr>
      <w:adjustRightInd w:val="0"/>
      <w:jc w:val="left"/>
      <w:textAlignment w:val="baseline"/>
    </w:pPr>
    <w:rPr>
      <w:rFonts w:ascii="宋体" w:hAnsi="Courier New"/>
      <w:sz w:val="24"/>
      <w:szCs w:val="20"/>
    </w:rPr>
  </w:style>
  <w:style w:type="paragraph" w:customStyle="1" w:styleId="109">
    <w:name w:val="样式 标题 31.1.1标题 333rd levelBOD 0Bold HeadCTH3H31Heading ...1"/>
    <w:basedOn w:val="5"/>
    <w:qFormat/>
    <w:uiPriority w:val="0"/>
    <w:pPr>
      <w:spacing w:before="0" w:after="0"/>
      <w:ind w:firstLine="0" w:firstLineChars="0"/>
    </w:pPr>
    <w:rPr>
      <w:rFonts w:hAnsi="宋体" w:cs="宋体"/>
      <w:sz w:val="24"/>
    </w:rPr>
  </w:style>
  <w:style w:type="paragraph" w:customStyle="1" w:styleId="11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11">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2">
    <w:name w:val="Normal_22"/>
    <w:qFormat/>
    <w:uiPriority w:val="0"/>
    <w:pPr>
      <w:widowControl w:val="0"/>
      <w:jc w:val="both"/>
    </w:pPr>
    <w:rPr>
      <w:rFonts w:ascii="Times New Roman" w:hAnsi="Times New Roman" w:eastAsia="Times New Roman" w:cs="Times New Roman"/>
      <w:lang w:val="en-US" w:eastAsia="zh-CN" w:bidi="ar-SA"/>
    </w:rPr>
  </w:style>
  <w:style w:type="paragraph" w:customStyle="1" w:styleId="113">
    <w:name w:val="def正文"/>
    <w:basedOn w:val="17"/>
    <w:qFormat/>
    <w:uiPriority w:val="0"/>
    <w:pPr>
      <w:widowControl/>
      <w:tabs>
        <w:tab w:val="clear" w:pos="208"/>
      </w:tabs>
      <w:spacing w:line="360" w:lineRule="auto"/>
      <w:ind w:firstLine="510"/>
      <w:jc w:val="left"/>
    </w:pPr>
    <w:rPr>
      <w:rFonts w:ascii="Times New Roman" w:eastAsia="宋体"/>
      <w:kern w:val="0"/>
      <w:sz w:val="24"/>
    </w:rPr>
  </w:style>
  <w:style w:type="paragraph" w:customStyle="1" w:styleId="114">
    <w:name w:val="Char"/>
    <w:basedOn w:val="1"/>
    <w:qFormat/>
    <w:uiPriority w:val="0"/>
    <w:rPr>
      <w:rFonts w:ascii="仿宋_GB2312" w:hAnsi="Cambria" w:eastAsia="仿宋_GB2312"/>
      <w:b/>
      <w:sz w:val="32"/>
      <w:szCs w:val="32"/>
    </w:rPr>
  </w:style>
  <w:style w:type="paragraph" w:customStyle="1" w:styleId="11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6">
    <w:name w:val="默认段落字体 Para Char Char Char Char Char Char Char Char Char1 Char Char Char Char"/>
    <w:basedOn w:val="1"/>
    <w:qFormat/>
    <w:uiPriority w:val="0"/>
    <w:rPr>
      <w:rFonts w:ascii="Tahoma" w:hAnsi="Tahoma"/>
      <w:sz w:val="24"/>
      <w:szCs w:val="20"/>
    </w:rPr>
  </w:style>
  <w:style w:type="paragraph" w:customStyle="1" w:styleId="11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1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1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20">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2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2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12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27">
    <w:name w:val="样式 样式1 + 首行缩进:  2 字符"/>
    <w:basedOn w:val="1"/>
    <w:unhideWhenUsed/>
    <w:qFormat/>
    <w:uiPriority w:val="0"/>
    <w:pPr>
      <w:spacing w:line="360" w:lineRule="exact"/>
      <w:ind w:firstLine="200" w:firstLineChars="200"/>
    </w:pPr>
    <w:rPr>
      <w:rFonts w:hint="eastAsia" w:ascii="Arial" w:hAnsi="Arial"/>
      <w:szCs w:val="20"/>
    </w:rPr>
  </w:style>
  <w:style w:type="paragraph" w:customStyle="1" w:styleId="12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129">
    <w:name w:val="正文_8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31">
    <w:name w:val="Default"/>
    <w:qFormat/>
    <w:uiPriority w:val="0"/>
    <w:pPr>
      <w:widowControl w:val="0"/>
      <w:autoSpaceDE w:val="0"/>
      <w:autoSpaceDN w:val="0"/>
      <w:adjustRightInd w:val="0"/>
    </w:pPr>
    <w:rPr>
      <w:rFonts w:ascii="Segoe UI" w:hAnsi="Segoe UI" w:eastAsia="宋体" w:cs="Segoe UI"/>
      <w:color w:val="000000"/>
      <w:sz w:val="24"/>
      <w:szCs w:val="24"/>
      <w:lang w:val="en-US" w:eastAsia="zh-CN" w:bidi="ar-SA"/>
    </w:rPr>
  </w:style>
  <w:style w:type="paragraph" w:customStyle="1" w:styleId="132">
    <w:name w:val="纯文本_1_0"/>
    <w:basedOn w:val="133"/>
    <w:link w:val="359"/>
    <w:qFormat/>
    <w:uiPriority w:val="0"/>
    <w:rPr>
      <w:rFonts w:ascii="宋体" w:hAnsi="Courier New"/>
      <w:szCs w:val="20"/>
    </w:rPr>
  </w:style>
  <w:style w:type="paragraph" w:customStyle="1" w:styleId="13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35">
    <w:name w:val="xl108"/>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36">
    <w:name w:val="HT_列表项目编号2"/>
    <w:basedOn w:val="1"/>
    <w:next w:val="1"/>
    <w:qFormat/>
    <w:uiPriority w:val="0"/>
    <w:pPr>
      <w:spacing w:beforeLines="50" w:line="360" w:lineRule="auto"/>
      <w:contextualSpacing/>
    </w:pPr>
    <w:rPr>
      <w:rFonts w:ascii="Cambria" w:hAnsi="Cambria"/>
      <w:b/>
      <w:sz w:val="24"/>
      <w:szCs w:val="20"/>
    </w:rPr>
  </w:style>
  <w:style w:type="paragraph" w:customStyle="1" w:styleId="13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138">
    <w:name w:val="方案正文"/>
    <w:basedOn w:val="1"/>
    <w:qFormat/>
    <w:uiPriority w:val="0"/>
    <w:pPr>
      <w:adjustRightInd w:val="0"/>
      <w:snapToGrid w:val="0"/>
      <w:spacing w:line="324" w:lineRule="auto"/>
      <w:ind w:firstLine="482" w:firstLineChars="200"/>
    </w:pPr>
    <w:rPr>
      <w:rFonts w:ascii="仿宋_GB2312" w:hAnsi="Cambria" w:eastAsia="仿宋_GB2312"/>
      <w:b/>
      <w:color w:val="000000"/>
      <w:sz w:val="24"/>
      <w:szCs w:val="20"/>
    </w:rPr>
  </w:style>
  <w:style w:type="paragraph" w:customStyle="1" w:styleId="139">
    <w:name w:val="_Style 2"/>
    <w:qFormat/>
    <w:uiPriority w:val="0"/>
    <w:pPr>
      <w:widowControl w:val="0"/>
      <w:jc w:val="both"/>
    </w:pPr>
    <w:rPr>
      <w:rFonts w:ascii="Cambria" w:hAnsi="Cambria" w:eastAsia="宋体" w:cs="Times New Roman"/>
      <w:kern w:val="2"/>
      <w:sz w:val="21"/>
      <w:szCs w:val="22"/>
      <w:lang w:val="en-US" w:eastAsia="zh-CN" w:bidi="ar-SA"/>
    </w:rPr>
  </w:style>
  <w:style w:type="paragraph" w:customStyle="1" w:styleId="140">
    <w:name w:val="样式7"/>
    <w:basedOn w:val="1"/>
    <w:link w:val="466"/>
    <w:qFormat/>
    <w:uiPriority w:val="0"/>
    <w:pPr>
      <w:shd w:val="clear" w:color="auto" w:fill="FFFFFF"/>
      <w:spacing w:line="360" w:lineRule="auto"/>
      <w:ind w:firstLine="480"/>
      <w:jc w:val="left"/>
    </w:pPr>
    <w:rPr>
      <w:rFonts w:ascii="宋体" w:hAnsi="宋体"/>
      <w:sz w:val="24"/>
      <w:szCs w:val="24"/>
      <w:shd w:val="clear" w:color="auto" w:fill="FFFFFF"/>
    </w:rPr>
  </w:style>
  <w:style w:type="paragraph" w:customStyle="1" w:styleId="14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2">
    <w:name w:val="Char_0"/>
    <w:basedOn w:val="81"/>
    <w:link w:val="346"/>
    <w:qFormat/>
    <w:uiPriority w:val="0"/>
    <w:rPr>
      <w:rFonts w:ascii="Tahoma" w:hAnsi="Tahoma"/>
      <w:sz w:val="24"/>
      <w:szCs w:val="20"/>
    </w:rPr>
  </w:style>
  <w:style w:type="paragraph" w:customStyle="1" w:styleId="1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14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4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147">
    <w:name w:val="样式 样式 样式 标题 3列表编号3h33rd level + (符号) 宋体 段前: 1 行 + 段前: 1.36 行 + 段..."/>
    <w:basedOn w:val="1"/>
    <w:qFormat/>
    <w:uiPriority w:val="0"/>
    <w:pPr>
      <w:adjustRightInd w:val="0"/>
      <w:spacing w:beforeLines="100" w:line="360" w:lineRule="auto"/>
      <w:jc w:val="left"/>
      <w:outlineLvl w:val="2"/>
    </w:pPr>
    <w:rPr>
      <w:rFonts w:ascii="宋体" w:hAnsi="宋体"/>
      <w:b/>
      <w:kern w:val="0"/>
      <w:szCs w:val="20"/>
    </w:rPr>
  </w:style>
  <w:style w:type="paragraph" w:customStyle="1" w:styleId="14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49">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0">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51">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53">
    <w:name w:val="xl44"/>
    <w:basedOn w:val="1"/>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54">
    <w:name w:val="xl10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5">
    <w:name w:val="默认段落字体 Para Char"/>
    <w:basedOn w:val="1"/>
    <w:qFormat/>
    <w:uiPriority w:val="0"/>
    <w:rPr>
      <w:rFonts w:ascii="Tahoma" w:hAnsi="Tahoma"/>
      <w:sz w:val="24"/>
      <w:szCs w:val="20"/>
    </w:rPr>
  </w:style>
  <w:style w:type="paragraph" w:customStyle="1" w:styleId="156">
    <w:name w:val="Char Char Char Char"/>
    <w:basedOn w:val="1"/>
    <w:qFormat/>
    <w:uiPriority w:val="0"/>
    <w:pPr>
      <w:adjustRightInd w:val="0"/>
      <w:spacing w:line="360" w:lineRule="auto"/>
    </w:pPr>
    <w:rPr>
      <w:kern w:val="0"/>
      <w:sz w:val="24"/>
      <w:szCs w:val="20"/>
    </w:rPr>
  </w:style>
  <w:style w:type="paragraph" w:customStyle="1" w:styleId="157">
    <w:name w:val="xl45"/>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58">
    <w:name w:val="样式 标题 3 + 段前: 7.8 磅"/>
    <w:basedOn w:val="5"/>
    <w:unhideWhenUsed/>
    <w:qFormat/>
    <w:uiPriority w:val="0"/>
    <w:pPr>
      <w:keepNext w:val="0"/>
      <w:tabs>
        <w:tab w:val="left" w:pos="1200"/>
      </w:tabs>
      <w:spacing w:before="156" w:after="0"/>
      <w:ind w:left="2220" w:hanging="420" w:firstLineChars="0"/>
    </w:pPr>
    <w:rPr>
      <w:rFonts w:hint="eastAsia" w:ascii="Cambria" w:hAnsi="Cambria" w:eastAsia="宋体"/>
      <w:b w:val="0"/>
      <w:bCs w:val="0"/>
      <w:sz w:val="24"/>
    </w:rPr>
  </w:style>
  <w:style w:type="paragraph" w:customStyle="1" w:styleId="159">
    <w:name w:val="样式 仿宋_GB2312 小四 加粗 行距: 1.5 倍行距"/>
    <w:basedOn w:val="4"/>
    <w:next w:val="4"/>
    <w:qFormat/>
    <w:uiPriority w:val="0"/>
    <w:pPr>
      <w:keepLines/>
      <w:adjustRightInd/>
      <w:snapToGrid/>
      <w:spacing w:before="260" w:after="260"/>
      <w:jc w:val="both"/>
      <w:textAlignment w:val="auto"/>
    </w:pPr>
    <w:rPr>
      <w:rFonts w:hAnsi="Arial" w:eastAsia="黑体" w:cs="宋体"/>
      <w:kern w:val="2"/>
      <w:sz w:val="28"/>
    </w:rPr>
  </w:style>
  <w:style w:type="paragraph" w:customStyle="1" w:styleId="160">
    <w:name w:val="xl46"/>
    <w:basedOn w:val="1"/>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61">
    <w:name w:val="样式 标题 3列表编号3h33rd level + 段前: 1 行"/>
    <w:basedOn w:val="5"/>
    <w:qFormat/>
    <w:uiPriority w:val="0"/>
    <w:pPr>
      <w:keepNext w:val="0"/>
      <w:keepLines w:val="0"/>
      <w:adjustRightInd w:val="0"/>
      <w:spacing w:before="312" w:afterLines="50"/>
      <w:ind w:firstLine="0" w:firstLineChars="0"/>
    </w:pPr>
    <w:rPr>
      <w:rFonts w:ascii="宋体" w:eastAsia="宋体"/>
      <w:bCs w:val="0"/>
      <w:kern w:val="0"/>
      <w:sz w:val="21"/>
    </w:rPr>
  </w:style>
  <w:style w:type="paragraph" w:customStyle="1" w:styleId="162">
    <w:name w:val="标题3正文"/>
    <w:basedOn w:val="1"/>
    <w:qFormat/>
    <w:uiPriority w:val="0"/>
    <w:pPr>
      <w:spacing w:line="360" w:lineRule="auto"/>
      <w:ind w:left="200" w:leftChars="200" w:firstLine="200" w:firstLineChars="200"/>
      <w:jc w:val="left"/>
    </w:pPr>
    <w:rPr>
      <w:sz w:val="24"/>
    </w:rPr>
  </w:style>
  <w:style w:type="paragraph" w:customStyle="1" w:styleId="163">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64">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165">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166">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7">
    <w:name w:val="1 Char Char Char Char"/>
    <w:basedOn w:val="1"/>
    <w:qFormat/>
    <w:uiPriority w:val="0"/>
    <w:pPr>
      <w:jc w:val="center"/>
    </w:pPr>
    <w:rPr>
      <w:rFonts w:ascii="Tahoma" w:hAnsi="Tahoma"/>
      <w:sz w:val="24"/>
      <w:szCs w:val="20"/>
    </w:rPr>
  </w:style>
  <w:style w:type="paragraph" w:customStyle="1" w:styleId="168">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169">
    <w:name w:val="xl65"/>
    <w:basedOn w:val="1"/>
    <w:qFormat/>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170">
    <w:name w:val="xl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1">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172">
    <w:name w:val="xl7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7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174">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75">
    <w:name w:val="xl7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176">
    <w:name w:val="列出段落3"/>
    <w:basedOn w:val="1"/>
    <w:qFormat/>
    <w:uiPriority w:val="0"/>
    <w:pPr>
      <w:ind w:firstLine="420" w:firstLineChars="200"/>
    </w:pPr>
  </w:style>
  <w:style w:type="paragraph" w:customStyle="1" w:styleId="177">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78">
    <w:name w:val="xl7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179">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8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81">
    <w:name w:val="样式 标题 3h3H3sect1.2.3 + 五号 段前: 6 磅 段后: 6 磅 行距: 单倍行距"/>
    <w:basedOn w:val="5"/>
    <w:qFormat/>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182">
    <w:name w:val="页码1"/>
    <w:basedOn w:val="1"/>
    <w:next w:val="1"/>
    <w:qFormat/>
    <w:uiPriority w:val="0"/>
    <w:pPr>
      <w:widowControl/>
    </w:pPr>
    <w:rPr>
      <w:color w:val="000000"/>
      <w:szCs w:val="20"/>
    </w:rPr>
  </w:style>
  <w:style w:type="paragraph" w:customStyle="1" w:styleId="183">
    <w:name w:val="纯文本_5"/>
    <w:basedOn w:val="184"/>
    <w:link w:val="349"/>
    <w:qFormat/>
    <w:uiPriority w:val="0"/>
    <w:rPr>
      <w:rFonts w:ascii="宋体" w:hAnsi="Courier New"/>
      <w:szCs w:val="20"/>
    </w:rPr>
  </w:style>
  <w:style w:type="paragraph" w:customStyle="1" w:styleId="184">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Char11"/>
    <w:basedOn w:val="1"/>
    <w:link w:val="370"/>
    <w:qFormat/>
    <w:uiPriority w:val="0"/>
    <w:rPr>
      <w:rFonts w:ascii="Tahoma" w:hAnsi="Tahoma"/>
      <w:sz w:val="24"/>
      <w:szCs w:val="20"/>
    </w:rPr>
  </w:style>
  <w:style w:type="paragraph" w:customStyle="1" w:styleId="186">
    <w:name w:val="Body Text 21"/>
    <w:basedOn w:val="1"/>
    <w:next w:val="1"/>
    <w:qFormat/>
    <w:uiPriority w:val="0"/>
    <w:pPr>
      <w:widowControl/>
      <w:spacing w:line="300" w:lineRule="auto"/>
      <w:jc w:val="center"/>
    </w:pPr>
    <w:rPr>
      <w:rFonts w:ascii="宋体"/>
      <w:color w:val="000000"/>
      <w:sz w:val="24"/>
      <w:szCs w:val="20"/>
    </w:rPr>
  </w:style>
  <w:style w:type="paragraph" w:customStyle="1" w:styleId="187">
    <w:name w:val="Normal_9"/>
    <w:qFormat/>
    <w:uiPriority w:val="0"/>
    <w:rPr>
      <w:rFonts w:ascii="黑体" w:hAnsi="黑体" w:eastAsia="黑体" w:cs="Times New Roman"/>
      <w:b/>
      <w:sz w:val="32"/>
      <w:szCs w:val="24"/>
      <w:lang w:val="en-US" w:eastAsia="zh-CN" w:bidi="ar-SA"/>
    </w:rPr>
  </w:style>
  <w:style w:type="paragraph" w:customStyle="1" w:styleId="188">
    <w:name w:val="样式 标题 3Title3h33rd levelH3l3CTlevel_3PIM 33Heading 3 -..."/>
    <w:basedOn w:val="5"/>
    <w:qFormat/>
    <w:uiPriority w:val="0"/>
    <w:pPr>
      <w:spacing w:line="416" w:lineRule="auto"/>
      <w:ind w:firstLine="0" w:firstLineChars="0"/>
    </w:pPr>
    <w:rPr>
      <w:rFonts w:ascii="Times New Roman" w:eastAsia="宋体" w:cs="宋体"/>
      <w:sz w:val="36"/>
    </w:rPr>
  </w:style>
  <w:style w:type="paragraph" w:customStyle="1" w:styleId="189">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90">
    <w:name w:val="Char Char Char Char Char Char Char"/>
    <w:basedOn w:val="1"/>
    <w:qFormat/>
    <w:uiPriority w:val="0"/>
    <w:pPr>
      <w:tabs>
        <w:tab w:val="left" w:pos="432"/>
      </w:tabs>
      <w:ind w:left="432" w:hanging="432"/>
      <w:jc w:val="center"/>
    </w:pPr>
    <w:rPr>
      <w:rFonts w:ascii="仿宋_GB2312" w:hAnsi="Tahoma" w:eastAsia="仿宋_GB2312"/>
      <w:sz w:val="24"/>
    </w:rPr>
  </w:style>
  <w:style w:type="paragraph" w:customStyle="1" w:styleId="191">
    <w:name w:val="Table Text"/>
    <w:qFormat/>
    <w:uiPriority w:val="0"/>
    <w:pPr>
      <w:snapToGrid w:val="0"/>
      <w:spacing w:before="80" w:after="80"/>
    </w:pPr>
    <w:rPr>
      <w:rFonts w:ascii="Arial" w:hAnsi="Arial" w:eastAsia="宋体" w:cs="Arial"/>
      <w:kern w:val="2"/>
      <w:sz w:val="18"/>
      <w:szCs w:val="18"/>
      <w:lang w:val="en-US" w:eastAsia="zh-CN" w:bidi="ar-SA"/>
    </w:rPr>
  </w:style>
  <w:style w:type="paragraph" w:customStyle="1" w:styleId="192">
    <w:name w:val="样式1"/>
    <w:basedOn w:val="4"/>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19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9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95">
    <w:name w:val="样式 标题 4h4H4PIM 4Ref Heading 1rh1Heading sqlsect 1.2.3.4h..."/>
    <w:basedOn w:val="7"/>
    <w:qFormat/>
    <w:uiPriority w:val="0"/>
    <w:pPr>
      <w:keepNext/>
      <w:widowControl w:val="0"/>
      <w:spacing w:line="376" w:lineRule="auto"/>
    </w:pPr>
    <w:rPr>
      <w:bCs/>
      <w:color w:val="auto"/>
      <w:sz w:val="32"/>
      <w:szCs w:val="28"/>
    </w:rPr>
  </w:style>
  <w:style w:type="paragraph" w:customStyle="1" w:styleId="196">
    <w:name w:val="文档正文"/>
    <w:basedOn w:val="1"/>
    <w:qFormat/>
    <w:uiPriority w:val="0"/>
    <w:pPr>
      <w:adjustRightInd w:val="0"/>
      <w:spacing w:line="480" w:lineRule="atLeast"/>
      <w:ind w:firstLine="567"/>
      <w:textAlignment w:val="baseline"/>
    </w:pPr>
    <w:rPr>
      <w:rFonts w:ascii="长城仿宋" w:hAnsi="Cambria"/>
      <w:kern w:val="0"/>
      <w:sz w:val="24"/>
      <w:szCs w:val="20"/>
    </w:rPr>
  </w:style>
  <w:style w:type="paragraph" w:customStyle="1" w:styleId="197">
    <w:name w:val="Char Char Char Char Char Char Char1"/>
    <w:basedOn w:val="1"/>
    <w:qFormat/>
    <w:uiPriority w:val="0"/>
    <w:pPr>
      <w:tabs>
        <w:tab w:val="left" w:pos="432"/>
      </w:tabs>
      <w:ind w:left="432" w:hanging="432"/>
      <w:jc w:val="center"/>
    </w:pPr>
    <w:rPr>
      <w:rFonts w:ascii="仿宋_GB2312" w:hAnsi="Tahoma" w:eastAsia="仿宋_GB2312"/>
      <w:sz w:val="24"/>
    </w:rPr>
  </w:style>
  <w:style w:type="paragraph" w:customStyle="1" w:styleId="198">
    <w:name w:val="经典样式正文"/>
    <w:basedOn w:val="199"/>
    <w:next w:val="199"/>
    <w:qFormat/>
    <w:uiPriority w:val="0"/>
    <w:rPr>
      <w:rFonts w:ascii="Times New Roman" w:hAnsi="Times New Roman"/>
      <w:szCs w:val="24"/>
    </w:rPr>
  </w:style>
  <w:style w:type="paragraph" w:customStyle="1" w:styleId="199">
    <w:name w:val="正文文本 2_0"/>
    <w:basedOn w:val="81"/>
    <w:unhideWhenUsed/>
    <w:qFormat/>
    <w:uiPriority w:val="99"/>
    <w:pPr>
      <w:spacing w:after="120" w:line="480" w:lineRule="auto"/>
    </w:pPr>
    <w:rPr>
      <w:rFonts w:ascii="Calibri" w:hAnsi="Calibri"/>
      <w:szCs w:val="22"/>
    </w:rPr>
  </w:style>
  <w:style w:type="paragraph" w:customStyle="1" w:styleId="200">
    <w:name w:val="Char Char Char"/>
    <w:basedOn w:val="1"/>
    <w:qFormat/>
    <w:uiPriority w:val="0"/>
    <w:rPr>
      <w:rFonts w:ascii="Tahoma" w:hAnsi="Tahoma"/>
      <w:sz w:val="24"/>
      <w:szCs w:val="20"/>
    </w:rPr>
  </w:style>
  <w:style w:type="paragraph" w:customStyle="1" w:styleId="201">
    <w:name w:val="标题2正文"/>
    <w:basedOn w:val="1"/>
    <w:qFormat/>
    <w:uiPriority w:val="0"/>
    <w:pPr>
      <w:spacing w:line="360" w:lineRule="auto"/>
      <w:ind w:firstLine="200" w:firstLineChars="200"/>
      <w:jc w:val="left"/>
    </w:pPr>
    <w:rPr>
      <w:sz w:val="24"/>
    </w:rPr>
  </w:style>
  <w:style w:type="paragraph" w:customStyle="1" w:styleId="202">
    <w:name w:val="正文2"/>
    <w:basedOn w:val="1"/>
    <w:qFormat/>
    <w:uiPriority w:val="0"/>
    <w:pPr>
      <w:spacing w:before="156" w:line="360" w:lineRule="auto"/>
      <w:ind w:firstLine="510" w:firstLineChars="200"/>
    </w:pPr>
    <w:rPr>
      <w:sz w:val="24"/>
      <w:szCs w:val="20"/>
    </w:rPr>
  </w:style>
  <w:style w:type="paragraph" w:customStyle="1" w:styleId="203">
    <w:name w:val="Char Char Char Char1"/>
    <w:basedOn w:val="1"/>
    <w:qFormat/>
    <w:uiPriority w:val="0"/>
    <w:rPr>
      <w:rFonts w:ascii="Tahoma" w:hAnsi="Tahoma"/>
      <w:sz w:val="24"/>
      <w:szCs w:val="20"/>
    </w:rPr>
  </w:style>
  <w:style w:type="paragraph" w:customStyle="1" w:styleId="204">
    <w:name w:val="纯文本_2"/>
    <w:basedOn w:val="205"/>
    <w:qFormat/>
    <w:uiPriority w:val="0"/>
    <w:rPr>
      <w:rFonts w:ascii="宋体" w:hAnsi="Courier New"/>
      <w:szCs w:val="20"/>
    </w:rPr>
  </w:style>
  <w:style w:type="paragraph" w:customStyle="1" w:styleId="20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Char Char Char Char Char Char Char Char Char Char"/>
    <w:basedOn w:val="21"/>
    <w:qFormat/>
    <w:uiPriority w:val="0"/>
    <w:rPr>
      <w:szCs w:val="20"/>
    </w:rPr>
  </w:style>
  <w:style w:type="paragraph" w:customStyle="1" w:styleId="207">
    <w:name w:val="标题 3_0"/>
    <w:basedOn w:val="208"/>
    <w:next w:val="209"/>
    <w:link w:val="362"/>
    <w:unhideWhenUsed/>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customStyle="1" w:styleId="20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正文缩进_0"/>
    <w:basedOn w:val="208"/>
    <w:link w:val="344"/>
    <w:unhideWhenUsed/>
    <w:qFormat/>
    <w:uiPriority w:val="0"/>
    <w:pPr>
      <w:ind w:firstLine="420"/>
    </w:pPr>
    <w:rPr>
      <w:szCs w:val="20"/>
    </w:rPr>
  </w:style>
  <w:style w:type="paragraph" w:customStyle="1" w:styleId="210">
    <w:name w:val="正文文本缩进 2_0"/>
    <w:basedOn w:val="208"/>
    <w:link w:val="451"/>
    <w:unhideWhenUsed/>
    <w:qFormat/>
    <w:uiPriority w:val="0"/>
    <w:pPr>
      <w:snapToGrid w:val="0"/>
      <w:spacing w:line="400" w:lineRule="exact"/>
      <w:ind w:firstLine="480"/>
    </w:pPr>
    <w:rPr>
      <w:rFonts w:eastAsia="仿宋_GB2312"/>
      <w:sz w:val="24"/>
      <w:szCs w:val="22"/>
    </w:rPr>
  </w:style>
  <w:style w:type="paragraph" w:customStyle="1" w:styleId="211">
    <w:name w:val="普通(网站)_1"/>
    <w:basedOn w:val="208"/>
    <w:unhideWhenUsed/>
    <w:qFormat/>
    <w:uiPriority w:val="99"/>
    <w:pPr>
      <w:widowControl/>
      <w:spacing w:before="100" w:beforeAutospacing="1" w:after="100" w:afterAutospacing="1"/>
      <w:jc w:val="left"/>
    </w:pPr>
    <w:rPr>
      <w:rFonts w:ascii="宋体" w:hAnsi="宋体"/>
      <w:kern w:val="0"/>
      <w:sz w:val="24"/>
      <w:szCs w:val="22"/>
    </w:rPr>
  </w:style>
  <w:style w:type="paragraph" w:customStyle="1" w:styleId="212">
    <w:name w:val="Char2"/>
    <w:basedOn w:val="1"/>
    <w:qFormat/>
    <w:uiPriority w:val="0"/>
    <w:rPr>
      <w:rFonts w:ascii="仿宋_GB2312" w:hAnsi="Cambria" w:eastAsia="仿宋_GB2312"/>
      <w:b/>
      <w:sz w:val="32"/>
      <w:szCs w:val="32"/>
    </w:rPr>
  </w:style>
  <w:style w:type="paragraph" w:customStyle="1" w:styleId="213">
    <w:name w:val="纯文本_0_0"/>
    <w:basedOn w:val="214"/>
    <w:link w:val="351"/>
    <w:qFormat/>
    <w:uiPriority w:val="0"/>
    <w:rPr>
      <w:rFonts w:ascii="宋体" w:hAnsi="Courier New"/>
      <w:szCs w:val="21"/>
    </w:rPr>
  </w:style>
  <w:style w:type="paragraph" w:customStyle="1" w:styleId="2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1"/>
    <w:qFormat/>
    <w:uiPriority w:val="0"/>
    <w:rPr>
      <w:rFonts w:ascii="Times New Roman" w:hAnsi="Times New Roman" w:eastAsia="Times New Roman" w:cs="Times New Roman"/>
      <w:sz w:val="24"/>
      <w:szCs w:val="24"/>
      <w:lang w:val="en-US" w:eastAsia="zh-CN" w:bidi="ar-SA"/>
    </w:rPr>
  </w:style>
  <w:style w:type="paragraph" w:customStyle="1" w:styleId="216">
    <w:name w:val="Normal_0"/>
    <w:qFormat/>
    <w:uiPriority w:val="0"/>
    <w:rPr>
      <w:rFonts w:ascii="黑体" w:hAnsi="黑体" w:eastAsia="黑体" w:cs="Times New Roman"/>
      <w:b/>
      <w:sz w:val="32"/>
      <w:szCs w:val="24"/>
      <w:lang w:val="en-US" w:eastAsia="zh-CN" w:bidi="ar-SA"/>
    </w:rPr>
  </w:style>
  <w:style w:type="paragraph" w:customStyle="1" w:styleId="217">
    <w:name w:val="普通(网站)_2"/>
    <w:basedOn w:val="218"/>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1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9">
    <w:name w:val="!我的正文 Ctr+Q"/>
    <w:basedOn w:val="1"/>
    <w:link w:val="414"/>
    <w:qFormat/>
    <w:uiPriority w:val="0"/>
    <w:pPr>
      <w:adjustRightInd w:val="0"/>
      <w:snapToGrid w:val="0"/>
      <w:spacing w:line="360" w:lineRule="auto"/>
      <w:ind w:firstLine="480" w:firstLineChars="200"/>
    </w:pPr>
    <w:rPr>
      <w:rFonts w:ascii="Arial" w:hAnsi="Arial" w:eastAsia="仿宋_GB2312"/>
      <w:sz w:val="24"/>
      <w:szCs w:val="21"/>
    </w:rPr>
  </w:style>
  <w:style w:type="paragraph" w:customStyle="1" w:styleId="220">
    <w:name w:val="Normal_1"/>
    <w:qFormat/>
    <w:uiPriority w:val="0"/>
    <w:rPr>
      <w:rFonts w:ascii="黑体" w:hAnsi="黑体" w:eastAsia="黑体" w:cs="Times New Roman"/>
      <w:b/>
      <w:sz w:val="32"/>
      <w:szCs w:val="24"/>
      <w:lang w:val="en-US" w:eastAsia="zh-CN" w:bidi="ar-SA"/>
    </w:rPr>
  </w:style>
  <w:style w:type="paragraph" w:customStyle="1" w:styleId="221">
    <w:name w:val="正文_1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Normal_18"/>
    <w:qFormat/>
    <w:uiPriority w:val="0"/>
    <w:rPr>
      <w:rFonts w:ascii="黑体" w:hAnsi="黑体" w:eastAsia="黑体" w:cs="Times New Roman"/>
      <w:b/>
      <w:sz w:val="32"/>
      <w:szCs w:val="24"/>
      <w:lang w:val="en-US" w:eastAsia="zh-CN" w:bidi="ar-SA"/>
    </w:rPr>
  </w:style>
  <w:style w:type="paragraph" w:customStyle="1" w:styleId="224">
    <w:name w:val="纯文本_1"/>
    <w:basedOn w:val="205"/>
    <w:link w:val="372"/>
    <w:qFormat/>
    <w:uiPriority w:val="0"/>
    <w:rPr>
      <w:rFonts w:ascii="宋体" w:hAnsi="Courier New"/>
      <w:szCs w:val="20"/>
    </w:rPr>
  </w:style>
  <w:style w:type="paragraph" w:customStyle="1" w:styleId="22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_20"/>
    <w:qFormat/>
    <w:uiPriority w:val="0"/>
    <w:rPr>
      <w:rFonts w:ascii="黑体" w:hAnsi="黑体" w:eastAsia="黑体" w:cs="Times New Roman"/>
      <w:b/>
      <w:sz w:val="32"/>
      <w:szCs w:val="24"/>
      <w:lang w:val="en-US" w:eastAsia="zh-CN" w:bidi="ar-SA"/>
    </w:rPr>
  </w:style>
  <w:style w:type="paragraph" w:customStyle="1" w:styleId="227">
    <w:name w:val="纯文本_3"/>
    <w:basedOn w:val="228"/>
    <w:link w:val="452"/>
    <w:qFormat/>
    <w:uiPriority w:val="0"/>
    <w:rPr>
      <w:rFonts w:ascii="宋体" w:hAnsi="Courier New"/>
      <w:szCs w:val="20"/>
    </w:rPr>
  </w:style>
  <w:style w:type="paragraph" w:customStyle="1" w:styleId="22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Normal_8"/>
    <w:qFormat/>
    <w:uiPriority w:val="0"/>
    <w:rPr>
      <w:rFonts w:ascii="黑体" w:hAnsi="黑体" w:eastAsia="黑体" w:cs="Times New Roman"/>
      <w:b/>
      <w:sz w:val="32"/>
      <w:szCs w:val="24"/>
      <w:lang w:val="en-US" w:eastAsia="zh-CN" w:bidi="ar-SA"/>
    </w:rPr>
  </w:style>
  <w:style w:type="paragraph" w:customStyle="1" w:styleId="230">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纯文本_4_0"/>
    <w:basedOn w:val="233"/>
    <w:link w:val="411"/>
    <w:qFormat/>
    <w:uiPriority w:val="0"/>
    <w:rPr>
      <w:rFonts w:ascii="宋体" w:hAnsi="Courier New"/>
      <w:szCs w:val="20"/>
    </w:rPr>
  </w:style>
  <w:style w:type="paragraph" w:customStyle="1" w:styleId="233">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Normal_10"/>
    <w:qFormat/>
    <w:uiPriority w:val="0"/>
    <w:rPr>
      <w:rFonts w:ascii="黑体" w:hAnsi="黑体" w:eastAsia="黑体" w:cs="Times New Roman"/>
      <w:b/>
      <w:sz w:val="32"/>
      <w:szCs w:val="24"/>
      <w:lang w:val="en-US" w:eastAsia="zh-CN" w:bidi="ar-SA"/>
    </w:rPr>
  </w:style>
  <w:style w:type="paragraph" w:customStyle="1" w:styleId="235">
    <w:name w:val="纯文本_6_0"/>
    <w:basedOn w:val="236"/>
    <w:qFormat/>
    <w:uiPriority w:val="0"/>
    <w:rPr>
      <w:rFonts w:ascii="宋体" w:hAnsi="Courier New"/>
      <w:szCs w:val="20"/>
    </w:rPr>
  </w:style>
  <w:style w:type="paragraph" w:customStyle="1" w:styleId="236">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7">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8">
    <w:name w:val="纯文本_4_1"/>
    <w:basedOn w:val="236"/>
    <w:link w:val="453"/>
    <w:qFormat/>
    <w:uiPriority w:val="0"/>
    <w:rPr>
      <w:rFonts w:ascii="宋体" w:hAnsi="Courier New"/>
      <w:szCs w:val="20"/>
    </w:rPr>
  </w:style>
  <w:style w:type="paragraph" w:customStyle="1" w:styleId="239">
    <w:name w:val="Normal_11"/>
    <w:qFormat/>
    <w:uiPriority w:val="0"/>
    <w:rPr>
      <w:rFonts w:ascii="黑体" w:hAnsi="黑体" w:eastAsia="黑体" w:cs="Times New Roman"/>
      <w:b/>
      <w:sz w:val="32"/>
      <w:szCs w:val="24"/>
      <w:lang w:val="en-US" w:eastAsia="zh-CN" w:bidi="ar-SA"/>
    </w:rPr>
  </w:style>
  <w:style w:type="paragraph" w:customStyle="1" w:styleId="240">
    <w:name w:val="列出段落1"/>
    <w:basedOn w:val="1"/>
    <w:link w:val="463"/>
    <w:qFormat/>
    <w:uiPriority w:val="0"/>
    <w:pPr>
      <w:ind w:firstLine="420" w:firstLineChars="200"/>
    </w:pPr>
  </w:style>
  <w:style w:type="paragraph" w:customStyle="1" w:styleId="241">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Paragraph Text"/>
    <w:basedOn w:val="1"/>
    <w:qFormat/>
    <w:uiPriority w:val="0"/>
    <w:pPr>
      <w:widowControl/>
      <w:spacing w:line="320" w:lineRule="exact"/>
      <w:jc w:val="left"/>
    </w:pPr>
    <w:rPr>
      <w:rFonts w:ascii="Beijing" w:hAnsi="Cambria" w:eastAsia="Times New Roman"/>
      <w:kern w:val="0"/>
      <w:sz w:val="18"/>
      <w:szCs w:val="18"/>
    </w:rPr>
  </w:style>
  <w:style w:type="paragraph" w:customStyle="1" w:styleId="243">
    <w:name w:val="样式 首行缩进:  0.74 厘米"/>
    <w:basedOn w:val="1"/>
    <w:link w:val="341"/>
    <w:qFormat/>
    <w:uiPriority w:val="0"/>
    <w:pPr>
      <w:tabs>
        <w:tab w:val="left" w:pos="851"/>
      </w:tabs>
      <w:spacing w:line="360" w:lineRule="auto"/>
    </w:pPr>
    <w:rPr>
      <w:rFonts w:ascii="宋体" w:hAnsi="宋体" w:cs="宋体"/>
      <w:b/>
      <w:sz w:val="24"/>
      <w:szCs w:val="24"/>
    </w:rPr>
  </w:style>
  <w:style w:type="paragraph" w:customStyle="1" w:styleId="244">
    <w:name w:val="纯文本_6_1"/>
    <w:basedOn w:val="241"/>
    <w:link w:val="454"/>
    <w:qFormat/>
    <w:uiPriority w:val="0"/>
    <w:rPr>
      <w:rFonts w:ascii="宋体" w:hAnsi="Courier New"/>
      <w:szCs w:val="20"/>
    </w:rPr>
  </w:style>
  <w:style w:type="paragraph" w:styleId="245">
    <w:name w:val="No Spacing"/>
    <w:link w:val="431"/>
    <w:qFormat/>
    <w:uiPriority w:val="1"/>
    <w:rPr>
      <w:rFonts w:ascii="Calibri" w:hAnsi="Calibri" w:eastAsia="宋体" w:cs="Times New Roman"/>
      <w:sz w:val="22"/>
      <w:szCs w:val="22"/>
      <w:lang w:val="en-US" w:eastAsia="zh-CN" w:bidi="ar-SA"/>
    </w:rPr>
  </w:style>
  <w:style w:type="paragraph" w:customStyle="1" w:styleId="246">
    <w:name w:val="纯文本_6"/>
    <w:basedOn w:val="247"/>
    <w:link w:val="361"/>
    <w:qFormat/>
    <w:uiPriority w:val="0"/>
    <w:rPr>
      <w:rFonts w:ascii="宋体" w:hAnsi="Courier New"/>
      <w:kern w:val="0"/>
      <w:sz w:val="20"/>
      <w:szCs w:val="20"/>
    </w:rPr>
  </w:style>
  <w:style w:type="paragraph" w:customStyle="1" w:styleId="247">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GP正文(首行缩进)"/>
    <w:basedOn w:val="1"/>
    <w:qFormat/>
    <w:uiPriority w:val="0"/>
    <w:pPr>
      <w:spacing w:line="360" w:lineRule="auto"/>
      <w:ind w:firstLine="200" w:firstLineChars="200"/>
      <w:jc w:val="left"/>
    </w:pPr>
    <w:rPr>
      <w:rFonts w:ascii="Cambria" w:hAnsi="Cambria"/>
      <w:sz w:val="24"/>
      <w:szCs w:val="21"/>
    </w:rPr>
  </w:style>
  <w:style w:type="paragraph" w:customStyle="1" w:styleId="249">
    <w:name w:val="纯文本_4_2"/>
    <w:basedOn w:val="247"/>
    <w:link w:val="354"/>
    <w:qFormat/>
    <w:uiPriority w:val="0"/>
    <w:rPr>
      <w:rFonts w:ascii="宋体" w:hAnsi="Courier New"/>
      <w:szCs w:val="20"/>
    </w:rPr>
  </w:style>
  <w:style w:type="paragraph" w:customStyle="1" w:styleId="250">
    <w:name w:val="Normal_12"/>
    <w:qFormat/>
    <w:uiPriority w:val="0"/>
    <w:rPr>
      <w:rFonts w:ascii="黑体" w:hAnsi="黑体" w:eastAsia="黑体" w:cs="Times New Roman"/>
      <w:b/>
      <w:sz w:val="32"/>
      <w:szCs w:val="24"/>
      <w:lang w:val="en-US" w:eastAsia="zh-CN" w:bidi="ar-SA"/>
    </w:rPr>
  </w:style>
  <w:style w:type="paragraph" w:customStyle="1" w:styleId="251">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2">
    <w:name w:val="Normal_13"/>
    <w:qFormat/>
    <w:uiPriority w:val="0"/>
    <w:rPr>
      <w:rFonts w:ascii="黑体" w:hAnsi="黑体" w:eastAsia="黑体" w:cs="Times New Roman"/>
      <w:b/>
      <w:sz w:val="32"/>
      <w:szCs w:val="24"/>
      <w:lang w:val="en-US" w:eastAsia="zh-CN" w:bidi="ar-SA"/>
    </w:rPr>
  </w:style>
  <w:style w:type="paragraph" w:customStyle="1" w:styleId="253">
    <w:name w:val="纯文本_5_0"/>
    <w:basedOn w:val="254"/>
    <w:link w:val="371"/>
    <w:qFormat/>
    <w:uiPriority w:val="0"/>
    <w:rPr>
      <w:rFonts w:ascii="宋体" w:hAnsi="Courier New"/>
      <w:szCs w:val="20"/>
    </w:rPr>
  </w:style>
  <w:style w:type="paragraph" w:customStyle="1" w:styleId="254">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5">
    <w:name w:val="Normal_15"/>
    <w:qFormat/>
    <w:uiPriority w:val="0"/>
    <w:rPr>
      <w:rFonts w:ascii="黑体" w:hAnsi="黑体" w:eastAsia="黑体" w:cs="Times New Roman"/>
      <w:b/>
      <w:sz w:val="32"/>
      <w:szCs w:val="24"/>
      <w:lang w:val="en-US" w:eastAsia="zh-CN" w:bidi="ar-SA"/>
    </w:rPr>
  </w:style>
  <w:style w:type="paragraph" w:customStyle="1" w:styleId="256">
    <w:name w:val="Normal_16"/>
    <w:qFormat/>
    <w:uiPriority w:val="0"/>
    <w:rPr>
      <w:rFonts w:ascii="黑体" w:hAnsi="黑体" w:eastAsia="黑体" w:cs="Times New Roman"/>
      <w:b/>
      <w:sz w:val="32"/>
      <w:szCs w:val="24"/>
      <w:lang w:val="en-US" w:eastAsia="zh-CN" w:bidi="ar-SA"/>
    </w:rPr>
  </w:style>
  <w:style w:type="paragraph" w:customStyle="1" w:styleId="257">
    <w:name w:val="正文_1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
    <w:name w:val="普通(网站)_1_0"/>
    <w:basedOn w:val="259"/>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259">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Normal_21"/>
    <w:qFormat/>
    <w:uiPriority w:val="0"/>
    <w:rPr>
      <w:rFonts w:ascii="黑体" w:hAnsi="黑体" w:eastAsia="黑体" w:cs="Times New Roman"/>
      <w:b/>
      <w:sz w:val="32"/>
      <w:szCs w:val="24"/>
      <w:lang w:val="en-US" w:eastAsia="zh-CN" w:bidi="ar-SA"/>
    </w:rPr>
  </w:style>
  <w:style w:type="paragraph" w:customStyle="1" w:styleId="262">
    <w:name w:val="_Style 260"/>
    <w:basedOn w:val="3"/>
    <w:next w:val="1"/>
    <w:unhideWhenUsed/>
    <w:qFormat/>
    <w:uiPriority w:val="39"/>
    <w:pPr>
      <w:keepLines/>
      <w:widowControl/>
      <w:autoSpaceDE/>
      <w:autoSpaceDN/>
      <w:spacing w:before="240" w:line="259" w:lineRule="auto"/>
      <w:jc w:val="left"/>
      <w:textAlignment w:val="auto"/>
      <w:outlineLvl w:val="9"/>
    </w:pPr>
    <w:rPr>
      <w:rFonts w:ascii="Calibri Light" w:hAnsi="Calibri Light" w:eastAsia="宋体"/>
      <w:b w:val="0"/>
      <w:color w:val="2E74B5"/>
      <w:kern w:val="0"/>
      <w:sz w:val="32"/>
      <w:szCs w:val="32"/>
    </w:rPr>
  </w:style>
  <w:style w:type="paragraph" w:customStyle="1" w:styleId="263">
    <w:name w:val="正文缩进1"/>
    <w:basedOn w:val="1"/>
    <w:link w:val="381"/>
    <w:qFormat/>
    <w:uiPriority w:val="0"/>
    <w:pPr>
      <w:widowControl/>
      <w:ind w:firstLine="420"/>
      <w:jc w:val="left"/>
    </w:pPr>
    <w:rPr>
      <w:rFonts w:ascii="Times New Roman" w:hAnsi="Times New Roman"/>
      <w:kern w:val="0"/>
      <w:sz w:val="20"/>
      <w:szCs w:val="20"/>
    </w:rPr>
  </w:style>
  <w:style w:type="paragraph" w:customStyle="1" w:styleId="264">
    <w:name w:val="列出段落2"/>
    <w:basedOn w:val="1"/>
    <w:link w:val="394"/>
    <w:qFormat/>
    <w:uiPriority w:val="34"/>
    <w:pPr>
      <w:ind w:firstLine="420" w:firstLineChars="200"/>
    </w:pPr>
    <w:rPr>
      <w:rFonts w:ascii="Times New Roman" w:hAnsi="Times New Roman"/>
      <w:szCs w:val="24"/>
    </w:rPr>
  </w:style>
  <w:style w:type="paragraph" w:customStyle="1" w:styleId="265">
    <w:name w:val="p0"/>
    <w:basedOn w:val="1"/>
    <w:unhideWhenUsed/>
    <w:qFormat/>
    <w:uiPriority w:val="0"/>
    <w:pPr>
      <w:widowControl/>
      <w:numPr>
        <w:ilvl w:val="0"/>
        <w:numId w:val="1"/>
      </w:numPr>
      <w:tabs>
        <w:tab w:val="left" w:pos="780"/>
      </w:tabs>
      <w:snapToGrid w:val="0"/>
      <w:spacing w:after="200"/>
      <w:jc w:val="left"/>
    </w:pPr>
    <w:rPr>
      <w:rFonts w:hint="eastAsia" w:ascii="Tahoma" w:hAnsi="Tahoma"/>
      <w:sz w:val="22"/>
      <w:szCs w:val="20"/>
    </w:rPr>
  </w:style>
  <w:style w:type="paragraph" w:customStyle="1" w:styleId="266">
    <w:name w:val="文档结构图1"/>
    <w:basedOn w:val="1"/>
    <w:link w:val="430"/>
    <w:qFormat/>
    <w:uiPriority w:val="99"/>
    <w:rPr>
      <w:rFonts w:ascii="宋体" w:hAnsi="Times New Roman"/>
      <w:kern w:val="0"/>
      <w:sz w:val="18"/>
      <w:szCs w:val="18"/>
    </w:rPr>
  </w:style>
  <w:style w:type="paragraph" w:customStyle="1" w:styleId="267">
    <w:name w:val="纯文本_4"/>
    <w:basedOn w:val="230"/>
    <w:qFormat/>
    <w:uiPriority w:val="0"/>
    <w:rPr>
      <w:rFonts w:ascii="宋体" w:hAnsi="Courier New"/>
      <w:szCs w:val="20"/>
    </w:rPr>
  </w:style>
  <w:style w:type="paragraph" w:customStyle="1" w:styleId="26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69">
    <w:name w:val="纯文本11"/>
    <w:basedOn w:val="1"/>
    <w:qFormat/>
    <w:uiPriority w:val="0"/>
    <w:rPr>
      <w:rFonts w:ascii="宋体" w:hAnsi="Cambria"/>
      <w:kern w:val="0"/>
      <w:sz w:val="20"/>
      <w:szCs w:val="20"/>
    </w:rPr>
  </w:style>
  <w:style w:type="paragraph" w:customStyle="1" w:styleId="270">
    <w:name w:val="TableText"/>
    <w:basedOn w:val="1"/>
    <w:qFormat/>
    <w:uiPriority w:val="0"/>
    <w:pPr>
      <w:snapToGrid w:val="0"/>
      <w:spacing w:beforeLines="20" w:afterLines="20"/>
      <w:jc w:val="center"/>
    </w:pPr>
    <w:rPr>
      <w:rFonts w:hint="eastAsia" w:ascii="Cambria" w:hAnsi="Cambria"/>
      <w:szCs w:val="20"/>
    </w:rPr>
  </w:style>
  <w:style w:type="paragraph" w:customStyle="1" w:styleId="271">
    <w:name w:val="表格文字"/>
    <w:basedOn w:val="1"/>
    <w:unhideWhenUsed/>
    <w:qFormat/>
    <w:uiPriority w:val="0"/>
    <w:pPr>
      <w:numPr>
        <w:ilvl w:val="0"/>
        <w:numId w:val="2"/>
      </w:numPr>
      <w:tabs>
        <w:tab w:val="left" w:pos="1620"/>
      </w:tabs>
      <w:adjustRightInd w:val="0"/>
      <w:spacing w:line="420" w:lineRule="atLeast"/>
      <w:jc w:val="left"/>
      <w:textAlignment w:val="baseline"/>
    </w:pPr>
    <w:rPr>
      <w:rFonts w:hint="eastAsia" w:ascii="Cambria" w:hAnsi="Cambria"/>
      <w:szCs w:val="20"/>
    </w:rPr>
  </w:style>
  <w:style w:type="paragraph" w:customStyle="1" w:styleId="272">
    <w:name w:val="6'"/>
    <w:basedOn w:val="1"/>
    <w:unhideWhenUsed/>
    <w:qFormat/>
    <w:uiPriority w:val="0"/>
    <w:pPr>
      <w:numPr>
        <w:ilvl w:val="0"/>
        <w:numId w:val="3"/>
      </w:numPr>
      <w:tabs>
        <w:tab w:val="left" w:pos="1200"/>
      </w:tabs>
      <w:autoSpaceDE w:val="0"/>
      <w:autoSpaceDN w:val="0"/>
      <w:adjustRightInd w:val="0"/>
      <w:snapToGrid w:val="0"/>
      <w:spacing w:line="320" w:lineRule="exact"/>
      <w:jc w:val="center"/>
      <w:textAlignment w:val="baseline"/>
    </w:pPr>
    <w:rPr>
      <w:rFonts w:hint="eastAsia" w:ascii="Cambria" w:hAnsi="Cambria"/>
      <w:spacing w:val="20"/>
      <w:kern w:val="28"/>
      <w:szCs w:val="20"/>
    </w:rPr>
  </w:style>
  <w:style w:type="paragraph" w:customStyle="1" w:styleId="273">
    <w:name w:val="List Paragraph1"/>
    <w:basedOn w:val="1"/>
    <w:qFormat/>
    <w:uiPriority w:val="0"/>
    <w:pPr>
      <w:ind w:firstLine="420" w:firstLineChars="200"/>
    </w:pPr>
    <w:rPr>
      <w:rFonts w:eastAsia="Times New Roman"/>
      <w:sz w:val="22"/>
      <w:szCs w:val="20"/>
    </w:rPr>
  </w:style>
  <w:style w:type="paragraph" w:customStyle="1" w:styleId="274">
    <w:name w:val="Char Char Char1"/>
    <w:basedOn w:val="21"/>
    <w:qFormat/>
    <w:uiPriority w:val="0"/>
    <w:rPr>
      <w:rFonts w:ascii="Times New Roman"/>
      <w:szCs w:val="24"/>
    </w:rPr>
  </w:style>
  <w:style w:type="paragraph" w:customStyle="1" w:styleId="27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276">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77">
    <w:name w:val="Char Char Char1 Char"/>
    <w:basedOn w:val="1"/>
    <w:qFormat/>
    <w:uiPriority w:val="0"/>
    <w:rPr>
      <w:rFonts w:ascii="Cambria" w:hAnsi="Cambria"/>
      <w:szCs w:val="20"/>
    </w:rPr>
  </w:style>
  <w:style w:type="paragraph" w:customStyle="1" w:styleId="278">
    <w:name w:val="List Paragraph2"/>
    <w:basedOn w:val="1"/>
    <w:qFormat/>
    <w:uiPriority w:val="0"/>
    <w:pPr>
      <w:ind w:firstLine="420" w:firstLineChars="200"/>
    </w:pPr>
  </w:style>
  <w:style w:type="paragraph" w:customStyle="1" w:styleId="279">
    <w:name w:val="样式 正文文本"/>
    <w:basedOn w:val="1"/>
    <w:unhideWhenUsed/>
    <w:qFormat/>
    <w:uiPriority w:val="0"/>
    <w:pPr>
      <w:adjustRightInd w:val="0"/>
      <w:snapToGrid w:val="0"/>
      <w:spacing w:line="400" w:lineRule="exact"/>
      <w:ind w:firstLine="200" w:firstLineChars="200"/>
    </w:pPr>
    <w:rPr>
      <w:rFonts w:hint="eastAsia" w:ascii="Arial" w:hAnsi="Arial"/>
      <w:color w:val="000000"/>
      <w:szCs w:val="20"/>
    </w:rPr>
  </w:style>
  <w:style w:type="paragraph" w:customStyle="1" w:styleId="280">
    <w:name w:val="Char Char Char1 Char1"/>
    <w:basedOn w:val="1"/>
    <w:qFormat/>
    <w:uiPriority w:val="0"/>
    <w:rPr>
      <w:rFonts w:ascii="Cambria" w:hAnsi="Cambria"/>
      <w:szCs w:val="20"/>
    </w:rPr>
  </w:style>
  <w:style w:type="paragraph" w:customStyle="1" w:styleId="28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282">
    <w:name w:val="a正文"/>
    <w:basedOn w:val="1"/>
    <w:qFormat/>
    <w:uiPriority w:val="0"/>
    <w:pPr>
      <w:spacing w:line="360" w:lineRule="auto"/>
      <w:ind w:firstLine="480" w:firstLineChars="200"/>
    </w:pPr>
    <w:rPr>
      <w:rFonts w:ascii="宋体" w:hAnsi="宋体"/>
      <w:kern w:val="0"/>
      <w:sz w:val="24"/>
      <w:szCs w:val="20"/>
    </w:rPr>
  </w:style>
  <w:style w:type="paragraph" w:customStyle="1" w:styleId="28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Gulim" w:hAnsi="Gulim" w:eastAsia="Gulim" w:cs="宋体"/>
      <w:kern w:val="0"/>
      <w:sz w:val="20"/>
      <w:szCs w:val="20"/>
    </w:rPr>
  </w:style>
  <w:style w:type="paragraph" w:customStyle="1" w:styleId="28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285">
    <w:name w:val="xl85"/>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28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Char1"/>
    <w:basedOn w:val="1"/>
    <w:unhideWhenUsed/>
    <w:qFormat/>
    <w:uiPriority w:val="0"/>
    <w:pPr>
      <w:numPr>
        <w:ilvl w:val="0"/>
        <w:numId w:val="4"/>
      </w:numPr>
      <w:tabs>
        <w:tab w:val="left" w:pos="2040"/>
      </w:tabs>
      <w:jc w:val="center"/>
    </w:pPr>
    <w:rPr>
      <w:rFonts w:hint="eastAsia" w:ascii="Cambria" w:hAnsi="Cambria"/>
      <w:szCs w:val="20"/>
    </w:rPr>
  </w:style>
  <w:style w:type="paragraph" w:customStyle="1" w:styleId="288">
    <w:name w:val="S4-L15-C"/>
    <w:basedOn w:val="1"/>
    <w:qFormat/>
    <w:uiPriority w:val="0"/>
    <w:pPr>
      <w:spacing w:after="120" w:line="360" w:lineRule="auto"/>
      <w:jc w:val="center"/>
    </w:pPr>
    <w:rPr>
      <w:rFonts w:ascii="Cambria" w:hAnsi="Cambria"/>
      <w:szCs w:val="20"/>
    </w:rPr>
  </w:style>
  <w:style w:type="paragraph" w:customStyle="1" w:styleId="289">
    <w:name w:val="xl8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290">
    <w:name w:val="标题 1_0"/>
    <w:basedOn w:val="208"/>
    <w:next w:val="208"/>
    <w:qFormat/>
    <w:uiPriority w:val="9"/>
    <w:pPr>
      <w:keepNext/>
      <w:keepLines/>
      <w:adjustRightInd w:val="0"/>
      <w:spacing w:before="120" w:line="360" w:lineRule="auto"/>
      <w:jc w:val="center"/>
      <w:textAlignment w:val="baseline"/>
      <w:outlineLvl w:val="0"/>
    </w:pPr>
    <w:rPr>
      <w:rFonts w:ascii="Calibri" w:hAnsi="Calibri"/>
      <w:bCs/>
      <w:kern w:val="44"/>
      <w:sz w:val="44"/>
      <w:szCs w:val="20"/>
    </w:rPr>
  </w:style>
  <w:style w:type="paragraph" w:customStyle="1" w:styleId="291">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292">
    <w:name w:val="标题 2_0"/>
    <w:basedOn w:val="208"/>
    <w:next w:val="208"/>
    <w:unhideWhenUsed/>
    <w:qFormat/>
    <w:uiPriority w:val="9"/>
    <w:pPr>
      <w:keepNext/>
      <w:keepLines/>
      <w:spacing w:before="260" w:after="260" w:line="416" w:lineRule="auto"/>
      <w:outlineLvl w:val="1"/>
    </w:pPr>
    <w:rPr>
      <w:rFonts w:ascii="Arial" w:hAnsi="Arial" w:eastAsia="黑体"/>
      <w:b/>
      <w:bCs/>
      <w:sz w:val="32"/>
      <w:szCs w:val="32"/>
    </w:rPr>
  </w:style>
  <w:style w:type="paragraph" w:customStyle="1" w:styleId="293">
    <w:name w:val="Char21"/>
    <w:basedOn w:val="1"/>
    <w:qFormat/>
    <w:uiPriority w:val="0"/>
    <w:rPr>
      <w:rFonts w:ascii="仿宋_GB2312" w:hAnsi="Cambria" w:eastAsia="仿宋_GB2312"/>
      <w:b/>
      <w:sz w:val="32"/>
      <w:szCs w:val="32"/>
    </w:rPr>
  </w:style>
  <w:style w:type="paragraph" w:customStyle="1" w:styleId="29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295">
    <w:name w:val="样式 标题 3 + (中文) 黑体 小四 非加粗 段前: 7.8 磅 段后: 0 磅 行距: 固定值 20 磅"/>
    <w:basedOn w:val="5"/>
    <w:unhideWhenUsed/>
    <w:qFormat/>
    <w:uiPriority w:val="0"/>
    <w:pPr>
      <w:numPr>
        <w:ilvl w:val="0"/>
        <w:numId w:val="5"/>
      </w:numPr>
      <w:tabs>
        <w:tab w:val="left" w:pos="420"/>
        <w:tab w:val="left" w:pos="1620"/>
      </w:tabs>
      <w:spacing w:before="0" w:after="0" w:line="400" w:lineRule="exact"/>
      <w:ind w:firstLine="0" w:firstLineChars="0"/>
    </w:pPr>
    <w:rPr>
      <w:rFonts w:hint="eastAsia" w:ascii="Cambria" w:hAnsi="Cambria" w:eastAsia="黑体"/>
      <w:b w:val="0"/>
      <w:bCs w:val="0"/>
      <w:sz w:val="24"/>
    </w:rPr>
  </w:style>
  <w:style w:type="paragraph" w:customStyle="1" w:styleId="29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297">
    <w:name w:val="文档结构图11"/>
    <w:basedOn w:val="1"/>
    <w:qFormat/>
    <w:uiPriority w:val="0"/>
    <w:rPr>
      <w:rFonts w:ascii="宋体"/>
      <w:sz w:val="18"/>
      <w:szCs w:val="18"/>
    </w:rPr>
  </w:style>
  <w:style w:type="paragraph" w:customStyle="1" w:styleId="298">
    <w:name w:val="Normal_14"/>
    <w:qFormat/>
    <w:uiPriority w:val="0"/>
    <w:rPr>
      <w:rFonts w:ascii="黑体" w:hAnsi="黑体" w:eastAsia="黑体" w:cs="Times New Roman"/>
      <w:b/>
      <w:sz w:val="32"/>
      <w:szCs w:val="24"/>
      <w:lang w:val="en-US" w:eastAsia="zh-CN" w:bidi="ar-SA"/>
    </w:rPr>
  </w:style>
  <w:style w:type="paragraph" w:customStyle="1" w:styleId="29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b/>
      <w:bCs/>
      <w:kern w:val="0"/>
      <w:sz w:val="20"/>
      <w:szCs w:val="20"/>
    </w:rPr>
  </w:style>
  <w:style w:type="paragraph" w:customStyle="1" w:styleId="300">
    <w:name w:val="正文 New New New New"/>
    <w:basedOn w:val="1"/>
    <w:qFormat/>
    <w:uiPriority w:val="0"/>
    <w:rPr>
      <w:rFonts w:ascii="Cambria" w:hAnsi="Cambria"/>
      <w:kern w:val="0"/>
      <w:sz w:val="24"/>
      <w:szCs w:val="24"/>
    </w:rPr>
  </w:style>
  <w:style w:type="paragraph" w:customStyle="1" w:styleId="301">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302">
    <w:name w:val="标题 1_1"/>
    <w:basedOn w:val="81"/>
    <w:next w:val="81"/>
    <w:qFormat/>
    <w:uiPriority w:val="9"/>
    <w:pPr>
      <w:keepNext/>
      <w:keepLines/>
      <w:spacing w:before="340" w:after="330" w:line="578" w:lineRule="auto"/>
      <w:outlineLvl w:val="0"/>
    </w:pPr>
    <w:rPr>
      <w:rFonts w:ascii="Calibri" w:hAnsi="Calibri"/>
      <w:b/>
      <w:bCs/>
      <w:kern w:val="44"/>
      <w:sz w:val="44"/>
      <w:szCs w:val="44"/>
    </w:rPr>
  </w:style>
  <w:style w:type="paragraph" w:customStyle="1" w:styleId="303">
    <w:name w:val="正文11"/>
    <w:basedOn w:val="1"/>
    <w:qFormat/>
    <w:uiPriority w:val="0"/>
    <w:pPr>
      <w:spacing w:beforeLines="50" w:line="360" w:lineRule="auto"/>
      <w:ind w:firstLine="420" w:firstLineChars="200"/>
    </w:pPr>
    <w:rPr>
      <w:rFonts w:ascii="宋体" w:hAnsi="宋体"/>
      <w:iCs/>
      <w:szCs w:val="21"/>
    </w:rPr>
  </w:style>
  <w:style w:type="paragraph" w:customStyle="1" w:styleId="304">
    <w:name w:val="表格"/>
    <w:basedOn w:val="1"/>
    <w:unhideWhenUsed/>
    <w:qFormat/>
    <w:uiPriority w:val="0"/>
    <w:pPr>
      <w:numPr>
        <w:ilvl w:val="0"/>
        <w:numId w:val="6"/>
      </w:numPr>
      <w:tabs>
        <w:tab w:val="left" w:pos="780"/>
      </w:tabs>
      <w:jc w:val="center"/>
      <w:textAlignment w:val="center"/>
    </w:pPr>
    <w:rPr>
      <w:rFonts w:hint="eastAsia" w:ascii="华文细黑" w:hAnsi="华文细黑"/>
      <w:szCs w:val="20"/>
    </w:rPr>
  </w:style>
  <w:style w:type="paragraph" w:customStyle="1" w:styleId="305">
    <w:name w:val="Char Char1 Char Char Char Char Char Char Char"/>
    <w:basedOn w:val="1"/>
    <w:qFormat/>
    <w:uiPriority w:val="0"/>
    <w:rPr>
      <w:rFonts w:ascii="Tahoma" w:hAnsi="Tahoma"/>
      <w:sz w:val="24"/>
      <w:szCs w:val="24"/>
    </w:rPr>
  </w:style>
  <w:style w:type="paragraph" w:customStyle="1" w:styleId="306">
    <w:name w:val="paragraph1"/>
    <w:basedOn w:val="1"/>
    <w:qFormat/>
    <w:uiPriority w:val="0"/>
    <w:pPr>
      <w:spacing w:afterLines="30" w:line="360" w:lineRule="auto"/>
      <w:ind w:firstLine="480" w:firstLineChars="200"/>
    </w:pPr>
    <w:rPr>
      <w:rFonts w:ascii="Arial" w:hAnsi="Arial"/>
      <w:sz w:val="24"/>
      <w:szCs w:val="24"/>
    </w:rPr>
  </w:style>
  <w:style w:type="paragraph" w:customStyle="1" w:styleId="307">
    <w:name w:val="段"/>
    <w:qFormat/>
    <w:uiPriority w:val="0"/>
    <w:pPr>
      <w:autoSpaceDE w:val="0"/>
      <w:autoSpaceDN w:val="0"/>
      <w:ind w:firstLine="200" w:firstLineChars="200"/>
      <w:jc w:val="both"/>
    </w:pPr>
    <w:rPr>
      <w:rFonts w:ascii="宋体" w:hAnsi="Cambria" w:eastAsia="宋体" w:cs="Times New Roman"/>
      <w:sz w:val="21"/>
      <w:lang w:val="en-US" w:eastAsia="zh-CN" w:bidi="ar-SA"/>
    </w:rPr>
  </w:style>
  <w:style w:type="paragraph" w:customStyle="1" w:styleId="308">
    <w:name w:val="XW正文"/>
    <w:basedOn w:val="1"/>
    <w:qFormat/>
    <w:uiPriority w:val="0"/>
    <w:pPr>
      <w:adjustRightInd w:val="0"/>
      <w:spacing w:line="360" w:lineRule="auto"/>
      <w:jc w:val="left"/>
    </w:pPr>
    <w:rPr>
      <w:rFonts w:ascii="Cambria" w:hAnsi="Cambria"/>
      <w:kern w:val="0"/>
      <w:sz w:val="24"/>
      <w:szCs w:val="20"/>
    </w:rPr>
  </w:style>
  <w:style w:type="paragraph" w:customStyle="1" w:styleId="309">
    <w:name w:val="正文段"/>
    <w:basedOn w:val="1"/>
    <w:qFormat/>
    <w:uiPriority w:val="0"/>
    <w:pPr>
      <w:widowControl/>
      <w:snapToGrid w:val="0"/>
      <w:spacing w:afterLines="50"/>
      <w:ind w:firstLine="200" w:firstLineChars="200"/>
    </w:pPr>
    <w:rPr>
      <w:rFonts w:ascii="Cambria" w:hAnsi="Cambria"/>
      <w:kern w:val="0"/>
      <w:sz w:val="24"/>
      <w:szCs w:val="20"/>
    </w:rPr>
  </w:style>
  <w:style w:type="paragraph" w:customStyle="1" w:styleId="31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styleId="311">
    <w:name w:val="List Paragraph"/>
    <w:basedOn w:val="1"/>
    <w:qFormat/>
    <w:uiPriority w:val="34"/>
    <w:pPr>
      <w:ind w:firstLine="420" w:firstLineChars="200"/>
    </w:pPr>
    <w:rPr>
      <w:rFonts w:ascii="Cambria" w:hAnsi="Cambria"/>
      <w:szCs w:val="20"/>
    </w:rPr>
  </w:style>
  <w:style w:type="paragraph" w:customStyle="1" w:styleId="312">
    <w:name w:val="pa-18"/>
    <w:basedOn w:val="1"/>
    <w:qFormat/>
    <w:uiPriority w:val="0"/>
    <w:pPr>
      <w:widowControl/>
      <w:spacing w:before="150" w:after="150"/>
      <w:jc w:val="left"/>
    </w:pPr>
    <w:rPr>
      <w:rFonts w:ascii="宋体" w:hAnsi="宋体" w:cs="宋体"/>
      <w:kern w:val="0"/>
      <w:sz w:val="24"/>
      <w:szCs w:val="24"/>
    </w:rPr>
  </w:style>
  <w:style w:type="paragraph" w:customStyle="1" w:styleId="313">
    <w:name w:val="p17"/>
    <w:basedOn w:val="1"/>
    <w:unhideWhenUsed/>
    <w:qFormat/>
    <w:uiPriority w:val="0"/>
    <w:pPr>
      <w:widowControl/>
      <w:snapToGrid w:val="0"/>
      <w:spacing w:before="100" w:after="100"/>
      <w:jc w:val="left"/>
    </w:pPr>
    <w:rPr>
      <w:rFonts w:hint="eastAsia" w:ascii="微软雅黑" w:hAnsi="Cambria" w:eastAsia="微软雅黑"/>
      <w:color w:val="000000"/>
      <w:sz w:val="24"/>
      <w:szCs w:val="20"/>
    </w:rPr>
  </w:style>
  <w:style w:type="paragraph" w:customStyle="1" w:styleId="314">
    <w:name w:val="样式 标题 2 + Times New Roman 四号 非加粗 段前: 5 磅 段后: 0 磅 行距: 固定值 20..."/>
    <w:basedOn w:val="4"/>
    <w:unhideWhenUsed/>
    <w:qFormat/>
    <w:uiPriority w:val="0"/>
    <w:pPr>
      <w:keepLines/>
      <w:numPr>
        <w:ilvl w:val="0"/>
        <w:numId w:val="7"/>
      </w:numPr>
      <w:tabs>
        <w:tab w:val="left" w:pos="360"/>
        <w:tab w:val="clear" w:pos="375"/>
      </w:tabs>
      <w:adjustRightInd/>
      <w:snapToGrid/>
      <w:spacing w:before="100" w:after="0" w:line="400" w:lineRule="exact"/>
      <w:jc w:val="both"/>
      <w:textAlignment w:val="auto"/>
    </w:pPr>
    <w:rPr>
      <w:rFonts w:hint="eastAsia" w:ascii="Times New Roman" w:hAnsi="Times New Roman" w:eastAsia="黑体"/>
      <w:b w:val="0"/>
      <w:kern w:val="2"/>
      <w:sz w:val="28"/>
      <w:lang w:eastAsia="en-US"/>
    </w:rPr>
  </w:style>
  <w:style w:type="paragraph" w:customStyle="1" w:styleId="315">
    <w:name w:val="reader-word-layer reader-word-s1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6">
    <w:name w:val="样式 标题 1 + 黑体 三号 非加粗 居中 段前: 6 磅 段后: 6 磅 行距: 固定值 20 磅"/>
    <w:basedOn w:val="3"/>
    <w:unhideWhenUsed/>
    <w:qFormat/>
    <w:uiPriority w:val="0"/>
    <w:pPr>
      <w:keepLines/>
      <w:autoSpaceDE/>
      <w:autoSpaceDN/>
      <w:spacing w:before="120" w:after="120" w:line="400" w:lineRule="exact"/>
      <w:textAlignment w:val="auto"/>
    </w:pPr>
    <w:rPr>
      <w:rFonts w:hint="eastAsia" w:ascii="黑体" w:hAnsi="Cambria" w:eastAsia="黑体"/>
      <w:b w:val="0"/>
      <w:kern w:val="44"/>
      <w:sz w:val="32"/>
      <w:szCs w:val="20"/>
    </w:rPr>
  </w:style>
  <w:style w:type="paragraph" w:customStyle="1" w:styleId="317">
    <w:name w:val="默认段落字体 Para Char Char Char Char"/>
    <w:basedOn w:val="1"/>
    <w:qFormat/>
    <w:uiPriority w:val="0"/>
    <w:rPr>
      <w:rFonts w:ascii="Cambria" w:hAnsi="Cambria"/>
      <w:szCs w:val="24"/>
    </w:rPr>
  </w:style>
  <w:style w:type="paragraph" w:customStyle="1" w:styleId="318">
    <w:name w:val="标题3333"/>
    <w:basedOn w:val="1"/>
    <w:qFormat/>
    <w:uiPriority w:val="0"/>
    <w:pPr>
      <w:ind w:left="-171" w:leftChars="-171" w:hanging="359" w:hangingChars="149"/>
    </w:pPr>
    <w:rPr>
      <w:rFonts w:ascii="宋体" w:hAnsi="宋体"/>
      <w:b/>
      <w:sz w:val="24"/>
      <w:szCs w:val="20"/>
    </w:rPr>
  </w:style>
  <w:style w:type="paragraph" w:customStyle="1" w:styleId="31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20">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1">
    <w:name w:val="正文_7"/>
    <w:qFormat/>
    <w:uiPriority w:val="0"/>
    <w:pPr>
      <w:widowControl w:val="0"/>
      <w:jc w:val="both"/>
    </w:pPr>
    <w:rPr>
      <w:rFonts w:ascii="Cambria" w:hAnsi="Cambria" w:eastAsia="宋体" w:cs="Times New Roman"/>
      <w:kern w:val="2"/>
      <w:sz w:val="21"/>
      <w:szCs w:val="24"/>
      <w:lang w:val="en-US" w:eastAsia="zh-CN" w:bidi="ar-SA"/>
    </w:rPr>
  </w:style>
  <w:style w:type="paragraph" w:customStyle="1" w:styleId="32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23">
    <w:name w:val="样式 样式 样式1 + 首行缩进:  2 字符 + 左侧:  0.74 厘米"/>
    <w:basedOn w:val="127"/>
    <w:unhideWhenUsed/>
    <w:qFormat/>
    <w:uiPriority w:val="0"/>
  </w:style>
  <w:style w:type="paragraph" w:customStyle="1" w:styleId="324">
    <w:name w:val="Blockquote"/>
    <w:basedOn w:val="1"/>
    <w:unhideWhenUsed/>
    <w:qFormat/>
    <w:uiPriority w:val="0"/>
    <w:pPr>
      <w:autoSpaceDE w:val="0"/>
      <w:autoSpaceDN w:val="0"/>
      <w:adjustRightInd w:val="0"/>
      <w:spacing w:before="100" w:after="100"/>
      <w:ind w:left="360" w:right="360"/>
      <w:jc w:val="left"/>
    </w:pPr>
    <w:rPr>
      <w:rFonts w:hint="eastAsia" w:ascii="Cambria" w:hAnsi="Cambria"/>
      <w:sz w:val="24"/>
      <w:szCs w:val="20"/>
    </w:rPr>
  </w:style>
  <w:style w:type="paragraph" w:customStyle="1" w:styleId="32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6">
    <w:name w:val="样式2"/>
    <w:basedOn w:val="243"/>
    <w:qFormat/>
    <w:uiPriority w:val="0"/>
  </w:style>
  <w:style w:type="paragraph" w:customStyle="1" w:styleId="32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b/>
      <w:bCs/>
      <w:kern w:val="0"/>
      <w:sz w:val="20"/>
      <w:szCs w:val="20"/>
    </w:rPr>
  </w:style>
  <w:style w:type="paragraph" w:customStyle="1" w:styleId="328">
    <w:name w:val="HT_正文缩进"/>
    <w:basedOn w:val="1"/>
    <w:qFormat/>
    <w:uiPriority w:val="0"/>
    <w:pPr>
      <w:spacing w:beforeLines="50" w:line="300" w:lineRule="auto"/>
      <w:ind w:firstLine="480" w:firstLineChars="200"/>
    </w:pPr>
    <w:rPr>
      <w:rFonts w:ascii="Cambria" w:hAnsi="Cambria"/>
      <w:sz w:val="24"/>
      <w:szCs w:val="20"/>
    </w:rPr>
  </w:style>
  <w:style w:type="paragraph" w:customStyle="1" w:styleId="329">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0">
    <w:name w:val="彩色列表 - 强调文字颜色 11"/>
    <w:basedOn w:val="1"/>
    <w:qFormat/>
    <w:uiPriority w:val="0"/>
    <w:pPr>
      <w:ind w:firstLine="420" w:firstLineChars="200"/>
    </w:pPr>
    <w:rPr>
      <w:sz w:val="24"/>
      <w:szCs w:val="24"/>
    </w:rPr>
  </w:style>
  <w:style w:type="paragraph" w:customStyle="1" w:styleId="331">
    <w:name w:val="GP标题2"/>
    <w:basedOn w:val="1"/>
    <w:next w:val="1"/>
    <w:qFormat/>
    <w:uiPriority w:val="0"/>
    <w:pPr>
      <w:spacing w:beforeLines="50" w:afterLines="50" w:line="360" w:lineRule="auto"/>
      <w:jc w:val="left"/>
      <w:outlineLvl w:val="1"/>
    </w:pPr>
    <w:rPr>
      <w:rFonts w:ascii="华文细黑" w:hAnsi="华文细黑" w:eastAsia="华文细黑"/>
      <w:b/>
      <w:sz w:val="32"/>
      <w:szCs w:val="21"/>
    </w:rPr>
  </w:style>
  <w:style w:type="paragraph" w:customStyle="1" w:styleId="332">
    <w:name w:val="样式 首行缩进:  2 字符"/>
    <w:basedOn w:val="1"/>
    <w:qFormat/>
    <w:uiPriority w:val="0"/>
    <w:pPr>
      <w:spacing w:line="360" w:lineRule="auto"/>
      <w:ind w:firstLine="420" w:firstLineChars="200"/>
    </w:pPr>
    <w:rPr>
      <w:rFonts w:ascii="Cambria" w:hAnsi="Cambria" w:cs="宋体"/>
      <w:szCs w:val="20"/>
    </w:rPr>
  </w:style>
  <w:style w:type="paragraph" w:customStyle="1" w:styleId="333">
    <w:name w:val="xl9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334">
    <w:name w:val="标书"/>
    <w:basedOn w:val="1"/>
    <w:qFormat/>
    <w:uiPriority w:val="0"/>
    <w:pPr>
      <w:shd w:val="clear" w:color="auto" w:fill="FFFFFF"/>
      <w:spacing w:line="360" w:lineRule="auto"/>
      <w:ind w:firstLine="480"/>
      <w:jc w:val="left"/>
    </w:pPr>
    <w:rPr>
      <w:rFonts w:ascii="宋体" w:hAnsi="宋体"/>
      <w:sz w:val="24"/>
      <w:szCs w:val="24"/>
      <w:shd w:val="clear" w:color="auto" w:fill="FFFFFF"/>
    </w:rPr>
  </w:style>
  <w:style w:type="paragraph" w:customStyle="1" w:styleId="335">
    <w:name w:val="正文缩进11"/>
    <w:basedOn w:val="1"/>
    <w:qFormat/>
    <w:uiPriority w:val="0"/>
    <w:pPr>
      <w:widowControl/>
      <w:ind w:firstLine="420"/>
      <w:jc w:val="left"/>
    </w:pPr>
    <w:rPr>
      <w:rFonts w:ascii="Cambria" w:hAnsi="Cambria"/>
      <w:kern w:val="0"/>
      <w:sz w:val="20"/>
      <w:szCs w:val="20"/>
    </w:rPr>
  </w:style>
  <w:style w:type="paragraph" w:customStyle="1" w:styleId="336">
    <w:name w:val="Table - Text"/>
    <w:basedOn w:val="1"/>
    <w:qFormat/>
    <w:uiPriority w:val="0"/>
    <w:pPr>
      <w:widowControl/>
      <w:spacing w:before="60" w:afterLines="50"/>
      <w:jc w:val="left"/>
    </w:pPr>
    <w:rPr>
      <w:rFonts w:ascii="Cambria" w:hAnsi="Cambria"/>
      <w:kern w:val="0"/>
      <w:szCs w:val="20"/>
      <w:lang w:eastAsia="en-US"/>
    </w:rPr>
  </w:style>
  <w:style w:type="paragraph" w:customStyle="1" w:styleId="33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338">
    <w:name w:val="样式 标题 3 + Arial"/>
    <w:basedOn w:val="5"/>
    <w:unhideWhenUsed/>
    <w:qFormat/>
    <w:uiPriority w:val="0"/>
    <w:pPr>
      <w:spacing w:beforeLines="100" w:after="0"/>
      <w:ind w:firstLine="0" w:firstLineChars="0"/>
    </w:pPr>
    <w:rPr>
      <w:rFonts w:hint="eastAsia" w:ascii="Arial" w:hAnsi="Arial" w:eastAsia="宋体"/>
      <w:bCs w:val="0"/>
      <w:sz w:val="24"/>
    </w:rPr>
  </w:style>
  <w:style w:type="character" w:customStyle="1" w:styleId="339">
    <w:name w:val="正文首行缩进 Char"/>
    <w:link w:val="16"/>
    <w:qFormat/>
    <w:uiPriority w:val="0"/>
    <w:rPr>
      <w:rFonts w:hAnsi="Calibri"/>
      <w:kern w:val="2"/>
      <w:sz w:val="21"/>
      <w:szCs w:val="22"/>
    </w:rPr>
  </w:style>
  <w:style w:type="character" w:customStyle="1" w:styleId="340">
    <w:name w:val="正文文本 2 Char"/>
    <w:link w:val="42"/>
    <w:qFormat/>
    <w:uiPriority w:val="0"/>
    <w:rPr>
      <w:rFonts w:ascii="仿宋_GB2312" w:hAnsi="Calibri" w:eastAsia="仿宋_GB2312"/>
      <w:kern w:val="2"/>
      <w:sz w:val="24"/>
      <w:szCs w:val="22"/>
    </w:rPr>
  </w:style>
  <w:style w:type="character" w:customStyle="1" w:styleId="341">
    <w:name w:val="样式 首行缩进:  0.74 厘米 Char"/>
    <w:link w:val="243"/>
    <w:qFormat/>
    <w:uiPriority w:val="0"/>
    <w:rPr>
      <w:rFonts w:ascii="宋体" w:hAnsi="宋体" w:cs="宋体"/>
      <w:b/>
      <w:kern w:val="2"/>
      <w:sz w:val="24"/>
      <w:szCs w:val="24"/>
    </w:rPr>
  </w:style>
  <w:style w:type="character" w:customStyle="1" w:styleId="342">
    <w:name w:val="Char Char27"/>
    <w:qFormat/>
    <w:uiPriority w:val="0"/>
  </w:style>
  <w:style w:type="character" w:customStyle="1" w:styleId="343">
    <w:name w:val="Heading 4 Char"/>
    <w:qFormat/>
    <w:locked/>
    <w:uiPriority w:val="0"/>
    <w:rPr>
      <w:rFonts w:hint="default" w:ascii="Arial" w:hAnsi="Arial" w:eastAsia="黑体"/>
      <w:b/>
      <w:kern w:val="2"/>
      <w:sz w:val="28"/>
      <w:lang w:val="en-US" w:eastAsia="zh-CN" w:bidi="ar-SA"/>
    </w:rPr>
  </w:style>
  <w:style w:type="character" w:customStyle="1" w:styleId="344">
    <w:name w:val="正文缩进 Char_0"/>
    <w:link w:val="209"/>
    <w:qFormat/>
    <w:locked/>
    <w:uiPriority w:val="0"/>
    <w:rPr>
      <w:kern w:val="2"/>
      <w:sz w:val="21"/>
    </w:rPr>
  </w:style>
  <w:style w:type="character" w:customStyle="1" w:styleId="345">
    <w:name w:val="Char Char29"/>
    <w:qFormat/>
    <w:uiPriority w:val="0"/>
    <w:rPr>
      <w:kern w:val="2"/>
      <w:sz w:val="18"/>
      <w:szCs w:val="18"/>
    </w:rPr>
  </w:style>
  <w:style w:type="character" w:customStyle="1" w:styleId="346">
    <w:name w:val="Char Char1_0"/>
    <w:link w:val="142"/>
    <w:qFormat/>
    <w:uiPriority w:val="0"/>
    <w:rPr>
      <w:rFonts w:ascii="Tahoma" w:hAnsi="Tahoma"/>
      <w:kern w:val="2"/>
      <w:sz w:val="24"/>
    </w:rPr>
  </w:style>
  <w:style w:type="character" w:customStyle="1" w:styleId="347">
    <w:name w:val="textfont1"/>
    <w:basedOn w:val="46"/>
    <w:qFormat/>
    <w:uiPriority w:val="0"/>
  </w:style>
  <w:style w:type="character" w:customStyle="1" w:styleId="348">
    <w:name w:val="htd0"/>
    <w:basedOn w:val="46"/>
    <w:qFormat/>
    <w:uiPriority w:val="0"/>
  </w:style>
  <w:style w:type="character" w:customStyle="1" w:styleId="349">
    <w:name w:val="普通文字 Char Char1_2"/>
    <w:link w:val="183"/>
    <w:qFormat/>
    <w:uiPriority w:val="0"/>
    <w:rPr>
      <w:rFonts w:ascii="宋体" w:hAnsi="Courier New"/>
      <w:kern w:val="2"/>
      <w:sz w:val="21"/>
    </w:rPr>
  </w:style>
  <w:style w:type="character" w:customStyle="1" w:styleId="350">
    <w:name w:val="标题 Char2"/>
    <w:qFormat/>
    <w:uiPriority w:val="0"/>
    <w:rPr>
      <w:rFonts w:ascii="Cambria" w:hAnsi="Cambria" w:eastAsia="宋体" w:cs="Times New Roman"/>
      <w:b/>
      <w:bCs/>
      <w:sz w:val="32"/>
      <w:szCs w:val="32"/>
    </w:rPr>
  </w:style>
  <w:style w:type="character" w:customStyle="1" w:styleId="351">
    <w:name w:val="纯文本 Char_0"/>
    <w:link w:val="213"/>
    <w:qFormat/>
    <w:uiPriority w:val="0"/>
    <w:rPr>
      <w:rFonts w:ascii="宋体" w:hAnsi="Courier New"/>
      <w:kern w:val="2"/>
      <w:sz w:val="21"/>
      <w:szCs w:val="21"/>
    </w:rPr>
  </w:style>
  <w:style w:type="character" w:customStyle="1" w:styleId="352">
    <w:name w:val="apple-converted-space"/>
    <w:qFormat/>
    <w:uiPriority w:val="0"/>
  </w:style>
  <w:style w:type="character" w:customStyle="1" w:styleId="353">
    <w:name w:val="纯文本 Char1_0"/>
    <w:link w:val="103"/>
    <w:qFormat/>
    <w:locked/>
    <w:uiPriority w:val="0"/>
    <w:rPr>
      <w:rFonts w:ascii="宋体" w:hAnsi="Courier New"/>
    </w:rPr>
  </w:style>
  <w:style w:type="character" w:customStyle="1" w:styleId="354">
    <w:name w:val="纯文本 Char1_4_2"/>
    <w:link w:val="249"/>
    <w:qFormat/>
    <w:uiPriority w:val="0"/>
    <w:rPr>
      <w:rFonts w:ascii="宋体" w:hAnsi="Courier New"/>
      <w:kern w:val="2"/>
      <w:sz w:val="21"/>
    </w:rPr>
  </w:style>
  <w:style w:type="character" w:customStyle="1" w:styleId="355">
    <w:name w:val="标题 Char"/>
    <w:link w:val="45"/>
    <w:qFormat/>
    <w:uiPriority w:val="0"/>
    <w:rPr>
      <w:rFonts w:ascii="Arial" w:hAnsi="Arial" w:cs="Arial"/>
      <w:b/>
      <w:bCs/>
      <w:kern w:val="2"/>
      <w:sz w:val="32"/>
      <w:szCs w:val="32"/>
    </w:rPr>
  </w:style>
  <w:style w:type="character" w:customStyle="1" w:styleId="356">
    <w:name w:val="正文文本缩进 3 Char1"/>
    <w:link w:val="39"/>
    <w:qFormat/>
    <w:uiPriority w:val="0"/>
    <w:rPr>
      <w:rFonts w:ascii="仿宋_GB2312" w:hAnsi="Calibri" w:eastAsia="仿宋_GB2312"/>
      <w:color w:val="000000"/>
      <w:kern w:val="2"/>
      <w:sz w:val="24"/>
      <w:szCs w:val="22"/>
    </w:rPr>
  </w:style>
  <w:style w:type="character" w:customStyle="1" w:styleId="357">
    <w:name w:val="批注文字 Char"/>
    <w:link w:val="14"/>
    <w:qFormat/>
    <w:uiPriority w:val="0"/>
    <w:rPr>
      <w:rFonts w:ascii="Calibri" w:hAnsi="Calibri"/>
      <w:kern w:val="2"/>
      <w:sz w:val="21"/>
      <w:szCs w:val="22"/>
    </w:rPr>
  </w:style>
  <w:style w:type="character" w:customStyle="1" w:styleId="358">
    <w:name w:val="正文文本 Char1"/>
    <w:link w:val="17"/>
    <w:qFormat/>
    <w:uiPriority w:val="0"/>
    <w:rPr>
      <w:rFonts w:ascii="仿宋_GB2312" w:hAnsi="Calibri" w:eastAsia="仿宋_GB2312"/>
      <w:kern w:val="2"/>
      <w:sz w:val="28"/>
      <w:szCs w:val="22"/>
    </w:rPr>
  </w:style>
  <w:style w:type="character" w:customStyle="1" w:styleId="359">
    <w:name w:val="纯文本 Char1_0_0"/>
    <w:link w:val="132"/>
    <w:qFormat/>
    <w:uiPriority w:val="0"/>
    <w:rPr>
      <w:rFonts w:ascii="宋体" w:hAnsi="Courier New"/>
      <w:kern w:val="2"/>
      <w:sz w:val="21"/>
    </w:rPr>
  </w:style>
  <w:style w:type="character" w:customStyle="1" w:styleId="360">
    <w:name w:val="Char Char3"/>
    <w:qFormat/>
    <w:uiPriority w:val="0"/>
    <w:rPr>
      <w:rFonts w:ascii="宋体" w:hAnsi="宋体" w:eastAsia="宋体"/>
      <w:kern w:val="2"/>
      <w:sz w:val="21"/>
      <w:lang w:val="en-US" w:eastAsia="zh-CN"/>
    </w:rPr>
  </w:style>
  <w:style w:type="character" w:customStyle="1" w:styleId="361">
    <w:name w:val="纯文本 Char_0_0"/>
    <w:link w:val="246"/>
    <w:qFormat/>
    <w:uiPriority w:val="0"/>
    <w:rPr>
      <w:rFonts w:ascii="宋体" w:hAnsi="Courier New" w:eastAsia="宋体" w:cs="Times New Roman"/>
      <w:szCs w:val="20"/>
      <w:lang w:val="en-US" w:eastAsia="zh-CN"/>
    </w:rPr>
  </w:style>
  <w:style w:type="character" w:customStyle="1" w:styleId="362">
    <w:name w:val="标题 3 Char_0"/>
    <w:link w:val="207"/>
    <w:semiHidden/>
    <w:qFormat/>
    <w:uiPriority w:val="0"/>
    <w:rPr>
      <w:rFonts w:ascii="仿宋_GB2312" w:eastAsia="仿宋_GB2312"/>
      <w:b/>
      <w:bCs/>
      <w:kern w:val="2"/>
      <w:sz w:val="30"/>
    </w:rPr>
  </w:style>
  <w:style w:type="character" w:customStyle="1" w:styleId="363">
    <w:name w:val="文档结构图 Char1"/>
    <w:link w:val="21"/>
    <w:qFormat/>
    <w:uiPriority w:val="0"/>
    <w:rPr>
      <w:rFonts w:ascii="Calibri" w:hAnsi="Calibri"/>
      <w:kern w:val="2"/>
      <w:sz w:val="21"/>
      <w:szCs w:val="22"/>
      <w:shd w:val="clear" w:color="auto" w:fill="000080"/>
    </w:rPr>
  </w:style>
  <w:style w:type="character" w:customStyle="1" w:styleId="364">
    <w:name w:val="页脚 Char"/>
    <w:link w:val="31"/>
    <w:qFormat/>
    <w:uiPriority w:val="99"/>
    <w:rPr>
      <w:kern w:val="2"/>
      <w:sz w:val="18"/>
      <w:szCs w:val="18"/>
    </w:rPr>
  </w:style>
  <w:style w:type="character" w:customStyle="1" w:styleId="365">
    <w:name w:val="正文文本 2 Char1"/>
    <w:qFormat/>
    <w:uiPriority w:val="0"/>
    <w:rPr>
      <w:kern w:val="2"/>
      <w:sz w:val="21"/>
      <w:szCs w:val="24"/>
    </w:rPr>
  </w:style>
  <w:style w:type="character" w:customStyle="1" w:styleId="366">
    <w:name w:val="正文文本 3 Char"/>
    <w:link w:val="22"/>
    <w:qFormat/>
    <w:uiPriority w:val="0"/>
    <w:rPr>
      <w:rFonts w:ascii="仿宋_GB2312" w:hAnsi="Calibri" w:eastAsia="仿宋_GB2312"/>
      <w:kern w:val="2"/>
      <w:sz w:val="24"/>
    </w:rPr>
  </w:style>
  <w:style w:type="character" w:customStyle="1" w:styleId="367">
    <w:name w:val="批注主题 Char1"/>
    <w:link w:val="13"/>
    <w:qFormat/>
    <w:uiPriority w:val="0"/>
    <w:rPr>
      <w:rFonts w:ascii="Calibri" w:hAnsi="Calibri"/>
      <w:b/>
      <w:bCs/>
      <w:kern w:val="2"/>
      <w:sz w:val="21"/>
      <w:szCs w:val="22"/>
    </w:rPr>
  </w:style>
  <w:style w:type="character" w:customStyle="1" w:styleId="368">
    <w:name w:val="h3 Char"/>
    <w:qFormat/>
    <w:uiPriority w:val="9"/>
    <w:rPr>
      <w:rFonts w:eastAsia="黑体"/>
      <w:b/>
      <w:sz w:val="28"/>
      <w:lang w:val="en-US" w:eastAsia="zh-CN" w:bidi="ar-SA"/>
    </w:rPr>
  </w:style>
  <w:style w:type="character" w:customStyle="1" w:styleId="369">
    <w:name w:val="Footnote Text Char"/>
    <w:qFormat/>
    <w:locked/>
    <w:uiPriority w:val="0"/>
    <w:rPr>
      <w:rFonts w:hint="default" w:eastAsia="仿宋_GB2312"/>
      <w:sz w:val="24"/>
      <w:lang w:bidi="ar-SA"/>
    </w:rPr>
  </w:style>
  <w:style w:type="character" w:customStyle="1" w:styleId="370">
    <w:name w:val="Char Char1"/>
    <w:link w:val="185"/>
    <w:qFormat/>
    <w:uiPriority w:val="0"/>
    <w:rPr>
      <w:rFonts w:ascii="Tahoma" w:hAnsi="Tahoma" w:eastAsia="宋体"/>
      <w:kern w:val="2"/>
      <w:sz w:val="24"/>
      <w:lang w:val="en-US" w:eastAsia="zh-CN" w:bidi="ar-SA"/>
    </w:rPr>
  </w:style>
  <w:style w:type="character" w:customStyle="1" w:styleId="371">
    <w:name w:val="纯文本 Char1_4_3"/>
    <w:link w:val="253"/>
    <w:qFormat/>
    <w:uiPriority w:val="0"/>
    <w:rPr>
      <w:rFonts w:ascii="宋体" w:hAnsi="Courier New"/>
      <w:kern w:val="2"/>
      <w:sz w:val="21"/>
    </w:rPr>
  </w:style>
  <w:style w:type="character" w:customStyle="1" w:styleId="372">
    <w:name w:val="纯文本 Char1_1"/>
    <w:link w:val="224"/>
    <w:qFormat/>
    <w:uiPriority w:val="0"/>
    <w:rPr>
      <w:rFonts w:ascii="宋体" w:hAnsi="Courier New"/>
      <w:kern w:val="2"/>
      <w:sz w:val="21"/>
    </w:rPr>
  </w:style>
  <w:style w:type="character" w:customStyle="1" w:styleId="373">
    <w:name w:val="标题 2 Char"/>
    <w:link w:val="4"/>
    <w:qFormat/>
    <w:uiPriority w:val="0"/>
    <w:rPr>
      <w:rFonts w:ascii="仿宋_GB2312" w:hAnsi="Calibri" w:eastAsia="仿宋_GB2312"/>
      <w:b/>
      <w:sz w:val="36"/>
    </w:rPr>
  </w:style>
  <w:style w:type="character" w:customStyle="1" w:styleId="374">
    <w:name w:val="font161"/>
    <w:unhideWhenUsed/>
    <w:qFormat/>
    <w:uiPriority w:val="0"/>
    <w:rPr>
      <w:rFonts w:hint="default"/>
      <w:b/>
      <w:sz w:val="32"/>
    </w:rPr>
  </w:style>
  <w:style w:type="character" w:customStyle="1" w:styleId="375">
    <w:name w:val="无缩进 Char1"/>
    <w:qFormat/>
    <w:uiPriority w:val="0"/>
    <w:rPr>
      <w:kern w:val="2"/>
      <w:sz w:val="21"/>
      <w:szCs w:val="24"/>
    </w:rPr>
  </w:style>
  <w:style w:type="character" w:customStyle="1" w:styleId="376">
    <w:name w:val="脚注文本 Char3"/>
    <w:qFormat/>
    <w:uiPriority w:val="0"/>
    <w:rPr>
      <w:rFonts w:ascii="Calibri" w:hAnsi="Calibri"/>
      <w:kern w:val="2"/>
      <w:sz w:val="18"/>
      <w:szCs w:val="18"/>
    </w:rPr>
  </w:style>
  <w:style w:type="character" w:customStyle="1" w:styleId="377">
    <w:name w:val="正文文本 3 Char1"/>
    <w:semiHidden/>
    <w:qFormat/>
    <w:uiPriority w:val="0"/>
    <w:rPr>
      <w:sz w:val="16"/>
      <w:szCs w:val="16"/>
    </w:rPr>
  </w:style>
  <w:style w:type="character" w:customStyle="1" w:styleId="378">
    <w:name w:val="HTML 预设格式 Char2"/>
    <w:qFormat/>
    <w:uiPriority w:val="0"/>
    <w:rPr>
      <w:rFonts w:ascii="Courier New" w:hAnsi="Courier New" w:cs="Courier New"/>
      <w:kern w:val="2"/>
    </w:rPr>
  </w:style>
  <w:style w:type="character" w:customStyle="1" w:styleId="379">
    <w:name w:val="hui"/>
    <w:qFormat/>
    <w:uiPriority w:val="0"/>
  </w:style>
  <w:style w:type="character" w:customStyle="1" w:styleId="380">
    <w:name w:val="Title Char"/>
    <w:qFormat/>
    <w:locked/>
    <w:uiPriority w:val="0"/>
    <w:rPr>
      <w:rFonts w:hint="default" w:ascii="Arial" w:hAnsi="Arial" w:eastAsia="宋体"/>
      <w:b/>
      <w:sz w:val="24"/>
      <w:lang w:bidi="ar-SA"/>
    </w:rPr>
  </w:style>
  <w:style w:type="character" w:customStyle="1" w:styleId="381">
    <w:name w:val="正文缩进 Char1"/>
    <w:link w:val="263"/>
    <w:qFormat/>
    <w:uiPriority w:val="0"/>
  </w:style>
  <w:style w:type="character" w:customStyle="1" w:styleId="382">
    <w:name w:val="Char Char24"/>
    <w:qFormat/>
    <w:uiPriority w:val="0"/>
    <w:rPr>
      <w:kern w:val="2"/>
      <w:sz w:val="16"/>
      <w:szCs w:val="16"/>
    </w:rPr>
  </w:style>
  <w:style w:type="character" w:customStyle="1" w:styleId="383">
    <w:name w:val="font41"/>
    <w:basedOn w:val="46"/>
    <w:qFormat/>
    <w:uiPriority w:val="0"/>
    <w:rPr>
      <w:rFonts w:hint="eastAsia" w:ascii="宋体" w:hAnsi="宋体" w:eastAsia="宋体" w:cs="宋体"/>
      <w:color w:val="000000"/>
      <w:sz w:val="22"/>
      <w:szCs w:val="22"/>
      <w:u w:val="none"/>
    </w:rPr>
  </w:style>
  <w:style w:type="character" w:customStyle="1" w:styleId="384">
    <w:name w:val="正文文本 Char"/>
    <w:qFormat/>
    <w:uiPriority w:val="0"/>
    <w:rPr>
      <w:kern w:val="2"/>
      <w:sz w:val="21"/>
      <w:szCs w:val="24"/>
    </w:rPr>
  </w:style>
  <w:style w:type="character" w:customStyle="1" w:styleId="385">
    <w:name w:val="标题 Char1"/>
    <w:qFormat/>
    <w:uiPriority w:val="0"/>
    <w:rPr>
      <w:rFonts w:ascii="Cambria" w:hAnsi="Cambria" w:cs="Times New Roman"/>
      <w:b/>
      <w:bCs/>
      <w:kern w:val="2"/>
      <w:sz w:val="32"/>
      <w:szCs w:val="32"/>
    </w:rPr>
  </w:style>
  <w:style w:type="character" w:customStyle="1" w:styleId="386">
    <w:name w:val="Body Text 2 Char"/>
    <w:qFormat/>
    <w:locked/>
    <w:uiPriority w:val="0"/>
    <w:rPr>
      <w:rFonts w:hint="default" w:eastAsia="宋体"/>
      <w:b/>
      <w:kern w:val="2"/>
      <w:sz w:val="28"/>
      <w:lang w:val="en-US" w:eastAsia="zh-CN" w:bidi="ar-SA"/>
    </w:rPr>
  </w:style>
  <w:style w:type="character" w:customStyle="1" w:styleId="387">
    <w:name w:val="HTML 预设格式 Char1"/>
    <w:semiHidden/>
    <w:qFormat/>
    <w:uiPriority w:val="0"/>
    <w:rPr>
      <w:rFonts w:ascii="Courier New" w:hAnsi="Courier New" w:cs="Courier New"/>
      <w:sz w:val="20"/>
      <w:szCs w:val="20"/>
    </w:rPr>
  </w:style>
  <w:style w:type="character" w:styleId="388">
    <w:name w:val="Placeholder Text"/>
    <w:semiHidden/>
    <w:qFormat/>
    <w:uiPriority w:val="99"/>
    <w:rPr>
      <w:color w:val="808080"/>
    </w:rPr>
  </w:style>
  <w:style w:type="character" w:customStyle="1" w:styleId="389">
    <w:name w:val="font51"/>
    <w:qFormat/>
    <w:uiPriority w:val="0"/>
    <w:rPr>
      <w:rFonts w:hint="eastAsia" w:ascii="宋体" w:hAnsi="宋体" w:eastAsia="宋体" w:cs="宋体"/>
      <w:color w:val="000000"/>
      <w:sz w:val="22"/>
      <w:szCs w:val="22"/>
      <w:u w:val="none"/>
    </w:rPr>
  </w:style>
  <w:style w:type="character" w:customStyle="1" w:styleId="390">
    <w:name w:val="ca-39"/>
    <w:qFormat/>
    <w:uiPriority w:val="0"/>
  </w:style>
  <w:style w:type="character" w:customStyle="1" w:styleId="391">
    <w:name w:val="Heading 9 Char"/>
    <w:qFormat/>
    <w:locked/>
    <w:uiPriority w:val="0"/>
    <w:rPr>
      <w:rFonts w:hint="default" w:ascii="Arial" w:hAnsi="Arial" w:eastAsia="黑体"/>
      <w:sz w:val="21"/>
      <w:lang w:val="en-US" w:eastAsia="zh-CN" w:bidi="ar-SA"/>
    </w:rPr>
  </w:style>
  <w:style w:type="character" w:customStyle="1" w:styleId="392">
    <w:name w:val="页眉 Char"/>
    <w:link w:val="33"/>
    <w:qFormat/>
    <w:uiPriority w:val="0"/>
    <w:rPr>
      <w:sz w:val="18"/>
    </w:rPr>
  </w:style>
  <w:style w:type="character" w:customStyle="1" w:styleId="393">
    <w:name w:val="Comment Text Char"/>
    <w:qFormat/>
    <w:locked/>
    <w:uiPriority w:val="0"/>
    <w:rPr>
      <w:rFonts w:hint="default" w:ascii="宋体" w:eastAsia="宋体"/>
      <w:sz w:val="28"/>
      <w:lang w:eastAsia="en-US" w:bidi="ar-SA"/>
    </w:rPr>
  </w:style>
  <w:style w:type="character" w:customStyle="1" w:styleId="394">
    <w:name w:val="列出段落 Char"/>
    <w:link w:val="264"/>
    <w:qFormat/>
    <w:uiPriority w:val="34"/>
    <w:rPr>
      <w:kern w:val="2"/>
      <w:sz w:val="21"/>
      <w:szCs w:val="24"/>
    </w:rPr>
  </w:style>
  <w:style w:type="character" w:customStyle="1" w:styleId="395">
    <w:name w:val="Char Char18"/>
    <w:qFormat/>
    <w:uiPriority w:val="0"/>
    <w:rPr>
      <w:rFonts w:ascii="Tahoma" w:hAnsi="Tahoma"/>
      <w:kern w:val="2"/>
      <w:sz w:val="18"/>
      <w:szCs w:val="18"/>
    </w:rPr>
  </w:style>
  <w:style w:type="character" w:customStyle="1" w:styleId="396">
    <w:name w:val="Char Char28"/>
    <w:qFormat/>
    <w:uiPriority w:val="0"/>
    <w:rPr>
      <w:kern w:val="2"/>
      <w:sz w:val="21"/>
      <w:szCs w:val="24"/>
    </w:rPr>
  </w:style>
  <w:style w:type="character" w:customStyle="1" w:styleId="397">
    <w:name w:val="Footer Char"/>
    <w:qFormat/>
    <w:locked/>
    <w:uiPriority w:val="0"/>
    <w:rPr>
      <w:rFonts w:hint="default"/>
      <w:sz w:val="18"/>
      <w:lang w:bidi="ar-SA"/>
    </w:rPr>
  </w:style>
  <w:style w:type="character" w:customStyle="1" w:styleId="398">
    <w:name w:val="批注主题 Char"/>
    <w:qFormat/>
    <w:uiPriority w:val="99"/>
  </w:style>
  <w:style w:type="character" w:customStyle="1" w:styleId="399">
    <w:name w:val="Char Char16"/>
    <w:qFormat/>
    <w:uiPriority w:val="0"/>
    <w:rPr>
      <w:rFonts w:ascii="Arial" w:hAnsi="Arial" w:cs="Arial"/>
      <w:b/>
      <w:bCs/>
      <w:kern w:val="2"/>
      <w:sz w:val="32"/>
      <w:szCs w:val="32"/>
    </w:rPr>
  </w:style>
  <w:style w:type="character" w:customStyle="1" w:styleId="400">
    <w:name w:val="Char Char22"/>
    <w:qFormat/>
    <w:uiPriority w:val="0"/>
    <w:rPr>
      <w:rFonts w:eastAsia="宋体"/>
      <w:bCs/>
      <w:kern w:val="44"/>
      <w:sz w:val="44"/>
      <w:lang w:val="en-US" w:eastAsia="zh-CN" w:bidi="ar-SA"/>
    </w:rPr>
  </w:style>
  <w:style w:type="character" w:customStyle="1" w:styleId="401">
    <w:name w:val="Heading 8 Char"/>
    <w:qFormat/>
    <w:locked/>
    <w:uiPriority w:val="0"/>
    <w:rPr>
      <w:rFonts w:hint="default" w:ascii="Arial" w:hAnsi="Arial" w:eastAsia="黑体"/>
      <w:sz w:val="24"/>
      <w:lang w:val="en-US" w:eastAsia="zh-CN" w:bidi="ar-SA"/>
    </w:rPr>
  </w:style>
  <w:style w:type="character" w:customStyle="1" w:styleId="402">
    <w:name w:val="Header Char"/>
    <w:qFormat/>
    <w:locked/>
    <w:uiPriority w:val="0"/>
    <w:rPr>
      <w:rFonts w:hint="default"/>
      <w:sz w:val="18"/>
      <w:lang w:bidi="ar-SA"/>
    </w:rPr>
  </w:style>
  <w:style w:type="character" w:customStyle="1" w:styleId="403">
    <w:name w:val="Char Char37"/>
    <w:qFormat/>
    <w:uiPriority w:val="0"/>
    <w:rPr>
      <w:rFonts w:ascii="Cambria" w:hAnsi="Cambria"/>
      <w:b/>
      <w:bCs/>
      <w:kern w:val="2"/>
      <w:sz w:val="24"/>
      <w:szCs w:val="24"/>
    </w:rPr>
  </w:style>
  <w:style w:type="character" w:customStyle="1" w:styleId="404">
    <w:name w:val="Char Char30"/>
    <w:qFormat/>
    <w:uiPriority w:val="0"/>
    <w:rPr>
      <w:kern w:val="2"/>
      <w:sz w:val="18"/>
      <w:szCs w:val="18"/>
    </w:rPr>
  </w:style>
  <w:style w:type="character" w:customStyle="1" w:styleId="405">
    <w:name w:val="Char Char20"/>
    <w:qFormat/>
    <w:uiPriority w:val="0"/>
    <w:rPr>
      <w:b/>
      <w:bCs/>
      <w:kern w:val="2"/>
      <w:sz w:val="28"/>
      <w:szCs w:val="28"/>
    </w:rPr>
  </w:style>
  <w:style w:type="character" w:customStyle="1" w:styleId="406">
    <w:name w:val="Heading 3 Char"/>
    <w:qFormat/>
    <w:locked/>
    <w:uiPriority w:val="0"/>
    <w:rPr>
      <w:rFonts w:hint="default" w:eastAsia="宋体"/>
      <w:b/>
      <w:sz w:val="32"/>
      <w:lang w:val="en-US" w:eastAsia="zh-CN" w:bidi="ar-SA"/>
    </w:rPr>
  </w:style>
  <w:style w:type="character" w:customStyle="1" w:styleId="407">
    <w:name w:val="页眉 Char1"/>
    <w:unhideWhenUsed/>
    <w:qFormat/>
    <w:locked/>
    <w:uiPriority w:val="0"/>
    <w:rPr>
      <w:rFonts w:hint="default"/>
      <w:sz w:val="18"/>
    </w:rPr>
  </w:style>
  <w:style w:type="character" w:customStyle="1" w:styleId="408">
    <w:name w:val="Body Text Indent Char"/>
    <w:qFormat/>
    <w:locked/>
    <w:uiPriority w:val="0"/>
    <w:rPr>
      <w:rFonts w:hint="default" w:eastAsia="宋体"/>
      <w:sz w:val="24"/>
      <w:lang w:bidi="ar-SA"/>
    </w:rPr>
  </w:style>
  <w:style w:type="character" w:customStyle="1" w:styleId="409">
    <w:name w:val="Body Text Char"/>
    <w:qFormat/>
    <w:locked/>
    <w:uiPriority w:val="0"/>
    <w:rPr>
      <w:rFonts w:hint="default" w:eastAsia="宋体"/>
      <w:sz w:val="24"/>
      <w:lang w:bidi="ar-SA"/>
    </w:rPr>
  </w:style>
  <w:style w:type="character" w:customStyle="1" w:styleId="410">
    <w:name w:val="Heading 1 Char"/>
    <w:qFormat/>
    <w:locked/>
    <w:uiPriority w:val="0"/>
    <w:rPr>
      <w:rFonts w:hint="default" w:eastAsia="宋体"/>
      <w:b/>
      <w:kern w:val="44"/>
      <w:sz w:val="44"/>
      <w:lang w:val="en-US" w:eastAsia="zh-CN" w:bidi="ar-SA"/>
    </w:rPr>
  </w:style>
  <w:style w:type="character" w:customStyle="1" w:styleId="411">
    <w:name w:val="纯文本 Char1_4_0"/>
    <w:link w:val="232"/>
    <w:qFormat/>
    <w:uiPriority w:val="0"/>
    <w:rPr>
      <w:rFonts w:ascii="宋体" w:hAnsi="Courier New"/>
      <w:kern w:val="2"/>
      <w:sz w:val="21"/>
    </w:rPr>
  </w:style>
  <w:style w:type="character" w:customStyle="1" w:styleId="412">
    <w:name w:val="纯文本 Char1_4_4"/>
    <w:link w:val="87"/>
    <w:qFormat/>
    <w:uiPriority w:val="0"/>
    <w:rPr>
      <w:rFonts w:ascii="宋体" w:hAnsi="Courier New"/>
      <w:kern w:val="2"/>
      <w:sz w:val="21"/>
    </w:rPr>
  </w:style>
  <w:style w:type="character" w:customStyle="1" w:styleId="413">
    <w:name w:val="纯文本 Char1_4"/>
    <w:qFormat/>
    <w:uiPriority w:val="0"/>
    <w:rPr>
      <w:rFonts w:ascii="宋体" w:hAnsi="Courier New"/>
      <w:kern w:val="2"/>
      <w:sz w:val="21"/>
    </w:rPr>
  </w:style>
  <w:style w:type="character" w:customStyle="1" w:styleId="414">
    <w:name w:val="!我的正文 Ctr+Q Char"/>
    <w:link w:val="219"/>
    <w:qFormat/>
    <w:uiPriority w:val="0"/>
    <w:rPr>
      <w:rFonts w:ascii="Arial" w:hAnsi="Arial" w:eastAsia="仿宋_GB2312"/>
      <w:kern w:val="2"/>
      <w:sz w:val="24"/>
      <w:szCs w:val="21"/>
    </w:rPr>
  </w:style>
  <w:style w:type="character" w:customStyle="1" w:styleId="415">
    <w:name w:val="Char Char11"/>
    <w:unhideWhenUsed/>
    <w:qFormat/>
    <w:uiPriority w:val="0"/>
    <w:rPr>
      <w:rFonts w:hint="eastAsia" w:ascii="Arial" w:hAnsi="Arial" w:eastAsia="黑体"/>
      <w:b/>
      <w:kern w:val="2"/>
      <w:sz w:val="32"/>
      <w:lang w:val="en-US" w:eastAsia="zh-CN"/>
    </w:rPr>
  </w:style>
  <w:style w:type="character" w:customStyle="1" w:styleId="416">
    <w:name w:val="正文文本缩进 3 Char2"/>
    <w:semiHidden/>
    <w:qFormat/>
    <w:uiPriority w:val="0"/>
    <w:rPr>
      <w:sz w:val="16"/>
      <w:szCs w:val="16"/>
    </w:rPr>
  </w:style>
  <w:style w:type="character" w:customStyle="1" w:styleId="417">
    <w:name w:val="H4 Char1"/>
    <w:qFormat/>
    <w:uiPriority w:val="0"/>
    <w:rPr>
      <w:rFonts w:ascii="Cambria" w:hAnsi="Cambria"/>
      <w:b/>
      <w:bCs/>
      <w:kern w:val="2"/>
      <w:sz w:val="28"/>
      <w:szCs w:val="28"/>
    </w:rPr>
  </w:style>
  <w:style w:type="character" w:customStyle="1" w:styleId="418">
    <w:name w:val="Heading 6 Char"/>
    <w:qFormat/>
    <w:locked/>
    <w:uiPriority w:val="0"/>
    <w:rPr>
      <w:rFonts w:hint="default" w:ascii="Arial" w:hAnsi="Arial" w:eastAsia="黑体"/>
      <w:b/>
      <w:sz w:val="24"/>
      <w:lang w:val="en-US" w:eastAsia="zh-CN" w:bidi="ar-SA"/>
    </w:rPr>
  </w:style>
  <w:style w:type="character" w:customStyle="1" w:styleId="419">
    <w:name w:val="标书1 Char1"/>
    <w:qFormat/>
    <w:uiPriority w:val="0"/>
    <w:rPr>
      <w:rFonts w:eastAsia="宋体"/>
      <w:bCs/>
      <w:kern w:val="44"/>
      <w:sz w:val="44"/>
      <w:lang w:val="en-US" w:eastAsia="zh-CN" w:bidi="ar-SA"/>
    </w:rPr>
  </w:style>
  <w:style w:type="character" w:customStyle="1" w:styleId="420">
    <w:name w:val="Char Char34"/>
    <w:qFormat/>
    <w:uiPriority w:val="0"/>
    <w:rPr>
      <w:rFonts w:ascii="Arial" w:hAnsi="Arial" w:eastAsia="黑体"/>
      <w:kern w:val="2"/>
      <w:sz w:val="21"/>
      <w:lang w:bidi="ar-SA"/>
    </w:rPr>
  </w:style>
  <w:style w:type="character" w:customStyle="1" w:styleId="421">
    <w:name w:val="HTML 预设格式 Char"/>
    <w:link w:val="43"/>
    <w:qFormat/>
    <w:uiPriority w:val="0"/>
    <w:rPr>
      <w:rFonts w:ascii="Arial" w:hAnsi="Arial" w:cs="Arial"/>
      <w:sz w:val="24"/>
      <w:szCs w:val="24"/>
    </w:rPr>
  </w:style>
  <w:style w:type="character" w:customStyle="1" w:styleId="422">
    <w:name w:val="标题 1 Char"/>
    <w:link w:val="3"/>
    <w:qFormat/>
    <w:uiPriority w:val="9"/>
    <w:rPr>
      <w:rFonts w:ascii="仿宋_GB2312" w:hAnsi="Calibri" w:eastAsia="仿宋_GB2312"/>
      <w:b/>
      <w:kern w:val="2"/>
      <w:sz w:val="44"/>
      <w:szCs w:val="22"/>
    </w:rPr>
  </w:style>
  <w:style w:type="character" w:customStyle="1" w:styleId="423">
    <w:name w:val="标题 6 Char"/>
    <w:link w:val="9"/>
    <w:qFormat/>
    <w:uiPriority w:val="0"/>
    <w:rPr>
      <w:rFonts w:ascii="Arial" w:hAnsi="Arial" w:eastAsia="黑体"/>
      <w:b/>
      <w:color w:val="000000"/>
      <w:kern w:val="2"/>
      <w:sz w:val="24"/>
    </w:rPr>
  </w:style>
  <w:style w:type="character" w:customStyle="1" w:styleId="424">
    <w:name w:val="标题 8 Char"/>
    <w:link w:val="11"/>
    <w:qFormat/>
    <w:uiPriority w:val="0"/>
    <w:rPr>
      <w:rFonts w:ascii="Arial" w:hAnsi="Arial" w:eastAsia="黑体"/>
      <w:color w:val="000000"/>
      <w:kern w:val="2"/>
      <w:sz w:val="24"/>
    </w:rPr>
  </w:style>
  <w:style w:type="character" w:customStyle="1" w:styleId="425">
    <w:name w:val="日期 Char"/>
    <w:link w:val="28"/>
    <w:qFormat/>
    <w:uiPriority w:val="0"/>
    <w:rPr>
      <w:rFonts w:ascii="仿宋_GB2312" w:hAnsi="Calibri" w:eastAsia="仿宋_GB2312"/>
      <w:sz w:val="28"/>
    </w:rPr>
  </w:style>
  <w:style w:type="character" w:customStyle="1" w:styleId="426">
    <w:name w:val="纯文本 Char"/>
    <w:link w:val="26"/>
    <w:qFormat/>
    <w:uiPriority w:val="0"/>
    <w:rPr>
      <w:rFonts w:ascii="宋体" w:hAnsi="Courier New" w:eastAsia="宋体"/>
      <w:kern w:val="2"/>
      <w:sz w:val="21"/>
      <w:lang w:val="en-US" w:eastAsia="zh-CN" w:bidi="ar-SA"/>
    </w:rPr>
  </w:style>
  <w:style w:type="character" w:customStyle="1" w:styleId="427">
    <w:name w:val="Plain Text Char1"/>
    <w:qFormat/>
    <w:locked/>
    <w:uiPriority w:val="0"/>
    <w:rPr>
      <w:rFonts w:ascii="宋体" w:hAnsi="Courier New" w:eastAsia="宋体"/>
      <w:kern w:val="2"/>
      <w:sz w:val="21"/>
      <w:lang w:val="en-US" w:eastAsia="zh-CN" w:bidi="ar-SA"/>
    </w:rPr>
  </w:style>
  <w:style w:type="character" w:customStyle="1" w:styleId="428">
    <w:name w:val="正文文本缩进 3 Char"/>
    <w:qFormat/>
    <w:uiPriority w:val="0"/>
    <w:rPr>
      <w:kern w:val="2"/>
      <w:sz w:val="21"/>
    </w:rPr>
  </w:style>
  <w:style w:type="character" w:customStyle="1" w:styleId="429">
    <w:name w:val="Date Char"/>
    <w:qFormat/>
    <w:locked/>
    <w:uiPriority w:val="0"/>
    <w:rPr>
      <w:rFonts w:hint="default" w:eastAsia="宋体"/>
      <w:sz w:val="24"/>
      <w:lang w:bidi="ar-SA"/>
    </w:rPr>
  </w:style>
  <w:style w:type="character" w:customStyle="1" w:styleId="430">
    <w:name w:val="文档结构图 Char"/>
    <w:link w:val="266"/>
    <w:qFormat/>
    <w:uiPriority w:val="99"/>
    <w:rPr>
      <w:rFonts w:ascii="宋体"/>
      <w:sz w:val="18"/>
      <w:szCs w:val="18"/>
    </w:rPr>
  </w:style>
  <w:style w:type="character" w:customStyle="1" w:styleId="431">
    <w:name w:val="无间隔 Char"/>
    <w:link w:val="245"/>
    <w:qFormat/>
    <w:uiPriority w:val="1"/>
    <w:rPr>
      <w:rFonts w:ascii="Calibri" w:hAnsi="Calibri"/>
      <w:sz w:val="22"/>
      <w:szCs w:val="22"/>
    </w:rPr>
  </w:style>
  <w:style w:type="character" w:customStyle="1" w:styleId="432">
    <w:name w:val="正文对齐 Char1"/>
    <w:qFormat/>
    <w:uiPriority w:val="0"/>
    <w:rPr>
      <w:rFonts w:eastAsia="宋体"/>
      <w:kern w:val="2"/>
      <w:sz w:val="21"/>
      <w:lang w:val="en-US" w:eastAsia="zh-CN" w:bidi="ar-SA"/>
    </w:rPr>
  </w:style>
  <w:style w:type="character" w:customStyle="1" w:styleId="433">
    <w:name w:val="脚注文本 Char1"/>
    <w:qFormat/>
    <w:uiPriority w:val="0"/>
    <w:rPr>
      <w:kern w:val="2"/>
      <w:sz w:val="18"/>
      <w:szCs w:val="18"/>
    </w:rPr>
  </w:style>
  <w:style w:type="character" w:customStyle="1" w:styleId="434">
    <w:name w:val="apple-style-span"/>
    <w:qFormat/>
    <w:uiPriority w:val="0"/>
  </w:style>
  <w:style w:type="character" w:customStyle="1" w:styleId="435">
    <w:name w:val="Char Char38"/>
    <w:qFormat/>
    <w:uiPriority w:val="0"/>
    <w:rPr>
      <w:b/>
      <w:bCs/>
      <w:kern w:val="2"/>
      <w:sz w:val="28"/>
      <w:szCs w:val="28"/>
    </w:rPr>
  </w:style>
  <w:style w:type="character" w:customStyle="1" w:styleId="436">
    <w:name w:val="Char Char15"/>
    <w:qFormat/>
    <w:uiPriority w:val="0"/>
    <w:rPr>
      <w:rFonts w:ascii="仿宋_GB2312" w:hAnsi="宋体" w:cs="Arial"/>
      <w:b/>
      <w:bCs/>
      <w:color w:val="000000"/>
      <w:kern w:val="2"/>
      <w:sz w:val="24"/>
      <w:szCs w:val="24"/>
    </w:rPr>
  </w:style>
  <w:style w:type="character" w:customStyle="1" w:styleId="437">
    <w:name w:val="Char Char17"/>
    <w:qFormat/>
    <w:uiPriority w:val="0"/>
    <w:rPr>
      <w:rFonts w:ascii="Arial" w:hAnsi="Arial" w:cs="Arial"/>
      <w:sz w:val="24"/>
      <w:szCs w:val="24"/>
    </w:rPr>
  </w:style>
  <w:style w:type="character" w:customStyle="1" w:styleId="438">
    <w:name w:val="Char Char21"/>
    <w:qFormat/>
    <w:uiPriority w:val="0"/>
    <w:rPr>
      <w:rFonts w:ascii="Arial" w:hAnsi="Arial" w:eastAsia="黑体"/>
      <w:b/>
      <w:bCs/>
      <w:kern w:val="2"/>
      <w:sz w:val="32"/>
      <w:szCs w:val="32"/>
    </w:rPr>
  </w:style>
  <w:style w:type="character" w:customStyle="1" w:styleId="439">
    <w:name w:val="Char Char23"/>
    <w:qFormat/>
    <w:uiPriority w:val="0"/>
    <w:rPr>
      <w:kern w:val="2"/>
      <w:sz w:val="21"/>
    </w:rPr>
  </w:style>
  <w:style w:type="character" w:customStyle="1" w:styleId="440">
    <w:name w:val="Char Char35"/>
    <w:qFormat/>
    <w:uiPriority w:val="0"/>
    <w:rPr>
      <w:rFonts w:ascii="Arial" w:hAnsi="Arial" w:eastAsia="黑体"/>
      <w:kern w:val="2"/>
      <w:sz w:val="24"/>
      <w:lang w:bidi="ar-SA"/>
    </w:rPr>
  </w:style>
  <w:style w:type="character" w:customStyle="1" w:styleId="441">
    <w:name w:val="Char Char25"/>
    <w:qFormat/>
    <w:uiPriority w:val="0"/>
    <w:rPr>
      <w:rFonts w:ascii="仿宋_GB2312" w:hAnsi="宋体" w:cs="Arial"/>
      <w:b/>
      <w:bCs/>
      <w:color w:val="000000"/>
      <w:kern w:val="2"/>
      <w:sz w:val="24"/>
      <w:szCs w:val="24"/>
    </w:rPr>
  </w:style>
  <w:style w:type="character" w:customStyle="1" w:styleId="442">
    <w:name w:val="Body Text Indent 3 Char"/>
    <w:qFormat/>
    <w:locked/>
    <w:uiPriority w:val="0"/>
    <w:rPr>
      <w:rFonts w:hint="default" w:eastAsia="宋体"/>
      <w:sz w:val="16"/>
      <w:lang w:bidi="ar-SA"/>
    </w:rPr>
  </w:style>
  <w:style w:type="character" w:customStyle="1" w:styleId="443">
    <w:name w:val="Char Char32"/>
    <w:qFormat/>
    <w:uiPriority w:val="0"/>
    <w:rPr>
      <w:kern w:val="2"/>
      <w:sz w:val="21"/>
      <w:szCs w:val="22"/>
    </w:rPr>
  </w:style>
  <w:style w:type="character" w:customStyle="1" w:styleId="444">
    <w:name w:val="正文缩进 Char"/>
    <w:link w:val="6"/>
    <w:qFormat/>
    <w:uiPriority w:val="0"/>
    <w:rPr>
      <w:rFonts w:eastAsia="宋体"/>
      <w:kern w:val="2"/>
      <w:sz w:val="21"/>
      <w:lang w:val="en-US" w:eastAsia="zh-CN" w:bidi="ar-SA"/>
    </w:rPr>
  </w:style>
  <w:style w:type="character" w:customStyle="1" w:styleId="445">
    <w:name w:val="标题 4 Char"/>
    <w:link w:val="7"/>
    <w:qFormat/>
    <w:uiPriority w:val="0"/>
    <w:rPr>
      <w:rFonts w:ascii="Arial" w:hAnsi="Arial" w:eastAsia="黑体"/>
      <w:b/>
      <w:color w:val="000000"/>
      <w:kern w:val="2"/>
      <w:sz w:val="28"/>
    </w:rPr>
  </w:style>
  <w:style w:type="character" w:customStyle="1" w:styleId="446">
    <w:name w:val="标题 5 Char"/>
    <w:link w:val="8"/>
    <w:qFormat/>
    <w:uiPriority w:val="0"/>
    <w:rPr>
      <w:rFonts w:ascii="Calibri" w:hAnsi="Calibri"/>
      <w:b/>
      <w:color w:val="000000"/>
      <w:kern w:val="2"/>
      <w:sz w:val="28"/>
    </w:rPr>
  </w:style>
  <w:style w:type="character" w:customStyle="1" w:styleId="447">
    <w:name w:val="标题 7 Char"/>
    <w:link w:val="10"/>
    <w:qFormat/>
    <w:uiPriority w:val="0"/>
    <w:rPr>
      <w:rFonts w:ascii="Calibri" w:hAnsi="Calibri"/>
      <w:b/>
      <w:color w:val="000000"/>
      <w:kern w:val="2"/>
      <w:sz w:val="24"/>
    </w:rPr>
  </w:style>
  <w:style w:type="character" w:customStyle="1" w:styleId="448">
    <w:name w:val="标题 9 Char"/>
    <w:link w:val="12"/>
    <w:qFormat/>
    <w:uiPriority w:val="0"/>
    <w:rPr>
      <w:rFonts w:ascii="Arial" w:hAnsi="Arial" w:eastAsia="黑体"/>
      <w:color w:val="000000"/>
      <w:kern w:val="2"/>
      <w:sz w:val="21"/>
    </w:rPr>
  </w:style>
  <w:style w:type="character" w:customStyle="1" w:styleId="449">
    <w:name w:val="正文文本缩进 Char"/>
    <w:link w:val="2"/>
    <w:qFormat/>
    <w:uiPriority w:val="0"/>
    <w:rPr>
      <w:rFonts w:ascii="Calibri" w:hAnsi="Calibri"/>
      <w:kern w:val="2"/>
      <w:sz w:val="28"/>
    </w:rPr>
  </w:style>
  <w:style w:type="character" w:customStyle="1" w:styleId="450">
    <w:name w:val="批注框文本 Char"/>
    <w:link w:val="30"/>
    <w:qFormat/>
    <w:uiPriority w:val="0"/>
    <w:rPr>
      <w:kern w:val="2"/>
      <w:sz w:val="18"/>
      <w:szCs w:val="18"/>
    </w:rPr>
  </w:style>
  <w:style w:type="character" w:customStyle="1" w:styleId="451">
    <w:name w:val="正文文本缩进 2 Char"/>
    <w:link w:val="210"/>
    <w:qFormat/>
    <w:uiPriority w:val="0"/>
    <w:rPr>
      <w:rFonts w:eastAsia="仿宋_GB2312"/>
      <w:kern w:val="2"/>
      <w:sz w:val="24"/>
      <w:szCs w:val="22"/>
    </w:rPr>
  </w:style>
  <w:style w:type="character" w:customStyle="1" w:styleId="452">
    <w:name w:val="纯文本 Char1_3"/>
    <w:link w:val="227"/>
    <w:qFormat/>
    <w:uiPriority w:val="0"/>
    <w:rPr>
      <w:rFonts w:ascii="宋体" w:hAnsi="Courier New"/>
      <w:kern w:val="2"/>
      <w:sz w:val="21"/>
    </w:rPr>
  </w:style>
  <w:style w:type="character" w:customStyle="1" w:styleId="453">
    <w:name w:val="纯文本 Char1_4_1"/>
    <w:link w:val="238"/>
    <w:qFormat/>
    <w:uiPriority w:val="0"/>
    <w:rPr>
      <w:rFonts w:ascii="宋体" w:hAnsi="Courier New"/>
      <w:kern w:val="2"/>
      <w:sz w:val="21"/>
    </w:rPr>
  </w:style>
  <w:style w:type="character" w:customStyle="1" w:styleId="454">
    <w:name w:val="纯文本 Char_0_0_0"/>
    <w:link w:val="244"/>
    <w:qFormat/>
    <w:uiPriority w:val="0"/>
    <w:rPr>
      <w:rFonts w:ascii="宋体" w:hAnsi="Courier New"/>
      <w:kern w:val="2"/>
      <w:sz w:val="21"/>
    </w:rPr>
  </w:style>
  <w:style w:type="character" w:customStyle="1" w:styleId="455">
    <w:name w:val="Char Char26"/>
    <w:qFormat/>
    <w:uiPriority w:val="0"/>
    <w:rPr>
      <w:rFonts w:eastAsia="黑体"/>
      <w:snapToGrid w:val="0"/>
      <w:sz w:val="18"/>
      <w:szCs w:val="18"/>
    </w:rPr>
  </w:style>
  <w:style w:type="character" w:customStyle="1" w:styleId="456">
    <w:name w:val="Char Char31"/>
    <w:qFormat/>
    <w:uiPriority w:val="0"/>
    <w:rPr>
      <w:rFonts w:ascii="宋体"/>
      <w:kern w:val="2"/>
      <w:sz w:val="18"/>
      <w:szCs w:val="18"/>
    </w:rPr>
  </w:style>
  <w:style w:type="character" w:customStyle="1" w:styleId="457">
    <w:name w:val="脚注文本 Char"/>
    <w:link w:val="37"/>
    <w:qFormat/>
    <w:uiPriority w:val="0"/>
    <w:rPr>
      <w:rFonts w:ascii="Tahoma" w:hAnsi="Tahoma"/>
      <w:kern w:val="2"/>
      <w:sz w:val="18"/>
      <w:szCs w:val="18"/>
    </w:rPr>
  </w:style>
  <w:style w:type="character" w:customStyle="1" w:styleId="458">
    <w:name w:val="Balloon Text Char"/>
    <w:qFormat/>
    <w:locked/>
    <w:uiPriority w:val="0"/>
    <w:rPr>
      <w:rFonts w:hint="default" w:eastAsia="宋体"/>
      <w:sz w:val="18"/>
      <w:lang w:bidi="ar-SA"/>
    </w:rPr>
  </w:style>
  <w:style w:type="character" w:customStyle="1" w:styleId="459">
    <w:name w:val="文档结构图 Char2"/>
    <w:semiHidden/>
    <w:qFormat/>
    <w:uiPriority w:val="0"/>
    <w:rPr>
      <w:rFonts w:ascii="宋体" w:eastAsia="宋体"/>
      <w:sz w:val="18"/>
      <w:szCs w:val="18"/>
    </w:rPr>
  </w:style>
  <w:style w:type="character" w:customStyle="1" w:styleId="460">
    <w:name w:val="Body Text 3 Char"/>
    <w:qFormat/>
    <w:locked/>
    <w:uiPriority w:val="0"/>
    <w:rPr>
      <w:rFonts w:hint="default" w:ascii="宋体" w:eastAsia="宋体"/>
      <w:sz w:val="24"/>
      <w:lang w:bidi="ar-SA"/>
    </w:rPr>
  </w:style>
  <w:style w:type="character" w:customStyle="1" w:styleId="461">
    <w:name w:val="Char Char36"/>
    <w:qFormat/>
    <w:uiPriority w:val="0"/>
    <w:rPr>
      <w:rFonts w:eastAsia="宋体"/>
      <w:b/>
      <w:kern w:val="2"/>
      <w:sz w:val="24"/>
      <w:lang w:bidi="ar-SA"/>
    </w:rPr>
  </w:style>
  <w:style w:type="character" w:customStyle="1" w:styleId="462">
    <w:name w:val="param-value3"/>
    <w:qFormat/>
    <w:uiPriority w:val="0"/>
  </w:style>
  <w:style w:type="character" w:customStyle="1" w:styleId="463">
    <w:name w:val="List Paragraph Char"/>
    <w:link w:val="240"/>
    <w:qFormat/>
    <w:locked/>
    <w:uiPriority w:val="0"/>
    <w:rPr>
      <w:rFonts w:ascii="Calibri" w:hAnsi="Calibri"/>
      <w:kern w:val="2"/>
      <w:sz w:val="21"/>
      <w:szCs w:val="22"/>
    </w:rPr>
  </w:style>
  <w:style w:type="character" w:customStyle="1" w:styleId="464">
    <w:name w:val="cpxl1"/>
    <w:qFormat/>
    <w:uiPriority w:val="0"/>
    <w:rPr>
      <w:color w:val="000000"/>
      <w:sz w:val="24"/>
      <w:szCs w:val="24"/>
      <w:u w:val="none"/>
    </w:rPr>
  </w:style>
  <w:style w:type="character" w:customStyle="1" w:styleId="465">
    <w:name w:val="批注主题 Char2"/>
    <w:semiHidden/>
    <w:qFormat/>
    <w:uiPriority w:val="0"/>
    <w:rPr>
      <w:b/>
      <w:bCs/>
    </w:rPr>
  </w:style>
  <w:style w:type="character" w:customStyle="1" w:styleId="466">
    <w:name w:val="样式7 Char"/>
    <w:link w:val="140"/>
    <w:qFormat/>
    <w:uiPriority w:val="0"/>
    <w:rPr>
      <w:rFonts w:ascii="宋体" w:hAnsi="宋体"/>
      <w:kern w:val="2"/>
      <w:sz w:val="24"/>
      <w:szCs w:val="24"/>
      <w:shd w:val="clear" w:color="auto" w:fill="FFFFFF"/>
    </w:rPr>
  </w:style>
  <w:style w:type="character" w:customStyle="1" w:styleId="467">
    <w:name w:val="font01"/>
    <w:basedOn w:val="46"/>
    <w:qFormat/>
    <w:uiPriority w:val="0"/>
    <w:rPr>
      <w:rFonts w:hint="eastAsia" w:ascii="微软雅黑" w:hAnsi="微软雅黑" w:eastAsia="微软雅黑" w:cs="微软雅黑"/>
      <w:color w:val="000000"/>
      <w:sz w:val="22"/>
      <w:szCs w:val="22"/>
      <w:u w:val="none"/>
    </w:rPr>
  </w:style>
  <w:style w:type="character" w:customStyle="1" w:styleId="468">
    <w:name w:val="普通文字 Char Char2"/>
    <w:qFormat/>
    <w:uiPriority w:val="0"/>
    <w:rPr>
      <w:rFonts w:ascii="宋体" w:hAnsi="Courier New" w:eastAsia="宋体"/>
      <w:kern w:val="2"/>
      <w:sz w:val="24"/>
      <w:szCs w:val="24"/>
      <w:lang w:val="en-US" w:eastAsia="zh-CN" w:bidi="ar-SA"/>
    </w:rPr>
  </w:style>
  <w:style w:type="character" w:customStyle="1" w:styleId="469">
    <w:name w:val="脚注文本 Char2"/>
    <w:semiHidden/>
    <w:qFormat/>
    <w:uiPriority w:val="0"/>
    <w:rPr>
      <w:sz w:val="18"/>
      <w:szCs w:val="18"/>
    </w:rPr>
  </w:style>
  <w:style w:type="character" w:customStyle="1" w:styleId="470">
    <w:name w:val="htd01"/>
    <w:unhideWhenUsed/>
    <w:qFormat/>
    <w:uiPriority w:val="0"/>
    <w:rPr>
      <w:rFonts w:hint="default"/>
      <w:sz w:val="24"/>
    </w:rPr>
  </w:style>
  <w:style w:type="character" w:customStyle="1" w:styleId="471">
    <w:name w:val="批注框文本 Char1"/>
    <w:semiHidden/>
    <w:qFormat/>
    <w:uiPriority w:val="0"/>
    <w:rPr>
      <w:sz w:val="18"/>
      <w:szCs w:val="18"/>
    </w:rPr>
  </w:style>
  <w:style w:type="character" w:customStyle="1" w:styleId="472">
    <w:name w:val="fx_label"/>
    <w:unhideWhenUsed/>
    <w:qFormat/>
    <w:uiPriority w:val="0"/>
    <w:rPr>
      <w:rFonts w:hint="default"/>
      <w:sz w:val="24"/>
    </w:rPr>
  </w:style>
  <w:style w:type="character" w:customStyle="1" w:styleId="473">
    <w:name w:val="Char Char19"/>
    <w:qFormat/>
    <w:uiPriority w:val="0"/>
    <w:rPr>
      <w:rFonts w:ascii="Cambria" w:hAnsi="Cambria"/>
      <w:b/>
      <w:bCs/>
      <w:kern w:val="2"/>
      <w:sz w:val="24"/>
      <w:szCs w:val="24"/>
    </w:rPr>
  </w:style>
  <w:style w:type="character" w:customStyle="1" w:styleId="474">
    <w:name w:val="Heading 7 Char"/>
    <w:qFormat/>
    <w:locked/>
    <w:uiPriority w:val="0"/>
    <w:rPr>
      <w:rFonts w:hint="default" w:eastAsia="宋体"/>
      <w:b/>
      <w:sz w:val="24"/>
      <w:lang w:val="en-US" w:eastAsia="zh-CN" w:bidi="ar-SA"/>
    </w:rPr>
  </w:style>
  <w:style w:type="character" w:customStyle="1" w:styleId="475">
    <w:name w:val="纯文本 Char1_2"/>
    <w:qFormat/>
    <w:uiPriority w:val="0"/>
    <w:rPr>
      <w:rFonts w:ascii="宋体" w:hAnsi="Courier New"/>
      <w:kern w:val="2"/>
      <w:sz w:val="21"/>
    </w:rPr>
  </w:style>
  <w:style w:type="character" w:customStyle="1" w:styleId="476">
    <w:name w:val="正文小标题 Char1"/>
    <w:qFormat/>
    <w:uiPriority w:val="0"/>
    <w:rPr>
      <w:kern w:val="2"/>
      <w:sz w:val="21"/>
      <w:szCs w:val="24"/>
    </w:rPr>
  </w:style>
  <w:style w:type="character" w:customStyle="1" w:styleId="477">
    <w:name w:val="Heading 2 Char"/>
    <w:qFormat/>
    <w:locked/>
    <w:uiPriority w:val="0"/>
    <w:rPr>
      <w:rFonts w:hint="default" w:ascii="Arial" w:hAnsi="Arial" w:eastAsia="黑体"/>
      <w:b/>
      <w:sz w:val="32"/>
      <w:lang w:val="en-US" w:eastAsia="en-US" w:bidi="ar-SA"/>
    </w:rPr>
  </w:style>
  <w:style w:type="character" w:customStyle="1" w:styleId="478">
    <w:name w:val="Char Char33"/>
    <w:qFormat/>
    <w:uiPriority w:val="0"/>
    <w:rPr>
      <w:kern w:val="2"/>
      <w:sz w:val="21"/>
      <w:szCs w:val="24"/>
    </w:rPr>
  </w:style>
  <w:style w:type="character" w:customStyle="1" w:styleId="479">
    <w:name w:val="正文二级标题 Char1"/>
    <w:qFormat/>
    <w:uiPriority w:val="0"/>
    <w:rPr>
      <w:rFonts w:ascii="Arial" w:hAnsi="Arial" w:eastAsia="黑体"/>
      <w:b/>
      <w:bCs/>
      <w:kern w:val="2"/>
      <w:sz w:val="32"/>
      <w:szCs w:val="32"/>
    </w:rPr>
  </w:style>
  <w:style w:type="character" w:customStyle="1" w:styleId="480">
    <w:name w:val="页脚 Char1"/>
    <w:unhideWhenUsed/>
    <w:qFormat/>
    <w:locked/>
    <w:uiPriority w:val="0"/>
    <w:rPr>
      <w:rFonts w:hint="default"/>
      <w:sz w:val="18"/>
    </w:rPr>
  </w:style>
  <w:style w:type="paragraph" w:customStyle="1" w:styleId="481">
    <w:name w:val="_Style 3"/>
    <w:basedOn w:val="1"/>
    <w:next w:val="1"/>
    <w:qFormat/>
    <w:uiPriority w:val="34"/>
    <w:pPr>
      <w:ind w:firstLine="420" w:firstLineChars="200"/>
    </w:pPr>
    <w:rPr>
      <w:szCs w:val="24"/>
    </w:rPr>
  </w:style>
  <w:style w:type="character" w:customStyle="1" w:styleId="482">
    <w:name w:val="font31"/>
    <w:basedOn w:val="46"/>
    <w:qFormat/>
    <w:uiPriority w:val="0"/>
    <w:rPr>
      <w:rFonts w:hint="default" w:ascii="Arial Unicode MS" w:hAnsi="Arial Unicode MS" w:eastAsia="Arial Unicode MS" w:cs="Arial Unicode MS"/>
      <w:color w:val="000000"/>
      <w:sz w:val="18"/>
      <w:szCs w:val="18"/>
      <w:u w:val="none"/>
    </w:rPr>
  </w:style>
  <w:style w:type="character" w:customStyle="1" w:styleId="483">
    <w:name w:val="font91"/>
    <w:basedOn w:val="46"/>
    <w:qFormat/>
    <w:uiPriority w:val="0"/>
    <w:rPr>
      <w:rFonts w:hint="default" w:ascii="Arial Unicode MS" w:hAnsi="Arial Unicode MS" w:eastAsia="Arial Unicode MS" w:cs="Arial Unicode MS"/>
      <w:color w:val="000000"/>
      <w:sz w:val="18"/>
      <w:szCs w:val="18"/>
      <w:u w:val="none"/>
    </w:rPr>
  </w:style>
  <w:style w:type="character" w:customStyle="1" w:styleId="484">
    <w:name w:val="font21"/>
    <w:basedOn w:val="4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50"/>
    <customShpInfo spid="_x0000_s2053" textRotate="1"/>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11468</Words>
  <Characters>65373</Characters>
  <Lines>544</Lines>
  <Paragraphs>153</Paragraphs>
  <TotalTime>8</TotalTime>
  <ScaleCrop>false</ScaleCrop>
  <LinksUpToDate>false</LinksUpToDate>
  <CharactersWithSpaces>76688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2020-02-28T07:02:00Z</dcterms:created>
  <dc:creator>微软中国</dc:creator>
  <cp:lastModifiedBy>NTKO</cp:lastModifiedBy>
  <cp:lastPrinted>2020-09-22T07:33:00Z</cp:lastPrinted>
  <dcterms:modified xsi:type="dcterms:W3CDTF">2020-09-30T08:50:52Z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