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123F5">
      <w:pPr>
        <w:autoSpaceDE w:val="0"/>
        <w:autoSpaceDN w:val="0"/>
        <w:spacing w:line="360" w:lineRule="auto"/>
        <w:jc w:val="both"/>
        <w:textAlignment w:val="bottom"/>
        <w:rPr>
          <w:rFonts w:hint="eastAsia" w:ascii="宋体" w:hAnsi="宋体" w:eastAsia="宋体" w:cs="宋体"/>
          <w:b/>
          <w:color w:val="auto"/>
          <w:sz w:val="18"/>
          <w:szCs w:val="18"/>
          <w:highlight w:val="none"/>
          <w:lang w:eastAsia="zh-CN"/>
        </w:rPr>
      </w:pPr>
    </w:p>
    <w:p w14:paraId="6496BDE7">
      <w:pPr>
        <w:pStyle w:val="16"/>
        <w:widowControl w:val="0"/>
        <w:ind w:left="0" w:firstLine="0" w:firstLineChars="0"/>
        <w:jc w:val="center"/>
        <w:rPr>
          <w:rFonts w:hint="eastAsia" w:ascii="宋体" w:hAnsi="宋体" w:eastAsia="宋体" w:cs="宋体"/>
          <w:color w:val="auto"/>
          <w:highlight w:val="none"/>
        </w:rPr>
      </w:pPr>
    </w:p>
    <w:p w14:paraId="11DBF1AD">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7D01E132">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2DFA84E9">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0C5868F1">
      <w:pPr>
        <w:autoSpaceDE w:val="0"/>
        <w:autoSpaceDN w:val="0"/>
        <w:spacing w:line="360" w:lineRule="auto"/>
        <w:jc w:val="center"/>
        <w:textAlignment w:val="bottom"/>
        <w:rPr>
          <w:rFonts w:hint="eastAsia" w:ascii="宋体" w:hAnsi="宋体" w:eastAsia="宋体" w:cs="宋体"/>
          <w:b/>
          <w:color w:val="auto"/>
          <w:sz w:val="18"/>
          <w:szCs w:val="18"/>
          <w:highlight w:val="none"/>
        </w:rPr>
      </w:pPr>
    </w:p>
    <w:p w14:paraId="31E1102E">
      <w:pPr>
        <w:autoSpaceDE w:val="0"/>
        <w:autoSpaceDN w:val="0"/>
        <w:jc w:val="center"/>
        <w:textAlignment w:val="bottom"/>
        <w:outlineLvl w:val="0"/>
        <w:rPr>
          <w:rFonts w:hint="eastAsia" w:ascii="宋体" w:hAnsi="宋体" w:eastAsia="宋体" w:cs="宋体"/>
          <w:color w:val="auto"/>
          <w:sz w:val="96"/>
          <w:szCs w:val="28"/>
          <w:highlight w:val="none"/>
          <w:lang w:eastAsia="zh-CN"/>
          <w14:shadow w14:blurRad="50800" w14:dist="38100" w14:dir="2700000" w14:sx="100000" w14:sy="100000" w14:kx="0" w14:ky="0" w14:algn="tl">
            <w14:srgbClr w14:val="000000">
              <w14:alpha w14:val="60000"/>
            </w14:srgbClr>
          </w14:shadow>
        </w:rPr>
      </w:pPr>
      <w:bookmarkStart w:id="0" w:name="_Toc169"/>
      <w:bookmarkStart w:id="1" w:name="_Toc7117"/>
      <w:r>
        <w:rPr>
          <w:rFonts w:hint="eastAsia" w:ascii="宋体" w:hAnsi="宋体" w:eastAsia="宋体" w:cs="宋体"/>
          <w:b/>
          <w:color w:val="auto"/>
          <w:sz w:val="96"/>
          <w:szCs w:val="28"/>
          <w:highlight w:val="none"/>
          <w14:shadow w14:blurRad="50800" w14:dist="38100" w14:dir="2700000" w14:sx="100000" w14:sy="100000" w14:kx="0" w14:ky="0" w14:algn="tl">
            <w14:srgbClr w14:val="000000">
              <w14:alpha w14:val="60000"/>
            </w14:srgbClr>
          </w14:shadow>
        </w:rPr>
        <w:t>竞争性磋商</w:t>
      </w:r>
      <w:bookmarkEnd w:id="0"/>
      <w:bookmarkEnd w:id="1"/>
      <w:r>
        <w:rPr>
          <w:rFonts w:hint="eastAsia" w:ascii="宋体" w:hAnsi="宋体" w:eastAsia="宋体" w:cs="宋体"/>
          <w:b/>
          <w:color w:val="auto"/>
          <w:sz w:val="96"/>
          <w:szCs w:val="28"/>
          <w:highlight w:val="none"/>
          <w:lang w:eastAsia="zh-CN"/>
          <w14:shadow w14:blurRad="50800" w14:dist="38100" w14:dir="2700000" w14:sx="100000" w14:sy="100000" w14:kx="0" w14:ky="0" w14:algn="tl">
            <w14:srgbClr w14:val="000000">
              <w14:alpha w14:val="60000"/>
            </w14:srgbClr>
          </w14:shadow>
        </w:rPr>
        <w:t>文件</w:t>
      </w:r>
    </w:p>
    <w:p w14:paraId="7FFAAE84">
      <w:pPr>
        <w:autoSpaceDE w:val="0"/>
        <w:autoSpaceDN w:val="0"/>
        <w:snapToGrid w:val="0"/>
        <w:jc w:val="center"/>
        <w:textAlignment w:val="bottom"/>
        <w:rPr>
          <w:rFonts w:hint="eastAsia" w:ascii="宋体" w:hAnsi="宋体" w:eastAsia="宋体" w:cs="宋体"/>
          <w:b/>
          <w:color w:val="auto"/>
          <w:sz w:val="18"/>
          <w:szCs w:val="18"/>
          <w:highlight w:val="none"/>
        </w:rPr>
      </w:pPr>
    </w:p>
    <w:p w14:paraId="263191F4">
      <w:pPr>
        <w:autoSpaceDE w:val="0"/>
        <w:autoSpaceDN w:val="0"/>
        <w:snapToGrid w:val="0"/>
        <w:jc w:val="center"/>
        <w:textAlignment w:val="bottom"/>
        <w:rPr>
          <w:rFonts w:hint="eastAsia" w:ascii="宋体" w:hAnsi="宋体" w:eastAsia="宋体" w:cs="宋体"/>
          <w:b/>
          <w:color w:val="auto"/>
          <w:sz w:val="18"/>
          <w:szCs w:val="18"/>
          <w:highlight w:val="none"/>
        </w:rPr>
      </w:pPr>
    </w:p>
    <w:p w14:paraId="65682ECD">
      <w:pPr>
        <w:pStyle w:val="16"/>
        <w:snapToGrid w:val="0"/>
        <w:spacing w:after="0"/>
        <w:ind w:left="0" w:firstLine="0" w:firstLineChars="0"/>
        <w:jc w:val="center"/>
        <w:rPr>
          <w:rFonts w:hint="eastAsia" w:ascii="宋体" w:hAnsi="宋体" w:eastAsia="宋体" w:cs="宋体"/>
          <w:color w:val="auto"/>
          <w:highlight w:val="none"/>
          <w:lang w:val="en-US"/>
        </w:rPr>
      </w:pPr>
    </w:p>
    <w:p w14:paraId="6825CF4C">
      <w:pPr>
        <w:autoSpaceDE w:val="0"/>
        <w:autoSpaceDN w:val="0"/>
        <w:snapToGrid w:val="0"/>
        <w:jc w:val="center"/>
        <w:textAlignment w:val="bottom"/>
        <w:rPr>
          <w:rFonts w:hint="eastAsia" w:ascii="宋体" w:hAnsi="宋体" w:eastAsia="宋体" w:cs="宋体"/>
          <w:b/>
          <w:color w:val="auto"/>
          <w:sz w:val="18"/>
          <w:szCs w:val="18"/>
          <w:highlight w:val="none"/>
        </w:rPr>
      </w:pPr>
    </w:p>
    <w:p w14:paraId="08B8A1E1">
      <w:pPr>
        <w:pStyle w:val="16"/>
        <w:snapToGrid w:val="0"/>
        <w:spacing w:after="0"/>
        <w:ind w:left="0" w:firstLine="0" w:firstLineChars="0"/>
        <w:jc w:val="center"/>
        <w:rPr>
          <w:rFonts w:hint="eastAsia" w:ascii="宋体" w:hAnsi="宋体" w:eastAsia="宋体" w:cs="宋体"/>
          <w:color w:val="auto"/>
          <w:highlight w:val="none"/>
          <w:lang w:val="en-US"/>
        </w:rPr>
      </w:pPr>
    </w:p>
    <w:p w14:paraId="08727AB5">
      <w:pPr>
        <w:pStyle w:val="16"/>
        <w:snapToGrid w:val="0"/>
        <w:spacing w:after="0"/>
        <w:ind w:left="0" w:firstLine="0" w:firstLineChars="0"/>
        <w:jc w:val="center"/>
        <w:rPr>
          <w:rFonts w:hint="eastAsia" w:ascii="宋体" w:hAnsi="宋体" w:eastAsia="宋体" w:cs="宋体"/>
          <w:color w:val="auto"/>
          <w:highlight w:val="none"/>
          <w:lang w:val="en-US"/>
        </w:rPr>
      </w:pPr>
    </w:p>
    <w:p w14:paraId="3889A941">
      <w:pPr>
        <w:autoSpaceDE w:val="0"/>
        <w:autoSpaceDN w:val="0"/>
        <w:snapToGrid w:val="0"/>
        <w:jc w:val="center"/>
        <w:textAlignment w:val="bottom"/>
        <w:rPr>
          <w:rFonts w:hint="eastAsia" w:ascii="宋体" w:hAnsi="宋体" w:eastAsia="宋体" w:cs="宋体"/>
          <w:b/>
          <w:color w:val="auto"/>
          <w:sz w:val="18"/>
          <w:szCs w:val="18"/>
          <w:highlight w:val="none"/>
        </w:rPr>
      </w:pPr>
    </w:p>
    <w:tbl>
      <w:tblPr>
        <w:tblStyle w:val="40"/>
        <w:tblpPr w:leftFromText="180" w:rightFromText="180" w:vertAnchor="text" w:horzAnchor="page" w:tblpX="1774" w:tblpY="221"/>
        <w:tblOverlap w:val="never"/>
        <w:tblW w:w="8536" w:type="dxa"/>
        <w:jc w:val="center"/>
        <w:tblLayout w:type="fixed"/>
        <w:tblCellMar>
          <w:top w:w="0" w:type="dxa"/>
          <w:left w:w="108" w:type="dxa"/>
          <w:bottom w:w="0" w:type="dxa"/>
          <w:right w:w="108" w:type="dxa"/>
        </w:tblCellMar>
      </w:tblPr>
      <w:tblGrid>
        <w:gridCol w:w="1755"/>
        <w:gridCol w:w="727"/>
        <w:gridCol w:w="6054"/>
      </w:tblGrid>
      <w:tr w14:paraId="1918896E">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572CA64B">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2" w:name="_Toc1444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采购编号：</w:t>
            </w:r>
            <w:bookmarkEnd w:id="2"/>
          </w:p>
        </w:tc>
        <w:tc>
          <w:tcPr>
            <w:tcW w:w="6781" w:type="dxa"/>
            <w:gridSpan w:val="2"/>
            <w:tcMar>
              <w:top w:w="0" w:type="dxa"/>
              <w:left w:w="0" w:type="dxa"/>
              <w:bottom w:w="0" w:type="dxa"/>
              <w:right w:w="0" w:type="dxa"/>
            </w:tcMar>
            <w:vAlign w:val="center"/>
          </w:tcPr>
          <w:p w14:paraId="01C9754A">
            <w:pPr>
              <w:autoSpaceDE w:val="0"/>
              <w:autoSpaceDN w:val="0"/>
              <w:jc w:val="left"/>
              <w:textAlignment w:val="bottom"/>
              <w:outlineLvl w:val="0"/>
              <w:rPr>
                <w:rFonts w:hint="default" w:ascii="宋体" w:hAnsi="宋体" w:eastAsia="宋体" w:cs="宋体"/>
                <w:b/>
                <w:color w:val="auto"/>
                <w:sz w:val="36"/>
                <w:szCs w:val="36"/>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浙江飞秀2025026号</w:t>
            </w:r>
          </w:p>
        </w:tc>
      </w:tr>
      <w:tr w14:paraId="652524C1">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556EACCB">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3" w:name="_Toc16562"/>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项目名称：</w:t>
            </w:r>
            <w:bookmarkEnd w:id="3"/>
          </w:p>
        </w:tc>
        <w:tc>
          <w:tcPr>
            <w:tcW w:w="6781" w:type="dxa"/>
            <w:gridSpan w:val="2"/>
            <w:tcMar>
              <w:top w:w="0" w:type="dxa"/>
              <w:left w:w="0" w:type="dxa"/>
              <w:bottom w:w="0" w:type="dxa"/>
              <w:right w:w="0" w:type="dxa"/>
            </w:tcMar>
            <w:vAlign w:val="center"/>
          </w:tcPr>
          <w:p w14:paraId="159466FF">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1"/>
                <w:sz w:val="36"/>
                <w:szCs w:val="36"/>
                <w:highlight w:val="none"/>
                <w:lang w:eastAsia="zh-CN"/>
                <w14:shadow w14:blurRad="50800" w14:dist="38100" w14:dir="2700000" w14:sx="100000" w14:sy="100000" w14:kx="0" w14:ky="0" w14:algn="tl">
                  <w14:srgbClr w14:val="000000">
                    <w14:alpha w14:val="60000"/>
                  </w14:srgbClr>
                </w14:shadow>
              </w:rPr>
              <w:t>庆元县宅基地及集体建设用地地籍图编制项目</w:t>
            </w:r>
          </w:p>
        </w:tc>
      </w:tr>
      <w:tr w14:paraId="72CDF632">
        <w:tblPrEx>
          <w:tblCellMar>
            <w:top w:w="0" w:type="dxa"/>
            <w:left w:w="108" w:type="dxa"/>
            <w:bottom w:w="0" w:type="dxa"/>
            <w:right w:w="108" w:type="dxa"/>
          </w:tblCellMar>
        </w:tblPrEx>
        <w:trPr>
          <w:trHeight w:val="1417" w:hRule="atLeast"/>
          <w:jc w:val="center"/>
        </w:trPr>
        <w:tc>
          <w:tcPr>
            <w:tcW w:w="1755" w:type="dxa"/>
            <w:tcMar>
              <w:top w:w="0" w:type="dxa"/>
              <w:left w:w="0" w:type="dxa"/>
              <w:bottom w:w="0" w:type="dxa"/>
              <w:right w:w="0" w:type="dxa"/>
            </w:tcMar>
            <w:vAlign w:val="center"/>
          </w:tcPr>
          <w:p w14:paraId="56D86F24">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bookmarkStart w:id="4" w:name="_Toc20401"/>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 购 人：</w:t>
            </w:r>
            <w:bookmarkEnd w:id="4"/>
          </w:p>
        </w:tc>
        <w:tc>
          <w:tcPr>
            <w:tcW w:w="6781" w:type="dxa"/>
            <w:gridSpan w:val="2"/>
            <w:tcMar>
              <w:top w:w="0" w:type="dxa"/>
              <w:left w:w="0" w:type="dxa"/>
              <w:bottom w:w="0" w:type="dxa"/>
              <w:right w:w="0" w:type="dxa"/>
            </w:tcMar>
            <w:vAlign w:val="center"/>
          </w:tcPr>
          <w:p w14:paraId="2547F68B">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庆元县自然资源和规划局</w:t>
            </w:r>
          </w:p>
        </w:tc>
      </w:tr>
      <w:tr w14:paraId="6429F363">
        <w:tblPrEx>
          <w:tblCellMar>
            <w:top w:w="0" w:type="dxa"/>
            <w:left w:w="108" w:type="dxa"/>
            <w:bottom w:w="0" w:type="dxa"/>
            <w:right w:w="108" w:type="dxa"/>
          </w:tblCellMar>
        </w:tblPrEx>
        <w:trPr>
          <w:trHeight w:val="1417" w:hRule="atLeast"/>
          <w:jc w:val="center"/>
        </w:trPr>
        <w:tc>
          <w:tcPr>
            <w:tcW w:w="2482" w:type="dxa"/>
            <w:gridSpan w:val="2"/>
            <w:tcMar>
              <w:top w:w="0" w:type="dxa"/>
              <w:left w:w="0" w:type="dxa"/>
              <w:bottom w:w="0" w:type="dxa"/>
              <w:right w:w="0" w:type="dxa"/>
            </w:tcMar>
            <w:vAlign w:val="center"/>
          </w:tcPr>
          <w:p w14:paraId="61FDB2C3">
            <w:pPr>
              <w:autoSpaceDE w:val="0"/>
              <w:autoSpaceDN w:val="0"/>
              <w:jc w:val="left"/>
              <w:textAlignment w:val="bottom"/>
              <w:outlineLvl w:val="0"/>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14:shadow w14:blurRad="50800" w14:dist="38100" w14:dir="2700000" w14:sx="100000" w14:sy="100000" w14:kx="0" w14:ky="0" w14:algn="tl">
                  <w14:srgbClr w14:val="000000">
                    <w14:alpha w14:val="60000"/>
                  </w14:srgbClr>
                </w14:shadow>
              </w:rPr>
              <w:t>采购代理机构：</w:t>
            </w:r>
          </w:p>
        </w:tc>
        <w:tc>
          <w:tcPr>
            <w:tcW w:w="6054" w:type="dxa"/>
            <w:tcMar>
              <w:top w:w="0" w:type="dxa"/>
              <w:left w:w="0" w:type="dxa"/>
              <w:bottom w:w="0" w:type="dxa"/>
              <w:right w:w="0" w:type="dxa"/>
            </w:tcMar>
            <w:vAlign w:val="center"/>
          </w:tcPr>
          <w:p w14:paraId="15E44F1E">
            <w:pPr>
              <w:autoSpaceDE w:val="0"/>
              <w:autoSpaceDN w:val="0"/>
              <w:jc w:val="left"/>
              <w:textAlignment w:val="bottom"/>
              <w:outlineLvl w:val="0"/>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6"/>
                <w:szCs w:val="36"/>
                <w:highlight w:val="none"/>
                <w:lang w:eastAsia="zh-CN"/>
                <w14:shadow w14:blurRad="50800" w14:dist="38100" w14:dir="2700000" w14:sx="100000" w14:sy="100000" w14:kx="0" w14:ky="0" w14:algn="tl">
                  <w14:srgbClr w14:val="000000">
                    <w14:alpha w14:val="60000"/>
                  </w14:srgbClr>
                </w14:shadow>
              </w:rPr>
              <w:t>浙江飞秀工程咨询有限公司</w:t>
            </w:r>
          </w:p>
        </w:tc>
      </w:tr>
    </w:tbl>
    <w:p w14:paraId="38683B08">
      <w:pPr>
        <w:autoSpaceDE w:val="0"/>
        <w:autoSpaceDN w:val="0"/>
        <w:snapToGrid w:val="0"/>
        <w:jc w:val="center"/>
        <w:textAlignment w:val="bottom"/>
        <w:rPr>
          <w:rFonts w:hint="eastAsia" w:ascii="宋体" w:hAnsi="宋体" w:eastAsia="宋体" w:cs="宋体"/>
          <w:b/>
          <w:color w:val="auto"/>
          <w:sz w:val="18"/>
          <w:szCs w:val="18"/>
          <w:highlight w:val="none"/>
        </w:rPr>
      </w:pPr>
    </w:p>
    <w:p w14:paraId="2E3ADC2A">
      <w:pPr>
        <w:autoSpaceDE w:val="0"/>
        <w:autoSpaceDN w:val="0"/>
        <w:snapToGrid w:val="0"/>
        <w:jc w:val="center"/>
        <w:textAlignment w:val="bottom"/>
        <w:rPr>
          <w:rFonts w:hint="eastAsia" w:ascii="宋体" w:hAnsi="宋体" w:eastAsia="宋体" w:cs="宋体"/>
          <w:b/>
          <w:color w:val="auto"/>
          <w:sz w:val="18"/>
          <w:szCs w:val="18"/>
          <w:highlight w:val="none"/>
        </w:rPr>
      </w:pPr>
      <w:bookmarkStart w:id="5" w:name="_Toc28987"/>
    </w:p>
    <w:p w14:paraId="222AF64B">
      <w:pPr>
        <w:pStyle w:val="16"/>
        <w:snapToGrid w:val="0"/>
        <w:spacing w:after="0"/>
        <w:ind w:left="0" w:firstLine="0" w:firstLineChars="0"/>
        <w:jc w:val="center"/>
        <w:rPr>
          <w:rFonts w:hint="eastAsia" w:ascii="宋体" w:hAnsi="宋体" w:eastAsia="宋体" w:cs="宋体"/>
          <w:color w:val="auto"/>
          <w:highlight w:val="none"/>
          <w:lang w:val="en-US"/>
        </w:rPr>
      </w:pPr>
    </w:p>
    <w:p w14:paraId="629E8FFB">
      <w:pPr>
        <w:pStyle w:val="16"/>
        <w:snapToGrid w:val="0"/>
        <w:spacing w:after="0"/>
        <w:ind w:left="0" w:firstLine="0" w:firstLineChars="0"/>
        <w:jc w:val="center"/>
        <w:rPr>
          <w:rFonts w:hint="eastAsia" w:ascii="宋体" w:hAnsi="宋体" w:eastAsia="宋体" w:cs="宋体"/>
          <w:color w:val="auto"/>
          <w:highlight w:val="none"/>
          <w:lang w:val="en-US"/>
        </w:rPr>
      </w:pPr>
    </w:p>
    <w:p w14:paraId="6B204C5D">
      <w:pPr>
        <w:autoSpaceDE w:val="0"/>
        <w:autoSpaceDN w:val="0"/>
        <w:snapToGrid w:val="0"/>
        <w:jc w:val="center"/>
        <w:textAlignment w:val="bottom"/>
        <w:rPr>
          <w:rFonts w:hint="eastAsia" w:ascii="宋体" w:hAnsi="宋体" w:eastAsia="宋体" w:cs="宋体"/>
          <w:b/>
          <w:color w:val="auto"/>
          <w:sz w:val="18"/>
          <w:szCs w:val="18"/>
          <w:highlight w:val="none"/>
        </w:rPr>
      </w:pPr>
    </w:p>
    <w:p w14:paraId="2CF5C906">
      <w:pPr>
        <w:autoSpaceDE w:val="0"/>
        <w:autoSpaceDN w:val="0"/>
        <w:snapToGrid w:val="0"/>
        <w:jc w:val="center"/>
        <w:textAlignment w:val="bottom"/>
        <w:rPr>
          <w:rFonts w:hint="eastAsia" w:ascii="宋体" w:hAnsi="宋体" w:eastAsia="宋体" w:cs="宋体"/>
          <w:b/>
          <w:color w:val="auto"/>
          <w:sz w:val="18"/>
          <w:szCs w:val="18"/>
          <w:highlight w:val="none"/>
        </w:rPr>
      </w:pPr>
    </w:p>
    <w:p w14:paraId="33118A8D">
      <w:pPr>
        <w:pStyle w:val="16"/>
        <w:snapToGrid w:val="0"/>
        <w:spacing w:after="0"/>
        <w:ind w:left="0" w:firstLine="0" w:firstLineChars="0"/>
        <w:jc w:val="center"/>
        <w:rPr>
          <w:rFonts w:hint="eastAsia" w:ascii="宋体" w:hAnsi="宋体" w:eastAsia="宋体" w:cs="宋体"/>
          <w:color w:val="auto"/>
          <w:highlight w:val="none"/>
          <w:lang w:val="en-US"/>
        </w:rPr>
      </w:pPr>
    </w:p>
    <w:bookmarkEnd w:id="5"/>
    <w:p w14:paraId="7C2085F9">
      <w:pPr>
        <w:autoSpaceDE w:val="0"/>
        <w:autoSpaceDN w:val="0"/>
        <w:spacing w:line="360" w:lineRule="auto"/>
        <w:jc w:val="center"/>
        <w:textAlignment w:val="bottom"/>
        <w:outlineLvl w:val="0"/>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pPr>
      <w:bookmarkStart w:id="6" w:name="_Toc2973"/>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二〇二</w:t>
      </w:r>
      <w:r>
        <w:rPr>
          <w:rFonts w:hint="eastAsia" w:ascii="宋体" w:hAnsi="宋体" w:eastAsia="宋体" w:cs="宋体"/>
          <w:b/>
          <w:color w:val="auto"/>
          <w:sz w:val="34"/>
          <w:szCs w:val="34"/>
          <w:highlight w:val="none"/>
          <w:lang w:eastAsia="zh-CN"/>
          <w14:shadow w14:blurRad="50800" w14:dist="38100" w14:dir="2700000" w14:sx="100000" w14:sy="100000" w14:kx="0" w14:ky="0" w14:algn="tl">
            <w14:srgbClr w14:val="000000">
              <w14:alpha w14:val="60000"/>
            </w14:srgbClr>
          </w14:shadow>
        </w:rPr>
        <w:t>五</w:t>
      </w:r>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年</w:t>
      </w:r>
      <w:r>
        <w:rPr>
          <w:rFonts w:hint="eastAsia" w:ascii="宋体" w:hAnsi="宋体" w:eastAsia="宋体" w:cs="宋体"/>
          <w:b/>
          <w:color w:val="auto"/>
          <w:sz w:val="34"/>
          <w:szCs w:val="34"/>
          <w:highlight w:val="none"/>
          <w:lang w:eastAsia="zh-CN"/>
          <w14:shadow w14:blurRad="50800" w14:dist="38100" w14:dir="2700000" w14:sx="100000" w14:sy="100000" w14:kx="0" w14:ky="0" w14:algn="tl">
            <w14:srgbClr w14:val="000000">
              <w14:alpha w14:val="60000"/>
            </w14:srgbClr>
          </w14:shadow>
        </w:rPr>
        <w:t>七</w:t>
      </w:r>
      <w:bookmarkStart w:id="193" w:name="_GoBack"/>
      <w:bookmarkEnd w:id="193"/>
      <w:r>
        <w:rPr>
          <w:rFonts w:hint="eastAsia" w:ascii="宋体" w:hAnsi="宋体" w:eastAsia="宋体" w:cs="宋体"/>
          <w:b/>
          <w:color w:val="auto"/>
          <w:sz w:val="34"/>
          <w:szCs w:val="34"/>
          <w:highlight w:val="none"/>
          <w14:shadow w14:blurRad="50800" w14:dist="38100" w14:dir="2700000" w14:sx="100000" w14:sy="100000" w14:kx="0" w14:ky="0" w14:algn="tl">
            <w14:srgbClr w14:val="000000">
              <w14:alpha w14:val="60000"/>
            </w14:srgbClr>
          </w14:shadow>
        </w:rPr>
        <w:t>月</w:t>
      </w:r>
      <w:bookmarkEnd w:id="6"/>
    </w:p>
    <w:p w14:paraId="59A79F0E">
      <w:pPr>
        <w:pStyle w:val="16"/>
        <w:snapToGrid w:val="0"/>
        <w:spacing w:after="0"/>
        <w:ind w:left="0" w:firstLine="0" w:firstLineChars="0"/>
        <w:jc w:val="center"/>
        <w:rPr>
          <w:rFonts w:hint="eastAsia" w:ascii="宋体" w:hAnsi="宋体" w:eastAsia="宋体" w:cs="宋体"/>
          <w:color w:val="auto"/>
          <w:highlight w:val="none"/>
          <w:lang w:val="en-US"/>
        </w:rPr>
      </w:pPr>
    </w:p>
    <w:p w14:paraId="0617D381">
      <w:pPr>
        <w:pStyle w:val="16"/>
        <w:snapToGrid w:val="0"/>
        <w:spacing w:after="0"/>
        <w:ind w:left="0" w:firstLine="0" w:firstLineChars="0"/>
        <w:jc w:val="center"/>
        <w:rPr>
          <w:rFonts w:hint="eastAsia" w:ascii="宋体" w:hAnsi="宋体" w:eastAsia="宋体" w:cs="宋体"/>
          <w:color w:val="auto"/>
          <w:highlight w:val="none"/>
          <w:lang w:val="en-US"/>
        </w:rPr>
        <w:sectPr>
          <w:headerReference r:id="rId3" w:type="default"/>
          <w:pgSz w:w="11906" w:h="16838"/>
          <w:pgMar w:top="1418" w:right="1418" w:bottom="1418" w:left="1418" w:header="851" w:footer="992" w:gutter="0"/>
          <w:cols w:space="720" w:num="1"/>
          <w:docGrid w:linePitch="312" w:charSpace="0"/>
        </w:sectPr>
      </w:pPr>
    </w:p>
    <w:p w14:paraId="08A82B1D">
      <w:pPr>
        <w:rPr>
          <w:rFonts w:hint="eastAsia"/>
          <w:color w:val="auto"/>
          <w:highlight w:val="none"/>
          <w:lang w:val="en-US"/>
        </w:rPr>
      </w:pPr>
    </w:p>
    <w:sdt>
      <w:sdtPr>
        <w:rPr>
          <w:rFonts w:hint="eastAsia" w:ascii="宋体" w:hAnsi="宋体" w:eastAsia="宋体" w:cs="宋体"/>
          <w:color w:val="auto"/>
          <w:highlight w:val="none"/>
        </w:rPr>
        <w:id w:val="147469861"/>
      </w:sdtPr>
      <w:sdtEndPr>
        <w:rPr>
          <w:rFonts w:hint="eastAsia" w:ascii="宋体" w:hAnsi="宋体" w:eastAsia="宋体" w:cs="宋体"/>
          <w:b/>
          <w:color w:val="auto"/>
          <w:highlight w:val="none"/>
        </w:rPr>
      </w:sdtEndPr>
      <w:sdtContent>
        <w:p w14:paraId="29146902">
          <w:pPr>
            <w:jc w:val="center"/>
            <w:rPr>
              <w:rFonts w:hint="eastAsia" w:ascii="宋体" w:hAnsi="宋体" w:eastAsia="宋体" w:cs="宋体"/>
              <w:color w:val="auto"/>
              <w:highlight w:val="none"/>
            </w:rPr>
          </w:pPr>
          <w:bookmarkStart w:id="7" w:name="_Toc18430"/>
          <w:bookmarkStart w:id="8" w:name="_Toc145493459"/>
          <w:bookmarkStart w:id="9" w:name="_Toc391969406"/>
        </w:p>
        <w:p w14:paraId="2D1174C2">
          <w:pPr>
            <w:jc w:val="center"/>
            <w:rPr>
              <w:rFonts w:hint="eastAsia" w:ascii="宋体" w:hAnsi="宋体" w:eastAsia="宋体" w:cs="宋体"/>
              <w:color w:val="auto"/>
              <w:highlight w:val="none"/>
            </w:rPr>
          </w:pPr>
        </w:p>
        <w:p w14:paraId="1198DB47">
          <w:pPr>
            <w:jc w:val="center"/>
            <w:rPr>
              <w:rFonts w:hint="eastAsia" w:ascii="宋体" w:hAnsi="宋体" w:eastAsia="宋体" w:cs="宋体"/>
              <w:b/>
              <w:bCs/>
              <w:color w:val="auto"/>
              <w:sz w:val="40"/>
              <w:szCs w:val="44"/>
              <w:highlight w:val="none"/>
            </w:rPr>
          </w:pPr>
          <w:r>
            <w:rPr>
              <w:rFonts w:hint="eastAsia" w:ascii="宋体" w:hAnsi="宋体" w:eastAsia="宋体" w:cs="宋体"/>
              <w:b/>
              <w:bCs/>
              <w:color w:val="auto"/>
              <w:sz w:val="40"/>
              <w:szCs w:val="44"/>
              <w:highlight w:val="none"/>
            </w:rPr>
            <w:t>目  录</w:t>
          </w:r>
        </w:p>
        <w:p w14:paraId="213E0829">
          <w:pPr>
            <w:pStyle w:val="111"/>
            <w:widowControl w:val="0"/>
            <w:tabs>
              <w:tab w:val="right" w:leader="middleDot" w:pos="9070"/>
            </w:tabs>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"1-2" \h \u </w:instrText>
          </w:r>
          <w:r>
            <w:rPr>
              <w:rFonts w:hint="eastAsia" w:ascii="宋体" w:hAnsi="宋体" w:eastAsia="宋体" w:cs="宋体"/>
              <w:color w:val="auto"/>
              <w:sz w:val="21"/>
              <w:szCs w:val="21"/>
              <w:highlight w:val="none"/>
            </w:rPr>
            <w:fldChar w:fldCharType="separate"/>
          </w:r>
        </w:p>
        <w:p w14:paraId="7C73AE14">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eastAsia" w:ascii="宋体" w:hAnsi="宋体" w:eastAsia="宋体" w:cs="宋体"/>
              <w:snapToGrid w:val="0"/>
              <w:color w:val="auto"/>
              <w:sz w:val="21"/>
              <w:szCs w:val="21"/>
              <w:highlight w:val="none"/>
            </w:rPr>
          </w:pPr>
        </w:p>
        <w:p w14:paraId="4626D4E8">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"_Toc21669"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52"/>
              <w:highlight w:val="none"/>
            </w:rPr>
            <w:t>第一章  竞争性磋商公告</w:t>
          </w:r>
          <w:r>
            <w:rPr>
              <w:rFonts w:hint="eastAsia" w:ascii="宋体" w:hAnsi="宋体" w:cs="宋体"/>
              <w:b/>
              <w:bCs/>
              <w:snapToGrid w:val="0"/>
              <w:color w:val="auto"/>
              <w:sz w:val="28"/>
              <w:szCs w:val="52"/>
              <w:highlight w:val="none"/>
              <w:lang w:val="en-US" w:eastAsia="zh-CN"/>
            </w:rPr>
            <w:t xml:space="preserve"> </w:t>
          </w:r>
          <w:r>
            <w:rPr>
              <w:rFonts w:hint="eastAsia" w:ascii="宋体" w:hAnsi="宋体" w:cs="宋体"/>
              <w:b/>
              <w:bCs/>
              <w:snapToGrid w:val="0"/>
              <w:color w:val="auto"/>
              <w:sz w:val="28"/>
              <w:szCs w:val="28"/>
              <w:highlight w:val="none"/>
              <w:lang w:eastAsia="zh-CN"/>
            </w:rPr>
            <w:t>………………………………………………</w:t>
          </w:r>
          <w:r>
            <w:rPr>
              <w:rFonts w:hint="eastAsia" w:ascii="宋体" w:hAnsi="宋体" w:cs="宋体"/>
              <w:b/>
              <w:bCs/>
              <w:snapToGrid w:val="0"/>
              <w:color w:val="auto"/>
              <w:sz w:val="28"/>
              <w:szCs w:val="28"/>
              <w:highlight w:val="none"/>
              <w:lang w:val="en-US" w:eastAsia="zh-CN"/>
            </w:rPr>
            <w:t>1</w:t>
          </w:r>
          <w:r>
            <w:rPr>
              <w:rFonts w:hint="eastAsia" w:ascii="宋体" w:hAnsi="宋体" w:eastAsia="宋体" w:cs="宋体"/>
              <w:b/>
              <w:bCs/>
              <w:snapToGrid w:val="0"/>
              <w:color w:val="auto"/>
              <w:sz w:val="28"/>
              <w:szCs w:val="28"/>
              <w:highlight w:val="none"/>
            </w:rPr>
            <w:fldChar w:fldCharType="end"/>
          </w:r>
        </w:p>
        <w:p w14:paraId="00F69747">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"_Toc3304"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28"/>
              <w:highlight w:val="none"/>
            </w:rPr>
            <w:t>第二章  供应商须知</w:t>
          </w:r>
          <w:r>
            <w:rPr>
              <w:rFonts w:hint="eastAsia" w:ascii="宋体" w:hAnsi="宋体" w:cs="宋体"/>
              <w:b/>
              <w:bCs/>
              <w:snapToGrid w:val="0"/>
              <w:color w:val="auto"/>
              <w:sz w:val="28"/>
              <w:szCs w:val="28"/>
              <w:highlight w:val="none"/>
              <w:lang w:val="en-US" w:eastAsia="zh-CN"/>
            </w:rPr>
            <w:t xml:space="preserve"> </w:t>
          </w:r>
          <w:r>
            <w:rPr>
              <w:rFonts w:hint="eastAsia" w:ascii="宋体" w:hAnsi="宋体" w:cs="宋体"/>
              <w:b/>
              <w:bCs/>
              <w:snapToGrid w:val="0"/>
              <w:color w:val="auto"/>
              <w:sz w:val="28"/>
              <w:szCs w:val="28"/>
              <w:highlight w:val="none"/>
              <w:lang w:eastAsia="zh-CN"/>
            </w:rPr>
            <w:t>…………………………</w:t>
          </w:r>
          <w:r>
            <w:rPr>
              <w:rFonts w:hint="eastAsia" w:ascii="宋体" w:hAnsi="宋体" w:cs="宋体"/>
              <w:snapToGrid w:val="0"/>
              <w:color w:val="auto"/>
              <w:sz w:val="28"/>
              <w:szCs w:val="28"/>
              <w:highlight w:val="none"/>
              <w:lang w:eastAsia="zh-CN"/>
            </w:rPr>
            <w:t>…</w:t>
          </w:r>
          <w:r>
            <w:rPr>
              <w:rFonts w:hint="eastAsia" w:ascii="宋体" w:hAnsi="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fldChar w:fldCharType="end"/>
          </w:r>
          <w:r>
            <w:rPr>
              <w:rFonts w:hint="eastAsia" w:ascii="宋体" w:hAnsi="宋体" w:cs="宋体"/>
              <w:b/>
              <w:bCs/>
              <w:snapToGrid w:val="0"/>
              <w:color w:val="auto"/>
              <w:sz w:val="28"/>
              <w:szCs w:val="28"/>
              <w:highlight w:val="none"/>
              <w:lang w:val="en-US" w:eastAsia="zh-CN"/>
            </w:rPr>
            <w:t>5</w:t>
          </w:r>
        </w:p>
        <w:p w14:paraId="68A30B25">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eastAsia" w:ascii="宋体" w:hAnsi="宋体" w:eastAsia="宋体" w:cs="宋体"/>
              <w:b/>
              <w:bCs/>
              <w:snapToGrid w:val="0"/>
              <w:color w:val="auto"/>
              <w:sz w:val="28"/>
              <w:szCs w:val="28"/>
              <w:highlight w:val="none"/>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"_Toc6808"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28"/>
              <w:highlight w:val="none"/>
            </w:rPr>
            <w:t>第三章  采购需求</w:t>
          </w:r>
          <w:r>
            <w:rPr>
              <w:rFonts w:hint="eastAsia" w:ascii="宋体" w:hAnsi="宋体" w:cs="宋体"/>
              <w:b/>
              <w:bCs/>
              <w:snapToGrid w:val="0"/>
              <w:color w:val="auto"/>
              <w:sz w:val="28"/>
              <w:szCs w:val="28"/>
              <w:highlight w:val="none"/>
              <w:lang w:eastAsia="zh-CN"/>
            </w:rPr>
            <w:t>…………………………</w:t>
          </w:r>
          <w:r>
            <w:rPr>
              <w:rFonts w:hint="eastAsia" w:ascii="宋体" w:hAnsi="宋体" w:cs="宋体"/>
              <w:snapToGrid w:val="0"/>
              <w:color w:val="auto"/>
              <w:sz w:val="28"/>
              <w:szCs w:val="28"/>
              <w:highlight w:val="none"/>
              <w:lang w:eastAsia="zh-CN"/>
            </w:rPr>
            <w:t>……</w:t>
          </w:r>
          <w:r>
            <w:rPr>
              <w:rFonts w:hint="eastAsia" w:ascii="宋体" w:hAnsi="宋体" w:cs="宋体"/>
              <w:b/>
              <w:bCs/>
              <w:snapToGrid w:val="0"/>
              <w:color w:val="auto"/>
              <w:sz w:val="28"/>
              <w:szCs w:val="28"/>
              <w:highlight w:val="none"/>
              <w:lang w:eastAsia="zh-CN"/>
            </w:rPr>
            <w:t>………………………</w:t>
          </w:r>
          <w:r>
            <w:rPr>
              <w:rFonts w:hint="eastAsia" w:ascii="宋体" w:hAnsi="宋体" w:cs="宋体"/>
              <w:b/>
              <w:bCs/>
              <w:snapToGrid w:val="0"/>
              <w:color w:val="auto"/>
              <w:sz w:val="28"/>
              <w:szCs w:val="28"/>
              <w:highlight w:val="none"/>
              <w:lang w:val="en-US" w:eastAsia="zh-CN"/>
            </w:rPr>
            <w:t>20</w:t>
          </w:r>
          <w:r>
            <w:rPr>
              <w:rFonts w:hint="eastAsia" w:ascii="宋体" w:hAnsi="宋体" w:eastAsia="宋体" w:cs="宋体"/>
              <w:b/>
              <w:bCs/>
              <w:snapToGrid w:val="0"/>
              <w:color w:val="auto"/>
              <w:sz w:val="28"/>
              <w:szCs w:val="28"/>
              <w:highlight w:val="none"/>
            </w:rPr>
            <w:fldChar w:fldCharType="end"/>
          </w:r>
        </w:p>
        <w:p w14:paraId="3FF80B67">
          <w:pPr>
            <w:pStyle w:val="111"/>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firstLine="210" w:firstLineChars="100"/>
            <w:textAlignment w:val="auto"/>
            <w:rPr>
              <w:rFonts w:hint="default" w:ascii="宋体" w:hAnsi="宋体" w:eastAsia="宋体" w:cs="宋体"/>
              <w:b/>
              <w:snapToGrid w:val="0"/>
              <w:color w:val="auto"/>
              <w:sz w:val="28"/>
              <w:szCs w:val="28"/>
              <w:highlight w:val="none"/>
              <w:lang w:val="en-US" w:eastAsia="zh-CN"/>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"_Toc12776"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48"/>
              <w:highlight w:val="none"/>
            </w:rPr>
            <w:t>第四章  政府采购合同格式（范本）</w:t>
          </w:r>
          <w:r>
            <w:rPr>
              <w:rFonts w:hint="eastAsia" w:ascii="宋体" w:hAnsi="宋体" w:cs="宋体"/>
              <w:b/>
              <w:snapToGrid w:val="0"/>
              <w:color w:val="auto"/>
              <w:sz w:val="28"/>
              <w:szCs w:val="28"/>
              <w:highlight w:val="none"/>
              <w:lang w:eastAsia="zh-CN"/>
            </w:rPr>
            <w:t>…………………………………</w:t>
          </w:r>
          <w:r>
            <w:rPr>
              <w:rFonts w:hint="eastAsia" w:ascii="宋体" w:hAnsi="宋体" w:eastAsia="宋体" w:cs="宋体"/>
              <w:b/>
              <w:snapToGrid w:val="0"/>
              <w:color w:val="auto"/>
              <w:sz w:val="28"/>
              <w:szCs w:val="28"/>
              <w:highlight w:val="none"/>
            </w:rPr>
            <w:fldChar w:fldCharType="end"/>
          </w:r>
          <w:r>
            <w:rPr>
              <w:rFonts w:hint="eastAsia" w:ascii="宋体" w:hAnsi="宋体" w:cs="宋体"/>
              <w:b/>
              <w:snapToGrid w:val="0"/>
              <w:color w:val="auto"/>
              <w:sz w:val="28"/>
              <w:szCs w:val="28"/>
              <w:highlight w:val="none"/>
              <w:lang w:val="en-US" w:eastAsia="zh-CN"/>
            </w:rPr>
            <w:t>24</w:t>
          </w:r>
        </w:p>
        <w:p w14:paraId="2E1092B5">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default" w:ascii="宋体" w:hAnsi="宋体" w:eastAsia="宋体" w:cs="宋体"/>
              <w:b/>
              <w:bCs/>
              <w:snapToGrid w:val="0"/>
              <w:color w:val="auto"/>
              <w:sz w:val="28"/>
              <w:szCs w:val="28"/>
              <w:highlight w:val="none"/>
              <w:lang w:val="en-US" w:eastAsia="zh-CN"/>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"_Toc6007"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28"/>
              <w:highlight w:val="none"/>
            </w:rPr>
            <w:t>第五章  磋商相关文件格式</w:t>
          </w:r>
          <w:r>
            <w:rPr>
              <w:rFonts w:hint="eastAsia" w:ascii="宋体" w:hAnsi="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fldChar w:fldCharType="end"/>
          </w:r>
          <w:r>
            <w:rPr>
              <w:rFonts w:hint="eastAsia" w:ascii="宋体" w:hAnsi="宋体" w:cs="宋体"/>
              <w:b/>
              <w:bCs/>
              <w:snapToGrid w:val="0"/>
              <w:color w:val="auto"/>
              <w:sz w:val="28"/>
              <w:szCs w:val="28"/>
              <w:highlight w:val="none"/>
              <w:lang w:val="en-US" w:eastAsia="zh-CN"/>
            </w:rPr>
            <w:t>33</w:t>
          </w:r>
        </w:p>
        <w:p w14:paraId="1F3A7BA4">
          <w:pPr>
            <w:pStyle w:val="112"/>
            <w:keepNext w:val="0"/>
            <w:keepLines w:val="0"/>
            <w:pageBreakBefore w:val="0"/>
            <w:widowControl w:val="0"/>
            <w:tabs>
              <w:tab w:val="right" w:leader="middleDot" w:pos="9070"/>
            </w:tabs>
            <w:kinsoku/>
            <w:wordWrap/>
            <w:overflowPunct/>
            <w:topLinePunct w:val="0"/>
            <w:autoSpaceDE/>
            <w:autoSpaceDN/>
            <w:bidi w:val="0"/>
            <w:adjustRightInd/>
            <w:snapToGrid/>
            <w:spacing w:line="960" w:lineRule="auto"/>
            <w:ind w:leftChars="0"/>
            <w:textAlignment w:val="auto"/>
            <w:rPr>
              <w:rFonts w:hint="default" w:ascii="宋体" w:hAnsi="宋体" w:eastAsia="宋体" w:cs="宋体"/>
              <w:b/>
              <w:bCs/>
              <w:snapToGrid w:val="0"/>
              <w:color w:val="auto"/>
              <w:sz w:val="28"/>
              <w:szCs w:val="28"/>
              <w:highlight w:val="none"/>
              <w:lang w:val="en-US" w:eastAsia="zh-CN"/>
            </w:rPr>
          </w:pPr>
          <w:r>
            <w:rPr>
              <w:rFonts w:hint="eastAsia" w:ascii="宋体" w:hAnsi="宋体" w:eastAsia="宋体" w:cs="宋体"/>
              <w:snapToGrid w:val="0"/>
              <w:color w:val="auto"/>
              <w:sz w:val="21"/>
              <w:szCs w:val="21"/>
              <w:highlight w:val="none"/>
            </w:rPr>
            <w:fldChar w:fldCharType="begin"/>
          </w:r>
          <w:r>
            <w:rPr>
              <w:rFonts w:hint="eastAsia" w:ascii="宋体" w:hAnsi="宋体" w:eastAsia="宋体" w:cs="宋体"/>
              <w:snapToGrid w:val="0"/>
              <w:color w:val="auto"/>
              <w:sz w:val="21"/>
              <w:szCs w:val="21"/>
              <w:highlight w:val="none"/>
            </w:rPr>
            <w:instrText xml:space="preserve"> HYPERLINK \l "_Toc2466" </w:instrText>
          </w:r>
          <w:r>
            <w:rPr>
              <w:rFonts w:hint="eastAsia" w:ascii="宋体" w:hAnsi="宋体" w:eastAsia="宋体" w:cs="宋体"/>
              <w:snapToGrid w:val="0"/>
              <w:color w:val="auto"/>
              <w:sz w:val="21"/>
              <w:szCs w:val="21"/>
              <w:highlight w:val="none"/>
            </w:rPr>
            <w:fldChar w:fldCharType="separate"/>
          </w:r>
          <w:r>
            <w:rPr>
              <w:rFonts w:hint="eastAsia" w:ascii="宋体" w:hAnsi="宋体" w:eastAsia="宋体" w:cs="宋体"/>
              <w:b/>
              <w:bCs/>
              <w:snapToGrid w:val="0"/>
              <w:color w:val="auto"/>
              <w:sz w:val="28"/>
              <w:szCs w:val="28"/>
              <w:highlight w:val="none"/>
            </w:rPr>
            <w:t>第六章  磋商办法和细则</w:t>
          </w:r>
          <w:r>
            <w:rPr>
              <w:rFonts w:hint="eastAsia" w:ascii="宋体" w:hAnsi="宋体" w:cs="宋体"/>
              <w:b/>
              <w:bCs/>
              <w:snapToGrid w:val="0"/>
              <w:color w:val="auto"/>
              <w:sz w:val="28"/>
              <w:szCs w:val="28"/>
              <w:highlight w:val="none"/>
              <w:lang w:eastAsia="zh-CN"/>
            </w:rPr>
            <w:t>………………………………………………</w:t>
          </w:r>
          <w:r>
            <w:rPr>
              <w:rFonts w:hint="eastAsia" w:ascii="宋体" w:hAnsi="宋体" w:eastAsia="宋体" w:cs="宋体"/>
              <w:b/>
              <w:bCs/>
              <w:snapToGrid w:val="0"/>
              <w:color w:val="auto"/>
              <w:sz w:val="28"/>
              <w:szCs w:val="28"/>
              <w:highlight w:val="none"/>
            </w:rPr>
            <w:fldChar w:fldCharType="end"/>
          </w:r>
          <w:r>
            <w:rPr>
              <w:rFonts w:hint="eastAsia" w:ascii="宋体" w:hAnsi="宋体" w:cs="宋体"/>
              <w:b/>
              <w:bCs/>
              <w:snapToGrid w:val="0"/>
              <w:color w:val="auto"/>
              <w:sz w:val="28"/>
              <w:szCs w:val="28"/>
              <w:highlight w:val="none"/>
              <w:lang w:val="en-US" w:eastAsia="zh-CN"/>
            </w:rPr>
            <w:t>55</w:t>
          </w:r>
        </w:p>
        <w:p w14:paraId="50C22002">
          <w:pPr>
            <w:rPr>
              <w:rFonts w:hint="eastAsia" w:ascii="宋体" w:hAnsi="宋体" w:eastAsia="宋体" w:cs="宋体"/>
              <w:b/>
              <w:color w:val="auto"/>
              <w:highlight w:val="none"/>
            </w:rPr>
            <w:sectPr>
              <w:footerReference r:id="rId4" w:type="default"/>
              <w:pgSz w:w="11906" w:h="16838"/>
              <w:pgMar w:top="1418" w:right="1418" w:bottom="1418" w:left="1418" w:header="851" w:footer="992" w:gutter="0"/>
              <w:pgNumType w:start="1"/>
              <w:cols w:space="720" w:num="1"/>
              <w:docGrid w:linePitch="312" w:charSpace="0"/>
            </w:sectPr>
          </w:pPr>
          <w:r>
            <w:rPr>
              <w:rFonts w:hint="eastAsia" w:ascii="宋体" w:hAnsi="宋体" w:eastAsia="宋体" w:cs="宋体"/>
              <w:b/>
              <w:color w:val="auto"/>
              <w:sz w:val="22"/>
              <w:szCs w:val="24"/>
              <w:highlight w:val="none"/>
            </w:rPr>
            <w:fldChar w:fldCharType="end"/>
          </w:r>
        </w:p>
      </w:sdtContent>
    </w:sdt>
    <w:p w14:paraId="3917EE61">
      <w:pPr>
        <w:pStyle w:val="4"/>
        <w:widowControl w:val="0"/>
        <w:wordWrap/>
        <w:spacing w:after="0" w:line="500" w:lineRule="exact"/>
        <w:ind w:left="0"/>
        <w:jc w:val="center"/>
        <w:outlineLvl w:val="0"/>
        <w:rPr>
          <w:rFonts w:hint="eastAsia" w:ascii="宋体" w:hAnsi="宋体" w:eastAsia="宋体" w:cs="宋体"/>
          <w:b/>
          <w:bCs/>
          <w:color w:val="auto"/>
          <w:sz w:val="36"/>
          <w:szCs w:val="36"/>
          <w:highlight w:val="none"/>
        </w:rPr>
      </w:pPr>
      <w:bookmarkStart w:id="10" w:name="_Toc21669"/>
      <w:r>
        <w:rPr>
          <w:rFonts w:hint="eastAsia" w:ascii="宋体" w:hAnsi="宋体" w:eastAsia="宋体" w:cs="宋体"/>
          <w:b/>
          <w:bCs/>
          <w:color w:val="auto"/>
          <w:sz w:val="36"/>
          <w:szCs w:val="36"/>
          <w:highlight w:val="none"/>
        </w:rPr>
        <w:t xml:space="preserve">第一章  </w:t>
      </w:r>
      <w:bookmarkEnd w:id="7"/>
      <w:bookmarkEnd w:id="8"/>
      <w:bookmarkEnd w:id="9"/>
      <w:bookmarkEnd w:id="10"/>
      <w:bookmarkStart w:id="11" w:name="_Toc391969407"/>
      <w:bookmarkStart w:id="12" w:name="_Toc145493460"/>
      <w:bookmarkStart w:id="13" w:name="_Toc26903"/>
      <w:bookmarkStart w:id="14" w:name="_Toc50448805"/>
      <w:bookmarkStart w:id="15" w:name="_Toc51317766"/>
      <w:bookmarkStart w:id="16" w:name="_Toc391969408"/>
      <w:r>
        <w:rPr>
          <w:rFonts w:hint="eastAsia" w:ascii="宋体" w:hAnsi="宋体" w:eastAsia="宋体" w:cs="宋体"/>
          <w:b/>
          <w:bCs/>
          <w:color w:val="auto"/>
          <w:sz w:val="36"/>
          <w:szCs w:val="36"/>
          <w:highlight w:val="none"/>
        </w:rPr>
        <w:t>竞争性磋商</w:t>
      </w:r>
      <w:bookmarkEnd w:id="11"/>
      <w:bookmarkEnd w:id="12"/>
      <w:r>
        <w:rPr>
          <w:rFonts w:hint="eastAsia" w:ascii="宋体" w:hAnsi="宋体" w:eastAsia="宋体" w:cs="宋体"/>
          <w:b/>
          <w:bCs/>
          <w:color w:val="auto"/>
          <w:sz w:val="36"/>
          <w:szCs w:val="36"/>
          <w:highlight w:val="none"/>
        </w:rPr>
        <w:t>公告</w:t>
      </w:r>
      <w:bookmarkEnd w:id="13"/>
      <w:bookmarkEnd w:id="14"/>
      <w:bookmarkEnd w:id="15"/>
    </w:p>
    <w:p w14:paraId="3AD7131A">
      <w:pPr>
        <w:keepNext w:val="0"/>
        <w:keepLines w:val="0"/>
        <w:pageBreakBefore w:val="0"/>
        <w:widowControl w:val="0"/>
        <w:kinsoku/>
        <w:wordWrap/>
        <w:overflowPunct/>
        <w:topLinePunct w:val="0"/>
        <w:autoSpaceDE/>
        <w:autoSpaceDN/>
        <w:bidi w:val="0"/>
        <w:adjustRightInd/>
        <w:snapToGrid w:val="0"/>
        <w:textAlignment w:val="auto"/>
        <w:rPr>
          <w:rFonts w:hint="eastAsia"/>
          <w:color w:val="auto"/>
          <w:highlight w:val="none"/>
        </w:rPr>
      </w:pPr>
    </w:p>
    <w:p w14:paraId="7D933EEE">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3D4328EC">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lang w:eastAsia="zh-CN"/>
        </w:rPr>
        <w:t>庆元县宅基地及集体建设用地地籍图编制项目</w:t>
      </w:r>
      <w:r>
        <w:rPr>
          <w:rFonts w:hint="eastAsia" w:ascii="宋体" w:hAnsi="宋体" w:eastAsia="宋体" w:cs="宋体"/>
          <w:snapToGrid w:val="0"/>
          <w:color w:val="auto"/>
          <w:kern w:val="0"/>
          <w:sz w:val="24"/>
          <w:szCs w:val="24"/>
          <w:highlight w:val="none"/>
        </w:rPr>
        <w:t>的潜在供应商应在</w:t>
      </w:r>
      <w:r>
        <w:rPr>
          <w:rFonts w:hint="eastAsia" w:ascii="宋体" w:hAnsi="宋体" w:eastAsia="宋体" w:cs="宋体"/>
          <w:snapToGrid w:val="0"/>
          <w:color w:val="auto"/>
          <w:kern w:val="0"/>
          <w:sz w:val="24"/>
          <w:szCs w:val="24"/>
          <w:highlight w:val="none"/>
          <w:u w:val="single"/>
        </w:rPr>
        <w:t>浙江政府采购网</w:t>
      </w:r>
      <w:r>
        <w:rPr>
          <w:rFonts w:hint="eastAsia" w:ascii="宋体" w:hAnsi="宋体" w:eastAsia="宋体" w:cs="宋体"/>
          <w:b w:val="0"/>
          <w:bCs w:val="0"/>
          <w:snapToGrid w:val="0"/>
          <w:color w:val="auto"/>
          <w:kern w:val="0"/>
          <w:highlight w:val="none"/>
        </w:rPr>
        <w:fldChar w:fldCharType="begin"/>
      </w:r>
      <w:r>
        <w:rPr>
          <w:rFonts w:hint="eastAsia" w:ascii="宋体" w:hAnsi="宋体" w:eastAsia="宋体" w:cs="宋体"/>
          <w:b w:val="0"/>
          <w:bCs w:val="0"/>
          <w:snapToGrid w:val="0"/>
          <w:color w:val="auto"/>
          <w:kern w:val="0"/>
          <w:highlight w:val="none"/>
        </w:rPr>
        <w:instrText xml:space="preserve"> HYPERLINK "http://zfcg.czt.zj.gov.cn/）获取采购文件，并于2020年07月" </w:instrText>
      </w:r>
      <w:r>
        <w:rPr>
          <w:rFonts w:hint="eastAsia" w:ascii="宋体" w:hAnsi="宋体" w:eastAsia="宋体" w:cs="宋体"/>
          <w:b w:val="0"/>
          <w:bCs w:val="0"/>
          <w:snapToGrid w:val="0"/>
          <w:color w:val="auto"/>
          <w:kern w:val="0"/>
          <w:highlight w:val="none"/>
        </w:rPr>
        <w:fldChar w:fldCharType="separate"/>
      </w:r>
      <w:r>
        <w:rPr>
          <w:rStyle w:val="45"/>
          <w:rFonts w:hint="eastAsia" w:ascii="宋体" w:hAnsi="宋体" w:eastAsia="宋体" w:cs="宋体"/>
          <w:b w:val="0"/>
          <w:bCs w:val="0"/>
          <w:snapToGrid w:val="0"/>
          <w:color w:val="auto"/>
          <w:kern w:val="0"/>
          <w:sz w:val="24"/>
          <w:szCs w:val="24"/>
          <w:highlight w:val="none"/>
        </w:rPr>
        <w:t>http://zfcg.czt.zj.gov.cn</w:t>
      </w:r>
      <w:r>
        <w:rPr>
          <w:rStyle w:val="45"/>
          <w:rFonts w:hint="eastAsia" w:ascii="宋体" w:hAnsi="宋体" w:eastAsia="宋体" w:cs="宋体"/>
          <w:b w:val="0"/>
          <w:bCs w:val="0"/>
          <w:snapToGrid w:val="0"/>
          <w:color w:val="auto"/>
          <w:kern w:val="0"/>
          <w:sz w:val="24"/>
          <w:szCs w:val="24"/>
          <w:highlight w:val="none"/>
          <w:u w:val="none"/>
        </w:rPr>
        <w:t>获取（下载）采购文件</w:t>
      </w:r>
      <w:r>
        <w:rPr>
          <w:rStyle w:val="45"/>
          <w:rFonts w:hint="eastAsia" w:ascii="宋体" w:hAnsi="宋体" w:eastAsia="宋体" w:cs="宋体"/>
          <w:b w:val="0"/>
          <w:bCs w:val="0"/>
          <w:snapToGrid w:val="0"/>
          <w:color w:val="auto"/>
          <w:kern w:val="0"/>
          <w:sz w:val="24"/>
          <w:szCs w:val="24"/>
          <w:highlight w:val="none"/>
        </w:rPr>
        <w:t>，并于</w:t>
      </w:r>
      <w:r>
        <w:rPr>
          <w:rStyle w:val="45"/>
          <w:rFonts w:hint="eastAsia" w:ascii="宋体" w:hAnsi="宋体" w:eastAsia="宋体" w:cs="宋体"/>
          <w:b w:val="0"/>
          <w:bCs w:val="0"/>
          <w:snapToGrid w:val="0"/>
          <w:color w:val="auto"/>
          <w:kern w:val="0"/>
          <w:sz w:val="24"/>
          <w:szCs w:val="24"/>
          <w:highlight w:val="none"/>
          <w:lang w:eastAsia="zh-CN"/>
        </w:rPr>
        <w:t>2025年</w:t>
      </w:r>
      <w:r>
        <w:rPr>
          <w:rStyle w:val="45"/>
          <w:rFonts w:hint="eastAsia" w:ascii="宋体" w:hAnsi="宋体" w:eastAsia="宋体" w:cs="宋体"/>
          <w:b w:val="0"/>
          <w:bCs w:val="0"/>
          <w:snapToGrid w:val="0"/>
          <w:color w:val="auto"/>
          <w:kern w:val="0"/>
          <w:sz w:val="24"/>
          <w:szCs w:val="24"/>
          <w:highlight w:val="none"/>
        </w:rPr>
        <w:fldChar w:fldCharType="end"/>
      </w:r>
      <w:r>
        <w:rPr>
          <w:rStyle w:val="45"/>
          <w:rFonts w:hint="eastAsia" w:ascii="宋体" w:hAnsi="宋体" w:eastAsia="宋体" w:cs="宋体"/>
          <w:b w:val="0"/>
          <w:bCs w:val="0"/>
          <w:snapToGrid w:val="0"/>
          <w:color w:val="auto"/>
          <w:kern w:val="0"/>
          <w:sz w:val="24"/>
          <w:szCs w:val="24"/>
          <w:highlight w:val="none"/>
          <w:lang w:val="en-US" w:eastAsia="zh-CN"/>
        </w:rPr>
        <w:t>7月14日</w:t>
      </w:r>
      <w:r>
        <w:rPr>
          <w:rFonts w:hint="eastAsia" w:ascii="宋体" w:hAnsi="宋体" w:eastAsia="宋体" w:cs="宋体"/>
          <w:b w:val="0"/>
          <w:bCs w:val="0"/>
          <w:snapToGrid w:val="0"/>
          <w:color w:val="auto"/>
          <w:kern w:val="0"/>
          <w:sz w:val="24"/>
          <w:szCs w:val="24"/>
          <w:highlight w:val="none"/>
          <w:u w:val="single"/>
        </w:rPr>
        <w:t>09点00分</w:t>
      </w:r>
      <w:r>
        <w:rPr>
          <w:rFonts w:hint="eastAsia" w:ascii="宋体" w:hAnsi="宋体" w:eastAsia="宋体" w:cs="宋体"/>
          <w:b w:val="0"/>
          <w:bCs w:val="0"/>
          <w:snapToGrid w:val="0"/>
          <w:color w:val="auto"/>
          <w:kern w:val="0"/>
          <w:sz w:val="24"/>
          <w:szCs w:val="24"/>
          <w:highlight w:val="none"/>
        </w:rPr>
        <w:t>（北京时间）前提交</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上传</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响应文件。</w:t>
      </w:r>
    </w:p>
    <w:p w14:paraId="213FDD67">
      <w:pPr>
        <w:pStyle w:val="4"/>
        <w:keepNext w:val="0"/>
        <w:keepLines w:val="0"/>
        <w:pageBreakBefore w:val="0"/>
        <w:widowControl w:val="0"/>
        <w:kinsoku/>
        <w:overflowPunct/>
        <w:topLinePunct w:val="0"/>
        <w:bidi w:val="0"/>
        <w:snapToGrid w:val="0"/>
        <w:spacing w:after="0" w:line="450" w:lineRule="exact"/>
        <w:ind w:left="0"/>
        <w:jc w:val="left"/>
        <w:textAlignment w:val="auto"/>
        <w:rPr>
          <w:rFonts w:hint="eastAsia" w:ascii="宋体" w:hAnsi="宋体" w:eastAsia="宋体" w:cs="宋体"/>
          <w:b/>
          <w:bCs/>
          <w:color w:val="auto"/>
          <w:sz w:val="24"/>
          <w:szCs w:val="24"/>
          <w:highlight w:val="none"/>
        </w:rPr>
      </w:pPr>
      <w:bookmarkStart w:id="17" w:name="_Toc28359012"/>
      <w:bookmarkStart w:id="18" w:name="_Toc16823"/>
      <w:bookmarkStart w:id="19" w:name="_Toc28359089"/>
      <w:bookmarkStart w:id="20" w:name="_Toc45525443"/>
      <w:bookmarkStart w:id="21" w:name="_Toc45525492"/>
      <w:bookmarkStart w:id="22" w:name="_Toc51317767"/>
      <w:bookmarkStart w:id="23" w:name="_Toc35393798"/>
      <w:bookmarkStart w:id="24" w:name="_Toc35393629"/>
      <w:bookmarkStart w:id="25" w:name="_Toc17952"/>
      <w:bookmarkStart w:id="26" w:name="_Toc45640129"/>
      <w:r>
        <w:rPr>
          <w:rFonts w:hint="eastAsia" w:ascii="宋体" w:hAnsi="宋体" w:eastAsia="宋体" w:cs="宋体"/>
          <w:b/>
          <w:bCs/>
          <w:color w:val="auto"/>
          <w:sz w:val="24"/>
          <w:szCs w:val="24"/>
          <w:highlight w:val="none"/>
        </w:rPr>
        <w:t>一、项目基本情况</w:t>
      </w:r>
      <w:bookmarkEnd w:id="17"/>
      <w:bookmarkEnd w:id="18"/>
      <w:bookmarkEnd w:id="19"/>
      <w:bookmarkEnd w:id="20"/>
      <w:bookmarkEnd w:id="21"/>
      <w:bookmarkEnd w:id="22"/>
      <w:bookmarkEnd w:id="23"/>
      <w:bookmarkEnd w:id="24"/>
      <w:bookmarkEnd w:id="25"/>
      <w:bookmarkEnd w:id="26"/>
    </w:p>
    <w:p w14:paraId="47F753FA">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项目编号：</w:t>
      </w:r>
      <w:r>
        <w:rPr>
          <w:rFonts w:hint="eastAsia" w:ascii="宋体" w:hAnsi="宋体" w:eastAsia="宋体" w:cs="宋体"/>
          <w:snapToGrid w:val="0"/>
          <w:color w:val="auto"/>
          <w:kern w:val="0"/>
          <w:sz w:val="24"/>
          <w:szCs w:val="24"/>
          <w:highlight w:val="none"/>
          <w:lang w:eastAsia="zh-CN"/>
        </w:rPr>
        <w:t>浙江飞秀2025026号</w:t>
      </w:r>
    </w:p>
    <w:p w14:paraId="70B10AFF">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庆元县宅基地及集体建设用地地籍图编制项目</w:t>
      </w:r>
    </w:p>
    <w:p w14:paraId="15F99B39">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采购方式：竞争性磋商</w:t>
      </w:r>
    </w:p>
    <w:p w14:paraId="2BD7E61F">
      <w:pPr>
        <w:keepNext w:val="0"/>
        <w:keepLines w:val="0"/>
        <w:pageBreakBefore w:val="0"/>
        <w:widowControl w:val="0"/>
        <w:kinsoku/>
        <w:overflowPunct/>
        <w:topLinePunct w:val="0"/>
        <w:bidi w:val="0"/>
        <w:snapToGrid w:val="0"/>
        <w:spacing w:line="45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1325000</w:t>
      </w:r>
    </w:p>
    <w:p w14:paraId="4F06B0AE">
      <w:pPr>
        <w:keepNext w:val="0"/>
        <w:keepLines w:val="0"/>
        <w:pageBreakBefore w:val="0"/>
        <w:widowControl w:val="0"/>
        <w:kinsoku/>
        <w:overflowPunct/>
        <w:topLinePunct w:val="0"/>
        <w:bidi w:val="0"/>
        <w:snapToGrid w:val="0"/>
        <w:spacing w:line="45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val="en-US" w:eastAsia="zh-CN"/>
        </w:rPr>
        <w:t>1325000</w:t>
      </w:r>
    </w:p>
    <w:p w14:paraId="31A2AC7B">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采购需求：详见磋商文件 第三章 采购需求</w:t>
      </w:r>
    </w:p>
    <w:p w14:paraId="20DCD7D3">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数量：1</w:t>
      </w:r>
    </w:p>
    <w:p w14:paraId="47C51F50">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单位：项</w:t>
      </w:r>
    </w:p>
    <w:p w14:paraId="12CD2E1D">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宋体"/>
          <w:color w:val="auto"/>
          <w:sz w:val="24"/>
          <w:highlight w:val="none"/>
        </w:rPr>
        <w:t>简要规格描述：详见磋商文件</w:t>
      </w:r>
    </w:p>
    <w:p w14:paraId="539D550E">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备注：</w:t>
      </w:r>
    </w:p>
    <w:p w14:paraId="33A6FD9D">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合同履约期限：详见磋商文件</w:t>
      </w:r>
    </w:p>
    <w:p w14:paraId="3F9AB93B">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4C717D0E">
      <w:pPr>
        <w:keepNext w:val="0"/>
        <w:keepLines w:val="0"/>
        <w:pageBreakBefore w:val="0"/>
        <w:widowControl w:val="0"/>
        <w:kinsoku/>
        <w:overflowPunct/>
        <w:topLinePunct w:val="0"/>
        <w:bidi w:val="0"/>
        <w:snapToGrid w:val="0"/>
        <w:spacing w:line="450" w:lineRule="exact"/>
        <w:jc w:val="left"/>
        <w:textAlignment w:val="auto"/>
        <w:outlineLvl w:val="1"/>
        <w:rPr>
          <w:rFonts w:hint="eastAsia" w:ascii="宋体" w:hAnsi="宋体" w:eastAsia="宋体" w:cs="宋体"/>
          <w:b/>
          <w:color w:val="auto"/>
          <w:sz w:val="24"/>
          <w:highlight w:val="none"/>
        </w:rPr>
      </w:pPr>
      <w:bookmarkStart w:id="27" w:name="_Toc28359003"/>
      <w:bookmarkStart w:id="28" w:name="_Toc35393622"/>
      <w:bookmarkStart w:id="29" w:name="_Toc35393791"/>
      <w:bookmarkStart w:id="30" w:name="_Toc28359080"/>
      <w:bookmarkStart w:id="31" w:name="_Toc28359091"/>
      <w:bookmarkStart w:id="32" w:name="_Toc28359014"/>
      <w:r>
        <w:rPr>
          <w:rFonts w:hint="eastAsia" w:ascii="宋体" w:hAnsi="宋体" w:eastAsia="宋体" w:cs="宋体"/>
          <w:b/>
          <w:color w:val="auto"/>
          <w:sz w:val="24"/>
          <w:highlight w:val="none"/>
        </w:rPr>
        <w:t>二、申请人的资格要求</w:t>
      </w:r>
      <w:bookmarkEnd w:id="27"/>
      <w:bookmarkEnd w:id="28"/>
      <w:bookmarkEnd w:id="29"/>
      <w:bookmarkEnd w:id="30"/>
    </w:p>
    <w:p w14:paraId="00E1836A">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color w:val="auto"/>
          <w:sz w:val="24"/>
          <w:highlight w:val="none"/>
        </w:rPr>
      </w:pPr>
      <w:bookmarkStart w:id="33" w:name="_Toc28359004"/>
      <w:bookmarkStart w:id="34" w:name="_Toc35393623"/>
      <w:bookmarkStart w:id="35" w:name="_Toc28359081"/>
      <w:bookmarkStart w:id="36" w:name="_Toc35393792"/>
      <w:r>
        <w:rPr>
          <w:rFonts w:hint="eastAsia" w:ascii="宋体" w:hAnsi="宋体" w:eastAsia="宋体" w:cs="宋体"/>
          <w:color w:val="auto"/>
          <w:sz w:val="24"/>
          <w:highlight w:val="none"/>
        </w:rPr>
        <w:t>1.满足《中华人民共和国政府采购法》第二十二条规定；未被“信用中国”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www.creditchina.gov.cn)中国政府采购网（www.ccgp.gov.cn）列入失信被执行人、重大税收违法案件当事人名单、政府采购严重违法失信行为记录名单。</w:t>
      </w:r>
    </w:p>
    <w:p w14:paraId="08D5BE13">
      <w:pPr>
        <w:keepNext w:val="0"/>
        <w:keepLines w:val="0"/>
        <w:pageBreakBefore w:val="0"/>
        <w:widowControl w:val="0"/>
        <w:kinsoku/>
        <w:overflowPunct/>
        <w:topLinePunct w:val="0"/>
        <w:bidi w:val="0"/>
        <w:snapToGrid w:val="0"/>
        <w:spacing w:line="450" w:lineRule="exact"/>
        <w:ind w:firstLine="480"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本项目专门面向中小企业，供应商为中小微企业、监狱企业、残疾人福利性单位；</w:t>
      </w:r>
    </w:p>
    <w:p w14:paraId="5DE815E2">
      <w:pPr>
        <w:keepNext w:val="0"/>
        <w:keepLines w:val="0"/>
        <w:pageBreakBefore w:val="0"/>
        <w:widowControl w:val="0"/>
        <w:kinsoku/>
        <w:overflowPunct/>
        <w:topLinePunct w:val="0"/>
        <w:bidi w:val="0"/>
        <w:snapToGrid w:val="0"/>
        <w:spacing w:line="45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14:paraId="10EABAE6">
      <w:pPr>
        <w:keepNext w:val="0"/>
        <w:keepLines w:val="0"/>
        <w:pageBreakBefore w:val="0"/>
        <w:widowControl w:val="0"/>
        <w:kinsoku/>
        <w:overflowPunct/>
        <w:topLinePunct w:val="0"/>
        <w:bidi w:val="0"/>
        <w:snapToGrid w:val="0"/>
        <w:spacing w:line="45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三、获取（下载）采购文件</w:t>
      </w:r>
    </w:p>
    <w:p w14:paraId="6FFE7238">
      <w:pPr>
        <w:pStyle w:val="16"/>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kern w:val="2"/>
          <w:sz w:val="24"/>
          <w:szCs w:val="22"/>
          <w:highlight w:val="none"/>
          <w:lang w:val="en-US"/>
        </w:rPr>
      </w:pPr>
      <w:r>
        <w:rPr>
          <w:rFonts w:hint="eastAsia" w:ascii="宋体" w:hAnsi="宋体" w:eastAsia="宋体" w:cs="宋体"/>
          <w:color w:val="auto"/>
          <w:kern w:val="2"/>
          <w:sz w:val="24"/>
          <w:szCs w:val="22"/>
          <w:highlight w:val="none"/>
          <w:lang w:val="en-US"/>
        </w:rPr>
        <w:t>时间：发布公告之日至</w:t>
      </w:r>
      <w:r>
        <w:rPr>
          <w:rFonts w:hint="eastAsia" w:ascii="宋体" w:cs="宋体"/>
          <w:color w:val="auto"/>
          <w:kern w:val="2"/>
          <w:sz w:val="24"/>
          <w:szCs w:val="22"/>
          <w:highlight w:val="none"/>
          <w:lang w:val="en-US" w:eastAsia="zh-CN"/>
        </w:rPr>
        <w:t>2025年</w:t>
      </w:r>
      <w:r>
        <w:rPr>
          <w:rFonts w:hint="eastAsia" w:ascii="宋体" w:cs="宋体"/>
          <w:b w:val="0"/>
          <w:bCs w:val="0"/>
          <w:color w:val="auto"/>
          <w:kern w:val="2"/>
          <w:sz w:val="24"/>
          <w:szCs w:val="22"/>
          <w:highlight w:val="none"/>
          <w:u w:color="FF0000"/>
          <w:lang w:val="en-US" w:eastAsia="zh-CN"/>
        </w:rPr>
        <w:t>7月14日</w:t>
      </w:r>
      <w:r>
        <w:rPr>
          <w:rFonts w:hint="eastAsia" w:ascii="宋体" w:hAnsi="宋体" w:eastAsia="宋体" w:cs="宋体"/>
          <w:b w:val="0"/>
          <w:bCs w:val="0"/>
          <w:color w:val="auto"/>
          <w:kern w:val="2"/>
          <w:sz w:val="24"/>
          <w:szCs w:val="22"/>
          <w:highlight w:val="none"/>
          <w:lang w:val="en-US"/>
        </w:rPr>
        <w:t>09:00，每天上午</w:t>
      </w:r>
      <w:r>
        <w:rPr>
          <w:rFonts w:hint="eastAsia" w:ascii="宋体" w:hAnsi="宋体" w:eastAsia="宋体" w:cs="宋体"/>
          <w:color w:val="auto"/>
          <w:kern w:val="2"/>
          <w:sz w:val="24"/>
          <w:szCs w:val="22"/>
          <w:highlight w:val="none"/>
          <w:lang w:val="en-US"/>
        </w:rPr>
        <w:t>00:00至12:00，下午12:00至23:59（北京时间，线上获取法定节假日均可，线下获取文件法定节假日除外）</w:t>
      </w:r>
    </w:p>
    <w:p w14:paraId="5ECA61D3">
      <w:pPr>
        <w:pStyle w:val="16"/>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浙江政府采购网</w:t>
      </w:r>
      <w:r>
        <w:rPr>
          <w:rFonts w:hint="eastAsia" w:ascii="宋体" w:hAnsi="宋体" w:eastAsia="宋体" w:cs="宋体"/>
          <w:color w:val="auto"/>
          <w:sz w:val="24"/>
          <w:highlight w:val="none"/>
          <w:lang w:val="en-US"/>
        </w:rPr>
        <w:t>http://zfcg.czt.zj.gov.cn</w:t>
      </w:r>
      <w:r>
        <w:rPr>
          <w:rFonts w:hint="eastAsia" w:ascii="宋体" w:hAnsi="宋体" w:eastAsia="宋体" w:cs="宋体"/>
          <w:color w:val="auto"/>
          <w:sz w:val="24"/>
          <w:highlight w:val="none"/>
        </w:rPr>
        <w:t>、丽水市公共资源交易网</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庆元</w:t>
      </w:r>
      <w:r>
        <w:rPr>
          <w:rFonts w:hint="eastAsia" w:ascii="宋体" w:hAnsi="宋体" w:eastAsia="宋体" w:cs="宋体"/>
          <w:color w:val="auto"/>
          <w:sz w:val="24"/>
          <w:highlight w:val="none"/>
          <w:lang w:val="en-US"/>
        </w:rPr>
        <w:t>）http://lssggzy.lishui.gov.cn/qyweb/公告附件。</w:t>
      </w:r>
    </w:p>
    <w:p w14:paraId="46BA0F67">
      <w:pPr>
        <w:pStyle w:val="16"/>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自行下载获取。⑴获取流程：浙江政府采购网—用户入驻/登录—用户登录—项目采购—获取采购文件管理；⑵未在浙江省政府采购网注册成为正式供应商的，请注册完成审核成功后登录获取；⑶在浙江政府采购网采购公告附件中以“游客”身份（或丽水市公共资源交易网）获取的采购文件仅供阅览；潜在供应商未按上述第⑴条方式获取采购文件的不得对采购文件提起质疑投诉；</w:t>
      </w:r>
    </w:p>
    <w:p w14:paraId="72D25F6D">
      <w:pPr>
        <w:pStyle w:val="16"/>
        <w:keepNext w:val="0"/>
        <w:keepLines w:val="0"/>
        <w:pageBreakBefore w:val="0"/>
        <w:widowControl w:val="0"/>
        <w:kinsoku/>
        <w:overflowPunct/>
        <w:topLinePunct w:val="0"/>
        <w:bidi w:val="0"/>
        <w:snapToGrid w:val="0"/>
        <w:spacing w:after="0"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售价（元）：0</w:t>
      </w:r>
    </w:p>
    <w:p w14:paraId="6CC8B032">
      <w:pPr>
        <w:keepNext w:val="0"/>
        <w:keepLines w:val="0"/>
        <w:pageBreakBefore w:val="0"/>
        <w:widowControl w:val="0"/>
        <w:kinsoku/>
        <w:overflowPunct/>
        <w:topLinePunct w:val="0"/>
        <w:bidi w:val="0"/>
        <w:snapToGrid w:val="0"/>
        <w:spacing w:line="460" w:lineRule="exact"/>
        <w:textAlignment w:val="auto"/>
        <w:outlineLvl w:val="1"/>
        <w:rPr>
          <w:rFonts w:hint="eastAsia" w:ascii="宋体" w:hAnsi="宋体" w:eastAsia="宋体" w:cs="宋体"/>
          <w:b/>
          <w:color w:val="auto"/>
          <w:sz w:val="24"/>
          <w:highlight w:val="none"/>
        </w:rPr>
      </w:pPr>
      <w:bookmarkStart w:id="37" w:name="_Toc35393625"/>
      <w:bookmarkStart w:id="38" w:name="_Toc28359084"/>
      <w:bookmarkStart w:id="39" w:name="_Toc28359007"/>
      <w:bookmarkStart w:id="40" w:name="_Toc35393794"/>
      <w:r>
        <w:rPr>
          <w:rFonts w:hint="eastAsia" w:ascii="宋体" w:hAnsi="宋体" w:eastAsia="宋体" w:cs="宋体"/>
          <w:b/>
          <w:color w:val="auto"/>
          <w:sz w:val="24"/>
          <w:highlight w:val="none"/>
        </w:rPr>
        <w:t>四、响应文件提交（上传）</w:t>
      </w:r>
    </w:p>
    <w:p w14:paraId="78E73BD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b w:val="0"/>
          <w:bCs/>
          <w:color w:val="auto"/>
          <w:sz w:val="24"/>
          <w:highlight w:val="none"/>
          <w:u w:val="singl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截止时间：</w:t>
      </w:r>
      <w:r>
        <w:rPr>
          <w:rFonts w:hint="eastAsia" w:ascii="宋体" w:hAnsi="宋体" w:eastAsia="宋体" w:cs="宋体"/>
          <w:bCs/>
          <w:snapToGrid w:val="0"/>
          <w:color w:val="auto"/>
          <w:sz w:val="24"/>
          <w:highlight w:val="none"/>
          <w:lang w:eastAsia="zh-CN"/>
        </w:rPr>
        <w:t>2025年</w:t>
      </w:r>
      <w:r>
        <w:rPr>
          <w:rFonts w:hint="eastAsia" w:ascii="宋体" w:cs="宋体"/>
          <w:b w:val="0"/>
          <w:bCs w:val="0"/>
          <w:color w:val="auto"/>
          <w:kern w:val="2"/>
          <w:sz w:val="24"/>
          <w:szCs w:val="22"/>
          <w:highlight w:val="none"/>
          <w:u w:color="FF0000"/>
          <w:lang w:val="en-US" w:eastAsia="zh-CN"/>
        </w:rPr>
        <w:t>7月14日</w:t>
      </w:r>
      <w:r>
        <w:rPr>
          <w:rFonts w:hint="eastAsia" w:ascii="宋体" w:hAnsi="宋体" w:eastAsia="宋体" w:cs="宋体"/>
          <w:b w:val="0"/>
          <w:bCs/>
          <w:snapToGrid w:val="0"/>
          <w:color w:val="auto"/>
          <w:sz w:val="24"/>
          <w:highlight w:val="none"/>
        </w:rPr>
        <w:t>09</w:t>
      </w:r>
      <w:r>
        <w:rPr>
          <w:rFonts w:hint="eastAsia" w:ascii="宋体" w:hAnsi="宋体" w:eastAsia="宋体" w:cs="宋体"/>
          <w:b w:val="0"/>
          <w:bCs/>
          <w:color w:val="auto"/>
          <w:sz w:val="24"/>
          <w:highlight w:val="none"/>
        </w:rPr>
        <w:t>:</w:t>
      </w:r>
      <w:r>
        <w:rPr>
          <w:rFonts w:hint="eastAsia" w:ascii="宋体" w:hAnsi="宋体" w:eastAsia="宋体" w:cs="宋体"/>
          <w:b w:val="0"/>
          <w:bCs/>
          <w:snapToGrid w:val="0"/>
          <w:color w:val="auto"/>
          <w:sz w:val="24"/>
          <w:highlight w:val="none"/>
        </w:rPr>
        <w:t>00</w:t>
      </w:r>
      <w:r>
        <w:rPr>
          <w:rFonts w:hint="eastAsia" w:ascii="宋体" w:hAnsi="宋体" w:eastAsia="宋体" w:cs="宋体"/>
          <w:b w:val="0"/>
          <w:bCs/>
          <w:color w:val="auto"/>
          <w:sz w:val="24"/>
          <w:highlight w:val="none"/>
        </w:rPr>
        <w:t>（北京时间）</w:t>
      </w:r>
    </w:p>
    <w:p w14:paraId="64E87DA4">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2.地点（网址）：</w:t>
      </w:r>
    </w:p>
    <w:p w14:paraId="700FDB24">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GB2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⑴</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文件：在“政府采购云平台”上传提交，“电子加密</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文件”成功上传提交后，</w:t>
      </w:r>
      <w:r>
        <w:rPr>
          <w:rFonts w:hint="eastAsia" w:hAnsi="宋体" w:cs="宋体"/>
          <w:color w:val="auto"/>
          <w:sz w:val="24"/>
          <w:szCs w:val="24"/>
          <w:highlight w:val="none"/>
          <w:lang w:eastAsia="zh-CN"/>
        </w:rPr>
        <w:t>供应商</w:t>
      </w:r>
      <w:r>
        <w:rPr>
          <w:rFonts w:hint="eastAsia" w:ascii="宋体" w:hAnsi="宋体" w:eastAsia="宋体" w:cs="宋体"/>
          <w:color w:val="auto"/>
          <w:sz w:val="24"/>
          <w:highlight w:val="none"/>
        </w:rPr>
        <w:t>自行打印</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文件接收回执；</w:t>
      </w:r>
    </w:p>
    <w:p w14:paraId="5CF1C351">
      <w:pPr>
        <w:pStyle w:val="23"/>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备份</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szCs w:val="24"/>
          <w:highlight w:val="none"/>
        </w:rPr>
        <w:t>文件：</w:t>
      </w:r>
    </w:p>
    <w:p w14:paraId="22A45876">
      <w:pPr>
        <w:pStyle w:val="23"/>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文件是否提交由</w:t>
      </w:r>
      <w:r>
        <w:rPr>
          <w:rFonts w:hint="eastAsia" w:hAnsi="宋体" w:cs="宋体"/>
          <w:bCs/>
          <w:color w:val="auto"/>
          <w:sz w:val="24"/>
          <w:highlight w:val="none"/>
          <w:lang w:eastAsia="zh-CN"/>
        </w:rPr>
        <w:t>供应商</w:t>
      </w:r>
      <w:r>
        <w:rPr>
          <w:rFonts w:hint="eastAsia" w:ascii="宋体" w:hAnsi="宋体" w:eastAsia="宋体" w:cs="宋体"/>
          <w:bCs/>
          <w:color w:val="auto"/>
          <w:sz w:val="24"/>
          <w:highlight w:val="none"/>
        </w:rPr>
        <w:t>自行决定，如不提交的，当电子</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文件无法解密时，将导致无备份</w:t>
      </w:r>
      <w:r>
        <w:rPr>
          <w:rFonts w:hint="eastAsia" w:ascii="宋体" w:hAnsi="宋体" w:eastAsia="宋体" w:cs="宋体"/>
          <w:color w:val="auto"/>
          <w:sz w:val="24"/>
          <w:highlight w:val="none"/>
          <w:lang w:eastAsia="zh-CN"/>
        </w:rPr>
        <w:t>响应</w:t>
      </w:r>
      <w:r>
        <w:rPr>
          <w:rFonts w:hint="eastAsia" w:ascii="宋体" w:hAnsi="宋体" w:eastAsia="宋体" w:cs="宋体"/>
          <w:bCs/>
          <w:color w:val="auto"/>
          <w:sz w:val="24"/>
          <w:highlight w:val="none"/>
        </w:rPr>
        <w:t>文件而失去</w:t>
      </w:r>
      <w:r>
        <w:rPr>
          <w:rFonts w:hint="eastAsia" w:hAnsi="宋体" w:cs="宋体"/>
          <w:bCs/>
          <w:color w:val="auto"/>
          <w:sz w:val="24"/>
          <w:highlight w:val="none"/>
          <w:lang w:eastAsia="zh-CN"/>
        </w:rPr>
        <w:t>响应</w:t>
      </w:r>
      <w:r>
        <w:rPr>
          <w:rFonts w:hint="eastAsia" w:ascii="宋体" w:hAnsi="宋体" w:eastAsia="宋体" w:cs="宋体"/>
          <w:bCs/>
          <w:color w:val="auto"/>
          <w:sz w:val="24"/>
          <w:highlight w:val="none"/>
        </w:rPr>
        <w:t>资格。</w:t>
      </w:r>
    </w:p>
    <w:p w14:paraId="23DFA58B">
      <w:pPr>
        <w:pStyle w:val="23"/>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如提交备份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文件的，应在</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截止时间前将最后生成的具有电子签章的备份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文件通过电子邮件方式传送至代理机构邮箱（</w:t>
      </w:r>
      <w:r>
        <w:rPr>
          <w:rFonts w:hint="eastAsia" w:hAnsi="宋体" w:cs="宋体"/>
          <w:bCs/>
          <w:color w:val="auto"/>
          <w:sz w:val="24"/>
          <w:szCs w:val="24"/>
          <w:highlight w:val="none"/>
          <w:lang w:val="en-US" w:eastAsia="zh-CN"/>
        </w:rPr>
        <w:t>652710846</w:t>
      </w:r>
      <w:r>
        <w:rPr>
          <w:rFonts w:hint="eastAsia" w:ascii="宋体" w:hAnsi="宋体" w:eastAsia="宋体" w:cs="宋体"/>
          <w:bCs/>
          <w:color w:val="auto"/>
          <w:sz w:val="24"/>
          <w:szCs w:val="24"/>
          <w:highlight w:val="none"/>
        </w:rPr>
        <w:t>@qq.com），传送的备份</w:t>
      </w:r>
      <w:r>
        <w:rPr>
          <w:rFonts w:hint="eastAsia" w:hAnsi="宋体" w:cs="宋体"/>
          <w:bCs/>
          <w:color w:val="auto"/>
          <w:sz w:val="24"/>
          <w:highlight w:val="none"/>
          <w:lang w:eastAsia="zh-CN"/>
        </w:rPr>
        <w:t>响应</w:t>
      </w:r>
      <w:r>
        <w:rPr>
          <w:rFonts w:hint="eastAsia" w:ascii="宋体" w:hAnsi="宋体" w:eastAsia="宋体" w:cs="宋体"/>
          <w:bCs/>
          <w:color w:val="auto"/>
          <w:sz w:val="24"/>
          <w:szCs w:val="24"/>
          <w:highlight w:val="none"/>
        </w:rPr>
        <w:t>文件须打包压缩并加密，</w:t>
      </w:r>
      <w:r>
        <w:rPr>
          <w:rFonts w:hint="eastAsia" w:ascii="宋体" w:hAnsi="宋体" w:eastAsia="宋体" w:cs="宋体"/>
          <w:color w:val="auto"/>
          <w:sz w:val="24"/>
          <w:szCs w:val="24"/>
          <w:highlight w:val="none"/>
        </w:rPr>
        <w:t>密码由</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自行保管，</w:t>
      </w:r>
      <w:r>
        <w:rPr>
          <w:rFonts w:hint="eastAsia" w:ascii="宋体" w:hAnsi="宋体" w:eastAsia="宋体" w:cs="宋体"/>
          <w:b/>
          <w:color w:val="auto"/>
          <w:sz w:val="24"/>
          <w:szCs w:val="24"/>
          <w:highlight w:val="none"/>
        </w:rPr>
        <w:t>压缩包命名为“备份</w:t>
      </w:r>
      <w:r>
        <w:rPr>
          <w:rFonts w:hint="eastAsia" w:hAnsi="宋体" w:cs="宋体"/>
          <w:b/>
          <w:color w:val="auto"/>
          <w:sz w:val="24"/>
          <w:highlight w:val="none"/>
          <w:lang w:eastAsia="zh-CN"/>
        </w:rPr>
        <w:t>响应</w:t>
      </w:r>
      <w:r>
        <w:rPr>
          <w:rFonts w:hint="eastAsia" w:ascii="宋体" w:hAnsi="宋体" w:eastAsia="宋体" w:cs="宋体"/>
          <w:b/>
          <w:color w:val="auto"/>
          <w:sz w:val="24"/>
          <w:szCs w:val="24"/>
          <w:highlight w:val="none"/>
        </w:rPr>
        <w:t>文件”</w:t>
      </w:r>
      <w:r>
        <w:rPr>
          <w:rFonts w:hint="eastAsia" w:ascii="宋体" w:hAnsi="宋体" w:eastAsia="宋体" w:cs="宋体"/>
          <w:color w:val="auto"/>
          <w:sz w:val="24"/>
          <w:szCs w:val="24"/>
          <w:highlight w:val="none"/>
        </w:rPr>
        <w:t>，并在邮件中注明项目名称及</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14:paraId="7623BBF9">
      <w:pPr>
        <w:keepNext w:val="0"/>
        <w:keepLines w:val="0"/>
        <w:pageBreakBefore w:val="0"/>
        <w:widowControl w:val="0"/>
        <w:kinsoku/>
        <w:overflowPunct/>
        <w:topLinePunct w:val="0"/>
        <w:bidi w:val="0"/>
        <w:snapToGrid w:val="0"/>
        <w:spacing w:line="460" w:lineRule="exac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五、响应文件开启</w:t>
      </w:r>
    </w:p>
    <w:p w14:paraId="7E5CD16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开启时间：</w:t>
      </w:r>
      <w:r>
        <w:rPr>
          <w:rFonts w:hint="eastAsia" w:ascii="宋体" w:hAnsi="宋体" w:eastAsia="宋体" w:cs="宋体"/>
          <w:color w:val="auto"/>
          <w:sz w:val="24"/>
          <w:highlight w:val="none"/>
          <w:lang w:eastAsia="zh-CN"/>
        </w:rPr>
        <w:t>2025年</w:t>
      </w:r>
      <w:r>
        <w:rPr>
          <w:rFonts w:hint="eastAsia" w:ascii="宋体" w:cs="宋体"/>
          <w:b w:val="0"/>
          <w:bCs w:val="0"/>
          <w:color w:val="auto"/>
          <w:kern w:val="2"/>
          <w:sz w:val="24"/>
          <w:szCs w:val="22"/>
          <w:highlight w:val="none"/>
          <w:u w:color="FF0000"/>
          <w:lang w:val="en-US" w:eastAsia="zh-CN"/>
        </w:rPr>
        <w:t>7月14日</w:t>
      </w:r>
      <w:r>
        <w:rPr>
          <w:rFonts w:hint="eastAsia" w:ascii="宋体" w:hAnsi="宋体" w:eastAsia="宋体" w:cs="宋体"/>
          <w:b w:val="0"/>
          <w:bCs w:val="0"/>
          <w:color w:val="auto"/>
          <w:sz w:val="24"/>
          <w:highlight w:val="none"/>
        </w:rPr>
        <w:t>09:00（北京</w:t>
      </w:r>
      <w:r>
        <w:rPr>
          <w:rFonts w:hint="eastAsia" w:ascii="宋体" w:hAnsi="宋体" w:eastAsia="宋体" w:cs="宋体"/>
          <w:color w:val="auto"/>
          <w:sz w:val="24"/>
          <w:highlight w:val="none"/>
        </w:rPr>
        <w:t>时间）</w:t>
      </w:r>
    </w:p>
    <w:p w14:paraId="7170D31F">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地点（网址）：浙江政府采购网—用户入驻/登录—用户登录—项目采购—开标评标—进入开标大厅</w:t>
      </w:r>
    </w:p>
    <w:p w14:paraId="65110B29">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bookmarkEnd w:id="37"/>
      <w:bookmarkEnd w:id="38"/>
      <w:bookmarkEnd w:id="39"/>
      <w:bookmarkEnd w:id="40"/>
    </w:p>
    <w:p w14:paraId="2485BC3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2C6867BA">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bookmarkStart w:id="41" w:name="_Toc35393626"/>
      <w:bookmarkStart w:id="42" w:name="_Toc35393795"/>
      <w:r>
        <w:rPr>
          <w:rFonts w:hint="eastAsia" w:ascii="宋体" w:hAnsi="宋体" w:eastAsia="宋体" w:cs="宋体"/>
          <w:b/>
          <w:color w:val="auto"/>
          <w:sz w:val="24"/>
          <w:highlight w:val="none"/>
        </w:rPr>
        <w:t>七、其他补充事宜</w:t>
      </w:r>
      <w:bookmarkEnd w:id="41"/>
      <w:bookmarkEnd w:id="42"/>
    </w:p>
    <w:p w14:paraId="422C7831">
      <w:pPr>
        <w:keepNext w:val="0"/>
        <w:keepLines w:val="0"/>
        <w:pageBreakBefore w:val="0"/>
        <w:widowControl w:val="0"/>
        <w:kinsoku/>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bookmarkStart w:id="43" w:name="_Toc35393796"/>
      <w:bookmarkStart w:id="44" w:name="_Toc35393627"/>
      <w:bookmarkStart w:id="45" w:name="_Toc28359085"/>
      <w:bookmarkStart w:id="46" w:name="_Toc28359008"/>
      <w:r>
        <w:rPr>
          <w:rFonts w:hint="eastAsia" w:ascii="宋体" w:hAnsi="宋体" w:eastAsia="宋体" w:cs="宋体"/>
          <w:color w:val="auto"/>
          <w:spacing w:val="0"/>
          <w:w w:val="100"/>
          <w:sz w:val="24"/>
          <w:szCs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2441F0">
      <w:pPr>
        <w:keepNext w:val="0"/>
        <w:keepLines w:val="0"/>
        <w:pageBreakBefore w:val="0"/>
        <w:widowControl w:val="0"/>
        <w:kinsoku/>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F67BC6">
      <w:pPr>
        <w:keepNext w:val="0"/>
        <w:keepLines w:val="0"/>
        <w:pageBreakBefore w:val="0"/>
        <w:widowControl w:val="0"/>
        <w:kinsoku/>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2A6AC3">
      <w:pPr>
        <w:keepNext w:val="0"/>
        <w:keepLines w:val="0"/>
        <w:pageBreakBefore w:val="0"/>
        <w:widowControl w:val="0"/>
        <w:kinsoku/>
        <w:overflowPunct/>
        <w:topLinePunct w:val="0"/>
        <w:bidi w:val="0"/>
        <w:snapToGrid w:val="0"/>
        <w:spacing w:line="480" w:lineRule="exact"/>
        <w:ind w:left="0" w:firstLine="482"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b/>
          <w:color w:val="auto"/>
          <w:spacing w:val="0"/>
          <w:w w:val="100"/>
          <w:kern w:val="0"/>
          <w:sz w:val="24"/>
          <w:szCs w:val="24"/>
          <w:highlight w:val="none"/>
          <w:lang w:val="en-US" w:eastAsia="zh-CN"/>
        </w:rPr>
        <w:t>4</w:t>
      </w:r>
      <w:r>
        <w:rPr>
          <w:rFonts w:hint="eastAsia" w:ascii="宋体" w:hAnsi="宋体" w:eastAsia="宋体" w:cs="宋体"/>
          <w:b/>
          <w:color w:val="auto"/>
          <w:spacing w:val="0"/>
          <w:w w:val="100"/>
          <w:kern w:val="0"/>
          <w:sz w:val="24"/>
          <w:szCs w:val="24"/>
          <w:highlight w:val="none"/>
        </w:rPr>
        <w:t>.其</w:t>
      </w:r>
      <w:r>
        <w:rPr>
          <w:rFonts w:hint="eastAsia" w:ascii="宋体" w:hAnsi="宋体" w:eastAsia="宋体" w:cs="宋体"/>
          <w:b/>
          <w:color w:val="auto"/>
          <w:spacing w:val="0"/>
          <w:w w:val="100"/>
          <w:kern w:val="0"/>
          <w:sz w:val="24"/>
          <w:szCs w:val="24"/>
          <w:highlight w:val="none"/>
          <w:lang w:eastAsia="zh-CN"/>
        </w:rPr>
        <w:t>他事项</w:t>
      </w:r>
      <w:r>
        <w:rPr>
          <w:rFonts w:hint="eastAsia" w:ascii="宋体" w:hAnsi="宋体" w:eastAsia="宋体" w:cs="宋体"/>
          <w:b/>
          <w:color w:val="auto"/>
          <w:spacing w:val="0"/>
          <w:w w:val="100"/>
          <w:kern w:val="0"/>
          <w:sz w:val="24"/>
          <w:szCs w:val="24"/>
          <w:highlight w:val="none"/>
        </w:rPr>
        <w:t>：</w:t>
      </w:r>
      <w:r>
        <w:rPr>
          <w:rFonts w:hint="eastAsia" w:ascii="宋体" w:hAnsi="宋体" w:eastAsia="宋体" w:cs="宋体"/>
          <w:b w:val="0"/>
          <w:bCs/>
          <w:color w:val="auto"/>
          <w:spacing w:val="0"/>
          <w:w w:val="100"/>
          <w:kern w:val="0"/>
          <w:sz w:val="24"/>
          <w:szCs w:val="24"/>
          <w:highlight w:val="none"/>
        </w:rPr>
        <w:t>本项目采用“电子交易/不见面开评标”，</w:t>
      </w:r>
      <w:r>
        <w:rPr>
          <w:rFonts w:hint="eastAsia" w:ascii="宋体" w:hAnsi="宋体" w:eastAsia="宋体" w:cs="宋体"/>
          <w:b w:val="0"/>
          <w:bCs/>
          <w:color w:val="auto"/>
          <w:spacing w:val="0"/>
          <w:w w:val="100"/>
          <w:kern w:val="0"/>
          <w:sz w:val="24"/>
          <w:szCs w:val="24"/>
          <w:highlight w:val="none"/>
          <w:lang w:eastAsia="zh-CN"/>
        </w:rPr>
        <w:t>供应商</w:t>
      </w:r>
      <w:r>
        <w:rPr>
          <w:rFonts w:hint="eastAsia" w:ascii="宋体" w:hAnsi="宋体" w:eastAsia="宋体" w:cs="宋体"/>
          <w:b w:val="0"/>
          <w:bCs/>
          <w:color w:val="auto"/>
          <w:spacing w:val="0"/>
          <w:w w:val="100"/>
          <w:kern w:val="0"/>
          <w:sz w:val="24"/>
          <w:szCs w:val="24"/>
          <w:highlight w:val="none"/>
        </w:rPr>
        <w:t>无须派人员到现场出席开标会议。具体操作指南：见政采云平台“服务中心</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帮助文档</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项目采购</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操作流程</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电子招投标</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政府采购项目电子交易管理操作指南</w:t>
      </w:r>
      <w:r>
        <w:rPr>
          <w:rFonts w:hint="eastAsia" w:ascii="宋体" w:hAnsi="宋体" w:eastAsia="宋体" w:cs="宋体"/>
          <w:b w:val="0"/>
          <w:bCs/>
          <w:color w:val="auto"/>
          <w:spacing w:val="0"/>
          <w:w w:val="100"/>
          <w:kern w:val="0"/>
          <w:sz w:val="24"/>
          <w:szCs w:val="24"/>
          <w:highlight w:val="none"/>
          <w:lang w:eastAsia="zh-CN"/>
        </w:rPr>
        <w:t>－</w:t>
      </w:r>
      <w:r>
        <w:rPr>
          <w:rFonts w:hint="eastAsia" w:ascii="宋体" w:hAnsi="宋体" w:eastAsia="宋体" w:cs="宋体"/>
          <w:b w:val="0"/>
          <w:bCs/>
          <w:color w:val="auto"/>
          <w:spacing w:val="0"/>
          <w:w w:val="100"/>
          <w:kern w:val="0"/>
          <w:sz w:val="24"/>
          <w:szCs w:val="24"/>
          <w:highlight w:val="none"/>
        </w:rPr>
        <w:t>供应商”。</w:t>
      </w:r>
    </w:p>
    <w:p w14:paraId="79EBE182">
      <w:pPr>
        <w:keepNext w:val="0"/>
        <w:keepLines w:val="0"/>
        <w:pageBreakBefore w:val="0"/>
        <w:widowControl w:val="0"/>
        <w:kinsoku/>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bookmarkEnd w:id="43"/>
      <w:bookmarkEnd w:id="44"/>
      <w:bookmarkEnd w:id="45"/>
      <w:bookmarkEnd w:id="46"/>
      <w:r>
        <w:rPr>
          <w:rFonts w:hint="eastAsia" w:ascii="宋体" w:hAnsi="宋体" w:eastAsia="宋体" w:cs="宋体"/>
          <w:b/>
          <w:bCs/>
          <w:color w:val="auto"/>
          <w:sz w:val="24"/>
          <w:highlight w:val="none"/>
        </w:rPr>
        <w:t>凡对本次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提出询问、质疑、投诉，请按以下方式联系</w:t>
      </w:r>
    </w:p>
    <w:bookmarkEnd w:id="31"/>
    <w:bookmarkEnd w:id="32"/>
    <w:bookmarkEnd w:id="33"/>
    <w:bookmarkEnd w:id="34"/>
    <w:bookmarkEnd w:id="35"/>
    <w:bookmarkEnd w:id="36"/>
    <w:p w14:paraId="665F8715">
      <w:pPr>
        <w:keepNext w:val="0"/>
        <w:keepLines w:val="0"/>
        <w:pageBreakBefore w:val="0"/>
        <w:widowControl w:val="0"/>
        <w:tabs>
          <w:tab w:val="left" w:pos="540"/>
        </w:tabs>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采购人名称：</w:t>
      </w:r>
      <w:r>
        <w:rPr>
          <w:rFonts w:hint="eastAsia" w:ascii="宋体" w:hAnsi="宋体" w:eastAsia="宋体" w:cs="宋体"/>
          <w:color w:val="auto"/>
          <w:sz w:val="24"/>
          <w:szCs w:val="24"/>
          <w:highlight w:val="none"/>
          <w:lang w:eastAsia="zh-CN"/>
        </w:rPr>
        <w:t>庆元县自然资源和规划局</w:t>
      </w:r>
    </w:p>
    <w:p w14:paraId="46F28EA2">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范</w:t>
      </w:r>
      <w:r>
        <w:rPr>
          <w:rFonts w:hint="eastAsia" w:ascii="宋体" w:hAnsi="宋体" w:cs="宋体"/>
          <w:bCs/>
          <w:caps w:val="0"/>
          <w:color w:val="auto"/>
          <w:spacing w:val="0"/>
          <w:sz w:val="24"/>
          <w:highlight w:val="none"/>
          <w:lang w:eastAsia="zh-CN"/>
        </w:rPr>
        <w:t>先生</w:t>
      </w:r>
      <w:r>
        <w:rPr>
          <w:rFonts w:hint="eastAsia" w:ascii="宋体" w:hAnsi="宋体" w:cs="宋体"/>
          <w:bCs/>
          <w:caps w:val="0"/>
          <w:color w:val="auto"/>
          <w:spacing w:val="0"/>
          <w:sz w:val="24"/>
          <w:highlight w:val="none"/>
          <w:lang w:val="en-US" w:eastAsia="zh-CN"/>
        </w:rPr>
        <w:t xml:space="preserve">      </w:t>
      </w:r>
      <w:r>
        <w:rPr>
          <w:rFonts w:hint="eastAsia" w:ascii="宋体" w:hAnsi="宋体" w:cs="宋体"/>
          <w:bCs/>
          <w:caps w:val="0"/>
          <w:color w:val="auto"/>
          <w:spacing w:val="0"/>
          <w:sz w:val="24"/>
          <w:highlight w:val="none"/>
          <w:lang w:eastAsia="zh-CN"/>
        </w:rPr>
        <w:t>联系电话：0578-6012813</w:t>
      </w:r>
    </w:p>
    <w:p w14:paraId="50F101EB">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 xml:space="preserve">胡先生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0578-6012813</w:t>
      </w:r>
    </w:p>
    <w:p w14:paraId="508F2509">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bCs/>
          <w:caps w:val="0"/>
          <w:color w:val="auto"/>
          <w:spacing w:val="0"/>
          <w:sz w:val="24"/>
          <w:highlight w:val="none"/>
          <w:lang w:eastAsia="zh-CN"/>
        </w:rPr>
        <w:t>浙江省庆元县濛洲街道云鹤路5号</w:t>
      </w:r>
    </w:p>
    <w:p w14:paraId="79008A52">
      <w:pPr>
        <w:keepNext w:val="0"/>
        <w:keepLines w:val="0"/>
        <w:pageBreakBefore w:val="0"/>
        <w:widowControl w:val="0"/>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采购代理机构名称：</w:t>
      </w:r>
      <w:r>
        <w:rPr>
          <w:rFonts w:hint="eastAsia" w:ascii="宋体" w:hAnsi="宋体" w:eastAsia="宋体" w:cs="宋体"/>
          <w:color w:val="auto"/>
          <w:sz w:val="24"/>
          <w:szCs w:val="24"/>
          <w:highlight w:val="none"/>
          <w:lang w:eastAsia="zh-CN"/>
        </w:rPr>
        <w:t>浙江飞秀工程咨询有限公司</w:t>
      </w:r>
    </w:p>
    <w:p w14:paraId="32A10852">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张润霏</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0578-6161128</w:t>
      </w:r>
      <w:r>
        <w:rPr>
          <w:rFonts w:hint="eastAsia" w:ascii="宋体" w:hAnsi="宋体" w:eastAsia="宋体" w:cs="宋体"/>
          <w:color w:val="auto"/>
          <w:sz w:val="24"/>
          <w:szCs w:val="24"/>
          <w:highlight w:val="none"/>
          <w:lang w:val="en-US" w:eastAsia="zh-CN"/>
        </w:rPr>
        <w:t xml:space="preserve">   传真：0578-6161128</w:t>
      </w:r>
    </w:p>
    <w:p w14:paraId="306321C1">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敏</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eastAsia="zh-CN"/>
        </w:rPr>
        <w:t>0578-6161128</w:t>
      </w:r>
      <w:r>
        <w:rPr>
          <w:rFonts w:hint="eastAsia" w:ascii="宋体" w:hAnsi="宋体" w:eastAsia="宋体" w:cs="宋体"/>
          <w:color w:val="auto"/>
          <w:sz w:val="24"/>
          <w:szCs w:val="24"/>
          <w:highlight w:val="none"/>
          <w:lang w:val="en-US" w:eastAsia="zh-CN"/>
        </w:rPr>
        <w:t xml:space="preserve">   传真：0578-6161128</w:t>
      </w:r>
    </w:p>
    <w:p w14:paraId="7F6D1394">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bCs/>
          <w:caps w:val="0"/>
          <w:spacing w:val="0"/>
          <w:sz w:val="24"/>
          <w:highlight w:val="none"/>
        </w:rPr>
        <w:t>庆元县大济路236号710室</w:t>
      </w:r>
    </w:p>
    <w:p w14:paraId="697881FA">
      <w:pPr>
        <w:keepNext w:val="0"/>
        <w:keepLines w:val="0"/>
        <w:pageBreakBefore w:val="0"/>
        <w:widowControl w:val="0"/>
        <w:numPr>
          <w:ilvl w:val="0"/>
          <w:numId w:val="2"/>
        </w:numPr>
        <w:kinsoku/>
        <w:overflowPunct/>
        <w:topLinePunct w:val="0"/>
        <w:bidi w:val="0"/>
        <w:snapToGrid w:val="0"/>
        <w:spacing w:line="46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同级政府采购监督管理部门名称：庆元县财政局</w:t>
      </w:r>
    </w:p>
    <w:p w14:paraId="77F1CDDF">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姚伟波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监督投诉电话：0578－6019125   传真：0578－6019125</w:t>
      </w:r>
    </w:p>
    <w:p w14:paraId="1744D545">
      <w:pPr>
        <w:keepNext w:val="0"/>
        <w:keepLines w:val="0"/>
        <w:pageBreakBefore w:val="0"/>
        <w:widowControl w:val="0"/>
        <w:kinsoku/>
        <w:overflowPunct/>
        <w:topLinePunct w:val="0"/>
        <w:bidi w:val="0"/>
        <w:snapToGrid w:val="0"/>
        <w:spacing w:line="460" w:lineRule="exact"/>
        <w:ind w:firstLine="840" w:firstLineChars="3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址：庆元县濛洲街198号</w:t>
      </w:r>
    </w:p>
    <w:p w14:paraId="5D775F93">
      <w:pPr>
        <w:pStyle w:val="37"/>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特别提醒：1.若对项目采购电子交易系统操作有疑问，可登录政采云（https://www.zcygov.cn</w:t>
      </w:r>
      <w:r>
        <w:rPr>
          <w:rFonts w:hint="eastAsia" w:cs="宋体"/>
          <w:b/>
          <w:bCs/>
          <w:color w:val="auto"/>
          <w:highlight w:val="none"/>
          <w:lang w:eastAsia="zh-CN"/>
        </w:rPr>
        <w:t>）</w:t>
      </w:r>
      <w:r>
        <w:rPr>
          <w:rFonts w:hint="eastAsia" w:ascii="宋体" w:hAnsi="宋体" w:eastAsia="宋体" w:cs="宋体"/>
          <w:b/>
          <w:bCs/>
          <w:color w:val="auto"/>
          <w:highlight w:val="none"/>
        </w:rPr>
        <w:t>，点击右侧咨询小采，获取采小蜜智能服务管家帮助，或拨打政采云服务热线400-881-7190获取热线服务帮助。</w:t>
      </w:r>
    </w:p>
    <w:p w14:paraId="6B2CEF81">
      <w:pPr>
        <w:pStyle w:val="37"/>
        <w:keepNext w:val="0"/>
        <w:keepLines w:val="0"/>
        <w:pageBreakBefore w:val="0"/>
        <w:widowControl w:val="0"/>
        <w:kinsoku/>
        <w:overflowPunct/>
        <w:topLinePunct w:val="0"/>
        <w:bidi w:val="0"/>
        <w:snapToGrid w:val="0"/>
        <w:spacing w:before="0" w:beforeAutospacing="0" w:after="0" w:afterAutospacing="0" w:line="46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CA问题联系电话（人工）：汇信CA 400-888-4636；天谷CA 400-087-8198。</w:t>
      </w:r>
    </w:p>
    <w:p w14:paraId="3039E9F5">
      <w:pPr>
        <w:pStyle w:val="4"/>
        <w:widowControl w:val="0"/>
        <w:ind w:left="0"/>
        <w:jc w:val="center"/>
        <w:outlineLvl w:val="9"/>
        <w:rPr>
          <w:rFonts w:hint="eastAsia" w:ascii="宋体" w:hAnsi="宋体" w:eastAsia="宋体" w:cs="宋体"/>
          <w:b/>
          <w:bCs/>
          <w:color w:val="auto"/>
          <w:sz w:val="36"/>
          <w:szCs w:val="36"/>
          <w:highlight w:val="none"/>
        </w:rPr>
        <w:sectPr>
          <w:headerReference r:id="rId5" w:type="default"/>
          <w:footerReference r:id="rId6" w:type="default"/>
          <w:pgSz w:w="11906" w:h="16838"/>
          <w:pgMar w:top="1417" w:right="1417" w:bottom="1417" w:left="1417" w:header="851" w:footer="1020" w:gutter="0"/>
          <w:pgNumType w:fmt="decimal" w:start="1"/>
          <w:cols w:space="425" w:num="1"/>
          <w:docGrid w:type="lines" w:linePitch="312" w:charSpace="0"/>
        </w:sectPr>
      </w:pPr>
      <w:bookmarkStart w:id="47" w:name="_Toc3304"/>
      <w:bookmarkStart w:id="48" w:name="_Toc12427"/>
    </w:p>
    <w:p w14:paraId="36DC5533">
      <w:pPr>
        <w:pStyle w:val="4"/>
        <w:widowControl w:val="0"/>
        <w:ind w:left="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供应商须知</w:t>
      </w:r>
      <w:bookmarkEnd w:id="16"/>
      <w:bookmarkEnd w:id="47"/>
      <w:bookmarkEnd w:id="48"/>
    </w:p>
    <w:p w14:paraId="0FE829F1">
      <w:pPr>
        <w:pStyle w:val="5"/>
        <w:widowControl w:val="0"/>
        <w:tabs>
          <w:tab w:val="left" w:pos="1080"/>
        </w:tabs>
        <w:ind w:left="0" w:firstLine="0"/>
        <w:outlineLvl w:val="1"/>
        <w:rPr>
          <w:rFonts w:hint="eastAsia" w:ascii="宋体" w:hAnsi="宋体" w:eastAsia="宋体" w:cs="宋体"/>
          <w:b/>
          <w:bCs/>
          <w:color w:val="auto"/>
          <w:sz w:val="24"/>
          <w:szCs w:val="24"/>
          <w:highlight w:val="none"/>
        </w:rPr>
      </w:pPr>
      <w:bookmarkStart w:id="49" w:name="_Toc7506"/>
      <w:r>
        <w:rPr>
          <w:rFonts w:hint="eastAsia" w:ascii="宋体" w:hAnsi="宋体" w:eastAsia="宋体" w:cs="宋体"/>
          <w:b/>
          <w:bCs/>
          <w:color w:val="auto"/>
          <w:sz w:val="24"/>
          <w:szCs w:val="24"/>
          <w:highlight w:val="none"/>
        </w:rPr>
        <w:t>前附表</w:t>
      </w:r>
      <w:bookmarkEnd w:id="49"/>
    </w:p>
    <w:tbl>
      <w:tblPr>
        <w:tblStyle w:val="40"/>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6"/>
        <w:gridCol w:w="2583"/>
        <w:gridCol w:w="1424"/>
        <w:gridCol w:w="3313"/>
      </w:tblGrid>
      <w:tr w14:paraId="295AB75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14:paraId="01131F6F">
            <w:pPr>
              <w:spacing w:line="440" w:lineRule="exact"/>
              <w:jc w:val="center"/>
              <w:rPr>
                <w:rFonts w:hint="eastAsia" w:ascii="宋体" w:hAnsi="宋体" w:eastAsia="宋体" w:cs="宋体"/>
                <w:b/>
                <w:bCs/>
                <w:snapToGrid w:val="0"/>
                <w:color w:val="auto"/>
                <w:sz w:val="24"/>
                <w:szCs w:val="24"/>
                <w:highlight w:val="none"/>
              </w:rPr>
            </w:pPr>
            <w:bookmarkStart w:id="50" w:name="_Toc172608433"/>
            <w:bookmarkStart w:id="51" w:name="_Toc391969409"/>
            <w:r>
              <w:rPr>
                <w:rFonts w:hint="eastAsia" w:ascii="宋体" w:hAnsi="宋体" w:eastAsia="宋体" w:cs="宋体"/>
                <w:b/>
                <w:bCs/>
                <w:snapToGrid w:val="0"/>
                <w:color w:val="auto"/>
                <w:sz w:val="24"/>
                <w:szCs w:val="24"/>
                <w:highlight w:val="none"/>
              </w:rPr>
              <w:t>序号</w:t>
            </w:r>
          </w:p>
        </w:tc>
        <w:tc>
          <w:tcPr>
            <w:tcW w:w="1386" w:type="dxa"/>
            <w:vAlign w:val="center"/>
          </w:tcPr>
          <w:p w14:paraId="35A8F5A5">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须知项目</w:t>
            </w:r>
          </w:p>
        </w:tc>
        <w:tc>
          <w:tcPr>
            <w:tcW w:w="7320" w:type="dxa"/>
            <w:gridSpan w:val="3"/>
            <w:vAlign w:val="center"/>
          </w:tcPr>
          <w:p w14:paraId="47B12DBF">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内容、要求和时间</w:t>
            </w:r>
          </w:p>
        </w:tc>
      </w:tr>
      <w:tr w14:paraId="670614D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14:paraId="31654D1F">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1386" w:type="dxa"/>
            <w:vAlign w:val="center"/>
          </w:tcPr>
          <w:p w14:paraId="134BECE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项目名称</w:t>
            </w:r>
          </w:p>
        </w:tc>
        <w:tc>
          <w:tcPr>
            <w:tcW w:w="7320" w:type="dxa"/>
            <w:gridSpan w:val="3"/>
            <w:vAlign w:val="center"/>
          </w:tcPr>
          <w:p w14:paraId="4FE95C4B">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庆元县宅基地及集体建设用地地籍图编制项目</w:t>
            </w:r>
          </w:p>
        </w:tc>
      </w:tr>
      <w:tr w14:paraId="6E66F82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14:paraId="1732A2C5">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1386" w:type="dxa"/>
            <w:vAlign w:val="center"/>
          </w:tcPr>
          <w:p w14:paraId="4E687219">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采购人</w:t>
            </w:r>
          </w:p>
        </w:tc>
        <w:tc>
          <w:tcPr>
            <w:tcW w:w="7320" w:type="dxa"/>
            <w:gridSpan w:val="3"/>
            <w:vAlign w:val="center"/>
          </w:tcPr>
          <w:p w14:paraId="0B9A329E">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color w:val="auto"/>
                <w:sz w:val="24"/>
                <w:szCs w:val="24"/>
                <w:highlight w:val="none"/>
                <w:lang w:eastAsia="zh-CN"/>
              </w:rPr>
              <w:t>庆元县自然资源和规划局</w:t>
            </w:r>
          </w:p>
        </w:tc>
      </w:tr>
      <w:tr w14:paraId="641C7CB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14:paraId="5F6BE2D0">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1386" w:type="dxa"/>
            <w:vAlign w:val="center"/>
          </w:tcPr>
          <w:p w14:paraId="4F64AA39">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采购代理机构</w:t>
            </w:r>
          </w:p>
        </w:tc>
        <w:tc>
          <w:tcPr>
            <w:tcW w:w="7320" w:type="dxa"/>
            <w:gridSpan w:val="3"/>
            <w:vAlign w:val="center"/>
          </w:tcPr>
          <w:p w14:paraId="3DA8E252">
            <w:pPr>
              <w:spacing w:line="440" w:lineRule="exact"/>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eastAsia="zh-CN"/>
              </w:rPr>
              <w:t>浙江飞秀工程咨询有限公司</w:t>
            </w:r>
          </w:p>
        </w:tc>
      </w:tr>
      <w:tr w14:paraId="7DC3AE5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14:paraId="058F51BB">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1386" w:type="dxa"/>
            <w:vAlign w:val="center"/>
          </w:tcPr>
          <w:p w14:paraId="032124C7">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采购方式</w:t>
            </w:r>
          </w:p>
        </w:tc>
        <w:tc>
          <w:tcPr>
            <w:tcW w:w="2583" w:type="dxa"/>
            <w:vAlign w:val="center"/>
          </w:tcPr>
          <w:p w14:paraId="13DEE011">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竞争性磋商</w:t>
            </w:r>
          </w:p>
        </w:tc>
        <w:tc>
          <w:tcPr>
            <w:tcW w:w="1424" w:type="dxa"/>
            <w:vAlign w:val="center"/>
          </w:tcPr>
          <w:p w14:paraId="7A04F6E1">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组织方式</w:t>
            </w:r>
          </w:p>
        </w:tc>
        <w:tc>
          <w:tcPr>
            <w:tcW w:w="3313" w:type="dxa"/>
            <w:vAlign w:val="center"/>
          </w:tcPr>
          <w:p w14:paraId="2864CEEB">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分散采购</w:t>
            </w:r>
          </w:p>
        </w:tc>
      </w:tr>
      <w:tr w14:paraId="0071074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14:paraId="3E69A3C9">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1386" w:type="dxa"/>
            <w:vAlign w:val="center"/>
          </w:tcPr>
          <w:p w14:paraId="5464AC9B">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资格审查方式</w:t>
            </w:r>
          </w:p>
        </w:tc>
        <w:tc>
          <w:tcPr>
            <w:tcW w:w="7320" w:type="dxa"/>
            <w:gridSpan w:val="3"/>
            <w:vAlign w:val="center"/>
          </w:tcPr>
          <w:p w14:paraId="42780209">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采用资格后审，供应商获取竞争性磋商文件或提交响应文件不表明已获取磋商资格，磋商会上通过资格审查的供应商才具有磋商资格。</w:t>
            </w:r>
          </w:p>
        </w:tc>
      </w:tr>
      <w:tr w14:paraId="259AFC8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648" w:type="dxa"/>
            <w:vAlign w:val="center"/>
          </w:tcPr>
          <w:p w14:paraId="08CD54A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1386" w:type="dxa"/>
            <w:vAlign w:val="center"/>
          </w:tcPr>
          <w:p w14:paraId="0422AD6A">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磋商有效期</w:t>
            </w:r>
          </w:p>
        </w:tc>
        <w:tc>
          <w:tcPr>
            <w:tcW w:w="7320" w:type="dxa"/>
            <w:gridSpan w:val="3"/>
            <w:vAlign w:val="center"/>
          </w:tcPr>
          <w:p w14:paraId="31647CF2">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响应文件提交截止</w:t>
            </w:r>
            <w:r>
              <w:rPr>
                <w:rFonts w:hint="eastAsia" w:ascii="宋体" w:hAnsi="宋体" w:eastAsia="宋体" w:cs="宋体"/>
                <w:bCs/>
                <w:snapToGrid w:val="0"/>
                <w:color w:val="auto"/>
                <w:sz w:val="24"/>
                <w:szCs w:val="24"/>
                <w:highlight w:val="none"/>
              </w:rPr>
              <w:t>之日起90天内有效</w:t>
            </w:r>
          </w:p>
        </w:tc>
      </w:tr>
      <w:tr w14:paraId="0E81101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449" w:hRule="exact"/>
          <w:jc w:val="center"/>
        </w:trPr>
        <w:tc>
          <w:tcPr>
            <w:tcW w:w="648" w:type="dxa"/>
            <w:vAlign w:val="center"/>
          </w:tcPr>
          <w:p w14:paraId="0DA382D8">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1386" w:type="dxa"/>
            <w:vAlign w:val="center"/>
          </w:tcPr>
          <w:p w14:paraId="6F7E0957">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磋商文件</w:t>
            </w:r>
          </w:p>
          <w:p w14:paraId="0760CF61">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w:t>
            </w:r>
          </w:p>
        </w:tc>
        <w:tc>
          <w:tcPr>
            <w:tcW w:w="7320" w:type="dxa"/>
            <w:gridSpan w:val="3"/>
            <w:vAlign w:val="center"/>
          </w:tcPr>
          <w:p w14:paraId="1DDA0E68">
            <w:pPr>
              <w:spacing w:line="400" w:lineRule="exact"/>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1、只有通过电子交易平台“潜在供应商”栏获取竞争性磋商文件的供应商才能对竞争性磋商文件提出质疑（质疑时间详见前附表），否则不予受</w:t>
            </w:r>
            <w:r>
              <w:rPr>
                <w:rFonts w:hint="eastAsia" w:ascii="宋体" w:hAnsi="宋体" w:eastAsia="宋体" w:cs="宋体"/>
                <w:bCs/>
                <w:snapToGrid w:val="0"/>
                <w:color w:val="auto"/>
                <w:sz w:val="24"/>
                <w:szCs w:val="24"/>
                <w:highlight w:val="none"/>
              </w:rPr>
              <w:t>理。</w:t>
            </w:r>
          </w:p>
          <w:p w14:paraId="07282C0D">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snapToGrid w:val="0"/>
                <w:color w:val="auto"/>
                <w:sz w:val="24"/>
                <w:szCs w:val="24"/>
                <w:highlight w:val="none"/>
              </w:rPr>
              <w:t>2、质疑期限为自磋商公告期限届满之日（磋商公告届满日为公告发布后的第4个工作日）起7个工作日内，以书面形式向采购人和采购代理机构一次性提出质疑。</w:t>
            </w:r>
          </w:p>
        </w:tc>
      </w:tr>
      <w:tr w14:paraId="5A19B5A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14:paraId="71EFAAD2">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1386" w:type="dxa"/>
            <w:vAlign w:val="center"/>
          </w:tcPr>
          <w:p w14:paraId="1FAA55A1">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磋商文件澄清或修改时间</w:t>
            </w:r>
          </w:p>
        </w:tc>
        <w:tc>
          <w:tcPr>
            <w:tcW w:w="7320" w:type="dxa"/>
            <w:gridSpan w:val="3"/>
            <w:vAlign w:val="center"/>
          </w:tcPr>
          <w:p w14:paraId="3BA9E897">
            <w:pPr>
              <w:spacing w:line="440" w:lineRule="exact"/>
              <w:rPr>
                <w:rFonts w:hint="eastAsia" w:ascii="宋体" w:hAnsi="宋体" w:eastAsia="宋体" w:cs="宋体"/>
                <w:bCs/>
                <w:snapToGrid w:val="0"/>
                <w:color w:val="auto"/>
                <w:sz w:val="24"/>
                <w:szCs w:val="24"/>
                <w:highlight w:val="none"/>
              </w:rPr>
            </w:pPr>
            <w:r>
              <w:rPr>
                <w:rFonts w:hint="eastAsia" w:ascii="宋体" w:hAnsi="宋体" w:eastAsia="宋体" w:cs="宋体"/>
                <w:bCs/>
                <w:color w:val="auto"/>
                <w:sz w:val="24"/>
                <w:szCs w:val="24"/>
                <w:highlight w:val="none"/>
              </w:rPr>
              <w:t>提交响应文件截止时间5日前，</w:t>
            </w:r>
            <w:r>
              <w:rPr>
                <w:rFonts w:hint="eastAsia" w:ascii="宋体" w:hAnsi="宋体" w:eastAsia="宋体" w:cs="宋体"/>
                <w:color w:val="auto"/>
                <w:sz w:val="24"/>
                <w:szCs w:val="24"/>
                <w:highlight w:val="none"/>
              </w:rPr>
              <w:t>发布网址同磋商公告发布网址。</w:t>
            </w:r>
          </w:p>
        </w:tc>
      </w:tr>
      <w:tr w14:paraId="1991BB0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14:paraId="2E9DEBA9">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9</w:t>
            </w:r>
          </w:p>
        </w:tc>
        <w:tc>
          <w:tcPr>
            <w:tcW w:w="1386" w:type="dxa"/>
            <w:vAlign w:val="center"/>
          </w:tcPr>
          <w:p w14:paraId="515D1ACD">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响应文件</w:t>
            </w:r>
          </w:p>
          <w:p w14:paraId="53CC7D16">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提交方式</w:t>
            </w:r>
          </w:p>
        </w:tc>
        <w:tc>
          <w:tcPr>
            <w:tcW w:w="7320" w:type="dxa"/>
            <w:gridSpan w:val="3"/>
            <w:vAlign w:val="center"/>
          </w:tcPr>
          <w:p w14:paraId="4BD65FA1">
            <w:pPr>
              <w:pStyle w:val="82"/>
              <w:widowControl w:val="0"/>
              <w:spacing w:line="400" w:lineRule="exact"/>
              <w:ind w:left="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接收人：</w:t>
            </w:r>
            <w:r>
              <w:rPr>
                <w:rFonts w:hint="eastAsia" w:ascii="宋体" w:hAnsi="宋体" w:cs="宋体"/>
                <w:color w:val="auto"/>
                <w:szCs w:val="24"/>
                <w:highlight w:val="none"/>
                <w:lang w:eastAsia="zh-CN"/>
              </w:rPr>
              <w:t>浙江飞秀工程咨询有限公司</w:t>
            </w:r>
          </w:p>
          <w:p w14:paraId="1B9ECF36">
            <w:pPr>
              <w:spacing w:line="400" w:lineRule="exact"/>
              <w:ind w:left="118" w:hanging="118" w:hangingChars="49"/>
              <w:rPr>
                <w:rFonts w:hint="eastAsia" w:ascii="宋体" w:hAnsi="宋体" w:eastAsia="宋体" w:cs="宋体"/>
                <w:b w:val="0"/>
                <w:bCs/>
                <w:color w:val="auto"/>
                <w:w w:val="100"/>
                <w:sz w:val="24"/>
                <w:szCs w:val="24"/>
                <w:highlight w:val="none"/>
              </w:rPr>
            </w:pPr>
            <w:r>
              <w:rPr>
                <w:rFonts w:hint="eastAsia" w:ascii="宋体" w:hAnsi="宋体" w:eastAsia="宋体" w:cs="宋体"/>
                <w:b/>
                <w:color w:val="auto"/>
                <w:sz w:val="24"/>
                <w:szCs w:val="24"/>
                <w:highlight w:val="none"/>
              </w:rPr>
              <w:t>提交响应文件截止时间</w:t>
            </w:r>
            <w:r>
              <w:rPr>
                <w:rFonts w:hint="eastAsia" w:ascii="宋体" w:hAnsi="宋体" w:eastAsia="宋体" w:cs="宋体"/>
                <w:color w:val="auto"/>
                <w:sz w:val="24"/>
                <w:szCs w:val="24"/>
                <w:highlight w:val="none"/>
              </w:rPr>
              <w:t>：</w:t>
            </w:r>
            <w:r>
              <w:rPr>
                <w:rFonts w:hint="eastAsia" w:ascii="宋体" w:hAnsi="宋体" w:eastAsia="宋体" w:cs="宋体"/>
                <w:b w:val="0"/>
                <w:bCs/>
                <w:color w:val="auto"/>
                <w:w w:val="100"/>
                <w:sz w:val="24"/>
                <w:szCs w:val="24"/>
                <w:highlight w:val="none"/>
                <w:u w:val="single"/>
                <w:lang w:eastAsia="zh-CN"/>
              </w:rPr>
              <w:t>2025年</w:t>
            </w:r>
            <w:r>
              <w:rPr>
                <w:rFonts w:hint="eastAsia" w:ascii="宋体" w:hAnsi="宋体" w:eastAsia="宋体" w:cs="宋体"/>
                <w:b w:val="0"/>
                <w:bCs/>
                <w:color w:val="auto"/>
                <w:w w:val="100"/>
                <w:sz w:val="24"/>
                <w:szCs w:val="24"/>
                <w:highlight w:val="none"/>
                <w:u w:val="single"/>
                <w:lang w:val="en-US" w:eastAsia="zh-CN"/>
              </w:rPr>
              <w:t>7月14日</w:t>
            </w:r>
            <w:r>
              <w:rPr>
                <w:rFonts w:hint="eastAsia" w:ascii="宋体" w:hAnsi="宋体" w:eastAsia="宋体" w:cs="宋体"/>
                <w:b w:val="0"/>
                <w:bCs/>
                <w:color w:val="auto"/>
                <w:w w:val="100"/>
                <w:sz w:val="24"/>
                <w:szCs w:val="24"/>
                <w:highlight w:val="none"/>
                <w:u w:val="single"/>
              </w:rPr>
              <w:t>09时00分</w:t>
            </w:r>
          </w:p>
          <w:p w14:paraId="45E9B6F3">
            <w:pPr>
              <w:tabs>
                <w:tab w:val="left" w:pos="0"/>
                <w:tab w:val="left" w:pos="1134"/>
              </w:tabs>
              <w:adjustRightInd w:val="0"/>
              <w:snapToGrid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提交响应文件地点：</w:t>
            </w:r>
          </w:p>
          <w:p w14:paraId="5E08F7A8">
            <w:pPr>
              <w:pStyle w:val="23"/>
              <w:widowControl w:val="0"/>
              <w:adjustRightInd w:val="0"/>
              <w:snapToGrid w:val="0"/>
              <w:spacing w:line="400" w:lineRule="exact"/>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（1）电子响应文件：磋商截止时间前在政采云平台完成电子响应文件的传输提交；</w:t>
            </w:r>
          </w:p>
          <w:p w14:paraId="2FD7EB9F">
            <w:pPr>
              <w:pStyle w:val="23"/>
              <w:widowControl w:val="0"/>
              <w:adjustRightInd w:val="0"/>
              <w:snapToGrid w:val="0"/>
              <w:spacing w:line="400" w:lineRule="exact"/>
              <w:ind w:lef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w:t>
            </w:r>
            <w:r>
              <w:rPr>
                <w:rFonts w:hint="eastAsia" w:hAnsi="宋体" w:cs="宋体"/>
                <w:color w:val="auto"/>
                <w:sz w:val="24"/>
                <w:szCs w:val="24"/>
                <w:highlight w:val="none"/>
                <w:lang w:val="en-US" w:eastAsia="zh-CN"/>
              </w:rPr>
              <w:t>652710846</w:t>
            </w:r>
            <w:r>
              <w:rPr>
                <w:rFonts w:hint="eastAsia" w:ascii="宋体" w:hAnsi="宋体" w:eastAsia="宋体" w:cs="宋体"/>
                <w:color w:val="auto"/>
                <w:sz w:val="24"/>
                <w:szCs w:val="24"/>
                <w:highlight w:val="none"/>
              </w:rPr>
              <w:t>@qq.com），传送的备份响应文件须打包压缩并加密，密码由供应商自行保管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压缩包命名为“备份响应文件”，并在邮件中注明供应商名称及项目名称。</w:t>
            </w:r>
          </w:p>
        </w:tc>
      </w:tr>
      <w:tr w14:paraId="4BDADB5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648" w:type="dxa"/>
            <w:vAlign w:val="center"/>
          </w:tcPr>
          <w:p w14:paraId="70FD157E">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10</w:t>
            </w:r>
          </w:p>
        </w:tc>
        <w:tc>
          <w:tcPr>
            <w:tcW w:w="1386" w:type="dxa"/>
            <w:vAlign w:val="center"/>
          </w:tcPr>
          <w:p w14:paraId="44ADD0A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磋商时间</w:t>
            </w:r>
          </w:p>
          <w:p w14:paraId="1D118FC5">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及地点</w:t>
            </w:r>
          </w:p>
        </w:tc>
        <w:tc>
          <w:tcPr>
            <w:tcW w:w="7320" w:type="dxa"/>
            <w:gridSpan w:val="3"/>
            <w:vAlign w:val="center"/>
          </w:tcPr>
          <w:p w14:paraId="53F0C37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color w:val="auto"/>
                <w:sz w:val="24"/>
                <w:highlight w:val="none"/>
                <w:u w:val="single"/>
                <w:lang w:eastAsia="zh-CN"/>
              </w:rPr>
              <w:t>2025年</w:t>
            </w:r>
            <w:r>
              <w:rPr>
                <w:rFonts w:hint="eastAsia" w:ascii="宋体" w:hAnsi="宋体" w:eastAsia="宋体" w:cs="宋体"/>
                <w:b/>
                <w:color w:val="auto"/>
                <w:sz w:val="24"/>
                <w:highlight w:val="none"/>
                <w:u w:val="single"/>
                <w:lang w:val="en-US" w:eastAsia="zh-CN"/>
              </w:rPr>
              <w:t>7月14日</w:t>
            </w:r>
            <w:r>
              <w:rPr>
                <w:rFonts w:hint="eastAsia" w:ascii="宋体" w:hAnsi="宋体" w:eastAsia="宋体" w:cs="宋体"/>
                <w:b/>
                <w:color w:val="auto"/>
                <w:sz w:val="24"/>
                <w:highlight w:val="none"/>
                <w:u w:val="single"/>
              </w:rPr>
              <w:t>09时00分开始</w:t>
            </w:r>
          </w:p>
          <w:p w14:paraId="3C609C13">
            <w:pPr>
              <w:snapToGrid w:val="0"/>
              <w:spacing w:line="48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地点：庆元县公共资源交易中心</w:t>
            </w:r>
            <w:r>
              <w:rPr>
                <w:rFonts w:hint="eastAsia" w:ascii="宋体" w:hAnsi="宋体" w:eastAsia="宋体" w:cs="宋体"/>
                <w:color w:val="auto"/>
                <w:kern w:val="0"/>
                <w:sz w:val="24"/>
                <w:szCs w:val="24"/>
                <w:highlight w:val="none"/>
                <w:lang w:eastAsia="zh-CN"/>
              </w:rPr>
              <w:t>四楼。</w:t>
            </w:r>
          </w:p>
          <w:p w14:paraId="65823D73">
            <w:pPr>
              <w:pStyle w:val="49"/>
              <w:rPr>
                <w:rFonts w:hint="eastAsia" w:ascii="宋体" w:hAnsi="宋体" w:eastAsia="宋体" w:cs="宋体"/>
                <w:color w:val="auto"/>
                <w:szCs w:val="24"/>
                <w:highlight w:val="none"/>
              </w:rPr>
            </w:pPr>
          </w:p>
        </w:tc>
      </w:tr>
      <w:tr w14:paraId="32F08DE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36" w:hRule="exact"/>
          <w:jc w:val="center"/>
        </w:trPr>
        <w:tc>
          <w:tcPr>
            <w:tcW w:w="648" w:type="dxa"/>
            <w:vAlign w:val="center"/>
          </w:tcPr>
          <w:p w14:paraId="54A7D9AC">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11</w:t>
            </w:r>
          </w:p>
        </w:tc>
        <w:tc>
          <w:tcPr>
            <w:tcW w:w="1386" w:type="dxa"/>
            <w:vAlign w:val="center"/>
          </w:tcPr>
          <w:p w14:paraId="559088A5">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成交结果公告及成交通知书</w:t>
            </w:r>
          </w:p>
        </w:tc>
        <w:tc>
          <w:tcPr>
            <w:tcW w:w="7320" w:type="dxa"/>
            <w:gridSpan w:val="3"/>
            <w:vAlign w:val="center"/>
          </w:tcPr>
          <w:p w14:paraId="735982C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评审报告经采购人确认后2个工作日内，成交公告在浙江政府采购网（</w:t>
            </w:r>
            <w:r>
              <w:rPr>
                <w:rStyle w:val="45"/>
                <w:rFonts w:hint="eastAsia" w:ascii="宋体" w:hAnsi="宋体" w:eastAsia="宋体" w:cs="宋体"/>
                <w:color w:val="auto"/>
                <w:sz w:val="24"/>
                <w:szCs w:val="24"/>
                <w:highlight w:val="none"/>
              </w:rPr>
              <w:t>http://zfcg.czt.zj.gov.cn</w:t>
            </w:r>
            <w:r>
              <w:rPr>
                <w:rStyle w:val="45"/>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、丽水市公共资源交易网（庆元）（http://lssggzy.lishui.gov.cn/qyweb</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等媒体上发布，并同时发出成交通知书。</w:t>
            </w:r>
          </w:p>
        </w:tc>
      </w:tr>
      <w:tr w14:paraId="2DAE7C8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648" w:type="dxa"/>
            <w:vAlign w:val="center"/>
          </w:tcPr>
          <w:p w14:paraId="25C4414E">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12</w:t>
            </w:r>
          </w:p>
        </w:tc>
        <w:tc>
          <w:tcPr>
            <w:tcW w:w="1386" w:type="dxa"/>
            <w:vAlign w:val="center"/>
          </w:tcPr>
          <w:p w14:paraId="1EC99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评审办法和细则</w:t>
            </w:r>
          </w:p>
        </w:tc>
        <w:tc>
          <w:tcPr>
            <w:tcW w:w="7320" w:type="dxa"/>
            <w:gridSpan w:val="3"/>
            <w:vAlign w:val="center"/>
          </w:tcPr>
          <w:p w14:paraId="5D58DBD3">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详见本磋商文件第六章</w:t>
            </w:r>
          </w:p>
        </w:tc>
      </w:tr>
      <w:tr w14:paraId="36B28A1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648" w:type="dxa"/>
            <w:vAlign w:val="center"/>
          </w:tcPr>
          <w:p w14:paraId="37D985BB">
            <w:pPr>
              <w:spacing w:line="440" w:lineRule="exact"/>
              <w:jc w:val="center"/>
              <w:rPr>
                <w:rFonts w:hint="default"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13</w:t>
            </w:r>
          </w:p>
        </w:tc>
        <w:tc>
          <w:tcPr>
            <w:tcW w:w="1386" w:type="dxa"/>
            <w:vAlign w:val="center"/>
          </w:tcPr>
          <w:p w14:paraId="082BF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履约保证金</w:t>
            </w:r>
          </w:p>
        </w:tc>
        <w:tc>
          <w:tcPr>
            <w:tcW w:w="7320" w:type="dxa"/>
            <w:gridSpan w:val="3"/>
            <w:vAlign w:val="center"/>
          </w:tcPr>
          <w:p w14:paraId="31BC9A6F">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无</w:t>
            </w:r>
          </w:p>
        </w:tc>
      </w:tr>
      <w:tr w14:paraId="4961207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648" w:type="dxa"/>
            <w:vAlign w:val="center"/>
          </w:tcPr>
          <w:p w14:paraId="18B0FA34">
            <w:pPr>
              <w:spacing w:line="440" w:lineRule="exact"/>
              <w:jc w:val="center"/>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eastAsia="宋体" w:cs="宋体"/>
                <w:bCs/>
                <w:snapToGrid w:val="0"/>
                <w:color w:val="auto"/>
                <w:sz w:val="24"/>
                <w:szCs w:val="24"/>
                <w:highlight w:val="none"/>
              </w:rPr>
              <w:t>14</w:t>
            </w:r>
          </w:p>
        </w:tc>
        <w:tc>
          <w:tcPr>
            <w:tcW w:w="1386" w:type="dxa"/>
            <w:vAlign w:val="center"/>
          </w:tcPr>
          <w:p w14:paraId="15EE6F73">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签订合同</w:t>
            </w:r>
          </w:p>
        </w:tc>
        <w:tc>
          <w:tcPr>
            <w:tcW w:w="7320" w:type="dxa"/>
            <w:gridSpan w:val="3"/>
            <w:vAlign w:val="center"/>
          </w:tcPr>
          <w:p w14:paraId="48E9637B">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成交通知书发出之日起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日内，按照磋商文件确定的事项签订政府采购合同</w:t>
            </w:r>
          </w:p>
        </w:tc>
      </w:tr>
      <w:tr w14:paraId="4898DF3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14:paraId="00AEBD4B">
            <w:pPr>
              <w:spacing w:line="440" w:lineRule="exact"/>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sz w:val="24"/>
                <w:szCs w:val="24"/>
                <w:highlight w:val="none"/>
              </w:rPr>
              <w:t>1</w:t>
            </w:r>
            <w:r>
              <w:rPr>
                <w:rFonts w:hint="eastAsia" w:ascii="宋体" w:hAnsi="宋体" w:eastAsia="宋体" w:cs="宋体"/>
                <w:b/>
                <w:bCs/>
                <w:snapToGrid w:val="0"/>
                <w:color w:val="auto"/>
                <w:sz w:val="24"/>
                <w:szCs w:val="24"/>
                <w:highlight w:val="none"/>
                <w:lang w:val="en-US" w:eastAsia="zh-CN"/>
              </w:rPr>
              <w:t>5</w:t>
            </w:r>
          </w:p>
        </w:tc>
        <w:tc>
          <w:tcPr>
            <w:tcW w:w="1386" w:type="dxa"/>
            <w:vAlign w:val="center"/>
          </w:tcPr>
          <w:p w14:paraId="28CF3007">
            <w:pPr>
              <w:spacing w:line="440" w:lineRule="exact"/>
              <w:jc w:val="center"/>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发布媒体</w:t>
            </w:r>
          </w:p>
        </w:tc>
        <w:tc>
          <w:tcPr>
            <w:tcW w:w="7320" w:type="dxa"/>
            <w:gridSpan w:val="3"/>
            <w:vAlign w:val="center"/>
          </w:tcPr>
          <w:p w14:paraId="15257446">
            <w:pPr>
              <w:spacing w:line="440" w:lineRule="exact"/>
              <w:rPr>
                <w:rFonts w:hint="eastAsia" w:ascii="宋体" w:hAnsi="宋体" w:eastAsia="宋体" w:cs="宋体"/>
                <w:bCs/>
                <w:color w:val="auto"/>
                <w:sz w:val="22"/>
                <w:highlight w:val="none"/>
              </w:rPr>
            </w:pPr>
            <w:r>
              <w:rPr>
                <w:rFonts w:hint="eastAsia" w:ascii="宋体" w:hAnsi="宋体" w:eastAsia="宋体" w:cs="宋体"/>
                <w:bCs/>
                <w:color w:val="auto"/>
                <w:sz w:val="24"/>
                <w:szCs w:val="24"/>
                <w:highlight w:val="none"/>
              </w:rPr>
              <w:t>浙</w:t>
            </w:r>
            <w:r>
              <w:rPr>
                <w:rFonts w:hint="eastAsia" w:ascii="宋体" w:hAnsi="宋体" w:eastAsia="宋体" w:cs="宋体"/>
                <w:bCs/>
                <w:color w:val="auto"/>
                <w:sz w:val="22"/>
                <w:highlight w:val="none"/>
              </w:rPr>
              <w:t>江政府采购网（</w:t>
            </w:r>
            <w:r>
              <w:rPr>
                <w:rStyle w:val="45"/>
                <w:rFonts w:hint="eastAsia" w:ascii="宋体" w:hAnsi="宋体" w:eastAsia="宋体" w:cs="宋体"/>
                <w:color w:val="auto"/>
                <w:sz w:val="24"/>
                <w:szCs w:val="24"/>
                <w:highlight w:val="none"/>
              </w:rPr>
              <w:t>http://zfcg.czt.zj.gov.cn</w:t>
            </w:r>
            <w:r>
              <w:rPr>
                <w:rFonts w:hint="eastAsia" w:ascii="宋体" w:hAnsi="宋体" w:eastAsia="宋体" w:cs="宋体"/>
                <w:bCs/>
                <w:color w:val="auto"/>
                <w:sz w:val="22"/>
                <w:highlight w:val="none"/>
              </w:rPr>
              <w:t>）</w:t>
            </w:r>
          </w:p>
          <w:p w14:paraId="720938B4">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2"/>
                <w:highlight w:val="none"/>
              </w:rPr>
              <w:t>丽水市公共资源交易网（庆元）（http://lssggzy.lishui.gov.cn/qyweb</w:t>
            </w:r>
            <w:r>
              <w:rPr>
                <w:rFonts w:hint="eastAsia" w:ascii="宋体" w:hAnsi="宋体" w:eastAsia="宋体" w:cs="宋体"/>
                <w:bCs/>
                <w:color w:val="auto"/>
                <w:kern w:val="0"/>
                <w:sz w:val="22"/>
                <w:highlight w:val="none"/>
                <w:lang w:eastAsia="zh-CN"/>
              </w:rPr>
              <w:t>）</w:t>
            </w:r>
          </w:p>
        </w:tc>
      </w:tr>
      <w:tr w14:paraId="7D53CF8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938" w:hRule="exact"/>
          <w:jc w:val="center"/>
        </w:trPr>
        <w:tc>
          <w:tcPr>
            <w:tcW w:w="648" w:type="dxa"/>
            <w:vAlign w:val="center"/>
          </w:tcPr>
          <w:p w14:paraId="2DCEA0C5">
            <w:pPr>
              <w:spacing w:line="440" w:lineRule="exact"/>
              <w:jc w:val="center"/>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16</w:t>
            </w:r>
          </w:p>
        </w:tc>
        <w:tc>
          <w:tcPr>
            <w:tcW w:w="1386" w:type="dxa"/>
            <w:vAlign w:val="center"/>
          </w:tcPr>
          <w:p w14:paraId="49802AAC">
            <w:pPr>
              <w:spacing w:line="440" w:lineRule="exact"/>
              <w:jc w:val="center"/>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eastAsia="zh-CN"/>
              </w:rPr>
              <w:t>政采云平台响应</w:t>
            </w:r>
          </w:p>
        </w:tc>
        <w:tc>
          <w:tcPr>
            <w:tcW w:w="7320" w:type="dxa"/>
            <w:gridSpan w:val="3"/>
            <w:vAlign w:val="center"/>
          </w:tcPr>
          <w:p w14:paraId="7A77AC35">
            <w:pPr>
              <w:widowControl w:val="0"/>
              <w:spacing w:line="440" w:lineRule="exact"/>
              <w:jc w:val="both"/>
              <w:rPr>
                <w:rFonts w:hint="eastAsia"/>
                <w:lang w:eastAsia="zh-CN"/>
              </w:rPr>
            </w:pPr>
            <w:r>
              <w:rPr>
                <w:rFonts w:ascii="宋体" w:hAnsi="宋体" w:eastAsia="宋体" w:cs="宋体"/>
                <w:bCs/>
                <w:color w:val="auto"/>
                <w:kern w:val="2"/>
                <w:sz w:val="24"/>
                <w:szCs w:val="24"/>
                <w:lang w:bidi="ar-SA"/>
              </w:rPr>
              <w:t>供应商应适时对开标过程及评标过程中出现的签字、询价、报价等环节作出响应。若发生意外情况（包括但不限于电脑损坏、停电、系统卡顿等），供应商应立即采取措施解决问题，并在规定时间内作出回应。若超过规定时间或未按专家（采购代理机构）现场要求的回复时间作出回应，将依据磋商文件中的规定条款进行处理，或现场告知</w:t>
            </w:r>
            <w:r>
              <w:rPr>
                <w:rFonts w:hint="eastAsia" w:ascii="宋体" w:hAnsi="宋体" w:eastAsia="宋体" w:cs="宋体"/>
                <w:bCs/>
                <w:color w:val="auto"/>
                <w:kern w:val="2"/>
                <w:sz w:val="24"/>
                <w:szCs w:val="24"/>
                <w:lang w:eastAsia="zh-CN" w:bidi="ar-SA"/>
              </w:rPr>
              <w:t>未</w:t>
            </w:r>
            <w:r>
              <w:rPr>
                <w:rFonts w:ascii="宋体" w:hAnsi="宋体" w:eastAsia="宋体" w:cs="宋体"/>
                <w:bCs/>
                <w:color w:val="auto"/>
                <w:kern w:val="2"/>
                <w:sz w:val="24"/>
                <w:szCs w:val="24"/>
                <w:lang w:bidi="ar-SA"/>
              </w:rPr>
              <w:t>回复的</w:t>
            </w:r>
            <w:r>
              <w:rPr>
                <w:rFonts w:hint="eastAsia" w:ascii="宋体" w:hAnsi="宋体" w:eastAsia="宋体" w:cs="宋体"/>
                <w:bCs/>
                <w:color w:val="auto"/>
                <w:kern w:val="2"/>
                <w:sz w:val="24"/>
                <w:szCs w:val="24"/>
                <w:lang w:eastAsia="zh-CN" w:bidi="ar-SA"/>
              </w:rPr>
              <w:t>状况下的结果</w:t>
            </w:r>
            <w:r>
              <w:rPr>
                <w:rFonts w:ascii="宋体" w:hAnsi="宋体" w:eastAsia="宋体" w:cs="宋体"/>
                <w:bCs/>
                <w:color w:val="auto"/>
                <w:kern w:val="2"/>
                <w:sz w:val="24"/>
                <w:szCs w:val="24"/>
                <w:lang w:bidi="ar-SA"/>
              </w:rPr>
              <w:t>处理办法。</w:t>
            </w:r>
          </w:p>
        </w:tc>
      </w:tr>
      <w:tr w14:paraId="776DE14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648" w:type="dxa"/>
            <w:vAlign w:val="center"/>
          </w:tcPr>
          <w:p w14:paraId="74F6921B">
            <w:pPr>
              <w:spacing w:line="440" w:lineRule="exact"/>
              <w:jc w:val="center"/>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17</w:t>
            </w:r>
          </w:p>
        </w:tc>
        <w:tc>
          <w:tcPr>
            <w:tcW w:w="1386" w:type="dxa"/>
            <w:vAlign w:val="center"/>
          </w:tcPr>
          <w:p w14:paraId="1814CBF5">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供应商解</w:t>
            </w:r>
          </w:p>
          <w:p w14:paraId="283288D9">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密硬件准备</w:t>
            </w:r>
          </w:p>
        </w:tc>
        <w:tc>
          <w:tcPr>
            <w:tcW w:w="7320" w:type="dxa"/>
            <w:gridSpan w:val="3"/>
            <w:vAlign w:val="center"/>
          </w:tcPr>
          <w:p w14:paraId="49236E72">
            <w:pPr>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1.电脑、网络（供电子响应文件解密和澄清答疑使用）；</w:t>
            </w:r>
          </w:p>
          <w:p w14:paraId="482BE09E">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2.电子响应文件解密CA锁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即原编制电子响应文件加密的CA锁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r>
      <w:bookmarkEnd w:id="50"/>
      <w:bookmarkEnd w:id="51"/>
    </w:tbl>
    <w:p w14:paraId="4123F9F2">
      <w:pPr>
        <w:pStyle w:val="19"/>
        <w:ind w:left="0" w:leftChars="0" w:right="1470"/>
        <w:rPr>
          <w:rFonts w:hint="eastAsia" w:ascii="宋体" w:hAnsi="宋体" w:eastAsia="宋体" w:cs="宋体"/>
          <w:color w:val="auto"/>
          <w:sz w:val="24"/>
          <w:highlight w:val="none"/>
        </w:rPr>
      </w:pPr>
      <w:bookmarkStart w:id="52" w:name="_Toc390938575"/>
    </w:p>
    <w:p w14:paraId="7EAD3365">
      <w:pPr>
        <w:rPr>
          <w:rFonts w:hint="eastAsia" w:ascii="宋体" w:hAnsi="宋体" w:eastAsia="宋体" w:cs="宋体"/>
          <w:b/>
          <w:bCs/>
          <w:color w:val="auto"/>
          <w:sz w:val="28"/>
          <w:szCs w:val="28"/>
          <w:highlight w:val="none"/>
        </w:rPr>
      </w:pPr>
      <w:bookmarkStart w:id="53" w:name="_Toc31159"/>
      <w:bookmarkStart w:id="54" w:name="_Toc29281"/>
      <w:r>
        <w:rPr>
          <w:rFonts w:hint="eastAsia" w:ascii="宋体" w:hAnsi="宋体" w:eastAsia="宋体" w:cs="宋体"/>
          <w:b/>
          <w:bCs/>
          <w:color w:val="auto"/>
          <w:sz w:val="28"/>
          <w:szCs w:val="28"/>
          <w:highlight w:val="none"/>
        </w:rPr>
        <w:br w:type="page"/>
      </w:r>
    </w:p>
    <w:p w14:paraId="3CC0F049">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bookmarkEnd w:id="52"/>
      <w:r>
        <w:rPr>
          <w:rFonts w:hint="eastAsia" w:ascii="宋体" w:hAnsi="宋体" w:eastAsia="宋体" w:cs="宋体"/>
          <w:b/>
          <w:bCs/>
          <w:color w:val="auto"/>
          <w:sz w:val="28"/>
          <w:szCs w:val="28"/>
          <w:highlight w:val="none"/>
        </w:rPr>
        <w:t xml:space="preserve">  总则</w:t>
      </w:r>
      <w:bookmarkEnd w:id="53"/>
      <w:bookmarkEnd w:id="54"/>
    </w:p>
    <w:p w14:paraId="32A4744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26BE92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磋商文件适用于本次所述项目的采购行为（</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另有规定的，从其规定）。</w:t>
      </w:r>
    </w:p>
    <w:p w14:paraId="6F0FF3B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 定义</w:t>
      </w:r>
    </w:p>
    <w:p w14:paraId="0E0A26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2.1 “采购人”系指 </w:t>
      </w:r>
      <w:r>
        <w:rPr>
          <w:rFonts w:hint="eastAsia" w:ascii="宋体" w:hAnsi="宋体" w:eastAsia="宋体" w:cs="宋体"/>
          <w:bCs/>
          <w:color w:val="auto"/>
          <w:sz w:val="24"/>
          <w:szCs w:val="24"/>
          <w:highlight w:val="none"/>
          <w:lang w:eastAsia="zh-CN"/>
        </w:rPr>
        <w:t>庆元县自然资源和规划局</w:t>
      </w:r>
      <w:r>
        <w:rPr>
          <w:rFonts w:hint="eastAsia" w:ascii="宋体" w:hAnsi="宋体" w:eastAsia="宋体" w:cs="宋体"/>
          <w:bCs/>
          <w:color w:val="auto"/>
          <w:sz w:val="24"/>
          <w:szCs w:val="24"/>
          <w:highlight w:val="none"/>
        </w:rPr>
        <w:t>。</w:t>
      </w:r>
    </w:p>
    <w:p w14:paraId="038301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“采购代理机构”系指</w:t>
      </w:r>
      <w:r>
        <w:rPr>
          <w:rFonts w:hint="eastAsia" w:ascii="宋体" w:hAnsi="宋体" w:eastAsia="宋体" w:cs="宋体"/>
          <w:bCs/>
          <w:color w:val="auto"/>
          <w:sz w:val="24"/>
          <w:szCs w:val="24"/>
          <w:highlight w:val="none"/>
          <w:lang w:eastAsia="zh-CN"/>
        </w:rPr>
        <w:t>浙江飞秀工程咨询有限公司</w:t>
      </w:r>
      <w:r>
        <w:rPr>
          <w:rFonts w:hint="eastAsia" w:ascii="宋体" w:hAnsi="宋体" w:eastAsia="宋体" w:cs="宋体"/>
          <w:bCs/>
          <w:color w:val="auto"/>
          <w:sz w:val="24"/>
          <w:szCs w:val="24"/>
          <w:highlight w:val="none"/>
        </w:rPr>
        <w:t>。</w:t>
      </w:r>
    </w:p>
    <w:p w14:paraId="2C8E4F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2.3 “供应商”系指符合本项目资格要求，依法获取竞争</w:t>
      </w:r>
      <w:r>
        <w:rPr>
          <w:rFonts w:hint="eastAsia" w:ascii="宋体" w:hAnsi="宋体" w:eastAsia="宋体" w:cs="宋体"/>
          <w:color w:val="auto"/>
          <w:sz w:val="24"/>
          <w:szCs w:val="24"/>
          <w:highlight w:val="none"/>
        </w:rPr>
        <w:t>性磋商文件并参与项目磋商的供应商。</w:t>
      </w:r>
    </w:p>
    <w:p w14:paraId="7B4B2A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“负责人”系指法人企业的法定代表人，或其他组织为法律、行政法规规定代表单位行使职权的主要负责人。</w:t>
      </w:r>
    </w:p>
    <w:p w14:paraId="59E699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“供应商代表”系指响应文件中的负责人或其授权的委托代理人。</w:t>
      </w:r>
    </w:p>
    <w:p w14:paraId="27FF70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“合同”系指采购人与成交人双方签署的规定双方权利与义务的协议，以及所有附件、附录、磋商文件和响应文件所提到的构成合同的所有文件。</w:t>
      </w:r>
    </w:p>
    <w:p w14:paraId="72384E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“产品”系指供应商按磋商文件规定，须向采购人提供的一切产品（包括：虚拟产品），以及产品相关的保险、税金、备品备件、附件、耗材、工具、手册</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技术资料和材料等。</w:t>
      </w:r>
    </w:p>
    <w:p w14:paraId="45356C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“服务”系指供应商按磋商文件规定应承担的送货上门、安装、调试、技术协助、校准、培训、技术指导以及其他类似的附随义务。</w:t>
      </w:r>
    </w:p>
    <w:p w14:paraId="29A4B63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本文件所指的公章均指供应商的CA电子章。</w:t>
      </w:r>
    </w:p>
    <w:p w14:paraId="038F72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 xml:space="preserve"> 系指实质性要求条款。</w:t>
      </w:r>
    </w:p>
    <w:p w14:paraId="4042F5D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3.供应商基本要求</w:t>
      </w:r>
    </w:p>
    <w:p w14:paraId="4BBBE9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符合本文件第一章 采购公告第“二”条的规定；</w:t>
      </w:r>
    </w:p>
    <w:p w14:paraId="7428C2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供应商应遵守有关的法律法规和规章条例。</w:t>
      </w:r>
    </w:p>
    <w:p w14:paraId="1AE4B6F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4.联合体说明</w:t>
      </w:r>
    </w:p>
    <w:p w14:paraId="58F39D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4.1本项目不接受联合体参加磋商。</w:t>
      </w:r>
    </w:p>
    <w:p w14:paraId="6E1C727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5.特别说明</w:t>
      </w:r>
    </w:p>
    <w:p w14:paraId="07F8340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单位</w:t>
      </w:r>
      <w:r>
        <w:rPr>
          <w:rFonts w:hint="eastAsia" w:ascii="宋体" w:hAnsi="宋体" w:eastAsia="宋体" w:cs="宋体"/>
          <w:color w:val="auto"/>
          <w:kern w:val="0"/>
          <w:sz w:val="24"/>
          <w:szCs w:val="24"/>
          <w:highlight w:val="none"/>
        </w:rPr>
        <w:t>负责人为同一人或者存在直接控股、管理关系的不同供应商，不得参加同一合同项下的政府采购活动。</w:t>
      </w:r>
    </w:p>
    <w:p w14:paraId="34D633F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5.2 为采购项目提供整体设计、规范编制或者项目管理、监理、检测等服务的供应商，不得再参加该采购项目的其他采购活动。</w:t>
      </w:r>
    </w:p>
    <w:p w14:paraId="0BADDB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▲5.3本项目不允许转包、分包。</w:t>
      </w:r>
    </w:p>
    <w:p w14:paraId="265235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5.4 供应商自行承担所有与磋商有关的全部费用。</w:t>
      </w:r>
    </w:p>
    <w:p w14:paraId="776105D7">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1"/>
        <w:rPr>
          <w:rFonts w:hint="eastAsia" w:ascii="宋体" w:hAnsi="宋体" w:eastAsia="宋体" w:cs="宋体"/>
          <w:b/>
          <w:bCs/>
          <w:color w:val="auto"/>
          <w:sz w:val="28"/>
          <w:szCs w:val="28"/>
          <w:highlight w:val="none"/>
        </w:rPr>
      </w:pPr>
      <w:bookmarkStart w:id="55" w:name="_Toc26184"/>
      <w:bookmarkStart w:id="56" w:name="_Toc495479093"/>
      <w:bookmarkStart w:id="57" w:name="_Toc390938576"/>
      <w:bookmarkStart w:id="58" w:name="_Toc27258"/>
      <w:r>
        <w:rPr>
          <w:rFonts w:hint="eastAsia" w:ascii="宋体" w:hAnsi="宋体" w:eastAsia="宋体" w:cs="宋体"/>
          <w:b/>
          <w:bCs/>
          <w:color w:val="auto"/>
          <w:sz w:val="28"/>
          <w:szCs w:val="28"/>
          <w:highlight w:val="none"/>
        </w:rPr>
        <w:t>二  磋商文件说明</w:t>
      </w:r>
      <w:bookmarkEnd w:id="55"/>
      <w:bookmarkEnd w:id="56"/>
      <w:bookmarkEnd w:id="57"/>
      <w:bookmarkEnd w:id="58"/>
    </w:p>
    <w:p w14:paraId="09849C0C">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磋商文件的构成</w:t>
      </w:r>
    </w:p>
    <w:p w14:paraId="0AFC2E9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6.1磋商文件用以阐明所需货物及服务、磋商、磋商程序和合同条款等。本磋商文件由下述部分组成：</w:t>
      </w:r>
    </w:p>
    <w:p w14:paraId="16FCD5E6">
      <w:pPr>
        <w:keepNext w:val="0"/>
        <w:keepLines w:val="0"/>
        <w:pageBreakBefore w:val="0"/>
        <w:widowControl w:val="0"/>
        <w:tabs>
          <w:tab w:val="left" w:pos="6585"/>
        </w:tabs>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6.1.1竞争性磋商公告</w:t>
      </w:r>
    </w:p>
    <w:p w14:paraId="28F9EF7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6.1.2供应商须知</w:t>
      </w:r>
    </w:p>
    <w:p w14:paraId="1881A6D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6.1.3采购需求</w:t>
      </w:r>
    </w:p>
    <w:p w14:paraId="60473C3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6.1.4政府采购合同</w:t>
      </w:r>
    </w:p>
    <w:p w14:paraId="3E04B642">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6.1.5磋商相关文件格式</w:t>
      </w:r>
    </w:p>
    <w:p w14:paraId="462DBE53">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6.1.6磋商办法和细则</w:t>
      </w:r>
    </w:p>
    <w:p w14:paraId="206AEBA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6.1.7与本项目有关的磋商文件澄清、答复、更正、补充的内容</w:t>
      </w:r>
    </w:p>
    <w:p w14:paraId="076A13A6">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7.供应商的风险</w:t>
      </w:r>
    </w:p>
    <w:p w14:paraId="66FC4F3E">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263D028A">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磋商文件的澄清和修改</w:t>
      </w:r>
    </w:p>
    <w:p w14:paraId="3A8BE59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8.1磋商文件澄清、答复、修改、补充的内容为磋商文件的组成部分。</w:t>
      </w:r>
    </w:p>
    <w:p w14:paraId="7559E6A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8.2依法获取竞争性磋商文件的</w:t>
      </w:r>
      <w:r>
        <w:rPr>
          <w:rFonts w:hint="eastAsia" w:ascii="宋体" w:hAnsi="宋体" w:eastAsia="宋体" w:cs="宋体"/>
          <w:bCs/>
          <w:color w:val="auto"/>
          <w:sz w:val="24"/>
          <w:szCs w:val="24"/>
          <w:highlight w:val="none"/>
        </w:rPr>
        <w:t>供应商认真阅读</w:t>
      </w:r>
      <w:r>
        <w:rPr>
          <w:rFonts w:hint="eastAsia" w:ascii="宋体" w:hAnsi="宋体" w:eastAsia="宋体" w:cs="宋体"/>
          <w:color w:val="auto"/>
          <w:sz w:val="24"/>
          <w:szCs w:val="24"/>
          <w:highlight w:val="none"/>
        </w:rPr>
        <w:t>磋商</w:t>
      </w:r>
      <w:r>
        <w:rPr>
          <w:rFonts w:hint="eastAsia" w:ascii="宋体" w:hAnsi="宋体" w:eastAsia="宋体" w:cs="宋体"/>
          <w:bCs/>
          <w:color w:val="auto"/>
          <w:sz w:val="24"/>
          <w:szCs w:val="24"/>
          <w:highlight w:val="none"/>
        </w:rPr>
        <w:t>文件，如有疑问应于</w:t>
      </w:r>
      <w:r>
        <w:rPr>
          <w:rFonts w:hint="eastAsia" w:ascii="宋体" w:hAnsi="宋体" w:eastAsia="宋体" w:cs="宋体"/>
          <w:b/>
          <w:snapToGrid w:val="0"/>
          <w:color w:val="auto"/>
          <w:sz w:val="24"/>
          <w:szCs w:val="24"/>
          <w:highlight w:val="none"/>
          <w:u w:val="single"/>
        </w:rPr>
        <w:t>提交响应文件的截止时间5日前</w:t>
      </w:r>
      <w:r>
        <w:rPr>
          <w:rFonts w:hint="eastAsia" w:ascii="宋体" w:hAnsi="宋体" w:eastAsia="宋体" w:cs="宋体"/>
          <w:bCs/>
          <w:color w:val="auto"/>
          <w:sz w:val="24"/>
          <w:szCs w:val="24"/>
          <w:highlight w:val="none"/>
        </w:rPr>
        <w:t>向采购代理机构（可传真）提出澄清申请。采购代理机构对已发出的竞争性磋商文件进行必要澄清或修改，</w:t>
      </w:r>
      <w:r>
        <w:rPr>
          <w:rFonts w:hint="eastAsia" w:ascii="宋体" w:hAnsi="宋体" w:eastAsia="宋体" w:cs="宋体"/>
          <w:color w:val="auto"/>
          <w:sz w:val="24"/>
          <w:szCs w:val="24"/>
          <w:highlight w:val="none"/>
        </w:rPr>
        <w:t>澄清或者修改内容可能</w:t>
      </w:r>
      <w:r>
        <w:rPr>
          <w:rFonts w:hint="eastAsia" w:ascii="宋体" w:hAnsi="宋体" w:eastAsia="宋体" w:cs="宋体"/>
          <w:color w:val="auto"/>
          <w:sz w:val="24"/>
          <w:szCs w:val="24"/>
          <w:highlight w:val="none"/>
          <w:lang w:eastAsia="zh-CN"/>
        </w:rPr>
        <w:t>影响响应</w:t>
      </w:r>
      <w:r>
        <w:rPr>
          <w:rFonts w:hint="eastAsia" w:ascii="宋体" w:hAnsi="宋体" w:eastAsia="宋体" w:cs="宋体"/>
          <w:color w:val="auto"/>
          <w:sz w:val="24"/>
          <w:szCs w:val="24"/>
          <w:highlight w:val="none"/>
        </w:rPr>
        <w:t>文件编制的，</w:t>
      </w:r>
      <w:r>
        <w:rPr>
          <w:rFonts w:hint="eastAsia" w:ascii="宋体" w:hAnsi="宋体" w:eastAsia="宋体" w:cs="宋体"/>
          <w:color w:val="auto"/>
          <w:spacing w:val="-6"/>
          <w:sz w:val="24"/>
          <w:szCs w:val="24"/>
          <w:highlight w:val="none"/>
        </w:rPr>
        <w:t>采购代理机构在磋商截止时间5日前</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在“浙江政府采购网、</w:t>
      </w:r>
      <w:r>
        <w:rPr>
          <w:rFonts w:hint="eastAsia" w:ascii="宋体" w:hAnsi="宋体" w:eastAsia="宋体" w:cs="宋体"/>
          <w:bCs/>
          <w:color w:val="auto"/>
          <w:spacing w:val="-6"/>
          <w:kern w:val="0"/>
          <w:sz w:val="24"/>
          <w:szCs w:val="24"/>
          <w:highlight w:val="none"/>
        </w:rPr>
        <w:t>丽水市公共资源交易网（庆元）（http://lssggzy.lishui.gov.cn/qyweb</w:t>
      </w:r>
      <w:r>
        <w:rPr>
          <w:rFonts w:hint="eastAsia" w:ascii="宋体" w:hAnsi="宋体" w:eastAsia="宋体" w:cs="宋体"/>
          <w:bCs/>
          <w:color w:val="auto"/>
          <w:spacing w:val="-6"/>
          <w:kern w:val="0"/>
          <w:sz w:val="24"/>
          <w:szCs w:val="24"/>
          <w:highlight w:val="none"/>
          <w:lang w:eastAsia="zh-CN"/>
        </w:rPr>
        <w:t>）</w:t>
      </w:r>
      <w:r>
        <w:rPr>
          <w:rStyle w:val="45"/>
          <w:rFonts w:hint="eastAsia" w:ascii="宋体" w:hAnsi="宋体" w:eastAsia="宋体" w:cs="宋体"/>
          <w:color w:val="auto"/>
          <w:spacing w:val="-6"/>
          <w:sz w:val="24"/>
          <w:szCs w:val="24"/>
          <w:highlight w:val="none"/>
          <w:u w:val="none"/>
        </w:rPr>
        <w:t>”</w:t>
      </w:r>
      <w:r>
        <w:rPr>
          <w:rFonts w:hint="eastAsia" w:ascii="宋体" w:hAnsi="宋体" w:eastAsia="宋体" w:cs="宋体"/>
          <w:color w:val="auto"/>
          <w:spacing w:val="-6"/>
          <w:sz w:val="24"/>
          <w:szCs w:val="24"/>
          <w:highlight w:val="none"/>
        </w:rPr>
        <w:t>发布更正公告，并对其具有约束力。不</w:t>
      </w:r>
      <w:r>
        <w:rPr>
          <w:rFonts w:hint="eastAsia" w:ascii="宋体" w:hAnsi="宋体" w:eastAsia="宋体" w:cs="宋体"/>
          <w:color w:val="auto"/>
          <w:sz w:val="24"/>
          <w:szCs w:val="24"/>
          <w:highlight w:val="none"/>
        </w:rPr>
        <w:t>足5日的，采购代理机构有权顺延提交响应文件的截止时间。</w:t>
      </w:r>
    </w:p>
    <w:p w14:paraId="202BDF85">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59" w:name="_Toc495479094"/>
      <w:bookmarkStart w:id="60" w:name="_Toc23307"/>
      <w:bookmarkStart w:id="61" w:name="_Toc16"/>
      <w:bookmarkStart w:id="62" w:name="_Toc390938577"/>
      <w:r>
        <w:rPr>
          <w:rFonts w:hint="eastAsia" w:ascii="宋体" w:hAnsi="宋体" w:eastAsia="宋体" w:cs="宋体"/>
          <w:b/>
          <w:bCs/>
          <w:color w:val="auto"/>
          <w:sz w:val="28"/>
          <w:szCs w:val="28"/>
          <w:highlight w:val="none"/>
        </w:rPr>
        <w:t>三  响应文件的编制</w:t>
      </w:r>
      <w:bookmarkEnd w:id="59"/>
      <w:bookmarkEnd w:id="60"/>
      <w:bookmarkEnd w:id="61"/>
      <w:bookmarkEnd w:id="62"/>
    </w:p>
    <w:p w14:paraId="0F2B231F">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9.要求</w:t>
      </w:r>
    </w:p>
    <w:p w14:paraId="60C5D19C">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供应商应仔细阅读磋商文件的所有内容，按照磋商文件的要求提交响应文件，并对所提供的全部资料的真实性承担法律责任。</w:t>
      </w:r>
    </w:p>
    <w:p w14:paraId="722F571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9.2响应文件、供应商与采购有关的往来通知、函件和文件均应使用中文。如涉及非中文内容的，供应商有义务将其内容翻译成中文，一切对非中文内容的误解，都将由供应商承担。</w:t>
      </w:r>
    </w:p>
    <w:p w14:paraId="24B376AE">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9.3响应文件的形式和效力</w:t>
      </w:r>
    </w:p>
    <w:p w14:paraId="65429A6A">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9.3.1 响应文件的形式：响应文件分为电子响应文件、备份响应文件。</w:t>
      </w:r>
    </w:p>
    <w:p w14:paraId="0E6D4BA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9.3.2 响应文件的效力</w:t>
      </w:r>
    </w:p>
    <w:p w14:paraId="25353164">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响应文件的启用，按先后顺位分别为电子响应文件、备份响应文件。</w:t>
      </w:r>
    </w:p>
    <w:p w14:paraId="60219798">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hint="eastAsia" w:ascii="宋体" w:hAnsi="宋体" w:eastAsia="宋体" w:cs="宋体"/>
          <w:color w:val="auto"/>
          <w:sz w:val="24"/>
          <w:szCs w:val="24"/>
          <w:highlight w:val="none"/>
        </w:rPr>
        <w:t xml:space="preserve"> </w:t>
      </w:r>
    </w:p>
    <w:p w14:paraId="11042516">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49B14CE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b/>
          <w:color w:val="auto"/>
          <w:sz w:val="24"/>
          <w:szCs w:val="24"/>
          <w:highlight w:val="none"/>
        </w:rPr>
        <w:t>提交的响应文件应分为</w:t>
      </w:r>
      <w:r>
        <w:rPr>
          <w:rFonts w:hint="eastAsia" w:ascii="宋体" w:hAnsi="宋体" w:eastAsia="宋体" w:cs="宋体"/>
          <w:b/>
          <w:color w:val="auto"/>
          <w:kern w:val="0"/>
          <w:sz w:val="24"/>
          <w:szCs w:val="24"/>
          <w:highlight w:val="none"/>
        </w:rPr>
        <w:t>资格审查文件、</w:t>
      </w:r>
      <w:r>
        <w:rPr>
          <w:rFonts w:hint="eastAsia" w:ascii="宋体" w:hAnsi="宋体" w:eastAsia="宋体" w:cs="宋体"/>
          <w:b/>
          <w:color w:val="auto"/>
          <w:sz w:val="24"/>
          <w:szCs w:val="24"/>
          <w:highlight w:val="none"/>
          <w:lang w:eastAsia="zh-CN"/>
        </w:rPr>
        <w:t>商务技术文件</w:t>
      </w:r>
      <w:r>
        <w:rPr>
          <w:rFonts w:hint="eastAsia" w:ascii="宋体" w:hAnsi="宋体" w:eastAsia="宋体" w:cs="宋体"/>
          <w:b/>
          <w:color w:val="auto"/>
          <w:sz w:val="24"/>
          <w:szCs w:val="24"/>
          <w:highlight w:val="none"/>
        </w:rPr>
        <w:t>、报价文件三部分，报价文件如有</w:t>
      </w:r>
      <w:r>
        <w:rPr>
          <w:rFonts w:hint="eastAsia" w:ascii="宋体" w:hAnsi="宋体" w:eastAsia="宋体" w:cs="宋体"/>
          <w:b/>
          <w:color w:val="auto"/>
          <w:sz w:val="24"/>
          <w:szCs w:val="24"/>
          <w:highlight w:val="none"/>
          <w:lang w:eastAsia="zh-CN"/>
        </w:rPr>
        <w:t>商务技术文件</w:t>
      </w:r>
      <w:r>
        <w:rPr>
          <w:rFonts w:hint="eastAsia" w:ascii="宋体" w:hAnsi="宋体" w:eastAsia="宋体" w:cs="宋体"/>
          <w:b/>
          <w:color w:val="auto"/>
          <w:sz w:val="24"/>
          <w:szCs w:val="24"/>
          <w:highlight w:val="none"/>
        </w:rPr>
        <w:t>内容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w:t>
      </w:r>
      <w:r>
        <w:rPr>
          <w:rFonts w:hint="eastAsia" w:ascii="宋体" w:hAnsi="宋体" w:eastAsia="宋体" w:cs="宋体"/>
          <w:b/>
          <w:color w:val="auto"/>
          <w:sz w:val="24"/>
          <w:szCs w:val="24"/>
          <w:highlight w:val="none"/>
          <w:lang w:eastAsia="zh-CN"/>
        </w:rPr>
        <w:t>商务技术文件</w:t>
      </w:r>
      <w:r>
        <w:rPr>
          <w:rFonts w:hint="eastAsia" w:ascii="宋体" w:hAnsi="宋体" w:eastAsia="宋体" w:cs="宋体"/>
          <w:b/>
          <w:color w:val="auto"/>
          <w:sz w:val="24"/>
          <w:szCs w:val="24"/>
          <w:highlight w:val="none"/>
        </w:rPr>
        <w:t>内容在评审时将作为无效内容。</w:t>
      </w:r>
    </w:p>
    <w:p w14:paraId="020B0A4E">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11.响应文件编制的内容和要求。</w:t>
      </w:r>
    </w:p>
    <w:p w14:paraId="45390F54">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11.1资格审查文件编制的内容和要求：详见第五章格式</w:t>
      </w:r>
    </w:p>
    <w:p w14:paraId="7E14EC5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注：资格审查不通过的，不进入下一阶段评标。</w:t>
      </w:r>
    </w:p>
    <w:p w14:paraId="37BA82B2">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w:t>
      </w:r>
      <w:r>
        <w:rPr>
          <w:rFonts w:hint="eastAsia" w:ascii="宋体" w:hAnsi="宋体" w:eastAsia="宋体" w:cs="宋体"/>
          <w:b/>
          <w:color w:val="auto"/>
          <w:sz w:val="24"/>
          <w:szCs w:val="24"/>
          <w:highlight w:val="none"/>
          <w:lang w:eastAsia="zh-CN"/>
        </w:rPr>
        <w:t>商务技术文件</w:t>
      </w:r>
      <w:r>
        <w:rPr>
          <w:rFonts w:hint="eastAsia" w:ascii="宋体" w:hAnsi="宋体" w:eastAsia="宋体" w:cs="宋体"/>
          <w:b/>
          <w:color w:val="auto"/>
          <w:sz w:val="24"/>
          <w:szCs w:val="24"/>
          <w:highlight w:val="none"/>
        </w:rPr>
        <w:t>编制内容和要求：</w:t>
      </w:r>
    </w:p>
    <w:p w14:paraId="5CB0853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11.2.1资信商务部分详见第五章格式。</w:t>
      </w:r>
    </w:p>
    <w:p w14:paraId="5562A3F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11.2.2技术部分编制内容和要求（包含但不限于）：</w:t>
      </w:r>
    </w:p>
    <w:p w14:paraId="19B4D4A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11.2.2.1按磋商文件“第五章 磋商相关文件格式”所列的内容和格式。</w:t>
      </w:r>
    </w:p>
    <w:p w14:paraId="6FCBCD12">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11.2.2.2供应商应对照磋商文件“第三章 采购需求”所列的内容提供完整产品、服务、技术指标等。</w:t>
      </w:r>
    </w:p>
    <w:p w14:paraId="32E3349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11.2.2.3项目承</w:t>
      </w:r>
      <w:r>
        <w:rPr>
          <w:rFonts w:hint="eastAsia" w:ascii="宋体" w:hAnsi="宋体" w:eastAsia="宋体" w:cs="宋体"/>
          <w:b w:val="0"/>
          <w:bCs w:val="0"/>
          <w:color w:val="auto"/>
          <w:sz w:val="24"/>
          <w:szCs w:val="24"/>
          <w:highlight w:val="none"/>
        </w:rPr>
        <w:t>诺：磋商文件规定的要求仅为基本要求，供应商可以</w:t>
      </w:r>
      <w:r>
        <w:rPr>
          <w:rFonts w:hint="eastAsia" w:ascii="宋体" w:hAnsi="宋体" w:eastAsia="宋体" w:cs="宋体"/>
          <w:b w:val="0"/>
          <w:bCs w:val="0"/>
          <w:color w:val="auto"/>
          <w:sz w:val="24"/>
          <w:szCs w:val="24"/>
          <w:highlight w:val="none"/>
          <w:lang w:eastAsia="zh-CN"/>
        </w:rPr>
        <w:t>做出</w:t>
      </w:r>
      <w:r>
        <w:rPr>
          <w:rFonts w:hint="eastAsia" w:ascii="宋体" w:hAnsi="宋体" w:eastAsia="宋体" w:cs="宋体"/>
          <w:b w:val="0"/>
          <w:bCs w:val="0"/>
          <w:color w:val="auto"/>
          <w:sz w:val="24"/>
          <w:szCs w:val="24"/>
          <w:highlight w:val="none"/>
        </w:rPr>
        <w:t>优于或高于磋商文件中所要求的承诺。</w:t>
      </w:r>
    </w:p>
    <w:p w14:paraId="78A0719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11.2.2.4供应商认为有必要提交的其他技术证明资料。</w:t>
      </w:r>
    </w:p>
    <w:p w14:paraId="6D4393B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11.2.3报价文件的编制内容和要求详见第五章格式</w:t>
      </w:r>
    </w:p>
    <w:p w14:paraId="0F1AAF9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7D54D370">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11.3</w:t>
      </w:r>
      <w:r>
        <w:rPr>
          <w:rFonts w:hint="eastAsia" w:ascii="宋体" w:hAnsi="宋体" w:eastAsia="宋体" w:cs="宋体"/>
          <w:bCs/>
          <w:color w:val="auto"/>
          <w:sz w:val="24"/>
          <w:szCs w:val="24"/>
          <w:highlight w:val="none"/>
        </w:rPr>
        <w:t>.1</w:t>
      </w:r>
      <w:r>
        <w:rPr>
          <w:rFonts w:hint="eastAsia" w:ascii="宋体" w:hAnsi="宋体" w:eastAsia="宋体" w:cs="宋体"/>
          <w:b/>
          <w:bCs/>
          <w:color w:val="auto"/>
          <w:sz w:val="24"/>
          <w:szCs w:val="24"/>
          <w:highlight w:val="none"/>
        </w:rPr>
        <w:t>供应商应在磋商文件所附的报价书上写明</w:t>
      </w:r>
      <w:r>
        <w:rPr>
          <w:rFonts w:hint="eastAsia" w:ascii="宋体" w:hAnsi="宋体" w:eastAsia="宋体" w:cs="宋体"/>
          <w:b/>
          <w:bCs/>
          <w:color w:val="auto"/>
          <w:sz w:val="24"/>
          <w:szCs w:val="24"/>
          <w:highlight w:val="none"/>
          <w:lang w:eastAsia="zh-CN"/>
        </w:rPr>
        <w:t>投标报价</w:t>
      </w:r>
      <w:r>
        <w:rPr>
          <w:rFonts w:hint="eastAsia" w:ascii="宋体" w:hAnsi="宋体" w:eastAsia="宋体" w:cs="宋体"/>
          <w:b/>
          <w:bCs/>
          <w:color w:val="auto"/>
          <w:sz w:val="24"/>
          <w:szCs w:val="24"/>
          <w:highlight w:val="none"/>
        </w:rPr>
        <w:t>，只允许有一个报价，采购人不接受任何选择性的报价。报价高于预算金额的作无效标处理。</w:t>
      </w:r>
    </w:p>
    <w:p w14:paraId="6A9DA10E">
      <w:pPr>
        <w:pStyle w:val="37"/>
        <w:keepNext w:val="0"/>
        <w:keepLines w:val="0"/>
        <w:pageBreakBefore w:val="0"/>
        <w:widowControl w:val="0"/>
        <w:kinsoku/>
        <w:wordWrap/>
        <w:overflowPunct/>
        <w:topLinePunct w:val="0"/>
        <w:autoSpaceDE/>
        <w:autoSpaceDN/>
        <w:bidi w:val="0"/>
        <w:adjustRightInd/>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11.3.2最终报价是履行合同的最终价格，除磋商文件特殊说明外，</w:t>
      </w:r>
      <w:r>
        <w:rPr>
          <w:rFonts w:hint="eastAsia" w:ascii="宋体" w:hAnsi="宋体" w:eastAsia="宋体" w:cs="宋体"/>
          <w:bCs/>
          <w:color w:val="auto"/>
          <w:sz w:val="24"/>
          <w:szCs w:val="24"/>
          <w:highlight w:val="none"/>
          <w:lang w:eastAsia="zh-CN"/>
        </w:rPr>
        <w:t>包</w:t>
      </w:r>
      <w:r>
        <w:rPr>
          <w:rFonts w:hint="eastAsia" w:ascii="宋体" w:hAnsi="宋体" w:eastAsia="宋体" w:cs="宋体"/>
          <w:bCs/>
          <w:color w:val="auto"/>
          <w:sz w:val="24"/>
          <w:szCs w:val="24"/>
          <w:highlight w:val="none"/>
        </w:rPr>
        <w:t>括本次项目实施所需的</w:t>
      </w:r>
      <w:r>
        <w:rPr>
          <w:rFonts w:hint="eastAsia" w:ascii="宋体" w:hAnsi="宋体" w:eastAsia="宋体" w:cs="宋体"/>
          <w:bCs/>
          <w:color w:val="auto"/>
          <w:sz w:val="24"/>
          <w:szCs w:val="24"/>
          <w:highlight w:val="none"/>
          <w:lang w:val="en-US" w:eastAsia="zh-CN"/>
        </w:rPr>
        <w:t>服务、调查研究、分析认证、编制报告、交通费、文本制作费、办公耗材及设备折旧费、相关验收费用、管理费、利润、风险费、保险、税金、培训、指导、专利费（著作权费）、政策性文件规定费用</w:t>
      </w:r>
      <w:r>
        <w:rPr>
          <w:rFonts w:hint="eastAsia" w:ascii="宋体" w:hAnsi="宋体" w:eastAsia="宋体" w:cs="宋体"/>
          <w:bCs/>
          <w:color w:val="auto"/>
          <w:sz w:val="24"/>
          <w:szCs w:val="24"/>
          <w:highlight w:val="none"/>
        </w:rPr>
        <w:t>以及履行合同所产生的全部费用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采购人不再另行支付其他任何费用。</w:t>
      </w:r>
      <w:r>
        <w:rPr>
          <w:rFonts w:hint="eastAsia" w:ascii="宋体" w:hAnsi="宋体" w:cs="宋体"/>
          <w:bCs/>
          <w:color w:val="auto"/>
          <w:sz w:val="24"/>
          <w:szCs w:val="24"/>
          <w:highlight w:val="none"/>
          <w:lang w:val="en-US" w:eastAsia="zh-CN"/>
        </w:rPr>
        <w:t>供应商应列入而未列入其中的费用，均视为已包含在内，风险由供应商承担。</w:t>
      </w:r>
      <w:r>
        <w:rPr>
          <w:rFonts w:hint="eastAsia" w:ascii="宋体" w:hAnsi="宋体" w:eastAsia="宋体" w:cs="宋体"/>
          <w:color w:val="auto"/>
          <w:kern w:val="2"/>
          <w:highlight w:val="none"/>
        </w:rPr>
        <w:t>磋商供应商在报价时自行考虑风险，结算时综合单价不予调整。供应商应结合项目特点，市场行情及供应商自身的技术，管理水平，竞争能力，进行</w:t>
      </w:r>
      <w:r>
        <w:rPr>
          <w:rFonts w:hint="eastAsia" w:cs="宋体"/>
          <w:color w:val="auto"/>
          <w:kern w:val="2"/>
          <w:highlight w:val="none"/>
          <w:lang w:eastAsia="zh-CN"/>
        </w:rPr>
        <w:t>投标</w:t>
      </w:r>
      <w:r>
        <w:rPr>
          <w:rFonts w:hint="eastAsia" w:ascii="宋体" w:hAnsi="宋体" w:eastAsia="宋体" w:cs="宋体"/>
          <w:color w:val="auto"/>
          <w:kern w:val="2"/>
          <w:highlight w:val="none"/>
        </w:rPr>
        <w:t>报价。</w:t>
      </w:r>
    </w:p>
    <w:p w14:paraId="6CF004DA">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11.4排版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所有文字及表格建议采用黑色，正文字体采用宋体小四号字体，标题字体采用宋体小二号字体，</w:t>
      </w:r>
      <w:r>
        <w:rPr>
          <w:rFonts w:hint="eastAsia" w:ascii="宋体" w:hAnsi="宋体" w:eastAsia="宋体" w:cs="宋体"/>
          <w:color w:val="auto"/>
          <w:kern w:val="0"/>
          <w:sz w:val="24"/>
          <w:highlight w:val="none"/>
        </w:rPr>
        <w:t>页码应逐页连续编注</w:t>
      </w:r>
      <w:r>
        <w:rPr>
          <w:rFonts w:hint="eastAsia" w:ascii="宋体" w:hAnsi="宋体" w:eastAsia="宋体" w:cs="宋体"/>
          <w:color w:val="auto"/>
          <w:kern w:val="0"/>
          <w:sz w:val="24"/>
          <w:szCs w:val="24"/>
          <w:highlight w:val="none"/>
        </w:rPr>
        <w:t>。</w:t>
      </w:r>
    </w:p>
    <w:p w14:paraId="79F57D52">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11.5封面</w:t>
      </w:r>
      <w:r>
        <w:rPr>
          <w:rFonts w:hint="eastAsia" w:ascii="宋体" w:hAnsi="宋体" w:eastAsia="宋体" w:cs="宋体"/>
          <w:color w:val="auto"/>
          <w:sz w:val="24"/>
          <w:szCs w:val="24"/>
          <w:highlight w:val="none"/>
        </w:rPr>
        <w:t>：按照磋商文件第五章提供的格式制作封面。</w:t>
      </w:r>
    </w:p>
    <w:p w14:paraId="582637A3">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12.响应文件格式</w:t>
      </w:r>
    </w:p>
    <w:p w14:paraId="100B8E9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12.1供应商应按竞争性磋商文件规定的文件格式、内容和要求制作响应文件。</w:t>
      </w:r>
    </w:p>
    <w:p w14:paraId="08E89F5D">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13.竞争性磋商有效期</w:t>
      </w:r>
    </w:p>
    <w:p w14:paraId="6C76D27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▲13.1响应文件提交截止</w:t>
      </w:r>
      <w:r>
        <w:rPr>
          <w:rFonts w:hint="eastAsia" w:ascii="宋体" w:hAnsi="宋体" w:eastAsia="宋体" w:cs="宋体"/>
          <w:bCs/>
          <w:snapToGrid w:val="0"/>
          <w:color w:val="auto"/>
          <w:sz w:val="24"/>
          <w:szCs w:val="24"/>
          <w:highlight w:val="none"/>
        </w:rPr>
        <w:t>之日起90天内有效</w:t>
      </w:r>
      <w:r>
        <w:rPr>
          <w:rFonts w:hint="eastAsia" w:ascii="宋体" w:hAnsi="宋体" w:eastAsia="宋体" w:cs="宋体"/>
          <w:color w:val="auto"/>
          <w:sz w:val="24"/>
          <w:szCs w:val="24"/>
          <w:highlight w:val="none"/>
        </w:rPr>
        <w:t>。</w:t>
      </w:r>
    </w:p>
    <w:p w14:paraId="4C086D39">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14.响应文件的签署及规定</w:t>
      </w:r>
    </w:p>
    <w:p w14:paraId="647AC92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63" w:name="_Toc390938578"/>
      <w:r>
        <w:rPr>
          <w:rFonts w:hint="eastAsia" w:ascii="宋体" w:hAnsi="宋体" w:eastAsia="宋体" w:cs="宋体"/>
          <w:color w:val="auto"/>
          <w:sz w:val="24"/>
          <w:szCs w:val="24"/>
          <w:highlight w:val="none"/>
        </w:rPr>
        <w:t>14.1供应商应按磋商文件规定的内容和要求编制响应文件，响应文件须</w:t>
      </w:r>
      <w:r>
        <w:rPr>
          <w:rFonts w:hint="eastAsia" w:ascii="宋体" w:hAnsi="宋体" w:eastAsia="宋体" w:cs="宋体"/>
          <w:color w:val="auto"/>
          <w:sz w:val="24"/>
          <w:szCs w:val="24"/>
          <w:highlight w:val="none"/>
          <w:lang w:eastAsia="zh-CN"/>
        </w:rPr>
        <w:t>清楚地标明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资格审查文件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报价文件”。</w:t>
      </w:r>
    </w:p>
    <w:p w14:paraId="228E787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bCs/>
          <w:color w:val="auto"/>
          <w:sz w:val="24"/>
          <w:szCs w:val="24"/>
          <w:highlight w:val="none"/>
        </w:rPr>
        <w:t>电子响应文件及备份响应文件中须加盖公章部分均采用CA签章。</w:t>
      </w:r>
    </w:p>
    <w:p w14:paraId="613D7F0E">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14.3电报、电话、传真形式的磋商概不接受。</w:t>
      </w:r>
    </w:p>
    <w:bookmarkEnd w:id="63"/>
    <w:p w14:paraId="380D968F">
      <w:pPr>
        <w:pStyle w:val="5"/>
        <w:keepNext w:val="0"/>
        <w:keepLines w:val="0"/>
        <w:pageBreakBefore w:val="0"/>
        <w:widowControl w:val="0"/>
        <w:kinsoku/>
        <w:overflowPunct/>
        <w:topLinePunct w:val="0"/>
        <w:autoSpaceDE/>
        <w:autoSpaceDN/>
        <w:bidi w:val="0"/>
        <w:snapToGrid w:val="0"/>
        <w:spacing w:after="0" w:line="460" w:lineRule="exact"/>
        <w:ind w:left="0" w:firstLine="0"/>
        <w:textAlignment w:val="auto"/>
        <w:outlineLvl w:val="1"/>
        <w:rPr>
          <w:rFonts w:hint="eastAsia" w:ascii="宋体" w:hAnsi="宋体" w:eastAsia="宋体" w:cs="宋体"/>
          <w:b/>
          <w:bCs/>
          <w:color w:val="auto"/>
          <w:sz w:val="28"/>
          <w:szCs w:val="28"/>
          <w:highlight w:val="none"/>
        </w:rPr>
      </w:pPr>
      <w:bookmarkStart w:id="64" w:name="_Toc107820049"/>
      <w:bookmarkStart w:id="65" w:name="_Toc56928685"/>
      <w:bookmarkStart w:id="66" w:name="_Toc4881"/>
      <w:bookmarkStart w:id="67" w:name="_Toc390938579"/>
      <w:bookmarkStart w:id="68" w:name="_Toc495479096"/>
      <w:bookmarkStart w:id="69" w:name="_Toc23195"/>
      <w:r>
        <w:rPr>
          <w:rFonts w:hint="eastAsia" w:ascii="宋体" w:hAnsi="宋体" w:eastAsia="宋体" w:cs="宋体"/>
          <w:b/>
          <w:bCs/>
          <w:color w:val="auto"/>
          <w:sz w:val="28"/>
          <w:szCs w:val="28"/>
          <w:highlight w:val="none"/>
        </w:rPr>
        <w:t>四  响应文件的加密、提交</w:t>
      </w:r>
      <w:bookmarkEnd w:id="64"/>
      <w:bookmarkEnd w:id="65"/>
      <w:r>
        <w:rPr>
          <w:rFonts w:hint="eastAsia" w:ascii="宋体" w:hAnsi="宋体" w:eastAsia="宋体" w:cs="宋体"/>
          <w:b/>
          <w:bCs/>
          <w:color w:val="auto"/>
          <w:sz w:val="28"/>
          <w:szCs w:val="28"/>
          <w:highlight w:val="none"/>
        </w:rPr>
        <w:t>、修改和撤回</w:t>
      </w:r>
      <w:bookmarkEnd w:id="66"/>
      <w:bookmarkEnd w:id="67"/>
      <w:bookmarkEnd w:id="68"/>
      <w:bookmarkEnd w:id="69"/>
    </w:p>
    <w:p w14:paraId="44609BC2">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15.响应文件的加密</w:t>
      </w:r>
    </w:p>
    <w:p w14:paraId="068A796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15.1供应商应当将资格审查文件、</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和报价文件三部分分别导入相应位置，各文件之间不得混装；</w:t>
      </w:r>
    </w:p>
    <w:p w14:paraId="1F43E18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b/>
          <w:color w:val="auto"/>
          <w:sz w:val="24"/>
          <w:szCs w:val="24"/>
          <w:highlight w:val="none"/>
        </w:rPr>
        <w:t>电子响应文件按政采云平台供应商项目采购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电子招投标操作指南进行加密；</w:t>
      </w:r>
      <w:r>
        <w:rPr>
          <w:rFonts w:hint="eastAsia" w:ascii="宋体" w:hAnsi="宋体" w:eastAsia="宋体" w:cs="宋体"/>
          <w:color w:val="auto"/>
          <w:sz w:val="24"/>
          <w:szCs w:val="24"/>
          <w:highlight w:val="none"/>
        </w:rPr>
        <w:t>将最后生成的具有电子签章的备份响应文件进行压缩并加密。</w:t>
      </w:r>
    </w:p>
    <w:p w14:paraId="099EA433">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16.响应文件的提交</w:t>
      </w:r>
    </w:p>
    <w:p w14:paraId="5B267B3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16.1响应文件提交截止时间和提交地点详见本章前附表。</w:t>
      </w:r>
    </w:p>
    <w:p w14:paraId="6AD68012">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16.2不予接收的电子响应文件情形：</w:t>
      </w:r>
    </w:p>
    <w:p w14:paraId="71FAF30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磋商截止时间前未完成传输的电子响应文件；</w:t>
      </w:r>
    </w:p>
    <w:p w14:paraId="5F6B8A5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未生成加密的电子响应文件；</w:t>
      </w:r>
    </w:p>
    <w:p w14:paraId="3213AAC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⑶在规定时间内未解密的电子响应文件或者解密不成功又未在规定时间内提交备份响应文件的。</w:t>
      </w:r>
    </w:p>
    <w:p w14:paraId="7091C419">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17.响应文件的修改和撤回</w:t>
      </w:r>
    </w:p>
    <w:p w14:paraId="74A2763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17.1在提交响应文件截止时间前，可以修改或撤回其响应文件：</w:t>
      </w:r>
      <w:r>
        <w:rPr>
          <w:rFonts w:hint="eastAsia" w:ascii="宋体" w:hAnsi="宋体" w:eastAsia="宋体" w:cs="宋体"/>
          <w:b/>
          <w:color w:val="auto"/>
          <w:sz w:val="24"/>
          <w:szCs w:val="24"/>
          <w:highlight w:val="none"/>
        </w:rPr>
        <w:t>（1）电子响应文件补充、修改或撤回的，应当先行撤回原文件，补充、修改后重新传输提交；（2）备份响应文件补充、修改或撤回的应以书面形式通知采购代理机构。</w:t>
      </w:r>
    </w:p>
    <w:p w14:paraId="72BAEFE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17.2修改后重新提交的响应文件应按磋商文件的规定编制、标记和提交。</w:t>
      </w:r>
    </w:p>
    <w:p w14:paraId="412A3600">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17.3在提交响应文件截止时间后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供应商不得修改、撤回已提交的响应文件。</w:t>
      </w:r>
    </w:p>
    <w:p w14:paraId="3B9BEFE6">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▲17.4补充、修改后的电子响应文件、备份响应文件内容均应相同。</w:t>
      </w:r>
    </w:p>
    <w:p w14:paraId="33A7C91E">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70" w:name="_Toc107820050"/>
      <w:bookmarkStart w:id="71" w:name="_Toc390938580"/>
      <w:bookmarkStart w:id="72" w:name="_Toc495479097"/>
      <w:bookmarkStart w:id="73" w:name="_Toc31295"/>
      <w:bookmarkStart w:id="74" w:name="_Toc5889"/>
      <w:r>
        <w:rPr>
          <w:rFonts w:hint="eastAsia" w:ascii="宋体" w:hAnsi="宋体" w:eastAsia="宋体" w:cs="宋体"/>
          <w:b/>
          <w:bCs/>
          <w:color w:val="auto"/>
          <w:sz w:val="28"/>
          <w:szCs w:val="28"/>
          <w:highlight w:val="none"/>
        </w:rPr>
        <w:t>五</w:t>
      </w:r>
      <w:bookmarkEnd w:id="70"/>
      <w:r>
        <w:rPr>
          <w:rFonts w:hint="eastAsia" w:ascii="宋体" w:hAnsi="宋体" w:eastAsia="宋体" w:cs="宋体"/>
          <w:b/>
          <w:bCs/>
          <w:color w:val="auto"/>
          <w:sz w:val="28"/>
          <w:szCs w:val="28"/>
          <w:highlight w:val="none"/>
        </w:rPr>
        <w:t xml:space="preserve">  开标和磋商</w:t>
      </w:r>
      <w:bookmarkEnd w:id="71"/>
      <w:bookmarkEnd w:id="72"/>
      <w:r>
        <w:rPr>
          <w:rFonts w:hint="eastAsia" w:ascii="宋体" w:hAnsi="宋体" w:eastAsia="宋体" w:cs="宋体"/>
          <w:b/>
          <w:bCs/>
          <w:color w:val="auto"/>
          <w:sz w:val="28"/>
          <w:szCs w:val="28"/>
          <w:highlight w:val="none"/>
        </w:rPr>
        <w:t>评审</w:t>
      </w:r>
      <w:bookmarkEnd w:id="73"/>
      <w:bookmarkEnd w:id="74"/>
    </w:p>
    <w:p w14:paraId="2FAE87D2">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highlight w:val="none"/>
        </w:rPr>
        <w:t>磋商会议</w:t>
      </w:r>
    </w:p>
    <w:p w14:paraId="49E2AE31">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18.1优先采用电子响应文件进行</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电子响应文件未按时解密的，采用备份响应文件</w:t>
      </w:r>
      <w:r>
        <w:rPr>
          <w:rFonts w:hint="eastAsia" w:ascii="宋体" w:hAnsi="宋体" w:eastAsia="宋体" w:cs="宋体"/>
          <w:b/>
          <w:color w:val="auto"/>
          <w:sz w:val="24"/>
          <w:highlight w:val="none"/>
        </w:rPr>
        <w:t>磋商、评审</w:t>
      </w:r>
      <w:r>
        <w:rPr>
          <w:rFonts w:hint="eastAsia" w:ascii="宋体" w:hAnsi="宋体" w:eastAsia="宋体" w:cs="宋体"/>
          <w:b/>
          <w:color w:val="auto"/>
          <w:sz w:val="24"/>
          <w:szCs w:val="24"/>
          <w:highlight w:val="none"/>
        </w:rPr>
        <w:t>。</w:t>
      </w:r>
    </w:p>
    <w:p w14:paraId="0229F4C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highlight w:val="none"/>
        </w:rPr>
        <w:t>采购代理机构在磋商文件规定的时间和地点组织磋商会议，</w:t>
      </w:r>
      <w:r>
        <w:rPr>
          <w:rFonts w:hint="eastAsia" w:hAnsi="宋体" w:cs="宋体"/>
          <w:color w:val="auto"/>
          <w:sz w:val="24"/>
          <w:szCs w:val="24"/>
          <w:highlight w:val="none"/>
          <w:lang w:eastAsia="zh-CN"/>
        </w:rPr>
        <w:t>供应商</w:t>
      </w:r>
      <w:r>
        <w:rPr>
          <w:rFonts w:hint="eastAsia" w:ascii="宋体" w:hAnsi="宋体" w:eastAsia="宋体" w:cs="宋体"/>
          <w:color w:val="auto"/>
          <w:sz w:val="24"/>
          <w:highlight w:val="none"/>
        </w:rPr>
        <w:t>自行决定是否安排人员赴现场参与投标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23B736E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18.3电子响应文件解密：由代理机构工作人员开启电子响应文件解密通道，解密时限以电子交易平台为准。</w:t>
      </w:r>
    </w:p>
    <w:p w14:paraId="21E2559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Cs/>
          <w:color w:val="auto"/>
          <w:sz w:val="24"/>
          <w:szCs w:val="24"/>
          <w:highlight w:val="none"/>
        </w:rPr>
        <w:t>电子响应文件无法解密的，代理机构通过电子交易平台“异常处理”通道上传备份响应文件，上传之前须由供应商代表提供备份响应文件密码进行解密。</w:t>
      </w:r>
    </w:p>
    <w:p w14:paraId="36B407C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18.5采购代理机构做好会议记录，供应商在解密完成后可查看其他供应商名单。</w:t>
      </w:r>
    </w:p>
    <w:p w14:paraId="7901CB0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18.6供应商认为采购人员及相关人员与其他供应商有利害关系的，可向采购代理机构提出回避申请，并说明理由，申请须由供应商代表签字或盖章。</w:t>
      </w:r>
    </w:p>
    <w:p w14:paraId="6710540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18.</w:t>
      </w:r>
      <w:r>
        <w:rPr>
          <w:rFonts w:hint="eastAsia" w:ascii="宋体" w:hAnsi="宋体" w:eastAsia="宋体" w:cs="宋体"/>
          <w:b/>
          <w:bCs w:val="0"/>
          <w:color w:val="auto"/>
          <w:sz w:val="24"/>
          <w:szCs w:val="24"/>
          <w:highlight w:val="none"/>
        </w:rPr>
        <w:t>供应商根据解密后交易平台公布的供应商名单及信息，通过现场或邮件方式（</w:t>
      </w:r>
      <w:r>
        <w:rPr>
          <w:rFonts w:hint="eastAsia" w:ascii="宋体" w:hAnsi="宋体" w:eastAsia="宋体" w:cs="宋体"/>
          <w:b/>
          <w:bCs w:val="0"/>
          <w:color w:val="auto"/>
          <w:sz w:val="24"/>
          <w:szCs w:val="24"/>
          <w:highlight w:val="none"/>
          <w:lang w:val="en-US" w:eastAsia="zh-CN"/>
        </w:rPr>
        <w:t>652710846</w:t>
      </w:r>
      <w:r>
        <w:rPr>
          <w:rFonts w:hint="eastAsia" w:ascii="宋体" w:hAnsi="宋体" w:eastAsia="宋体" w:cs="宋体"/>
          <w:b/>
          <w:bCs w:val="0"/>
          <w:color w:val="auto"/>
          <w:sz w:val="24"/>
          <w:szCs w:val="24"/>
          <w:highlight w:val="none"/>
        </w:rPr>
        <w:t>@qq.com）提交《政府采购活动现场确认声明书》。</w:t>
      </w:r>
    </w:p>
    <w:p w14:paraId="3EB350B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18.8供应商对开标过程有疑义的，</w:t>
      </w:r>
      <w:r>
        <w:rPr>
          <w:rFonts w:hint="eastAsia" w:ascii="宋体" w:hAnsi="宋体" w:eastAsia="宋体" w:cs="宋体"/>
          <w:color w:val="auto"/>
          <w:sz w:val="24"/>
          <w:szCs w:val="24"/>
          <w:highlight w:val="none"/>
        </w:rPr>
        <w:t>供应商代表在开标会议结束前可以向采购代理机构通过现场提出申请，并说明理由，申请须由供应商代表签字或盖章。</w:t>
      </w:r>
    </w:p>
    <w:p w14:paraId="3A22C9C7">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18.9磋商会议结束。</w:t>
      </w:r>
    </w:p>
    <w:p w14:paraId="09CB3F52">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7AD8527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z w:val="24"/>
          <w:szCs w:val="24"/>
          <w:highlight w:val="none"/>
        </w:rPr>
        <w:t>采购人或采购代理按资格要求对供应商进行资格审查及记录，资格审查顺序为电子交易平台解密后自动生成的“响应文件签收登记表”名单顺序。</w:t>
      </w:r>
    </w:p>
    <w:p w14:paraId="640B89C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19.2经资格审查合格的供应商不足三家的，按相关规定重新组织采购。</w:t>
      </w:r>
    </w:p>
    <w:p w14:paraId="5B7E40B1">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20.磋商流程：详见第六章。</w:t>
      </w:r>
    </w:p>
    <w:p w14:paraId="0EE599AF">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21.响应文件的澄清</w:t>
      </w:r>
    </w:p>
    <w:p w14:paraId="1417A23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14:paraId="44E85E0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21.2磋商过程中</w:t>
      </w:r>
      <w:r>
        <w:rPr>
          <w:rFonts w:hint="eastAsia" w:ascii="宋体" w:hAnsi="宋体" w:eastAsia="宋体" w:cs="宋体"/>
          <w:color w:val="auto"/>
          <w:spacing w:val="-6"/>
          <w:sz w:val="24"/>
          <w:szCs w:val="24"/>
          <w:highlight w:val="none"/>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25B28A7C">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21.3报价算术错误将按以下方法修正：</w:t>
      </w:r>
    </w:p>
    <w:p w14:paraId="0F1B628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中开标一览表（报价表）内容与</w:t>
      </w:r>
      <w:r>
        <w:rPr>
          <w:rFonts w:hint="eastAsia" w:ascii="宋体" w:hAnsi="宋体" w:eastAsia="宋体" w:cs="宋体"/>
          <w:color w:val="auto"/>
          <w:kern w:val="0"/>
          <w:sz w:val="24"/>
          <w:szCs w:val="24"/>
          <w:highlight w:val="none"/>
        </w:rPr>
        <w:t>报价文件</w:t>
      </w:r>
      <w:r>
        <w:rPr>
          <w:rFonts w:hint="eastAsia" w:ascii="宋体" w:hAnsi="宋体" w:eastAsia="宋体" w:cs="宋体"/>
          <w:bCs/>
          <w:color w:val="auto"/>
          <w:sz w:val="24"/>
          <w:szCs w:val="24"/>
          <w:highlight w:val="none"/>
        </w:rPr>
        <w:t>中明细表相应内容不一致的，以开标一览表（报价表）为准；</w:t>
      </w:r>
    </w:p>
    <w:p w14:paraId="47986A2B">
      <w:pPr>
        <w:keepNext w:val="0"/>
        <w:keepLines w:val="0"/>
        <w:pageBreakBefore w:val="0"/>
        <w:widowControl w:val="0"/>
        <w:kinsoku/>
        <w:overflowPunct/>
        <w:topLinePunct w:val="0"/>
        <w:autoSpaceDE/>
        <w:autoSpaceDN/>
        <w:bidi w:val="0"/>
        <w:spacing w:line="460" w:lineRule="exact"/>
        <w:ind w:firstLine="480" w:firstLineChars="200"/>
        <w:textAlignment w:val="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（2）报价文件的大写金额和小写金额不一致的，以大写金额为准；</w:t>
      </w:r>
    </w:p>
    <w:p w14:paraId="5FCF43F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（3）单价金额小数点或者百分比有明显错位的，以开标一览表（报价表）的总价为准，并修改单价；</w:t>
      </w:r>
    </w:p>
    <w:p w14:paraId="6B2C1C4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37EC4980">
      <w:pPr>
        <w:keepNext w:val="0"/>
        <w:keepLines w:val="0"/>
        <w:pageBreakBefore w:val="0"/>
        <w:widowControl w:val="0"/>
        <w:kinsoku/>
        <w:overflowPunct/>
        <w:topLinePunct w:val="0"/>
        <w:autoSpaceDE/>
        <w:autoSpaceDN/>
        <w:bidi w:val="0"/>
        <w:spacing w:line="460" w:lineRule="exact"/>
        <w:ind w:firstLine="480" w:firstLineChars="200"/>
        <w:textAlignment w:val="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（5）同时出现两种以上不一致的，按上述顺序修正；</w:t>
      </w:r>
    </w:p>
    <w:p w14:paraId="0660C0A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（6）对不同文字文本</w:t>
      </w:r>
      <w:r>
        <w:rPr>
          <w:rFonts w:hint="eastAsia" w:ascii="宋体" w:hAnsi="宋体" w:eastAsia="宋体" w:cs="宋体"/>
          <w:color w:val="auto"/>
          <w:kern w:val="0"/>
          <w:sz w:val="24"/>
          <w:szCs w:val="24"/>
          <w:highlight w:val="none"/>
        </w:rPr>
        <w:t>响应文件</w:t>
      </w:r>
      <w:r>
        <w:rPr>
          <w:rFonts w:hint="eastAsia" w:ascii="宋体" w:hAnsi="宋体" w:eastAsia="宋体" w:cs="宋体"/>
          <w:bCs/>
          <w:color w:val="auto"/>
          <w:sz w:val="24"/>
          <w:szCs w:val="24"/>
          <w:highlight w:val="none"/>
        </w:rPr>
        <w:t>的解释发生异议的，以中文文本为准；</w:t>
      </w:r>
    </w:p>
    <w:p w14:paraId="11F53D3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36F9FB69">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22.对响应文件的比较和评估</w:t>
      </w:r>
    </w:p>
    <w:p w14:paraId="55FEA78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67E93EBE">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23．评审报告</w:t>
      </w:r>
    </w:p>
    <w:p w14:paraId="54B78C5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磋商小组根据磋商记录、全体磋商小组成员签字的原始评审记录、评审结果编写评审报告，并按照评审得分由高到低顺序推荐3名成交候选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，评审报告由磋商小组成员签字确认后提交。</w:t>
      </w:r>
    </w:p>
    <w:p w14:paraId="05D0B845">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24.采购过程中出现以下情形，导致电子交易平台无法正常运行，或者无法保证电子交易的公平、公正和安全时，可中止电子交易活动：</w:t>
      </w:r>
    </w:p>
    <w:p w14:paraId="6E5A54C1">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（一）电子交易平台发生故障而无法登录访问的；</w:t>
      </w:r>
    </w:p>
    <w:p w14:paraId="280E5CF8">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（二）电子交易平台应用或数据库出现错误，不能进行正常操作的；</w:t>
      </w:r>
    </w:p>
    <w:p w14:paraId="550F0E2F">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（三）电子交易平台发现严重安全漏洞，有潜在泄密危险的；</w:t>
      </w:r>
    </w:p>
    <w:p w14:paraId="4028ADC6">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（四）病毒发作导致不能进行正常操作的；</w:t>
      </w:r>
    </w:p>
    <w:p w14:paraId="37570580">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（五）其他无法保证电子交易的公平、公正和安全的情况。</w:t>
      </w:r>
    </w:p>
    <w:p w14:paraId="022AE0A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出现前款规定情形，不影响采购公平、公正性的，采购代理机构可以待上述情形消除后继续组织电子交易活动；影响或可能影响采购公平、公正性的，重新组织采购。</w:t>
      </w:r>
    </w:p>
    <w:p w14:paraId="29B4A1E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25.采购代理机构或评审小组因不可抗力（不可抗力包括但不限于自然灾害、断电、传播疫病等）原因造成电子交易活动无法正常运行的，将采取以下措施：</w:t>
      </w:r>
    </w:p>
    <w:p w14:paraId="6A06591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⑴短时间内能消除不可抗力因素的，采购代理机构或评审小组在消除不可抗力因素后继续组织电子交易活动。</w:t>
      </w:r>
    </w:p>
    <w:p w14:paraId="696167F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⑵长时间内无法消除不可抗力因素的，采购代理机构或评审小组将中止电子交易活动。中止电子交易活动的，采购人应当重新组织政府采购活动。</w:t>
      </w:r>
    </w:p>
    <w:p w14:paraId="621AE1B4">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26.保密和磋商过程的监控</w:t>
      </w:r>
    </w:p>
    <w:p w14:paraId="28FBF5C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z w:val="24"/>
          <w:szCs w:val="24"/>
          <w:highlight w:val="none"/>
        </w:rPr>
        <w:t>26.1</w:t>
      </w:r>
      <w:r>
        <w:rPr>
          <w:rFonts w:hint="eastAsia" w:ascii="宋体" w:hAnsi="宋体" w:eastAsia="宋体" w:cs="宋体"/>
          <w:bCs/>
          <w:color w:val="auto"/>
          <w:spacing w:val="-6"/>
          <w:sz w:val="24"/>
          <w:szCs w:val="24"/>
          <w:highlight w:val="none"/>
        </w:rPr>
        <w:t>自</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时间起至成交公告发布时间止，凡属于审查、澄清、评估和比较</w:t>
      </w:r>
      <w:r>
        <w:rPr>
          <w:rFonts w:hint="eastAsia" w:ascii="宋体" w:hAnsi="宋体" w:eastAsia="宋体" w:cs="宋体"/>
          <w:color w:val="auto"/>
          <w:spacing w:val="-6"/>
          <w:sz w:val="24"/>
          <w:szCs w:val="24"/>
          <w:highlight w:val="none"/>
        </w:rPr>
        <w:t>磋商</w:t>
      </w:r>
      <w:r>
        <w:rPr>
          <w:rFonts w:hint="eastAsia" w:ascii="宋体" w:hAnsi="宋体" w:eastAsia="宋体" w:cs="宋体"/>
          <w:bCs/>
          <w:color w:val="auto"/>
          <w:spacing w:val="-6"/>
          <w:sz w:val="24"/>
          <w:szCs w:val="24"/>
          <w:highlight w:val="none"/>
        </w:rPr>
        <w:t>的有关资料，且与授予合同有关的信息都不得向任何供应商或与上述评审过程无关的人员透露。</w:t>
      </w:r>
    </w:p>
    <w:p w14:paraId="0FEBC8C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26.2本项目磋商过程实行全程录音、录像监控，供应商在磋商过程中所进行的试图影响评审结果的不公正行为或授予合同决定的过程施加影响的企图和行为，可能导致其磋商被拒绝。</w:t>
      </w:r>
      <w:bookmarkStart w:id="75" w:name="_Toc390938581"/>
      <w:bookmarkStart w:id="76" w:name="_Toc31319"/>
      <w:bookmarkStart w:id="77" w:name="_Toc18935"/>
      <w:bookmarkStart w:id="78" w:name="_Toc495479098"/>
    </w:p>
    <w:p w14:paraId="481F2DF5">
      <w:pPr>
        <w:pStyle w:val="5"/>
        <w:keepNext w:val="0"/>
        <w:keepLines w:val="0"/>
        <w:pageBreakBefore w:val="0"/>
        <w:widowControl w:val="0"/>
        <w:kinsoku/>
        <w:wordWrap w:val="0"/>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  磋商无效的情形</w:t>
      </w:r>
      <w:bookmarkEnd w:id="75"/>
      <w:bookmarkEnd w:id="76"/>
      <w:bookmarkEnd w:id="77"/>
      <w:bookmarkEnd w:id="78"/>
    </w:p>
    <w:p w14:paraId="19B023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bookmarkStart w:id="79" w:name="_Toc390938582"/>
      <w:r>
        <w:rPr>
          <w:rFonts w:hint="eastAsia" w:ascii="宋体" w:hAnsi="宋体" w:eastAsia="宋体" w:cs="宋体"/>
          <w:color w:val="auto"/>
          <w:sz w:val="24"/>
          <w:szCs w:val="24"/>
          <w:highlight w:val="none"/>
        </w:rPr>
        <w:t>27.实质上没有响应磋商文件要求的响应文件将被视为无效。供应商如有下列情形之一的，其磋商将被拒绝，响应文件无效：</w:t>
      </w:r>
    </w:p>
    <w:p w14:paraId="05DBB5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27.1电报、电话、传真形式提交响应文件的；</w:t>
      </w:r>
    </w:p>
    <w:p w14:paraId="2A4EEE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27.2供应商没有按磋商文件规定的时间和地点提交电子响应文件的；</w:t>
      </w:r>
    </w:p>
    <w:p w14:paraId="6A6F93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27.3未按竞争性磋商文件规定要求签署、盖章的；</w:t>
      </w:r>
    </w:p>
    <w:p w14:paraId="0A73BA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27.4不具备竞争性磋商文件规定的资格要求的；</w:t>
      </w:r>
    </w:p>
    <w:p w14:paraId="22122E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27.5磋商有效期不足的；</w:t>
      </w:r>
    </w:p>
    <w:p w14:paraId="3E5FFE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27.6磋商小组评定有实质性负偏离或出现“▲”条款的负偏离，经采购人代表确认后不作变动的；</w:t>
      </w:r>
    </w:p>
    <w:p w14:paraId="52AA51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27.7响应文件含有采购人不能接受的附加条款的；</w:t>
      </w:r>
    </w:p>
    <w:p w14:paraId="0BA84C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27.8最终报价高于磋商文件中规定的预算金额的；</w:t>
      </w:r>
    </w:p>
    <w:p w14:paraId="54DDC25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27.9磋商文件中未要求，但供应商给予赠品、回扣或与采购无关的其他商品、服务的。</w:t>
      </w:r>
    </w:p>
    <w:p w14:paraId="7ACC6B4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27.10</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报价存在漏项或报价数量少于采购要求的；</w:t>
      </w:r>
    </w:p>
    <w:p w14:paraId="4263BA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27.11</w:t>
      </w:r>
      <w:r>
        <w:rPr>
          <w:rFonts w:hint="eastAsia" w:ascii="宋体" w:hAnsi="宋体" w:eastAsia="宋体" w:cs="宋体"/>
          <w:b/>
          <w:color w:val="auto"/>
          <w:sz w:val="24"/>
          <w:szCs w:val="24"/>
          <w:highlight w:val="none"/>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71B18C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2C99B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27.13</w:t>
      </w:r>
      <w:r>
        <w:rPr>
          <w:rFonts w:hint="eastAsia" w:ascii="宋体" w:hAnsi="宋体" w:eastAsia="宋体" w:cs="宋体"/>
          <w:color w:val="auto"/>
          <w:sz w:val="24"/>
          <w:szCs w:val="24"/>
          <w:highlight w:val="none"/>
        </w:rPr>
        <w:t>提供虚假材料谋取成交的；</w:t>
      </w:r>
    </w:p>
    <w:p w14:paraId="2F0384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27.14不按磋商文件和成交人的响应文件订立合同，或者与采购人另行订立背离合同实质性内容的协议的；</w:t>
      </w:r>
    </w:p>
    <w:p w14:paraId="57EB57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27.15磋商文件规定的其他响应文件无效情形。</w:t>
      </w:r>
    </w:p>
    <w:p w14:paraId="20A8354E">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9"/>
        <w:rPr>
          <w:rFonts w:hint="eastAsia" w:ascii="宋体" w:hAnsi="宋体" w:eastAsia="宋体" w:cs="宋体"/>
          <w:b/>
          <w:bCs/>
          <w:color w:val="auto"/>
          <w:sz w:val="28"/>
          <w:szCs w:val="28"/>
          <w:highlight w:val="none"/>
        </w:rPr>
      </w:pPr>
      <w:bookmarkStart w:id="80" w:name="_Toc22934"/>
      <w:bookmarkStart w:id="81" w:name="_Toc26962"/>
      <w:bookmarkStart w:id="82" w:name="_Toc495479099"/>
    </w:p>
    <w:p w14:paraId="35C6F55D">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  法律责任</w:t>
      </w:r>
      <w:bookmarkEnd w:id="79"/>
      <w:bookmarkEnd w:id="80"/>
      <w:bookmarkEnd w:id="81"/>
      <w:bookmarkEnd w:id="82"/>
    </w:p>
    <w:p w14:paraId="682D1C3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bookmarkStart w:id="83" w:name="_Toc390938583"/>
      <w:r>
        <w:rPr>
          <w:rFonts w:hint="eastAsia" w:ascii="宋体" w:hAnsi="宋体" w:eastAsia="宋体" w:cs="宋体"/>
          <w:color w:val="auto"/>
          <w:sz w:val="24"/>
          <w:szCs w:val="24"/>
          <w:highlight w:val="none"/>
        </w:rPr>
        <w:t>28.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C762C4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28.1提供虚假材料谋取成交的；</w:t>
      </w:r>
    </w:p>
    <w:p w14:paraId="51FB22D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28.2采取不正当手段诋毁、排挤其他供应商的；</w:t>
      </w:r>
    </w:p>
    <w:p w14:paraId="663D3FA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28.3与采购人、其他供应商或者采购代理机构恶意串通的；</w:t>
      </w:r>
    </w:p>
    <w:p w14:paraId="77554C2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28.4向采购人、采购代理机构行贿或者提供其他不正当利益的；</w:t>
      </w:r>
    </w:p>
    <w:p w14:paraId="742B5F5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28.5在采购过程中与采购人进行协商谈判的；</w:t>
      </w:r>
    </w:p>
    <w:p w14:paraId="1ED9F3D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28.6拒绝有关部门监督检查或者提供虚假情况的；</w:t>
      </w:r>
    </w:p>
    <w:p w14:paraId="292E976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供应商有前款28.1至28.5项情形之一的，成交无效。</w:t>
      </w:r>
    </w:p>
    <w:p w14:paraId="5A1BCF7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29.供应商有下列情形之一的，依照政府采购法第七十七条第一款的规定追究法律责任：</w:t>
      </w:r>
    </w:p>
    <w:p w14:paraId="552B774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29.1向磋商小组或者磋商小组成员行贿或者提供其他不正当利益；</w:t>
      </w:r>
    </w:p>
    <w:p w14:paraId="16A194B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29.2成交或者成交后无正当理由拒不与采购人签订政府采购合同；</w:t>
      </w:r>
    </w:p>
    <w:p w14:paraId="5144041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29.3未按照磋商文件确定的事项签订政府采购合同；</w:t>
      </w:r>
    </w:p>
    <w:p w14:paraId="57044CE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29.4将政府采购合同转包；</w:t>
      </w:r>
    </w:p>
    <w:p w14:paraId="401AD79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29.5提供假冒伪劣产品；</w:t>
      </w:r>
    </w:p>
    <w:p w14:paraId="28EDC53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29.6擅自变更、中止或者终止政府采购合同。</w:t>
      </w:r>
    </w:p>
    <w:p w14:paraId="099CD3C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61853B5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30.供应商捏造事实、提供虚假材料或者以非法手段取得证明材料进行投诉的，由财政部门列入不良行为记录名单，禁止其1至3年内参加政府采购活动。</w:t>
      </w:r>
    </w:p>
    <w:p w14:paraId="514DB78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31.有下列情形之一的，属于恶意串通，对供应商依照政府采购法第七十七条第一款的规定追究法律责任，对采购人、采购代理机构及其工作人员依照政府采购法第七十二条的规定追究法律责任：</w:t>
      </w:r>
    </w:p>
    <w:p w14:paraId="65298DB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31.1供应商直接或者间接从采购人或者采购代理机构处获得其他供应商的相关情况并修改其响应文件；</w:t>
      </w:r>
    </w:p>
    <w:p w14:paraId="573871D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31.2供应商按照采购人或者采购代理机构的授意撤换、修改响应文件；</w:t>
      </w:r>
    </w:p>
    <w:p w14:paraId="795D58E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31.3供应商之间协商报价、技术方案等响应文件或者响应文件的实质性内容；</w:t>
      </w:r>
    </w:p>
    <w:p w14:paraId="246A7E6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31.4属于同一集团、协会、商会等组织成员的供应商按照该组织要求协同参加政府采购活动；</w:t>
      </w:r>
    </w:p>
    <w:p w14:paraId="6996FCAA">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31.5供应商之间事先约定由某一特定供应商成交；</w:t>
      </w:r>
    </w:p>
    <w:p w14:paraId="10DFD0C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31.6供应商之间商定部分供应商放弃参加政府采购活动或者放弃成交；</w:t>
      </w:r>
    </w:p>
    <w:p w14:paraId="2C59EF4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31.7供应商与采购人或者采购代理机构之间、供应商相互之间，为谋求特定供应商成交或者排斥其他供应商的其他串通行为；</w:t>
      </w:r>
    </w:p>
    <w:p w14:paraId="1B5A79A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31.8不同供应商的响应文件由同一单位或者个人编制；</w:t>
      </w:r>
    </w:p>
    <w:p w14:paraId="4BBFEED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31.9不同供应商委托同一单位或者个人办理磋商事宜；</w:t>
      </w:r>
    </w:p>
    <w:p w14:paraId="05F6BA4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31.10不同供应商的响应文件载明的项目管理成员或者联系人员为同一人；</w:t>
      </w:r>
    </w:p>
    <w:p w14:paraId="144F12A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31.11不同供应商的响应文件异常一致或者</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报价呈规律性差异；</w:t>
      </w:r>
    </w:p>
    <w:p w14:paraId="246DD163">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31.12不同供应商的响应文件相互混装。</w:t>
      </w:r>
    </w:p>
    <w:p w14:paraId="4EF5858B">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1"/>
        <w:rPr>
          <w:rFonts w:hint="eastAsia" w:ascii="宋体" w:hAnsi="宋体" w:eastAsia="宋体" w:cs="宋体"/>
          <w:b/>
          <w:bCs/>
          <w:color w:val="auto"/>
          <w:sz w:val="28"/>
          <w:szCs w:val="28"/>
          <w:highlight w:val="none"/>
        </w:rPr>
      </w:pPr>
      <w:bookmarkStart w:id="84" w:name="_Toc495479100"/>
      <w:bookmarkStart w:id="85" w:name="_Toc20052"/>
      <w:bookmarkStart w:id="86" w:name="_Toc24093"/>
      <w:r>
        <w:rPr>
          <w:rFonts w:hint="eastAsia" w:ascii="宋体" w:hAnsi="宋体" w:eastAsia="宋体" w:cs="宋体"/>
          <w:b/>
          <w:bCs/>
          <w:color w:val="auto"/>
          <w:sz w:val="28"/>
          <w:szCs w:val="28"/>
          <w:highlight w:val="none"/>
        </w:rPr>
        <w:t>八</w:t>
      </w:r>
      <w:bookmarkEnd w:id="83"/>
      <w:bookmarkEnd w:id="84"/>
      <w:r>
        <w:rPr>
          <w:rFonts w:hint="eastAsia" w:ascii="宋体" w:hAnsi="宋体" w:eastAsia="宋体" w:cs="宋体"/>
          <w:b/>
          <w:bCs/>
          <w:color w:val="auto"/>
          <w:sz w:val="28"/>
          <w:szCs w:val="28"/>
          <w:highlight w:val="none"/>
        </w:rPr>
        <w:t xml:space="preserve">  澄清、修改发布媒体</w:t>
      </w:r>
      <w:bookmarkEnd w:id="85"/>
      <w:bookmarkEnd w:id="86"/>
    </w:p>
    <w:p w14:paraId="7F6D3596">
      <w:pPr>
        <w:keepNext w:val="0"/>
        <w:keepLines w:val="0"/>
        <w:pageBreakBefore w:val="0"/>
        <w:widowControl w:val="0"/>
        <w:kinsoku/>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szCs w:val="24"/>
          <w:highlight w:val="none"/>
        </w:rPr>
      </w:pPr>
      <w:bookmarkStart w:id="87" w:name="_Toc335664279"/>
      <w:bookmarkStart w:id="88" w:name="_Toc495479101"/>
      <w:bookmarkStart w:id="89" w:name="_Toc334087237"/>
      <w:bookmarkStart w:id="90" w:name="_Toc390938584"/>
      <w:bookmarkStart w:id="91" w:name="_Toc176659672"/>
      <w:bookmarkStart w:id="92" w:name="_Toc107820051"/>
      <w:r>
        <w:rPr>
          <w:rFonts w:hint="eastAsia" w:ascii="宋体" w:hAnsi="宋体" w:eastAsia="宋体" w:cs="宋体"/>
          <w:color w:val="auto"/>
          <w:sz w:val="24"/>
          <w:szCs w:val="24"/>
          <w:highlight w:val="none"/>
        </w:rPr>
        <w:t>32.1针对潜在供应商提出的询问，采购代理机构一般在3个工作日内作出答复，如需澄清或</w:t>
      </w:r>
      <w:r>
        <w:rPr>
          <w:rFonts w:hint="eastAsia" w:ascii="宋体" w:hAnsi="宋体" w:eastAsia="宋体" w:cs="宋体"/>
          <w:bCs/>
          <w:color w:val="auto"/>
          <w:kern w:val="0"/>
          <w:sz w:val="24"/>
          <w:szCs w:val="24"/>
          <w:highlight w:val="none"/>
        </w:rPr>
        <w:t>修改的，采购代理机构将在磋商截止时间五日前将澄清或修改内容在浙江政府采购网、丽水市公共资源交易网（庆元）http://lssggzy.lishui.gov.cn/qyweb/上予以公布，潜在供应商应自行关注网站更正公告等内容，采购代理机构不再一一通知。</w:t>
      </w:r>
    </w:p>
    <w:p w14:paraId="298CD826">
      <w:pPr>
        <w:keepNext w:val="0"/>
        <w:keepLines w:val="0"/>
        <w:pageBreakBefore w:val="0"/>
        <w:widowControl w:val="0"/>
        <w:kinsoku/>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32.2潜在供应商提出的询问超出采购人对采购代理机构委托授权范围的，供应商应向采购人提出。</w:t>
      </w:r>
      <w:bookmarkStart w:id="93" w:name="_Toc21618"/>
      <w:bookmarkStart w:id="94" w:name="_Toc25978"/>
    </w:p>
    <w:p w14:paraId="567A2CA9">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  质疑</w:t>
      </w:r>
      <w:bookmarkEnd w:id="87"/>
      <w:bookmarkEnd w:id="88"/>
      <w:bookmarkEnd w:id="89"/>
      <w:bookmarkEnd w:id="90"/>
      <w:bookmarkEnd w:id="91"/>
      <w:bookmarkEnd w:id="93"/>
      <w:bookmarkEnd w:id="94"/>
    </w:p>
    <w:p w14:paraId="5C07FB91">
      <w:pPr>
        <w:pStyle w:val="23"/>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pacing w:val="-6"/>
          <w:sz w:val="24"/>
          <w:szCs w:val="24"/>
          <w:highlight w:val="none"/>
        </w:rPr>
      </w:pPr>
      <w:bookmarkStart w:id="95" w:name="_Toc390938585"/>
      <w:bookmarkStart w:id="96" w:name="_Toc334087238"/>
      <w:bookmarkStart w:id="97" w:name="_Toc335664280"/>
      <w:r>
        <w:rPr>
          <w:rFonts w:hint="eastAsia" w:ascii="宋体" w:hAnsi="宋体" w:eastAsia="宋体" w:cs="宋体"/>
          <w:color w:val="auto"/>
          <w:sz w:val="24"/>
          <w:szCs w:val="24"/>
          <w:highlight w:val="none"/>
        </w:rPr>
        <w:t>33.1</w:t>
      </w:r>
      <w:r>
        <w:rPr>
          <w:rFonts w:hint="eastAsia" w:ascii="宋体" w:hAnsi="宋体" w:eastAsia="宋体" w:cs="宋体"/>
          <w:color w:val="auto"/>
          <w:spacing w:val="-6"/>
          <w:sz w:val="24"/>
          <w:szCs w:val="24"/>
          <w:highlight w:val="none"/>
        </w:rPr>
        <w:t>供应商认为磋商文件、采购过程和成交结果使自己的权益受到损害的，可以在知道或者应知其权益受到损害之日起七个工作日内，以书面形式向采购代理机构提出质疑。</w:t>
      </w:r>
    </w:p>
    <w:p w14:paraId="64002A94">
      <w:pPr>
        <w:pStyle w:val="23"/>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33.2质疑的主要内容应符合相关法律法规以及浙江省和丽水市相关文件的规定。质疑内容涉及保密事项，质疑供应商应提供有效的信息来源或有效证据。</w:t>
      </w:r>
    </w:p>
    <w:p w14:paraId="77A1AA00">
      <w:pPr>
        <w:pStyle w:val="23"/>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33.3质疑供应商可直接提交、传真或邮寄方式提交质疑书（一式三份以上）。以其他方式提出的质疑，采购代理机构可不予接受、答复。</w:t>
      </w:r>
    </w:p>
    <w:p w14:paraId="10C14009">
      <w:pPr>
        <w:pStyle w:val="23"/>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33.3.1邮寄方式送达质疑书的，以采购代理机构实际收到邮件之日作为收到质疑的日期。</w:t>
      </w:r>
    </w:p>
    <w:p w14:paraId="1A2F305B">
      <w:pPr>
        <w:pStyle w:val="23"/>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33.3.2传</w:t>
      </w:r>
      <w:r>
        <w:rPr>
          <w:rFonts w:hint="eastAsia" w:ascii="宋体" w:hAnsi="宋体" w:eastAsia="宋体" w:cs="宋体"/>
          <w:color w:val="auto"/>
          <w:kern w:val="2"/>
          <w:sz w:val="24"/>
          <w:szCs w:val="24"/>
          <w:highlight w:val="none"/>
        </w:rPr>
        <w:t>真方式送达质疑书的，质疑供应商应当取得采购代理机构确认收到传真的意见，并及时将质疑书原件送达采购代理机构。采购代理机构以实际收到原件之日作为收到质疑的日期。</w:t>
      </w:r>
    </w:p>
    <w:p w14:paraId="3101B3D5">
      <w:pPr>
        <w:pStyle w:val="23"/>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33.3.3在质疑期限届满前，质疑书已经邮寄或传真成功的，质疑不视为过期。</w:t>
      </w:r>
    </w:p>
    <w:p w14:paraId="4BCCAC98">
      <w:pPr>
        <w:pStyle w:val="23"/>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33.4质疑供应商提供的相关材料中有外文资料的，应将与质疑相关的外文资料完整、客观、真实地翻译为中文，并注明翻译人员姓名、工作单位、联系方式等信息。</w:t>
      </w:r>
    </w:p>
    <w:p w14:paraId="484E7815">
      <w:pPr>
        <w:pStyle w:val="23"/>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33.5采购代理机构在收到质疑供应商的书面质疑后7个工作日内作出答复，并以书面形式答复质疑供应商。</w:t>
      </w:r>
    </w:p>
    <w:p w14:paraId="1E4936BD">
      <w:pPr>
        <w:pStyle w:val="23"/>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33.6质疑供应商捏造事实、提供虚假材料进行质疑的，采购代理机构报告同级财政部门，由同级财政部门审查，情况属实的，应列入不良行为记录，并在指定的媒体上公告。</w:t>
      </w:r>
    </w:p>
    <w:p w14:paraId="5A5FA135">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98" w:name="_Toc25983"/>
      <w:bookmarkStart w:id="99" w:name="_Toc495479102"/>
      <w:bookmarkStart w:id="100" w:name="_Toc24404"/>
      <w:r>
        <w:rPr>
          <w:rFonts w:hint="eastAsia" w:ascii="宋体" w:hAnsi="宋体" w:eastAsia="宋体" w:cs="宋体"/>
          <w:b/>
          <w:bCs/>
          <w:color w:val="auto"/>
          <w:sz w:val="28"/>
          <w:szCs w:val="28"/>
          <w:highlight w:val="none"/>
        </w:rPr>
        <w:t>十  投诉</w:t>
      </w:r>
      <w:bookmarkEnd w:id="95"/>
      <w:bookmarkEnd w:id="96"/>
      <w:bookmarkEnd w:id="97"/>
      <w:bookmarkEnd w:id="98"/>
      <w:bookmarkEnd w:id="99"/>
      <w:bookmarkEnd w:id="100"/>
    </w:p>
    <w:p w14:paraId="653CDEE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pacing w:val="-6"/>
          <w:kern w:val="0"/>
          <w:sz w:val="24"/>
          <w:szCs w:val="24"/>
          <w:highlight w:val="none"/>
        </w:rPr>
      </w:pPr>
      <w:bookmarkStart w:id="101" w:name="_Toc390938586"/>
      <w:bookmarkStart w:id="102" w:name="_Toc334087239"/>
      <w:bookmarkStart w:id="103" w:name="_Toc335664281"/>
      <w:r>
        <w:rPr>
          <w:rFonts w:hint="eastAsia" w:ascii="宋体" w:hAnsi="宋体" w:eastAsia="宋体" w:cs="宋体"/>
          <w:color w:val="auto"/>
          <w:sz w:val="24"/>
          <w:szCs w:val="24"/>
          <w:highlight w:val="none"/>
        </w:rPr>
        <w:t>34.</w:t>
      </w:r>
      <w:r>
        <w:rPr>
          <w:rFonts w:hint="eastAsia" w:ascii="宋体" w:hAnsi="宋体" w:eastAsia="宋体" w:cs="宋体"/>
          <w:color w:val="auto"/>
          <w:spacing w:val="-6"/>
          <w:kern w:val="0"/>
          <w:sz w:val="24"/>
          <w:szCs w:val="24"/>
          <w:highlight w:val="none"/>
        </w:rPr>
        <w:t>质疑供应商对采购代理机构的答复不满意或者采购代理机构未在规定时间内答复的，可以在答复期满后十五个工作日内按有关规定，以书面形式向同级监督管理部门投诉。</w:t>
      </w:r>
    </w:p>
    <w:p w14:paraId="03B7F6E0">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104" w:name="_Toc16294"/>
      <w:bookmarkStart w:id="105" w:name="_Toc5520"/>
      <w:bookmarkStart w:id="106" w:name="_Toc495479103"/>
      <w:r>
        <w:rPr>
          <w:rFonts w:hint="eastAsia" w:ascii="宋体" w:hAnsi="宋体" w:eastAsia="宋体" w:cs="宋体"/>
          <w:b/>
          <w:bCs/>
          <w:color w:val="auto"/>
          <w:sz w:val="28"/>
          <w:szCs w:val="28"/>
          <w:highlight w:val="none"/>
        </w:rPr>
        <w:t>十一  授予合同</w:t>
      </w:r>
      <w:bookmarkEnd w:id="92"/>
      <w:bookmarkEnd w:id="101"/>
      <w:bookmarkEnd w:id="102"/>
      <w:bookmarkEnd w:id="103"/>
      <w:bookmarkEnd w:id="104"/>
      <w:bookmarkEnd w:id="105"/>
      <w:bookmarkEnd w:id="106"/>
    </w:p>
    <w:p w14:paraId="6C1A3491">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szCs w:val="24"/>
          <w:highlight w:val="none"/>
        </w:rPr>
      </w:pPr>
      <w:bookmarkStart w:id="107" w:name="_Toc15805937"/>
      <w:bookmarkStart w:id="108" w:name="_Toc390938587"/>
      <w:bookmarkStart w:id="109" w:name="_Toc334087240"/>
      <w:bookmarkStart w:id="110" w:name="_Toc335664282"/>
      <w:bookmarkStart w:id="111" w:name="_Toc15813254"/>
      <w:bookmarkStart w:id="112" w:name="_Toc45506731"/>
      <w:bookmarkStart w:id="113" w:name="_Toc47756031"/>
      <w:bookmarkStart w:id="114" w:name="_Toc107820052"/>
      <w:r>
        <w:rPr>
          <w:rFonts w:hint="eastAsia" w:ascii="宋体" w:hAnsi="宋体" w:eastAsia="宋体" w:cs="宋体"/>
          <w:color w:val="auto"/>
          <w:sz w:val="24"/>
          <w:szCs w:val="24"/>
          <w:highlight w:val="none"/>
        </w:rPr>
        <w:t>35.成交结果公告及成交通知书</w:t>
      </w:r>
    </w:p>
    <w:p w14:paraId="0B65C0B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35.1采购代理机构将在“浙江政府采购网”和“丽水市公共资源交易网（庆元）”上发布成交结果公告，同时向成交人发出成交通知书。</w:t>
      </w:r>
    </w:p>
    <w:p w14:paraId="6D5B8260">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36.授予合同时变更数量的</w:t>
      </w:r>
      <w:r>
        <w:rPr>
          <w:rFonts w:hint="eastAsia" w:ascii="宋体" w:hAnsi="宋体" w:eastAsia="宋体" w:cs="宋体"/>
          <w:color w:val="auto"/>
          <w:sz w:val="24"/>
          <w:szCs w:val="24"/>
          <w:highlight w:val="none"/>
          <w:lang w:eastAsia="zh-CN"/>
        </w:rPr>
        <w:t>权利</w:t>
      </w:r>
    </w:p>
    <w:p w14:paraId="2D0F505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36.1采购人需追加与合同标的相同的货物、工程或者服务，在不改变合同其他条款的前提下，可以与成交人签订补充合同，但所有补充合同的采购总额不得超过原合同采购金额的</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。签订补充合同之前，采购人经同级政府采购监督管理部门同意，补充合同交同级政府采购监督管理部门备案。</w:t>
      </w:r>
    </w:p>
    <w:p w14:paraId="72F088D6">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37.签订合同</w:t>
      </w:r>
    </w:p>
    <w:p w14:paraId="593ED37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37.1成交人自成交通知书发出之日起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0日内与采购人</w:t>
      </w:r>
      <w:r>
        <w:rPr>
          <w:rFonts w:hint="eastAsia" w:ascii="宋体" w:hAnsi="宋体" w:eastAsia="宋体" w:cs="宋体"/>
          <w:color w:val="auto"/>
          <w:sz w:val="24"/>
          <w:szCs w:val="24"/>
          <w:highlight w:val="none"/>
          <w:lang w:eastAsia="zh-CN"/>
        </w:rPr>
        <w:t>签订合同</w:t>
      </w:r>
      <w:r>
        <w:rPr>
          <w:rFonts w:hint="eastAsia" w:ascii="宋体" w:hAnsi="宋体" w:eastAsia="宋体" w:cs="宋体"/>
          <w:color w:val="auto"/>
          <w:sz w:val="24"/>
          <w:szCs w:val="24"/>
          <w:highlight w:val="none"/>
        </w:rPr>
        <w:t>。</w:t>
      </w:r>
    </w:p>
    <w:p w14:paraId="624675F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37.2磋商文件、成交人的响应文件及其澄清文件等，均为签订合同的依据。</w:t>
      </w:r>
    </w:p>
    <w:p w14:paraId="74DD6D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37.3成交人不遵守磋商文件和响应文件的要约条款及所作的承诺，擅自修改报价或在成交通知书发出之日起30日内，无故拖延、拒签合同者，采购代理机构和采购人有权取消供应商的成交资格。</w:t>
      </w:r>
    </w:p>
    <w:p w14:paraId="434492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按有关法律法规成交人拒绝与采购人签订合同的，采购人可以按照评审报告推荐的成交候选人名单排序，确定下一候选人为成交人，也可以重新开展政府采购活动。</w:t>
      </w:r>
    </w:p>
    <w:p w14:paraId="5E4F84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37.4询问或者质疑事项可能影响成交结果的，采购人应当暂停签订合同，已经签订合同的，应当中止履行合同。（成交结果的质疑期为成交结果公告期限届满之日起七个工作日）。</w:t>
      </w:r>
    </w:p>
    <w:p w14:paraId="52F1C2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37.5</w:t>
      </w:r>
      <w:r>
        <w:rPr>
          <w:rFonts w:hint="eastAsia" w:ascii="宋体" w:hAnsi="宋体" w:eastAsia="宋体" w:cs="宋体"/>
          <w:color w:val="auto"/>
          <w:spacing w:val="-6"/>
          <w:sz w:val="24"/>
          <w:szCs w:val="24"/>
          <w:highlight w:val="none"/>
        </w:rPr>
        <w:t>采购人自政府采购合同签订之日起2个工作日内，将政府采购合同在省级以上人民政府财政部门指定的媒体上公告，但政府采购合同中涉及国家秘密、商业秘密的内容除外。</w:t>
      </w:r>
    </w:p>
    <w:bookmarkEnd w:id="107"/>
    <w:bookmarkEnd w:id="108"/>
    <w:bookmarkEnd w:id="109"/>
    <w:bookmarkEnd w:id="110"/>
    <w:bookmarkEnd w:id="111"/>
    <w:bookmarkEnd w:id="112"/>
    <w:bookmarkEnd w:id="113"/>
    <w:bookmarkEnd w:id="114"/>
    <w:p w14:paraId="2BAA4D72">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115" w:name="_Toc3322"/>
      <w:bookmarkStart w:id="116" w:name="_Toc493955970"/>
      <w:bookmarkStart w:id="117" w:name="_Toc8815"/>
      <w:bookmarkStart w:id="118" w:name="_Toc495479104"/>
      <w:bookmarkStart w:id="119" w:name="_Toc494558365"/>
      <w:r>
        <w:rPr>
          <w:rFonts w:hint="eastAsia" w:ascii="宋体" w:hAnsi="宋体" w:eastAsia="宋体" w:cs="宋体"/>
          <w:b/>
          <w:bCs/>
          <w:color w:val="auto"/>
          <w:sz w:val="28"/>
          <w:szCs w:val="28"/>
          <w:highlight w:val="none"/>
        </w:rPr>
        <w:t>十二  验收</w:t>
      </w:r>
      <w:bookmarkEnd w:id="115"/>
      <w:bookmarkEnd w:id="116"/>
      <w:bookmarkEnd w:id="117"/>
      <w:bookmarkEnd w:id="118"/>
      <w:bookmarkEnd w:id="119"/>
    </w:p>
    <w:p w14:paraId="3EFF6A13">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38.采购人应当及时对供应商履约情况进行验收或考核。</w:t>
      </w:r>
    </w:p>
    <w:p w14:paraId="0FA96C60">
      <w:pPr>
        <w:pStyle w:val="37"/>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38.1如本项目采购人将邀请其他供应商或者第三方机构参与验收、核对成交标的的技术指标、承诺等内容，是否和磋商文件、成交人响应文件的内容相符合。</w:t>
      </w:r>
    </w:p>
    <w:p w14:paraId="40FBBE82">
      <w:pPr>
        <w:pStyle w:val="37"/>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0D4F33A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r>
        <w:rPr>
          <w:rFonts w:hint="eastAsia" w:ascii="宋体" w:hAnsi="宋体" w:eastAsia="宋体" w:cs="宋体"/>
          <w:color w:val="auto"/>
          <w:spacing w:val="-6"/>
          <w:sz w:val="24"/>
          <w:szCs w:val="24"/>
          <w:highlight w:val="none"/>
        </w:rPr>
        <w:t>3</w:t>
      </w:r>
      <w:r>
        <w:rPr>
          <w:rFonts w:hint="eastAsia" w:ascii="宋体" w:hAnsi="宋体" w:eastAsia="宋体" w:cs="宋体"/>
          <w:color w:val="auto"/>
          <w:sz w:val="24"/>
          <w:szCs w:val="24"/>
          <w:highlight w:val="none"/>
        </w:rPr>
        <w:t>其他供应商应遵守诚实信用、实事求是的原则，在验收期间积极配合采购人组织的验收工作，不得影响或</w:t>
      </w:r>
      <w:r>
        <w:rPr>
          <w:rFonts w:hint="eastAsia" w:ascii="宋体" w:hAnsi="宋体" w:eastAsia="宋体" w:cs="宋体"/>
          <w:color w:val="auto"/>
          <w:sz w:val="24"/>
          <w:szCs w:val="24"/>
          <w:highlight w:val="none"/>
          <w:lang w:eastAsia="zh-CN"/>
        </w:rPr>
        <w:t>阻挠</w:t>
      </w:r>
      <w:r>
        <w:rPr>
          <w:rFonts w:hint="eastAsia" w:ascii="宋体" w:hAnsi="宋体" w:eastAsia="宋体" w:cs="宋体"/>
          <w:color w:val="auto"/>
          <w:sz w:val="24"/>
          <w:szCs w:val="24"/>
          <w:highlight w:val="none"/>
        </w:rPr>
        <w:t>验收工作的正常进行。参与验收的一切费用，原则上由供应商自行承担。</w:t>
      </w:r>
    </w:p>
    <w:p w14:paraId="7E94BCA6">
      <w:pPr>
        <w:pStyle w:val="5"/>
        <w:keepNext w:val="0"/>
        <w:keepLines w:val="0"/>
        <w:pageBreakBefore w:val="0"/>
        <w:widowControl w:val="0"/>
        <w:kinsoku/>
        <w:overflowPunct/>
        <w:topLinePunct w:val="0"/>
        <w:autoSpaceDE/>
        <w:autoSpaceDN/>
        <w:bidi w:val="0"/>
        <w:spacing w:after="0" w:line="460" w:lineRule="exact"/>
        <w:ind w:left="0" w:firstLine="0"/>
        <w:textAlignment w:val="auto"/>
        <w:rPr>
          <w:rFonts w:hint="eastAsia" w:ascii="宋体" w:hAnsi="宋体" w:eastAsia="宋体" w:cs="宋体"/>
          <w:b/>
          <w:bCs/>
          <w:color w:val="auto"/>
          <w:sz w:val="28"/>
          <w:szCs w:val="28"/>
          <w:highlight w:val="none"/>
        </w:rPr>
      </w:pPr>
      <w:bookmarkStart w:id="120" w:name="_Toc18070"/>
      <w:bookmarkStart w:id="121" w:name="_Toc23629"/>
      <w:bookmarkStart w:id="122" w:name="_Toc494558367"/>
      <w:bookmarkStart w:id="123" w:name="_Toc495479106"/>
      <w:bookmarkStart w:id="124" w:name="_Toc493955972"/>
      <w:r>
        <w:rPr>
          <w:rFonts w:hint="eastAsia" w:ascii="宋体" w:hAnsi="宋体" w:eastAsia="宋体" w:cs="宋体"/>
          <w:b/>
          <w:bCs/>
          <w:color w:val="auto"/>
          <w:sz w:val="28"/>
          <w:szCs w:val="28"/>
          <w:highlight w:val="none"/>
        </w:rPr>
        <w:t>十三  政府采购政策</w:t>
      </w:r>
      <w:bookmarkEnd w:id="120"/>
      <w:bookmarkEnd w:id="121"/>
    </w:p>
    <w:p w14:paraId="1E77E8FF">
      <w:pPr>
        <w:keepNext w:val="0"/>
        <w:keepLines w:val="0"/>
        <w:pageBreakBefore w:val="0"/>
        <w:widowControl w:val="0"/>
        <w:kinsoku/>
        <w:wordWrap/>
        <w:overflowPunct/>
        <w:topLinePunct w:val="0"/>
        <w:autoSpaceDE/>
        <w:autoSpaceDN/>
        <w:bidi w:val="0"/>
        <w:spacing w:line="460" w:lineRule="exact"/>
        <w:ind w:firstLine="480" w:firstLineChars="200"/>
        <w:textAlignment w:val="auto"/>
        <w:outlineLvl w:val="1"/>
        <w:rPr>
          <w:rFonts w:hint="eastAsia" w:ascii="宋体" w:hAnsi="宋体" w:eastAsia="宋体" w:cs="宋体"/>
          <w:color w:val="auto"/>
          <w:sz w:val="24"/>
          <w:highlight w:val="none"/>
        </w:rPr>
      </w:pPr>
      <w:bookmarkStart w:id="125" w:name="_Toc22062"/>
      <w:bookmarkStart w:id="126" w:name="_Toc32694"/>
      <w:r>
        <w:rPr>
          <w:rFonts w:hint="eastAsia" w:ascii="宋体" w:hAnsi="宋体" w:eastAsia="宋体" w:cs="宋体"/>
          <w:color w:val="auto"/>
          <w:sz w:val="24"/>
          <w:highlight w:val="none"/>
        </w:rPr>
        <w:t>39.关于中小企业参与政府采购活动的规定</w:t>
      </w:r>
    </w:p>
    <w:p w14:paraId="0B00C29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39.1</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eastAsia="zh-CN"/>
        </w:rPr>
        <w:t>是</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专门面向中小企业采购。</w:t>
      </w:r>
    </w:p>
    <w:p w14:paraId="4BCF793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39.2本项目对应的中小企业划分标准所属行业：</w:t>
      </w:r>
      <w:r>
        <w:rPr>
          <w:rFonts w:hint="eastAsia" w:ascii="宋体" w:hAnsi="宋体" w:eastAsia="宋体" w:cs="宋体"/>
          <w:b/>
          <w:bCs/>
          <w:color w:val="auto"/>
          <w:sz w:val="24"/>
          <w:highlight w:val="none"/>
          <w:u w:val="single"/>
          <w:lang w:eastAsia="zh-CN"/>
        </w:rPr>
        <w:t>其他未列明行业</w:t>
      </w:r>
      <w:r>
        <w:rPr>
          <w:rFonts w:hint="eastAsia" w:ascii="宋体" w:hAnsi="宋体" w:eastAsia="宋体" w:cs="宋体"/>
          <w:b/>
          <w:color w:val="auto"/>
          <w:sz w:val="24"/>
          <w:highlight w:val="none"/>
          <w:u w:val="single"/>
        </w:rPr>
        <w:t>。</w:t>
      </w:r>
    </w:p>
    <w:p w14:paraId="4E5B9DC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199A18A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42B3F9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国务院批准的中小企业划分标准：</w:t>
      </w:r>
      <w:r>
        <w:rPr>
          <w:rFonts w:ascii="宋体" w:hAnsi="宋体"/>
          <w:color w:val="auto"/>
          <w:sz w:val="24"/>
          <w:highlight w:val="none"/>
        </w:rPr>
        <w:t>具体见工信部联企业[2011]300号</w:t>
      </w:r>
      <w:r>
        <w:rPr>
          <w:rFonts w:hint="eastAsia" w:ascii="宋体" w:hAnsi="宋体"/>
          <w:color w:val="auto"/>
          <w:sz w:val="24"/>
          <w:highlight w:val="none"/>
        </w:rPr>
        <w:t>。</w:t>
      </w:r>
    </w:p>
    <w:p w14:paraId="1399B5F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39.4在政府采购活动中，供应商提供的货物、工程或者服务符合下列情形的，视为本办法规定的中小企业：</w:t>
      </w:r>
    </w:p>
    <w:p w14:paraId="3D912E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（一）在货物采购项目中，货物由中小企业制造，即货物由中小企业生产且使用该中小企业商号或者注册商标；</w:t>
      </w:r>
    </w:p>
    <w:p w14:paraId="57FC05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（二）在工程采购项目中，工程由中小企业承建，即工程施工单位为中小企业；</w:t>
      </w:r>
    </w:p>
    <w:p w14:paraId="2FE26D4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（三）在服务采购项目中，服务由中小企业承接，即提供服务的人员为中小企业依照《</w:t>
      </w:r>
      <w:r>
        <w:rPr>
          <w:rFonts w:hint="eastAsia" w:ascii="宋体" w:hAnsi="宋体" w:eastAsia="宋体" w:cs="宋体"/>
          <w:color w:val="auto"/>
          <w:sz w:val="24"/>
          <w:highlight w:val="none"/>
          <w:lang w:eastAsia="zh-CN"/>
        </w:rPr>
        <w:t>中华人民共和国劳动法</w:t>
      </w:r>
      <w:r>
        <w:rPr>
          <w:rFonts w:hint="eastAsia" w:ascii="宋体" w:hAnsi="宋体" w:eastAsia="宋体" w:cs="宋体"/>
          <w:color w:val="auto"/>
          <w:sz w:val="24"/>
          <w:highlight w:val="none"/>
        </w:rPr>
        <w:t>》订立劳动合同的从业人员。</w:t>
      </w:r>
    </w:p>
    <w:p w14:paraId="56277C1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在货物采购项目中，供应商提供的货物既有中小企业制造货物，也有大型企业制造货物的，视为非中小企业</w:t>
      </w:r>
      <w:r>
        <w:rPr>
          <w:rFonts w:hint="eastAsia" w:ascii="宋体" w:hAnsi="宋体" w:eastAsia="宋体" w:cs="宋体"/>
          <w:color w:val="auto"/>
          <w:sz w:val="24"/>
          <w:highlight w:val="none"/>
          <w:lang w:eastAsia="zh-CN"/>
        </w:rPr>
        <w:t>，</w:t>
      </w:r>
      <w:r>
        <w:rPr>
          <w:rFonts w:hint="eastAsia" w:ascii="宋体" w:hAnsi="宋体"/>
          <w:color w:val="auto"/>
          <w:sz w:val="24"/>
          <w:highlight w:val="none"/>
        </w:rPr>
        <w:t>不享受的小微企业价格扣除</w:t>
      </w:r>
      <w:r>
        <w:rPr>
          <w:rFonts w:ascii="宋体" w:hAnsi="宋体"/>
          <w:color w:val="auto"/>
          <w:sz w:val="24"/>
          <w:highlight w:val="none"/>
        </w:rPr>
        <w:t>。</w:t>
      </w:r>
    </w:p>
    <w:p w14:paraId="49F7123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68185BB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39.5</w:t>
      </w:r>
      <w:r>
        <w:rPr>
          <w:rFonts w:hint="eastAsia" w:ascii="宋体" w:hAnsi="宋体" w:eastAsia="宋体" w:cs="宋体"/>
          <w:color w:val="auto"/>
          <w:sz w:val="24"/>
          <w:highlight w:val="none"/>
        </w:rPr>
        <w:t>中小企业应按照采购文件格式要求提供《中小企业声明函》</w:t>
      </w:r>
      <w:r>
        <w:rPr>
          <w:rFonts w:hint="eastAsia" w:ascii="宋体" w:hAnsi="宋体" w:eastAsia="宋体" w:cs="宋体"/>
          <w:color w:val="auto"/>
          <w:spacing w:val="8"/>
          <w:kern w:val="0"/>
          <w:sz w:val="24"/>
          <w:szCs w:val="28"/>
          <w:highlight w:val="none"/>
        </w:rPr>
        <w:t>，否则</w:t>
      </w:r>
      <w:r>
        <w:rPr>
          <w:rFonts w:hint="eastAsia" w:ascii="宋体" w:hAnsi="宋体" w:eastAsia="宋体" w:cs="宋体"/>
          <w:color w:val="auto"/>
          <w:sz w:val="24"/>
          <w:highlight w:val="none"/>
        </w:rPr>
        <w:t>视为非中小企业。</w:t>
      </w:r>
    </w:p>
    <w:p w14:paraId="21CBD43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98F5C6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14:paraId="020C16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按规定享受扶持政策获得政府采购合同的，</w:t>
      </w:r>
      <w:r>
        <w:rPr>
          <w:rFonts w:hint="eastAsia" w:ascii="宋体" w:hAnsi="宋体" w:eastAsia="宋体" w:cs="宋体"/>
          <w:color w:val="auto"/>
          <w:sz w:val="24"/>
          <w:highlight w:val="none"/>
        </w:rPr>
        <w:t>小微企业不得将合同分包给大中型企业，中型企业不得将合同分包给大型企业。</w:t>
      </w:r>
    </w:p>
    <w:p w14:paraId="28FEF24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4F4A86D7">
      <w:pPr>
        <w:pStyle w:val="5"/>
        <w:keepNext w:val="0"/>
        <w:keepLines w:val="0"/>
        <w:pageBreakBefore w:val="0"/>
        <w:widowControl w:val="0"/>
        <w:kinsoku/>
        <w:overflowPunct/>
        <w:topLinePunct w:val="0"/>
        <w:autoSpaceDE/>
        <w:autoSpaceDN/>
        <w:bidi w:val="0"/>
        <w:spacing w:after="0" w:line="460" w:lineRule="exact"/>
        <w:ind w:left="0" w:firstLine="0"/>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十四</w:t>
      </w:r>
      <w:bookmarkEnd w:id="125"/>
      <w:bookmarkEnd w:id="126"/>
      <w:bookmarkStart w:id="127" w:name="_Toc2850"/>
      <w:bookmarkStart w:id="128" w:name="_Toc20113"/>
      <w:r>
        <w:rPr>
          <w:rFonts w:hint="eastAsia" w:ascii="宋体" w:hAnsi="宋体" w:eastAsia="宋体" w:cs="宋体"/>
          <w:b/>
          <w:bCs/>
          <w:color w:val="auto"/>
          <w:sz w:val="28"/>
          <w:szCs w:val="28"/>
          <w:highlight w:val="none"/>
        </w:rPr>
        <w:t xml:space="preserve">  其他事项</w:t>
      </w:r>
      <w:bookmarkEnd w:id="122"/>
      <w:bookmarkEnd w:id="123"/>
      <w:bookmarkEnd w:id="124"/>
      <w:bookmarkEnd w:id="127"/>
      <w:bookmarkEnd w:id="128"/>
    </w:p>
    <w:p w14:paraId="1A0808B0">
      <w:pPr>
        <w:keepNext w:val="0"/>
        <w:keepLines w:val="0"/>
        <w:pageBreakBefore w:val="0"/>
        <w:widowControl w:val="0"/>
        <w:kinsoku/>
        <w:overflowPunct/>
        <w:topLinePunct w:val="0"/>
        <w:autoSpaceDE/>
        <w:autoSpaceDN/>
        <w:bidi w:val="0"/>
        <w:adjustRightInd/>
        <w:spacing w:line="460" w:lineRule="exact"/>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 解释权</w:t>
      </w:r>
    </w:p>
    <w:p w14:paraId="37548F9F">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41.1本磋商文件是根据国家有关</w:t>
      </w:r>
      <w:r>
        <w:rPr>
          <w:rFonts w:hint="eastAsia" w:ascii="宋体" w:hAnsi="宋体" w:eastAsia="宋体" w:cs="宋体"/>
          <w:bCs/>
          <w:color w:val="auto"/>
          <w:sz w:val="24"/>
          <w:szCs w:val="24"/>
          <w:highlight w:val="none"/>
          <w:lang w:eastAsia="zh-CN"/>
        </w:rPr>
        <w:t>法律法规</w:t>
      </w:r>
      <w:r>
        <w:rPr>
          <w:rFonts w:hint="eastAsia" w:ascii="宋体" w:hAnsi="宋体" w:eastAsia="宋体" w:cs="宋体"/>
          <w:bCs/>
          <w:color w:val="auto"/>
          <w:sz w:val="24"/>
          <w:szCs w:val="24"/>
          <w:highlight w:val="none"/>
        </w:rPr>
        <w:t>、规章和有关规定编制的，解释权属采购代理机构。</w:t>
      </w:r>
    </w:p>
    <w:p w14:paraId="59A0EEA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41.2.采购代理机构对决标结果不负责解释。</w:t>
      </w:r>
    </w:p>
    <w:p w14:paraId="5E541C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42.采购代理服务费：</w:t>
      </w:r>
    </w:p>
    <w:p w14:paraId="5F414278">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由成交人支付代理服务费，费用根据发改价格〔2002〕1980号文件收费标准计算，少于5000元按5000元计取。成交人在成交结果公告发出后五个工作日内向采购代理机构支付代理服务费。</w:t>
      </w:r>
    </w:p>
    <w:tbl>
      <w:tblPr>
        <w:tblStyle w:val="4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87"/>
        <w:gridCol w:w="2211"/>
        <w:gridCol w:w="2041"/>
      </w:tblGrid>
      <w:tr w14:paraId="4D86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6E3E503B">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中标金额（万元）</w:t>
            </w:r>
          </w:p>
        </w:tc>
        <w:tc>
          <w:tcPr>
            <w:tcW w:w="2087" w:type="dxa"/>
            <w:tcBorders>
              <w:top w:val="single" w:color="auto" w:sz="4" w:space="0"/>
              <w:left w:val="single" w:color="auto" w:sz="4" w:space="0"/>
              <w:bottom w:val="single" w:color="auto" w:sz="4" w:space="0"/>
              <w:right w:val="single" w:color="auto" w:sz="4" w:space="0"/>
            </w:tcBorders>
            <w:vAlign w:val="center"/>
          </w:tcPr>
          <w:p w14:paraId="1B692D3E">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货物招标</w:t>
            </w:r>
          </w:p>
        </w:tc>
        <w:tc>
          <w:tcPr>
            <w:tcW w:w="2211" w:type="dxa"/>
            <w:tcBorders>
              <w:top w:val="single" w:color="auto" w:sz="4" w:space="0"/>
              <w:left w:val="single" w:color="auto" w:sz="4" w:space="0"/>
              <w:bottom w:val="single" w:color="auto" w:sz="4" w:space="0"/>
              <w:right w:val="single" w:color="auto" w:sz="4" w:space="0"/>
            </w:tcBorders>
            <w:vAlign w:val="center"/>
          </w:tcPr>
          <w:p w14:paraId="3506AD1E">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服务招标</w:t>
            </w:r>
          </w:p>
        </w:tc>
        <w:tc>
          <w:tcPr>
            <w:tcW w:w="2041" w:type="dxa"/>
            <w:tcBorders>
              <w:top w:val="single" w:color="auto" w:sz="4" w:space="0"/>
              <w:left w:val="single" w:color="auto" w:sz="4" w:space="0"/>
              <w:bottom w:val="single" w:color="auto" w:sz="4" w:space="0"/>
              <w:right w:val="single" w:color="auto" w:sz="4" w:space="0"/>
            </w:tcBorders>
            <w:vAlign w:val="center"/>
          </w:tcPr>
          <w:p w14:paraId="4ED5F853">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工程招标</w:t>
            </w:r>
          </w:p>
        </w:tc>
      </w:tr>
      <w:tr w14:paraId="78E6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23C5FB35">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100以下</w:t>
            </w:r>
          </w:p>
        </w:tc>
        <w:tc>
          <w:tcPr>
            <w:tcW w:w="2087" w:type="dxa"/>
            <w:tcBorders>
              <w:top w:val="single" w:color="auto" w:sz="4" w:space="0"/>
              <w:left w:val="single" w:color="auto" w:sz="4" w:space="0"/>
              <w:bottom w:val="single" w:color="auto" w:sz="4" w:space="0"/>
              <w:right w:val="single" w:color="auto" w:sz="4" w:space="0"/>
            </w:tcBorders>
            <w:vAlign w:val="center"/>
          </w:tcPr>
          <w:p w14:paraId="1CA52940">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211" w:type="dxa"/>
            <w:tcBorders>
              <w:top w:val="single" w:color="auto" w:sz="4" w:space="0"/>
              <w:left w:val="single" w:color="auto" w:sz="4" w:space="0"/>
              <w:bottom w:val="single" w:color="auto" w:sz="4" w:space="0"/>
              <w:right w:val="single" w:color="auto" w:sz="4" w:space="0"/>
            </w:tcBorders>
            <w:vAlign w:val="center"/>
          </w:tcPr>
          <w:p w14:paraId="0E1C6706">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41" w:type="dxa"/>
            <w:tcBorders>
              <w:top w:val="single" w:color="auto" w:sz="4" w:space="0"/>
              <w:left w:val="single" w:color="auto" w:sz="4" w:space="0"/>
              <w:bottom w:val="single" w:color="auto" w:sz="4" w:space="0"/>
              <w:right w:val="single" w:color="auto" w:sz="4" w:space="0"/>
            </w:tcBorders>
            <w:vAlign w:val="center"/>
          </w:tcPr>
          <w:p w14:paraId="36B9354E">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1C96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12B27D1A">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100-500</w:t>
            </w:r>
          </w:p>
        </w:tc>
        <w:tc>
          <w:tcPr>
            <w:tcW w:w="2087" w:type="dxa"/>
            <w:tcBorders>
              <w:top w:val="single" w:color="auto" w:sz="4" w:space="0"/>
              <w:left w:val="single" w:color="auto" w:sz="4" w:space="0"/>
              <w:bottom w:val="single" w:color="auto" w:sz="4" w:space="0"/>
              <w:right w:val="single" w:color="auto" w:sz="4" w:space="0"/>
            </w:tcBorders>
            <w:vAlign w:val="center"/>
          </w:tcPr>
          <w:p w14:paraId="55BEF0D3">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211" w:type="dxa"/>
            <w:tcBorders>
              <w:top w:val="single" w:color="auto" w:sz="4" w:space="0"/>
              <w:left w:val="single" w:color="auto" w:sz="4" w:space="0"/>
              <w:bottom w:val="single" w:color="auto" w:sz="4" w:space="0"/>
              <w:right w:val="single" w:color="auto" w:sz="4" w:space="0"/>
            </w:tcBorders>
            <w:vAlign w:val="center"/>
          </w:tcPr>
          <w:p w14:paraId="034EFDBB">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2041" w:type="dxa"/>
            <w:tcBorders>
              <w:top w:val="single" w:color="auto" w:sz="4" w:space="0"/>
              <w:left w:val="single" w:color="auto" w:sz="4" w:space="0"/>
              <w:bottom w:val="single" w:color="auto" w:sz="4" w:space="0"/>
              <w:right w:val="single" w:color="auto" w:sz="4" w:space="0"/>
            </w:tcBorders>
            <w:vAlign w:val="center"/>
          </w:tcPr>
          <w:p w14:paraId="6A0CEDA7">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tc>
      </w:tr>
      <w:tr w14:paraId="0488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57149BAD">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500-1000</w:t>
            </w:r>
          </w:p>
        </w:tc>
        <w:tc>
          <w:tcPr>
            <w:tcW w:w="2087" w:type="dxa"/>
            <w:tcBorders>
              <w:top w:val="single" w:color="auto" w:sz="4" w:space="0"/>
              <w:left w:val="single" w:color="auto" w:sz="4" w:space="0"/>
              <w:bottom w:val="single" w:color="auto" w:sz="4" w:space="0"/>
              <w:right w:val="single" w:color="auto" w:sz="4" w:space="0"/>
            </w:tcBorders>
            <w:vAlign w:val="center"/>
          </w:tcPr>
          <w:p w14:paraId="48E74E3E">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2211" w:type="dxa"/>
            <w:tcBorders>
              <w:top w:val="single" w:color="auto" w:sz="4" w:space="0"/>
              <w:left w:val="single" w:color="auto" w:sz="4" w:space="0"/>
              <w:bottom w:val="single" w:color="auto" w:sz="4" w:space="0"/>
              <w:right w:val="single" w:color="auto" w:sz="4" w:space="0"/>
            </w:tcBorders>
            <w:vAlign w:val="center"/>
          </w:tcPr>
          <w:p w14:paraId="0242C1F6">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0.45%</w:t>
            </w:r>
          </w:p>
        </w:tc>
        <w:tc>
          <w:tcPr>
            <w:tcW w:w="2041" w:type="dxa"/>
            <w:tcBorders>
              <w:top w:val="single" w:color="auto" w:sz="4" w:space="0"/>
              <w:left w:val="single" w:color="auto" w:sz="4" w:space="0"/>
              <w:bottom w:val="single" w:color="auto" w:sz="4" w:space="0"/>
              <w:right w:val="single" w:color="auto" w:sz="4" w:space="0"/>
            </w:tcBorders>
            <w:vAlign w:val="center"/>
          </w:tcPr>
          <w:p w14:paraId="06BB91FF">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0.55%</w:t>
            </w:r>
          </w:p>
        </w:tc>
      </w:tr>
    </w:tbl>
    <w:p w14:paraId="236E654E">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注：账户名称：浙江飞秀工程咨询有限公司庆元分公司</w:t>
      </w:r>
    </w:p>
    <w:p w14:paraId="47A7879D">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开户行：中国建设银行股份有限公司庆元支行</w:t>
      </w:r>
    </w:p>
    <w:p w14:paraId="129CF13A">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号：33050169737500001411</w:t>
      </w:r>
      <w:r>
        <w:rPr>
          <w:rFonts w:hint="eastAsia" w:ascii="宋体" w:hAnsi="宋体" w:eastAsia="宋体" w:cs="宋体"/>
          <w:color w:val="auto"/>
          <w:sz w:val="24"/>
          <w:szCs w:val="24"/>
          <w:highlight w:val="none"/>
          <w:lang w:val="en-US" w:eastAsia="zh-CN"/>
        </w:rPr>
        <w:br w:type="page"/>
      </w:r>
    </w:p>
    <w:p w14:paraId="4DB8B9D6">
      <w:pPr>
        <w:pStyle w:val="4"/>
        <w:widowControl w:val="0"/>
        <w:numPr>
          <w:ilvl w:val="0"/>
          <w:numId w:val="3"/>
        </w:numPr>
        <w:spacing w:line="480" w:lineRule="exact"/>
        <w:ind w:left="0"/>
        <w:jc w:val="center"/>
        <w:outlineLvl w:val="0"/>
        <w:rPr>
          <w:rFonts w:hint="eastAsia" w:ascii="宋体" w:hAnsi="宋体" w:eastAsia="宋体" w:cs="宋体"/>
          <w:b/>
          <w:bCs/>
          <w:color w:val="auto"/>
          <w:sz w:val="36"/>
          <w:szCs w:val="72"/>
          <w:highlight w:val="none"/>
        </w:rPr>
      </w:pPr>
      <w:bookmarkStart w:id="129" w:name="_Toc41566461"/>
      <w:bookmarkStart w:id="130" w:name="_Toc13528"/>
      <w:bookmarkStart w:id="131" w:name="_Toc21207"/>
      <w:bookmarkStart w:id="132" w:name="_Toc12776"/>
      <w:bookmarkStart w:id="133" w:name="_Toc29734948"/>
      <w:bookmarkStart w:id="134" w:name="_Toc390938597"/>
      <w:r>
        <w:rPr>
          <w:rFonts w:hint="eastAsia" w:ascii="宋体" w:hAnsi="宋体" w:eastAsia="宋体" w:cs="宋体"/>
          <w:b/>
          <w:bCs/>
          <w:color w:val="auto"/>
          <w:sz w:val="36"/>
          <w:szCs w:val="72"/>
          <w:highlight w:val="none"/>
        </w:rPr>
        <w:t xml:space="preserve"> </w:t>
      </w:r>
      <w:bookmarkStart w:id="135" w:name="_Toc3539"/>
      <w:r>
        <w:rPr>
          <w:rFonts w:hint="eastAsia" w:ascii="宋体" w:hAnsi="宋体" w:eastAsia="宋体" w:cs="宋体"/>
          <w:b/>
          <w:bCs/>
          <w:color w:val="auto"/>
          <w:sz w:val="36"/>
          <w:szCs w:val="72"/>
          <w:highlight w:val="none"/>
        </w:rPr>
        <w:t>采购需求</w:t>
      </w:r>
      <w:bookmarkEnd w:id="135"/>
    </w:p>
    <w:bookmarkEnd w:id="129"/>
    <w:bookmarkEnd w:id="130"/>
    <w:bookmarkEnd w:id="131"/>
    <w:bookmarkEnd w:id="132"/>
    <w:bookmarkEnd w:id="133"/>
    <w:p w14:paraId="532EECB6">
      <w:pPr>
        <w:spacing w:line="360" w:lineRule="auto"/>
        <w:ind w:firstLine="482" w:firstLineChars="200"/>
        <w:rPr>
          <w:rFonts w:hint="default" w:ascii="宋体" w:hAnsi="宋体" w:eastAsia="宋体" w:cs="宋体"/>
          <w:b/>
          <w:bCs/>
          <w:color w:val="auto"/>
          <w:sz w:val="24"/>
          <w:szCs w:val="24"/>
          <w:highlight w:val="none"/>
          <w:lang w:val="en-US" w:eastAsia="zh-CN"/>
        </w:rPr>
      </w:pPr>
      <w:bookmarkStart w:id="136" w:name="_Toc15353"/>
      <w:r>
        <w:rPr>
          <w:rFonts w:hint="eastAsia" w:ascii="宋体" w:hAnsi="宋体" w:eastAsia="宋体" w:cs="宋体"/>
          <w:b/>
          <w:bCs/>
          <w:color w:val="auto"/>
          <w:sz w:val="24"/>
          <w:szCs w:val="24"/>
          <w:highlight w:val="none"/>
          <w:lang w:val="en-US" w:eastAsia="zh-CN"/>
        </w:rPr>
        <w:t>一、项目概况</w:t>
      </w:r>
    </w:p>
    <w:p w14:paraId="4A3BEDC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（一）建设目标</w:t>
      </w:r>
    </w:p>
    <w:p w14:paraId="781E38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贯彻落实《自然资源部关于进一步做好地籍调查工作的通知》（自然资发〔2023〕195号）、《自然资源部办公厅关于加快编制地籍图的通知》（自然资办函〔2024〕1481号）、《关于加快地籍成果入库汇交工作的函》（自然资登记函〔2025〕32号）、《浙江省自然资源厅关于进一步做好地籍调查工作的实施意见》（浙自然资函〔2024〕55 号）等文件要求，进一步提升地籍调查工作质量和服务水平，更好支撑确权登记和自然资源管理相关工作，开展庆元县农村宅基地、集体建设用地及国有建设用地全覆盖地籍图编制工作，完成地籍调查数据收集整理，要完成未调查宗地范围勾绘及相关数据核实，基本实现农村宅基地、集体建设用地及国有建设用地地籍图全覆盖，数据成果汇交到部工作。</w:t>
      </w:r>
    </w:p>
    <w:p w14:paraId="3A799337">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（二）建设依据</w:t>
      </w:r>
    </w:p>
    <w:p w14:paraId="65117FB7">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1、通知文件</w:t>
      </w:r>
    </w:p>
    <w:p w14:paraId="6B5D8E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（1）《自然资源部关于进一步做好地籍调查工作的通知》（自然资发〔2023〕195号）；</w:t>
      </w:r>
    </w:p>
    <w:p w14:paraId="7F2D207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（2）《自然资源部办公厅关于加快编制地籍图的通知》（自然资办函〔2024〕1481号）；</w:t>
      </w:r>
    </w:p>
    <w:p w14:paraId="5CC8E3D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（3）《关于加快地籍成果入库汇交工作的函》（自然资登记函〔2025〕32号）；</w:t>
      </w:r>
    </w:p>
    <w:p w14:paraId="0142883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（4）《浙江省自然资源厅关于进一步做好地籍调查工作的实施意见》（浙自然资函〔2024〕55 号）；</w:t>
      </w:r>
    </w:p>
    <w:p w14:paraId="70704E8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（5）《浙江省自然资源厅关于开展地籍调查示范工作的通知》（浙自然资源厅函〔2024〕1208号）；</w:t>
      </w:r>
    </w:p>
    <w:p w14:paraId="1F81021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（6）《浙江省农村宅基地和集体建设用地地籍数据补充完善及地籍图编制工作实施方案》。</w:t>
      </w:r>
    </w:p>
    <w:p w14:paraId="3338D23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2、技术标准和规范</w:t>
      </w:r>
    </w:p>
    <w:p w14:paraId="25E651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（1）地籍调查规程（GB/T 42547-2023）</w:t>
      </w:r>
    </w:p>
    <w:p w14:paraId="0FCC498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（2）地籍数据库 第1部分：不动产（TD/T 1015.1-2024）</w:t>
      </w:r>
    </w:p>
    <w:p w14:paraId="2B2CC9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（3）地籍数据库 第2部分：自然资源（TD/T 1015.2-2024）</w:t>
      </w:r>
    </w:p>
    <w:p w14:paraId="702FCCF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（4）《地籍图编制技术规范（试行）》</w:t>
      </w:r>
    </w:p>
    <w:p w14:paraId="74D63FD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（5）《地籍数据汇交要求（试行）》</w:t>
      </w:r>
    </w:p>
    <w:p w14:paraId="5A5B484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（6）《不动产单元设定与代码编制规则》（GB/T 37346-2019）</w:t>
      </w:r>
    </w:p>
    <w:p w14:paraId="7AF1E3A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（7）《土地利用现状分类》（GB/T 21010-2017）</w:t>
      </w:r>
    </w:p>
    <w:p w14:paraId="2CB664A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（8）《基础地理信息要素分类与代码》（GB/T 13923-2006）</w:t>
      </w:r>
    </w:p>
    <w:p w14:paraId="6C40AB31">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二、建设内容</w:t>
      </w:r>
    </w:p>
    <w:p w14:paraId="07F4640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（一）数据收集分析</w:t>
      </w:r>
    </w:p>
    <w:p w14:paraId="45AEF3E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结合庆元县基础条件与已有数据，开展地籍调查数据收集工作。借助数据调查分析、图形拓扑、图属关系分析等方法，筛查出无效、重复、冲突等问题数据，经梳理分析后，整理成问题清单。</w:t>
      </w:r>
    </w:p>
    <w:p w14:paraId="56F0F8D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eastAsia="zh-CN"/>
        </w:rPr>
        <w:t>宅基地及集体建设用地地籍图</w:t>
      </w:r>
      <w:r>
        <w:rPr>
          <w:rFonts w:hint="eastAsia" w:ascii="宋体" w:hAnsi="宋体" w:eastAsia="宋体" w:cs="宋体"/>
          <w:color w:val="auto"/>
          <w:sz w:val="24"/>
          <w:szCs w:val="24"/>
          <w:highlight w:val="none"/>
          <w:lang w:val="en-US" w:eastAsia="zh-CN"/>
        </w:rPr>
        <w:t>数据补充完善</w:t>
      </w:r>
    </w:p>
    <w:p w14:paraId="2A62E774">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1、图形数据补充</w:t>
      </w:r>
    </w:p>
    <w:p w14:paraId="1271F78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高分辨率卫星遥感影像、地形图等为基础底图，套合最新变更调查、集体所有权宗地用地范围、乡镇行政区划、村级调查界线，通过内业勾绘的方式补充农宅及集体建设用地图形，形成宅基地及集体建设用地调查工作底图。</w:t>
      </w:r>
    </w:p>
    <w:p w14:paraId="3C89199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2、外业核实</w:t>
      </w:r>
    </w:p>
    <w:p w14:paraId="7A673578">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通过对乡镇、所、村进行培训，协助乡镇、所、村</w:t>
      </w:r>
      <w:r>
        <w:rPr>
          <w:rFonts w:hint="eastAsia" w:ascii="宋体" w:hAnsi="宋体" w:eastAsia="宋体" w:cs="宋体"/>
          <w:color w:val="auto"/>
          <w:sz w:val="24"/>
          <w:szCs w:val="24"/>
          <w:highlight w:val="none"/>
          <w:lang w:val="en-US" w:eastAsia="zh-CN"/>
        </w:rPr>
        <w:t>根据数据清单及工作底图</w:t>
      </w:r>
      <w:r>
        <w:rPr>
          <w:rFonts w:hint="default" w:ascii="宋体" w:hAnsi="宋体" w:eastAsia="宋体" w:cs="宋体"/>
          <w:color w:val="auto"/>
          <w:sz w:val="24"/>
          <w:szCs w:val="24"/>
          <w:highlight w:val="none"/>
          <w:lang w:val="en-US" w:eastAsia="zh-CN"/>
        </w:rPr>
        <w:t>进行外业</w:t>
      </w:r>
      <w:r>
        <w:rPr>
          <w:rFonts w:hint="eastAsia" w:ascii="宋体" w:hAnsi="宋体" w:eastAsia="宋体" w:cs="宋体"/>
          <w:color w:val="auto"/>
          <w:sz w:val="24"/>
          <w:szCs w:val="24"/>
          <w:highlight w:val="none"/>
          <w:lang w:val="en-US" w:eastAsia="zh-CN"/>
        </w:rPr>
        <w:t>核实</w:t>
      </w:r>
      <w:r>
        <w:rPr>
          <w:rFonts w:hint="default" w:ascii="宋体" w:hAnsi="宋体" w:eastAsia="宋体" w:cs="宋体"/>
          <w:color w:val="auto"/>
          <w:sz w:val="24"/>
          <w:szCs w:val="24"/>
          <w:highlight w:val="none"/>
          <w:lang w:val="en-US" w:eastAsia="zh-CN"/>
        </w:rPr>
        <w:t>，并同步完善内业图形勾绘成果，以形成最终的已调查已登记，已调查未登记，未调查未登记成果。</w:t>
      </w:r>
    </w:p>
    <w:p w14:paraId="2998F99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图形拓扑，问题数据分析处理</w:t>
      </w:r>
    </w:p>
    <w:p w14:paraId="44201EC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叠加集体土地所有权、林权、农经权不动产登记数据，农转征收数据，储备用地，基础测绘数据等相关矢量数据，查找数据冲突数据、权属重叠问题，并进行问题数据标注管理。</w:t>
      </w:r>
    </w:p>
    <w:p w14:paraId="1A19F5B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国有建设用地地籍图</w:t>
      </w:r>
      <w:r>
        <w:rPr>
          <w:rFonts w:hint="eastAsia" w:ascii="宋体" w:hAnsi="宋体" w:eastAsia="宋体" w:cs="宋体"/>
          <w:color w:val="auto"/>
          <w:sz w:val="24"/>
          <w:szCs w:val="24"/>
          <w:highlight w:val="none"/>
          <w:lang w:val="en-US" w:eastAsia="zh-CN"/>
        </w:rPr>
        <w:t>数据补充完善</w:t>
      </w:r>
    </w:p>
    <w:p w14:paraId="11D95328">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根据档案补充国有建设用地</w:t>
      </w:r>
    </w:p>
    <w:p w14:paraId="383D3E3E">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通过登记库数据分析，梳理出</w:t>
      </w:r>
      <w:r>
        <w:rPr>
          <w:rFonts w:hint="eastAsia" w:ascii="宋体" w:hAnsi="宋体" w:eastAsia="宋体" w:cs="宋体"/>
          <w:color w:val="auto"/>
          <w:sz w:val="24"/>
          <w:szCs w:val="24"/>
          <w:highlight w:val="none"/>
          <w:lang w:val="en-US" w:eastAsia="zh-CN"/>
        </w:rPr>
        <w:t>已登记未调查</w:t>
      </w:r>
      <w:r>
        <w:rPr>
          <w:rFonts w:hint="default" w:ascii="宋体" w:hAnsi="宋体" w:eastAsia="宋体" w:cs="宋体"/>
          <w:color w:val="auto"/>
          <w:sz w:val="24"/>
          <w:szCs w:val="24"/>
          <w:highlight w:val="none"/>
          <w:lang w:val="en-US" w:eastAsia="zh-CN"/>
        </w:rPr>
        <w:t>宗地清单，对需要</w:t>
      </w:r>
      <w:r>
        <w:rPr>
          <w:rFonts w:hint="eastAsia" w:ascii="宋体" w:hAnsi="宋体" w:eastAsia="宋体" w:cs="宋体"/>
          <w:color w:val="auto"/>
          <w:sz w:val="24"/>
          <w:szCs w:val="24"/>
          <w:highlight w:val="none"/>
          <w:lang w:val="en-US" w:eastAsia="zh-CN"/>
        </w:rPr>
        <w:t>图形</w:t>
      </w:r>
      <w:r>
        <w:rPr>
          <w:rFonts w:hint="default" w:ascii="宋体" w:hAnsi="宋体" w:eastAsia="宋体" w:cs="宋体"/>
          <w:color w:val="auto"/>
          <w:sz w:val="24"/>
          <w:szCs w:val="24"/>
          <w:highlight w:val="none"/>
          <w:lang w:val="en-US" w:eastAsia="zh-CN"/>
        </w:rPr>
        <w:t>补充的宗地查找相应电子档案，优先按界址点坐标进行补录成图。</w:t>
      </w:r>
    </w:p>
    <w:p w14:paraId="4629BDC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通过外业核实实现国有建设用地全覆盖</w:t>
      </w:r>
    </w:p>
    <w:p w14:paraId="00E4209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图属关系建立</w:t>
      </w:r>
    </w:p>
    <w:p w14:paraId="07E5F1F9">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以外业为主的方式建立</w:t>
      </w:r>
      <w:r>
        <w:rPr>
          <w:rFonts w:hint="eastAsia" w:ascii="宋体" w:hAnsi="宋体" w:eastAsia="宋体" w:cs="宋体"/>
          <w:color w:val="auto"/>
          <w:sz w:val="24"/>
          <w:szCs w:val="24"/>
          <w:highlight w:val="none"/>
          <w:lang w:val="en-US" w:eastAsia="zh-CN"/>
        </w:rPr>
        <w:t>无法通过档案补充图形的，</w:t>
      </w:r>
      <w:r>
        <w:rPr>
          <w:rFonts w:hint="default" w:ascii="宋体" w:hAnsi="宋体" w:eastAsia="宋体" w:cs="宋体"/>
          <w:color w:val="auto"/>
          <w:sz w:val="24"/>
          <w:szCs w:val="24"/>
          <w:highlight w:val="none"/>
          <w:lang w:val="en-US" w:eastAsia="zh-CN"/>
        </w:rPr>
        <w:t>通过外业核实的方式进行</w:t>
      </w:r>
      <w:r>
        <w:rPr>
          <w:rFonts w:hint="eastAsia" w:ascii="宋体" w:hAnsi="宋体" w:eastAsia="宋体" w:cs="宋体"/>
          <w:color w:val="auto"/>
          <w:sz w:val="24"/>
          <w:szCs w:val="24"/>
          <w:highlight w:val="none"/>
          <w:lang w:val="en-US" w:eastAsia="zh-CN"/>
        </w:rPr>
        <w:t>补充</w:t>
      </w:r>
      <w:r>
        <w:rPr>
          <w:rFonts w:hint="default" w:ascii="宋体" w:hAnsi="宋体" w:eastAsia="宋体" w:cs="宋体"/>
          <w:color w:val="auto"/>
          <w:sz w:val="24"/>
          <w:szCs w:val="24"/>
          <w:highlight w:val="none"/>
          <w:lang w:val="en-US" w:eastAsia="zh-CN"/>
        </w:rPr>
        <w:t>完善，以实现国有宗地地籍图的全覆盖。</w:t>
      </w:r>
    </w:p>
    <w:p w14:paraId="31D6E488">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国有产权户室</w:t>
      </w:r>
      <w:r>
        <w:rPr>
          <w:rFonts w:hint="eastAsia" w:ascii="宋体" w:hAnsi="宋体" w:eastAsia="宋体" w:cs="宋体"/>
          <w:color w:val="auto"/>
          <w:sz w:val="24"/>
          <w:szCs w:val="24"/>
          <w:highlight w:val="none"/>
          <w:lang w:val="en-US" w:eastAsia="zh-CN"/>
        </w:rPr>
        <w:t>的有属无图</w:t>
      </w:r>
      <w:r>
        <w:rPr>
          <w:rFonts w:hint="default" w:ascii="宋体" w:hAnsi="宋体" w:eastAsia="宋体" w:cs="宋体"/>
          <w:color w:val="auto"/>
          <w:sz w:val="24"/>
          <w:szCs w:val="24"/>
          <w:highlight w:val="none"/>
          <w:lang w:val="en-US" w:eastAsia="zh-CN"/>
        </w:rPr>
        <w:t>数据的归幢落宗，以建立无图证书与地籍图形的关联关系。</w:t>
      </w:r>
    </w:p>
    <w:p w14:paraId="0CFF44B0">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图形拓扑，问题数据分析处理</w:t>
      </w:r>
    </w:p>
    <w:p w14:paraId="58F8D6B7">
      <w:p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叠加</w:t>
      </w:r>
      <w:r>
        <w:rPr>
          <w:rFonts w:hint="eastAsia" w:ascii="宋体" w:hAnsi="宋体" w:eastAsia="宋体" w:cs="宋体"/>
          <w:color w:val="auto"/>
          <w:sz w:val="24"/>
          <w:szCs w:val="24"/>
          <w:highlight w:val="none"/>
          <w:lang w:val="en-US" w:eastAsia="zh-CN"/>
        </w:rPr>
        <w:t>集体土地所有权、林权、农经权不动产登记数据，</w:t>
      </w:r>
      <w:r>
        <w:rPr>
          <w:rFonts w:hint="default" w:ascii="宋体" w:hAnsi="宋体" w:eastAsia="宋体" w:cs="宋体"/>
          <w:color w:val="auto"/>
          <w:sz w:val="24"/>
          <w:szCs w:val="24"/>
          <w:highlight w:val="none"/>
          <w:lang w:val="en-US" w:eastAsia="zh-CN"/>
        </w:rPr>
        <w:t>基础测绘等相关矢量数据，查找</w:t>
      </w:r>
      <w:r>
        <w:rPr>
          <w:rFonts w:hint="eastAsia" w:ascii="宋体" w:hAnsi="宋体" w:eastAsia="宋体" w:cs="宋体"/>
          <w:color w:val="auto"/>
          <w:sz w:val="24"/>
          <w:szCs w:val="24"/>
          <w:highlight w:val="none"/>
          <w:lang w:val="en-US" w:eastAsia="zh-CN"/>
        </w:rPr>
        <w:t>查找数据冲突数据、权属重叠问题，并进行问题数据标注管理。</w:t>
      </w:r>
    </w:p>
    <w:p w14:paraId="00E2B77F">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（四）外业核实成果回库</w:t>
      </w:r>
    </w:p>
    <w:p w14:paraId="144CC4A7">
      <w:p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将外业核实成果梳理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回库，以形成最终的已登记，已调查未登记，未调查未登记成果</w:t>
      </w:r>
      <w:r>
        <w:rPr>
          <w:rFonts w:hint="eastAsia" w:ascii="宋体" w:hAnsi="宋体" w:eastAsia="宋体" w:cs="宋体"/>
          <w:color w:val="auto"/>
          <w:sz w:val="24"/>
          <w:szCs w:val="24"/>
          <w:highlight w:val="none"/>
          <w:lang w:val="en-US" w:eastAsia="zh-CN"/>
        </w:rPr>
        <w:t>，数据需要和目前不动产登记数据库做好关联关系</w:t>
      </w:r>
      <w:r>
        <w:rPr>
          <w:rFonts w:hint="default" w:ascii="宋体" w:hAnsi="宋体" w:eastAsia="宋体" w:cs="宋体"/>
          <w:color w:val="auto"/>
          <w:sz w:val="24"/>
          <w:szCs w:val="24"/>
          <w:highlight w:val="none"/>
          <w:lang w:val="en-US" w:eastAsia="zh-CN"/>
        </w:rPr>
        <w:t>。</w:t>
      </w:r>
    </w:p>
    <w:p w14:paraId="734B087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（五）不动产单元号编制</w:t>
      </w:r>
    </w:p>
    <w:p w14:paraId="342214B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对新增的地籍图数据按图形所在位置及类别进行不动产单元号编制，作为"一码"管理的依据。</w:t>
      </w:r>
    </w:p>
    <w:p w14:paraId="44E60290">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default" w:ascii="宋体" w:hAnsi="宋体" w:eastAsia="宋体" w:cs="宋体"/>
          <w:color w:val="auto"/>
          <w:sz w:val="24"/>
          <w:szCs w:val="24"/>
          <w:highlight w:val="none"/>
          <w:lang w:val="en-US" w:eastAsia="zh-CN"/>
        </w:rPr>
        <w:t>农村不动产测绘调查数据检查入库</w:t>
      </w:r>
    </w:p>
    <w:p w14:paraId="4A82750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对采购人移交的约30000宗农村宅基地房地不动产权籍调查成果数据</w:t>
      </w:r>
      <w:r>
        <w:rPr>
          <w:rFonts w:hint="default" w:ascii="宋体" w:hAnsi="宋体" w:eastAsia="宋体" w:cs="宋体"/>
          <w:color w:val="auto"/>
          <w:sz w:val="24"/>
          <w:szCs w:val="24"/>
          <w:highlight w:val="none"/>
          <w:lang w:val="en-US" w:eastAsia="zh-CN"/>
        </w:rPr>
        <w:t>进行检查，从数据的完整性、规范性、属性逻辑关联正确性、关键字段信息非空性、图形拓扑正确性等各方面进行检查，并出具数据检查报告，交予测绘单位进行整改，直至通过检查，最终确保成果既满足日常农房登记需求，又满足权籍调查数据入库要求</w:t>
      </w:r>
      <w:r>
        <w:rPr>
          <w:rFonts w:hint="eastAsia" w:ascii="宋体" w:hAnsi="宋体" w:eastAsia="宋体" w:cs="宋体"/>
          <w:color w:val="auto"/>
          <w:sz w:val="24"/>
          <w:szCs w:val="24"/>
          <w:highlight w:val="none"/>
          <w:lang w:val="en-US" w:eastAsia="zh-CN"/>
        </w:rPr>
        <w:t>，最终数据成果入库到不动产登记权籍调查数据库中，并和登记数据实现关联</w:t>
      </w:r>
      <w:r>
        <w:rPr>
          <w:rFonts w:hint="default" w:ascii="宋体" w:hAnsi="宋体" w:eastAsia="宋体" w:cs="宋体"/>
          <w:color w:val="auto"/>
          <w:sz w:val="24"/>
          <w:szCs w:val="24"/>
          <w:highlight w:val="none"/>
          <w:lang w:val="en-US" w:eastAsia="zh-CN"/>
        </w:rPr>
        <w:t>。</w:t>
      </w:r>
    </w:p>
    <w:p w14:paraId="710E38B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default" w:ascii="宋体" w:hAnsi="宋体" w:eastAsia="宋体" w:cs="宋体"/>
          <w:color w:val="auto"/>
          <w:sz w:val="24"/>
          <w:szCs w:val="24"/>
          <w:highlight w:val="none"/>
          <w:lang w:val="en-US" w:eastAsia="zh-CN"/>
        </w:rPr>
        <w:t>数据汇交</w:t>
      </w:r>
    </w:p>
    <w:p w14:paraId="6619481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按照《地籍数据汇交要求(试行)》，通过汇交格式转换、数据质检、质检问题逻辑处理、汇交材料整理等工作，将宅基地、集体建设用地及国有建设用地地籍数据包括矢量数据、属性数据逐级汇交到部。</w:t>
      </w:r>
    </w:p>
    <w:p w14:paraId="2D1FC08F">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137" w:name="_Toc17454"/>
      <w:r>
        <w:rPr>
          <w:rFonts w:hint="eastAsia" w:ascii="宋体" w:hAnsi="宋体" w:eastAsia="宋体" w:cs="宋体"/>
          <w:b/>
          <w:bCs/>
          <w:color w:val="auto"/>
          <w:sz w:val="24"/>
          <w:szCs w:val="24"/>
          <w:highlight w:val="none"/>
          <w:lang w:val="en-US" w:eastAsia="zh-CN"/>
        </w:rPr>
        <w:t>三、工期要求</w:t>
      </w:r>
      <w:bookmarkEnd w:id="137"/>
    </w:p>
    <w:p w14:paraId="0A699F8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2025年10月底前完成宅基地及集体建设用地地籍图编制及汇交</w:t>
      </w:r>
      <w:r>
        <w:rPr>
          <w:rFonts w:hint="eastAsia" w:ascii="宋体" w:hAnsi="宋体" w:eastAsia="宋体" w:cs="宋体"/>
          <w:color w:val="auto"/>
          <w:sz w:val="24"/>
          <w:szCs w:val="24"/>
          <w:highlight w:val="none"/>
          <w:lang w:val="en-US" w:eastAsia="zh-CN"/>
        </w:rPr>
        <w:t>，2026年10月底</w:t>
      </w:r>
      <w:r>
        <w:rPr>
          <w:rFonts w:hint="eastAsia" w:ascii="宋体" w:hAnsi="宋体" w:eastAsia="宋体" w:cs="宋体"/>
          <w:color w:val="auto"/>
          <w:sz w:val="24"/>
          <w:szCs w:val="24"/>
          <w:highlight w:val="none"/>
          <w:lang w:val="en-US" w:eastAsia="zh-CN"/>
        </w:rPr>
        <w:t>前完成国有建设用地地籍图编制及汇交（具体根据上级部门要求时间内完成）。</w:t>
      </w:r>
    </w:p>
    <w:p w14:paraId="244D479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四、成果要求</w:t>
      </w:r>
    </w:p>
    <w:p w14:paraId="42E958C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（一）项目工作成果</w:t>
      </w:r>
    </w:p>
    <w:p w14:paraId="15149C9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1、宅基地和集体建设用地地籍数据库；</w:t>
      </w:r>
    </w:p>
    <w:p w14:paraId="214A91E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2、宅基地和集体建设用地专项地籍图：针对“已登记、已调查”、“已登记、未调查（无图）”、“未登记、已调查”、“未登记、未调查”部分形成单独完整图层管理；</w:t>
      </w:r>
    </w:p>
    <w:p w14:paraId="6EDE551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3、国有建设用地地籍数据库；</w:t>
      </w:r>
    </w:p>
    <w:p w14:paraId="7F0D2F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4、国有建设用地专项地籍图：针对“已登记、已调查”、“已登记、未调查（无图）”、“未登记、已调查”、“未登记、未调查”部分形成单独完整图层管理。</w:t>
      </w:r>
    </w:p>
    <w:p w14:paraId="424F476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（二）项目管理成果</w:t>
      </w:r>
    </w:p>
    <w:p w14:paraId="734E920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1、项目工作方案；</w:t>
      </w:r>
    </w:p>
    <w:p w14:paraId="6246E8C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2、项目工作报告；</w:t>
      </w:r>
    </w:p>
    <w:p w14:paraId="1238C27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3、各类项目过程管理数据。</w:t>
      </w:r>
    </w:p>
    <w:p w14:paraId="01B66F09">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五、售后服务</w:t>
      </w:r>
    </w:p>
    <w:p w14:paraId="5615EFE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成果通过省级质检或采购人认可后提供1年免费售后服务支持。</w:t>
      </w:r>
    </w:p>
    <w:p w14:paraId="1CF373E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138" w:name="_Toc26402"/>
      <w:bookmarkStart w:id="139" w:name="_Toc20385"/>
      <w:bookmarkStart w:id="140" w:name="_Toc9948"/>
      <w:r>
        <w:rPr>
          <w:rFonts w:hint="eastAsia" w:ascii="宋体" w:hAnsi="宋体" w:eastAsia="宋体" w:cs="宋体"/>
          <w:b/>
          <w:bCs/>
          <w:color w:val="auto"/>
          <w:sz w:val="24"/>
          <w:szCs w:val="24"/>
          <w:highlight w:val="none"/>
          <w:lang w:val="en-US" w:eastAsia="zh-CN"/>
        </w:rPr>
        <w:t>六、付款方式</w:t>
      </w:r>
      <w:bookmarkEnd w:id="138"/>
      <w:bookmarkEnd w:id="139"/>
      <w:bookmarkEnd w:id="140"/>
    </w:p>
    <w:p w14:paraId="7BE4C85D">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jc w:val="left"/>
        <w:textAlignment w:val="auto"/>
        <w:outlineLvl w:val="1"/>
        <w:rPr>
          <w:rFonts w:hint="eastAsia"/>
          <w:highlight w:val="none"/>
          <w:lang w:val="en-US" w:eastAsia="zh-CN"/>
        </w:rPr>
      </w:pPr>
      <w:r>
        <w:rPr>
          <w:rFonts w:hint="eastAsia" w:ascii="宋体" w:hAnsi="宋体" w:eastAsia="宋体" w:cs="宋体"/>
          <w:sz w:val="24"/>
          <w:szCs w:val="24"/>
          <w:highlight w:val="none"/>
          <w:lang w:val="en-US" w:eastAsia="zh-CN"/>
        </w:rPr>
        <w:t>付款方式：签订合同后15个工作日内支付合同金额的40%作为项目预付款，</w:t>
      </w:r>
      <w:r>
        <w:rPr>
          <w:rFonts w:hint="eastAsia" w:ascii="宋体" w:hAnsi="宋体" w:eastAsia="宋体" w:cs="宋体"/>
          <w:color w:val="auto"/>
          <w:sz w:val="24"/>
          <w:szCs w:val="24"/>
          <w:highlight w:val="none"/>
          <w:lang w:val="en-US" w:eastAsia="zh-CN"/>
        </w:rPr>
        <w:t>完成宅基地及集体建设用地地籍图编制汇交后7个工作日内支付合同总额的30%</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完成国有建设用地地籍图编制汇交后7个工作日内支付合同剩余费用。</w:t>
      </w:r>
      <w:r>
        <w:rPr>
          <w:rFonts w:ascii="宋体" w:hAnsi="宋体" w:eastAsia="宋体" w:cs="宋体"/>
          <w:color w:val="auto"/>
          <w:kern w:val="2"/>
          <w:sz w:val="24"/>
          <w:szCs w:val="24"/>
          <w:highlight w:val="none"/>
          <w:lang w:bidi="ar-SA"/>
        </w:rPr>
        <w:t>（上述材料须经采购人</w:t>
      </w:r>
      <w:r>
        <w:rPr>
          <w:rFonts w:hint="eastAsia" w:ascii="宋体" w:hAnsi="宋体" w:eastAsia="宋体" w:cs="宋体"/>
          <w:color w:val="auto"/>
          <w:kern w:val="2"/>
          <w:sz w:val="24"/>
          <w:szCs w:val="24"/>
          <w:highlight w:val="none"/>
          <w:lang w:eastAsia="zh-CN" w:bidi="ar-SA"/>
        </w:rPr>
        <w:t>认可</w:t>
      </w:r>
      <w:r>
        <w:rPr>
          <w:rFonts w:ascii="宋体" w:hAnsi="宋体" w:eastAsia="宋体" w:cs="宋体"/>
          <w:color w:val="auto"/>
          <w:kern w:val="2"/>
          <w:sz w:val="24"/>
          <w:szCs w:val="24"/>
          <w:highlight w:val="none"/>
          <w:lang w:bidi="ar-SA"/>
        </w:rPr>
        <w:t>合格后，方可执行支付程序。）</w:t>
      </w:r>
    </w:p>
    <w:p w14:paraId="71E665F4">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jc w:val="left"/>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注：①在签订合同时，如</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明确表示无需预付款或者主动要求降低预付款比例的，预付款比例以双方协商为准。</w:t>
      </w:r>
    </w:p>
    <w:p w14:paraId="5E1A3F97">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jc w:val="left"/>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②满足支付条件后，</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需提供与每笔合同价款同等金额的正规票据（发票或收据，应符合采购人财务管理要求）给采购人，采购人收到正规票据后7个工作日内支付至</w:t>
      </w:r>
      <w:r>
        <w:rPr>
          <w:rFonts w:hint="eastAsia" w:ascii="宋体" w:hAnsi="宋体" w:eastAsia="宋体" w:cs="宋体"/>
          <w:b/>
          <w:bCs/>
          <w:sz w:val="24"/>
          <w:highlight w:val="none"/>
          <w:lang w:eastAsia="zh-CN"/>
        </w:rPr>
        <w:t>供应商</w:t>
      </w:r>
      <w:r>
        <w:rPr>
          <w:rFonts w:hint="eastAsia" w:ascii="宋体" w:hAnsi="宋体" w:eastAsia="宋体" w:cs="宋体"/>
          <w:b/>
          <w:bCs/>
          <w:sz w:val="24"/>
          <w:highlight w:val="none"/>
        </w:rPr>
        <w:t>账户。</w:t>
      </w:r>
    </w:p>
    <w:p w14:paraId="781E548C">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jc w:val="left"/>
        <w:textAlignment w:val="auto"/>
        <w:outlineLvl w:val="2"/>
        <w:rPr>
          <w:rFonts w:hint="eastAsia" w:ascii="宋体" w:hAnsi="宋体" w:eastAsia="宋体" w:cs="宋体"/>
          <w:b/>
          <w:bCs/>
          <w:sz w:val="24"/>
          <w:highlight w:val="none"/>
        </w:rPr>
      </w:pPr>
      <w:r>
        <w:rPr>
          <w:rFonts w:hint="eastAsia" w:ascii="宋体" w:hAnsi="宋体" w:eastAsia="宋体" w:cs="宋体"/>
          <w:b/>
          <w:bCs/>
          <w:sz w:val="24"/>
          <w:highlight w:val="none"/>
        </w:rPr>
        <w:t>③因采购人向财政部门申报支付手续可能造成的时间延误不视为采购人违约。</w:t>
      </w:r>
    </w:p>
    <w:p w14:paraId="1D62D3E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七、报价要求</w:t>
      </w:r>
    </w:p>
    <w:p w14:paraId="1F8FCE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报价应</w:t>
      </w:r>
      <w:r>
        <w:rPr>
          <w:rFonts w:hint="eastAsia" w:ascii="宋体" w:hAnsi="宋体" w:eastAsia="宋体" w:cs="宋体"/>
          <w:bCs/>
          <w:color w:val="auto"/>
          <w:sz w:val="24"/>
          <w:szCs w:val="24"/>
          <w:highlight w:val="none"/>
          <w:lang w:eastAsia="zh-CN"/>
        </w:rPr>
        <w:t>包</w:t>
      </w:r>
      <w:r>
        <w:rPr>
          <w:rFonts w:hint="eastAsia" w:ascii="宋体" w:hAnsi="宋体" w:eastAsia="宋体" w:cs="宋体"/>
          <w:bCs/>
          <w:color w:val="auto"/>
          <w:sz w:val="24"/>
          <w:szCs w:val="24"/>
          <w:highlight w:val="none"/>
        </w:rPr>
        <w:t>括本次项目实施所需的</w:t>
      </w:r>
      <w:r>
        <w:rPr>
          <w:rFonts w:hint="eastAsia" w:ascii="宋体" w:hAnsi="宋体" w:eastAsia="宋体" w:cs="宋体"/>
          <w:bCs/>
          <w:color w:val="auto"/>
          <w:sz w:val="24"/>
          <w:szCs w:val="24"/>
          <w:highlight w:val="none"/>
          <w:lang w:val="en-US" w:eastAsia="zh-CN"/>
        </w:rPr>
        <w:t>服务、调查研究、分析认证、编制报告、交通费、文本制作费、办公耗材及设备折旧费、相关验收费用、管理费、利润、风险费、保险、税金、培训、指导、专利费（著作权费）、政策性文件规定费用</w:t>
      </w:r>
      <w:r>
        <w:rPr>
          <w:rFonts w:hint="eastAsia" w:ascii="宋体" w:hAnsi="宋体" w:eastAsia="宋体" w:cs="宋体"/>
          <w:bCs/>
          <w:color w:val="auto"/>
          <w:sz w:val="24"/>
          <w:szCs w:val="24"/>
          <w:highlight w:val="none"/>
        </w:rPr>
        <w:t>以及履行合同所产生的全部费用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采购人不再另行支付其他任何费用。</w:t>
      </w:r>
      <w:r>
        <w:rPr>
          <w:rFonts w:hint="eastAsia" w:ascii="宋体" w:hAnsi="宋体" w:cs="宋体"/>
          <w:bCs/>
          <w:color w:val="auto"/>
          <w:sz w:val="24"/>
          <w:szCs w:val="24"/>
          <w:highlight w:val="none"/>
          <w:lang w:val="en-US" w:eastAsia="zh-CN"/>
        </w:rPr>
        <w:t>供应商应列入而未列入其中的费用，均视为已包含在内，风险由供应商承担。</w:t>
      </w:r>
    </w:p>
    <w:p w14:paraId="097B06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八、其他</w:t>
      </w:r>
    </w:p>
    <w:p w14:paraId="2BE261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技术成果归属及保密：本项目所形成的项目成果归采购人所有。未经采购人授权，供应商无权将相关信息发送给任何第三方。供应商人应遵守相关保密规定，为采购人保密，并签订保密协议。</w:t>
      </w:r>
    </w:p>
    <w:p w14:paraId="774B751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9DACEE7">
      <w:pPr>
        <w:keepNext w:val="0"/>
        <w:keepLines w:val="0"/>
        <w:pageBreakBefore w:val="0"/>
        <w:widowControl w:val="0"/>
        <w:tabs>
          <w:tab w:val="left" w:pos="1286"/>
        </w:tabs>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政府采购合同格式（范本）</w:t>
      </w:r>
    </w:p>
    <w:p w14:paraId="5DAD0C35">
      <w:pPr>
        <w:pageBreakBefore w:val="0"/>
        <w:widowControl w:val="0"/>
        <w:kinsoku/>
        <w:overflowPunct/>
        <w:topLinePunct w:val="0"/>
        <w:bidi w:val="0"/>
        <w:jc w:val="center"/>
        <w:rPr>
          <w:rFonts w:hint="eastAsia" w:asciiTheme="minorEastAsia" w:hAnsiTheme="minorEastAsia" w:eastAsiaTheme="minorEastAsia" w:cstheme="minorEastAsia"/>
          <w:color w:val="auto"/>
          <w:kern w:val="0"/>
          <w:sz w:val="24"/>
          <w:highlight w:val="none"/>
        </w:rPr>
      </w:pPr>
      <w:bookmarkStart w:id="141" w:name="合同编号：___"/>
      <w:bookmarkEnd w:id="141"/>
      <w:bookmarkStart w:id="142" w:name="_Toc6007"/>
    </w:p>
    <w:p w14:paraId="096EF033">
      <w:pPr>
        <w:pageBreakBefore w:val="0"/>
        <w:widowControl w:val="0"/>
        <w:kinsoku/>
        <w:overflowPunct/>
        <w:topLinePunct w:val="0"/>
        <w:bidi w:val="0"/>
        <w:rPr>
          <w:rFonts w:hint="eastAsia" w:asciiTheme="minorEastAsia" w:hAnsiTheme="minorEastAsia" w:eastAsiaTheme="minorEastAsia" w:cstheme="minorEastAsia"/>
          <w:b/>
          <w:color w:val="auto"/>
          <w:sz w:val="24"/>
          <w:highlight w:val="none"/>
        </w:rPr>
      </w:pPr>
      <w:bookmarkStart w:id="143" w:name="_Toc9211"/>
      <w:bookmarkStart w:id="144" w:name="_Toc2714"/>
      <w:r>
        <w:rPr>
          <w:rFonts w:hint="eastAsia" w:asciiTheme="minorEastAsia" w:hAnsiTheme="minorEastAsia" w:eastAsiaTheme="minorEastAsia" w:cstheme="minorEastAsia"/>
          <w:b/>
          <w:color w:val="auto"/>
          <w:sz w:val="24"/>
          <w:highlight w:val="none"/>
        </w:rPr>
        <w:t xml:space="preserve"> </w:t>
      </w:r>
    </w:p>
    <w:p w14:paraId="0FBC15CE">
      <w:pPr>
        <w:pStyle w:val="15"/>
        <w:pageBreakBefore w:val="0"/>
        <w:widowControl w:val="0"/>
        <w:tabs>
          <w:tab w:val="left" w:pos="208"/>
        </w:tabs>
        <w:kinsoku/>
        <w:overflowPunct/>
        <w:topLinePunct w:val="0"/>
        <w:bidi w:val="0"/>
        <w:spacing w:line="360" w:lineRule="auto"/>
        <w:rPr>
          <w:rFonts w:hint="eastAsia" w:asciiTheme="minorEastAsia" w:hAnsiTheme="minorEastAsia" w:eastAsiaTheme="minorEastAsia" w:cstheme="minorEastAsia"/>
          <w:color w:val="auto"/>
          <w:sz w:val="32"/>
          <w:szCs w:val="32"/>
          <w:highlight w:val="none"/>
        </w:rPr>
      </w:pPr>
    </w:p>
    <w:p w14:paraId="39FD9E2F">
      <w:pPr>
        <w:pageBreakBefore w:val="0"/>
        <w:widowControl w:val="0"/>
        <w:kinsoku/>
        <w:overflowPunct/>
        <w:topLinePunct w:val="0"/>
        <w:bidi w:val="0"/>
        <w:spacing w:line="360" w:lineRule="auto"/>
        <w:ind w:firstLine="5341" w:firstLineChars="19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合同编号：</w:t>
      </w:r>
      <w:r>
        <w:rPr>
          <w:rFonts w:hint="eastAsia" w:asciiTheme="minorEastAsia" w:hAnsiTheme="minorEastAsia" w:eastAsiaTheme="minorEastAsia" w:cstheme="minorEastAsia"/>
          <w:b/>
          <w:color w:val="auto"/>
          <w:sz w:val="28"/>
          <w:szCs w:val="28"/>
          <w:highlight w:val="none"/>
          <w:u w:val="single"/>
        </w:rPr>
        <w:t xml:space="preserve">             </w:t>
      </w:r>
    </w:p>
    <w:p w14:paraId="5CCBBC89">
      <w:pPr>
        <w:pageBreakBefore w:val="0"/>
        <w:widowControl w:val="0"/>
        <w:kinsoku/>
        <w:overflowPunct/>
        <w:topLinePunct w:val="0"/>
        <w:bidi w:val="0"/>
        <w:spacing w:line="360" w:lineRule="auto"/>
        <w:rPr>
          <w:rFonts w:hint="eastAsia" w:asciiTheme="minorEastAsia" w:hAnsiTheme="minorEastAsia" w:eastAsiaTheme="minorEastAsia" w:cstheme="minorEastAsia"/>
          <w:color w:val="auto"/>
          <w:sz w:val="32"/>
          <w:szCs w:val="32"/>
          <w:highlight w:val="none"/>
        </w:rPr>
      </w:pPr>
    </w:p>
    <w:p w14:paraId="0FDDB8A6">
      <w:pPr>
        <w:pageBreakBefore w:val="0"/>
        <w:widowControl w:val="0"/>
        <w:kinsoku/>
        <w:overflowPunct/>
        <w:topLinePunct w:val="0"/>
        <w:bidi w:val="0"/>
        <w:spacing w:line="360" w:lineRule="auto"/>
        <w:ind w:firstLine="320" w:firstLineChars="1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0"/>
          <w:szCs w:val="30"/>
          <w:highlight w:val="none"/>
          <w:u w:val="single"/>
        </w:rPr>
        <w:t xml:space="preserve"> </w:t>
      </w:r>
    </w:p>
    <w:p w14:paraId="044A1B1C">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rPr>
      </w:pPr>
    </w:p>
    <w:p w14:paraId="481D28EC">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527624E3">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14:paraId="1E6BAE58">
      <w:pPr>
        <w:pageBreakBefore w:val="0"/>
        <w:widowControl w:val="0"/>
        <w:kinsoku/>
        <w:overflowPunct/>
        <w:topLinePunct w:val="0"/>
        <w:bidi w:val="0"/>
        <w:snapToGrid w:val="0"/>
        <w:spacing w:before="119" w:line="360" w:lineRule="auto"/>
        <w:ind w:firstLine="320" w:firstLineChars="100"/>
        <w:jc w:val="both"/>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采购人（以下称甲方）：</w:t>
      </w:r>
      <w:r>
        <w:rPr>
          <w:rFonts w:hint="eastAsia" w:asciiTheme="minorEastAsia" w:hAnsiTheme="minorEastAsia" w:cstheme="minorEastAsia"/>
          <w:b/>
          <w:color w:val="auto"/>
          <w:sz w:val="30"/>
          <w:szCs w:val="30"/>
          <w:highlight w:val="none"/>
          <w:u w:val="single"/>
          <w:lang w:val="en-US" w:eastAsia="zh-CN"/>
        </w:rPr>
        <w:t xml:space="preserve">                      </w:t>
      </w:r>
    </w:p>
    <w:p w14:paraId="4D6E122F">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14:paraId="6C478CC3">
      <w:pPr>
        <w:pageBreakBefore w:val="0"/>
        <w:widowControl w:val="0"/>
        <w:kinsoku/>
        <w:overflowPunct/>
        <w:topLinePunct w:val="0"/>
        <w:bidi w:val="0"/>
        <w:snapToGrid w:val="0"/>
        <w:spacing w:before="119" w:line="360" w:lineRule="auto"/>
        <w:ind w:firstLine="320" w:firstLineChars="100"/>
        <w:rPr>
          <w:rFonts w:hint="default"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cstheme="minorEastAsia"/>
          <w:color w:val="auto"/>
          <w:sz w:val="32"/>
          <w:szCs w:val="32"/>
          <w:highlight w:val="none"/>
          <w:lang w:eastAsia="zh-CN"/>
        </w:rPr>
        <w:t>成交人</w:t>
      </w:r>
      <w:r>
        <w:rPr>
          <w:rFonts w:hint="eastAsia" w:asciiTheme="minorEastAsia" w:hAnsiTheme="minorEastAsia" w:eastAsiaTheme="minorEastAsia" w:cstheme="minorEastAsia"/>
          <w:color w:val="auto"/>
          <w:sz w:val="32"/>
          <w:szCs w:val="32"/>
          <w:highlight w:val="none"/>
        </w:rPr>
        <w:t>（以下称乙方）：</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cstheme="minorEastAsia"/>
          <w:b/>
          <w:color w:val="auto"/>
          <w:sz w:val="30"/>
          <w:szCs w:val="30"/>
          <w:highlight w:val="none"/>
          <w:u w:val="single"/>
          <w:lang w:val="en-US" w:eastAsia="zh-CN"/>
        </w:rPr>
        <w:t xml:space="preserve">                     </w:t>
      </w:r>
    </w:p>
    <w:p w14:paraId="3A74B217">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14:paraId="67E9E64F">
      <w:pPr>
        <w:pageBreakBefore w:val="0"/>
        <w:widowControl w:val="0"/>
        <w:kinsoku/>
        <w:overflowPunct/>
        <w:topLinePunct w:val="0"/>
        <w:bidi w:val="0"/>
        <w:snapToGrid w:val="0"/>
        <w:spacing w:before="119" w:line="360" w:lineRule="auto"/>
        <w:ind w:firstLine="320" w:firstLineChars="1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签署地点：</w:t>
      </w:r>
      <w:r>
        <w:rPr>
          <w:rFonts w:hint="eastAsia" w:asciiTheme="minorEastAsia" w:hAnsi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rPr>
        <w:t xml:space="preserve"> </w:t>
      </w:r>
    </w:p>
    <w:p w14:paraId="5B1746F4">
      <w:pPr>
        <w:pageBreakBefore w:val="0"/>
        <w:widowControl w:val="0"/>
        <w:kinsoku/>
        <w:overflowPunct/>
        <w:topLinePunct w:val="0"/>
        <w:bidi w:val="0"/>
        <w:snapToGrid w:val="0"/>
        <w:spacing w:before="119" w:line="360" w:lineRule="auto"/>
        <w:rPr>
          <w:rFonts w:hint="eastAsia" w:asciiTheme="minorEastAsia" w:hAnsiTheme="minorEastAsia" w:eastAsiaTheme="minorEastAsia" w:cstheme="minorEastAsia"/>
          <w:color w:val="auto"/>
          <w:sz w:val="32"/>
          <w:szCs w:val="32"/>
          <w:highlight w:val="none"/>
        </w:rPr>
      </w:pPr>
    </w:p>
    <w:p w14:paraId="0926C6E5">
      <w:pPr>
        <w:pageBreakBefore w:val="0"/>
        <w:widowControl w:val="0"/>
        <w:kinsoku/>
        <w:overflowPunct/>
        <w:topLinePunct w:val="0"/>
        <w:bidi w:val="0"/>
        <w:snapToGrid w:val="0"/>
        <w:spacing w:before="119" w:line="272" w:lineRule="atLeast"/>
        <w:ind w:firstLine="320" w:firstLineChars="1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签署日期：</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cstheme="minorEastAsia"/>
          <w:b/>
          <w:color w:val="auto"/>
          <w:sz w:val="30"/>
          <w:szCs w:val="30"/>
          <w:highlight w:val="none"/>
          <w:u w:val="single"/>
          <w:lang w:val="en-US" w:eastAsia="zh-CN"/>
        </w:rPr>
        <w:t xml:space="preserve">                            </w:t>
      </w:r>
    </w:p>
    <w:p w14:paraId="6CFDD0F0">
      <w:pPr>
        <w:pStyle w:val="37"/>
        <w:pageBreakBefore w:val="0"/>
        <w:widowControl w:val="0"/>
        <w:kinsoku/>
        <w:overflowPunct/>
        <w:topLinePunct w:val="0"/>
        <w:bidi w:val="0"/>
        <w:spacing w:before="0" w:beforeAutospacing="0" w:after="0" w:afterAutospacing="0" w:line="360" w:lineRule="auto"/>
        <w:jc w:val="both"/>
        <w:rPr>
          <w:rFonts w:hint="eastAsia" w:asciiTheme="minorEastAsia" w:hAnsiTheme="minorEastAsia" w:eastAsiaTheme="minorEastAsia" w:cstheme="minorEastAsia"/>
          <w:color w:val="auto"/>
          <w:highlight w:val="none"/>
        </w:rPr>
      </w:pPr>
    </w:p>
    <w:p w14:paraId="207CD8E7">
      <w:pPr>
        <w:pStyle w:val="23"/>
        <w:pageBreakBefore w:val="0"/>
        <w:widowControl w:val="0"/>
        <w:kinsoku/>
        <w:overflowPunct/>
        <w:topLinePunct w:val="0"/>
        <w:bidi w:val="0"/>
        <w:snapToGrid w:val="0"/>
        <w:spacing w:line="360" w:lineRule="auto"/>
        <w:ind w:left="0" w:leftChars="0" w:firstLine="0" w:firstLineChars="0"/>
        <w:rPr>
          <w:rFonts w:hint="eastAsia" w:asciiTheme="minorEastAsia" w:hAnsiTheme="minorEastAsia" w:eastAsiaTheme="minorEastAsia" w:cstheme="minorEastAsia"/>
          <w:b/>
          <w:color w:val="auto"/>
          <w:szCs w:val="21"/>
          <w:highlight w:val="none"/>
        </w:rPr>
      </w:pPr>
    </w:p>
    <w:p w14:paraId="760EB671">
      <w:pPr>
        <w:keepNext w:val="0"/>
        <w:keepLines w:val="0"/>
        <w:pageBreakBefore w:val="0"/>
        <w:widowControl w:val="0"/>
        <w:kinsoku/>
        <w:wordWrap/>
        <w:overflowPunct/>
        <w:topLinePunct w:val="0"/>
        <w:autoSpaceDE/>
        <w:autoSpaceDN/>
        <w:bidi w:val="0"/>
        <w:adjustRightInd/>
        <w:snapToGrid w:val="0"/>
        <w:spacing w:line="480" w:lineRule="exact"/>
        <w:ind w:left="0" w:leftChars="0" w:firstLine="422"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cstheme="minorEastAsia"/>
          <w:color w:val="auto"/>
          <w:sz w:val="24"/>
          <w:highlight w:val="none"/>
          <w:u w:val="none"/>
          <w:lang w:val="en-US" w:eastAsia="zh-CN"/>
        </w:rPr>
        <w:t>：</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）的采购文件</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日开标会上，经评标委员会评定</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乙方</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cstheme="minorEastAsia"/>
          <w:color w:val="auto"/>
          <w:sz w:val="24"/>
          <w:highlight w:val="none"/>
          <w:lang w:eastAsia="zh-CN"/>
        </w:rPr>
        <w:t>成交</w:t>
      </w:r>
      <w:r>
        <w:rPr>
          <w:rFonts w:hint="eastAsia" w:asciiTheme="minorEastAsia" w:hAnsiTheme="minorEastAsia" w:eastAsiaTheme="minorEastAsia" w:cstheme="minorEastAsia"/>
          <w:color w:val="auto"/>
          <w:sz w:val="24"/>
          <w:highlight w:val="none"/>
        </w:rPr>
        <w:t>人。甲、乙双方依据《中华人民共和国政府采购法</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中华人民共和国</w:t>
      </w:r>
      <w:r>
        <w:rPr>
          <w:rFonts w:hint="eastAsia" w:asciiTheme="minorEastAsia" w:hAnsiTheme="minorEastAsia" w:cstheme="minorEastAsia"/>
          <w:color w:val="auto"/>
          <w:sz w:val="24"/>
          <w:highlight w:val="none"/>
          <w:lang w:eastAsia="zh-CN"/>
        </w:rPr>
        <w:t>民法典</w:t>
      </w:r>
      <w:r>
        <w:rPr>
          <w:rFonts w:hint="eastAsia" w:asciiTheme="minorEastAsia" w:hAnsiTheme="minorEastAsia" w:eastAsiaTheme="minorEastAsia" w:cstheme="minorEastAsia"/>
          <w:color w:val="auto"/>
          <w:sz w:val="24"/>
          <w:highlight w:val="none"/>
        </w:rPr>
        <w:t>》等相关法律法规及采购文件和乙方响应文件的规定，在平等自愿的基础上，同意按照下面的条款和条件，签署本合同。</w:t>
      </w:r>
    </w:p>
    <w:p w14:paraId="37263262">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一、组成本合同的有关文件</w:t>
      </w:r>
    </w:p>
    <w:p w14:paraId="63B88D39">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下列文件构成本合同的组成部分，应该认为是一个整体，彼此相互解释，相互补充。组成合同的多个文件的优先支配地位的次序如下：</w:t>
      </w:r>
    </w:p>
    <w:p w14:paraId="126F2488">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Theme="minorEastAsia" w:hAnsiTheme="minorEastAsia" w:eastAsiaTheme="minorEastAsia" w:cstheme="minorEastAsia"/>
          <w:color w:val="auto"/>
          <w:sz w:val="24"/>
          <w:highlight w:val="none"/>
        </w:rPr>
        <w:t>1.</w:t>
      </w:r>
      <w:r>
        <w:rPr>
          <w:rFonts w:hint="eastAsia" w:ascii="宋体" w:cs="宋体"/>
          <w:color w:val="auto"/>
          <w:sz w:val="24"/>
          <w:szCs w:val="24"/>
          <w:highlight w:val="none"/>
        </w:rPr>
        <w:t>本合同书</w:t>
      </w:r>
    </w:p>
    <w:p w14:paraId="4B839D9A">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eastAsiaTheme="minorEastAsia"/>
          <w:color w:val="auto"/>
          <w:sz w:val="24"/>
          <w:szCs w:val="24"/>
          <w:highlight w:val="none"/>
          <w:lang w:eastAsia="zh-CN"/>
        </w:rPr>
      </w:pPr>
      <w:r>
        <w:rPr>
          <w:rFonts w:hint="eastAsia" w:ascii="宋体" w:cs="宋体"/>
          <w:color w:val="auto"/>
          <w:sz w:val="24"/>
          <w:szCs w:val="24"/>
          <w:highlight w:val="none"/>
        </w:rPr>
        <w:t>2.</w:t>
      </w:r>
      <w:r>
        <w:rPr>
          <w:rFonts w:hint="eastAsia" w:ascii="宋体" w:cs="宋体"/>
          <w:color w:val="auto"/>
          <w:sz w:val="24"/>
          <w:szCs w:val="24"/>
          <w:highlight w:val="none"/>
          <w:lang w:eastAsia="zh-CN"/>
        </w:rPr>
        <w:t>补充合同（若有）</w:t>
      </w:r>
    </w:p>
    <w:p w14:paraId="31EDFACF">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3.成交通知书</w:t>
      </w:r>
    </w:p>
    <w:p w14:paraId="1E732A99">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4.乙方澄清修改文件</w:t>
      </w:r>
    </w:p>
    <w:p w14:paraId="79840755">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5.乙方响应文件</w:t>
      </w:r>
    </w:p>
    <w:p w14:paraId="59CCBEB0">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6.采购文件澄清（修改）、更正文件</w:t>
      </w:r>
      <w:r>
        <w:rPr>
          <w:rFonts w:hint="eastAsia" w:ascii="宋体" w:cs="宋体"/>
          <w:color w:val="auto"/>
          <w:sz w:val="24"/>
          <w:szCs w:val="24"/>
          <w:highlight w:val="none"/>
          <w:lang w:eastAsia="zh-CN"/>
        </w:rPr>
        <w:t>（若有）</w:t>
      </w:r>
    </w:p>
    <w:p w14:paraId="10AD2DAB">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lang w:eastAsia="zh-CN"/>
        </w:rPr>
      </w:pPr>
      <w:r>
        <w:rPr>
          <w:rFonts w:hint="eastAsia" w:ascii="宋体" w:cs="宋体"/>
          <w:color w:val="auto"/>
          <w:sz w:val="24"/>
          <w:szCs w:val="24"/>
          <w:highlight w:val="none"/>
          <w:lang w:eastAsia="zh-CN"/>
        </w:rPr>
        <w:t>7.采购文件</w:t>
      </w:r>
    </w:p>
    <w:p w14:paraId="2FC46BD1">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二、项目概况</w:t>
      </w:r>
    </w:p>
    <w:p w14:paraId="65216F4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（一）建设目标</w:t>
      </w:r>
    </w:p>
    <w:p w14:paraId="3B583F3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贯彻落实《自然资源部关于进一步做好地籍调查工作的通知》（自然资发〔2023〕195号）、《自然资源部办公厅关于加快编制地籍图的通知》（自然资办函〔2024〕1481号）、《关于加快地籍成果入库汇交工作的函》（自然资登记函〔2025〕32号）、《浙江省自然资源厅关于进一步做好地籍调查工作的实施意见》（浙自然资函〔2024〕55 号）等文件要求，进一步提升地籍调查工作质量和服务水平，更好支撑确权登记和自然资源管理相关工作，开展庆元县农村宅基地、集体建设用地及国有建设用地全覆盖地籍图编制工作，完成地籍调查数据收集整理，要完成未调查宗地范围勾绘及相关数据核实，基本实现农村宅基地、集体建设用地及国有建设用地地籍图全覆盖，数据成果汇交到部工作。</w:t>
      </w:r>
    </w:p>
    <w:p w14:paraId="4D7C2CB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（二）建设依据</w:t>
      </w:r>
    </w:p>
    <w:p w14:paraId="2A9F520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1、通知文件</w:t>
      </w:r>
    </w:p>
    <w:p w14:paraId="7B49AC6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（1）《自然资源部关于进一步做好地籍调查工作的通知》（自然资发〔2023〕195号）；</w:t>
      </w:r>
    </w:p>
    <w:p w14:paraId="3681901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（2）《自然资源部办公厅关于加快编制地籍图的通知》（自然资办函〔2024〕1481号）；</w:t>
      </w:r>
    </w:p>
    <w:p w14:paraId="021C236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（3）《关于加快地籍成果入库汇交工作的函》（自然资登记函〔2025〕32号）；</w:t>
      </w:r>
    </w:p>
    <w:p w14:paraId="7842EA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（4）《浙江省自然资源厅关于进一步做好地籍调查工作的实施意见》（浙自然资函〔2024〕55 号）；</w:t>
      </w:r>
    </w:p>
    <w:p w14:paraId="104369B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（5）《浙江省自然资源厅关于开展地籍调查示范工作的通知》（浙自然资源厅函〔2024〕1208号）；</w:t>
      </w:r>
    </w:p>
    <w:p w14:paraId="379EE2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（6）《浙江省农村宅基地和集体建设用地地籍数据补充完善及地籍图编制工作实施方案》。</w:t>
      </w:r>
    </w:p>
    <w:p w14:paraId="548984E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2、技术标准和规范</w:t>
      </w:r>
    </w:p>
    <w:p w14:paraId="494B447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（1）地籍调查规程（GB/T 42547-2023）</w:t>
      </w:r>
    </w:p>
    <w:p w14:paraId="3C5AECB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（2）地籍数据库 第1部分：不动产（TD/T 1015.1-2024）</w:t>
      </w:r>
    </w:p>
    <w:p w14:paraId="720BF3C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（3）地籍数据库 第2部分：自然资源（TD/T 1015.2-2024）</w:t>
      </w:r>
    </w:p>
    <w:p w14:paraId="413D79B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（4）《地籍图编制技术规范（试行）》</w:t>
      </w:r>
    </w:p>
    <w:p w14:paraId="32BAA8C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（5）《地籍数据汇交要求（试行）》</w:t>
      </w:r>
    </w:p>
    <w:p w14:paraId="7DA6E03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（6）《不动产单元设定与代码编制规则》（GB/T 37346-2019）</w:t>
      </w:r>
    </w:p>
    <w:p w14:paraId="19DC989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（7）《土地利用现状分类》（GB/T 21010-2017）</w:t>
      </w:r>
    </w:p>
    <w:p w14:paraId="0A6BCC9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（8）《基础地理信息要素分类与代码》（GB/T 13923-2006）</w:t>
      </w:r>
    </w:p>
    <w:p w14:paraId="5B78FA23">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三、建设内容</w:t>
      </w:r>
    </w:p>
    <w:p w14:paraId="7C1BFF2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（一）数据收集分析</w:t>
      </w:r>
    </w:p>
    <w:p w14:paraId="04F7CEA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结合庆元县基础条件与已有数据，开展地籍调查数据收集工作。借助数据调查分析、图形拓扑、图属关系分析等方法，筛查出无效、重复、冲突等问题数据，经梳理分析后，整理成问题清单。</w:t>
      </w:r>
    </w:p>
    <w:p w14:paraId="0A3AC69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eastAsia="zh-CN"/>
        </w:rPr>
        <w:t>宅基地及集体建设用地地籍图</w:t>
      </w:r>
      <w:r>
        <w:rPr>
          <w:rFonts w:hint="eastAsia" w:ascii="宋体" w:hAnsi="宋体" w:eastAsia="宋体" w:cs="宋体"/>
          <w:color w:val="auto"/>
          <w:sz w:val="24"/>
          <w:szCs w:val="24"/>
          <w:highlight w:val="none"/>
          <w:lang w:val="en-US" w:eastAsia="zh-CN"/>
        </w:rPr>
        <w:t>数据补充完善</w:t>
      </w:r>
    </w:p>
    <w:p w14:paraId="7134370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1、图形数据补充</w:t>
      </w:r>
    </w:p>
    <w:p w14:paraId="3907564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高分辨率卫星遥感影像、地形图等为基础底图，套合最新变更调查、集体所有权宗地用地范围、乡镇行政区划、村级调查界线，通过内业勾绘的方式补充农宅及集体建设用地图形，形成宅基地及集体建设用地调查工作底图。</w:t>
      </w:r>
    </w:p>
    <w:p w14:paraId="651E2D47">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2、外业核实</w:t>
      </w:r>
    </w:p>
    <w:p w14:paraId="28754DA7">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通过对乡镇、所、村进行培训，协助乡镇、所、村</w:t>
      </w:r>
      <w:r>
        <w:rPr>
          <w:rFonts w:hint="eastAsia" w:ascii="宋体" w:hAnsi="宋体" w:eastAsia="宋体" w:cs="宋体"/>
          <w:color w:val="auto"/>
          <w:sz w:val="24"/>
          <w:szCs w:val="24"/>
          <w:highlight w:val="none"/>
          <w:lang w:val="en-US" w:eastAsia="zh-CN"/>
        </w:rPr>
        <w:t>根据数据清单及工作底图</w:t>
      </w:r>
      <w:r>
        <w:rPr>
          <w:rFonts w:hint="default" w:ascii="宋体" w:hAnsi="宋体" w:eastAsia="宋体" w:cs="宋体"/>
          <w:color w:val="auto"/>
          <w:sz w:val="24"/>
          <w:szCs w:val="24"/>
          <w:highlight w:val="none"/>
          <w:lang w:val="en-US" w:eastAsia="zh-CN"/>
        </w:rPr>
        <w:t>进行外业</w:t>
      </w:r>
      <w:r>
        <w:rPr>
          <w:rFonts w:hint="eastAsia" w:ascii="宋体" w:hAnsi="宋体" w:eastAsia="宋体" w:cs="宋体"/>
          <w:color w:val="auto"/>
          <w:sz w:val="24"/>
          <w:szCs w:val="24"/>
          <w:highlight w:val="none"/>
          <w:lang w:val="en-US" w:eastAsia="zh-CN"/>
        </w:rPr>
        <w:t>核实</w:t>
      </w:r>
      <w:r>
        <w:rPr>
          <w:rFonts w:hint="default" w:ascii="宋体" w:hAnsi="宋体" w:eastAsia="宋体" w:cs="宋体"/>
          <w:color w:val="auto"/>
          <w:sz w:val="24"/>
          <w:szCs w:val="24"/>
          <w:highlight w:val="none"/>
          <w:lang w:val="en-US" w:eastAsia="zh-CN"/>
        </w:rPr>
        <w:t>，并同步完善内业图形勾绘成果，以形成最终的已调查已登记，已调查未登记，未调查未登记成果。</w:t>
      </w:r>
    </w:p>
    <w:p w14:paraId="14344B6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图形拓扑，问题数据分析处理</w:t>
      </w:r>
    </w:p>
    <w:p w14:paraId="7026B2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叠加集体土地所有权、林权、农经权不动产登记数据，农转征收数据，储备用地，基础测绘数据等相关矢量数据，查找数据冲突数据、权属重叠问题，并进行问题数据标注管理。</w:t>
      </w:r>
    </w:p>
    <w:p w14:paraId="274CCC0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国有建设用地地籍图</w:t>
      </w:r>
      <w:r>
        <w:rPr>
          <w:rFonts w:hint="eastAsia" w:ascii="宋体" w:hAnsi="宋体" w:eastAsia="宋体" w:cs="宋体"/>
          <w:color w:val="auto"/>
          <w:sz w:val="24"/>
          <w:szCs w:val="24"/>
          <w:highlight w:val="none"/>
          <w:lang w:val="en-US" w:eastAsia="zh-CN"/>
        </w:rPr>
        <w:t>数据补充完善</w:t>
      </w:r>
    </w:p>
    <w:p w14:paraId="12F5868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根据档案补充国有建设用地</w:t>
      </w:r>
    </w:p>
    <w:p w14:paraId="37177763">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通过登记库数据分析，梳理出</w:t>
      </w:r>
      <w:r>
        <w:rPr>
          <w:rFonts w:hint="eastAsia" w:ascii="宋体" w:hAnsi="宋体" w:eastAsia="宋体" w:cs="宋体"/>
          <w:color w:val="auto"/>
          <w:sz w:val="24"/>
          <w:szCs w:val="24"/>
          <w:highlight w:val="none"/>
          <w:lang w:val="en-US" w:eastAsia="zh-CN"/>
        </w:rPr>
        <w:t>已登记未调查</w:t>
      </w:r>
      <w:r>
        <w:rPr>
          <w:rFonts w:hint="default" w:ascii="宋体" w:hAnsi="宋体" w:eastAsia="宋体" w:cs="宋体"/>
          <w:color w:val="auto"/>
          <w:sz w:val="24"/>
          <w:szCs w:val="24"/>
          <w:highlight w:val="none"/>
          <w:lang w:val="en-US" w:eastAsia="zh-CN"/>
        </w:rPr>
        <w:t>宗地清单，对需要</w:t>
      </w:r>
      <w:r>
        <w:rPr>
          <w:rFonts w:hint="eastAsia" w:ascii="宋体" w:hAnsi="宋体" w:eastAsia="宋体" w:cs="宋体"/>
          <w:color w:val="auto"/>
          <w:sz w:val="24"/>
          <w:szCs w:val="24"/>
          <w:highlight w:val="none"/>
          <w:lang w:val="en-US" w:eastAsia="zh-CN"/>
        </w:rPr>
        <w:t>图形</w:t>
      </w:r>
      <w:r>
        <w:rPr>
          <w:rFonts w:hint="default" w:ascii="宋体" w:hAnsi="宋体" w:eastAsia="宋体" w:cs="宋体"/>
          <w:color w:val="auto"/>
          <w:sz w:val="24"/>
          <w:szCs w:val="24"/>
          <w:highlight w:val="none"/>
          <w:lang w:val="en-US" w:eastAsia="zh-CN"/>
        </w:rPr>
        <w:t>补充的宗地查找相应电子档案，优先按界址点坐标进行补录成图。</w:t>
      </w:r>
    </w:p>
    <w:p w14:paraId="6AA1D40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通过外业核实实现国有建设用地全覆盖</w:t>
      </w:r>
    </w:p>
    <w:p w14:paraId="7DBF7F8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图属关系建立</w:t>
      </w:r>
    </w:p>
    <w:p w14:paraId="2C1CD3B6">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以外业为主的方式建立</w:t>
      </w:r>
      <w:r>
        <w:rPr>
          <w:rFonts w:hint="eastAsia" w:ascii="宋体" w:hAnsi="宋体" w:eastAsia="宋体" w:cs="宋体"/>
          <w:color w:val="auto"/>
          <w:sz w:val="24"/>
          <w:szCs w:val="24"/>
          <w:highlight w:val="none"/>
          <w:lang w:val="en-US" w:eastAsia="zh-CN"/>
        </w:rPr>
        <w:t>无法通过档案补充图形的，</w:t>
      </w:r>
      <w:r>
        <w:rPr>
          <w:rFonts w:hint="default" w:ascii="宋体" w:hAnsi="宋体" w:eastAsia="宋体" w:cs="宋体"/>
          <w:color w:val="auto"/>
          <w:sz w:val="24"/>
          <w:szCs w:val="24"/>
          <w:highlight w:val="none"/>
          <w:lang w:val="en-US" w:eastAsia="zh-CN"/>
        </w:rPr>
        <w:t>通过外业核实的方式进行</w:t>
      </w:r>
      <w:r>
        <w:rPr>
          <w:rFonts w:hint="eastAsia" w:ascii="宋体" w:hAnsi="宋体" w:eastAsia="宋体" w:cs="宋体"/>
          <w:color w:val="auto"/>
          <w:sz w:val="24"/>
          <w:szCs w:val="24"/>
          <w:highlight w:val="none"/>
          <w:lang w:val="en-US" w:eastAsia="zh-CN"/>
        </w:rPr>
        <w:t>补充</w:t>
      </w:r>
      <w:r>
        <w:rPr>
          <w:rFonts w:hint="default" w:ascii="宋体" w:hAnsi="宋体" w:eastAsia="宋体" w:cs="宋体"/>
          <w:color w:val="auto"/>
          <w:sz w:val="24"/>
          <w:szCs w:val="24"/>
          <w:highlight w:val="none"/>
          <w:lang w:val="en-US" w:eastAsia="zh-CN"/>
        </w:rPr>
        <w:t>完善，以实现国有宗地地籍图的全覆盖。</w:t>
      </w:r>
    </w:p>
    <w:p w14:paraId="036F27D1">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国有产权户室</w:t>
      </w:r>
      <w:r>
        <w:rPr>
          <w:rFonts w:hint="eastAsia" w:ascii="宋体" w:hAnsi="宋体" w:eastAsia="宋体" w:cs="宋体"/>
          <w:color w:val="auto"/>
          <w:sz w:val="24"/>
          <w:szCs w:val="24"/>
          <w:highlight w:val="none"/>
          <w:lang w:val="en-US" w:eastAsia="zh-CN"/>
        </w:rPr>
        <w:t>的有属无图</w:t>
      </w:r>
      <w:r>
        <w:rPr>
          <w:rFonts w:hint="default" w:ascii="宋体" w:hAnsi="宋体" w:eastAsia="宋体" w:cs="宋体"/>
          <w:color w:val="auto"/>
          <w:sz w:val="24"/>
          <w:szCs w:val="24"/>
          <w:highlight w:val="none"/>
          <w:lang w:val="en-US" w:eastAsia="zh-CN"/>
        </w:rPr>
        <w:t>数据的归幢落宗，以建立无图证书与地籍图形的关联关系。</w:t>
      </w:r>
    </w:p>
    <w:p w14:paraId="7617B0F3">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图形拓扑，问题数据分析处理</w:t>
      </w:r>
    </w:p>
    <w:p w14:paraId="0F046706">
      <w:p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叠加</w:t>
      </w:r>
      <w:r>
        <w:rPr>
          <w:rFonts w:hint="eastAsia" w:ascii="宋体" w:hAnsi="宋体" w:eastAsia="宋体" w:cs="宋体"/>
          <w:color w:val="auto"/>
          <w:sz w:val="24"/>
          <w:szCs w:val="24"/>
          <w:highlight w:val="none"/>
          <w:lang w:val="en-US" w:eastAsia="zh-CN"/>
        </w:rPr>
        <w:t>集体土地所有权、林权、农经权不动产登记数据，</w:t>
      </w:r>
      <w:r>
        <w:rPr>
          <w:rFonts w:hint="default" w:ascii="宋体" w:hAnsi="宋体" w:eastAsia="宋体" w:cs="宋体"/>
          <w:color w:val="auto"/>
          <w:sz w:val="24"/>
          <w:szCs w:val="24"/>
          <w:highlight w:val="none"/>
          <w:lang w:val="en-US" w:eastAsia="zh-CN"/>
        </w:rPr>
        <w:t>基础测绘等相关矢量数据，查找</w:t>
      </w:r>
      <w:r>
        <w:rPr>
          <w:rFonts w:hint="eastAsia" w:ascii="宋体" w:hAnsi="宋体" w:eastAsia="宋体" w:cs="宋体"/>
          <w:color w:val="auto"/>
          <w:sz w:val="24"/>
          <w:szCs w:val="24"/>
          <w:highlight w:val="none"/>
          <w:lang w:val="en-US" w:eastAsia="zh-CN"/>
        </w:rPr>
        <w:t>查找数据冲突数据、权属重叠问题，并进行问题数据标注管理。</w:t>
      </w:r>
    </w:p>
    <w:p w14:paraId="2C76BB1F">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（四）外业核实成果回库</w:t>
      </w:r>
    </w:p>
    <w:p w14:paraId="4C9589EA">
      <w:pPr>
        <w:spacing w:line="360" w:lineRule="auto"/>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将外业核实成果梳理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回库，以形成最终的已登记，已调查未登记，未调查未登记成果</w:t>
      </w:r>
      <w:r>
        <w:rPr>
          <w:rFonts w:hint="eastAsia" w:ascii="宋体" w:hAnsi="宋体" w:eastAsia="宋体" w:cs="宋体"/>
          <w:color w:val="auto"/>
          <w:sz w:val="24"/>
          <w:szCs w:val="24"/>
          <w:highlight w:val="none"/>
          <w:lang w:val="en-US" w:eastAsia="zh-CN"/>
        </w:rPr>
        <w:t>，数据需要和目前不动产登记数据库做好关联关系</w:t>
      </w:r>
      <w:r>
        <w:rPr>
          <w:rFonts w:hint="default" w:ascii="宋体" w:hAnsi="宋体" w:eastAsia="宋体" w:cs="宋体"/>
          <w:color w:val="auto"/>
          <w:sz w:val="24"/>
          <w:szCs w:val="24"/>
          <w:highlight w:val="none"/>
          <w:lang w:val="en-US" w:eastAsia="zh-CN"/>
        </w:rPr>
        <w:t>。</w:t>
      </w:r>
    </w:p>
    <w:p w14:paraId="7B28706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（五）不动产单元号编制</w:t>
      </w:r>
    </w:p>
    <w:p w14:paraId="288FCC7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对新增的地籍图数据按图形所在位置及类别进行不动产单元号编制，作为"一码"管理的依据。</w:t>
      </w:r>
    </w:p>
    <w:p w14:paraId="5F8CA854">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default" w:ascii="宋体" w:hAnsi="宋体" w:eastAsia="宋体" w:cs="宋体"/>
          <w:color w:val="auto"/>
          <w:sz w:val="24"/>
          <w:szCs w:val="24"/>
          <w:highlight w:val="none"/>
          <w:lang w:val="en-US" w:eastAsia="zh-CN"/>
        </w:rPr>
        <w:t>农村不动产测绘调查数据检查入库</w:t>
      </w:r>
    </w:p>
    <w:p w14:paraId="2CB2EC4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对甲方移交的约30000宗农村宅基地房地不动产权籍调查成果数据</w:t>
      </w:r>
      <w:r>
        <w:rPr>
          <w:rFonts w:hint="default" w:ascii="宋体" w:hAnsi="宋体" w:eastAsia="宋体" w:cs="宋体"/>
          <w:color w:val="auto"/>
          <w:sz w:val="24"/>
          <w:szCs w:val="24"/>
          <w:highlight w:val="none"/>
          <w:lang w:val="en-US" w:eastAsia="zh-CN"/>
        </w:rPr>
        <w:t>进行检查，从数据的完整性、规范性、属性逻辑关联正确性、关键字段信息非空性、图形拓扑正确性等各方面进行检查，并出具数据检查报告，交予测绘单位进行整改，直至通过检查，最终确保成果既满足日常农房登记需求，又满足权籍调查数据入库要求</w:t>
      </w:r>
      <w:r>
        <w:rPr>
          <w:rFonts w:hint="eastAsia" w:ascii="宋体" w:hAnsi="宋体" w:eastAsia="宋体" w:cs="宋体"/>
          <w:color w:val="auto"/>
          <w:sz w:val="24"/>
          <w:szCs w:val="24"/>
          <w:highlight w:val="none"/>
          <w:lang w:val="en-US" w:eastAsia="zh-CN"/>
        </w:rPr>
        <w:t>，最终数据成果入库到不动产登记权籍调查数据库中，并和登记数据实现关联</w:t>
      </w:r>
      <w:r>
        <w:rPr>
          <w:rFonts w:hint="default" w:ascii="宋体" w:hAnsi="宋体" w:eastAsia="宋体" w:cs="宋体"/>
          <w:color w:val="auto"/>
          <w:sz w:val="24"/>
          <w:szCs w:val="24"/>
          <w:highlight w:val="none"/>
          <w:lang w:val="en-US" w:eastAsia="zh-CN"/>
        </w:rPr>
        <w:t>。</w:t>
      </w:r>
    </w:p>
    <w:p w14:paraId="375DB7F8">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default" w:ascii="宋体" w:hAnsi="宋体" w:eastAsia="宋体" w:cs="宋体"/>
          <w:color w:val="auto"/>
          <w:sz w:val="24"/>
          <w:szCs w:val="24"/>
          <w:highlight w:val="none"/>
          <w:lang w:val="en-US" w:eastAsia="zh-CN"/>
        </w:rPr>
        <w:t>数据汇交</w:t>
      </w:r>
    </w:p>
    <w:p w14:paraId="7F3ABB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按照《地籍数据汇交要求(试行)》，通过汇交格式转换、数据质检、质检问题逻辑处理、汇交材料整理等工作，将宅基地、集体建设用地及国有建设用地地籍数据包括矢量数据、属性数据逐级汇交到部。</w:t>
      </w:r>
    </w:p>
    <w:p w14:paraId="7D7E8AD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四、工期要求</w:t>
      </w:r>
    </w:p>
    <w:p w14:paraId="0240BD5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2025年10月底前完成宅基地及集体建设用地地籍图编制及汇交，2026年10月底前完成国有建设用地地籍图编制及汇交（具体根据上级部门要求时间内完成）。</w:t>
      </w:r>
    </w:p>
    <w:p w14:paraId="06E8D79B">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五、成果要求</w:t>
      </w:r>
    </w:p>
    <w:p w14:paraId="17F54BE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（一）项目工作成果</w:t>
      </w:r>
    </w:p>
    <w:p w14:paraId="3DCA222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1、宅基地和集体建设用地地籍数据库；</w:t>
      </w:r>
    </w:p>
    <w:p w14:paraId="7BFBA30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2、宅基地和集体建设用地专项地籍图：针对“已登记、已调查”、“已登记、未调查（无图）”、“未登记、已调查”、“未登记、未调查”部分形成单独完整图层管理；</w:t>
      </w:r>
    </w:p>
    <w:p w14:paraId="7259E33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3、国有建设用地地籍数据库；</w:t>
      </w:r>
    </w:p>
    <w:p w14:paraId="3CD01B1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4、国有建设用地专项地籍图：针对“已登记、已调查”、“已登记、未调查（无图）”、“未登记、已调查”、“未登记、未调查”部分形成单独完整图层管理。</w:t>
      </w:r>
    </w:p>
    <w:p w14:paraId="670906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（二）项目管理成果</w:t>
      </w:r>
    </w:p>
    <w:p w14:paraId="28AC05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1、项目工作方案；</w:t>
      </w:r>
    </w:p>
    <w:p w14:paraId="3DC9F17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2、项目工作报告；</w:t>
      </w:r>
    </w:p>
    <w:p w14:paraId="26377E3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3、各类项目过程管理数据。</w:t>
      </w:r>
    </w:p>
    <w:p w14:paraId="4AEF49E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六、售后服务</w:t>
      </w:r>
    </w:p>
    <w:p w14:paraId="0E9240A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成果通过省级质检或甲方认可后提供1年免费售后服务支持。</w:t>
      </w:r>
    </w:p>
    <w:p w14:paraId="185BEDE9">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2B0B19C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技术成果归属及保密：本项目所形成的项目成果归甲方所有。未经甲方授权，乙方无权将相关信息发送给任何第三方。乙方人应遵守相关保密规定，为甲方保密，并签订保密协议。</w:t>
      </w:r>
    </w:p>
    <w:p w14:paraId="1001EA2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宋体" w:hAnsi="宋体" w:eastAsia="宋体" w:cs="宋体"/>
          <w:b w:val="0"/>
          <w:bCs w:val="0"/>
          <w:kern w:val="2"/>
          <w:sz w:val="24"/>
          <w:szCs w:val="24"/>
          <w:highlight w:val="none"/>
          <w:lang w:val="en-US" w:eastAsia="zh-CN" w:bidi="ar-SA"/>
        </w:rPr>
      </w:pPr>
    </w:p>
    <w:p w14:paraId="584B25F6">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八、合同金额</w:t>
      </w:r>
    </w:p>
    <w:p w14:paraId="0506281C">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1.本合同金额为人民币</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元）</w:t>
      </w:r>
      <w:r>
        <w:rPr>
          <w:rFonts w:hint="eastAsia" w:asciiTheme="minorEastAsia" w:hAnsiTheme="minorEastAsia" w:eastAsiaTheme="minorEastAsia" w:cstheme="minorEastAsia"/>
          <w:color w:val="auto"/>
          <w:sz w:val="24"/>
          <w:szCs w:val="24"/>
          <w:highlight w:val="none"/>
        </w:rPr>
        <w:t>，</w:t>
      </w:r>
    </w:p>
    <w:p w14:paraId="7C5308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本合同金额</w:t>
      </w:r>
      <w:r>
        <w:rPr>
          <w:rFonts w:hint="eastAsia" w:asciiTheme="minorEastAsia" w:hAnsiTheme="minorEastAsia" w:eastAsiaTheme="minorEastAsia" w:cstheme="minorEastAsia"/>
          <w:color w:val="auto"/>
          <w:sz w:val="24"/>
          <w:szCs w:val="24"/>
          <w:highlight w:val="none"/>
          <w:lang w:eastAsia="zh-CN"/>
        </w:rPr>
        <w:t>应</w:t>
      </w:r>
      <w:r>
        <w:rPr>
          <w:rFonts w:hint="eastAsia" w:ascii="宋体" w:hAnsi="宋体" w:eastAsia="宋体" w:cs="宋体"/>
          <w:bCs/>
          <w:color w:val="auto"/>
          <w:sz w:val="24"/>
          <w:szCs w:val="24"/>
          <w:highlight w:val="none"/>
          <w:lang w:eastAsia="zh-CN"/>
        </w:rPr>
        <w:t>包</w:t>
      </w:r>
      <w:r>
        <w:rPr>
          <w:rFonts w:hint="eastAsia" w:ascii="宋体" w:hAnsi="宋体" w:eastAsia="宋体" w:cs="宋体"/>
          <w:bCs/>
          <w:color w:val="auto"/>
          <w:sz w:val="24"/>
          <w:szCs w:val="24"/>
          <w:highlight w:val="none"/>
        </w:rPr>
        <w:t>括本次项目实施所需的</w:t>
      </w:r>
      <w:r>
        <w:rPr>
          <w:rFonts w:hint="eastAsia" w:ascii="宋体" w:hAnsi="宋体" w:eastAsia="宋体" w:cs="宋体"/>
          <w:bCs/>
          <w:color w:val="auto"/>
          <w:sz w:val="24"/>
          <w:szCs w:val="24"/>
          <w:highlight w:val="none"/>
          <w:lang w:val="en-US" w:eastAsia="zh-CN"/>
        </w:rPr>
        <w:t>服务、调查研究、分析认证、编制报告、交通费、文本制作费、办公耗材及设备折旧费、相关验收费用、管理费、利润、风险费、保险、税金、培训、指导、专利费（著作权费）、政策性文件规定费用</w:t>
      </w:r>
      <w:r>
        <w:rPr>
          <w:rFonts w:hint="eastAsia" w:ascii="宋体" w:hAnsi="宋体" w:eastAsia="宋体" w:cs="宋体"/>
          <w:bCs/>
          <w:color w:val="auto"/>
          <w:sz w:val="24"/>
          <w:szCs w:val="24"/>
          <w:highlight w:val="none"/>
        </w:rPr>
        <w:t>以及履行合同所产生的全部费用</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不再另行支付其他任何费用。</w:t>
      </w:r>
      <w:r>
        <w:rPr>
          <w:rFonts w:hint="eastAsia" w:ascii="宋体" w:hAnsi="宋体" w:cs="宋体"/>
          <w:bCs/>
          <w:color w:val="auto"/>
          <w:sz w:val="24"/>
          <w:szCs w:val="24"/>
          <w:highlight w:val="none"/>
          <w:lang w:val="en-US" w:eastAsia="zh-CN"/>
        </w:rPr>
        <w:t>乙方应列入而未列入其中的费用，均视为已包含在内，风险由乙方承担。</w:t>
      </w:r>
    </w:p>
    <w:p w14:paraId="1D8FE731">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注：因</w:t>
      </w:r>
      <w:r>
        <w:rPr>
          <w:rFonts w:hint="eastAsia" w:asciiTheme="minorEastAsia" w:hAnsiTheme="minorEastAsia" w:cstheme="minorEastAsia"/>
          <w:b/>
          <w:bCs/>
          <w:color w:val="auto"/>
          <w:sz w:val="24"/>
          <w:szCs w:val="24"/>
          <w:highlight w:val="none"/>
          <w:lang w:val="en-US" w:eastAsia="zh-CN"/>
        </w:rPr>
        <w:t>甲方</w:t>
      </w:r>
      <w:r>
        <w:rPr>
          <w:rFonts w:hint="eastAsia" w:asciiTheme="minorEastAsia" w:hAnsiTheme="minorEastAsia" w:eastAsiaTheme="minorEastAsia" w:cstheme="minorEastAsia"/>
          <w:b/>
          <w:bCs/>
          <w:color w:val="auto"/>
          <w:sz w:val="24"/>
          <w:szCs w:val="24"/>
          <w:highlight w:val="none"/>
          <w:lang w:val="en-US" w:eastAsia="zh-CN"/>
        </w:rPr>
        <w:t>向财政部门申报支付手续可能造成的时间延误不视为</w:t>
      </w:r>
      <w:r>
        <w:rPr>
          <w:rFonts w:hint="eastAsia" w:asciiTheme="minorEastAsia" w:hAnsiTheme="minorEastAsia" w:cstheme="minorEastAsia"/>
          <w:b/>
          <w:bCs/>
          <w:color w:val="auto"/>
          <w:sz w:val="24"/>
          <w:szCs w:val="24"/>
          <w:highlight w:val="none"/>
          <w:lang w:val="en-US" w:eastAsia="zh-CN"/>
        </w:rPr>
        <w:t>甲方</w:t>
      </w:r>
      <w:r>
        <w:rPr>
          <w:rFonts w:hint="eastAsia" w:asciiTheme="minorEastAsia" w:hAnsiTheme="minorEastAsia" w:eastAsiaTheme="minorEastAsia" w:cstheme="minorEastAsia"/>
          <w:b/>
          <w:bCs/>
          <w:color w:val="auto"/>
          <w:sz w:val="24"/>
          <w:szCs w:val="24"/>
          <w:highlight w:val="none"/>
          <w:lang w:val="en-US" w:eastAsia="zh-CN"/>
        </w:rPr>
        <w:t>违约。</w:t>
      </w:r>
    </w:p>
    <w:p w14:paraId="6BE35956">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九</w:t>
      </w:r>
      <w:r>
        <w:rPr>
          <w:rFonts w:hint="eastAsia" w:asciiTheme="minorEastAsia" w:hAnsiTheme="minorEastAsia" w:eastAsiaTheme="minorEastAsia" w:cstheme="minorEastAsia"/>
          <w:b/>
          <w:bCs/>
          <w:color w:val="auto"/>
          <w:sz w:val="24"/>
          <w:highlight w:val="none"/>
        </w:rPr>
        <w:t>、款项支付</w:t>
      </w:r>
    </w:p>
    <w:p w14:paraId="0670D431">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14:paraId="3B6965D4">
      <w:pPr>
        <w:keepNext w:val="0"/>
        <w:keepLines w:val="0"/>
        <w:pageBreakBefore w:val="0"/>
        <w:widowControl w:val="0"/>
        <w:kinsoku/>
        <w:wordWrap/>
        <w:overflowPunct/>
        <w:topLinePunct w:val="0"/>
        <w:autoSpaceDE/>
        <w:autoSpaceDN/>
        <w:bidi w:val="0"/>
        <w:adjustRightInd/>
        <w:snapToGrid w:val="0"/>
        <w:spacing w:line="480" w:lineRule="exact"/>
        <w:ind w:left="0" w:leftChars="0" w:firstLine="44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宋体" w:hAnsi="宋体" w:eastAsia="宋体" w:cs="宋体"/>
          <w:b w:val="0"/>
          <w:bCs w:val="0"/>
          <w:color w:val="auto"/>
          <w:kern w:val="2"/>
          <w:sz w:val="22"/>
          <w:szCs w:val="22"/>
          <w:highlight w:val="none"/>
          <w:u w:val="single"/>
          <w:lang w:val="en-US" w:eastAsia="zh-CN" w:bidi="ar-SA"/>
        </w:rPr>
        <w:t xml:space="preserve">                                                                             </w:t>
      </w:r>
    </w:p>
    <w:p w14:paraId="7564F3A9">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w:t>
      </w:r>
      <w:r>
        <w:rPr>
          <w:rFonts w:hint="eastAsia" w:asciiTheme="minorEastAsia" w:hAnsiTheme="minorEastAsia" w:eastAsiaTheme="minorEastAsia" w:cstheme="minorEastAsia"/>
          <w:b/>
          <w:bCs/>
          <w:color w:val="auto"/>
          <w:sz w:val="24"/>
          <w:highlight w:val="none"/>
        </w:rPr>
        <w:t>、转包或分包</w:t>
      </w:r>
    </w:p>
    <w:p w14:paraId="560EE406">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1.本合同范围的服务（产品），应由乙方直接供应，</w:t>
      </w:r>
      <w:r>
        <w:rPr>
          <w:rFonts w:hint="eastAsia" w:asciiTheme="minorEastAsia" w:hAnsiTheme="minorEastAsia" w:eastAsiaTheme="minorEastAsia" w:cstheme="minorEastAsia"/>
          <w:color w:val="auto"/>
          <w:sz w:val="24"/>
          <w:szCs w:val="24"/>
          <w:highlight w:val="none"/>
          <w:lang w:eastAsia="zh-CN"/>
        </w:rPr>
        <w:t>不得转包。</w:t>
      </w:r>
    </w:p>
    <w:p w14:paraId="494FCAB5">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2.除非得到甲方的书面同意，乙方不得部分分包给他人供应。甲方有绝对权力阻止分包。</w:t>
      </w:r>
    </w:p>
    <w:p w14:paraId="47AC784C">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szCs w:val="24"/>
          <w:highlight w:val="none"/>
        </w:rPr>
        <w:t>3.如有转让和未经甲方同意的分包行为，甲方有权给予终止合同。</w:t>
      </w:r>
    </w:p>
    <w:p w14:paraId="06139FE9">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十一</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cstheme="minorEastAsia"/>
          <w:b/>
          <w:bCs/>
          <w:color w:val="auto"/>
          <w:sz w:val="24"/>
          <w:highlight w:val="none"/>
          <w:lang w:eastAsia="zh-CN"/>
        </w:rPr>
        <w:t>项目实施地点</w:t>
      </w:r>
    </w:p>
    <w:p w14:paraId="658CF236">
      <w:pPr>
        <w:keepNext w:val="0"/>
        <w:keepLines w:val="0"/>
        <w:pageBreakBefore w:val="0"/>
        <w:widowControl w:val="0"/>
        <w:kinsoku/>
        <w:overflowPunct/>
        <w:topLinePunct w:val="0"/>
        <w:autoSpaceDE/>
        <w:autoSpaceDN/>
        <w:bidi w:val="0"/>
        <w:adjustRightInd/>
        <w:spacing w:line="480" w:lineRule="exact"/>
        <w:ind w:firstLine="480" w:firstLineChars="200"/>
        <w:textAlignment w:val="auto"/>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项目实施地点：</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lang w:eastAsia="zh-CN"/>
        </w:rPr>
        <w:t>。</w:t>
      </w:r>
    </w:p>
    <w:p w14:paraId="765B9418">
      <w:pPr>
        <w:keepNext w:val="0"/>
        <w:keepLines w:val="0"/>
        <w:pageBreakBefore w:val="0"/>
        <w:widowControl w:val="0"/>
        <w:kinsoku/>
        <w:overflowPunct/>
        <w:topLinePunct w:val="0"/>
        <w:autoSpaceDE/>
        <w:autoSpaceDN/>
        <w:bidi w:val="0"/>
        <w:adjustRightInd/>
        <w:spacing w:line="480" w:lineRule="exact"/>
        <w:ind w:firstLine="482" w:firstLineChars="200"/>
        <w:textAlignment w:val="auto"/>
        <w:outlineLvl w:val="1"/>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cstheme="minorEastAsia"/>
          <w:b/>
          <w:bCs/>
          <w:color w:val="auto"/>
          <w:sz w:val="24"/>
          <w:highlight w:val="none"/>
          <w:lang w:eastAsia="zh-CN"/>
        </w:rPr>
        <w:t>十二</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其他要求</w:t>
      </w:r>
    </w:p>
    <w:p w14:paraId="4C96C105">
      <w:pPr>
        <w:keepNext w:val="0"/>
        <w:keepLines w:val="0"/>
        <w:pageBreakBefore w:val="0"/>
        <w:widowControl w:val="0"/>
        <w:kinsoku/>
        <w:overflowPunct/>
        <w:topLinePunct w:val="0"/>
        <w:autoSpaceDE/>
        <w:autoSpaceDN/>
        <w:bidi w:val="0"/>
        <w:adjustRightInd/>
        <w:spacing w:line="480" w:lineRule="exact"/>
        <w:ind w:firstLine="480" w:firstLineChars="200"/>
        <w:textAlignment w:val="auto"/>
        <w:outlineLvl w:val="2"/>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1.乙方须提供项目突发事件应急预案。</w:t>
      </w:r>
    </w:p>
    <w:p w14:paraId="3DFE5885">
      <w:pPr>
        <w:keepNext w:val="0"/>
        <w:keepLines w:val="0"/>
        <w:pageBreakBefore w:val="0"/>
        <w:widowControl w:val="0"/>
        <w:kinsoku/>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2.在服务期间牵涉到所有的安全事故及安全责任全部由乙方负责。乙方若有违反服务项目的相关规定，甲方可以追究乙方的经济赔偿责任和法律责任。</w:t>
      </w:r>
    </w:p>
    <w:p w14:paraId="044142A1">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outlineLvl w:val="2"/>
        <w:rPr>
          <w:rFonts w:hint="eastAsia" w:asciiTheme="minorEastAsia" w:hAnsiTheme="minorEastAsia" w:cstheme="minorEastAsia"/>
          <w:b w:val="0"/>
          <w:bCs w:val="0"/>
          <w:strike/>
          <w:dstrike w:val="0"/>
          <w:color w:val="auto"/>
          <w:sz w:val="24"/>
          <w:highlight w:val="none"/>
          <w:lang w:eastAsia="zh-CN"/>
        </w:rPr>
      </w:pPr>
      <w:r>
        <w:rPr>
          <w:rFonts w:hint="eastAsia" w:ascii="宋体" w:hAnsi="宋体" w:eastAsia="宋体" w:cs="Times New Roman"/>
          <w:color w:val="auto"/>
          <w:sz w:val="24"/>
          <w:highlight w:val="none"/>
          <w:lang w:val="en-US" w:eastAsia="zh-CN"/>
        </w:rPr>
        <w:t>3.以上需求内容将根据甲方针对项目后续细节协商落实。</w:t>
      </w:r>
    </w:p>
    <w:p w14:paraId="36F51F6D">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十三、</w:t>
      </w:r>
      <w:r>
        <w:rPr>
          <w:rFonts w:hint="eastAsia" w:asciiTheme="minorEastAsia" w:hAnsiTheme="minorEastAsia" w:eastAsiaTheme="minorEastAsia" w:cstheme="minorEastAsia"/>
          <w:b/>
          <w:bCs/>
          <w:color w:val="auto"/>
          <w:sz w:val="24"/>
          <w:highlight w:val="none"/>
        </w:rPr>
        <w:t>技术资料</w:t>
      </w:r>
    </w:p>
    <w:p w14:paraId="7D68AB3E">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1.乙方应按采购文件和乙方响应文件规定的时间向甲方提供有关技术资料。</w:t>
      </w:r>
    </w:p>
    <w:p w14:paraId="70CAAD7A">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color w:val="auto"/>
          <w:sz w:val="24"/>
          <w:szCs w:val="24"/>
          <w:highlight w:val="none"/>
        </w:rPr>
        <w:t>2.未经甲方事先书面同意，乙方不得将由甲方提供的有关合同或任何合同条文、规格、计划、图纸、样品或资料</w:t>
      </w:r>
      <w:r>
        <w:rPr>
          <w:rFonts w:hint="eastAsia" w:asciiTheme="minorEastAsia" w:hAnsiTheme="minorEastAsia" w:eastAsiaTheme="minorEastAsia" w:cstheme="minorEastAsia"/>
          <w:color w:val="auto"/>
          <w:sz w:val="24"/>
          <w:szCs w:val="24"/>
          <w:highlight w:val="none"/>
          <w:lang w:eastAsia="zh-CN"/>
        </w:rPr>
        <w:t>给予</w:t>
      </w:r>
      <w:r>
        <w:rPr>
          <w:rFonts w:hint="eastAsia" w:asciiTheme="minorEastAsia" w:hAnsiTheme="minorEastAsia" w:eastAsiaTheme="minorEastAsia" w:cstheme="minorEastAsia"/>
          <w:color w:val="auto"/>
          <w:sz w:val="24"/>
          <w:szCs w:val="24"/>
          <w:highlight w:val="none"/>
        </w:rPr>
        <w:t>履行本合同无关的任何其他人。即使向履行本合同有关的人员提供，也应注意保密并限于履行合同的必需范围。</w:t>
      </w:r>
    </w:p>
    <w:p w14:paraId="705E1467">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十四、</w:t>
      </w:r>
      <w:r>
        <w:rPr>
          <w:rFonts w:hint="eastAsia" w:asciiTheme="minorEastAsia" w:hAnsiTheme="minorEastAsia" w:eastAsiaTheme="minorEastAsia" w:cstheme="minorEastAsia"/>
          <w:b/>
          <w:bCs/>
          <w:color w:val="auto"/>
          <w:sz w:val="24"/>
          <w:highlight w:val="none"/>
        </w:rPr>
        <w:t>质量保证</w:t>
      </w:r>
    </w:p>
    <w:p w14:paraId="1C63520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1.乙方应按采购文件和乙方响应文件规定向甲方提供服务。</w:t>
      </w:r>
    </w:p>
    <w:p w14:paraId="2B74E52C">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r>
        <w:rPr>
          <w:rFonts w:hint="eastAsia" w:ascii="宋体" w:hAnsi="宋体" w:eastAsia="宋体" w:cs="宋体"/>
          <w:b w:val="0"/>
          <w:bCs w:val="0"/>
          <w:color w:val="auto"/>
          <w:kern w:val="0"/>
          <w:sz w:val="24"/>
          <w:szCs w:val="24"/>
          <w:highlight w:val="none"/>
        </w:rPr>
        <w:t>如在工作或服务中发生问题，乙方在接到甲方通知后须在</w:t>
      </w:r>
      <w:r>
        <w:rPr>
          <w:rFonts w:hint="eastAsia" w:hAnsi="宋体" w:cs="宋体"/>
          <w:b w:val="0"/>
          <w:bCs w:val="0"/>
          <w:color w:val="auto"/>
          <w:kern w:val="0"/>
          <w:sz w:val="24"/>
          <w:szCs w:val="24"/>
          <w:highlight w:val="none"/>
          <w:lang w:eastAsia="zh-CN"/>
        </w:rPr>
        <w:t>规定时间内</w:t>
      </w:r>
      <w:r>
        <w:rPr>
          <w:rFonts w:hint="eastAsia" w:ascii="宋体" w:hAnsi="宋体" w:eastAsia="宋体" w:cs="宋体"/>
          <w:b w:val="0"/>
          <w:bCs w:val="0"/>
          <w:color w:val="auto"/>
          <w:kern w:val="0"/>
          <w:sz w:val="24"/>
          <w:szCs w:val="24"/>
          <w:highlight w:val="none"/>
        </w:rPr>
        <w:t>解决问题。</w:t>
      </w:r>
    </w:p>
    <w:p w14:paraId="30EC074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3.</w:t>
      </w:r>
      <w:r>
        <w:rPr>
          <w:rFonts w:hint="eastAsia" w:asciiTheme="minorEastAsia" w:hAnsiTheme="minorEastAsia" w:eastAsiaTheme="minorEastAsia" w:cstheme="minorEastAsia"/>
          <w:b w:val="0"/>
          <w:bCs w:val="0"/>
          <w:color w:val="auto"/>
          <w:spacing w:val="-6"/>
          <w:sz w:val="24"/>
          <w:szCs w:val="24"/>
          <w:highlight w:val="none"/>
        </w:rPr>
        <w:t>在服务</w:t>
      </w:r>
      <w:r>
        <w:rPr>
          <w:rFonts w:hint="eastAsia" w:asciiTheme="minorEastAsia" w:hAnsiTheme="minorEastAsia" w:eastAsiaTheme="minorEastAsia" w:cstheme="minorEastAsia"/>
          <w:b w:val="0"/>
          <w:bCs w:val="0"/>
          <w:color w:val="auto"/>
          <w:spacing w:val="-6"/>
          <w:sz w:val="24"/>
          <w:szCs w:val="24"/>
          <w:highlight w:val="none"/>
          <w:lang w:eastAsia="zh-CN"/>
        </w:rPr>
        <w:t>质保</w:t>
      </w:r>
      <w:r>
        <w:rPr>
          <w:rFonts w:hint="eastAsia" w:asciiTheme="minorEastAsia" w:hAnsiTheme="minorEastAsia" w:eastAsiaTheme="minorEastAsia" w:cstheme="minorEastAsia"/>
          <w:b w:val="0"/>
          <w:bCs w:val="0"/>
          <w:color w:val="auto"/>
          <w:spacing w:val="-6"/>
          <w:sz w:val="24"/>
          <w:szCs w:val="24"/>
          <w:highlight w:val="none"/>
        </w:rPr>
        <w:t>期内，乙方应对出现的质量及安全问题负责处理解决并承担一切费用。</w:t>
      </w:r>
      <w:r>
        <w:rPr>
          <w:rFonts w:hint="eastAsia" w:asciiTheme="minorEastAsia" w:hAnsiTheme="minorEastAsia" w:eastAsiaTheme="minorEastAsia" w:cstheme="minorEastAsia"/>
          <w:b w:val="0"/>
          <w:bCs w:val="0"/>
          <w:color w:val="auto"/>
          <w:spacing w:val="-6"/>
          <w:sz w:val="24"/>
          <w:szCs w:val="24"/>
          <w:highlight w:val="none"/>
          <w:lang w:eastAsia="zh-CN"/>
        </w:rPr>
        <w:t>对达不到要求者，根据实际情况，经双方协商，可按以下办法处理：</w:t>
      </w:r>
    </w:p>
    <w:p w14:paraId="589F7987">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1</w:t>
      </w:r>
      <w:r>
        <w:rPr>
          <w:rFonts w:hint="eastAsia" w:asciiTheme="minorEastAsia" w:hAnsiTheme="minorEastAsia" w:eastAsiaTheme="minorEastAsia" w:cstheme="minorEastAsia"/>
          <w:b w:val="0"/>
          <w:bCs w:val="0"/>
          <w:color w:val="auto"/>
          <w:spacing w:val="-6"/>
          <w:sz w:val="24"/>
          <w:szCs w:val="24"/>
          <w:highlight w:val="none"/>
          <w:lang w:eastAsia="zh-CN"/>
        </w:rPr>
        <w:t>）重做：由乙方承担所发生的一切费用。</w:t>
      </w:r>
    </w:p>
    <w:p w14:paraId="5D43BA75">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2</w:t>
      </w:r>
      <w:r>
        <w:rPr>
          <w:rFonts w:hint="eastAsia" w:asciiTheme="minorEastAsia" w:hAnsiTheme="minorEastAsia" w:eastAsiaTheme="minorEastAsia" w:cstheme="minorEastAsia"/>
          <w:b w:val="0"/>
          <w:bCs w:val="0"/>
          <w:color w:val="auto"/>
          <w:spacing w:val="-6"/>
          <w:sz w:val="24"/>
          <w:szCs w:val="24"/>
          <w:highlight w:val="none"/>
          <w:lang w:eastAsia="zh-CN"/>
        </w:rPr>
        <w:t>）贬值处理：由甲乙双方合议定价。</w:t>
      </w:r>
    </w:p>
    <w:p w14:paraId="2AEB101E">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w:t>
      </w:r>
      <w:r>
        <w:rPr>
          <w:rFonts w:hint="eastAsia" w:asciiTheme="minorEastAsia" w:hAnsiTheme="minorEastAsia" w:eastAsiaTheme="minorEastAsia" w:cstheme="minorEastAsia"/>
          <w:b w:val="0"/>
          <w:bCs w:val="0"/>
          <w:color w:val="auto"/>
          <w:spacing w:val="-6"/>
          <w:sz w:val="24"/>
          <w:szCs w:val="24"/>
          <w:highlight w:val="none"/>
          <w:lang w:val="en-US" w:eastAsia="zh-CN"/>
        </w:rPr>
        <w:t>3</w:t>
      </w:r>
      <w:r>
        <w:rPr>
          <w:rFonts w:hint="eastAsia" w:asciiTheme="minorEastAsia" w:hAnsiTheme="minorEastAsia" w:eastAsiaTheme="minorEastAsia" w:cstheme="minorEastAsia"/>
          <w:b w:val="0"/>
          <w:bCs w:val="0"/>
          <w:color w:val="auto"/>
          <w:spacing w:val="-6"/>
          <w:sz w:val="24"/>
          <w:szCs w:val="24"/>
          <w:highlight w:val="none"/>
          <w:lang w:eastAsia="zh-CN"/>
        </w:rPr>
        <w:t>）解除合同：由乙方承担一切费用，包括新供应商的劳务费用。</w:t>
      </w:r>
    </w:p>
    <w:p w14:paraId="546507E6">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val="0"/>
          <w:bCs w:val="0"/>
          <w:color w:val="auto"/>
          <w:sz w:val="24"/>
          <w:highlight w:val="none"/>
        </w:rPr>
        <w:t>4</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eastAsiaTheme="minorEastAsia" w:cstheme="minorEastAsia"/>
          <w:b w:val="0"/>
          <w:bCs w:val="0"/>
          <w:color w:val="auto"/>
          <w:sz w:val="24"/>
          <w:highlight w:val="none"/>
        </w:rPr>
        <w:t>乙方（及工作人员）对在工作中所接触、知晓的工作内容有严格保密的义务，如出现外传、泄露、出售等情况，则视为乙方严重违约，甲方有解除合同的权利，并由乙方承担合同金额30%的违约金。</w:t>
      </w:r>
    </w:p>
    <w:p w14:paraId="0471502B">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十五、验收</w:t>
      </w:r>
    </w:p>
    <w:p w14:paraId="26CCD7F4">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由甲方负责进行验收考核，乙方协助。</w:t>
      </w:r>
    </w:p>
    <w:p w14:paraId="06DE3A2A">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color w:val="auto"/>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甲方在乙方提供相关服务的过程中，不定期对服务内容和质量进行考核。不达要求者，乙方承担一切损失和费用。</w:t>
      </w:r>
    </w:p>
    <w:p w14:paraId="382906BF">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十六</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cstheme="minorEastAsia"/>
          <w:b/>
          <w:bCs/>
          <w:color w:val="auto"/>
          <w:sz w:val="24"/>
          <w:highlight w:val="none"/>
          <w:lang w:eastAsia="zh-CN"/>
        </w:rPr>
        <w:t>税费</w:t>
      </w:r>
    </w:p>
    <w:p w14:paraId="42FB0A90">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b w:val="0"/>
          <w:bCs w:val="0"/>
          <w:color w:val="auto"/>
          <w:spacing w:val="-6"/>
          <w:sz w:val="24"/>
          <w:szCs w:val="24"/>
          <w:highlight w:val="none"/>
          <w:lang w:eastAsia="zh-CN"/>
        </w:rPr>
      </w:pPr>
      <w:r>
        <w:rPr>
          <w:rFonts w:hint="eastAsia" w:asciiTheme="minorEastAsia" w:hAnsiTheme="minorEastAsia" w:eastAsiaTheme="minorEastAsia" w:cstheme="minorEastAsia"/>
          <w:b w:val="0"/>
          <w:bCs w:val="0"/>
          <w:color w:val="auto"/>
          <w:spacing w:val="-6"/>
          <w:sz w:val="24"/>
          <w:szCs w:val="24"/>
          <w:highlight w:val="none"/>
          <w:lang w:eastAsia="zh-CN"/>
        </w:rPr>
        <w:t>本合同执行中相关的一切税费由乙方承担。</w:t>
      </w:r>
    </w:p>
    <w:p w14:paraId="0F4D3EA4">
      <w:pPr>
        <w:pStyle w:val="23"/>
        <w:keepNext w:val="0"/>
        <w:keepLines w:val="0"/>
        <w:pageBreakBefore w:val="0"/>
        <w:widowControl w:val="0"/>
        <w:tabs>
          <w:tab w:val="left" w:pos="284"/>
        </w:tabs>
        <w:kinsoku/>
        <w:overflowPunct/>
        <w:topLinePunct w:val="0"/>
        <w:autoSpaceDE/>
        <w:autoSpaceDN/>
        <w:bidi w:val="0"/>
        <w:adjustRightInd/>
        <w:snapToGrid w:val="0"/>
        <w:spacing w:line="480" w:lineRule="exact"/>
        <w:ind w:left="0" w:leftChars="0" w:firstLine="482" w:firstLineChars="200"/>
        <w:textAlignment w:val="auto"/>
        <w:outlineLvl w:val="1"/>
        <w:rPr>
          <w:rFonts w:hint="eastAsia" w:asciiTheme="minorEastAsia" w:hAnsiTheme="minorEastAsia" w:eastAsiaTheme="minorEastAsia" w:cstheme="minorEastAsia"/>
          <w:b/>
          <w:bCs/>
          <w:color w:val="auto"/>
          <w:kern w:val="2"/>
          <w:sz w:val="24"/>
          <w:szCs w:val="22"/>
          <w:highlight w:val="none"/>
          <w:u w:val="none"/>
          <w:lang w:val="zh-CN" w:eastAsia="zh-CN" w:bidi="ar-SA"/>
        </w:rPr>
      </w:pPr>
      <w:r>
        <w:rPr>
          <w:rFonts w:hint="eastAsia" w:asciiTheme="minorEastAsia" w:hAnsiTheme="minorEastAsia" w:eastAsiaTheme="minorEastAsia" w:cstheme="minorEastAsia"/>
          <w:b/>
          <w:bCs/>
          <w:color w:val="auto"/>
          <w:kern w:val="2"/>
          <w:sz w:val="24"/>
          <w:szCs w:val="22"/>
          <w:highlight w:val="none"/>
          <w:lang w:val="zh-CN" w:eastAsia="zh-CN" w:bidi="ar-SA"/>
        </w:rPr>
        <w:t>十七、</w:t>
      </w:r>
      <w:r>
        <w:rPr>
          <w:rFonts w:hint="eastAsia" w:asciiTheme="minorEastAsia" w:hAnsiTheme="minorEastAsia" w:eastAsiaTheme="minorEastAsia" w:cstheme="minorEastAsia"/>
          <w:b/>
          <w:bCs/>
          <w:color w:val="auto"/>
          <w:kern w:val="2"/>
          <w:sz w:val="24"/>
          <w:szCs w:val="22"/>
          <w:highlight w:val="none"/>
          <w:u w:val="none"/>
          <w:lang w:val="zh-CN" w:eastAsia="zh-CN" w:bidi="ar-SA"/>
        </w:rPr>
        <w:t>甲乙双方责任</w:t>
      </w:r>
    </w:p>
    <w:p w14:paraId="61031608">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outlineLvl w:val="2"/>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val="zh-CN"/>
        </w:rPr>
        <w:t>乙方的责任与义务</w:t>
      </w:r>
    </w:p>
    <w:p w14:paraId="398320B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eastAsia="zh-CN"/>
        </w:rPr>
        <w:t>）根据乙方响应文件的承诺组建项目组人员，并确定项目负责人与甲方保持联系、沟通。</w:t>
      </w:r>
    </w:p>
    <w:p w14:paraId="0E87D693">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eastAsia="zh-CN"/>
        </w:rPr>
        <w:t>）在履行本合同义务的期间，应运用合理的技能，认真、勤奋地工作。</w:t>
      </w:r>
    </w:p>
    <w:p w14:paraId="05D098A4">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3</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在本合同期内或合同终止后，未征得有关方同意，不得</w:t>
      </w:r>
      <w:r>
        <w:rPr>
          <w:rFonts w:hint="eastAsia" w:asciiTheme="minorEastAsia" w:hAnsiTheme="minorEastAsia" w:eastAsiaTheme="minorEastAsia" w:cstheme="minorEastAsia"/>
          <w:color w:val="auto"/>
          <w:spacing w:val="-6"/>
          <w:sz w:val="24"/>
          <w:szCs w:val="24"/>
          <w:highlight w:val="none"/>
          <w:u w:val="none"/>
          <w:lang w:eastAsia="zh-CN"/>
        </w:rPr>
        <w:t>泄露</w:t>
      </w:r>
      <w:r>
        <w:rPr>
          <w:rFonts w:hint="eastAsia" w:asciiTheme="minorEastAsia" w:hAnsiTheme="minorEastAsia" w:eastAsiaTheme="minorEastAsia" w:cstheme="minorEastAsia"/>
          <w:color w:val="auto"/>
          <w:spacing w:val="-6"/>
          <w:sz w:val="24"/>
          <w:szCs w:val="24"/>
          <w:highlight w:val="none"/>
          <w:u w:val="none"/>
        </w:rPr>
        <w:t>与本项目、本合同有关的技术、资料等，不得以任何形式侵害甲方的知识产权。</w:t>
      </w:r>
    </w:p>
    <w:p w14:paraId="6CE72062">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outlineLvl w:val="3"/>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4</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负责处理好与相关项目实施单位的协调工作。</w:t>
      </w:r>
    </w:p>
    <w:p w14:paraId="3E1BAC7C">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outlineLvl w:val="2"/>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val="zh-CN"/>
        </w:rPr>
        <w:t>甲方的责任与义务</w:t>
      </w:r>
    </w:p>
    <w:p w14:paraId="2679F8FD">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1</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甲方应当主要负责项目的所有外部关系的联系与协调，为乙方工作提供良好的外部条件。</w:t>
      </w:r>
    </w:p>
    <w:p w14:paraId="04DB37FD">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2</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甲方应当按双方约定的内容和时间，向乙方提供与项目有关的资料。</w:t>
      </w:r>
    </w:p>
    <w:p w14:paraId="6F453803">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3</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甲方应授权一名熟悉本项目情况、能迅速</w:t>
      </w:r>
      <w:r>
        <w:rPr>
          <w:rFonts w:hint="eastAsia" w:asciiTheme="minorEastAsia" w:hAnsiTheme="minorEastAsia" w:eastAsiaTheme="minorEastAsia" w:cstheme="minorEastAsia"/>
          <w:color w:val="auto"/>
          <w:spacing w:val="-6"/>
          <w:sz w:val="24"/>
          <w:szCs w:val="24"/>
          <w:highlight w:val="none"/>
          <w:u w:val="none"/>
          <w:lang w:eastAsia="zh-CN"/>
        </w:rPr>
        <w:t>作出决定</w:t>
      </w:r>
      <w:r>
        <w:rPr>
          <w:rFonts w:hint="eastAsia" w:asciiTheme="minorEastAsia" w:hAnsiTheme="minorEastAsia" w:eastAsiaTheme="minorEastAsia" w:cstheme="minorEastAsia"/>
          <w:color w:val="auto"/>
          <w:spacing w:val="-6"/>
          <w:sz w:val="24"/>
          <w:szCs w:val="24"/>
          <w:highlight w:val="none"/>
          <w:u w:val="none"/>
        </w:rPr>
        <w:t>的项目代表，负责与乙方联系。更换代表，要提前通知乙方。</w:t>
      </w:r>
    </w:p>
    <w:p w14:paraId="332E3A29">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outlineLvl w:val="3"/>
        <w:rPr>
          <w:rFonts w:hint="eastAsia" w:asciiTheme="minorEastAsia" w:hAnsiTheme="minorEastAsia" w:eastAsiaTheme="minorEastAsia" w:cstheme="minorEastAsia"/>
          <w:color w:val="auto"/>
          <w:spacing w:val="-6"/>
          <w:sz w:val="24"/>
          <w:szCs w:val="24"/>
          <w:highlight w:val="none"/>
          <w:u w:val="none"/>
        </w:rPr>
      </w:pP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lang w:val="en-US" w:eastAsia="zh-CN"/>
        </w:rPr>
        <w:t>4</w:t>
      </w:r>
      <w:r>
        <w:rPr>
          <w:rFonts w:hint="eastAsia" w:asciiTheme="minorEastAsia" w:hAnsiTheme="minorEastAsia" w:eastAsiaTheme="minorEastAsia" w:cstheme="minorEastAsia"/>
          <w:color w:val="auto"/>
          <w:spacing w:val="-6"/>
          <w:sz w:val="24"/>
          <w:szCs w:val="24"/>
          <w:highlight w:val="none"/>
          <w:u w:val="none"/>
          <w:lang w:eastAsia="zh-CN"/>
        </w:rPr>
        <w:t>）</w:t>
      </w:r>
      <w:r>
        <w:rPr>
          <w:rFonts w:hint="eastAsia" w:asciiTheme="minorEastAsia" w:hAnsiTheme="minorEastAsia" w:eastAsiaTheme="minorEastAsia" w:cstheme="minorEastAsia"/>
          <w:color w:val="auto"/>
          <w:spacing w:val="-6"/>
          <w:sz w:val="24"/>
          <w:szCs w:val="24"/>
          <w:highlight w:val="none"/>
          <w:u w:val="none"/>
        </w:rPr>
        <w:t>甲方有与乙方订立补充合同的签订权。</w:t>
      </w:r>
    </w:p>
    <w:p w14:paraId="55BF8765">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十八、</w:t>
      </w:r>
      <w:r>
        <w:rPr>
          <w:rFonts w:hint="eastAsia" w:asciiTheme="minorEastAsia" w:hAnsiTheme="minorEastAsia" w:eastAsiaTheme="minorEastAsia" w:cstheme="minorEastAsia"/>
          <w:b/>
          <w:bCs/>
          <w:color w:val="auto"/>
          <w:sz w:val="24"/>
          <w:highlight w:val="none"/>
        </w:rPr>
        <w:t>违约</w:t>
      </w:r>
      <w:r>
        <w:rPr>
          <w:rFonts w:hint="eastAsia" w:asciiTheme="minorEastAsia" w:hAnsiTheme="minorEastAsia" w:cstheme="minorEastAsia"/>
          <w:b/>
          <w:bCs/>
          <w:color w:val="auto"/>
          <w:sz w:val="24"/>
          <w:highlight w:val="none"/>
          <w:lang w:eastAsia="zh-CN"/>
        </w:rPr>
        <w:t>责任</w:t>
      </w:r>
    </w:p>
    <w:p w14:paraId="6CF1C786">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如果乙方有下述违约行为或</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文件中规定</w:t>
      </w:r>
      <w:r>
        <w:rPr>
          <w:rFonts w:hint="eastAsia" w:asciiTheme="minorEastAsia" w:hAnsiTheme="minorEastAsia" w:eastAsiaTheme="minorEastAsia" w:cstheme="minorEastAsia"/>
          <w:color w:val="auto"/>
          <w:sz w:val="24"/>
          <w:szCs w:val="24"/>
          <w:highlight w:val="none"/>
          <w:lang w:eastAsia="zh-CN"/>
        </w:rPr>
        <w:t>的其他</w:t>
      </w:r>
      <w:r>
        <w:rPr>
          <w:rFonts w:hint="eastAsia" w:asciiTheme="minorEastAsia" w:hAnsiTheme="minorEastAsia" w:eastAsiaTheme="minorEastAsia" w:cstheme="minorEastAsia"/>
          <w:color w:val="auto"/>
          <w:sz w:val="24"/>
          <w:szCs w:val="24"/>
          <w:highlight w:val="none"/>
        </w:rPr>
        <w:t>违约行为的情况，甲方可以向乙方发出书面违约通知，全部或部分地终止合同，在这些情况下，并不影响甲方向乙方提出的索赔：</w:t>
      </w:r>
    </w:p>
    <w:p w14:paraId="37028130">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乙方未能在合同规定的限期或甲方同意延长的最终</w:t>
      </w:r>
      <w:r>
        <w:rPr>
          <w:rFonts w:hint="eastAsia" w:asciiTheme="minorEastAsia" w:hAnsiTheme="minorEastAsia" w:eastAsiaTheme="minorEastAsia" w:cstheme="minorEastAsia"/>
          <w:color w:val="auto"/>
          <w:sz w:val="24"/>
          <w:szCs w:val="24"/>
          <w:highlight w:val="none"/>
          <w:lang w:eastAsia="zh-CN"/>
        </w:rPr>
        <w:t>期限</w:t>
      </w:r>
      <w:r>
        <w:rPr>
          <w:rFonts w:hint="eastAsia" w:asciiTheme="minorEastAsia" w:hAnsiTheme="minorEastAsia" w:eastAsiaTheme="minorEastAsia" w:cstheme="minorEastAsia"/>
          <w:color w:val="auto"/>
          <w:sz w:val="24"/>
          <w:szCs w:val="24"/>
          <w:highlight w:val="none"/>
        </w:rPr>
        <w:t>内提供全部或部分服务项目、技术文件；</w:t>
      </w:r>
    </w:p>
    <w:p w14:paraId="0D10DE29">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乙方未能使合同的服务项目达到合同附件规定的最低技术要求；</w:t>
      </w:r>
    </w:p>
    <w:p w14:paraId="5833C425">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乙方未能履行合同规定</w:t>
      </w:r>
      <w:r>
        <w:rPr>
          <w:rFonts w:hint="eastAsia" w:asciiTheme="minorEastAsia" w:hAnsiTheme="minorEastAsia" w:eastAsiaTheme="minorEastAsia" w:cstheme="minorEastAsia"/>
          <w:color w:val="auto"/>
          <w:sz w:val="24"/>
          <w:szCs w:val="24"/>
          <w:highlight w:val="none"/>
          <w:lang w:eastAsia="zh-CN"/>
        </w:rPr>
        <w:t>的其他</w:t>
      </w:r>
      <w:r>
        <w:rPr>
          <w:rFonts w:hint="eastAsia" w:asciiTheme="minorEastAsia" w:hAnsiTheme="minorEastAsia" w:eastAsiaTheme="minorEastAsia" w:cstheme="minorEastAsia"/>
          <w:color w:val="auto"/>
          <w:sz w:val="24"/>
          <w:szCs w:val="24"/>
          <w:highlight w:val="none"/>
        </w:rPr>
        <w:t>义务（细微义务除外），且乙方在收到甲方发出的违约通知后30天内或经甲方书面认可延长的时间内未能纠正其违约行为。</w:t>
      </w:r>
    </w:p>
    <w:p w14:paraId="7E41E2DB">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145" w:name="bookmark57"/>
      <w:bookmarkEnd w:id="145"/>
      <w:r>
        <w:rPr>
          <w:rFonts w:hint="eastAsia" w:asciiTheme="minorEastAsia" w:hAnsiTheme="minorEastAsia" w:eastAsiaTheme="minorEastAsia" w:cstheme="minorEastAsia"/>
          <w:color w:val="auto"/>
          <w:sz w:val="24"/>
          <w:szCs w:val="24"/>
          <w:highlight w:val="none"/>
        </w:rPr>
        <w:t>在甲方根据</w:t>
      </w:r>
      <w:r>
        <w:rPr>
          <w:rFonts w:hint="eastAsia" w:asciiTheme="minorEastAsia" w:hAnsiTheme="minorEastAsia" w:eastAsiaTheme="minorEastAsia" w:cstheme="minorEastAsia"/>
          <w:color w:val="auto"/>
          <w:sz w:val="24"/>
          <w:szCs w:val="24"/>
          <w:highlight w:val="none"/>
          <w:lang w:eastAsia="zh-CN"/>
        </w:rPr>
        <w:t>以上条</w:t>
      </w:r>
      <w:r>
        <w:rPr>
          <w:rFonts w:hint="eastAsia" w:asciiTheme="minorEastAsia" w:hAnsiTheme="minorEastAsia" w:eastAsiaTheme="minorEastAsia" w:cstheme="minorEastAsia"/>
          <w:color w:val="auto"/>
          <w:sz w:val="24"/>
          <w:szCs w:val="24"/>
          <w:highlight w:val="none"/>
        </w:rPr>
        <w:t>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68E98590">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bookmarkStart w:id="146" w:name="bookmark58"/>
      <w:bookmarkEnd w:id="146"/>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其他情况终止合同</w:t>
      </w:r>
    </w:p>
    <w:p w14:paraId="38518AF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如果乙方破产或发生资不抵债的情况，甲方可在任何时候以书面通知终止合同，而不给对方补偿。该终止合同将不损害或影响</w:t>
      </w:r>
      <w:r>
        <w:rPr>
          <w:rFonts w:hint="eastAsia" w:asciiTheme="minorEastAsia" w:hAnsiTheme="minorEastAsia" w:eastAsiaTheme="minorEastAsia" w:cstheme="minorEastAsia"/>
          <w:color w:val="auto"/>
          <w:sz w:val="24"/>
          <w:szCs w:val="24"/>
          <w:highlight w:val="none"/>
          <w:lang w:eastAsia="zh-CN"/>
        </w:rPr>
        <w:t>甲方已</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eastAsiaTheme="minorEastAsia" w:cstheme="minorEastAsia"/>
          <w:color w:val="auto"/>
          <w:sz w:val="24"/>
          <w:szCs w:val="24"/>
          <w:highlight w:val="none"/>
          <w:lang w:eastAsia="zh-CN"/>
        </w:rPr>
        <w:t>采取</w:t>
      </w:r>
      <w:r>
        <w:rPr>
          <w:rFonts w:hint="eastAsia" w:asciiTheme="minorEastAsia" w:hAnsiTheme="minorEastAsia" w:eastAsiaTheme="minorEastAsia" w:cstheme="minorEastAsia"/>
          <w:color w:val="auto"/>
          <w:sz w:val="24"/>
          <w:szCs w:val="24"/>
          <w:highlight w:val="none"/>
        </w:rPr>
        <w:t>或将要采取的补救措施的权利。</w:t>
      </w:r>
    </w:p>
    <w:p w14:paraId="14105AFF">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如果甲方认定乙方在竞标、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和合同执行等过程中有腐败或欺诈行为，甲方有权在任何时候</w:t>
      </w:r>
      <w:r>
        <w:rPr>
          <w:rFonts w:hint="eastAsia" w:asciiTheme="minorEastAsia" w:hAnsiTheme="minorEastAsia" w:eastAsiaTheme="minorEastAsia" w:cstheme="minorEastAsia"/>
          <w:color w:val="auto"/>
          <w:sz w:val="24"/>
          <w:szCs w:val="24"/>
          <w:highlight w:val="none"/>
          <w:lang w:eastAsia="zh-CN"/>
        </w:rPr>
        <w:t>发出</w:t>
      </w:r>
      <w:r>
        <w:rPr>
          <w:rFonts w:hint="eastAsia" w:asciiTheme="minorEastAsia" w:hAnsiTheme="minorEastAsia" w:eastAsiaTheme="minorEastAsia" w:cstheme="minorEastAsia"/>
          <w:color w:val="auto"/>
          <w:sz w:val="24"/>
          <w:szCs w:val="24"/>
          <w:highlight w:val="none"/>
        </w:rPr>
        <w:t>书面通知终止合同。</w:t>
      </w:r>
    </w:p>
    <w:p w14:paraId="3A1375C8">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如果合同履行过程中出现危害国家利益和社会公众利益的，甲方有权在任何时候发出书面通知终止合同。</w:t>
      </w:r>
    </w:p>
    <w:p w14:paraId="328AAC3A">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宋体" w:hAnsi="宋体" w:eastAsia="宋体" w:cs="宋体"/>
          <w:color w:val="auto"/>
          <w:kern w:val="0"/>
          <w:sz w:val="24"/>
          <w:szCs w:val="24"/>
          <w:highlight w:val="none"/>
        </w:rPr>
        <w:t>乙方不能全面、正常提供服务的，则每日向甲方合同金额支付千分之六违约金。逾期超过3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14:paraId="4A32627E">
      <w:pPr>
        <w:pStyle w:val="23"/>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pacing w:val="-6"/>
          <w:sz w:val="24"/>
          <w:szCs w:val="24"/>
          <w:highlight w:val="none"/>
        </w:rPr>
        <w:t>乙方未按本合同、采购文件和乙方响应文件的规定及政府采购法律法规的规定履行责任和义务，甲方</w:t>
      </w:r>
      <w:r>
        <w:rPr>
          <w:rFonts w:hint="eastAsia" w:asciiTheme="minorEastAsia" w:hAnsiTheme="minorEastAsia" w:eastAsiaTheme="minorEastAsia" w:cstheme="minorEastAsia"/>
          <w:color w:val="auto"/>
          <w:spacing w:val="-6"/>
          <w:sz w:val="24"/>
          <w:szCs w:val="24"/>
          <w:highlight w:val="none"/>
          <w:lang w:eastAsia="zh-CN"/>
        </w:rPr>
        <w:t>申</w:t>
      </w:r>
      <w:r>
        <w:rPr>
          <w:rFonts w:hint="eastAsia" w:asciiTheme="minorEastAsia" w:hAnsiTheme="minorEastAsia" w:eastAsiaTheme="minorEastAsia" w:cstheme="minorEastAsia"/>
          <w:color w:val="auto"/>
          <w:spacing w:val="-6"/>
          <w:sz w:val="24"/>
          <w:szCs w:val="24"/>
          <w:highlight w:val="none"/>
        </w:rPr>
        <w:t>请政府采购监管部门将其列入政府采购不良行为记录名单。</w:t>
      </w:r>
    </w:p>
    <w:p w14:paraId="576D853D">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十九</w:t>
      </w:r>
      <w:r>
        <w:rPr>
          <w:rFonts w:hint="eastAsia" w:asciiTheme="minorEastAsia" w:hAnsiTheme="minorEastAsia" w:eastAsiaTheme="minorEastAsia" w:cstheme="minorEastAsia"/>
          <w:b/>
          <w:bCs/>
          <w:color w:val="auto"/>
          <w:sz w:val="24"/>
          <w:highlight w:val="none"/>
        </w:rPr>
        <w:t>、不可抗力</w:t>
      </w:r>
    </w:p>
    <w:p w14:paraId="0D5D53F6">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1.如果双方中任何一方遭遇法律规定的不可抗力，致使合同履行受阻时，履行合同的期限应予延长，延长的期限应相当于不可抗力所影响的时间。</w:t>
      </w:r>
    </w:p>
    <w:p w14:paraId="4BD1EE50">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2.受事故影响的一方应在不可抗力的事故发生后尽</w:t>
      </w:r>
      <w:r>
        <w:rPr>
          <w:rFonts w:hint="eastAsia" w:asciiTheme="minorEastAsia" w:hAnsiTheme="minorEastAsia" w:eastAsiaTheme="minorEastAsia" w:cstheme="minorEastAsia"/>
          <w:color w:val="auto"/>
          <w:highlight w:val="none"/>
          <w:lang w:eastAsia="zh-CN"/>
        </w:rPr>
        <w:t>快以</w:t>
      </w:r>
      <w:r>
        <w:rPr>
          <w:rFonts w:hint="eastAsia" w:asciiTheme="minorEastAsia" w:hAnsiTheme="minorEastAsia" w:eastAsiaTheme="minorEastAsia" w:cstheme="minorEastAsia"/>
          <w:color w:val="auto"/>
          <w:highlight w:val="none"/>
        </w:rPr>
        <w:t>书面形式通知另一方，并尽快将有关部门出具的证明文件送达另一方。</w:t>
      </w:r>
    </w:p>
    <w:p w14:paraId="36794203">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3.不可抗力使合同的某些内容有变更必要的， 双方应通过协商达成进一步履行合同的协议，因不可抗力致使合同不能履行的，合同终止。</w:t>
      </w:r>
    </w:p>
    <w:p w14:paraId="78530C0A">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二十</w:t>
      </w:r>
      <w:r>
        <w:rPr>
          <w:rFonts w:hint="eastAsia" w:asciiTheme="minorEastAsia" w:hAnsiTheme="minorEastAsia" w:eastAsiaTheme="minorEastAsia" w:cstheme="minorEastAsia"/>
          <w:b/>
          <w:bCs/>
          <w:color w:val="auto"/>
          <w:sz w:val="24"/>
          <w:highlight w:val="none"/>
        </w:rPr>
        <w:t>、争议的解决</w:t>
      </w:r>
    </w:p>
    <w:p w14:paraId="1C231041">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1.因服务的质量问题发生争议的，甲乙双方应首先通过友好协商解决，如果协商不能解决争议，则采取向</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人民法院提起诉讼方式解决争议。</w:t>
      </w:r>
    </w:p>
    <w:p w14:paraId="49CB2101">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2.在诉讼期间，本合同仍继续履行。</w:t>
      </w:r>
    </w:p>
    <w:p w14:paraId="238216A4">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cstheme="minorEastAsia"/>
          <w:b/>
          <w:bCs/>
          <w:color w:val="auto"/>
          <w:sz w:val="24"/>
          <w:highlight w:val="none"/>
          <w:lang w:eastAsia="zh-CN"/>
        </w:rPr>
        <w:t>二十一</w:t>
      </w:r>
      <w:r>
        <w:rPr>
          <w:rFonts w:hint="eastAsia" w:asciiTheme="minorEastAsia" w:hAnsiTheme="minorEastAsia" w:eastAsiaTheme="minorEastAsia" w:cstheme="minorEastAsia"/>
          <w:b/>
          <w:bCs/>
          <w:color w:val="auto"/>
          <w:sz w:val="24"/>
          <w:highlight w:val="none"/>
        </w:rPr>
        <w:t>、合同生效及其他</w:t>
      </w:r>
    </w:p>
    <w:p w14:paraId="41079D1F">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.合同执行中涉及采购资金和采购内容修改或补充的，甲方须经</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财政局相关部门批准，并</w:t>
      </w:r>
      <w:r>
        <w:rPr>
          <w:rFonts w:hint="eastAsia" w:asciiTheme="minorEastAsia" w:hAnsiTheme="minorEastAsia" w:eastAsiaTheme="minorEastAsia" w:cstheme="minorEastAsia"/>
          <w:color w:val="auto"/>
          <w:highlight w:val="none"/>
          <w:lang w:eastAsia="zh-CN"/>
        </w:rPr>
        <w:t>签订</w:t>
      </w:r>
      <w:r>
        <w:rPr>
          <w:rFonts w:hint="eastAsia" w:asciiTheme="minorEastAsia" w:hAnsiTheme="minorEastAsia" w:eastAsiaTheme="minorEastAsia" w:cstheme="minorEastAsia"/>
          <w:color w:val="auto"/>
          <w:highlight w:val="none"/>
        </w:rPr>
        <w:t>书面补充协议，报</w:t>
      </w:r>
      <w:r>
        <w:rPr>
          <w:rFonts w:hint="eastAsia" w:asciiTheme="minorEastAsia" w:hAnsiTheme="minorEastAsia" w:eastAsiaTheme="minorEastAsia" w:cstheme="minorEastAsia"/>
          <w:color w:val="auto"/>
          <w:highlight w:val="none"/>
          <w:lang w:eastAsia="zh-CN"/>
        </w:rPr>
        <w:t>庆元县</w:t>
      </w:r>
      <w:r>
        <w:rPr>
          <w:rFonts w:hint="eastAsia" w:asciiTheme="minorEastAsia" w:hAnsiTheme="minorEastAsia" w:eastAsiaTheme="minorEastAsia" w:cstheme="minorEastAsia"/>
          <w:color w:val="auto"/>
          <w:highlight w:val="none"/>
        </w:rPr>
        <w:t>财政局政府采购监管科备案，方可作为合同不可分割的一部分。</w:t>
      </w:r>
    </w:p>
    <w:p w14:paraId="64381C3F">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.本合同自签订之日起生效。</w:t>
      </w:r>
    </w:p>
    <w:p w14:paraId="0EDF9CB4">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.本合同一式</w:t>
      </w:r>
      <w:r>
        <w:rPr>
          <w:rFonts w:hint="eastAsia" w:asciiTheme="minorEastAsia" w:hAnsiTheme="minorEastAsia" w:eastAsiaTheme="minorEastAsia" w:cstheme="minorEastAsia"/>
          <w:color w:val="auto"/>
          <w:highlight w:val="none"/>
          <w:lang w:eastAsia="zh-CN"/>
        </w:rPr>
        <w:t>陆</w:t>
      </w:r>
      <w:r>
        <w:rPr>
          <w:rFonts w:hint="eastAsia" w:asciiTheme="minorEastAsia" w:hAnsiTheme="minorEastAsia" w:eastAsiaTheme="minorEastAsia" w:cstheme="minorEastAsia"/>
          <w:color w:val="auto"/>
          <w:highlight w:val="none"/>
        </w:rPr>
        <w:t>份，甲乙双方各执</w:t>
      </w:r>
      <w:r>
        <w:rPr>
          <w:rFonts w:hint="eastAsia" w:asciiTheme="minorEastAsia" w:hAnsiTheme="minorEastAsia" w:eastAsiaTheme="minorEastAsia" w:cstheme="minorEastAsia"/>
          <w:color w:val="auto"/>
          <w:highlight w:val="none"/>
          <w:lang w:eastAsia="zh-CN"/>
        </w:rPr>
        <w:t>叁</w:t>
      </w:r>
      <w:r>
        <w:rPr>
          <w:rFonts w:hint="eastAsia" w:asciiTheme="minorEastAsia" w:hAnsiTheme="minorEastAsia" w:eastAsiaTheme="minorEastAsia" w:cstheme="minorEastAsia"/>
          <w:color w:val="auto"/>
          <w:highlight w:val="none"/>
        </w:rPr>
        <w:t>份。</w:t>
      </w:r>
    </w:p>
    <w:p w14:paraId="4205B0BE">
      <w:pPr>
        <w:pStyle w:val="37"/>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.本合同应按照中华人民共和国的现行法律法规进行解释。</w:t>
      </w:r>
    </w:p>
    <w:p w14:paraId="7040D887">
      <w:pPr>
        <w:keepNext w:val="0"/>
        <w:keepLines w:val="0"/>
        <w:pageBreakBefore w:val="0"/>
        <w:widowControl w:val="0"/>
        <w:kinsoku/>
        <w:wordWrap/>
        <w:overflowPunct/>
        <w:topLinePunct w:val="0"/>
        <w:autoSpaceDE/>
        <w:autoSpaceDN/>
        <w:bidi w:val="0"/>
        <w:adjustRightInd/>
        <w:snapToGrid w:val="0"/>
        <w:spacing w:before="119" w:line="420" w:lineRule="exact"/>
        <w:ind w:left="5669" w:hanging="5668" w:hangingChars="2362"/>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　方：</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乙　方：</w:t>
      </w:r>
      <w:r>
        <w:rPr>
          <w:rFonts w:hint="eastAsia" w:asciiTheme="minorEastAsia" w:hAnsiTheme="minorEastAsia" w:cstheme="minorEastAsia"/>
          <w:color w:val="auto"/>
          <w:sz w:val="24"/>
          <w:highlight w:val="none"/>
          <w:u w:val="single"/>
          <w:lang w:val="en-US" w:eastAsia="zh-CN"/>
        </w:rPr>
        <w:t xml:space="preserve">                       </w:t>
      </w:r>
    </w:p>
    <w:p w14:paraId="2D160374">
      <w:pPr>
        <w:keepNext w:val="0"/>
        <w:keepLines w:val="0"/>
        <w:pageBreakBefore w:val="0"/>
        <w:widowControl w:val="0"/>
        <w:kinsoku/>
        <w:wordWrap/>
        <w:overflowPunct/>
        <w:topLinePunct w:val="0"/>
        <w:autoSpaceDE/>
        <w:autoSpaceDN/>
        <w:bidi w:val="0"/>
        <w:adjustRightInd/>
        <w:snapToGrid w:val="0"/>
        <w:spacing w:before="119" w:line="420" w:lineRule="exact"/>
        <w:textAlignment w:val="auto"/>
        <w:rPr>
          <w:rFonts w:hint="eastAsia" w:asciiTheme="minorEastAsia" w:hAnsiTheme="minorEastAsia" w:eastAsiaTheme="minorEastAsia" w:cstheme="minorEastAsia"/>
          <w:color w:val="auto"/>
          <w:sz w:val="24"/>
          <w:highlight w:val="none"/>
        </w:rPr>
      </w:pPr>
    </w:p>
    <w:p w14:paraId="3D5B6004">
      <w:pPr>
        <w:keepNext w:val="0"/>
        <w:keepLines w:val="0"/>
        <w:pageBreakBefore w:val="0"/>
        <w:widowControl w:val="0"/>
        <w:kinsoku/>
        <w:wordWrap/>
        <w:overflowPunct/>
        <w:topLinePunct w:val="0"/>
        <w:autoSpaceDE/>
        <w:autoSpaceDN/>
        <w:bidi w:val="0"/>
        <w:adjustRightInd/>
        <w:snapToGrid w:val="0"/>
        <w:spacing w:before="119"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盖  章：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盖  章：           </w:t>
      </w:r>
    </w:p>
    <w:p w14:paraId="1060EAFE">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highlight w:val="none"/>
        </w:rPr>
      </w:pPr>
    </w:p>
    <w:p w14:paraId="08393C9A">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w:t>
      </w:r>
      <w:r>
        <w:rPr>
          <w:rFonts w:hint="eastAsia" w:asciiTheme="minorEastAsia" w:hAnsiTheme="minorEastAsia" w:cstheme="minorEastAsia"/>
          <w:color w:val="auto"/>
          <w:sz w:val="24"/>
          <w:highlight w:val="none"/>
          <w:lang w:eastAsia="zh-CN"/>
        </w:rPr>
        <w:t>项目经办人</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法定代表人或被委托人</w:t>
      </w:r>
    </w:p>
    <w:p w14:paraId="3324361C">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1EED3E45">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cstheme="minorEastAsia"/>
          <w:color w:val="auto"/>
          <w:sz w:val="24"/>
          <w:highlight w:val="none"/>
          <w:u w:val="single"/>
          <w:lang w:val="en-US" w:eastAsia="zh-CN"/>
        </w:rPr>
        <w:t xml:space="preserve">                       </w:t>
      </w:r>
    </w:p>
    <w:p w14:paraId="5D2D86B8">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邮政编码：</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邮政编码：</w:t>
      </w:r>
      <w:r>
        <w:rPr>
          <w:rFonts w:hint="eastAsia" w:asciiTheme="minorEastAsia" w:hAnsiTheme="minorEastAsia" w:cstheme="minorEastAsia"/>
          <w:color w:val="auto"/>
          <w:sz w:val="24"/>
          <w:highlight w:val="none"/>
          <w:u w:val="single"/>
          <w:lang w:val="en-US" w:eastAsia="zh-CN"/>
        </w:rPr>
        <w:t xml:space="preserve">                       </w:t>
      </w:r>
    </w:p>
    <w:p w14:paraId="19343EDF">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322BA449">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开户银行：</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14:paraId="0625D9D0">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账　　号：</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账号</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bookmarkEnd w:id="143"/>
    <w:bookmarkEnd w:id="144"/>
    <w:p w14:paraId="5457B487">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注：本合同仅作示范文本，具体以双方</w:t>
      </w:r>
      <w:r>
        <w:rPr>
          <w:rFonts w:hint="eastAsia" w:ascii="宋体" w:hAnsi="宋体" w:eastAsia="宋体" w:cs="宋体"/>
          <w:b/>
          <w:color w:val="auto"/>
          <w:sz w:val="24"/>
          <w:szCs w:val="24"/>
          <w:highlight w:val="none"/>
          <w:lang w:eastAsia="zh-CN"/>
        </w:rPr>
        <w:t>签订的</w:t>
      </w:r>
      <w:r>
        <w:rPr>
          <w:rFonts w:hint="eastAsia" w:ascii="宋体" w:hAnsi="宋体" w:eastAsia="宋体" w:cs="宋体"/>
          <w:b/>
          <w:color w:val="auto"/>
          <w:sz w:val="24"/>
          <w:szCs w:val="24"/>
          <w:highlight w:val="none"/>
        </w:rPr>
        <w:t>正式合同为准，合同内容不得违背本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文件实质性要求。</w:t>
      </w:r>
    </w:p>
    <w:p w14:paraId="3A04E94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4644EA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36"/>
          <w:szCs w:val="72"/>
          <w:highlight w:val="none"/>
        </w:rPr>
      </w:pPr>
    </w:p>
    <w:p w14:paraId="29140788">
      <w:pPr>
        <w:pStyle w:val="4"/>
        <w:widowControl w:val="0"/>
        <w:spacing w:line="560" w:lineRule="exact"/>
        <w:ind w:left="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磋商相关文件格式</w:t>
      </w:r>
      <w:bookmarkEnd w:id="134"/>
      <w:bookmarkEnd w:id="136"/>
      <w:bookmarkEnd w:id="142"/>
      <w:bookmarkStart w:id="147" w:name="_Toc15813259"/>
      <w:bookmarkStart w:id="148" w:name="_Toc15805942"/>
      <w:bookmarkStart w:id="149" w:name="_Toc45506740"/>
      <w:bookmarkStart w:id="150" w:name="_Toc47756041"/>
    </w:p>
    <w:p w14:paraId="58A999C8">
      <w:pPr>
        <w:spacing w:line="360" w:lineRule="auto"/>
        <w:jc w:val="center"/>
        <w:rPr>
          <w:rFonts w:hint="eastAsia" w:ascii="宋体" w:hAnsi="宋体" w:eastAsia="宋体" w:cs="宋体"/>
          <w:b/>
          <w:color w:val="auto"/>
          <w:sz w:val="30"/>
          <w:highlight w:val="none"/>
        </w:rPr>
      </w:pPr>
      <w:bookmarkStart w:id="151" w:name="_Toc493955975"/>
      <w:bookmarkStart w:id="152" w:name="_Toc494558370"/>
    </w:p>
    <w:p w14:paraId="54BE57D9">
      <w:pPr>
        <w:spacing w:line="360" w:lineRule="auto"/>
        <w:jc w:val="center"/>
        <w:rPr>
          <w:rFonts w:hint="eastAsia" w:ascii="宋体" w:hAnsi="宋体" w:eastAsia="宋体" w:cs="宋体"/>
          <w:b/>
          <w:color w:val="auto"/>
          <w:sz w:val="30"/>
          <w:highlight w:val="none"/>
        </w:rPr>
      </w:pPr>
    </w:p>
    <w:p w14:paraId="0F5EED05">
      <w:pPr>
        <w:pStyle w:val="5"/>
        <w:widowControl w:val="0"/>
        <w:tabs>
          <w:tab w:val="left" w:pos="3405"/>
        </w:tabs>
        <w:ind w:left="0" w:firstLine="0"/>
        <w:jc w:val="center"/>
        <w:outlineLvl w:val="9"/>
        <w:rPr>
          <w:rFonts w:hint="eastAsia" w:ascii="宋体" w:hAnsi="宋体" w:eastAsia="宋体" w:cs="宋体"/>
          <w:color w:val="auto"/>
          <w:sz w:val="32"/>
          <w:highlight w:val="none"/>
        </w:rPr>
      </w:pPr>
      <w:bookmarkStart w:id="153" w:name="_Toc24057"/>
    </w:p>
    <w:p w14:paraId="002B23EF">
      <w:pPr>
        <w:pStyle w:val="5"/>
        <w:widowControl w:val="0"/>
        <w:tabs>
          <w:tab w:val="left" w:pos="3405"/>
        </w:tabs>
        <w:ind w:left="0" w:firstLine="0"/>
        <w:jc w:val="center"/>
        <w:outlineLvl w:val="9"/>
        <w:rPr>
          <w:rFonts w:hint="eastAsia" w:ascii="宋体" w:hAnsi="宋体" w:eastAsia="宋体" w:cs="宋体"/>
          <w:b/>
          <w:bCs/>
          <w:color w:val="auto"/>
          <w:sz w:val="44"/>
          <w:szCs w:val="24"/>
          <w:highlight w:val="none"/>
        </w:rPr>
      </w:pPr>
    </w:p>
    <w:p w14:paraId="57755B1A">
      <w:pPr>
        <w:pStyle w:val="5"/>
        <w:widowControl w:val="0"/>
        <w:tabs>
          <w:tab w:val="left" w:pos="3405"/>
        </w:tabs>
        <w:ind w:left="0" w:firstLine="0"/>
        <w:jc w:val="center"/>
        <w:outlineLvl w:val="9"/>
        <w:rPr>
          <w:rFonts w:hint="eastAsia" w:ascii="宋体" w:hAnsi="宋体" w:eastAsia="宋体" w:cs="宋体"/>
          <w:b/>
          <w:bCs/>
          <w:color w:val="auto"/>
          <w:sz w:val="44"/>
          <w:szCs w:val="24"/>
          <w:highlight w:val="none"/>
        </w:rPr>
      </w:pPr>
    </w:p>
    <w:p w14:paraId="1C2B542E">
      <w:pPr>
        <w:pStyle w:val="5"/>
        <w:widowControl w:val="0"/>
        <w:tabs>
          <w:tab w:val="left" w:pos="3405"/>
        </w:tabs>
        <w:ind w:left="0" w:firstLine="0"/>
        <w:jc w:val="center"/>
        <w:outlineLvl w:val="1"/>
        <w:rPr>
          <w:rFonts w:hint="eastAsia" w:ascii="宋体" w:hAnsi="宋体" w:eastAsia="宋体" w:cs="宋体"/>
          <w:b/>
          <w:bCs/>
          <w:color w:val="auto"/>
          <w:sz w:val="44"/>
          <w:szCs w:val="24"/>
          <w:highlight w:val="none"/>
        </w:rPr>
      </w:pPr>
      <w:r>
        <w:rPr>
          <w:rFonts w:hint="eastAsia" w:ascii="宋体" w:hAnsi="宋体" w:eastAsia="宋体" w:cs="宋体"/>
          <w:b/>
          <w:bCs/>
          <w:color w:val="auto"/>
          <w:sz w:val="44"/>
          <w:szCs w:val="24"/>
          <w:highlight w:val="none"/>
        </w:rPr>
        <w:t>一  资格审查文件格式</w:t>
      </w:r>
      <w:bookmarkEnd w:id="153"/>
    </w:p>
    <w:p w14:paraId="5F880AB6">
      <w:pPr>
        <w:pStyle w:val="4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30"/>
          <w:highlight w:val="none"/>
        </w:rPr>
      </w:pPr>
    </w:p>
    <w:p w14:paraId="1FA7BB86">
      <w:pPr>
        <w:spacing w:line="360" w:lineRule="auto"/>
        <w:rPr>
          <w:rFonts w:hint="eastAsia" w:ascii="宋体" w:hAnsi="宋体" w:eastAsia="宋体" w:cs="宋体"/>
          <w:b/>
          <w:color w:val="auto"/>
          <w:sz w:val="30"/>
          <w:highlight w:val="none"/>
        </w:rPr>
        <w:sectPr>
          <w:pgSz w:w="11906" w:h="16838"/>
          <w:pgMar w:top="1417" w:right="1417" w:bottom="1417" w:left="1417" w:header="851" w:footer="1020" w:gutter="0"/>
          <w:pgNumType w:fmt="decimal"/>
          <w:cols w:space="425" w:num="1"/>
          <w:docGrid w:type="lines" w:linePitch="312" w:charSpace="0"/>
        </w:sectPr>
      </w:pPr>
    </w:p>
    <w:p w14:paraId="14536F35">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“资格审查文件”封面格式</w:t>
      </w:r>
    </w:p>
    <w:p w14:paraId="01CD330D">
      <w:pPr>
        <w:spacing w:before="508"/>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14:paraId="3B3582C0">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（资格审查文件）</w:t>
      </w:r>
    </w:p>
    <w:p w14:paraId="7A71F27F">
      <w:pPr>
        <w:pStyle w:val="15"/>
        <w:widowControl w:val="0"/>
        <w:tabs>
          <w:tab w:val="left" w:pos="208"/>
        </w:tabs>
        <w:ind w:firstLine="402"/>
        <w:rPr>
          <w:rFonts w:hint="eastAsia" w:ascii="宋体" w:hAnsi="宋体" w:eastAsia="宋体" w:cs="宋体"/>
          <w:b/>
          <w:color w:val="auto"/>
          <w:highlight w:val="none"/>
        </w:rPr>
      </w:pPr>
    </w:p>
    <w:p w14:paraId="34B947E3">
      <w:pPr>
        <w:pStyle w:val="15"/>
        <w:widowControl w:val="0"/>
        <w:tabs>
          <w:tab w:val="left" w:pos="208"/>
        </w:tabs>
        <w:ind w:firstLine="402"/>
        <w:rPr>
          <w:rFonts w:hint="eastAsia" w:ascii="宋体" w:hAnsi="宋体" w:eastAsia="宋体" w:cs="宋体"/>
          <w:b/>
          <w:color w:val="auto"/>
          <w:highlight w:val="none"/>
        </w:rPr>
      </w:pPr>
    </w:p>
    <w:p w14:paraId="667C42D8">
      <w:pPr>
        <w:pStyle w:val="15"/>
        <w:widowControl w:val="0"/>
        <w:tabs>
          <w:tab w:val="left" w:pos="208"/>
        </w:tabs>
        <w:ind w:firstLine="341"/>
        <w:rPr>
          <w:rFonts w:hint="eastAsia" w:ascii="宋体" w:hAnsi="宋体" w:eastAsia="宋体" w:cs="宋体"/>
          <w:b/>
          <w:color w:val="auto"/>
          <w:sz w:val="17"/>
          <w:highlight w:val="none"/>
        </w:rPr>
      </w:pPr>
    </w:p>
    <w:tbl>
      <w:tblPr>
        <w:tblStyle w:val="40"/>
        <w:tblW w:w="8175" w:type="dxa"/>
        <w:jc w:val="center"/>
        <w:tblLayout w:type="fixed"/>
        <w:tblCellMar>
          <w:top w:w="0" w:type="dxa"/>
          <w:left w:w="0" w:type="dxa"/>
          <w:bottom w:w="0" w:type="dxa"/>
          <w:right w:w="0" w:type="dxa"/>
        </w:tblCellMar>
      </w:tblPr>
      <w:tblGrid>
        <w:gridCol w:w="8175"/>
      </w:tblGrid>
      <w:tr w14:paraId="4F5E6D07">
        <w:tblPrEx>
          <w:tblCellMar>
            <w:top w:w="0" w:type="dxa"/>
            <w:left w:w="0" w:type="dxa"/>
            <w:bottom w:w="0" w:type="dxa"/>
            <w:right w:w="0" w:type="dxa"/>
          </w:tblCellMar>
        </w:tblPrEx>
        <w:trPr>
          <w:trHeight w:val="1134" w:hRule="atLeast"/>
          <w:jc w:val="center"/>
        </w:trPr>
        <w:tc>
          <w:tcPr>
            <w:tcW w:w="8175" w:type="dxa"/>
            <w:vAlign w:val="center"/>
          </w:tcPr>
          <w:p w14:paraId="79390928">
            <w:pPr>
              <w:pStyle w:val="99"/>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14:paraId="7204202F">
        <w:tblPrEx>
          <w:tblCellMar>
            <w:top w:w="0" w:type="dxa"/>
            <w:left w:w="0" w:type="dxa"/>
            <w:bottom w:w="0" w:type="dxa"/>
            <w:right w:w="0" w:type="dxa"/>
          </w:tblCellMar>
        </w:tblPrEx>
        <w:trPr>
          <w:trHeight w:val="1134" w:hRule="atLeast"/>
          <w:jc w:val="center"/>
        </w:trPr>
        <w:tc>
          <w:tcPr>
            <w:tcW w:w="8175" w:type="dxa"/>
            <w:vAlign w:val="center"/>
          </w:tcPr>
          <w:p w14:paraId="2D9747E7">
            <w:pPr>
              <w:pStyle w:val="99"/>
              <w:autoSpaceDE w:val="0"/>
              <w:autoSpaceDN w:val="0"/>
              <w:spacing w:before="161" w:line="480" w:lineRule="auto"/>
              <w:ind w:left="200"/>
              <w:rPr>
                <w:rFonts w:hint="eastAsia" w:ascii="宋体" w:hAnsi="宋体" w:eastAsia="宋体" w:cs="宋体"/>
                <w:b/>
                <w:color w:val="auto"/>
                <w:sz w:val="28"/>
                <w:highlight w:val="none"/>
                <w:u w:val="single"/>
                <w:lang w:val="en-US"/>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14:paraId="61960562">
        <w:tblPrEx>
          <w:tblCellMar>
            <w:top w:w="0" w:type="dxa"/>
            <w:left w:w="0" w:type="dxa"/>
            <w:bottom w:w="0" w:type="dxa"/>
            <w:right w:w="0" w:type="dxa"/>
          </w:tblCellMar>
        </w:tblPrEx>
        <w:trPr>
          <w:trHeight w:val="1134" w:hRule="atLeast"/>
          <w:jc w:val="center"/>
        </w:trPr>
        <w:tc>
          <w:tcPr>
            <w:tcW w:w="8175" w:type="dxa"/>
          </w:tcPr>
          <w:p w14:paraId="7E7F76F9">
            <w:pPr>
              <w:pStyle w:val="99"/>
              <w:tabs>
                <w:tab w:val="left" w:pos="8323"/>
              </w:tabs>
              <w:autoSpaceDE w:val="0"/>
              <w:autoSpaceDN w:val="0"/>
              <w:spacing w:before="160"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磋商供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商名</w:t>
            </w:r>
            <w:r>
              <w:rPr>
                <w:rFonts w:hint="eastAsia" w:ascii="宋体" w:hAnsi="宋体" w:eastAsia="宋体" w:cs="宋体"/>
                <w:b/>
                <w:color w:val="auto"/>
                <w:spacing w:val="-3"/>
                <w:sz w:val="28"/>
                <w:highlight w:val="none"/>
              </w:rPr>
              <w:t>称（CA签章）：</w:t>
            </w:r>
            <w:r>
              <w:rPr>
                <w:rFonts w:hint="eastAsia" w:ascii="宋体" w:hAnsi="宋体" w:eastAsia="宋体" w:cs="宋体"/>
                <w:b/>
                <w:color w:val="auto"/>
                <w:sz w:val="28"/>
                <w:highlight w:val="none"/>
                <w:u w:val="single"/>
                <w:lang w:val="en-US"/>
              </w:rPr>
              <w:t xml:space="preserve">                             </w:t>
            </w:r>
          </w:p>
        </w:tc>
      </w:tr>
      <w:tr w14:paraId="22B1C5CB">
        <w:tblPrEx>
          <w:tblCellMar>
            <w:top w:w="0" w:type="dxa"/>
            <w:left w:w="0" w:type="dxa"/>
            <w:bottom w:w="0" w:type="dxa"/>
            <w:right w:w="0" w:type="dxa"/>
          </w:tblCellMar>
        </w:tblPrEx>
        <w:trPr>
          <w:trHeight w:val="1134" w:hRule="atLeast"/>
          <w:jc w:val="center"/>
        </w:trPr>
        <w:tc>
          <w:tcPr>
            <w:tcW w:w="8175" w:type="dxa"/>
          </w:tcPr>
          <w:p w14:paraId="2615FBF5">
            <w:pPr>
              <w:pStyle w:val="99"/>
              <w:tabs>
                <w:tab w:val="left" w:pos="8168"/>
              </w:tabs>
              <w:autoSpaceDE w:val="0"/>
              <w:autoSpaceDN w:val="0"/>
              <w:spacing w:before="161" w:line="480" w:lineRule="auto"/>
              <w:ind w:left="200"/>
              <w:rPr>
                <w:rFonts w:hint="eastAsia" w:ascii="宋体" w:hAnsi="宋体" w:eastAsia="宋体" w:cs="宋体"/>
                <w:b/>
                <w:color w:val="auto"/>
                <w:sz w:val="22"/>
                <w:highlight w:val="none"/>
                <w:lang w:val="en-US" w:eastAsia="en-US"/>
              </w:rPr>
            </w:pPr>
            <w:r>
              <w:rPr>
                <w:rFonts w:hint="eastAsia" w:ascii="宋体" w:hAnsi="宋体" w:eastAsia="宋体" w:cs="宋体"/>
                <w:b/>
                <w:color w:val="auto"/>
                <w:sz w:val="28"/>
                <w:highlight w:val="none"/>
                <w:lang w:eastAsia="en-US"/>
              </w:rPr>
              <w:t>磋商供</w:t>
            </w:r>
            <w:r>
              <w:rPr>
                <w:rFonts w:hint="eastAsia" w:ascii="宋体" w:hAnsi="宋体" w:eastAsia="宋体" w:cs="宋体"/>
                <w:b/>
                <w:color w:val="auto"/>
                <w:spacing w:val="-3"/>
                <w:sz w:val="28"/>
                <w:highlight w:val="none"/>
                <w:lang w:eastAsia="en-US"/>
              </w:rPr>
              <w:t>应</w:t>
            </w:r>
            <w:r>
              <w:rPr>
                <w:rFonts w:hint="eastAsia" w:ascii="宋体" w:hAnsi="宋体" w:eastAsia="宋体" w:cs="宋体"/>
                <w:b/>
                <w:color w:val="auto"/>
                <w:sz w:val="28"/>
                <w:highlight w:val="none"/>
                <w:lang w:eastAsia="en-US"/>
              </w:rPr>
              <w:t>商地</w:t>
            </w:r>
            <w:r>
              <w:rPr>
                <w:rFonts w:hint="eastAsia" w:ascii="宋体" w:hAnsi="宋体" w:eastAsia="宋体" w:cs="宋体"/>
                <w:b/>
                <w:color w:val="auto"/>
                <w:spacing w:val="-3"/>
                <w:sz w:val="28"/>
                <w:highlight w:val="none"/>
                <w:lang w:eastAsia="en-US"/>
              </w:rPr>
              <w:t>址</w:t>
            </w:r>
            <w:r>
              <w:rPr>
                <w:rFonts w:hint="eastAsia" w:ascii="宋体" w:hAnsi="宋体" w:eastAsia="宋体" w:cs="宋体"/>
                <w:b/>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14:paraId="054C8AD0">
        <w:tblPrEx>
          <w:tblCellMar>
            <w:top w:w="0" w:type="dxa"/>
            <w:left w:w="0" w:type="dxa"/>
            <w:bottom w:w="0" w:type="dxa"/>
            <w:right w:w="0" w:type="dxa"/>
          </w:tblCellMar>
        </w:tblPrEx>
        <w:trPr>
          <w:trHeight w:val="1134" w:hRule="atLeast"/>
          <w:jc w:val="center"/>
        </w:trPr>
        <w:tc>
          <w:tcPr>
            <w:tcW w:w="8175" w:type="dxa"/>
          </w:tcPr>
          <w:p w14:paraId="53032469">
            <w:pPr>
              <w:pStyle w:val="99"/>
              <w:tabs>
                <w:tab w:val="left" w:pos="8221"/>
              </w:tabs>
              <w:autoSpaceDE w:val="0"/>
              <w:autoSpaceDN w:val="0"/>
              <w:spacing w:before="161"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pacing w:val="-1"/>
                <w:sz w:val="28"/>
                <w:highlight w:val="none"/>
              </w:rPr>
              <w:t>磋</w:t>
            </w:r>
            <w:r>
              <w:rPr>
                <w:rFonts w:hint="eastAsia" w:ascii="宋体" w:hAnsi="宋体" w:eastAsia="宋体" w:cs="宋体"/>
                <w:b/>
                <w:color w:val="auto"/>
                <w:sz w:val="28"/>
                <w:highlight w:val="none"/>
              </w:rPr>
              <w:t>商供</w:t>
            </w:r>
            <w:r>
              <w:rPr>
                <w:rFonts w:hint="eastAsia" w:ascii="宋体" w:hAnsi="宋体" w:eastAsia="宋体" w:cs="宋体"/>
                <w:b/>
                <w:color w:val="auto"/>
                <w:spacing w:val="-3"/>
                <w:sz w:val="28"/>
                <w:highlight w:val="none"/>
              </w:rPr>
              <w:t>应</w:t>
            </w:r>
            <w:r>
              <w:rPr>
                <w:rFonts w:hint="eastAsia" w:ascii="宋体" w:hAnsi="宋体" w:eastAsia="宋体" w:cs="宋体"/>
                <w:b/>
                <w:color w:val="auto"/>
                <w:sz w:val="28"/>
                <w:highlight w:val="none"/>
              </w:rPr>
              <w:t>商联</w:t>
            </w:r>
            <w:r>
              <w:rPr>
                <w:rFonts w:hint="eastAsia" w:ascii="宋体" w:hAnsi="宋体" w:eastAsia="宋体" w:cs="宋体"/>
                <w:b/>
                <w:color w:val="auto"/>
                <w:spacing w:val="-3"/>
                <w:sz w:val="28"/>
                <w:highlight w:val="none"/>
              </w:rPr>
              <w:t>系电</w:t>
            </w:r>
            <w:r>
              <w:rPr>
                <w:rFonts w:hint="eastAsia" w:ascii="宋体" w:hAnsi="宋体" w:eastAsia="宋体" w:cs="宋体"/>
                <w:b/>
                <w:color w:val="auto"/>
                <w:sz w:val="28"/>
                <w:highlight w:val="none"/>
              </w:rPr>
              <w:t>话：</w:t>
            </w:r>
            <w:r>
              <w:rPr>
                <w:rFonts w:hint="eastAsia" w:ascii="宋体" w:hAnsi="宋体" w:eastAsia="宋体" w:cs="宋体"/>
                <w:b/>
                <w:color w:val="auto"/>
                <w:sz w:val="28"/>
                <w:highlight w:val="none"/>
                <w:u w:val="single"/>
                <w:lang w:val="en-US"/>
              </w:rPr>
              <w:t xml:space="preserve">                                   </w:t>
            </w:r>
          </w:p>
        </w:tc>
      </w:tr>
      <w:tr w14:paraId="22575825">
        <w:tblPrEx>
          <w:tblCellMar>
            <w:top w:w="0" w:type="dxa"/>
            <w:left w:w="0" w:type="dxa"/>
            <w:bottom w:w="0" w:type="dxa"/>
            <w:right w:w="0" w:type="dxa"/>
          </w:tblCellMar>
        </w:tblPrEx>
        <w:trPr>
          <w:trHeight w:val="1134" w:hRule="atLeast"/>
          <w:jc w:val="center"/>
        </w:trPr>
        <w:tc>
          <w:tcPr>
            <w:tcW w:w="8175" w:type="dxa"/>
          </w:tcPr>
          <w:p w14:paraId="1B7E8AA6">
            <w:pPr>
              <w:pStyle w:val="99"/>
              <w:tabs>
                <w:tab w:val="left" w:pos="8150"/>
              </w:tabs>
              <w:autoSpaceDE w:val="0"/>
              <w:autoSpaceDN w:val="0"/>
              <w:spacing w:before="160" w:line="480" w:lineRule="auto"/>
              <w:ind w:left="200"/>
              <w:rPr>
                <w:rFonts w:hint="eastAsia" w:ascii="宋体" w:hAnsi="宋体" w:eastAsia="宋体" w:cs="宋体"/>
                <w:b/>
                <w:color w:val="auto"/>
                <w:sz w:val="22"/>
                <w:highlight w:val="none"/>
                <w:lang w:val="en-US"/>
              </w:rPr>
            </w:pPr>
            <w:r>
              <w:rPr>
                <w:rFonts w:hint="eastAsia" w:ascii="宋体" w:hAnsi="宋体" w:eastAsia="宋体" w:cs="宋体"/>
                <w:b/>
                <w:color w:val="auto"/>
                <w:sz w:val="28"/>
                <w:highlight w:val="none"/>
                <w:lang w:eastAsia="en-US"/>
              </w:rPr>
              <w:t>日</w:t>
            </w:r>
            <w:r>
              <w:rPr>
                <w:rFonts w:hint="eastAsia" w:ascii="宋体" w:hAnsi="宋体" w:eastAsia="宋体" w:cs="宋体"/>
                <w:b/>
                <w:color w:val="auto"/>
                <w:sz w:val="28"/>
                <w:highlight w:val="none"/>
                <w:lang w:val="en-US"/>
              </w:rPr>
              <w:t xml:space="preserve">   </w:t>
            </w:r>
            <w:r>
              <w:rPr>
                <w:rFonts w:hint="eastAsia" w:ascii="宋体" w:hAnsi="宋体" w:eastAsia="宋体" w:cs="宋体"/>
                <w:b/>
                <w:color w:val="auto"/>
                <w:sz w:val="28"/>
                <w:highlight w:val="none"/>
                <w:lang w:eastAsia="en-US"/>
              </w:rPr>
              <w:t>期：</w:t>
            </w:r>
            <w:r>
              <w:rPr>
                <w:rFonts w:hint="eastAsia" w:ascii="宋体" w:hAnsi="宋体" w:eastAsia="宋体" w:cs="宋体"/>
                <w:b/>
                <w:color w:val="auto"/>
                <w:sz w:val="28"/>
                <w:highlight w:val="none"/>
                <w:u w:val="single"/>
                <w:lang w:val="en-US"/>
              </w:rPr>
              <w:t xml:space="preserve">                                              </w:t>
            </w:r>
          </w:p>
        </w:tc>
      </w:tr>
      <w:bookmarkEnd w:id="151"/>
      <w:bookmarkEnd w:id="152"/>
    </w:tbl>
    <w:p w14:paraId="5A445FD1">
      <w:pPr>
        <w:pStyle w:val="5"/>
        <w:widowControl w:val="0"/>
        <w:ind w:left="0" w:firstLine="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bookmarkStart w:id="154" w:name="_Toc29191"/>
    </w:p>
    <w:p w14:paraId="3B4074F7">
      <w:pPr>
        <w:pStyle w:val="23"/>
        <w:widowControl w:val="0"/>
        <w:spacing w:line="360" w:lineRule="auto"/>
        <w:ind w:left="0"/>
        <w:jc w:val="center"/>
        <w:outlineLvl w:val="1"/>
        <w:rPr>
          <w:rFonts w:hint="eastAsia" w:ascii="宋体" w:hAnsi="宋体" w:eastAsia="宋体" w:cs="宋体"/>
          <w:b/>
          <w:color w:val="auto"/>
          <w:sz w:val="32"/>
          <w:highlight w:val="none"/>
          <w:lang w:val="en-US" w:eastAsia="zh-CN"/>
        </w:rPr>
      </w:pPr>
    </w:p>
    <w:p w14:paraId="6EECC061">
      <w:pPr>
        <w:pStyle w:val="23"/>
        <w:widowControl w:val="0"/>
        <w:spacing w:line="360" w:lineRule="auto"/>
        <w:ind w:left="0"/>
        <w:jc w:val="center"/>
        <w:outlineLvl w:val="1"/>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1、公司有效营业执照复印件</w:t>
      </w:r>
    </w:p>
    <w:p w14:paraId="50D6E28D">
      <w:pPr>
        <w:keepNext w:val="0"/>
        <w:keepLines w:val="0"/>
        <w:pageBreakBefore w:val="0"/>
        <w:widowControl w:val="0"/>
        <w:kinsoku/>
        <w:overflowPunct/>
        <w:topLinePunct w:val="0"/>
        <w:bidi w:val="0"/>
        <w:snapToGrid w:val="0"/>
        <w:spacing w:line="360" w:lineRule="auto"/>
        <w:ind w:firstLine="240" w:firstLineChars="100"/>
        <w:jc w:val="left"/>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要求：</w:t>
      </w:r>
    </w:p>
    <w:p w14:paraId="5D3B66B1">
      <w:pPr>
        <w:keepNext w:val="0"/>
        <w:keepLines w:val="0"/>
        <w:pageBreakBefore w:val="0"/>
        <w:widowControl w:val="0"/>
        <w:kinsoku/>
        <w:overflowPunct/>
        <w:topLinePunct w:val="0"/>
        <w:bidi w:val="0"/>
        <w:snapToGrid w:val="0"/>
        <w:spacing w:line="360" w:lineRule="auto"/>
        <w:ind w:firstLine="480" w:firstLineChars="200"/>
        <w:jc w:val="left"/>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1.提供</w:t>
      </w:r>
      <w:r>
        <w:rPr>
          <w:rFonts w:hint="eastAsia" w:ascii="宋体" w:hAnsi="宋体" w:eastAsia="宋体" w:cs="宋体"/>
          <w:color w:val="auto"/>
          <w:spacing w:val="0"/>
          <w:w w:val="100"/>
          <w:sz w:val="24"/>
          <w:szCs w:val="24"/>
          <w:highlight w:val="none"/>
          <w:lang w:eastAsia="zh-CN"/>
        </w:rPr>
        <w:t>清晰、</w:t>
      </w:r>
      <w:r>
        <w:rPr>
          <w:rFonts w:hint="eastAsia" w:ascii="宋体" w:hAnsi="宋体" w:eastAsia="宋体" w:cs="宋体"/>
          <w:color w:val="auto"/>
          <w:spacing w:val="0"/>
          <w:w w:val="100"/>
          <w:sz w:val="24"/>
          <w:szCs w:val="24"/>
          <w:highlight w:val="none"/>
        </w:rPr>
        <w:t>有效的营业执照电子文档并加盖</w:t>
      </w:r>
      <w:r>
        <w:rPr>
          <w:rFonts w:hint="eastAsia" w:ascii="宋体" w:hAnsi="宋体" w:eastAsia="宋体" w:cs="宋体"/>
          <w:color w:val="auto"/>
          <w:spacing w:val="0"/>
          <w:w w:val="100"/>
          <w:sz w:val="24"/>
          <w:szCs w:val="24"/>
          <w:highlight w:val="none"/>
          <w:lang w:eastAsia="zh-CN"/>
        </w:rPr>
        <w:t>投标人</w:t>
      </w:r>
      <w:r>
        <w:rPr>
          <w:rFonts w:hint="eastAsia" w:ascii="宋体" w:hAnsi="宋体" w:eastAsia="宋体" w:cs="宋体"/>
          <w:color w:val="auto"/>
          <w:spacing w:val="0"/>
          <w:w w:val="100"/>
          <w:sz w:val="24"/>
          <w:szCs w:val="24"/>
          <w:highlight w:val="none"/>
        </w:rPr>
        <w:t>公章；</w:t>
      </w:r>
    </w:p>
    <w:p w14:paraId="26726761">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347E82FB">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7F5D4C59">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11048CD8">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14F07E24">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4BEF3792">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132713B1">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108341ED">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65E93277">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7A828E7D">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2C1F9749">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5CC23E5F">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6EFD6072">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5961B0D2">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4287329A">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0167ADC7">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3ED2C959">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7C375DA3">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6C831246">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7880DF36">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06CBF087">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1B7E30F5">
      <w:pPr>
        <w:keepNext w:val="0"/>
        <w:keepLines w:val="0"/>
        <w:pageBreakBefore w:val="0"/>
        <w:widowControl w:val="0"/>
        <w:kinsoku/>
        <w:overflowPunct/>
        <w:topLinePunct w:val="0"/>
        <w:bidi w:val="0"/>
        <w:rPr>
          <w:rFonts w:hint="eastAsia" w:ascii="宋体" w:hAnsi="宋体" w:eastAsia="宋体" w:cs="宋体"/>
          <w:color w:val="auto"/>
          <w:sz w:val="24"/>
          <w:szCs w:val="24"/>
          <w:highlight w:val="none"/>
        </w:rPr>
      </w:pPr>
    </w:p>
    <w:p w14:paraId="37447D43">
      <w:pPr>
        <w:pStyle w:val="23"/>
        <w:widowControl w:val="0"/>
        <w:spacing w:line="360" w:lineRule="auto"/>
        <w:ind w:left="0"/>
        <w:jc w:val="center"/>
        <w:outlineLvl w:val="1"/>
        <w:rPr>
          <w:rFonts w:hint="eastAsia" w:ascii="宋体" w:hAnsi="宋体" w:eastAsia="宋体" w:cs="宋体"/>
          <w:b/>
          <w:color w:val="auto"/>
          <w:sz w:val="32"/>
          <w:highlight w:val="none"/>
          <w:lang w:val="en-US" w:eastAsia="zh-CN"/>
        </w:rPr>
      </w:pPr>
    </w:p>
    <w:p w14:paraId="2364978C">
      <w:pPr>
        <w:pStyle w:val="23"/>
        <w:widowControl w:val="0"/>
        <w:spacing w:line="360" w:lineRule="auto"/>
        <w:ind w:left="0"/>
        <w:jc w:val="center"/>
        <w:outlineLvl w:val="1"/>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2、法定代表人身份证电子文档</w:t>
      </w:r>
    </w:p>
    <w:p w14:paraId="3B008B3A">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345C15E2">
      <w:pPr>
        <w:keepNext w:val="0"/>
        <w:keepLines w:val="0"/>
        <w:pageBreakBefore w:val="0"/>
        <w:widowControl w:val="0"/>
        <w:kinsoku/>
        <w:overflowPunct/>
        <w:topLinePunct w:val="0"/>
        <w:bidi w:val="0"/>
        <w:snapToGrid w:val="0"/>
        <w:spacing w:line="360" w:lineRule="auto"/>
        <w:ind w:firstLine="480" w:firstLineChars="200"/>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1、法定代表人身份证正、反面电子文档；</w:t>
      </w:r>
    </w:p>
    <w:p w14:paraId="682E7B78">
      <w:pPr>
        <w:keepNext w:val="0"/>
        <w:keepLines w:val="0"/>
        <w:pageBreakBefore w:val="0"/>
        <w:widowControl w:val="0"/>
        <w:kinsoku/>
        <w:overflowPunct/>
        <w:topLinePunct w:val="0"/>
        <w:bidi w:val="0"/>
        <w:snapToGrid w:val="0"/>
        <w:spacing w:line="360" w:lineRule="auto"/>
        <w:ind w:firstLine="480" w:firstLineChars="200"/>
        <w:jc w:val="left"/>
        <w:rPr>
          <w:rFonts w:hint="eastAsia" w:ascii="宋体" w:hAnsi="宋体" w:eastAsia="宋体" w:cs="宋体"/>
          <w:b/>
          <w:color w:val="auto"/>
          <w:spacing w:val="0"/>
          <w:w w:val="100"/>
          <w:sz w:val="24"/>
          <w:szCs w:val="24"/>
          <w:highlight w:val="none"/>
        </w:rPr>
      </w:pPr>
      <w:r>
        <w:rPr>
          <w:rFonts w:hint="eastAsia" w:ascii="宋体" w:hAnsi="宋体" w:eastAsia="宋体" w:cs="宋体"/>
          <w:color w:val="auto"/>
          <w:sz w:val="24"/>
          <w:szCs w:val="24"/>
          <w:highlight w:val="none"/>
        </w:rPr>
        <w:t>2、若有委托代理人的，则还应当提供授权委托书及委托代理人的身份证电子文档。</w:t>
      </w:r>
    </w:p>
    <w:bookmarkEnd w:id="154"/>
    <w:p w14:paraId="25FCF9E4">
      <w:pPr>
        <w:pStyle w:val="23"/>
        <w:widowControl w:val="0"/>
        <w:spacing w:line="360" w:lineRule="auto"/>
        <w:ind w:left="0"/>
        <w:jc w:val="center"/>
        <w:outlineLvl w:val="9"/>
        <w:rPr>
          <w:rFonts w:hint="eastAsia" w:hAnsi="宋体" w:cs="宋体"/>
          <w:b/>
          <w:color w:val="auto"/>
          <w:sz w:val="32"/>
          <w:highlight w:val="none"/>
          <w:lang w:val="en-US" w:eastAsia="zh-CN"/>
        </w:rPr>
      </w:pPr>
    </w:p>
    <w:p w14:paraId="3BB7FF26">
      <w:pPr>
        <w:rPr>
          <w:rFonts w:hint="eastAsia" w:hAnsi="宋体" w:cs="宋体"/>
          <w:b/>
          <w:color w:val="auto"/>
          <w:sz w:val="32"/>
          <w:highlight w:val="none"/>
          <w:lang w:val="en-US" w:eastAsia="zh-CN"/>
        </w:rPr>
      </w:pPr>
      <w:r>
        <w:rPr>
          <w:rFonts w:hint="eastAsia" w:hAnsi="宋体" w:cs="宋体"/>
          <w:b/>
          <w:color w:val="auto"/>
          <w:sz w:val="32"/>
          <w:highlight w:val="none"/>
          <w:lang w:val="en-US" w:eastAsia="zh-CN"/>
        </w:rPr>
        <w:br w:type="page"/>
      </w:r>
    </w:p>
    <w:p w14:paraId="3492D9CF">
      <w:pPr>
        <w:pStyle w:val="23"/>
        <w:widowControl w:val="0"/>
        <w:spacing w:line="360" w:lineRule="auto"/>
        <w:ind w:left="0"/>
        <w:jc w:val="center"/>
        <w:outlineLvl w:val="1"/>
        <w:rPr>
          <w:rFonts w:hint="eastAsia" w:ascii="宋体" w:hAnsi="宋体" w:eastAsia="宋体" w:cs="宋体"/>
          <w:b/>
          <w:color w:val="auto"/>
          <w:sz w:val="32"/>
          <w:highlight w:val="none"/>
        </w:rPr>
      </w:pPr>
      <w:r>
        <w:rPr>
          <w:rFonts w:hint="eastAsia" w:hAnsi="宋体" w:cs="宋体"/>
          <w:b/>
          <w:color w:val="auto"/>
          <w:sz w:val="32"/>
          <w:highlight w:val="none"/>
          <w:lang w:val="en-US" w:eastAsia="zh-CN"/>
        </w:rPr>
        <w:t>3、</w:t>
      </w:r>
      <w:r>
        <w:rPr>
          <w:rFonts w:hint="eastAsia" w:ascii="宋体" w:hAnsi="宋体" w:eastAsia="宋体" w:cs="宋体"/>
          <w:b/>
          <w:color w:val="auto"/>
          <w:sz w:val="32"/>
          <w:highlight w:val="none"/>
        </w:rPr>
        <w:t>授权委托书</w:t>
      </w:r>
    </w:p>
    <w:p w14:paraId="11BA2BEC">
      <w:pPr>
        <w:pStyle w:val="81"/>
        <w:spacing w:line="480" w:lineRule="exact"/>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u w:val="single"/>
          <w:lang w:eastAsia="zh-CN"/>
        </w:rPr>
        <w:t>庆元县自然资源和规划局、浙江飞秀工程咨询有限公司</w:t>
      </w:r>
      <w:r>
        <w:rPr>
          <w:rFonts w:hint="eastAsia" w:ascii="宋体" w:hAnsi="宋体" w:eastAsia="宋体" w:cs="宋体"/>
          <w:color w:val="auto"/>
          <w:spacing w:val="0"/>
          <w:sz w:val="24"/>
          <w:szCs w:val="24"/>
          <w:highlight w:val="none"/>
        </w:rPr>
        <w:t>：</w:t>
      </w:r>
    </w:p>
    <w:p w14:paraId="5961C584">
      <w:pPr>
        <w:pStyle w:val="81"/>
        <w:spacing w:line="48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eastAsia="zh-CN"/>
        </w:rPr>
        <w:t>法定代表人</w:t>
      </w:r>
      <w:r>
        <w:rPr>
          <w:rFonts w:hint="eastAsia" w:ascii="宋体" w:hAnsi="宋体" w:eastAsia="宋体" w:cs="宋体"/>
          <w:color w:val="auto"/>
          <w:spacing w:val="0"/>
          <w:sz w:val="24"/>
          <w:szCs w:val="24"/>
          <w:highlight w:val="none"/>
          <w:u w:val="single"/>
        </w:rPr>
        <w:t>（负责人）</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系</w:t>
      </w:r>
      <w:r>
        <w:rPr>
          <w:rFonts w:hint="eastAsia" w:ascii="宋体" w:hAnsi="宋体" w:eastAsia="宋体" w:cs="宋体"/>
          <w:color w:val="auto"/>
          <w:spacing w:val="0"/>
          <w:sz w:val="24"/>
          <w:szCs w:val="24"/>
          <w:highlight w:val="none"/>
          <w:u w:val="single"/>
        </w:rPr>
        <w:t xml:space="preserve">           （供应商全称）</w:t>
      </w:r>
      <w:r>
        <w:rPr>
          <w:rFonts w:hint="eastAsia" w:ascii="宋体" w:hAnsi="宋体" w:eastAsia="宋体" w:cs="宋体"/>
          <w:color w:val="auto"/>
          <w:spacing w:val="0"/>
          <w:sz w:val="24"/>
          <w:szCs w:val="24"/>
          <w:highlight w:val="none"/>
        </w:rPr>
        <w:t>的</w:t>
      </w:r>
      <w:r>
        <w:rPr>
          <w:rFonts w:hint="eastAsia" w:ascii="宋体" w:hAnsi="宋体" w:cs="宋体"/>
          <w:color w:val="auto"/>
          <w:spacing w:val="0"/>
          <w:sz w:val="24"/>
          <w:szCs w:val="24"/>
          <w:highlight w:val="none"/>
          <w:lang w:eastAsia="zh-CN"/>
        </w:rPr>
        <w:t>法定代表人（或</w:t>
      </w:r>
      <w:r>
        <w:rPr>
          <w:rFonts w:hint="eastAsia" w:ascii="宋体" w:hAnsi="宋体" w:eastAsia="宋体" w:cs="宋体"/>
          <w:color w:val="auto"/>
          <w:spacing w:val="0"/>
          <w:sz w:val="24"/>
          <w:szCs w:val="24"/>
          <w:highlight w:val="none"/>
        </w:rPr>
        <w:t>负责人</w:t>
      </w:r>
      <w:r>
        <w:rPr>
          <w:rFonts w:hint="eastAsia" w:ascii="宋体" w:hAnsi="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，现授权委托</w:t>
      </w:r>
      <w:r>
        <w:rPr>
          <w:rFonts w:hint="eastAsia" w:ascii="宋体" w:hAnsi="宋体" w:eastAsia="宋体" w:cs="宋体"/>
          <w:b/>
          <w:color w:val="auto"/>
          <w:spacing w:val="0"/>
          <w:sz w:val="24"/>
          <w:szCs w:val="24"/>
          <w:highlight w:val="none"/>
        </w:rPr>
        <w:t>本单位在职职工</w:t>
      </w:r>
      <w:r>
        <w:rPr>
          <w:rFonts w:hint="eastAsia" w:ascii="宋体" w:hAnsi="宋体" w:eastAsia="宋体" w:cs="宋体"/>
          <w:color w:val="auto"/>
          <w:spacing w:val="0"/>
          <w:sz w:val="24"/>
          <w:szCs w:val="24"/>
          <w:highlight w:val="none"/>
          <w:u w:val="single"/>
        </w:rPr>
        <w:t xml:space="preserve">        （姓名）</w:t>
      </w:r>
      <w:r>
        <w:rPr>
          <w:rFonts w:hint="eastAsia" w:ascii="宋体" w:hAnsi="宋体" w:eastAsia="宋体" w:cs="宋体"/>
          <w:color w:val="auto"/>
          <w:spacing w:val="0"/>
          <w:sz w:val="24"/>
          <w:szCs w:val="24"/>
          <w:highlight w:val="none"/>
        </w:rPr>
        <w:t>以我方的名义参加就贵方组织的</w:t>
      </w:r>
      <w:r>
        <w:rPr>
          <w:rFonts w:hint="eastAsia" w:ascii="宋体" w:hAnsi="宋体" w:eastAsia="宋体" w:cs="宋体"/>
          <w:color w:val="auto"/>
          <w:spacing w:val="0"/>
          <w:sz w:val="24"/>
          <w:szCs w:val="24"/>
          <w:highlight w:val="none"/>
          <w:u w:val="single"/>
        </w:rPr>
        <w:t xml:space="preserve">       （采购项目名称）</w:t>
      </w:r>
      <w:r>
        <w:rPr>
          <w:rFonts w:hint="eastAsia" w:ascii="宋体" w:hAnsi="宋体" w:eastAsia="宋体" w:cs="宋体"/>
          <w:color w:val="auto"/>
          <w:spacing w:val="0"/>
          <w:sz w:val="24"/>
          <w:szCs w:val="24"/>
          <w:highlight w:val="none"/>
        </w:rPr>
        <w:t>（采购编号：</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）项目的磋商活动，并代表我方全权办理针对上述项目的磋商、开标、评审、签约等具体事务和签署相关文件。</w:t>
      </w:r>
    </w:p>
    <w:p w14:paraId="7F8795CB">
      <w:pPr>
        <w:pStyle w:val="81"/>
        <w:autoSpaceDE w:val="0"/>
        <w:autoSpaceDN w:val="0"/>
        <w:spacing w:line="480" w:lineRule="exact"/>
        <w:ind w:firstLine="480" w:firstLineChars="200"/>
        <w:textAlignment w:val="bottom"/>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我方对委托代理人的签字或盖章事项负全部责任。</w:t>
      </w:r>
    </w:p>
    <w:p w14:paraId="474BB39C">
      <w:pPr>
        <w:pStyle w:val="81"/>
        <w:spacing w:line="48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本授权书自签署之日起生效，在撤销授权的书面通知送达贵方以前，本授权委托书一直有效。委托代理人在授权书有效期内签署的所有文件不因授权的撤销而失效。</w:t>
      </w:r>
    </w:p>
    <w:p w14:paraId="6C61F0B3">
      <w:pPr>
        <w:pStyle w:val="81"/>
        <w:spacing w:line="480" w:lineRule="exact"/>
        <w:ind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委托代理人无转委托权，特此声明。</w:t>
      </w:r>
    </w:p>
    <w:p w14:paraId="698FE267">
      <w:pPr>
        <w:pStyle w:val="81"/>
        <w:spacing w:line="440" w:lineRule="exact"/>
        <w:ind w:firstLine="480"/>
        <w:rPr>
          <w:rFonts w:hint="eastAsia" w:ascii="宋体" w:hAnsi="宋体" w:eastAsia="宋体" w:cs="宋体"/>
          <w:color w:val="auto"/>
          <w:spacing w:val="0"/>
          <w:sz w:val="24"/>
          <w:szCs w:val="24"/>
          <w:highlight w:val="none"/>
        </w:rPr>
      </w:pPr>
    </w:p>
    <w:p w14:paraId="62CEE20E">
      <w:pPr>
        <w:pStyle w:val="81"/>
        <w:spacing w:line="440" w:lineRule="exact"/>
        <w:ind w:firstLine="3855" w:firstLineChars="1600"/>
        <w:rPr>
          <w:rFonts w:hint="eastAsia" w:ascii="宋体" w:hAnsi="宋体" w:eastAsia="宋体" w:cs="宋体"/>
          <w:b/>
          <w:color w:val="auto"/>
          <w:spacing w:val="0"/>
          <w:sz w:val="24"/>
          <w:szCs w:val="24"/>
          <w:highlight w:val="none"/>
        </w:rPr>
      </w:pPr>
    </w:p>
    <w:p w14:paraId="546C961A">
      <w:pPr>
        <w:pStyle w:val="81"/>
        <w:spacing w:line="440" w:lineRule="exact"/>
        <w:ind w:firstLine="3855" w:firstLineChars="1600"/>
        <w:rPr>
          <w:rFonts w:hint="eastAsia" w:ascii="宋体" w:hAnsi="宋体" w:eastAsia="宋体" w:cs="宋体"/>
          <w:b/>
          <w:color w:val="auto"/>
          <w:spacing w:val="0"/>
          <w:sz w:val="24"/>
          <w:szCs w:val="24"/>
          <w:highlight w:val="none"/>
        </w:rPr>
      </w:pPr>
    </w:p>
    <w:p w14:paraId="5E21A420">
      <w:pPr>
        <w:pStyle w:val="81"/>
        <w:spacing w:line="440" w:lineRule="exact"/>
        <w:ind w:firstLine="5060" w:firstLineChars="2100"/>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负责人</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5EBC36CE">
      <w:pPr>
        <w:pStyle w:val="81"/>
        <w:spacing w:line="440" w:lineRule="exact"/>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供应商盖章：</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02F9CB1D">
      <w:pPr>
        <w:pStyle w:val="81"/>
        <w:spacing w:line="440" w:lineRule="exact"/>
        <w:ind w:firstLine="5760" w:firstLineChars="240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日     期：</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7A83C8F6">
      <w:pPr>
        <w:pStyle w:val="81"/>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14:paraId="31DA3E83">
      <w:pPr>
        <w:pStyle w:val="81"/>
        <w:spacing w:line="440" w:lineRule="exact"/>
        <w:ind w:firstLine="480"/>
        <w:rPr>
          <w:rFonts w:hint="eastAsia" w:ascii="宋体" w:hAnsi="宋体" w:eastAsia="宋体" w:cs="宋体"/>
          <w:color w:val="auto"/>
          <w:spacing w:val="0"/>
          <w:sz w:val="24"/>
          <w:szCs w:val="24"/>
          <w:highlight w:val="none"/>
        </w:rPr>
      </w:pPr>
    </w:p>
    <w:p w14:paraId="3AF19B97">
      <w:pPr>
        <w:pStyle w:val="81"/>
        <w:spacing w:line="44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附：委托代理人工作单位：              职务：</w:t>
      </w:r>
    </w:p>
    <w:p w14:paraId="4F6474C6">
      <w:pPr>
        <w:pStyle w:val="81"/>
        <w:spacing w:line="440" w:lineRule="exact"/>
        <w:ind w:firstLine="960" w:firstLineChars="4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身份证号码：                      性别：</w:t>
      </w:r>
    </w:p>
    <w:p w14:paraId="45C85B32">
      <w:pPr>
        <w:pStyle w:val="81"/>
        <w:spacing w:line="440" w:lineRule="exact"/>
        <w:ind w:firstLine="960" w:firstLineChars="4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联系电话：</w:t>
      </w:r>
    </w:p>
    <w:p w14:paraId="37DA9B9C">
      <w:pPr>
        <w:pStyle w:val="81"/>
        <w:spacing w:line="440" w:lineRule="exact"/>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注：</w:t>
      </w:r>
      <w:r>
        <w:rPr>
          <w:rFonts w:hint="eastAsia" w:ascii="宋体" w:hAnsi="宋体" w:eastAsia="宋体" w:cs="宋体"/>
          <w:color w:val="auto"/>
          <w:spacing w:val="0"/>
          <w:sz w:val="24"/>
          <w:szCs w:val="24"/>
          <w:highlight w:val="none"/>
        </w:rPr>
        <w:t>1、供应商为法人企业的，其负责人为其法定代表人；供应商为其他组织的，其负责人为法律、行政法规规定代表单位行使职权的主要负责人。</w:t>
      </w:r>
    </w:p>
    <w:p w14:paraId="5C26D27B">
      <w:pPr>
        <w:pStyle w:val="81"/>
        <w:spacing w:line="440" w:lineRule="exact"/>
        <w:ind w:firstLine="480" w:firstLineChars="200"/>
        <w:rPr>
          <w:rFonts w:hint="eastAsia" w:ascii="宋体" w:hAnsi="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2、委托人为上述条款中的负责人</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若是负责人参会的，不需要提供此授权委托书。</w:t>
      </w:r>
    </w:p>
    <w:p w14:paraId="36076025">
      <w:pPr>
        <w:pStyle w:val="81"/>
        <w:spacing w:line="44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3、本“授权委托书”需附负责人</w:t>
      </w:r>
      <w:r>
        <w:rPr>
          <w:rFonts w:hint="eastAsia" w:ascii="宋体" w:hAnsi="宋体" w:eastAsia="宋体" w:cs="宋体"/>
          <w:b/>
          <w:color w:val="auto"/>
          <w:spacing w:val="0"/>
          <w:sz w:val="24"/>
          <w:szCs w:val="24"/>
          <w:highlight w:val="none"/>
        </w:rPr>
        <w:t>和</w:t>
      </w:r>
      <w:r>
        <w:rPr>
          <w:rFonts w:hint="eastAsia" w:ascii="宋体" w:hAnsi="宋体" w:eastAsia="宋体" w:cs="宋体"/>
          <w:color w:val="auto"/>
          <w:spacing w:val="0"/>
          <w:sz w:val="24"/>
          <w:szCs w:val="24"/>
          <w:highlight w:val="none"/>
        </w:rPr>
        <w:t>委托代理人身份证扫描件，如扫描件不清晰或错误的，后果由供应商自行承担。</w:t>
      </w:r>
    </w:p>
    <w:p w14:paraId="05091DC3">
      <w:pPr>
        <w:pStyle w:val="100"/>
        <w:spacing w:line="440" w:lineRule="exact"/>
        <w:ind w:firstLine="482" w:firstLineChars="200"/>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w:t>
      </w:r>
      <w:r>
        <w:rPr>
          <w:rFonts w:hint="eastAsia" w:ascii="宋体" w:hAnsi="宋体" w:eastAsia="宋体" w:cs="宋体"/>
          <w:b/>
          <w:color w:val="auto"/>
          <w:spacing w:val="0"/>
          <w:sz w:val="24"/>
          <w:szCs w:val="24"/>
          <w:highlight w:val="none"/>
          <w:lang w:val="en-US" w:eastAsia="zh-CN"/>
        </w:rPr>
        <w:t>上述格式中的“负责人签字或盖章”，供应商无法通过电子签章实现的，可以采用下载纸质签字完成后再扫描上传政采云平台电子投标工具。</w:t>
      </w:r>
    </w:p>
    <w:p w14:paraId="6F6D3B7D">
      <w:pPr>
        <w:pStyle w:val="100"/>
        <w:spacing w:line="440" w:lineRule="exact"/>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br w:type="page"/>
      </w:r>
    </w:p>
    <w:p w14:paraId="65B0F37C">
      <w:pPr>
        <w:pStyle w:val="10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负责人身份证</w:t>
      </w:r>
      <w:r>
        <w:rPr>
          <w:rFonts w:hint="eastAsia" w:ascii="宋体" w:hAnsi="宋体" w:eastAsia="宋体" w:cs="宋体"/>
          <w:bCs/>
          <w:color w:val="auto"/>
          <w:sz w:val="24"/>
          <w:szCs w:val="24"/>
          <w:highlight w:val="none"/>
          <w:lang w:eastAsia="zh-CN"/>
        </w:rPr>
        <w:t>正反面</w:t>
      </w:r>
      <w:r>
        <w:rPr>
          <w:rFonts w:hint="eastAsia" w:ascii="宋体" w:hAnsi="宋体" w:eastAsia="宋体" w:cs="宋体"/>
          <w:bCs/>
          <w:color w:val="auto"/>
          <w:sz w:val="24"/>
          <w:szCs w:val="24"/>
          <w:highlight w:val="none"/>
        </w:rPr>
        <w:t>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E8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6BEB24">
            <w:pPr>
              <w:pStyle w:val="100"/>
              <w:spacing w:line="440" w:lineRule="exact"/>
              <w:rPr>
                <w:rFonts w:hint="eastAsia" w:ascii="宋体" w:hAnsi="宋体" w:eastAsia="宋体" w:cs="宋体"/>
                <w:bCs/>
                <w:color w:val="auto"/>
                <w:sz w:val="24"/>
                <w:szCs w:val="24"/>
                <w:highlight w:val="none"/>
              </w:rPr>
            </w:pPr>
          </w:p>
          <w:p w14:paraId="7120CF12">
            <w:pPr>
              <w:pStyle w:val="100"/>
              <w:spacing w:line="440" w:lineRule="exact"/>
              <w:rPr>
                <w:rFonts w:hint="eastAsia" w:ascii="宋体" w:hAnsi="宋体" w:eastAsia="宋体" w:cs="宋体"/>
                <w:bCs/>
                <w:color w:val="auto"/>
                <w:sz w:val="24"/>
                <w:szCs w:val="24"/>
                <w:highlight w:val="none"/>
              </w:rPr>
            </w:pPr>
          </w:p>
        </w:tc>
      </w:tr>
    </w:tbl>
    <w:p w14:paraId="5D767B39">
      <w:pPr>
        <w:pStyle w:val="10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委托代理人身份证</w:t>
      </w:r>
      <w:r>
        <w:rPr>
          <w:rFonts w:hint="eastAsia" w:ascii="宋体" w:hAnsi="宋体" w:eastAsia="宋体" w:cs="宋体"/>
          <w:bCs/>
          <w:color w:val="auto"/>
          <w:sz w:val="24"/>
          <w:szCs w:val="24"/>
          <w:highlight w:val="none"/>
          <w:lang w:eastAsia="zh-CN"/>
        </w:rPr>
        <w:t>正反面</w:t>
      </w:r>
      <w:r>
        <w:rPr>
          <w:rFonts w:hint="eastAsia" w:ascii="宋体" w:hAnsi="宋体" w:eastAsia="宋体" w:cs="宋体"/>
          <w:bCs/>
          <w:color w:val="auto"/>
          <w:sz w:val="24"/>
          <w:szCs w:val="24"/>
          <w:highlight w:val="none"/>
        </w:rPr>
        <w:t>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AD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6FA6BF">
            <w:pPr>
              <w:pStyle w:val="100"/>
              <w:spacing w:line="440" w:lineRule="exact"/>
              <w:rPr>
                <w:rFonts w:hint="eastAsia" w:ascii="宋体" w:hAnsi="宋体" w:eastAsia="宋体" w:cs="宋体"/>
                <w:bCs/>
                <w:color w:val="auto"/>
                <w:sz w:val="24"/>
                <w:szCs w:val="24"/>
                <w:highlight w:val="none"/>
              </w:rPr>
            </w:pPr>
          </w:p>
        </w:tc>
      </w:tr>
    </w:tbl>
    <w:p w14:paraId="497EFEB6">
      <w:pPr>
        <w:pStyle w:val="23"/>
        <w:widowControl w:val="0"/>
        <w:spacing w:line="440" w:lineRule="exact"/>
        <w:ind w:left="0" w:leftChars="0" w:firstLine="0" w:firstLineChars="0"/>
        <w:rPr>
          <w:rFonts w:hint="eastAsia" w:ascii="宋体" w:hAnsi="宋体" w:eastAsia="宋体" w:cs="宋体"/>
          <w:b/>
          <w:color w:val="auto"/>
          <w:sz w:val="24"/>
          <w:szCs w:val="24"/>
          <w:highlight w:val="none"/>
        </w:rPr>
      </w:pPr>
    </w:p>
    <w:p w14:paraId="350EBBB6">
      <w:pPr>
        <w:pStyle w:val="23"/>
        <w:widowControl w:val="0"/>
        <w:spacing w:line="440" w:lineRule="exact"/>
        <w:ind w:left="0" w:leftChars="0" w:firstLine="0" w:firstLineChars="0"/>
        <w:rPr>
          <w:rFonts w:hint="eastAsia" w:hAnsi="宋体" w:cs="宋体"/>
          <w:b/>
          <w:color w:val="auto"/>
          <w:sz w:val="24"/>
          <w:szCs w:val="24"/>
          <w:highlight w:val="none"/>
          <w:lang w:val="en-US" w:eastAsia="zh-CN"/>
        </w:rPr>
      </w:pPr>
    </w:p>
    <w:p w14:paraId="00A7686F">
      <w:pPr>
        <w:pStyle w:val="23"/>
        <w:widowControl w:val="0"/>
        <w:spacing w:line="440" w:lineRule="exact"/>
        <w:ind w:left="0" w:leftChars="0" w:firstLine="0" w:firstLineChars="0"/>
        <w:rPr>
          <w:rFonts w:hint="eastAsia" w:hAnsi="宋体" w:cs="宋体"/>
          <w:b/>
          <w:color w:val="auto"/>
          <w:sz w:val="24"/>
          <w:szCs w:val="24"/>
          <w:highlight w:val="none"/>
          <w:lang w:val="en-US" w:eastAsia="zh-CN"/>
        </w:rPr>
      </w:pPr>
    </w:p>
    <w:p w14:paraId="6ADCFFCF">
      <w:pPr>
        <w:pStyle w:val="23"/>
        <w:widowControl w:val="0"/>
        <w:spacing w:line="440" w:lineRule="exact"/>
        <w:ind w:left="0" w:leftChars="0" w:firstLine="0" w:firstLineChars="0"/>
        <w:rPr>
          <w:rFonts w:hint="eastAsia" w:ascii="宋体" w:hAnsi="宋体" w:eastAsia="宋体" w:cs="宋体"/>
          <w:b/>
          <w:color w:val="auto"/>
          <w:szCs w:val="21"/>
          <w:highlight w:val="none"/>
        </w:rPr>
      </w:pPr>
    </w:p>
    <w:p w14:paraId="48A9512E">
      <w:pPr>
        <w:pStyle w:val="23"/>
        <w:widowControl w:val="0"/>
        <w:spacing w:line="440" w:lineRule="exact"/>
        <w:ind w:left="0" w:leftChars="0" w:firstLine="0" w:firstLineChars="0"/>
        <w:rPr>
          <w:rFonts w:hint="eastAsia" w:hAnsi="宋体" w:cs="宋体"/>
          <w:b/>
          <w:color w:val="auto"/>
          <w:sz w:val="28"/>
          <w:szCs w:val="28"/>
          <w:highlight w:val="none"/>
          <w:lang w:val="en-US" w:eastAsia="zh-CN"/>
        </w:rPr>
      </w:pPr>
    </w:p>
    <w:p w14:paraId="2AC0617F">
      <w:pPr>
        <w:pStyle w:val="23"/>
        <w:widowControl w:val="0"/>
        <w:spacing w:line="440" w:lineRule="exact"/>
        <w:ind w:left="0" w:leftChars="0" w:firstLine="0" w:firstLineChars="0"/>
        <w:rPr>
          <w:rFonts w:hint="eastAsia" w:ascii="宋体" w:hAnsi="宋体" w:eastAsia="宋体" w:cs="宋体"/>
          <w:b/>
          <w:color w:val="auto"/>
          <w:szCs w:val="21"/>
          <w:highlight w:val="none"/>
        </w:rPr>
      </w:pPr>
    </w:p>
    <w:p w14:paraId="22C6EC28">
      <w:pPr>
        <w:pStyle w:val="23"/>
        <w:widowControl w:val="0"/>
        <w:spacing w:line="440" w:lineRule="exact"/>
        <w:ind w:left="0" w:leftChars="0" w:firstLine="0" w:firstLineChars="0"/>
        <w:rPr>
          <w:rFonts w:hint="eastAsia" w:hAnsi="宋体" w:cs="宋体"/>
          <w:b/>
          <w:color w:val="auto"/>
          <w:sz w:val="28"/>
          <w:szCs w:val="28"/>
          <w:highlight w:val="none"/>
          <w:lang w:val="en-US" w:eastAsia="zh-CN"/>
        </w:rPr>
      </w:pPr>
    </w:p>
    <w:p w14:paraId="169EC493">
      <w:pPr>
        <w:pStyle w:val="23"/>
        <w:widowControl w:val="0"/>
        <w:spacing w:line="440" w:lineRule="exact"/>
        <w:ind w:firstLine="2108" w:firstLineChars="10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6C63B261">
      <w:pPr>
        <w:pStyle w:val="23"/>
        <w:widowControl w:val="0"/>
        <w:spacing w:line="360" w:lineRule="auto"/>
        <w:ind w:left="0" w:leftChars="0" w:firstLine="0" w:firstLineChars="0"/>
        <w:jc w:val="center"/>
        <w:outlineLvl w:val="1"/>
        <w:rPr>
          <w:rFonts w:hint="eastAsia" w:ascii="宋体" w:hAnsi="宋体" w:eastAsia="宋体" w:cs="宋体"/>
          <w:b/>
          <w:color w:val="auto"/>
          <w:sz w:val="32"/>
          <w:highlight w:val="none"/>
        </w:rPr>
      </w:pPr>
      <w:r>
        <w:rPr>
          <w:rFonts w:hint="eastAsia" w:hAnsi="宋体" w:cs="宋体"/>
          <w:b/>
          <w:color w:val="auto"/>
          <w:sz w:val="32"/>
          <w:highlight w:val="none"/>
          <w:lang w:val="en-US" w:eastAsia="zh-CN"/>
        </w:rPr>
        <w:t>4</w:t>
      </w:r>
      <w:r>
        <w:rPr>
          <w:rFonts w:hint="eastAsia" w:ascii="宋体" w:hAnsi="宋体" w:eastAsia="宋体" w:cs="宋体"/>
          <w:b/>
          <w:color w:val="auto"/>
          <w:sz w:val="32"/>
          <w:highlight w:val="none"/>
        </w:rPr>
        <w:t>、政府采购资格承诺函</w:t>
      </w:r>
    </w:p>
    <w:p w14:paraId="23EDDC1D">
      <w:pPr>
        <w:spacing w:line="360" w:lineRule="auto"/>
        <w:ind w:firstLine="480" w:firstLineChars="200"/>
        <w:rPr>
          <w:rFonts w:hint="eastAsia" w:ascii="宋体" w:hAnsi="宋体" w:eastAsia="宋体" w:cs="宋体"/>
          <w:color w:val="auto"/>
          <w:sz w:val="24"/>
          <w:highlight w:val="none"/>
        </w:rPr>
      </w:pPr>
    </w:p>
    <w:p w14:paraId="0752B2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w:t>
      </w:r>
      <w:r>
        <w:rPr>
          <w:rFonts w:hint="eastAsia" w:ascii="宋体" w:hAnsi="宋体" w:eastAsia="宋体" w:cs="宋体"/>
          <w:color w:val="auto"/>
          <w:sz w:val="24"/>
          <w:highlight w:val="none"/>
          <w:u w:val="single"/>
        </w:rPr>
        <w:t xml:space="preserve">                 （供应商全称）</w:t>
      </w:r>
      <w:r>
        <w:rPr>
          <w:rFonts w:hint="eastAsia" w:ascii="宋体" w:hAnsi="宋体" w:eastAsia="宋体" w:cs="宋体"/>
          <w:bCs/>
          <w:color w:val="auto"/>
          <w:sz w:val="24"/>
          <w:highlight w:val="none"/>
          <w:lang w:bidi="ar"/>
        </w:rPr>
        <w:t>参与</w:t>
      </w:r>
      <w:r>
        <w:rPr>
          <w:rFonts w:hint="eastAsia" w:ascii="宋体" w:hAnsi="宋体" w:eastAsia="宋体" w:cs="宋体"/>
          <w:bCs/>
          <w:color w:val="auto"/>
          <w:sz w:val="24"/>
          <w:highlight w:val="none"/>
          <w:u w:val="single"/>
          <w:lang w:bidi="ar"/>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bCs/>
          <w:color w:val="auto"/>
          <w:sz w:val="24"/>
          <w:highlight w:val="none"/>
          <w:lang w:bidi="ar"/>
        </w:rPr>
        <w:t>（项目编号：</w:t>
      </w:r>
      <w:r>
        <w:rPr>
          <w:rFonts w:hint="eastAsia" w:ascii="宋体" w:hAnsi="宋体" w:eastAsia="宋体" w:cs="宋体"/>
          <w:bCs/>
          <w:color w:val="auto"/>
          <w:sz w:val="24"/>
          <w:highlight w:val="none"/>
          <w:u w:val="single"/>
          <w:lang w:bidi="ar"/>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lang w:bidi="ar"/>
        </w:rPr>
        <w:t>）磋商，郑重</w:t>
      </w:r>
      <w:r>
        <w:rPr>
          <w:rFonts w:hint="eastAsia" w:ascii="宋体" w:hAnsi="宋体" w:eastAsia="宋体" w:cs="宋体"/>
          <w:color w:val="auto"/>
          <w:sz w:val="24"/>
          <w:highlight w:val="none"/>
        </w:rPr>
        <w:t>承诺具备下列条件：</w:t>
      </w:r>
    </w:p>
    <w:p w14:paraId="1C09CBC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1.具有独立承担民事责任的能力；</w:t>
      </w:r>
    </w:p>
    <w:p w14:paraId="09135BF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2.具有良好的商业信誉和健全的财务会计制度；</w:t>
      </w:r>
    </w:p>
    <w:p w14:paraId="05135B2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3.具有履行合同所必需的设备和专业技术能力；</w:t>
      </w:r>
    </w:p>
    <w:p w14:paraId="606905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4.有依法缴纳税收和社会保障资金的良好记</w:t>
      </w:r>
      <w:r>
        <w:rPr>
          <w:rFonts w:hint="eastAsia" w:ascii="宋体" w:hAnsi="宋体" w:eastAsia="宋体" w:cs="宋体"/>
          <w:color w:val="auto"/>
          <w:sz w:val="24"/>
          <w:highlight w:val="none"/>
        </w:rPr>
        <w:t>录；</w:t>
      </w:r>
    </w:p>
    <w:p w14:paraId="614BE7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bCs/>
          <w:color w:val="auto"/>
          <w:sz w:val="24"/>
          <w:highlight w:val="none"/>
        </w:rPr>
        <w:t>本项目采购活动前三</w:t>
      </w:r>
      <w:r>
        <w:rPr>
          <w:rFonts w:hint="eastAsia" w:ascii="宋体" w:hAnsi="宋体" w:eastAsia="宋体" w:cs="宋体"/>
          <w:color w:val="auto"/>
          <w:sz w:val="24"/>
          <w:highlight w:val="none"/>
        </w:rPr>
        <w:t>年内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在经营活动中没有重大违法记录（包括行贿犯罪记录）。</w:t>
      </w:r>
    </w:p>
    <w:p w14:paraId="694264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z w:val="24"/>
          <w:highlight w:val="none"/>
        </w:rPr>
        <w:t>（注：本项内容以代理机构在资格审查现场查询为准）。</w:t>
      </w:r>
    </w:p>
    <w:p w14:paraId="27F8FD23">
      <w:pPr>
        <w:snapToGrid w:val="0"/>
        <w:spacing w:line="400" w:lineRule="exact"/>
        <w:ind w:firstLine="480" w:firstLineChars="200"/>
        <w:rPr>
          <w:rFonts w:hint="eastAsia" w:ascii="宋体" w:hAnsi="宋体" w:eastAsia="宋体" w:cs="宋体"/>
          <w:color w:val="auto"/>
          <w:sz w:val="24"/>
          <w:highlight w:val="none"/>
        </w:rPr>
      </w:pPr>
    </w:p>
    <w:p w14:paraId="59E45589">
      <w:pPr>
        <w:snapToGrid w:val="0"/>
        <w:spacing w:line="400" w:lineRule="exact"/>
        <w:ind w:firstLine="482" w:firstLineChars="200"/>
        <w:rPr>
          <w:rFonts w:hint="eastAsia" w:ascii="宋体" w:hAnsi="宋体" w:eastAsia="宋体" w:cs="宋体"/>
          <w:b/>
          <w:color w:val="auto"/>
          <w:sz w:val="24"/>
          <w:highlight w:val="none"/>
          <w:lang w:eastAsia="zh-CN"/>
        </w:rPr>
      </w:pPr>
    </w:p>
    <w:p w14:paraId="426E2D08">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如有虚假，采购人可取消我单位任何资格（</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/成交/签订合同），我单位对此无任何异议。</w:t>
      </w:r>
    </w:p>
    <w:p w14:paraId="470CF9DC">
      <w:pPr>
        <w:snapToGrid w:val="0"/>
        <w:spacing w:line="400" w:lineRule="exact"/>
        <w:ind w:firstLine="482" w:firstLineChars="200"/>
        <w:rPr>
          <w:rFonts w:hint="eastAsia" w:ascii="宋体" w:hAnsi="宋体" w:eastAsia="宋体" w:cs="宋体"/>
          <w:b/>
          <w:color w:val="auto"/>
          <w:sz w:val="24"/>
          <w:highlight w:val="none"/>
        </w:rPr>
      </w:pPr>
    </w:p>
    <w:p w14:paraId="3A2B07EE">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特此承诺！</w:t>
      </w:r>
    </w:p>
    <w:p w14:paraId="74F6395A">
      <w:pPr>
        <w:tabs>
          <w:tab w:val="left" w:pos="9180"/>
        </w:tabs>
        <w:spacing w:line="400" w:lineRule="exact"/>
        <w:ind w:firstLine="480" w:firstLineChars="200"/>
        <w:rPr>
          <w:rFonts w:hint="eastAsia" w:ascii="宋体" w:hAnsi="宋体" w:eastAsia="宋体" w:cs="宋体"/>
          <w:snapToGrid w:val="0"/>
          <w:color w:val="auto"/>
          <w:sz w:val="24"/>
          <w:highlight w:val="none"/>
        </w:rPr>
      </w:pPr>
    </w:p>
    <w:p w14:paraId="68A0CB6A">
      <w:pPr>
        <w:snapToGrid w:val="0"/>
        <w:spacing w:line="360" w:lineRule="auto"/>
        <w:ind w:firstLine="5320" w:firstLineChars="19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供应商盖章：</w:t>
      </w:r>
      <w:r>
        <w:rPr>
          <w:rFonts w:hint="eastAsia" w:ascii="宋体" w:hAnsi="宋体" w:eastAsia="宋体" w:cs="宋体"/>
          <w:color w:val="auto"/>
          <w:spacing w:val="20"/>
          <w:sz w:val="24"/>
          <w:highlight w:val="none"/>
          <w:u w:val="single"/>
        </w:rPr>
        <w:t xml:space="preserve">            </w:t>
      </w:r>
    </w:p>
    <w:p w14:paraId="13ADB801">
      <w:pPr>
        <w:snapToGrid w:val="0"/>
        <w:spacing w:line="360" w:lineRule="auto"/>
        <w:ind w:firstLine="5320" w:firstLineChars="190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14:paraId="2BC985A9">
      <w:pPr>
        <w:pStyle w:val="16"/>
        <w:widowControl w:val="0"/>
        <w:ind w:firstLine="210"/>
        <w:rPr>
          <w:rFonts w:hint="eastAsia" w:ascii="宋体" w:hAnsi="宋体" w:eastAsia="宋体" w:cs="宋体"/>
          <w:color w:val="auto"/>
          <w:highlight w:val="none"/>
        </w:rPr>
      </w:pPr>
    </w:p>
    <w:p w14:paraId="2E6BA096">
      <w:pPr>
        <w:tabs>
          <w:tab w:val="left" w:pos="9180"/>
        </w:tabs>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snapToGrid w:val="0"/>
          <w:color w:val="auto"/>
          <w:sz w:val="24"/>
          <w:highlight w:val="none"/>
        </w:rPr>
        <w:t>注：本承诺函必须提供。</w:t>
      </w:r>
    </w:p>
    <w:p w14:paraId="55A73CB0">
      <w:pPr>
        <w:spacing w:line="360" w:lineRule="auto"/>
        <w:rPr>
          <w:rFonts w:hint="eastAsia" w:ascii="宋体" w:hAnsi="宋体" w:eastAsia="宋体" w:cs="宋体"/>
          <w:color w:val="auto"/>
          <w:sz w:val="24"/>
          <w:highlight w:val="none"/>
        </w:rPr>
      </w:pPr>
    </w:p>
    <w:p w14:paraId="6F96080E">
      <w:pPr>
        <w:pStyle w:val="23"/>
        <w:widowControl w:val="0"/>
        <w:spacing w:line="360" w:lineRule="auto"/>
        <w:ind w:left="0"/>
        <w:jc w:val="center"/>
        <w:outlineLvl w:val="1"/>
        <w:rPr>
          <w:rFonts w:hint="eastAsia" w:ascii="宋体" w:hAnsi="宋体" w:eastAsia="宋体" w:cs="宋体"/>
          <w:b/>
          <w:color w:val="auto"/>
          <w:sz w:val="32"/>
          <w:highlight w:val="none"/>
        </w:rPr>
      </w:pPr>
      <w:bookmarkStart w:id="155" w:name="_Toc493955980"/>
      <w:r>
        <w:rPr>
          <w:rFonts w:hint="eastAsia" w:ascii="宋体" w:hAnsi="宋体" w:eastAsia="宋体" w:cs="宋体"/>
          <w:b/>
          <w:color w:val="auto"/>
          <w:sz w:val="32"/>
          <w:highlight w:val="none"/>
        </w:rPr>
        <w:br w:type="page"/>
      </w:r>
      <w:r>
        <w:rPr>
          <w:rFonts w:hint="eastAsia" w:hAnsi="宋体" w:cs="宋体"/>
          <w:b/>
          <w:color w:val="auto"/>
          <w:sz w:val="32"/>
          <w:highlight w:val="none"/>
          <w:lang w:val="en-US" w:eastAsia="zh-CN"/>
        </w:rPr>
        <w:t>5</w:t>
      </w:r>
      <w:r>
        <w:rPr>
          <w:rFonts w:hint="eastAsia" w:ascii="宋体" w:hAnsi="宋体" w:eastAsia="宋体" w:cs="宋体"/>
          <w:b/>
          <w:color w:val="auto"/>
          <w:sz w:val="32"/>
          <w:highlight w:val="none"/>
        </w:rPr>
        <w:t>、资格证明</w:t>
      </w:r>
    </w:p>
    <w:p w14:paraId="2884A516">
      <w:pPr>
        <w:pStyle w:val="87"/>
        <w:widowControl w:val="0"/>
        <w:tabs>
          <w:tab w:val="left" w:pos="0"/>
        </w:tabs>
        <w:spacing w:line="440" w:lineRule="exact"/>
        <w:ind w:left="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u w:val="single"/>
        </w:rPr>
        <w:t>（代理机构名称）</w:t>
      </w:r>
      <w:r>
        <w:rPr>
          <w:rFonts w:hint="eastAsia" w:ascii="宋体" w:hAnsi="宋体" w:eastAsia="宋体" w:cs="宋体"/>
          <w:snapToGrid w:val="0"/>
          <w:color w:val="auto"/>
          <w:spacing w:val="0"/>
          <w:kern w:val="0"/>
          <w:sz w:val="24"/>
          <w:szCs w:val="24"/>
          <w:highlight w:val="none"/>
        </w:rPr>
        <w:t>：</w:t>
      </w:r>
    </w:p>
    <w:p w14:paraId="40F926F3">
      <w:pPr>
        <w:pStyle w:val="87"/>
        <w:widowControl w:val="0"/>
        <w:spacing w:line="440" w:lineRule="exact"/>
        <w:ind w:left="0"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u w:val="single"/>
        </w:rPr>
        <w:t xml:space="preserve">    </w:t>
      </w:r>
      <w:r>
        <w:rPr>
          <w:rFonts w:hint="eastAsia"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供应商全称</w:t>
      </w:r>
      <w:r>
        <w:rPr>
          <w:rFonts w:hint="eastAsia"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系中华人民共和国合法企业，经营地址</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w:t>
      </w:r>
    </w:p>
    <w:p w14:paraId="2EB284B0">
      <w:pPr>
        <w:pStyle w:val="6"/>
        <w:widowControl w:val="0"/>
        <w:spacing w:line="440" w:lineRule="exact"/>
        <w:ind w:left="0"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我</w:t>
      </w:r>
      <w:r>
        <w:rPr>
          <w:rFonts w:hint="eastAsia" w:ascii="宋体" w:hAnsi="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u w:val="single"/>
        </w:rPr>
        <w:t>负责人名字</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rPr>
        <w:t>系</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供应商名称</w:t>
      </w:r>
      <w:r>
        <w:rPr>
          <w:rFonts w:hint="eastAsia" w:ascii="宋体" w:hAnsi="宋体" w:cs="宋体"/>
          <w:snapToGrid w:val="0"/>
          <w:color w:val="auto"/>
          <w:spacing w:val="0"/>
          <w:kern w:val="0"/>
          <w:sz w:val="24"/>
          <w:szCs w:val="24"/>
          <w:highlight w:val="none"/>
          <w:u w:val="single"/>
          <w:lang w:eastAsia="zh-CN"/>
        </w:rPr>
        <w:t>）</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的负责人，我方愿意参加贵方组织的</w:t>
      </w:r>
      <w:r>
        <w:rPr>
          <w:rFonts w:hint="eastAsia" w:ascii="宋体" w:hAnsi="宋体" w:eastAsia="宋体" w:cs="宋体"/>
          <w:snapToGrid w:val="0"/>
          <w:color w:val="auto"/>
          <w:spacing w:val="0"/>
          <w:kern w:val="0"/>
          <w:sz w:val="24"/>
          <w:szCs w:val="24"/>
          <w:highlight w:val="none"/>
          <w:u w:val="single"/>
        </w:rPr>
        <w:t xml:space="preserve">    （项目名称）（采购编号：   ）</w:t>
      </w:r>
      <w:r>
        <w:rPr>
          <w:rFonts w:hint="eastAsia" w:ascii="宋体" w:hAnsi="宋体" w:eastAsia="宋体" w:cs="宋体"/>
          <w:snapToGrid w:val="0"/>
          <w:color w:val="auto"/>
          <w:spacing w:val="0"/>
          <w:kern w:val="0"/>
          <w:sz w:val="24"/>
          <w:szCs w:val="24"/>
          <w:highlight w:val="none"/>
        </w:rPr>
        <w:t>的磋商。为便于贵方公正、</w:t>
      </w:r>
      <w:r>
        <w:rPr>
          <w:rFonts w:hint="eastAsia" w:ascii="宋体" w:hAnsi="宋体" w:cs="宋体"/>
          <w:snapToGrid w:val="0"/>
          <w:color w:val="auto"/>
          <w:spacing w:val="0"/>
          <w:kern w:val="0"/>
          <w:sz w:val="24"/>
          <w:szCs w:val="24"/>
          <w:highlight w:val="none"/>
          <w:lang w:eastAsia="zh-CN"/>
        </w:rPr>
        <w:t>择优地确定</w:t>
      </w:r>
      <w:r>
        <w:rPr>
          <w:rFonts w:hint="eastAsia" w:ascii="宋体" w:hAnsi="宋体" w:eastAsia="宋体" w:cs="宋体"/>
          <w:snapToGrid w:val="0"/>
          <w:color w:val="auto"/>
          <w:spacing w:val="0"/>
          <w:kern w:val="0"/>
          <w:sz w:val="24"/>
          <w:szCs w:val="24"/>
          <w:highlight w:val="none"/>
        </w:rPr>
        <w:t>成交人以及磋商产品和服务，我方就本次磋商有关事项证明如下：</w:t>
      </w:r>
    </w:p>
    <w:p w14:paraId="713452CE">
      <w:pPr>
        <w:pStyle w:val="103"/>
        <w:spacing w:line="440" w:lineRule="exact"/>
        <w:ind w:firstLine="420"/>
        <w:outlineLvl w:val="2"/>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（一）名称及概况：</w:t>
      </w:r>
    </w:p>
    <w:p w14:paraId="380A2034">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1．企业名称：________________________________________________ </w:t>
      </w:r>
    </w:p>
    <w:p w14:paraId="0C6F2A30">
      <w:pPr>
        <w:pStyle w:val="103"/>
        <w:spacing w:line="440" w:lineRule="exact"/>
        <w:ind w:firstLine="420"/>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银行开户名称：________________________________________________</w:t>
      </w:r>
    </w:p>
    <w:p w14:paraId="23A69974">
      <w:pPr>
        <w:pStyle w:val="103"/>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开户银行：_________________________________________________ </w:t>
      </w:r>
    </w:p>
    <w:p w14:paraId="57C4FB0F">
      <w:pPr>
        <w:pStyle w:val="103"/>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账    号：________________________________________________ </w:t>
      </w:r>
    </w:p>
    <w:p w14:paraId="3698231D">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企业详细地址：________________________________________________ </w:t>
      </w:r>
    </w:p>
    <w:p w14:paraId="68ABCB50">
      <w:pPr>
        <w:pStyle w:val="103"/>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传    真：________________________________________________</w:t>
      </w:r>
    </w:p>
    <w:p w14:paraId="33F6DCB6">
      <w:pPr>
        <w:pStyle w:val="103"/>
        <w:spacing w:line="440" w:lineRule="exact"/>
        <w:ind w:firstLine="960" w:firstLineChars="4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电    话：________________________________________________</w:t>
      </w:r>
    </w:p>
    <w:p w14:paraId="5AABFE48">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2．负责人姓名：___________________________________________ </w:t>
      </w:r>
    </w:p>
    <w:p w14:paraId="40948047">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3．项目联系人：姓名__________职务：______电话______手机______</w:t>
      </w:r>
    </w:p>
    <w:p w14:paraId="78E83009">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4．注册地址：________________________________________________</w:t>
      </w:r>
    </w:p>
    <w:p w14:paraId="52BAC4F8">
      <w:pPr>
        <w:pStyle w:val="103"/>
        <w:spacing w:line="440" w:lineRule="exact"/>
        <w:ind w:firstLine="42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 xml:space="preserve">5．注册资金：________________________________________________ </w:t>
      </w:r>
    </w:p>
    <w:p w14:paraId="00B6D45F">
      <w:pPr>
        <w:pStyle w:val="103"/>
        <w:spacing w:line="440" w:lineRule="exact"/>
        <w:ind w:firstLine="735"/>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自有资金：______________________________________________________</w:t>
      </w:r>
    </w:p>
    <w:p w14:paraId="0C6FA4DC">
      <w:pPr>
        <w:pStyle w:val="103"/>
        <w:spacing w:line="440" w:lineRule="exact"/>
        <w:ind w:firstLine="735"/>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企业人数：______</w:t>
      </w:r>
      <w:r>
        <w:rPr>
          <w:rFonts w:hint="eastAsia" w:ascii="宋体" w:hAnsi="宋体" w:eastAsia="宋体" w:cs="宋体"/>
          <w:b/>
          <w:bCs/>
          <w:snapToGrid w:val="0"/>
          <w:color w:val="auto"/>
          <w:spacing w:val="0"/>
          <w:kern w:val="0"/>
          <w:sz w:val="24"/>
          <w:szCs w:val="24"/>
          <w:highlight w:val="none"/>
        </w:rPr>
        <w:t>_</w:t>
      </w:r>
      <w:r>
        <w:rPr>
          <w:rFonts w:hint="eastAsia" w:ascii="宋体" w:hAnsi="宋体" w:eastAsia="宋体" w:cs="宋体"/>
          <w:snapToGrid w:val="0"/>
          <w:color w:val="auto"/>
          <w:spacing w:val="0"/>
          <w:kern w:val="0"/>
          <w:sz w:val="24"/>
          <w:szCs w:val="24"/>
          <w:highlight w:val="none"/>
        </w:rPr>
        <w:t>人</w:t>
      </w:r>
    </w:p>
    <w:p w14:paraId="55A4F375">
      <w:pPr>
        <w:pStyle w:val="103"/>
        <w:spacing w:line="440" w:lineRule="exact"/>
        <w:ind w:firstLine="420"/>
        <w:outlineLvl w:val="1"/>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6．企业性质：</w:t>
      </w:r>
      <w:r>
        <w:rPr>
          <w:rFonts w:hint="eastAsia" w:ascii="宋体" w:hAnsi="宋体" w:eastAsia="宋体" w:cs="宋体"/>
          <w:snapToGrid w:val="0"/>
          <w:color w:val="auto"/>
          <w:spacing w:val="0"/>
          <w:kern w:val="0"/>
          <w:sz w:val="24"/>
          <w:szCs w:val="24"/>
          <w:highlight w:val="none"/>
          <w:u w:val="single"/>
        </w:rPr>
        <w:t xml:space="preserve">               </w:t>
      </w:r>
    </w:p>
    <w:p w14:paraId="7A5ECCAA">
      <w:pPr>
        <w:pStyle w:val="103"/>
        <w:spacing w:line="440" w:lineRule="exact"/>
        <w:ind w:firstLine="420"/>
        <w:rPr>
          <w:rFonts w:hint="default"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rPr>
        <w:t>7．主要经营地点：</w:t>
      </w:r>
      <w:r>
        <w:rPr>
          <w:rFonts w:hint="eastAsia" w:hAnsi="宋体" w:eastAsia="宋体" w:cs="宋体"/>
          <w:snapToGrid w:val="0"/>
          <w:color w:val="auto"/>
          <w:spacing w:val="0"/>
          <w:kern w:val="0"/>
          <w:sz w:val="24"/>
          <w:szCs w:val="24"/>
          <w:highlight w:val="none"/>
          <w:u w:val="single"/>
          <w:lang w:val="en-US" w:eastAsia="zh-CN"/>
        </w:rPr>
        <w:t xml:space="preserve">                                                   </w:t>
      </w:r>
    </w:p>
    <w:p w14:paraId="5932E324">
      <w:pPr>
        <w:pStyle w:val="103"/>
        <w:spacing w:line="440" w:lineRule="exact"/>
        <w:ind w:firstLine="420"/>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如有派出机构，请列出名称及详细通讯地址如下：</w:t>
      </w:r>
      <w:r>
        <w:rPr>
          <w:rFonts w:hint="eastAsia" w:hAnsi="宋体" w:eastAsia="宋体" w:cs="宋体"/>
          <w:snapToGrid w:val="0"/>
          <w:color w:val="auto"/>
          <w:spacing w:val="0"/>
          <w:kern w:val="0"/>
          <w:sz w:val="24"/>
          <w:szCs w:val="24"/>
          <w:highlight w:val="none"/>
          <w:u w:val="single"/>
          <w:lang w:val="en-US" w:eastAsia="zh-CN"/>
        </w:rPr>
        <w:t xml:space="preserve">                        </w:t>
      </w:r>
    </w:p>
    <w:p w14:paraId="6B9C4906">
      <w:pPr>
        <w:pStyle w:val="103"/>
        <w:spacing w:line="440" w:lineRule="exact"/>
        <w:ind w:firstLine="465"/>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8.必需的设备：</w:t>
      </w:r>
      <w:r>
        <w:rPr>
          <w:rFonts w:hint="eastAsia" w:hAnsi="宋体" w:eastAsia="宋体" w:cs="宋体"/>
          <w:snapToGrid w:val="0"/>
          <w:color w:val="auto"/>
          <w:spacing w:val="0"/>
          <w:kern w:val="0"/>
          <w:sz w:val="24"/>
          <w:szCs w:val="24"/>
          <w:highlight w:val="none"/>
          <w:u w:val="single"/>
          <w:lang w:val="en-US" w:eastAsia="zh-CN"/>
        </w:rPr>
        <w:t xml:space="preserve">                                                      </w:t>
      </w:r>
    </w:p>
    <w:p w14:paraId="58081476">
      <w:pPr>
        <w:pStyle w:val="103"/>
        <w:spacing w:line="440" w:lineRule="exact"/>
        <w:ind w:firstLine="465"/>
        <w:jc w:val="left"/>
        <w:rPr>
          <w:rFonts w:hint="default" w:ascii="宋体" w:hAnsi="宋体" w:eastAsia="宋体" w:cs="宋体"/>
          <w:snapToGrid w:val="0"/>
          <w:color w:val="auto"/>
          <w:spacing w:val="0"/>
          <w:kern w:val="0"/>
          <w:sz w:val="24"/>
          <w:szCs w:val="24"/>
          <w:highlight w:val="none"/>
          <w:lang w:val="en-US"/>
        </w:rPr>
      </w:pPr>
      <w:r>
        <w:rPr>
          <w:rFonts w:hint="eastAsia" w:ascii="宋体" w:hAnsi="宋体" w:eastAsia="宋体" w:cs="宋体"/>
          <w:snapToGrid w:val="0"/>
          <w:color w:val="auto"/>
          <w:spacing w:val="0"/>
          <w:kern w:val="0"/>
          <w:sz w:val="24"/>
          <w:szCs w:val="24"/>
          <w:highlight w:val="none"/>
        </w:rPr>
        <w:t>9.专业技术能力的证明材料：</w:t>
      </w:r>
      <w:r>
        <w:rPr>
          <w:rFonts w:hint="eastAsia" w:hAnsi="宋体" w:eastAsia="宋体" w:cs="宋体"/>
          <w:snapToGrid w:val="0"/>
          <w:color w:val="auto"/>
          <w:spacing w:val="0"/>
          <w:kern w:val="0"/>
          <w:sz w:val="24"/>
          <w:szCs w:val="24"/>
          <w:highlight w:val="none"/>
          <w:u w:val="single"/>
          <w:lang w:val="en-US" w:eastAsia="zh-CN"/>
        </w:rPr>
        <w:t xml:space="preserve">                                          </w:t>
      </w:r>
    </w:p>
    <w:p w14:paraId="21D0BEB6">
      <w:pPr>
        <w:pStyle w:val="103"/>
        <w:spacing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兹证明上述声明是真实、正确的，并提供了全部能提供的资料和数据，我们同意遵照贵方要求出示有关证明文件。</w:t>
      </w:r>
    </w:p>
    <w:p w14:paraId="39CD31D3">
      <w:pPr>
        <w:snapToGrid w:val="0"/>
        <w:spacing w:line="360" w:lineRule="auto"/>
        <w:rPr>
          <w:rFonts w:hint="eastAsia" w:ascii="宋体" w:hAnsi="宋体" w:eastAsia="宋体" w:cs="宋体"/>
          <w:snapToGrid w:val="0"/>
          <w:color w:val="auto"/>
          <w:spacing w:val="0"/>
          <w:kern w:val="0"/>
          <w:sz w:val="24"/>
          <w:highlight w:val="none"/>
        </w:rPr>
      </w:pPr>
    </w:p>
    <w:p w14:paraId="5AAC912E">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供应商盖章：</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14:paraId="784831BC">
      <w:pPr>
        <w:snapToGrid w:val="0"/>
        <w:spacing w:line="360" w:lineRule="auto"/>
        <w:ind w:firstLine="5280" w:firstLineChars="2200"/>
        <w:rPr>
          <w:rFonts w:hint="eastAsia" w:ascii="宋体" w:hAnsi="宋体" w:eastAsia="宋体" w:cs="宋体"/>
          <w:snapToGrid w:val="0"/>
          <w:color w:val="auto"/>
          <w:spacing w:val="0"/>
          <w:kern w:val="0"/>
          <w:sz w:val="24"/>
          <w:highlight w:val="none"/>
          <w:u w:val="single"/>
        </w:rPr>
      </w:pPr>
      <w:r>
        <w:rPr>
          <w:rFonts w:hint="eastAsia" w:ascii="宋体" w:hAnsi="宋体" w:eastAsia="宋体" w:cs="宋体"/>
          <w:snapToGrid w:val="0"/>
          <w:color w:val="auto"/>
          <w:spacing w:val="0"/>
          <w:kern w:val="0"/>
          <w:sz w:val="24"/>
          <w:highlight w:val="none"/>
        </w:rPr>
        <w:t xml:space="preserve">日 </w:t>
      </w:r>
      <w:r>
        <w:rPr>
          <w:rFonts w:hint="eastAsia" w:ascii="宋体" w:hAnsi="宋体" w:eastAsia="宋体" w:cs="宋体"/>
          <w:snapToGrid w:val="0"/>
          <w:color w:val="auto"/>
          <w:spacing w:val="0"/>
          <w:kern w:val="0"/>
          <w:sz w:val="24"/>
          <w:highlight w:val="none"/>
          <w:lang w:val="en-US" w:eastAsia="zh-CN"/>
        </w:rPr>
        <w:t xml:space="preserve"> </w:t>
      </w:r>
      <w:r>
        <w:rPr>
          <w:rFonts w:hint="eastAsia" w:ascii="宋体" w:hAnsi="宋体" w:eastAsia="宋体" w:cs="宋体"/>
          <w:snapToGrid w:val="0"/>
          <w:color w:val="auto"/>
          <w:spacing w:val="0"/>
          <w:kern w:val="0"/>
          <w:sz w:val="24"/>
          <w:highlight w:val="none"/>
        </w:rPr>
        <w:t xml:space="preserve">    期：</w:t>
      </w:r>
      <w:r>
        <w:rPr>
          <w:rFonts w:hint="eastAsia" w:ascii="宋体" w:hAnsi="宋体" w:eastAsia="宋体" w:cs="宋体"/>
          <w:snapToGrid w:val="0"/>
          <w:color w:val="auto"/>
          <w:spacing w:val="0"/>
          <w:kern w:val="0"/>
          <w:sz w:val="24"/>
          <w:highlight w:val="none"/>
          <w:u w:val="single"/>
        </w:rPr>
        <w:t xml:space="preserve">        </w:t>
      </w:r>
      <w:r>
        <w:rPr>
          <w:rFonts w:hint="eastAsia" w:ascii="宋体" w:hAnsi="宋体" w:eastAsia="宋体" w:cs="宋体"/>
          <w:snapToGrid w:val="0"/>
          <w:color w:val="auto"/>
          <w:spacing w:val="0"/>
          <w:kern w:val="0"/>
          <w:sz w:val="24"/>
          <w:highlight w:val="none"/>
          <w:u w:val="single"/>
          <w:lang w:val="en-US" w:eastAsia="zh-CN"/>
        </w:rPr>
        <w:t xml:space="preserve">  </w:t>
      </w:r>
      <w:r>
        <w:rPr>
          <w:rFonts w:hint="eastAsia" w:ascii="宋体" w:hAnsi="宋体" w:eastAsia="宋体" w:cs="宋体"/>
          <w:snapToGrid w:val="0"/>
          <w:color w:val="auto"/>
          <w:spacing w:val="0"/>
          <w:kern w:val="0"/>
          <w:sz w:val="24"/>
          <w:highlight w:val="none"/>
          <w:u w:val="single"/>
        </w:rPr>
        <w:t xml:space="preserve">    </w:t>
      </w:r>
    </w:p>
    <w:p w14:paraId="4FFB997F">
      <w:pPr>
        <w:pStyle w:val="6"/>
        <w:widowControl w:val="0"/>
        <w:spacing w:line="440" w:lineRule="exact"/>
        <w:ind w:left="0"/>
        <w:rPr>
          <w:rFonts w:hint="eastAsia" w:ascii="宋体" w:hAnsi="宋体" w:eastAsia="宋体" w:cs="宋体"/>
          <w:snapToGrid w:val="0"/>
          <w:color w:val="auto"/>
          <w:spacing w:val="0"/>
          <w:kern w:val="0"/>
          <w:sz w:val="24"/>
          <w:szCs w:val="24"/>
          <w:highlight w:val="none"/>
          <w:u w:val="single"/>
        </w:rPr>
      </w:pPr>
      <w:r>
        <w:rPr>
          <w:rFonts w:hint="eastAsia" w:ascii="宋体" w:hAnsi="宋体" w:eastAsia="宋体" w:cs="宋体"/>
          <w:b/>
          <w:snapToGrid w:val="0"/>
          <w:color w:val="auto"/>
          <w:spacing w:val="0"/>
          <w:kern w:val="0"/>
          <w:sz w:val="24"/>
          <w:szCs w:val="24"/>
          <w:highlight w:val="none"/>
        </w:rPr>
        <w:t>注：</w:t>
      </w:r>
      <w:r>
        <w:rPr>
          <w:rFonts w:hint="eastAsia" w:ascii="宋体" w:hAnsi="宋体" w:eastAsia="宋体" w:cs="宋体"/>
          <w:snapToGrid w:val="0"/>
          <w:color w:val="auto"/>
          <w:spacing w:val="0"/>
          <w:kern w:val="0"/>
          <w:sz w:val="24"/>
          <w:szCs w:val="24"/>
          <w:highlight w:val="none"/>
        </w:rPr>
        <w:t>上表8、9项内容可自行添加（格式自拟）。</w:t>
      </w:r>
    </w:p>
    <w:p w14:paraId="2BA20546">
      <w:pPr>
        <w:pStyle w:val="23"/>
        <w:widowControl w:val="0"/>
        <w:spacing w:line="360" w:lineRule="auto"/>
        <w:ind w:left="0" w:leftChars="0" w:firstLine="0" w:firstLineChars="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hAnsi="宋体" w:cs="宋体"/>
          <w:b/>
          <w:color w:val="auto"/>
          <w:sz w:val="32"/>
          <w:highlight w:val="none"/>
          <w:lang w:val="en-US" w:eastAsia="zh-CN"/>
        </w:rPr>
        <w:t>6</w:t>
      </w:r>
      <w:r>
        <w:rPr>
          <w:rFonts w:hint="eastAsia" w:ascii="宋体" w:hAnsi="宋体" w:eastAsia="宋体" w:cs="宋体"/>
          <w:b/>
          <w:color w:val="auto"/>
          <w:sz w:val="32"/>
          <w:highlight w:val="none"/>
        </w:rPr>
        <w:t>、无重大违法记录声明书</w:t>
      </w:r>
      <w:bookmarkEnd w:id="155"/>
    </w:p>
    <w:p w14:paraId="11974808">
      <w:pPr>
        <w:pStyle w:val="98"/>
        <w:spacing w:before="312" w:beforeLines="100" w:line="6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（代理机构名称）</w:t>
      </w:r>
      <w:r>
        <w:rPr>
          <w:rFonts w:hint="eastAsia" w:ascii="宋体" w:hAnsi="宋体" w:eastAsia="宋体" w:cs="宋体"/>
          <w:color w:val="auto"/>
          <w:sz w:val="24"/>
          <w:highlight w:val="none"/>
        </w:rPr>
        <w:t>：</w:t>
      </w:r>
    </w:p>
    <w:p w14:paraId="62E2AB69">
      <w:pPr>
        <w:pStyle w:val="98"/>
        <w:spacing w:before="156" w:beforeLines="50"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（采购项目名称）（采购编号：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）项目的磋商活动，我方郑重声明，我方参加本项目磋商活动前三年内无重大违法记录</w:t>
      </w:r>
      <w:r>
        <w:rPr>
          <w:rFonts w:hint="eastAsia" w:ascii="宋体" w:hAnsi="宋体" w:eastAsia="宋体" w:cs="宋体"/>
          <w:b/>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rPr>
        <w:t>符合《中华人民共和国政府采购法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中华人民共和国政府采购法实施条例》的规定。我方对此声明负全部法律责任。</w:t>
      </w:r>
    </w:p>
    <w:p w14:paraId="0F3B82BE">
      <w:pPr>
        <w:pStyle w:val="98"/>
        <w:spacing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5E5DDF6">
      <w:pPr>
        <w:pStyle w:val="97"/>
        <w:jc w:val="center"/>
        <w:rPr>
          <w:rFonts w:hint="eastAsia" w:ascii="宋体" w:hAnsi="宋体" w:eastAsia="宋体" w:cs="宋体"/>
          <w:color w:val="auto"/>
          <w:sz w:val="24"/>
          <w:szCs w:val="24"/>
          <w:highlight w:val="none"/>
        </w:rPr>
      </w:pPr>
    </w:p>
    <w:p w14:paraId="201884E1">
      <w:pPr>
        <w:pStyle w:val="23"/>
        <w:widowControl w:val="0"/>
        <w:spacing w:line="500" w:lineRule="exact"/>
        <w:ind w:firstLine="3360" w:firstLineChars="1200"/>
        <w:rPr>
          <w:rFonts w:hint="eastAsia" w:ascii="宋体" w:hAnsi="宋体" w:eastAsia="宋体" w:cs="宋体"/>
          <w:color w:val="auto"/>
          <w:spacing w:val="20"/>
          <w:sz w:val="24"/>
          <w:szCs w:val="24"/>
          <w:highlight w:val="none"/>
        </w:rPr>
      </w:pPr>
      <w:bookmarkStart w:id="156" w:name="_Toc386467624"/>
      <w:r>
        <w:rPr>
          <w:rFonts w:hint="eastAsia" w:ascii="宋体" w:hAnsi="宋体" w:eastAsia="宋体" w:cs="宋体"/>
          <w:color w:val="auto"/>
          <w:spacing w:val="20"/>
          <w:sz w:val="24"/>
          <w:szCs w:val="24"/>
          <w:highlight w:val="none"/>
        </w:rPr>
        <w:t>供应商盖章：</w:t>
      </w:r>
      <w:r>
        <w:rPr>
          <w:rFonts w:hint="eastAsia" w:ascii="宋体" w:hAnsi="宋体" w:eastAsia="宋体" w:cs="宋体"/>
          <w:color w:val="auto"/>
          <w:spacing w:val="20"/>
          <w:sz w:val="24"/>
          <w:szCs w:val="24"/>
          <w:highlight w:val="none"/>
          <w:u w:val="single"/>
        </w:rPr>
        <w:t xml:space="preserve">            </w:t>
      </w:r>
    </w:p>
    <w:p w14:paraId="30E79D21">
      <w:pPr>
        <w:pStyle w:val="23"/>
        <w:widowControl w:val="0"/>
        <w:spacing w:line="500" w:lineRule="exact"/>
        <w:ind w:firstLine="3640" w:firstLineChars="13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366D2B30">
      <w:pPr>
        <w:rPr>
          <w:rFonts w:hint="eastAsia" w:ascii="宋体" w:hAnsi="宋体" w:eastAsia="宋体" w:cs="宋体"/>
          <w:color w:val="auto"/>
          <w:highlight w:val="none"/>
        </w:rPr>
      </w:pPr>
    </w:p>
    <w:p w14:paraId="63BA8340">
      <w:pPr>
        <w:pStyle w:val="6"/>
        <w:widowControl w:val="0"/>
        <w:rPr>
          <w:rFonts w:hint="eastAsia" w:ascii="宋体" w:hAnsi="宋体" w:eastAsia="宋体" w:cs="宋体"/>
          <w:color w:val="auto"/>
          <w:highlight w:val="none"/>
        </w:rPr>
      </w:pPr>
    </w:p>
    <w:p w14:paraId="0141BDAE">
      <w:pPr>
        <w:pStyle w:val="6"/>
        <w:widowControl w:val="0"/>
        <w:rPr>
          <w:rFonts w:hint="eastAsia" w:ascii="宋体" w:hAnsi="宋体" w:eastAsia="宋体" w:cs="宋体"/>
          <w:color w:val="auto"/>
          <w:highlight w:val="none"/>
        </w:rPr>
      </w:pPr>
    </w:p>
    <w:p w14:paraId="677C24B7">
      <w:pPr>
        <w:pStyle w:val="6"/>
        <w:widowControl w:val="0"/>
        <w:rPr>
          <w:rFonts w:hint="eastAsia" w:ascii="宋体" w:hAnsi="宋体" w:eastAsia="宋体" w:cs="宋体"/>
          <w:color w:val="auto"/>
          <w:highlight w:val="none"/>
        </w:rPr>
      </w:pPr>
    </w:p>
    <w:p w14:paraId="2EE28497">
      <w:pPr>
        <w:pStyle w:val="6"/>
        <w:widowControl w:val="0"/>
        <w:rPr>
          <w:rFonts w:hint="eastAsia" w:ascii="宋体" w:hAnsi="宋体" w:eastAsia="宋体" w:cs="宋体"/>
          <w:color w:val="auto"/>
          <w:highlight w:val="none"/>
        </w:rPr>
      </w:pPr>
    </w:p>
    <w:p w14:paraId="65B3B8E6">
      <w:pPr>
        <w:pStyle w:val="6"/>
        <w:widowControl w:val="0"/>
        <w:rPr>
          <w:rFonts w:hint="eastAsia" w:ascii="宋体" w:hAnsi="宋体" w:eastAsia="宋体" w:cs="宋体"/>
          <w:color w:val="auto"/>
          <w:highlight w:val="none"/>
        </w:rPr>
      </w:pPr>
    </w:p>
    <w:p w14:paraId="3BF049C8">
      <w:pPr>
        <w:pStyle w:val="6"/>
        <w:widowControl w:val="0"/>
        <w:rPr>
          <w:rFonts w:hint="eastAsia" w:ascii="宋体" w:hAnsi="宋体" w:eastAsia="宋体" w:cs="宋体"/>
          <w:color w:val="auto"/>
          <w:highlight w:val="none"/>
        </w:rPr>
      </w:pPr>
    </w:p>
    <w:p w14:paraId="38D84E52">
      <w:pPr>
        <w:pStyle w:val="6"/>
        <w:widowControl w:val="0"/>
        <w:rPr>
          <w:rFonts w:hint="eastAsia" w:ascii="宋体" w:hAnsi="宋体" w:eastAsia="宋体" w:cs="宋体"/>
          <w:color w:val="auto"/>
          <w:highlight w:val="none"/>
        </w:rPr>
      </w:pPr>
    </w:p>
    <w:p w14:paraId="7FFB2F0D">
      <w:pPr>
        <w:pStyle w:val="6"/>
        <w:widowControl w:val="0"/>
        <w:rPr>
          <w:rFonts w:hint="eastAsia" w:ascii="宋体" w:hAnsi="宋体" w:eastAsia="宋体" w:cs="宋体"/>
          <w:color w:val="auto"/>
          <w:highlight w:val="none"/>
        </w:rPr>
      </w:pPr>
    </w:p>
    <w:p w14:paraId="649B3646">
      <w:pPr>
        <w:pStyle w:val="6"/>
        <w:widowControl w:val="0"/>
        <w:rPr>
          <w:rFonts w:hint="eastAsia" w:ascii="宋体" w:hAnsi="宋体" w:eastAsia="宋体" w:cs="宋体"/>
          <w:color w:val="auto"/>
          <w:highlight w:val="none"/>
        </w:rPr>
      </w:pPr>
    </w:p>
    <w:p w14:paraId="68D8D9FC">
      <w:pPr>
        <w:pStyle w:val="6"/>
        <w:widowControl w:val="0"/>
        <w:rPr>
          <w:rFonts w:hint="eastAsia" w:ascii="宋体" w:hAnsi="宋体" w:eastAsia="宋体" w:cs="宋体"/>
          <w:color w:val="auto"/>
          <w:highlight w:val="none"/>
        </w:rPr>
      </w:pPr>
    </w:p>
    <w:p w14:paraId="6EA0583F">
      <w:pPr>
        <w:pStyle w:val="6"/>
        <w:widowControl w:val="0"/>
        <w:rPr>
          <w:rFonts w:hint="eastAsia" w:ascii="宋体" w:hAnsi="宋体" w:eastAsia="宋体" w:cs="宋体"/>
          <w:color w:val="auto"/>
          <w:highlight w:val="none"/>
        </w:rPr>
      </w:pPr>
    </w:p>
    <w:p w14:paraId="3F87E56D">
      <w:pPr>
        <w:pStyle w:val="6"/>
        <w:widowControl w:val="0"/>
        <w:rPr>
          <w:rFonts w:hint="eastAsia" w:ascii="宋体" w:hAnsi="宋体" w:eastAsia="宋体" w:cs="宋体"/>
          <w:color w:val="auto"/>
          <w:highlight w:val="none"/>
        </w:rPr>
      </w:pPr>
    </w:p>
    <w:p w14:paraId="20881294">
      <w:pPr>
        <w:pStyle w:val="6"/>
        <w:widowControl w:val="0"/>
        <w:rPr>
          <w:rFonts w:hint="eastAsia" w:ascii="宋体" w:hAnsi="宋体" w:eastAsia="宋体" w:cs="宋体"/>
          <w:color w:val="auto"/>
          <w:highlight w:val="none"/>
        </w:rPr>
      </w:pPr>
    </w:p>
    <w:p w14:paraId="46AB700F">
      <w:pPr>
        <w:pStyle w:val="6"/>
        <w:widowControl w:val="0"/>
        <w:rPr>
          <w:rFonts w:hint="eastAsia" w:ascii="宋体" w:hAnsi="宋体" w:eastAsia="宋体" w:cs="宋体"/>
          <w:color w:val="auto"/>
          <w:highlight w:val="none"/>
        </w:rPr>
      </w:pPr>
    </w:p>
    <w:p w14:paraId="0E10C215">
      <w:pPr>
        <w:pStyle w:val="6"/>
        <w:widowControl w:val="0"/>
        <w:rPr>
          <w:rFonts w:hint="eastAsia" w:ascii="宋体" w:hAnsi="宋体" w:eastAsia="宋体" w:cs="宋体"/>
          <w:color w:val="auto"/>
          <w:highlight w:val="none"/>
        </w:rPr>
      </w:pPr>
    </w:p>
    <w:p w14:paraId="33FBF34E">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137CA02A">
      <w:pPr>
        <w:widowControl/>
        <w:spacing w:line="480" w:lineRule="auto"/>
        <w:jc w:val="center"/>
        <w:outlineLvl w:val="1"/>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lang w:eastAsia="zh-CN"/>
        </w:rPr>
        <w:t>、</w:t>
      </w:r>
      <w:r>
        <w:rPr>
          <w:rFonts w:hint="eastAsia" w:ascii="宋体" w:hAnsi="宋体" w:eastAsia="宋体" w:cs="宋体"/>
          <w:b/>
          <w:color w:val="auto"/>
          <w:sz w:val="30"/>
          <w:highlight w:val="none"/>
        </w:rPr>
        <w:t>企业类型声明函</w:t>
      </w:r>
    </w:p>
    <w:p w14:paraId="19EA3C50">
      <w:pPr>
        <w:widowControl/>
        <w:spacing w:line="480" w:lineRule="auto"/>
        <w:jc w:val="center"/>
        <w:outlineLvl w:val="2"/>
        <w:rPr>
          <w:rFonts w:hint="eastAsia" w:ascii="宋体" w:hAnsi="宋体" w:eastAsia="宋体" w:cs="宋体"/>
          <w:b/>
          <w:bCs/>
          <w:color w:val="auto"/>
          <w:sz w:val="30"/>
          <w:highlight w:val="none"/>
        </w:rPr>
      </w:pPr>
      <w:r>
        <w:rPr>
          <w:rFonts w:hint="eastAsia" w:ascii="宋体" w:hAnsi="宋体" w:eastAsia="宋体" w:cs="宋体"/>
          <w:b/>
          <w:color w:val="auto"/>
          <w:sz w:val="30"/>
          <w:highlight w:val="none"/>
          <w:lang w:val="en-US" w:eastAsia="zh-CN"/>
        </w:rPr>
        <w:t>7</w:t>
      </w:r>
      <w:r>
        <w:rPr>
          <w:rFonts w:hint="eastAsia" w:ascii="宋体" w:hAnsi="宋体" w:eastAsia="宋体" w:cs="宋体"/>
          <w:b/>
          <w:color w:val="auto"/>
          <w:sz w:val="30"/>
          <w:highlight w:val="none"/>
        </w:rPr>
        <w:t>.1</w:t>
      </w:r>
      <w:r>
        <w:rPr>
          <w:rFonts w:hint="eastAsia" w:ascii="宋体" w:hAnsi="宋体" w:eastAsia="宋体" w:cs="宋体"/>
          <w:b/>
          <w:bCs/>
          <w:color w:val="auto"/>
          <w:sz w:val="30"/>
          <w:highlight w:val="none"/>
        </w:rPr>
        <w:t>中小企业声明函</w:t>
      </w:r>
    </w:p>
    <w:p w14:paraId="72E616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4E0E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6E6601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，从业人员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（中型企业、小型企业、微型企业）； </w:t>
      </w:r>
    </w:p>
    <w:p w14:paraId="4DCB24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495F5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494EE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kern w:val="0"/>
          <w:sz w:val="24"/>
          <w:szCs w:val="24"/>
          <w:highlight w:val="none"/>
          <w:lang w:bidi="ar"/>
        </w:rPr>
        <w:t xml:space="preserve"> </w:t>
      </w:r>
    </w:p>
    <w:p w14:paraId="38C9CE5F">
      <w:pPr>
        <w:pStyle w:val="23"/>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w:t>
      </w:r>
    </w:p>
    <w:p w14:paraId="30899DFD">
      <w:pPr>
        <w:pStyle w:val="23"/>
        <w:keepNext w:val="0"/>
        <w:keepLines w:val="0"/>
        <w:pageBreakBefore w:val="0"/>
        <w:numPr>
          <w:ilvl w:val="0"/>
          <w:numId w:val="0"/>
        </w:numPr>
        <w:kinsoku/>
        <w:wordWrap/>
        <w:overflowPunct/>
        <w:topLinePunct w:val="0"/>
        <w:autoSpaceDE/>
        <w:autoSpaceDN/>
        <w:bidi w:val="0"/>
        <w:adjustRightInd/>
        <w:snapToGrid/>
        <w:spacing w:line="360" w:lineRule="auto"/>
        <w:ind w:leftChars="20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从业人员、营业收入、资产总额填报上一年度数据，无上一年度数据的新成立企业可不填报。</w:t>
      </w:r>
    </w:p>
    <w:p w14:paraId="2A2A7C6C">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1"/>
          <w:highlight w:val="none"/>
        </w:rPr>
        <w:t>盖章：</w:t>
      </w:r>
      <w:r>
        <w:rPr>
          <w:rFonts w:hint="eastAsia" w:ascii="宋体" w:hAnsi="宋体" w:eastAsia="宋体" w:cs="宋体"/>
          <w:color w:val="auto"/>
          <w:sz w:val="24"/>
          <w:szCs w:val="21"/>
          <w:highlight w:val="none"/>
          <w:u w:val="single"/>
        </w:rPr>
        <w:t xml:space="preserve">                </w:t>
      </w:r>
    </w:p>
    <w:p w14:paraId="705C0215">
      <w:pPr>
        <w:pStyle w:val="81"/>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0153D0E7">
      <w:pPr>
        <w:pStyle w:val="49"/>
        <w:ind w:firstLine="0" w:firstLineChars="0"/>
        <w:rPr>
          <w:rFonts w:hint="eastAsia" w:ascii="宋体" w:hAnsi="宋体" w:eastAsia="宋体" w:cs="宋体"/>
          <w:color w:val="auto"/>
          <w:highlight w:val="none"/>
        </w:rPr>
      </w:pPr>
    </w:p>
    <w:p w14:paraId="1F087FDE">
      <w:pPr>
        <w:pStyle w:val="49"/>
        <w:ind w:firstLine="0" w:firstLineChars="0"/>
        <w:rPr>
          <w:rFonts w:hint="eastAsia" w:ascii="宋体" w:hAnsi="宋体" w:eastAsia="宋体" w:cs="宋体"/>
          <w:color w:val="auto"/>
          <w:highlight w:val="none"/>
        </w:rPr>
      </w:pPr>
    </w:p>
    <w:p w14:paraId="0B944092">
      <w:pPr>
        <w:pStyle w:val="49"/>
        <w:ind w:firstLine="0" w:firstLineChars="0"/>
        <w:rPr>
          <w:rFonts w:hint="eastAsia" w:ascii="宋体" w:hAnsi="宋体" w:eastAsia="宋体" w:cs="宋体"/>
          <w:color w:val="auto"/>
          <w:highlight w:val="none"/>
        </w:rPr>
      </w:pPr>
    </w:p>
    <w:p w14:paraId="3E81E86A">
      <w:pPr>
        <w:pStyle w:val="49"/>
        <w:ind w:firstLine="0" w:firstLineChars="0"/>
        <w:rPr>
          <w:rFonts w:hint="eastAsia" w:ascii="宋体" w:hAnsi="宋体" w:eastAsia="宋体" w:cs="宋体"/>
          <w:color w:val="auto"/>
          <w:highlight w:val="none"/>
        </w:rPr>
      </w:pPr>
    </w:p>
    <w:p w14:paraId="1DB8119A">
      <w:pPr>
        <w:pStyle w:val="49"/>
        <w:ind w:firstLine="0" w:firstLineChars="0"/>
        <w:rPr>
          <w:rFonts w:hint="eastAsia" w:ascii="宋体" w:hAnsi="宋体" w:eastAsia="宋体" w:cs="宋体"/>
          <w:color w:val="auto"/>
          <w:highlight w:val="none"/>
        </w:rPr>
      </w:pPr>
    </w:p>
    <w:p w14:paraId="574C91CA">
      <w:pPr>
        <w:pStyle w:val="49"/>
        <w:ind w:firstLine="0" w:firstLineChars="0"/>
        <w:rPr>
          <w:rFonts w:hint="eastAsia" w:ascii="宋体" w:hAnsi="宋体" w:eastAsia="宋体" w:cs="宋体"/>
          <w:color w:val="auto"/>
          <w:highlight w:val="none"/>
        </w:rPr>
      </w:pPr>
    </w:p>
    <w:p w14:paraId="6EAA669D">
      <w:pPr>
        <w:pStyle w:val="49"/>
        <w:ind w:firstLine="0" w:firstLineChars="0"/>
        <w:rPr>
          <w:rFonts w:hint="eastAsia" w:ascii="宋体" w:hAnsi="宋体" w:eastAsia="宋体" w:cs="宋体"/>
          <w:color w:val="auto"/>
          <w:highlight w:val="none"/>
        </w:rPr>
      </w:pPr>
    </w:p>
    <w:p w14:paraId="31B5067F">
      <w:pPr>
        <w:widowControl/>
        <w:spacing w:line="480" w:lineRule="auto"/>
        <w:jc w:val="center"/>
        <w:outlineLvl w:val="2"/>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lang w:val="en-US" w:eastAsia="zh-CN"/>
        </w:rPr>
        <w:t>7</w:t>
      </w:r>
      <w:r>
        <w:rPr>
          <w:rFonts w:hint="eastAsia" w:ascii="宋体" w:hAnsi="宋体" w:eastAsia="宋体" w:cs="宋体"/>
          <w:b/>
          <w:bCs/>
          <w:color w:val="auto"/>
          <w:sz w:val="30"/>
          <w:highlight w:val="none"/>
        </w:rPr>
        <w:t>.2残疾人福利性单位声明函</w:t>
      </w:r>
    </w:p>
    <w:p w14:paraId="32886F65">
      <w:pPr>
        <w:pStyle w:val="49"/>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【非残疾人福利性单位不用提供】</w:t>
      </w:r>
    </w:p>
    <w:p w14:paraId="660F3966">
      <w:pPr>
        <w:pStyle w:val="124"/>
        <w:spacing w:before="120" w:after="120" w:line="360" w:lineRule="auto"/>
        <w:ind w:firstLine="6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单位的</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14:paraId="58952E71">
      <w:pPr>
        <w:pStyle w:val="124"/>
        <w:spacing w:before="120" w:after="120" w:line="360" w:lineRule="auto"/>
        <w:ind w:firstLine="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14:paraId="20754C39">
      <w:pPr>
        <w:pStyle w:val="124"/>
        <w:spacing w:before="120" w:after="120" w:line="360" w:lineRule="auto"/>
        <w:rPr>
          <w:rFonts w:hint="eastAsia" w:ascii="宋体" w:hAnsi="宋体" w:eastAsia="宋体" w:cs="宋体"/>
          <w:color w:val="auto"/>
          <w:spacing w:val="6"/>
          <w:sz w:val="24"/>
          <w:szCs w:val="24"/>
          <w:highlight w:val="none"/>
        </w:rPr>
      </w:pPr>
    </w:p>
    <w:p w14:paraId="19E01A85">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32C8AD01">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B7B229B">
      <w:pPr>
        <w:rPr>
          <w:rFonts w:hint="eastAsia" w:ascii="宋体" w:hAnsi="宋体" w:eastAsia="宋体" w:cs="宋体"/>
          <w:color w:val="auto"/>
          <w:highlight w:val="none"/>
        </w:rPr>
      </w:pPr>
    </w:p>
    <w:p w14:paraId="7D201472">
      <w:pPr>
        <w:rPr>
          <w:rFonts w:hint="eastAsia" w:ascii="宋体" w:hAnsi="宋体" w:eastAsia="宋体" w:cs="宋体"/>
          <w:color w:val="auto"/>
          <w:highlight w:val="none"/>
        </w:rPr>
      </w:pPr>
    </w:p>
    <w:p w14:paraId="05F9E35D">
      <w:pPr>
        <w:pStyle w:val="4"/>
        <w:widowControl w:val="0"/>
        <w:ind w:left="0"/>
        <w:outlineLvl w:val="9"/>
        <w:rPr>
          <w:rFonts w:hint="eastAsia" w:ascii="宋体" w:hAnsi="宋体" w:eastAsia="宋体" w:cs="宋体"/>
          <w:color w:val="auto"/>
          <w:highlight w:val="none"/>
        </w:rPr>
      </w:pPr>
    </w:p>
    <w:p w14:paraId="672CCACE">
      <w:pPr>
        <w:rPr>
          <w:rFonts w:hint="eastAsia" w:ascii="宋体" w:hAnsi="宋体" w:eastAsia="宋体" w:cs="宋体"/>
          <w:color w:val="auto"/>
          <w:highlight w:val="none"/>
        </w:rPr>
      </w:pPr>
    </w:p>
    <w:p w14:paraId="7BC105DB">
      <w:pPr>
        <w:pStyle w:val="4"/>
        <w:widowControl w:val="0"/>
        <w:ind w:left="0"/>
        <w:outlineLvl w:val="9"/>
        <w:rPr>
          <w:rFonts w:hint="eastAsia" w:ascii="宋体" w:hAnsi="宋体" w:eastAsia="宋体" w:cs="宋体"/>
          <w:color w:val="auto"/>
          <w:highlight w:val="none"/>
        </w:rPr>
      </w:pPr>
    </w:p>
    <w:p w14:paraId="36C12673">
      <w:pPr>
        <w:rPr>
          <w:rFonts w:hint="eastAsia" w:ascii="宋体" w:hAnsi="宋体" w:eastAsia="宋体" w:cs="宋体"/>
          <w:color w:val="auto"/>
          <w:highlight w:val="none"/>
        </w:rPr>
      </w:pPr>
    </w:p>
    <w:p w14:paraId="684E2F22">
      <w:pPr>
        <w:pStyle w:val="23"/>
        <w:spacing w:line="360" w:lineRule="auto"/>
        <w:ind w:left="0" w:leftChars="0" w:firstLine="0" w:firstLineChars="0"/>
        <w:jc w:val="center"/>
        <w:outlineLvl w:val="2"/>
        <w:rPr>
          <w:rFonts w:hint="eastAsia" w:ascii="宋体" w:hAnsi="宋体" w:eastAsia="宋体" w:cs="宋体"/>
          <w:b/>
          <w:bCs/>
          <w:color w:val="auto"/>
          <w:sz w:val="30"/>
          <w:highlight w:val="none"/>
        </w:rPr>
      </w:pPr>
      <w:r>
        <w:rPr>
          <w:rFonts w:hint="eastAsia" w:hAnsi="宋体" w:cs="宋体"/>
          <w:b/>
          <w:bCs/>
          <w:color w:val="auto"/>
          <w:sz w:val="30"/>
          <w:highlight w:val="none"/>
          <w:lang w:val="en-US" w:eastAsia="zh-CN"/>
        </w:rPr>
        <w:t>7</w:t>
      </w:r>
      <w:r>
        <w:rPr>
          <w:rFonts w:hint="eastAsia" w:ascii="宋体" w:hAnsi="宋体" w:eastAsia="宋体" w:cs="宋体"/>
          <w:b/>
          <w:bCs/>
          <w:color w:val="auto"/>
          <w:sz w:val="30"/>
          <w:highlight w:val="none"/>
        </w:rPr>
        <w:t>.3监狱企业证明</w:t>
      </w:r>
    </w:p>
    <w:p w14:paraId="26049389">
      <w:pPr>
        <w:pStyle w:val="49"/>
        <w:ind w:left="0" w:leftChars="0" w:firstLine="0" w:firstLineChars="0"/>
        <w:jc w:val="center"/>
        <w:rPr>
          <w:rFonts w:hint="eastAsia" w:ascii="宋体" w:hAnsi="宋体" w:eastAsia="宋体" w:cs="宋体"/>
          <w:b/>
          <w:bCs/>
          <w:color w:val="auto"/>
          <w:sz w:val="22"/>
          <w:szCs w:val="21"/>
          <w:highlight w:val="none"/>
          <w:lang w:eastAsia="zh-CN"/>
        </w:rPr>
      </w:pPr>
      <w:r>
        <w:rPr>
          <w:rFonts w:hint="eastAsia" w:ascii="宋体" w:hAnsi="宋体" w:eastAsia="宋体" w:cs="宋体"/>
          <w:b/>
          <w:bCs/>
          <w:color w:val="auto"/>
          <w:sz w:val="22"/>
          <w:szCs w:val="21"/>
          <w:highlight w:val="none"/>
          <w:lang w:eastAsia="zh-CN"/>
        </w:rPr>
        <w:t>【非监狱企业的不用提供】</w:t>
      </w:r>
    </w:p>
    <w:p w14:paraId="6EAF56ED">
      <w:pPr>
        <w:pStyle w:val="6"/>
        <w:spacing w:line="360" w:lineRule="auto"/>
        <w:ind w:firstLine="0"/>
        <w:jc w:val="center"/>
        <w:rPr>
          <w:rFonts w:hint="eastAsia" w:ascii="宋体" w:hAnsi="宋体" w:eastAsia="宋体" w:cs="宋体"/>
          <w:color w:val="auto"/>
          <w:sz w:val="24"/>
          <w:szCs w:val="24"/>
          <w:highlight w:val="none"/>
        </w:rPr>
      </w:pPr>
    </w:p>
    <w:p w14:paraId="2421DA36">
      <w:pPr>
        <w:pStyle w:val="6"/>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14:paraId="51F82599">
      <w:pPr>
        <w:pStyle w:val="16"/>
        <w:rPr>
          <w:rFonts w:hint="eastAsia" w:ascii="宋体" w:hAnsi="宋体" w:eastAsia="宋体" w:cs="宋体"/>
          <w:color w:val="auto"/>
          <w:sz w:val="24"/>
          <w:szCs w:val="24"/>
          <w:highlight w:val="none"/>
        </w:rPr>
      </w:pPr>
    </w:p>
    <w:p w14:paraId="79D55596">
      <w:pPr>
        <w:rPr>
          <w:rFonts w:hint="eastAsia" w:ascii="宋体" w:hAnsi="宋体" w:eastAsia="宋体" w:cs="宋体"/>
          <w:color w:val="auto"/>
          <w:sz w:val="24"/>
          <w:szCs w:val="24"/>
          <w:highlight w:val="none"/>
        </w:rPr>
      </w:pPr>
    </w:p>
    <w:p w14:paraId="10A206D9">
      <w:pPr>
        <w:pStyle w:val="81"/>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highlight w:val="none"/>
          <w:lang w:eastAsia="zh-CN"/>
        </w:rPr>
        <w:t>供应商</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1E3DE23C">
      <w:pPr>
        <w:ind w:firstLine="5760" w:firstLineChars="2400"/>
        <w:rPr>
          <w:rFonts w:hint="eastAsia"/>
          <w:color w:val="auto"/>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2DE43AB">
      <w:pPr>
        <w:pStyle w:val="6"/>
        <w:widowControl w:val="0"/>
        <w:jc w:val="right"/>
        <w:rPr>
          <w:rFonts w:hint="eastAsia" w:ascii="宋体" w:hAnsi="宋体" w:eastAsia="宋体" w:cs="宋体"/>
          <w:color w:val="auto"/>
          <w:highlight w:val="none"/>
        </w:rPr>
      </w:pPr>
    </w:p>
    <w:p w14:paraId="1C9CBCE6">
      <w:pPr>
        <w:wordWrap/>
        <w:rPr>
          <w:rFonts w:hint="eastAsia"/>
          <w:highlight w:val="none"/>
        </w:rPr>
        <w:sectPr>
          <w:pgSz w:w="11906" w:h="16838"/>
          <w:pgMar w:top="1417" w:right="1417" w:bottom="1417" w:left="1417" w:header="851" w:footer="1020" w:gutter="0"/>
          <w:pgNumType w:fmt="decimal"/>
          <w:cols w:space="425" w:num="1"/>
          <w:docGrid w:type="lines" w:linePitch="312" w:charSpace="0"/>
        </w:sectPr>
      </w:pPr>
    </w:p>
    <w:p w14:paraId="7C335A32">
      <w:pPr>
        <w:pStyle w:val="6"/>
        <w:widowControl w:val="0"/>
        <w:rPr>
          <w:rFonts w:hint="eastAsia" w:ascii="宋体" w:hAnsi="宋体" w:eastAsia="宋体" w:cs="宋体"/>
          <w:color w:val="auto"/>
          <w:highlight w:val="none"/>
        </w:rPr>
      </w:pPr>
    </w:p>
    <w:p w14:paraId="01FAFB16">
      <w:pPr>
        <w:pStyle w:val="6"/>
        <w:widowControl w:val="0"/>
        <w:rPr>
          <w:rFonts w:hint="eastAsia" w:ascii="宋体" w:hAnsi="宋体" w:eastAsia="宋体" w:cs="宋体"/>
          <w:color w:val="auto"/>
          <w:highlight w:val="none"/>
        </w:rPr>
      </w:pPr>
    </w:p>
    <w:p w14:paraId="2F1C6BDD">
      <w:pPr>
        <w:pStyle w:val="6"/>
        <w:widowControl w:val="0"/>
        <w:rPr>
          <w:rFonts w:hint="eastAsia" w:ascii="宋体" w:hAnsi="宋体" w:eastAsia="宋体" w:cs="宋体"/>
          <w:color w:val="auto"/>
          <w:highlight w:val="none"/>
        </w:rPr>
      </w:pPr>
    </w:p>
    <w:p w14:paraId="1C827B96">
      <w:pPr>
        <w:pStyle w:val="6"/>
        <w:widowControl w:val="0"/>
        <w:rPr>
          <w:rFonts w:hint="eastAsia" w:ascii="宋体" w:hAnsi="宋体" w:eastAsia="宋体" w:cs="宋体"/>
          <w:color w:val="auto"/>
          <w:highlight w:val="none"/>
        </w:rPr>
      </w:pPr>
    </w:p>
    <w:p w14:paraId="08BDACF1">
      <w:pPr>
        <w:pStyle w:val="6"/>
        <w:widowControl w:val="0"/>
        <w:rPr>
          <w:rFonts w:hint="eastAsia" w:ascii="宋体" w:hAnsi="宋体" w:eastAsia="宋体" w:cs="宋体"/>
          <w:color w:val="auto"/>
          <w:highlight w:val="none"/>
        </w:rPr>
      </w:pPr>
    </w:p>
    <w:p w14:paraId="69880BA3">
      <w:pPr>
        <w:pStyle w:val="4"/>
        <w:widowControl w:val="0"/>
        <w:ind w:left="0"/>
        <w:outlineLvl w:val="9"/>
        <w:rPr>
          <w:rFonts w:hint="eastAsia" w:ascii="宋体" w:hAnsi="宋体" w:eastAsia="宋体" w:cs="宋体"/>
          <w:color w:val="auto"/>
          <w:highlight w:val="none"/>
        </w:rPr>
      </w:pPr>
    </w:p>
    <w:p w14:paraId="0283E869">
      <w:pPr>
        <w:rPr>
          <w:rFonts w:hint="eastAsia" w:ascii="宋体" w:hAnsi="宋体" w:eastAsia="宋体" w:cs="宋体"/>
          <w:color w:val="auto"/>
          <w:highlight w:val="none"/>
        </w:rPr>
      </w:pPr>
    </w:p>
    <w:p w14:paraId="113190C7">
      <w:pPr>
        <w:pStyle w:val="4"/>
        <w:widowControl w:val="0"/>
        <w:ind w:left="0"/>
        <w:outlineLvl w:val="9"/>
        <w:rPr>
          <w:rFonts w:hint="eastAsia" w:ascii="宋体" w:hAnsi="宋体" w:eastAsia="宋体" w:cs="宋体"/>
          <w:color w:val="auto"/>
          <w:highlight w:val="none"/>
        </w:rPr>
      </w:pPr>
    </w:p>
    <w:p w14:paraId="0A60C0CB">
      <w:pPr>
        <w:rPr>
          <w:rFonts w:hint="eastAsia" w:ascii="宋体" w:hAnsi="宋体" w:eastAsia="宋体" w:cs="宋体"/>
          <w:color w:val="auto"/>
          <w:highlight w:val="none"/>
        </w:rPr>
      </w:pPr>
    </w:p>
    <w:p w14:paraId="5CABEDCD">
      <w:pPr>
        <w:pStyle w:val="4"/>
        <w:widowControl w:val="0"/>
        <w:ind w:left="0"/>
        <w:outlineLvl w:val="9"/>
        <w:rPr>
          <w:rFonts w:hint="eastAsia" w:ascii="宋体" w:hAnsi="宋体" w:eastAsia="宋体" w:cs="宋体"/>
          <w:color w:val="auto"/>
          <w:highlight w:val="none"/>
        </w:rPr>
      </w:pPr>
    </w:p>
    <w:p w14:paraId="62CC9E1B">
      <w:pPr>
        <w:rPr>
          <w:rFonts w:hint="eastAsia" w:ascii="宋体" w:hAnsi="宋体" w:eastAsia="宋体" w:cs="宋体"/>
          <w:color w:val="auto"/>
          <w:highlight w:val="none"/>
        </w:rPr>
      </w:pPr>
    </w:p>
    <w:p w14:paraId="44A1251A">
      <w:pPr>
        <w:pStyle w:val="4"/>
        <w:widowControl w:val="0"/>
        <w:ind w:left="0"/>
        <w:outlineLvl w:val="9"/>
        <w:rPr>
          <w:rFonts w:hint="eastAsia" w:ascii="宋体" w:hAnsi="宋体" w:eastAsia="宋体" w:cs="宋体"/>
          <w:color w:val="auto"/>
          <w:highlight w:val="none"/>
        </w:rPr>
      </w:pPr>
    </w:p>
    <w:p w14:paraId="5217F366">
      <w:pPr>
        <w:rPr>
          <w:rFonts w:hint="eastAsia" w:ascii="宋体" w:hAnsi="宋体" w:eastAsia="宋体" w:cs="宋体"/>
          <w:color w:val="auto"/>
          <w:highlight w:val="none"/>
        </w:rPr>
      </w:pPr>
    </w:p>
    <w:p w14:paraId="0AF97700">
      <w:pPr>
        <w:pStyle w:val="4"/>
        <w:widowControl w:val="0"/>
        <w:ind w:left="0"/>
        <w:outlineLvl w:val="9"/>
        <w:rPr>
          <w:rFonts w:hint="eastAsia" w:ascii="宋体" w:hAnsi="宋体" w:eastAsia="宋体" w:cs="宋体"/>
          <w:color w:val="auto"/>
          <w:highlight w:val="none"/>
        </w:rPr>
      </w:pPr>
    </w:p>
    <w:p w14:paraId="55FFBD52">
      <w:pPr>
        <w:rPr>
          <w:rFonts w:hint="eastAsia" w:ascii="宋体" w:hAnsi="宋体" w:eastAsia="宋体" w:cs="宋体"/>
          <w:color w:val="auto"/>
          <w:highlight w:val="none"/>
        </w:rPr>
      </w:pPr>
    </w:p>
    <w:p w14:paraId="7EAD3B2D">
      <w:pPr>
        <w:rPr>
          <w:rFonts w:hint="eastAsia" w:ascii="宋体" w:hAnsi="宋体" w:eastAsia="宋体" w:cs="宋体"/>
          <w:color w:val="auto"/>
          <w:highlight w:val="none"/>
        </w:rPr>
      </w:pPr>
    </w:p>
    <w:p w14:paraId="216E671A">
      <w:pPr>
        <w:pStyle w:val="5"/>
        <w:widowControl w:val="0"/>
        <w:tabs>
          <w:tab w:val="left" w:pos="3405"/>
        </w:tabs>
        <w:ind w:left="0" w:firstLine="0"/>
        <w:jc w:val="center"/>
        <w:outlineLvl w:val="1"/>
        <w:rPr>
          <w:rFonts w:hint="eastAsia" w:ascii="宋体" w:hAnsi="宋体" w:eastAsia="宋体" w:cs="宋体"/>
          <w:b/>
          <w:bCs/>
          <w:color w:val="auto"/>
          <w:sz w:val="36"/>
          <w:szCs w:val="36"/>
          <w:highlight w:val="none"/>
        </w:rPr>
      </w:pPr>
      <w:bookmarkStart w:id="157" w:name="_Toc22926"/>
      <w:r>
        <w:rPr>
          <w:rFonts w:hint="eastAsia" w:ascii="宋体" w:hAnsi="宋体" w:eastAsia="宋体" w:cs="宋体"/>
          <w:b/>
          <w:bCs/>
          <w:color w:val="auto"/>
          <w:sz w:val="36"/>
          <w:szCs w:val="36"/>
          <w:highlight w:val="none"/>
        </w:rPr>
        <w:t xml:space="preserve">二  </w:t>
      </w:r>
      <w:r>
        <w:rPr>
          <w:rFonts w:hint="eastAsia" w:ascii="宋体" w:hAnsi="宋体" w:cs="宋体"/>
          <w:b/>
          <w:bCs/>
          <w:color w:val="auto"/>
          <w:sz w:val="36"/>
          <w:szCs w:val="36"/>
          <w:highlight w:val="none"/>
          <w:lang w:eastAsia="zh-CN"/>
        </w:rPr>
        <w:t>商务技术文件</w:t>
      </w:r>
      <w:r>
        <w:rPr>
          <w:rFonts w:hint="eastAsia" w:ascii="宋体" w:hAnsi="宋体" w:eastAsia="宋体" w:cs="宋体"/>
          <w:b/>
          <w:bCs/>
          <w:color w:val="auto"/>
          <w:sz w:val="36"/>
          <w:szCs w:val="36"/>
          <w:highlight w:val="none"/>
        </w:rPr>
        <w:t>格式</w:t>
      </w:r>
      <w:bookmarkEnd w:id="156"/>
      <w:bookmarkEnd w:id="157"/>
    </w:p>
    <w:bookmarkEnd w:id="147"/>
    <w:bookmarkEnd w:id="148"/>
    <w:bookmarkEnd w:id="149"/>
    <w:bookmarkEnd w:id="150"/>
    <w:p w14:paraId="22B1FD35">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3F31D2E">
      <w:pPr>
        <w:rPr>
          <w:rFonts w:hint="eastAsia" w:ascii="宋体" w:hAnsi="宋体" w:eastAsia="宋体" w:cs="宋体"/>
          <w:color w:val="auto"/>
          <w:highlight w:val="none"/>
        </w:rPr>
      </w:pPr>
    </w:p>
    <w:p w14:paraId="27E21FCF">
      <w:pPr>
        <w:rPr>
          <w:rFonts w:hint="eastAsia" w:ascii="宋体" w:hAnsi="宋体" w:eastAsia="宋体" w:cs="宋体"/>
          <w:color w:val="auto"/>
          <w:highlight w:val="none"/>
        </w:rPr>
      </w:pPr>
    </w:p>
    <w:p w14:paraId="20686E17">
      <w:pPr>
        <w:rPr>
          <w:rFonts w:hint="eastAsia" w:ascii="宋体" w:hAnsi="宋体" w:eastAsia="宋体" w:cs="宋体"/>
          <w:color w:val="auto"/>
          <w:highlight w:val="none"/>
        </w:rPr>
      </w:pPr>
    </w:p>
    <w:p w14:paraId="271EF221">
      <w:pPr>
        <w:rPr>
          <w:rFonts w:hint="eastAsia" w:ascii="宋体" w:hAnsi="宋体" w:eastAsia="宋体" w:cs="宋体"/>
          <w:color w:val="auto"/>
          <w:highlight w:val="none"/>
        </w:rPr>
      </w:pPr>
    </w:p>
    <w:p w14:paraId="0B99C9E9">
      <w:pPr>
        <w:pStyle w:val="23"/>
        <w:widowControl w:val="0"/>
        <w:spacing w:line="360" w:lineRule="auto"/>
        <w:ind w:left="0"/>
        <w:rPr>
          <w:rFonts w:hint="eastAsia" w:ascii="宋体" w:hAnsi="宋体" w:eastAsia="宋体" w:cs="宋体"/>
          <w:color w:val="auto"/>
          <w:sz w:val="24"/>
          <w:highlight w:val="none"/>
        </w:rPr>
      </w:pPr>
    </w:p>
    <w:p w14:paraId="35657807">
      <w:pPr>
        <w:pStyle w:val="23"/>
        <w:widowControl w:val="0"/>
        <w:spacing w:line="360" w:lineRule="auto"/>
        <w:ind w:left="0"/>
        <w:rPr>
          <w:rFonts w:hint="eastAsia" w:ascii="宋体" w:hAnsi="宋体" w:eastAsia="宋体" w:cs="宋体"/>
          <w:color w:val="auto"/>
          <w:sz w:val="24"/>
          <w:highlight w:val="none"/>
        </w:rPr>
      </w:pPr>
    </w:p>
    <w:p w14:paraId="7026E42D">
      <w:pPr>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682206CD">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lang w:eastAsia="zh-CN"/>
        </w:rPr>
        <w:t>商务技术文件</w:t>
      </w:r>
      <w:r>
        <w:rPr>
          <w:rFonts w:hint="eastAsia" w:ascii="宋体" w:hAnsi="宋体" w:eastAsia="宋体" w:cs="宋体"/>
          <w:b/>
          <w:color w:val="auto"/>
          <w:sz w:val="30"/>
          <w:highlight w:val="none"/>
        </w:rPr>
        <w:t>”封面格式</w:t>
      </w:r>
    </w:p>
    <w:p w14:paraId="6DC89B2A">
      <w:pPr>
        <w:pStyle w:val="31"/>
        <w:widowControl w:val="0"/>
        <w:rPr>
          <w:rFonts w:hint="eastAsia" w:ascii="宋体" w:hAnsi="宋体" w:eastAsia="宋体" w:cs="宋体"/>
          <w:color w:val="auto"/>
          <w:highlight w:val="none"/>
        </w:rPr>
      </w:pPr>
    </w:p>
    <w:p w14:paraId="00BD2831">
      <w:pPr>
        <w:rPr>
          <w:rFonts w:hint="eastAsia" w:ascii="宋体" w:hAnsi="宋体" w:eastAsia="宋体" w:cs="宋体"/>
          <w:color w:val="auto"/>
          <w:highlight w:val="none"/>
        </w:rPr>
      </w:pPr>
    </w:p>
    <w:p w14:paraId="609A2BFB">
      <w:pPr>
        <w:spacing w:before="508"/>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14:paraId="1209A1BD">
      <w:pPr>
        <w:spacing w:before="151"/>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w:t>
      </w:r>
      <w:r>
        <w:rPr>
          <w:rFonts w:hint="eastAsia" w:ascii="宋体" w:hAnsi="宋体" w:eastAsia="宋体" w:cs="宋体"/>
          <w:b/>
          <w:color w:val="auto"/>
          <w:sz w:val="48"/>
          <w:highlight w:val="none"/>
          <w:lang w:eastAsia="zh-CN"/>
        </w:rPr>
        <w:t>商务技术文件</w:t>
      </w:r>
      <w:r>
        <w:rPr>
          <w:rFonts w:hint="eastAsia" w:ascii="宋体" w:hAnsi="宋体" w:eastAsia="宋体" w:cs="宋体"/>
          <w:b/>
          <w:color w:val="auto"/>
          <w:sz w:val="48"/>
          <w:highlight w:val="none"/>
        </w:rPr>
        <w:t>）</w:t>
      </w:r>
    </w:p>
    <w:p w14:paraId="0A6A2968">
      <w:pPr>
        <w:pStyle w:val="15"/>
        <w:widowControl w:val="0"/>
        <w:tabs>
          <w:tab w:val="left" w:pos="208"/>
        </w:tabs>
        <w:ind w:firstLine="402"/>
        <w:rPr>
          <w:rFonts w:hint="eastAsia" w:ascii="宋体" w:hAnsi="宋体" w:eastAsia="宋体" w:cs="宋体"/>
          <w:b/>
          <w:color w:val="auto"/>
          <w:highlight w:val="none"/>
        </w:rPr>
      </w:pPr>
    </w:p>
    <w:p w14:paraId="3419AC2B">
      <w:pPr>
        <w:pStyle w:val="16"/>
        <w:widowControl w:val="0"/>
        <w:ind w:firstLine="210"/>
        <w:rPr>
          <w:rFonts w:hint="eastAsia" w:ascii="宋体" w:hAnsi="宋体" w:eastAsia="宋体" w:cs="宋体"/>
          <w:color w:val="auto"/>
          <w:highlight w:val="none"/>
        </w:rPr>
      </w:pPr>
    </w:p>
    <w:p w14:paraId="7029AB2D">
      <w:pPr>
        <w:pStyle w:val="15"/>
        <w:widowControl w:val="0"/>
        <w:tabs>
          <w:tab w:val="left" w:pos="208"/>
        </w:tabs>
        <w:ind w:firstLine="341"/>
        <w:rPr>
          <w:rFonts w:hint="eastAsia" w:ascii="宋体" w:hAnsi="宋体" w:eastAsia="宋体" w:cs="宋体"/>
          <w:b/>
          <w:color w:val="auto"/>
          <w:sz w:val="17"/>
          <w:highlight w:val="none"/>
        </w:rPr>
      </w:pPr>
    </w:p>
    <w:tbl>
      <w:tblPr>
        <w:tblStyle w:val="40"/>
        <w:tblW w:w="8538" w:type="dxa"/>
        <w:tblInd w:w="612" w:type="dxa"/>
        <w:tblLayout w:type="fixed"/>
        <w:tblCellMar>
          <w:top w:w="0" w:type="dxa"/>
          <w:left w:w="0" w:type="dxa"/>
          <w:bottom w:w="0" w:type="dxa"/>
          <w:right w:w="0" w:type="dxa"/>
        </w:tblCellMar>
      </w:tblPr>
      <w:tblGrid>
        <w:gridCol w:w="8538"/>
      </w:tblGrid>
      <w:tr w14:paraId="79048A0F">
        <w:tblPrEx>
          <w:tblCellMar>
            <w:top w:w="0" w:type="dxa"/>
            <w:left w:w="0" w:type="dxa"/>
            <w:bottom w:w="0" w:type="dxa"/>
            <w:right w:w="0" w:type="dxa"/>
          </w:tblCellMar>
        </w:tblPrEx>
        <w:trPr>
          <w:trHeight w:val="1134" w:hRule="atLeast"/>
        </w:trPr>
        <w:tc>
          <w:tcPr>
            <w:tcW w:w="8538" w:type="dxa"/>
            <w:vAlign w:val="top"/>
          </w:tcPr>
          <w:p w14:paraId="61ED5013">
            <w:pPr>
              <w:pStyle w:val="99"/>
              <w:autoSpaceDE w:val="0"/>
              <w:autoSpaceDN w:val="0"/>
              <w:spacing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项目名称： </w:t>
            </w:r>
          </w:p>
        </w:tc>
      </w:tr>
      <w:tr w14:paraId="371CC526">
        <w:tblPrEx>
          <w:tblCellMar>
            <w:top w:w="0" w:type="dxa"/>
            <w:left w:w="0" w:type="dxa"/>
            <w:bottom w:w="0" w:type="dxa"/>
            <w:right w:w="0" w:type="dxa"/>
          </w:tblCellMar>
        </w:tblPrEx>
        <w:trPr>
          <w:trHeight w:val="1134" w:hRule="atLeast"/>
        </w:trPr>
        <w:tc>
          <w:tcPr>
            <w:tcW w:w="8538" w:type="dxa"/>
            <w:vAlign w:val="top"/>
          </w:tcPr>
          <w:p w14:paraId="32E6B7D5">
            <w:pPr>
              <w:pStyle w:val="99"/>
              <w:autoSpaceDE w:val="0"/>
              <w:autoSpaceDN w:val="0"/>
              <w:spacing w:before="161"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项目编号： </w:t>
            </w:r>
          </w:p>
        </w:tc>
      </w:tr>
      <w:tr w14:paraId="227E39F2">
        <w:tblPrEx>
          <w:tblCellMar>
            <w:top w:w="0" w:type="dxa"/>
            <w:left w:w="0" w:type="dxa"/>
            <w:bottom w:w="0" w:type="dxa"/>
            <w:right w:w="0" w:type="dxa"/>
          </w:tblCellMar>
        </w:tblPrEx>
        <w:trPr>
          <w:trHeight w:val="1134" w:hRule="atLeast"/>
        </w:trPr>
        <w:tc>
          <w:tcPr>
            <w:tcW w:w="8538" w:type="dxa"/>
            <w:vAlign w:val="top"/>
          </w:tcPr>
          <w:p w14:paraId="3C8992E1">
            <w:pPr>
              <w:pStyle w:val="99"/>
              <w:tabs>
                <w:tab w:val="left" w:pos="8323"/>
              </w:tabs>
              <w:autoSpaceDE w:val="0"/>
              <w:autoSpaceDN w:val="0"/>
              <w:spacing w:before="160" w:line="480" w:lineRule="auto"/>
              <w:ind w:left="200"/>
              <w:rPr>
                <w:rFonts w:hint="eastAsia" w:ascii="宋体" w:hAnsi="宋体" w:eastAsia="宋体" w:cs="宋体"/>
                <w:color w:val="auto"/>
                <w:sz w:val="28"/>
                <w:highlight w:val="none"/>
              </w:rPr>
            </w:pPr>
            <w:r>
              <w:rPr>
                <w:rFonts w:hint="eastAsia" w:ascii="宋体" w:hAnsi="宋体" w:eastAsia="宋体" w:cs="宋体"/>
                <w:color w:val="auto"/>
                <w:sz w:val="28"/>
                <w:highlight w:val="none"/>
              </w:rPr>
              <w:t>磋商供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w:t>
            </w:r>
            <w:r>
              <w:rPr>
                <w:rFonts w:hint="eastAsia" w:ascii="宋体" w:hAnsi="宋体" w:eastAsia="宋体" w:cs="宋体"/>
                <w:color w:val="auto"/>
                <w:spacing w:val="-3"/>
                <w:sz w:val="28"/>
                <w:highlight w:val="none"/>
              </w:rPr>
              <w:t xml:space="preserve">名称（CA签章）： </w:t>
            </w:r>
            <w:r>
              <w:rPr>
                <w:rFonts w:hint="eastAsia" w:ascii="宋体" w:hAnsi="宋体" w:eastAsia="宋体" w:cs="宋体"/>
                <w:color w:val="auto"/>
                <w:sz w:val="28"/>
                <w:highlight w:val="none"/>
                <w:u w:val="single"/>
              </w:rPr>
              <w:tab/>
            </w:r>
          </w:p>
        </w:tc>
      </w:tr>
      <w:tr w14:paraId="209323A3">
        <w:tblPrEx>
          <w:tblCellMar>
            <w:top w:w="0" w:type="dxa"/>
            <w:left w:w="0" w:type="dxa"/>
            <w:bottom w:w="0" w:type="dxa"/>
            <w:right w:w="0" w:type="dxa"/>
          </w:tblCellMar>
        </w:tblPrEx>
        <w:trPr>
          <w:trHeight w:val="1134" w:hRule="atLeast"/>
        </w:trPr>
        <w:tc>
          <w:tcPr>
            <w:tcW w:w="8538" w:type="dxa"/>
            <w:vAlign w:val="top"/>
          </w:tcPr>
          <w:p w14:paraId="72C18632">
            <w:pPr>
              <w:pStyle w:val="99"/>
              <w:tabs>
                <w:tab w:val="left" w:pos="8168"/>
              </w:tabs>
              <w:autoSpaceDE w:val="0"/>
              <w:autoSpaceDN w:val="0"/>
              <w:spacing w:before="161" w:line="480" w:lineRule="auto"/>
              <w:ind w:left="200"/>
              <w:rPr>
                <w:rFonts w:hint="eastAsia" w:ascii="宋体" w:hAnsi="宋体" w:eastAsia="宋体" w:cs="宋体"/>
                <w:color w:val="auto"/>
                <w:sz w:val="22"/>
                <w:highlight w:val="none"/>
                <w:lang w:eastAsia="en-US"/>
              </w:rPr>
            </w:pPr>
            <w:r>
              <w:rPr>
                <w:rFonts w:hint="eastAsia" w:ascii="宋体" w:hAnsi="宋体" w:eastAsia="宋体" w:cs="宋体"/>
                <w:color w:val="auto"/>
                <w:sz w:val="28"/>
                <w:highlight w:val="none"/>
                <w:lang w:eastAsia="en-US"/>
              </w:rPr>
              <w:t>磋商供</w:t>
            </w:r>
            <w:r>
              <w:rPr>
                <w:rFonts w:hint="eastAsia" w:ascii="宋体" w:hAnsi="宋体" w:eastAsia="宋体" w:cs="宋体"/>
                <w:color w:val="auto"/>
                <w:spacing w:val="-3"/>
                <w:sz w:val="28"/>
                <w:highlight w:val="none"/>
                <w:lang w:eastAsia="en-US"/>
              </w:rPr>
              <w:t>应</w:t>
            </w:r>
            <w:r>
              <w:rPr>
                <w:rFonts w:hint="eastAsia" w:ascii="宋体" w:hAnsi="宋体" w:eastAsia="宋体" w:cs="宋体"/>
                <w:color w:val="auto"/>
                <w:sz w:val="28"/>
                <w:highlight w:val="none"/>
                <w:lang w:eastAsia="en-US"/>
              </w:rPr>
              <w:t>商地</w:t>
            </w:r>
            <w:r>
              <w:rPr>
                <w:rFonts w:hint="eastAsia" w:ascii="宋体" w:hAnsi="宋体" w:eastAsia="宋体" w:cs="宋体"/>
                <w:color w:val="auto"/>
                <w:spacing w:val="-3"/>
                <w:sz w:val="28"/>
                <w:highlight w:val="none"/>
                <w:lang w:eastAsia="en-US"/>
              </w:rPr>
              <w:t>址</w:t>
            </w:r>
            <w:r>
              <w:rPr>
                <w:rFonts w:hint="eastAsia" w:ascii="宋体" w:hAnsi="宋体" w:eastAsia="宋体" w:cs="宋体"/>
                <w:color w:val="auto"/>
                <w:spacing w:val="3"/>
                <w:sz w:val="28"/>
                <w:highlight w:val="none"/>
                <w:lang w:eastAsia="en-US"/>
              </w:rPr>
              <w:t>：</w:t>
            </w:r>
            <w:r>
              <w:rPr>
                <w:rFonts w:hint="eastAsia" w:ascii="宋体" w:hAnsi="宋体" w:eastAsia="宋体" w:cs="宋体"/>
                <w:color w:val="auto"/>
                <w:spacing w:val="3"/>
                <w:sz w:val="28"/>
                <w:highlight w:val="none"/>
                <w:u w:val="single"/>
                <w:lang w:eastAsia="en-US"/>
              </w:rPr>
              <w:t xml:space="preserve"> </w:t>
            </w:r>
            <w:r>
              <w:rPr>
                <w:rFonts w:hint="eastAsia" w:ascii="宋体" w:hAnsi="宋体" w:eastAsia="宋体" w:cs="宋体"/>
                <w:color w:val="auto"/>
                <w:spacing w:val="3"/>
                <w:sz w:val="28"/>
                <w:highlight w:val="none"/>
                <w:u w:val="single"/>
                <w:lang w:eastAsia="en-US"/>
              </w:rPr>
              <w:tab/>
            </w:r>
            <w:r>
              <w:rPr>
                <w:rFonts w:hint="eastAsia" w:ascii="宋体" w:hAnsi="宋体" w:eastAsia="宋体" w:cs="宋体"/>
                <w:color w:val="auto"/>
                <w:sz w:val="22"/>
                <w:highlight w:val="none"/>
                <w:lang w:eastAsia="en-US"/>
              </w:rPr>
              <w:t>_</w:t>
            </w:r>
          </w:p>
        </w:tc>
      </w:tr>
      <w:tr w14:paraId="48903084">
        <w:tblPrEx>
          <w:tblCellMar>
            <w:top w:w="0" w:type="dxa"/>
            <w:left w:w="0" w:type="dxa"/>
            <w:bottom w:w="0" w:type="dxa"/>
            <w:right w:w="0" w:type="dxa"/>
          </w:tblCellMar>
        </w:tblPrEx>
        <w:trPr>
          <w:trHeight w:val="1134" w:hRule="atLeast"/>
        </w:trPr>
        <w:tc>
          <w:tcPr>
            <w:tcW w:w="8538" w:type="dxa"/>
            <w:vAlign w:val="top"/>
          </w:tcPr>
          <w:p w14:paraId="4A7B6659">
            <w:pPr>
              <w:pStyle w:val="99"/>
              <w:tabs>
                <w:tab w:val="left" w:pos="8221"/>
              </w:tabs>
              <w:autoSpaceDE w:val="0"/>
              <w:autoSpaceDN w:val="0"/>
              <w:spacing w:before="161" w:line="480" w:lineRule="auto"/>
              <w:ind w:left="200"/>
              <w:rPr>
                <w:rFonts w:hint="eastAsia" w:ascii="宋体" w:hAnsi="宋体" w:eastAsia="宋体" w:cs="宋体"/>
                <w:color w:val="auto"/>
                <w:sz w:val="28"/>
                <w:highlight w:val="none"/>
              </w:rPr>
            </w:pPr>
            <w:r>
              <w:rPr>
                <w:rFonts w:hint="eastAsia" w:ascii="宋体" w:hAnsi="宋体" w:eastAsia="宋体" w:cs="宋体"/>
                <w:color w:val="auto"/>
                <w:spacing w:val="-1"/>
                <w:sz w:val="28"/>
                <w:highlight w:val="none"/>
              </w:rPr>
              <w:t>磋</w:t>
            </w:r>
            <w:r>
              <w:rPr>
                <w:rFonts w:hint="eastAsia" w:ascii="宋体" w:hAnsi="宋体" w:eastAsia="宋体" w:cs="宋体"/>
                <w:color w:val="auto"/>
                <w:sz w:val="28"/>
                <w:highlight w:val="none"/>
              </w:rPr>
              <w:t>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商联</w:t>
            </w:r>
            <w:r>
              <w:rPr>
                <w:rFonts w:hint="eastAsia" w:ascii="宋体" w:hAnsi="宋体" w:eastAsia="宋体" w:cs="宋体"/>
                <w:color w:val="auto"/>
                <w:spacing w:val="-3"/>
                <w:sz w:val="28"/>
                <w:highlight w:val="none"/>
              </w:rPr>
              <w:t>系电</w:t>
            </w:r>
            <w:r>
              <w:rPr>
                <w:rFonts w:hint="eastAsia" w:ascii="宋体" w:hAnsi="宋体" w:eastAsia="宋体" w:cs="宋体"/>
                <w:color w:val="auto"/>
                <w:sz w:val="28"/>
                <w:highlight w:val="none"/>
              </w:rPr>
              <w:t>话：</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p>
        </w:tc>
      </w:tr>
      <w:tr w14:paraId="7CFD3A8F">
        <w:tblPrEx>
          <w:tblCellMar>
            <w:top w:w="0" w:type="dxa"/>
            <w:left w:w="0" w:type="dxa"/>
            <w:bottom w:w="0" w:type="dxa"/>
            <w:right w:w="0" w:type="dxa"/>
          </w:tblCellMar>
        </w:tblPrEx>
        <w:trPr>
          <w:trHeight w:val="1134" w:hRule="atLeast"/>
        </w:trPr>
        <w:tc>
          <w:tcPr>
            <w:tcW w:w="8538" w:type="dxa"/>
            <w:vAlign w:val="top"/>
          </w:tcPr>
          <w:p w14:paraId="1D358490">
            <w:pPr>
              <w:pStyle w:val="99"/>
              <w:tabs>
                <w:tab w:val="left" w:pos="8150"/>
              </w:tabs>
              <w:autoSpaceDE w:val="0"/>
              <w:autoSpaceDN w:val="0"/>
              <w:spacing w:before="160" w:line="480" w:lineRule="auto"/>
              <w:ind w:left="200"/>
              <w:rPr>
                <w:rFonts w:hint="eastAsia" w:ascii="宋体" w:hAnsi="宋体" w:eastAsia="宋体" w:cs="宋体"/>
                <w:color w:val="auto"/>
                <w:sz w:val="22"/>
                <w:highlight w:val="none"/>
                <w:lang w:eastAsia="en-US"/>
              </w:rPr>
            </w:pPr>
            <w:r>
              <w:rPr>
                <w:rFonts w:hint="eastAsia" w:ascii="宋体" w:hAnsi="宋体" w:eastAsia="宋体" w:cs="宋体"/>
                <w:color w:val="auto"/>
                <w:sz w:val="28"/>
                <w:highlight w:val="none"/>
                <w:lang w:eastAsia="en-US"/>
              </w:rPr>
              <w:t>日期：</w:t>
            </w:r>
            <w:r>
              <w:rPr>
                <w:rFonts w:hint="eastAsia" w:ascii="宋体" w:hAnsi="宋体" w:eastAsia="宋体" w:cs="宋体"/>
                <w:color w:val="auto"/>
                <w:sz w:val="28"/>
                <w:highlight w:val="none"/>
                <w:u w:val="single"/>
                <w:lang w:eastAsia="en-US"/>
              </w:rPr>
              <w:t xml:space="preserve"> </w:t>
            </w:r>
            <w:r>
              <w:rPr>
                <w:rFonts w:hint="eastAsia" w:ascii="宋体" w:hAnsi="宋体" w:eastAsia="宋体" w:cs="宋体"/>
                <w:color w:val="auto"/>
                <w:sz w:val="28"/>
                <w:highlight w:val="none"/>
                <w:u w:val="single"/>
                <w:lang w:eastAsia="en-US"/>
              </w:rPr>
              <w:tab/>
            </w:r>
            <w:r>
              <w:rPr>
                <w:rFonts w:hint="eastAsia" w:ascii="宋体" w:hAnsi="宋体" w:eastAsia="宋体" w:cs="宋体"/>
                <w:color w:val="auto"/>
                <w:sz w:val="22"/>
                <w:highlight w:val="none"/>
                <w:lang w:eastAsia="en-US"/>
              </w:rPr>
              <w:t>_</w:t>
            </w:r>
          </w:p>
        </w:tc>
      </w:tr>
    </w:tbl>
    <w:p w14:paraId="2B4D73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2"/>
          <w:szCs w:val="22"/>
          <w:highlight w:val="none"/>
        </w:rPr>
      </w:pPr>
    </w:p>
    <w:p w14:paraId="223D5C9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3AFC02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2E8517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27A66A6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6F962E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5BD9E2B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color w:val="auto"/>
          <w:sz w:val="22"/>
          <w:szCs w:val="22"/>
          <w:highlight w:val="none"/>
        </w:rPr>
      </w:pPr>
    </w:p>
    <w:p w14:paraId="39072E8D">
      <w:pPr>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649C2EBA">
      <w:pPr>
        <w:pStyle w:val="123"/>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11"/>
          <w:highlight w:val="none"/>
        </w:rPr>
      </w:pPr>
    </w:p>
    <w:p w14:paraId="54D4AAED">
      <w:pPr>
        <w:rPr>
          <w:rFonts w:hint="eastAsia"/>
          <w:color w:val="auto"/>
          <w:highlight w:val="none"/>
        </w:rPr>
      </w:pPr>
    </w:p>
    <w:p w14:paraId="1C92D53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（1）磋商声明书</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-----------------------------------------------------（页码）</w:t>
      </w:r>
    </w:p>
    <w:p w14:paraId="494562A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（2）供应商磋商申请表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-----------------------------------------------（页码）</w:t>
      </w:r>
    </w:p>
    <w:p w14:paraId="2D7319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zh-CN"/>
        </w:rPr>
        <w:t>）类似业绩--------------------------------------------------------（页码）</w:t>
      </w:r>
    </w:p>
    <w:p w14:paraId="72814D4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rPr>
        <w:t>）企业认证--------------------------------------------------------（页码）</w:t>
      </w:r>
    </w:p>
    <w:p w14:paraId="7E325B8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）企业实力--------------------------------------------------------（页码）</w:t>
      </w:r>
    </w:p>
    <w:p w14:paraId="14B9D3B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rPr>
        <w:t>）项目人员配备----------------------------------------------------（页码）</w:t>
      </w:r>
    </w:p>
    <w:p w14:paraId="6088D31F">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rPr>
        <w:t>）项目需求的理解与分析--------------------------------------------（页码）</w:t>
      </w:r>
    </w:p>
    <w:p w14:paraId="3DAE769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zh-CN"/>
        </w:rPr>
        <w:t>）项目实施方案----------------------------------------------------（页码）</w:t>
      </w:r>
    </w:p>
    <w:p w14:paraId="77088940">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zh-CN"/>
        </w:rPr>
        <w:t>）项目建设方案----------------------------------------------------（页码）</w:t>
      </w:r>
    </w:p>
    <w:p w14:paraId="10D4774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rPr>
        <w:t>）项目技术难点分析及解决方案-------------------------------------（页码）</w:t>
      </w:r>
    </w:p>
    <w:p w14:paraId="44D8F84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zh-CN"/>
        </w:rPr>
        <w:t>）数据</w:t>
      </w:r>
      <w:r>
        <w:rPr>
          <w:rFonts w:hint="eastAsia" w:ascii="宋体" w:hAnsi="宋体" w:eastAsia="宋体" w:cs="宋体"/>
          <w:b w:val="0"/>
          <w:bCs w:val="0"/>
          <w:color w:val="auto"/>
          <w:sz w:val="24"/>
          <w:szCs w:val="24"/>
          <w:highlight w:val="none"/>
          <w:lang w:val="en-US" w:eastAsia="zh-CN"/>
        </w:rPr>
        <w:t>建库</w:t>
      </w:r>
      <w:r>
        <w:rPr>
          <w:rFonts w:hint="eastAsia" w:ascii="宋体" w:hAnsi="宋体" w:eastAsia="宋体" w:cs="宋体"/>
          <w:b w:val="0"/>
          <w:bCs w:val="0"/>
          <w:color w:val="auto"/>
          <w:sz w:val="24"/>
          <w:szCs w:val="24"/>
          <w:highlight w:val="none"/>
          <w:lang w:val="zh-CN"/>
        </w:rPr>
        <w:t>方案---------------------------------------------------（页码）</w:t>
      </w:r>
    </w:p>
    <w:p w14:paraId="5A3CA10E">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数据入库方案</w:t>
      </w:r>
      <w:r>
        <w:rPr>
          <w:rFonts w:hint="eastAsia" w:ascii="宋体" w:hAnsi="宋体" w:eastAsia="宋体" w:cs="宋体"/>
          <w:b w:val="0"/>
          <w:bCs w:val="0"/>
          <w:color w:val="auto"/>
          <w:sz w:val="24"/>
          <w:szCs w:val="24"/>
          <w:highlight w:val="none"/>
          <w:lang w:val="zh-CN"/>
        </w:rPr>
        <w:t>---------------------------------------------------（页码）</w:t>
      </w:r>
    </w:p>
    <w:p w14:paraId="3349E53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val="zh-CN"/>
        </w:rPr>
        <w:t>）应急预案-------------------------------------------------------（页码）</w:t>
      </w:r>
    </w:p>
    <w:p w14:paraId="5315D5D0">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lang w:val="zh-CN"/>
        </w:rPr>
        <w:t>）项目管理方案---------------------------------------------------（页码）</w:t>
      </w:r>
    </w:p>
    <w:p w14:paraId="2BA3F8D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zh-CN"/>
        </w:rPr>
        <w:t>）培训方案-------------------------------------------------------（页码）</w:t>
      </w:r>
    </w:p>
    <w:p w14:paraId="43F69B8F">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合理化建议</w:t>
      </w:r>
      <w:r>
        <w:rPr>
          <w:rFonts w:hint="eastAsia" w:ascii="宋体" w:hAnsi="宋体" w:eastAsia="宋体" w:cs="宋体"/>
          <w:b w:val="0"/>
          <w:bCs w:val="0"/>
          <w:color w:val="auto"/>
          <w:sz w:val="24"/>
          <w:szCs w:val="24"/>
          <w:highlight w:val="none"/>
          <w:lang w:val="zh-CN"/>
        </w:rPr>
        <w:t>-----------------------------------------------------（页码）</w:t>
      </w:r>
    </w:p>
    <w:p w14:paraId="692AADF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zh-CN" w:eastAsia="zh-CN"/>
        </w:rPr>
        <w:t>售后服务方案</w:t>
      </w:r>
      <w:r>
        <w:rPr>
          <w:rFonts w:hint="eastAsia" w:ascii="宋体" w:hAnsi="宋体" w:eastAsia="宋体" w:cs="宋体"/>
          <w:b w:val="0"/>
          <w:bCs w:val="0"/>
          <w:color w:val="auto"/>
          <w:sz w:val="24"/>
          <w:szCs w:val="24"/>
          <w:highlight w:val="none"/>
          <w:lang w:val="zh-CN"/>
        </w:rPr>
        <w:t>---------------------------------------------------（页码）</w:t>
      </w:r>
    </w:p>
    <w:p w14:paraId="2D7327AE">
      <w:pPr>
        <w:pStyle w:val="23"/>
        <w:widowControl w:val="0"/>
        <w:snapToGrid w:val="0"/>
        <w:spacing w:line="560" w:lineRule="exact"/>
        <w:ind w:left="0"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auto"/>
          <w:sz w:val="24"/>
          <w:szCs w:val="24"/>
          <w:highlight w:val="none"/>
        </w:rPr>
        <w:t>响应文件必须按照磋商文件要求制作</w:t>
      </w:r>
      <w:r>
        <w:rPr>
          <w:rFonts w:hint="eastAsia" w:ascii="宋体" w:hAnsi="宋体" w:eastAsia="宋体" w:cs="宋体"/>
          <w:b/>
          <w:bCs/>
          <w:color w:val="auto"/>
          <w:sz w:val="24"/>
          <w:szCs w:val="24"/>
          <w:highlight w:val="none"/>
        </w:rPr>
        <w:t>。</w:t>
      </w:r>
    </w:p>
    <w:p w14:paraId="66606DEF">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F7E5379">
      <w:pPr>
        <w:pStyle w:val="23"/>
        <w:widowControl w:val="0"/>
        <w:spacing w:line="360" w:lineRule="auto"/>
        <w:ind w:left="0"/>
        <w:jc w:val="center"/>
        <w:outlineLvl w:val="1"/>
        <w:rPr>
          <w:rFonts w:hint="eastAsia" w:ascii="宋体" w:hAnsi="宋体" w:eastAsia="宋体" w:cs="宋体"/>
          <w:color w:val="auto"/>
          <w:sz w:val="32"/>
          <w:szCs w:val="32"/>
          <w:highlight w:val="none"/>
        </w:rPr>
      </w:pPr>
      <w:r>
        <w:rPr>
          <w:rFonts w:hint="eastAsia" w:ascii="宋体" w:hAnsi="宋体" w:eastAsia="宋体" w:cs="宋体"/>
          <w:b/>
          <w:color w:val="auto"/>
          <w:sz w:val="32"/>
          <w:highlight w:val="none"/>
        </w:rPr>
        <w:t>1、磋商声明书</w:t>
      </w:r>
    </w:p>
    <w:p w14:paraId="249E54A8">
      <w:pPr>
        <w:pStyle w:val="23"/>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3B23FE57">
      <w:pPr>
        <w:pStyle w:val="23"/>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供应商名称</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47CCA4">
      <w:pPr>
        <w:pStyle w:val="23"/>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负责人名字</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供应商名称</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的负责人，我方愿意参加贵方组织的</w:t>
      </w:r>
      <w:r>
        <w:rPr>
          <w:rFonts w:hint="eastAsia" w:ascii="宋体" w:hAnsi="宋体" w:eastAsia="宋体" w:cs="宋体"/>
          <w:color w:val="auto"/>
          <w:sz w:val="24"/>
          <w:szCs w:val="24"/>
          <w:highlight w:val="none"/>
          <w:u w:val="single"/>
        </w:rPr>
        <w:t xml:space="preserve">   （项目名称）（采购编号：   ）</w:t>
      </w:r>
      <w:r>
        <w:rPr>
          <w:rFonts w:hint="eastAsia" w:ascii="宋体" w:hAnsi="宋体" w:eastAsia="宋体" w:cs="宋体"/>
          <w:color w:val="auto"/>
          <w:sz w:val="24"/>
          <w:szCs w:val="24"/>
          <w:highlight w:val="none"/>
        </w:rPr>
        <w:t>的竞争性磋商。为便于贵方公正、</w:t>
      </w:r>
      <w:r>
        <w:rPr>
          <w:rFonts w:hint="eastAsia" w:hAnsi="宋体" w:cs="宋体"/>
          <w:color w:val="auto"/>
          <w:sz w:val="24"/>
          <w:szCs w:val="24"/>
          <w:highlight w:val="none"/>
          <w:lang w:eastAsia="zh-CN"/>
        </w:rPr>
        <w:t>择优地确定</w:t>
      </w:r>
      <w:r>
        <w:rPr>
          <w:rFonts w:hint="eastAsia" w:ascii="宋体" w:hAnsi="宋体" w:eastAsia="宋体" w:cs="宋体"/>
          <w:color w:val="auto"/>
          <w:sz w:val="24"/>
          <w:szCs w:val="24"/>
          <w:highlight w:val="none"/>
        </w:rPr>
        <w:t>成交人以及磋商产品和服务，我方就本次磋商有关事项郑重承诺如下：</w:t>
      </w:r>
    </w:p>
    <w:p w14:paraId="6344640B">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88B0CA5">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中华人民共和国政府采购法实施条例》中规定的参加政府采购活动的供应商应当具备的条件，并真实提供相关材料。</w:t>
      </w:r>
    </w:p>
    <w:p w14:paraId="69138BB0">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3、提供供应商须知规定的全部响应文件，包括：</w:t>
      </w:r>
    </w:p>
    <w:p w14:paraId="6DC0985C">
      <w:pPr>
        <w:pStyle w:val="87"/>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①电子响应文件；</w:t>
      </w:r>
    </w:p>
    <w:p w14:paraId="6199874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②备份响应文件（注：是否提交由供应商自行决定，如不提交，本条可删除）。</w:t>
      </w:r>
    </w:p>
    <w:p w14:paraId="6750C8C9">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4、如果我方成交，将派出</w:t>
      </w:r>
      <w:r>
        <w:rPr>
          <w:rFonts w:hint="eastAsia" w:ascii="宋体" w:hAnsi="宋体" w:eastAsia="宋体" w:cs="宋体"/>
          <w:color w:val="auto"/>
          <w:sz w:val="24"/>
          <w:szCs w:val="24"/>
          <w:highlight w:val="none"/>
          <w:u w:val="single"/>
        </w:rPr>
        <w:t xml:space="preserve">  （姓名及身份证号码）  </w:t>
      </w:r>
      <w:r>
        <w:rPr>
          <w:rFonts w:hint="eastAsia" w:ascii="宋体" w:hAnsi="宋体" w:eastAsia="宋体" w:cs="宋体"/>
          <w:color w:val="auto"/>
          <w:sz w:val="24"/>
          <w:szCs w:val="24"/>
          <w:highlight w:val="none"/>
        </w:rPr>
        <w:t>，作为本项目与采购单位联系的项目实施负责人，联系手机号码：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在项目实施过程中，并承诺项目实施负责人不更换，若确需更换的，书面征得采购人同意后才准予更换。</w:t>
      </w:r>
    </w:p>
    <w:p w14:paraId="7E576B1F">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5、我方的磋商有效期</w:t>
      </w:r>
      <w:r>
        <w:rPr>
          <w:rFonts w:hint="eastAsia" w:hAnsi="宋体" w:cs="宋体"/>
          <w:color w:val="auto"/>
          <w:sz w:val="24"/>
          <w:szCs w:val="24"/>
          <w:highlight w:val="none"/>
          <w:lang w:eastAsia="zh-CN"/>
        </w:rPr>
        <w:t>自</w:t>
      </w:r>
      <w:r>
        <w:rPr>
          <w:rFonts w:hint="eastAsia" w:ascii="宋体" w:hAnsi="宋体" w:eastAsia="宋体" w:cs="宋体"/>
          <w:color w:val="auto"/>
          <w:sz w:val="24"/>
          <w:szCs w:val="24"/>
          <w:highlight w:val="none"/>
        </w:rPr>
        <w:t>提交响应文件截止之日起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w:t>
      </w:r>
    </w:p>
    <w:p w14:paraId="4309B616">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6、我方在磋商之前已经与贵方进行了充分的沟通，完全理解并接受磋商文件的各项规定和要求，对磋商文件的合理性、合法性不再有异议。</w:t>
      </w:r>
    </w:p>
    <w:p w14:paraId="7B2884F7">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我方愿意向贵方提供真实完整的任何与该项磋商有关的数据、情况和技术资料。若贵方需要，我方愿意提供我方</w:t>
      </w:r>
      <w:r>
        <w:rPr>
          <w:rFonts w:hint="eastAsia" w:hAnsi="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47AA97DD">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7、我方已详阅全部磋商文件内容，包括磋商文件的澄清或修改文件（如有）、参考资料及有关附件，已经了解我方对于磋商文件、采购过程、采购结果有依法进行询问、质疑、投诉的权利及相关渠道和要求。</w:t>
      </w:r>
    </w:p>
    <w:p w14:paraId="4E5A94C0">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8、我方不是采购人的附属机构，并未为本项目提供整体设计、规范编制或者项目管理、监理、监测等服务。</w:t>
      </w:r>
    </w:p>
    <w:p w14:paraId="04801E0B">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211F1FF">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（一）提供虚假材料谋取成交的；</w:t>
      </w:r>
    </w:p>
    <w:p w14:paraId="2C750185">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14:paraId="5E2E9551">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w:t>
      </w:r>
      <w:r>
        <w:rPr>
          <w:rFonts w:hint="eastAsia" w:hAnsi="宋体" w:cs="宋体"/>
          <w:color w:val="auto"/>
          <w:sz w:val="24"/>
          <w:szCs w:val="24"/>
          <w:highlight w:val="none"/>
          <w:lang w:eastAsia="zh-CN"/>
        </w:rPr>
        <w:t>其他</w:t>
      </w:r>
      <w:r>
        <w:rPr>
          <w:rFonts w:hint="eastAsia" w:ascii="宋体" w:hAnsi="宋体" w:eastAsia="宋体" w:cs="宋体"/>
          <w:color w:val="auto"/>
          <w:sz w:val="24"/>
          <w:szCs w:val="24"/>
          <w:highlight w:val="none"/>
        </w:rPr>
        <w:t>供应商或者采购代理机构恶意串通的；</w:t>
      </w:r>
    </w:p>
    <w:p w14:paraId="7FE45F3B">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14:paraId="5EB7C61A">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（五）在磋商采购过程中与采购人进行协商谈判的；</w:t>
      </w:r>
    </w:p>
    <w:p w14:paraId="39BF7F2E">
      <w:pPr>
        <w:pStyle w:val="23"/>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（六）拒绝有关部门监督检查或提供虚假情况的。</w:t>
      </w:r>
    </w:p>
    <w:p w14:paraId="659D04C2">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10、如成交，本响应文件至本项目合同履行完毕止均保持有效，我方将按磋商文件及政府采购</w:t>
      </w:r>
      <w:r>
        <w:rPr>
          <w:rFonts w:hint="eastAsia" w:hAnsi="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14:paraId="4DFE6F44">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11、以上事项如有虚假或隐瞒，我方愿意承担一切不利后果，并不再寻求任何旨在减轻或免除法律责任。</w:t>
      </w:r>
    </w:p>
    <w:p w14:paraId="536AFBD2">
      <w:pPr>
        <w:pStyle w:val="23"/>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与本次磋商有关的一切正式往来信函请寄：</w:t>
      </w:r>
    </w:p>
    <w:p w14:paraId="4E2B0624">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038AECDA">
      <w:pPr>
        <w:pStyle w:val="23"/>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2837A610">
      <w:pPr>
        <w:pStyle w:val="23"/>
        <w:widowControl w:val="0"/>
        <w:spacing w:line="500" w:lineRule="exact"/>
        <w:ind w:firstLine="480" w:firstLineChars="200"/>
        <w:rPr>
          <w:rFonts w:hint="eastAsia" w:ascii="宋体" w:hAnsi="宋体" w:eastAsia="宋体" w:cs="宋体"/>
          <w:color w:val="auto"/>
          <w:sz w:val="24"/>
          <w:szCs w:val="24"/>
          <w:highlight w:val="none"/>
        </w:rPr>
      </w:pPr>
    </w:p>
    <w:p w14:paraId="49DEBEE0">
      <w:pPr>
        <w:rPr>
          <w:rFonts w:hint="eastAsia" w:ascii="宋体" w:hAnsi="宋体" w:eastAsia="宋体" w:cs="宋体"/>
          <w:color w:val="auto"/>
          <w:sz w:val="24"/>
          <w:szCs w:val="24"/>
          <w:highlight w:val="none"/>
        </w:rPr>
      </w:pPr>
    </w:p>
    <w:p w14:paraId="7630065C">
      <w:pPr>
        <w:pStyle w:val="23"/>
        <w:widowControl w:val="0"/>
        <w:spacing w:line="500" w:lineRule="exact"/>
        <w:ind w:firstLine="2640" w:firstLineChars="1100"/>
        <w:rPr>
          <w:rFonts w:hint="eastAsia" w:ascii="宋体" w:hAnsi="宋体" w:eastAsia="宋体" w:cs="宋体"/>
          <w:color w:val="auto"/>
          <w:sz w:val="24"/>
          <w:szCs w:val="24"/>
          <w:highlight w:val="none"/>
        </w:rPr>
      </w:pPr>
      <w:bookmarkStart w:id="158" w:name="_Toc15813264"/>
      <w:bookmarkStart w:id="159" w:name="_Toc15805947"/>
      <w:bookmarkStart w:id="160" w:name="_Toc45506741"/>
      <w:bookmarkStart w:id="161" w:name="_Toc47756042"/>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14:paraId="0FE5E2B1">
      <w:pPr>
        <w:pStyle w:val="23"/>
        <w:widowControl w:val="0"/>
        <w:spacing w:line="50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DBE58AA">
      <w:pPr>
        <w:pStyle w:val="23"/>
        <w:widowControl w:val="0"/>
        <w:spacing w:line="500" w:lineRule="exact"/>
        <w:rPr>
          <w:rFonts w:hint="eastAsia" w:ascii="宋体" w:hAnsi="宋体" w:eastAsia="宋体" w:cs="宋体"/>
          <w:color w:val="auto"/>
          <w:sz w:val="24"/>
          <w:szCs w:val="24"/>
          <w:highlight w:val="none"/>
        </w:rPr>
      </w:pPr>
    </w:p>
    <w:p w14:paraId="0540E3C8">
      <w:pPr>
        <w:pStyle w:val="23"/>
        <w:widowControl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注：▲按照本声明书要求填报。</w:t>
      </w:r>
    </w:p>
    <w:p w14:paraId="66709F17">
      <w:pPr>
        <w:pStyle w:val="23"/>
        <w:widowControl w:val="0"/>
        <w:spacing w:line="500" w:lineRule="exact"/>
        <w:ind w:firstLine="3080" w:firstLineChars="1100"/>
        <w:rPr>
          <w:rFonts w:hint="eastAsia" w:ascii="宋体" w:hAnsi="宋体" w:eastAsia="宋体" w:cs="宋体"/>
          <w:color w:val="auto"/>
          <w:spacing w:val="20"/>
          <w:sz w:val="24"/>
          <w:szCs w:val="24"/>
          <w:highlight w:val="none"/>
        </w:rPr>
      </w:pPr>
    </w:p>
    <w:p w14:paraId="41FB2F7F">
      <w:pPr>
        <w:pStyle w:val="23"/>
        <w:widowControl w:val="0"/>
        <w:spacing w:line="500" w:lineRule="exact"/>
        <w:ind w:firstLine="3080" w:firstLineChars="1100"/>
        <w:rPr>
          <w:rFonts w:hint="eastAsia" w:ascii="宋体" w:hAnsi="宋体" w:eastAsia="宋体" w:cs="宋体"/>
          <w:color w:val="auto"/>
          <w:spacing w:val="20"/>
          <w:sz w:val="24"/>
          <w:szCs w:val="24"/>
          <w:highlight w:val="none"/>
        </w:rPr>
      </w:pPr>
    </w:p>
    <w:p w14:paraId="6077B173">
      <w:pPr>
        <w:spacing w:line="500" w:lineRule="exact"/>
        <w:rPr>
          <w:rFonts w:hint="eastAsia" w:ascii="宋体" w:hAnsi="宋体" w:eastAsia="宋体" w:cs="宋体"/>
          <w:color w:val="auto"/>
          <w:spacing w:val="20"/>
          <w:sz w:val="24"/>
          <w:szCs w:val="24"/>
          <w:highlight w:val="none"/>
          <w:u w:val="single"/>
        </w:rPr>
      </w:pPr>
    </w:p>
    <w:p w14:paraId="20E1CF10">
      <w:pPr>
        <w:pStyle w:val="23"/>
        <w:widowControl w:val="0"/>
        <w:spacing w:line="360" w:lineRule="auto"/>
        <w:ind w:left="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2、供应商磋商申请表</w:t>
      </w:r>
    </w:p>
    <w:tbl>
      <w:tblPr>
        <w:tblStyle w:val="40"/>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4"/>
        <w:gridCol w:w="508"/>
        <w:gridCol w:w="1015"/>
        <w:gridCol w:w="1539"/>
        <w:gridCol w:w="3023"/>
      </w:tblGrid>
      <w:tr w14:paraId="4039C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restart"/>
            <w:tcBorders>
              <w:top w:val="single" w:color="auto" w:sz="4" w:space="0"/>
              <w:left w:val="single" w:color="auto" w:sz="4" w:space="0"/>
              <w:right w:val="single" w:color="auto" w:sz="4" w:space="0"/>
            </w:tcBorders>
            <w:vAlign w:val="center"/>
          </w:tcPr>
          <w:p w14:paraId="2017949E">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w:t>
            </w:r>
          </w:p>
          <w:p w14:paraId="4CAC5137">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信用代码</w:t>
            </w:r>
          </w:p>
        </w:tc>
        <w:tc>
          <w:tcPr>
            <w:tcW w:w="2807" w:type="dxa"/>
            <w:gridSpan w:val="3"/>
            <w:vMerge w:val="restart"/>
            <w:tcBorders>
              <w:top w:val="single" w:color="auto" w:sz="4" w:space="0"/>
              <w:left w:val="single" w:color="auto" w:sz="4" w:space="0"/>
              <w:right w:val="single" w:color="auto" w:sz="4" w:space="0"/>
            </w:tcBorders>
            <w:vAlign w:val="center"/>
          </w:tcPr>
          <w:p w14:paraId="3D2A3A51">
            <w:pPr>
              <w:pStyle w:val="104"/>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7AF2F1EF">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3023" w:type="dxa"/>
            <w:tcBorders>
              <w:top w:val="single" w:color="auto" w:sz="4" w:space="0"/>
              <w:left w:val="single" w:color="auto" w:sz="4" w:space="0"/>
              <w:bottom w:val="single" w:color="auto" w:sz="4" w:space="0"/>
              <w:right w:val="single" w:color="auto" w:sz="4" w:space="0"/>
            </w:tcBorders>
            <w:vAlign w:val="center"/>
          </w:tcPr>
          <w:p w14:paraId="15FD2BEB">
            <w:pPr>
              <w:pStyle w:val="104"/>
              <w:jc w:val="center"/>
              <w:rPr>
                <w:rFonts w:hint="eastAsia" w:ascii="宋体" w:hAnsi="宋体" w:eastAsia="宋体" w:cs="宋体"/>
                <w:color w:val="auto"/>
                <w:szCs w:val="21"/>
                <w:highlight w:val="none"/>
              </w:rPr>
            </w:pPr>
          </w:p>
        </w:tc>
      </w:tr>
      <w:tr w14:paraId="1463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vMerge w:val="continue"/>
            <w:tcBorders>
              <w:left w:val="single" w:color="auto" w:sz="4" w:space="0"/>
              <w:bottom w:val="single" w:color="auto" w:sz="4" w:space="0"/>
              <w:right w:val="single" w:color="auto" w:sz="4" w:space="0"/>
            </w:tcBorders>
            <w:vAlign w:val="center"/>
          </w:tcPr>
          <w:p w14:paraId="3F4C8048">
            <w:pPr>
              <w:pStyle w:val="104"/>
              <w:jc w:val="left"/>
              <w:rPr>
                <w:rFonts w:hint="eastAsia" w:ascii="宋体" w:hAnsi="宋体" w:eastAsia="宋体" w:cs="宋体"/>
                <w:color w:val="auto"/>
                <w:szCs w:val="21"/>
                <w:highlight w:val="none"/>
              </w:rPr>
            </w:pPr>
          </w:p>
        </w:tc>
        <w:tc>
          <w:tcPr>
            <w:tcW w:w="2807" w:type="dxa"/>
            <w:gridSpan w:val="3"/>
            <w:vMerge w:val="continue"/>
            <w:tcBorders>
              <w:left w:val="single" w:color="auto" w:sz="4" w:space="0"/>
              <w:bottom w:val="single" w:color="auto" w:sz="4" w:space="0"/>
              <w:right w:val="single" w:color="auto" w:sz="4" w:space="0"/>
            </w:tcBorders>
            <w:vAlign w:val="center"/>
          </w:tcPr>
          <w:p w14:paraId="12DB3A3C">
            <w:pPr>
              <w:pStyle w:val="104"/>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1EB87D54">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p>
        </w:tc>
        <w:tc>
          <w:tcPr>
            <w:tcW w:w="3023" w:type="dxa"/>
            <w:tcBorders>
              <w:top w:val="single" w:color="auto" w:sz="4" w:space="0"/>
              <w:left w:val="single" w:color="auto" w:sz="4" w:space="0"/>
              <w:bottom w:val="single" w:color="auto" w:sz="4" w:space="0"/>
              <w:right w:val="single" w:color="auto" w:sz="4" w:space="0"/>
            </w:tcBorders>
            <w:vAlign w:val="center"/>
          </w:tcPr>
          <w:p w14:paraId="3AF7D652">
            <w:pPr>
              <w:pStyle w:val="104"/>
              <w:jc w:val="center"/>
              <w:rPr>
                <w:rFonts w:hint="eastAsia" w:ascii="宋体" w:hAnsi="宋体" w:eastAsia="宋体" w:cs="宋体"/>
                <w:color w:val="auto"/>
                <w:szCs w:val="21"/>
                <w:highlight w:val="none"/>
              </w:rPr>
            </w:pPr>
          </w:p>
        </w:tc>
      </w:tr>
      <w:tr w14:paraId="57918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14:paraId="6C6DA1AB">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2807" w:type="dxa"/>
            <w:gridSpan w:val="3"/>
            <w:tcBorders>
              <w:top w:val="single" w:color="auto" w:sz="4" w:space="0"/>
              <w:left w:val="single" w:color="auto" w:sz="4" w:space="0"/>
              <w:bottom w:val="single" w:color="auto" w:sz="4" w:space="0"/>
              <w:right w:val="single" w:color="auto" w:sz="4" w:space="0"/>
            </w:tcBorders>
            <w:vAlign w:val="center"/>
          </w:tcPr>
          <w:p w14:paraId="30656117">
            <w:pPr>
              <w:pStyle w:val="104"/>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7CD8A81D">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023" w:type="dxa"/>
            <w:tcBorders>
              <w:top w:val="single" w:color="auto" w:sz="4" w:space="0"/>
              <w:left w:val="single" w:color="auto" w:sz="4" w:space="0"/>
              <w:bottom w:val="single" w:color="auto" w:sz="4" w:space="0"/>
              <w:right w:val="single" w:color="auto" w:sz="4" w:space="0"/>
            </w:tcBorders>
            <w:vAlign w:val="center"/>
          </w:tcPr>
          <w:p w14:paraId="17805595">
            <w:pPr>
              <w:pStyle w:val="104"/>
              <w:jc w:val="center"/>
              <w:rPr>
                <w:rFonts w:hint="eastAsia" w:ascii="宋体" w:hAnsi="宋体" w:eastAsia="宋体" w:cs="宋体"/>
                <w:color w:val="auto"/>
                <w:szCs w:val="21"/>
                <w:highlight w:val="none"/>
              </w:rPr>
            </w:pPr>
          </w:p>
        </w:tc>
      </w:tr>
      <w:tr w14:paraId="5C58E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2" w:type="dxa"/>
            <w:gridSpan w:val="3"/>
            <w:tcBorders>
              <w:top w:val="single" w:color="auto" w:sz="4" w:space="0"/>
              <w:left w:val="single" w:color="auto" w:sz="4" w:space="0"/>
              <w:bottom w:val="single" w:color="auto" w:sz="4" w:space="0"/>
              <w:right w:val="single" w:color="auto" w:sz="4" w:space="0"/>
            </w:tcBorders>
            <w:vAlign w:val="center"/>
          </w:tcPr>
          <w:p w14:paraId="22C3712A">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供应商网址</w:t>
            </w:r>
          </w:p>
        </w:tc>
        <w:tc>
          <w:tcPr>
            <w:tcW w:w="2807" w:type="dxa"/>
            <w:gridSpan w:val="3"/>
            <w:tcBorders>
              <w:top w:val="single" w:color="auto" w:sz="4" w:space="0"/>
              <w:left w:val="single" w:color="auto" w:sz="4" w:space="0"/>
              <w:bottom w:val="single" w:color="auto" w:sz="4" w:space="0"/>
              <w:right w:val="single" w:color="auto" w:sz="4" w:space="0"/>
            </w:tcBorders>
            <w:vAlign w:val="center"/>
          </w:tcPr>
          <w:p w14:paraId="1ED9C35C">
            <w:pPr>
              <w:pStyle w:val="104"/>
              <w:jc w:val="left"/>
              <w:rPr>
                <w:rFonts w:hint="eastAsia" w:ascii="宋体" w:hAnsi="宋体" w:eastAsia="宋体" w:cs="宋体"/>
                <w:color w:val="auto"/>
                <w:szCs w:val="21"/>
                <w:highlight w:val="none"/>
              </w:rPr>
            </w:pPr>
          </w:p>
        </w:tc>
        <w:tc>
          <w:tcPr>
            <w:tcW w:w="1539" w:type="dxa"/>
            <w:tcBorders>
              <w:top w:val="single" w:color="auto" w:sz="4" w:space="0"/>
              <w:left w:val="single" w:color="auto" w:sz="4" w:space="0"/>
              <w:bottom w:val="single" w:color="auto" w:sz="4" w:space="0"/>
              <w:right w:val="single" w:color="auto" w:sz="4" w:space="0"/>
            </w:tcBorders>
            <w:vAlign w:val="center"/>
          </w:tcPr>
          <w:p w14:paraId="6024706A">
            <w:pPr>
              <w:pStyle w:val="1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tc>
        <w:tc>
          <w:tcPr>
            <w:tcW w:w="3023" w:type="dxa"/>
            <w:tcBorders>
              <w:top w:val="single" w:color="auto" w:sz="4" w:space="0"/>
              <w:left w:val="single" w:color="auto" w:sz="4" w:space="0"/>
              <w:bottom w:val="single" w:color="auto" w:sz="4" w:space="0"/>
              <w:right w:val="single" w:color="auto" w:sz="4" w:space="0"/>
            </w:tcBorders>
            <w:vAlign w:val="center"/>
          </w:tcPr>
          <w:p w14:paraId="2F3D4E92">
            <w:pPr>
              <w:pStyle w:val="104"/>
              <w:jc w:val="center"/>
              <w:rPr>
                <w:rFonts w:hint="eastAsia" w:ascii="宋体" w:hAnsi="宋体" w:eastAsia="宋体" w:cs="宋体"/>
                <w:color w:val="auto"/>
                <w:szCs w:val="21"/>
                <w:highlight w:val="none"/>
              </w:rPr>
            </w:pPr>
          </w:p>
        </w:tc>
      </w:tr>
      <w:tr w14:paraId="0944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2FA2F168">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14:paraId="02827FA4">
            <w:pPr>
              <w:pStyle w:val="104"/>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50B7C17E">
            <w:pPr>
              <w:pStyle w:val="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14:paraId="2C9BD568">
            <w:pPr>
              <w:pStyle w:val="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3B416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313CAEDB">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685" w:type="dxa"/>
            <w:gridSpan w:val="2"/>
            <w:tcBorders>
              <w:top w:val="single" w:color="auto" w:sz="4" w:space="0"/>
              <w:left w:val="single" w:color="auto" w:sz="4" w:space="0"/>
              <w:bottom w:val="single" w:color="auto" w:sz="4" w:space="0"/>
              <w:right w:val="single" w:color="auto" w:sz="4" w:space="0"/>
            </w:tcBorders>
            <w:vAlign w:val="center"/>
          </w:tcPr>
          <w:p w14:paraId="5C308651">
            <w:pPr>
              <w:pStyle w:val="104"/>
              <w:jc w:val="center"/>
              <w:rPr>
                <w:rFonts w:hint="eastAsia" w:ascii="宋体" w:hAnsi="宋体" w:eastAsia="宋体" w:cs="宋体"/>
                <w:color w:val="auto"/>
                <w:szCs w:val="21"/>
                <w:highlight w:val="none"/>
              </w:rPr>
            </w:pP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527FAF94">
            <w:pPr>
              <w:pStyle w:val="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023" w:type="dxa"/>
            <w:tcBorders>
              <w:top w:val="single" w:color="auto" w:sz="4" w:space="0"/>
              <w:left w:val="single" w:color="auto" w:sz="4" w:space="0"/>
              <w:bottom w:val="single" w:color="auto" w:sz="4" w:space="0"/>
              <w:right w:val="single" w:color="auto" w:sz="4" w:space="0"/>
            </w:tcBorders>
            <w:vAlign w:val="center"/>
          </w:tcPr>
          <w:p w14:paraId="03A86D06">
            <w:pPr>
              <w:pStyle w:val="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58C8F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1E33715D">
            <w:pPr>
              <w:pStyle w:val="104"/>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14:paraId="4D5DC130">
            <w:pPr>
              <w:pStyle w:val="104"/>
              <w:jc w:val="center"/>
              <w:rPr>
                <w:rFonts w:hint="eastAsia" w:ascii="宋体" w:hAnsi="宋体" w:eastAsia="宋体" w:cs="宋体"/>
                <w:color w:val="auto"/>
                <w:szCs w:val="21"/>
                <w:highlight w:val="none"/>
              </w:rPr>
            </w:pPr>
          </w:p>
        </w:tc>
      </w:tr>
      <w:tr w14:paraId="4215F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1" w:type="dxa"/>
            <w:gridSpan w:val="2"/>
            <w:tcBorders>
              <w:top w:val="single" w:color="auto" w:sz="4" w:space="0"/>
              <w:left w:val="single" w:color="auto" w:sz="4" w:space="0"/>
              <w:bottom w:val="single" w:color="auto" w:sz="4" w:space="0"/>
              <w:right w:val="single" w:color="auto" w:sz="4" w:space="0"/>
            </w:tcBorders>
            <w:vAlign w:val="center"/>
          </w:tcPr>
          <w:p w14:paraId="5C07DBC6">
            <w:pPr>
              <w:pStyle w:val="104"/>
              <w:ind w:left="-109" w:leftChars="-52" w:right="-113" w:rightChars="-5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兼营项目</w:t>
            </w:r>
          </w:p>
        </w:tc>
        <w:tc>
          <w:tcPr>
            <w:tcW w:w="7770" w:type="dxa"/>
            <w:gridSpan w:val="6"/>
            <w:tcBorders>
              <w:top w:val="single" w:color="auto" w:sz="4" w:space="0"/>
              <w:left w:val="single" w:color="auto" w:sz="4" w:space="0"/>
              <w:bottom w:val="single" w:color="auto" w:sz="4" w:space="0"/>
              <w:right w:val="single" w:color="auto" w:sz="4" w:space="0"/>
            </w:tcBorders>
            <w:vAlign w:val="center"/>
          </w:tcPr>
          <w:p w14:paraId="466124C4">
            <w:pPr>
              <w:pStyle w:val="104"/>
              <w:jc w:val="center"/>
              <w:rPr>
                <w:rFonts w:hint="eastAsia" w:ascii="宋体" w:hAnsi="宋体" w:eastAsia="宋体" w:cs="宋体"/>
                <w:color w:val="auto"/>
                <w:szCs w:val="21"/>
                <w:highlight w:val="none"/>
              </w:rPr>
            </w:pPr>
          </w:p>
        </w:tc>
      </w:tr>
      <w:tr w14:paraId="613D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71" w:type="dxa"/>
            <w:gridSpan w:val="8"/>
            <w:tcBorders>
              <w:top w:val="single" w:color="auto" w:sz="4" w:space="0"/>
              <w:left w:val="single" w:color="auto" w:sz="4" w:space="0"/>
              <w:bottom w:val="single" w:color="auto" w:sz="4" w:space="0"/>
              <w:right w:val="single" w:color="auto" w:sz="4" w:space="0"/>
            </w:tcBorders>
            <w:vAlign w:val="center"/>
          </w:tcPr>
          <w:p w14:paraId="40EF5185">
            <w:pPr>
              <w:pStyle w:val="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本单位申请参加下列采购项目的磋商：</w:t>
            </w:r>
          </w:p>
        </w:tc>
      </w:tr>
      <w:tr w14:paraId="2FFCD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l2br w:val="single" w:color="auto" w:sz="4" w:space="0"/>
            </w:tcBorders>
            <w:vAlign w:val="center"/>
          </w:tcPr>
          <w:p w14:paraId="39A08BBC">
            <w:pPr>
              <w:pStyle w:val="104"/>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32ED4881">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2155684F">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023" w:type="dxa"/>
            <w:tcBorders>
              <w:top w:val="single" w:color="auto" w:sz="4" w:space="0"/>
              <w:left w:val="single" w:color="auto" w:sz="4" w:space="0"/>
              <w:bottom w:val="single" w:color="auto" w:sz="4" w:space="0"/>
              <w:right w:val="single" w:color="auto" w:sz="4" w:space="0"/>
            </w:tcBorders>
            <w:vAlign w:val="center"/>
          </w:tcPr>
          <w:p w14:paraId="467CB74A">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3023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50DF07C0">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708CED06">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76CD9FBB">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3EBD9C0D">
            <w:pPr>
              <w:pStyle w:val="104"/>
              <w:jc w:val="center"/>
              <w:rPr>
                <w:rFonts w:hint="eastAsia" w:ascii="宋体" w:hAnsi="宋体" w:eastAsia="宋体" w:cs="宋体"/>
                <w:color w:val="auto"/>
                <w:szCs w:val="21"/>
                <w:highlight w:val="none"/>
              </w:rPr>
            </w:pPr>
          </w:p>
        </w:tc>
      </w:tr>
      <w:tr w14:paraId="5223B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6F24B2C">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1851C5FD">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6729E309">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466F17CD">
            <w:pPr>
              <w:pStyle w:val="104"/>
              <w:jc w:val="center"/>
              <w:rPr>
                <w:rFonts w:hint="eastAsia" w:ascii="宋体" w:hAnsi="宋体" w:eastAsia="宋体" w:cs="宋体"/>
                <w:color w:val="auto"/>
                <w:szCs w:val="21"/>
                <w:highlight w:val="none"/>
              </w:rPr>
            </w:pPr>
          </w:p>
        </w:tc>
      </w:tr>
      <w:tr w14:paraId="41920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DB4379A">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6936014E">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7D4C68AC">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7FA0BF7B">
            <w:pPr>
              <w:pStyle w:val="104"/>
              <w:jc w:val="center"/>
              <w:rPr>
                <w:rFonts w:hint="eastAsia" w:ascii="宋体" w:hAnsi="宋体" w:eastAsia="宋体" w:cs="宋体"/>
                <w:color w:val="auto"/>
                <w:szCs w:val="21"/>
                <w:highlight w:val="none"/>
              </w:rPr>
            </w:pPr>
          </w:p>
        </w:tc>
      </w:tr>
      <w:tr w14:paraId="6172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2CC70C7">
            <w:pPr>
              <w:pStyle w:val="104"/>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53FFB352">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0829E68C">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7AA9CAEF">
            <w:pPr>
              <w:pStyle w:val="104"/>
              <w:jc w:val="center"/>
              <w:rPr>
                <w:rFonts w:hint="eastAsia" w:ascii="宋体" w:hAnsi="宋体" w:eastAsia="宋体" w:cs="宋体"/>
                <w:color w:val="auto"/>
                <w:szCs w:val="21"/>
                <w:highlight w:val="none"/>
              </w:rPr>
            </w:pPr>
          </w:p>
        </w:tc>
      </w:tr>
      <w:tr w14:paraId="57D18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1B9C41FD">
            <w:pPr>
              <w:pStyle w:val="104"/>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1E84894D">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017C6FE7">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0EBA6691">
            <w:pPr>
              <w:pStyle w:val="104"/>
              <w:jc w:val="center"/>
              <w:rPr>
                <w:rFonts w:hint="eastAsia" w:ascii="宋体" w:hAnsi="宋体" w:eastAsia="宋体" w:cs="宋体"/>
                <w:color w:val="auto"/>
                <w:szCs w:val="21"/>
                <w:highlight w:val="none"/>
              </w:rPr>
            </w:pPr>
          </w:p>
        </w:tc>
      </w:tr>
      <w:tr w14:paraId="694EB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5D2B68E0">
            <w:pPr>
              <w:pStyle w:val="104"/>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0557673D">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7ECC5E71">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5CC096E6">
            <w:pPr>
              <w:pStyle w:val="104"/>
              <w:jc w:val="center"/>
              <w:rPr>
                <w:rFonts w:hint="eastAsia" w:ascii="宋体" w:hAnsi="宋体" w:eastAsia="宋体" w:cs="宋体"/>
                <w:color w:val="auto"/>
                <w:szCs w:val="21"/>
                <w:highlight w:val="none"/>
              </w:rPr>
            </w:pPr>
          </w:p>
        </w:tc>
      </w:tr>
      <w:tr w14:paraId="1AE67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45FBB461">
            <w:pPr>
              <w:pStyle w:val="104"/>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08869CD5">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5C8BAFB2">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445F6800">
            <w:pPr>
              <w:pStyle w:val="104"/>
              <w:jc w:val="center"/>
              <w:rPr>
                <w:rFonts w:hint="eastAsia" w:ascii="宋体" w:hAnsi="宋体" w:eastAsia="宋体" w:cs="宋体"/>
                <w:color w:val="auto"/>
                <w:szCs w:val="21"/>
                <w:highlight w:val="none"/>
              </w:rPr>
            </w:pPr>
          </w:p>
        </w:tc>
      </w:tr>
      <w:tr w14:paraId="2EF5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14:paraId="30412864">
            <w:pPr>
              <w:pStyle w:val="104"/>
              <w:jc w:val="center"/>
              <w:rPr>
                <w:rFonts w:hint="eastAsia" w:ascii="宋体" w:hAnsi="宋体" w:eastAsia="宋体" w:cs="宋体"/>
                <w:color w:val="auto"/>
                <w:szCs w:val="21"/>
                <w:highlight w:val="none"/>
              </w:rPr>
            </w:pPr>
          </w:p>
        </w:tc>
        <w:tc>
          <w:tcPr>
            <w:tcW w:w="2541" w:type="dxa"/>
            <w:gridSpan w:val="4"/>
            <w:tcBorders>
              <w:top w:val="single" w:color="auto" w:sz="4" w:space="0"/>
              <w:left w:val="single" w:color="auto" w:sz="4" w:space="0"/>
              <w:bottom w:val="single" w:color="auto" w:sz="4" w:space="0"/>
              <w:right w:val="single" w:color="auto" w:sz="4" w:space="0"/>
            </w:tcBorders>
            <w:vAlign w:val="center"/>
          </w:tcPr>
          <w:p w14:paraId="11C5C9BD">
            <w:pPr>
              <w:pStyle w:val="104"/>
              <w:jc w:val="center"/>
              <w:rPr>
                <w:rFonts w:hint="eastAsia" w:ascii="宋体" w:hAnsi="宋体" w:eastAsia="宋体" w:cs="宋体"/>
                <w:color w:val="auto"/>
                <w:szCs w:val="21"/>
                <w:highlight w:val="none"/>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14:paraId="68E3F44B">
            <w:pPr>
              <w:pStyle w:val="104"/>
              <w:jc w:val="center"/>
              <w:rPr>
                <w:rFonts w:hint="eastAsia" w:ascii="宋体" w:hAnsi="宋体" w:eastAsia="宋体" w:cs="宋体"/>
                <w:color w:val="auto"/>
                <w:szCs w:val="21"/>
                <w:highlight w:val="none"/>
              </w:rPr>
            </w:pPr>
          </w:p>
        </w:tc>
        <w:tc>
          <w:tcPr>
            <w:tcW w:w="3023" w:type="dxa"/>
            <w:tcBorders>
              <w:top w:val="single" w:color="auto" w:sz="4" w:space="0"/>
              <w:left w:val="single" w:color="auto" w:sz="4" w:space="0"/>
              <w:bottom w:val="single" w:color="auto" w:sz="4" w:space="0"/>
              <w:right w:val="single" w:color="auto" w:sz="4" w:space="0"/>
            </w:tcBorders>
            <w:vAlign w:val="center"/>
          </w:tcPr>
          <w:p w14:paraId="0AED26B6">
            <w:pPr>
              <w:pStyle w:val="104"/>
              <w:jc w:val="center"/>
              <w:rPr>
                <w:rFonts w:hint="eastAsia" w:ascii="宋体" w:hAnsi="宋体" w:eastAsia="宋体" w:cs="宋体"/>
                <w:color w:val="auto"/>
                <w:szCs w:val="21"/>
                <w:highlight w:val="none"/>
              </w:rPr>
            </w:pPr>
          </w:p>
        </w:tc>
      </w:tr>
    </w:tbl>
    <w:p w14:paraId="136D270F">
      <w:pPr>
        <w:pStyle w:val="81"/>
        <w:spacing w:line="360" w:lineRule="auto"/>
        <w:ind w:firstLine="4480" w:firstLineChars="1600"/>
        <w:rPr>
          <w:rFonts w:hint="eastAsia" w:ascii="宋体" w:hAnsi="宋体" w:eastAsia="宋体" w:cs="宋体"/>
          <w:color w:val="auto"/>
          <w:spacing w:val="20"/>
          <w:sz w:val="24"/>
          <w:szCs w:val="21"/>
          <w:highlight w:val="none"/>
        </w:rPr>
      </w:pPr>
    </w:p>
    <w:bookmarkEnd w:id="158"/>
    <w:bookmarkEnd w:id="159"/>
    <w:bookmarkEnd w:id="160"/>
    <w:bookmarkEnd w:id="161"/>
    <w:p w14:paraId="5AEF4018">
      <w:pPr>
        <w:spacing w:line="360" w:lineRule="auto"/>
        <w:ind w:firstLine="5880" w:firstLineChars="2100"/>
        <w:rPr>
          <w:rFonts w:hint="eastAsia" w:ascii="宋体" w:hAnsi="宋体" w:eastAsia="宋体" w:cs="宋体"/>
          <w:color w:val="auto"/>
          <w:spacing w:val="20"/>
          <w:sz w:val="24"/>
          <w:highlight w:val="none"/>
          <w:u w:val="single"/>
        </w:rPr>
      </w:pPr>
    </w:p>
    <w:p w14:paraId="18DCE29B">
      <w:pPr>
        <w:spacing w:line="360" w:lineRule="auto"/>
        <w:ind w:firstLine="5880" w:firstLineChars="2100"/>
        <w:rPr>
          <w:rFonts w:hint="eastAsia" w:ascii="宋体" w:hAnsi="宋体" w:eastAsia="宋体" w:cs="宋体"/>
          <w:color w:val="auto"/>
          <w:spacing w:val="20"/>
          <w:sz w:val="24"/>
          <w:highlight w:val="none"/>
          <w:u w:val="single"/>
        </w:rPr>
      </w:pPr>
    </w:p>
    <w:p w14:paraId="04F86011">
      <w:pPr>
        <w:pStyle w:val="103"/>
        <w:spacing w:line="52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2"/>
          <w:highlight w:val="none"/>
        </w:rPr>
        <w:br w:type="page"/>
      </w:r>
    </w:p>
    <w:p w14:paraId="2A1A6EA1">
      <w:pPr>
        <w:spacing w:line="360" w:lineRule="auto"/>
        <w:jc w:val="center"/>
        <w:rPr>
          <w:rFonts w:hint="eastAsia" w:ascii="宋体" w:hAnsi="宋体" w:eastAsia="宋体" w:cs="宋体"/>
          <w:color w:val="auto"/>
          <w:sz w:val="30"/>
          <w:highlight w:val="none"/>
        </w:rPr>
      </w:pPr>
      <w:bookmarkStart w:id="162" w:name="_Toc9790"/>
    </w:p>
    <w:p w14:paraId="56686F1F">
      <w:pPr>
        <w:spacing w:line="360" w:lineRule="auto"/>
        <w:jc w:val="center"/>
        <w:rPr>
          <w:rFonts w:hint="eastAsia" w:ascii="宋体" w:hAnsi="宋体" w:eastAsia="宋体" w:cs="宋体"/>
          <w:color w:val="auto"/>
          <w:sz w:val="30"/>
          <w:highlight w:val="none"/>
        </w:rPr>
      </w:pPr>
    </w:p>
    <w:p w14:paraId="65624162">
      <w:pPr>
        <w:spacing w:line="360" w:lineRule="auto"/>
        <w:jc w:val="center"/>
        <w:rPr>
          <w:rFonts w:hint="eastAsia" w:ascii="宋体" w:hAnsi="宋体" w:eastAsia="宋体" w:cs="宋体"/>
          <w:color w:val="auto"/>
          <w:sz w:val="30"/>
          <w:highlight w:val="none"/>
        </w:rPr>
      </w:pPr>
    </w:p>
    <w:p w14:paraId="1678B1E9">
      <w:pPr>
        <w:spacing w:line="360" w:lineRule="auto"/>
        <w:jc w:val="center"/>
        <w:rPr>
          <w:rFonts w:hint="eastAsia" w:ascii="宋体" w:hAnsi="宋体" w:eastAsia="宋体" w:cs="宋体"/>
          <w:color w:val="auto"/>
          <w:sz w:val="30"/>
          <w:highlight w:val="none"/>
        </w:rPr>
      </w:pPr>
    </w:p>
    <w:p w14:paraId="7C62C2B4">
      <w:pPr>
        <w:spacing w:line="360" w:lineRule="auto"/>
        <w:jc w:val="center"/>
        <w:rPr>
          <w:rFonts w:hint="eastAsia" w:ascii="宋体" w:hAnsi="宋体" w:eastAsia="宋体" w:cs="宋体"/>
          <w:color w:val="auto"/>
          <w:sz w:val="30"/>
          <w:highlight w:val="none"/>
        </w:rPr>
      </w:pPr>
    </w:p>
    <w:p w14:paraId="7C77A669">
      <w:pPr>
        <w:pStyle w:val="5"/>
        <w:widowControl w:val="0"/>
        <w:tabs>
          <w:tab w:val="left" w:pos="3405"/>
        </w:tabs>
        <w:ind w:left="0" w:firstLine="0"/>
        <w:jc w:val="center"/>
        <w:rPr>
          <w:rFonts w:hint="eastAsia" w:ascii="宋体" w:hAnsi="宋体" w:eastAsia="宋体" w:cs="宋体"/>
          <w:b/>
          <w:bCs/>
          <w:color w:val="auto"/>
          <w:sz w:val="44"/>
          <w:szCs w:val="24"/>
          <w:highlight w:val="none"/>
        </w:rPr>
      </w:pPr>
    </w:p>
    <w:p w14:paraId="5304DD78">
      <w:pPr>
        <w:pStyle w:val="5"/>
        <w:widowControl w:val="0"/>
        <w:tabs>
          <w:tab w:val="left" w:pos="3405"/>
        </w:tabs>
        <w:ind w:left="0" w:firstLine="0"/>
        <w:jc w:val="center"/>
        <w:rPr>
          <w:rFonts w:hint="eastAsia" w:ascii="宋体" w:hAnsi="宋体" w:eastAsia="宋体" w:cs="宋体"/>
          <w:b/>
          <w:bCs/>
          <w:color w:val="auto"/>
          <w:sz w:val="44"/>
          <w:szCs w:val="24"/>
          <w:highlight w:val="none"/>
        </w:rPr>
      </w:pPr>
    </w:p>
    <w:p w14:paraId="671D4EE4">
      <w:pPr>
        <w:pStyle w:val="5"/>
        <w:widowControl w:val="0"/>
        <w:tabs>
          <w:tab w:val="left" w:pos="3405"/>
        </w:tabs>
        <w:ind w:left="0" w:firstLine="0"/>
        <w:jc w:val="center"/>
        <w:rPr>
          <w:rFonts w:hint="eastAsia" w:ascii="宋体" w:hAnsi="宋体" w:eastAsia="宋体" w:cs="宋体"/>
          <w:b/>
          <w:bCs/>
          <w:color w:val="auto"/>
          <w:sz w:val="44"/>
          <w:szCs w:val="24"/>
          <w:highlight w:val="none"/>
        </w:rPr>
      </w:pPr>
    </w:p>
    <w:p w14:paraId="022C1A38">
      <w:pPr>
        <w:pStyle w:val="5"/>
        <w:widowControl w:val="0"/>
        <w:tabs>
          <w:tab w:val="left" w:pos="3405"/>
        </w:tabs>
        <w:ind w:left="0" w:firstLine="0"/>
        <w:jc w:val="center"/>
        <w:rPr>
          <w:rFonts w:hint="eastAsia" w:ascii="宋体" w:hAnsi="宋体" w:eastAsia="宋体" w:cs="宋体"/>
          <w:b/>
          <w:bCs/>
          <w:color w:val="auto"/>
          <w:sz w:val="44"/>
          <w:szCs w:val="24"/>
          <w:highlight w:val="none"/>
        </w:rPr>
      </w:pPr>
      <w:r>
        <w:rPr>
          <w:rFonts w:hint="eastAsia" w:ascii="宋体" w:hAnsi="宋体" w:eastAsia="宋体" w:cs="宋体"/>
          <w:b/>
          <w:bCs/>
          <w:color w:val="auto"/>
          <w:sz w:val="44"/>
          <w:szCs w:val="24"/>
          <w:highlight w:val="none"/>
        </w:rPr>
        <w:t>三  报价文件格式</w:t>
      </w:r>
      <w:bookmarkEnd w:id="162"/>
    </w:p>
    <w:p w14:paraId="7CC4591B">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p>
    <w:p w14:paraId="07C1A9DE">
      <w:pPr>
        <w:spacing w:line="360" w:lineRule="auto"/>
        <w:jc w:val="center"/>
        <w:rPr>
          <w:rFonts w:hint="eastAsia" w:ascii="宋体" w:hAnsi="宋体" w:eastAsia="宋体" w:cs="宋体"/>
          <w:color w:val="auto"/>
          <w:sz w:val="30"/>
          <w:highlight w:val="none"/>
        </w:rPr>
      </w:pPr>
    </w:p>
    <w:p w14:paraId="0EB1E285">
      <w:pPr>
        <w:spacing w:line="360" w:lineRule="auto"/>
        <w:jc w:val="center"/>
        <w:rPr>
          <w:rFonts w:hint="eastAsia" w:ascii="宋体" w:hAnsi="宋体" w:eastAsia="宋体" w:cs="宋体"/>
          <w:color w:val="auto"/>
          <w:sz w:val="30"/>
          <w:highlight w:val="none"/>
        </w:rPr>
      </w:pPr>
    </w:p>
    <w:p w14:paraId="2686B452">
      <w:pPr>
        <w:spacing w:line="360" w:lineRule="auto"/>
        <w:jc w:val="center"/>
        <w:rPr>
          <w:rFonts w:hint="eastAsia" w:ascii="宋体" w:hAnsi="宋体" w:eastAsia="宋体" w:cs="宋体"/>
          <w:color w:val="auto"/>
          <w:sz w:val="30"/>
          <w:highlight w:val="none"/>
        </w:rPr>
      </w:pPr>
    </w:p>
    <w:p w14:paraId="1C23DA66">
      <w:pPr>
        <w:spacing w:line="360" w:lineRule="auto"/>
        <w:jc w:val="center"/>
        <w:rPr>
          <w:rFonts w:hint="eastAsia" w:ascii="宋体" w:hAnsi="宋体" w:eastAsia="宋体" w:cs="宋体"/>
          <w:color w:val="auto"/>
          <w:sz w:val="30"/>
          <w:highlight w:val="none"/>
        </w:rPr>
      </w:pPr>
    </w:p>
    <w:p w14:paraId="171ED2E8">
      <w:pPr>
        <w:spacing w:line="360" w:lineRule="auto"/>
        <w:jc w:val="center"/>
        <w:rPr>
          <w:rFonts w:hint="eastAsia" w:ascii="宋体" w:hAnsi="宋体" w:eastAsia="宋体" w:cs="宋体"/>
          <w:color w:val="auto"/>
          <w:sz w:val="30"/>
          <w:highlight w:val="none"/>
        </w:rPr>
      </w:pPr>
    </w:p>
    <w:p w14:paraId="68F27B3F">
      <w:pPr>
        <w:spacing w:line="360" w:lineRule="auto"/>
        <w:jc w:val="center"/>
        <w:rPr>
          <w:rFonts w:hint="eastAsia" w:ascii="宋体" w:hAnsi="宋体" w:eastAsia="宋体" w:cs="宋体"/>
          <w:color w:val="auto"/>
          <w:sz w:val="30"/>
          <w:highlight w:val="none"/>
        </w:rPr>
      </w:pPr>
    </w:p>
    <w:p w14:paraId="4502E1B1">
      <w:pPr>
        <w:spacing w:line="360" w:lineRule="auto"/>
        <w:jc w:val="center"/>
        <w:rPr>
          <w:rFonts w:hint="eastAsia" w:ascii="宋体" w:hAnsi="宋体" w:eastAsia="宋体" w:cs="宋体"/>
          <w:color w:val="auto"/>
          <w:sz w:val="30"/>
          <w:highlight w:val="none"/>
        </w:rPr>
      </w:pPr>
    </w:p>
    <w:p w14:paraId="704FF946">
      <w:pPr>
        <w:spacing w:line="360" w:lineRule="auto"/>
        <w:jc w:val="center"/>
        <w:rPr>
          <w:rFonts w:hint="eastAsia" w:ascii="宋体" w:hAnsi="宋体" w:eastAsia="宋体" w:cs="宋体"/>
          <w:color w:val="auto"/>
          <w:sz w:val="30"/>
          <w:highlight w:val="none"/>
        </w:rPr>
      </w:pPr>
    </w:p>
    <w:p w14:paraId="7265F94C">
      <w:pPr>
        <w:spacing w:line="360" w:lineRule="auto"/>
        <w:jc w:val="center"/>
        <w:rPr>
          <w:rFonts w:hint="eastAsia" w:ascii="宋体" w:hAnsi="宋体" w:eastAsia="宋体" w:cs="宋体"/>
          <w:color w:val="auto"/>
          <w:sz w:val="30"/>
          <w:highlight w:val="none"/>
        </w:rPr>
      </w:pPr>
    </w:p>
    <w:p w14:paraId="61DB581A">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5286C0BF">
      <w:pPr>
        <w:pStyle w:val="89"/>
        <w:tabs>
          <w:tab w:val="left" w:pos="1344"/>
        </w:tabs>
        <w:autoSpaceDE w:val="0"/>
        <w:autoSpaceDN w:val="0"/>
        <w:spacing w:before="146"/>
        <w:ind w:left="0"/>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“报价文件”封面格式</w:t>
      </w:r>
    </w:p>
    <w:p w14:paraId="13A233EE">
      <w:pPr>
        <w:pStyle w:val="6"/>
        <w:widowControl w:val="0"/>
        <w:ind w:firstLine="1331" w:firstLineChars="416"/>
        <w:rPr>
          <w:rFonts w:hint="eastAsia" w:ascii="宋体" w:hAnsi="宋体" w:eastAsia="宋体" w:cs="宋体"/>
          <w:color w:val="auto"/>
          <w:sz w:val="32"/>
          <w:szCs w:val="32"/>
          <w:highlight w:val="none"/>
        </w:rPr>
      </w:pPr>
    </w:p>
    <w:p w14:paraId="730EF2DF">
      <w:pPr>
        <w:spacing w:before="509"/>
        <w:ind w:right="155"/>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14:paraId="7D52178B">
      <w:pPr>
        <w:spacing w:before="150"/>
        <w:ind w:right="154"/>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（报价文件）</w:t>
      </w:r>
    </w:p>
    <w:p w14:paraId="0674C0EA">
      <w:pPr>
        <w:pStyle w:val="15"/>
        <w:widowControl w:val="0"/>
        <w:tabs>
          <w:tab w:val="left" w:pos="208"/>
        </w:tabs>
        <w:ind w:firstLine="402"/>
        <w:rPr>
          <w:rFonts w:hint="eastAsia" w:ascii="宋体" w:hAnsi="宋体" w:eastAsia="宋体" w:cs="宋体"/>
          <w:b/>
          <w:color w:val="auto"/>
          <w:highlight w:val="none"/>
        </w:rPr>
      </w:pPr>
    </w:p>
    <w:p w14:paraId="239BD2B5">
      <w:pPr>
        <w:rPr>
          <w:rFonts w:hint="eastAsia" w:ascii="宋体" w:hAnsi="宋体" w:eastAsia="宋体" w:cs="宋体"/>
          <w:color w:val="auto"/>
          <w:highlight w:val="none"/>
        </w:rPr>
      </w:pPr>
    </w:p>
    <w:p w14:paraId="264C8CF7">
      <w:pPr>
        <w:pStyle w:val="15"/>
        <w:widowControl w:val="0"/>
        <w:tabs>
          <w:tab w:val="left" w:pos="208"/>
        </w:tabs>
        <w:spacing w:before="13"/>
        <w:ind w:firstLine="221"/>
        <w:rPr>
          <w:rFonts w:hint="eastAsia" w:ascii="宋体" w:hAnsi="宋体" w:eastAsia="宋体" w:cs="宋体"/>
          <w:b/>
          <w:color w:val="auto"/>
          <w:sz w:val="11"/>
          <w:highlight w:val="none"/>
        </w:rPr>
      </w:pPr>
    </w:p>
    <w:tbl>
      <w:tblPr>
        <w:tblStyle w:val="40"/>
        <w:tblW w:w="8537" w:type="dxa"/>
        <w:tblInd w:w="612" w:type="dxa"/>
        <w:tblLayout w:type="fixed"/>
        <w:tblCellMar>
          <w:top w:w="0" w:type="dxa"/>
          <w:left w:w="0" w:type="dxa"/>
          <w:bottom w:w="0" w:type="dxa"/>
          <w:right w:w="0" w:type="dxa"/>
        </w:tblCellMar>
      </w:tblPr>
      <w:tblGrid>
        <w:gridCol w:w="8537"/>
      </w:tblGrid>
      <w:tr w14:paraId="1D0E0B81">
        <w:tblPrEx>
          <w:tblCellMar>
            <w:top w:w="0" w:type="dxa"/>
            <w:left w:w="0" w:type="dxa"/>
            <w:bottom w:w="0" w:type="dxa"/>
            <w:right w:w="0" w:type="dxa"/>
          </w:tblCellMar>
        </w:tblPrEx>
        <w:trPr>
          <w:trHeight w:val="1134" w:hRule="atLeast"/>
        </w:trPr>
        <w:tc>
          <w:tcPr>
            <w:tcW w:w="8537" w:type="dxa"/>
            <w:vAlign w:val="top"/>
          </w:tcPr>
          <w:p w14:paraId="223A8E51">
            <w:pPr>
              <w:pStyle w:val="99"/>
              <w:autoSpaceDE w:val="0"/>
              <w:autoSpaceDN w:val="0"/>
              <w:spacing w:line="480" w:lineRule="auto"/>
              <w:ind w:left="200"/>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lang w:val="en-US"/>
              </w:rPr>
              <w:t xml:space="preserve">                                       </w:t>
            </w:r>
          </w:p>
        </w:tc>
      </w:tr>
      <w:tr w14:paraId="38FA6EA5">
        <w:tblPrEx>
          <w:tblCellMar>
            <w:top w:w="0" w:type="dxa"/>
            <w:left w:w="0" w:type="dxa"/>
            <w:bottom w:w="0" w:type="dxa"/>
            <w:right w:w="0" w:type="dxa"/>
          </w:tblCellMar>
        </w:tblPrEx>
        <w:trPr>
          <w:trHeight w:val="1134" w:hRule="atLeast"/>
        </w:trPr>
        <w:tc>
          <w:tcPr>
            <w:tcW w:w="8537" w:type="dxa"/>
            <w:vAlign w:val="top"/>
          </w:tcPr>
          <w:p w14:paraId="5D87473E">
            <w:pPr>
              <w:pStyle w:val="99"/>
              <w:autoSpaceDE w:val="0"/>
              <w:autoSpaceDN w:val="0"/>
              <w:spacing w:before="160" w:line="480" w:lineRule="auto"/>
              <w:ind w:left="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lang w:val="en-US"/>
              </w:rPr>
              <w:t xml:space="preserve">                                       </w:t>
            </w:r>
          </w:p>
        </w:tc>
      </w:tr>
      <w:tr w14:paraId="39ACF046">
        <w:tblPrEx>
          <w:tblCellMar>
            <w:top w:w="0" w:type="dxa"/>
            <w:left w:w="0" w:type="dxa"/>
            <w:bottom w:w="0" w:type="dxa"/>
            <w:right w:w="0" w:type="dxa"/>
          </w:tblCellMar>
        </w:tblPrEx>
        <w:trPr>
          <w:trHeight w:val="1134" w:hRule="atLeast"/>
        </w:trPr>
        <w:tc>
          <w:tcPr>
            <w:tcW w:w="8537" w:type="dxa"/>
            <w:vAlign w:val="top"/>
          </w:tcPr>
          <w:p w14:paraId="10B7A8FF">
            <w:pPr>
              <w:pStyle w:val="99"/>
              <w:tabs>
                <w:tab w:val="left" w:pos="8323"/>
              </w:tabs>
              <w:autoSpaceDE w:val="0"/>
              <w:autoSpaceDN w:val="0"/>
              <w:spacing w:before="162" w:line="480" w:lineRule="auto"/>
              <w:ind w:left="200"/>
              <w:rPr>
                <w:rFonts w:hint="eastAsia" w:ascii="宋体" w:hAnsi="宋体" w:eastAsia="宋体" w:cs="宋体"/>
                <w:color w:val="auto"/>
                <w:sz w:val="28"/>
                <w:highlight w:val="none"/>
              </w:rPr>
            </w:pPr>
            <w:r>
              <w:rPr>
                <w:rFonts w:hint="eastAsia" w:ascii="宋体" w:hAnsi="宋体" w:eastAsia="宋体" w:cs="宋体"/>
                <w:color w:val="auto"/>
                <w:sz w:val="28"/>
                <w:highlight w:val="none"/>
              </w:rPr>
              <w:t>磋商供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商名</w:t>
            </w:r>
            <w:r>
              <w:rPr>
                <w:rFonts w:hint="eastAsia" w:ascii="宋体" w:hAnsi="宋体" w:eastAsia="宋体" w:cs="宋体"/>
                <w:color w:val="auto"/>
                <w:spacing w:val="-3"/>
                <w:sz w:val="28"/>
                <w:highlight w:val="none"/>
              </w:rPr>
              <w:t>称（</w:t>
            </w:r>
            <w:r>
              <w:rPr>
                <w:rFonts w:hint="eastAsia" w:ascii="宋体" w:hAnsi="宋体" w:eastAsia="宋体" w:cs="宋体"/>
                <w:color w:val="auto"/>
                <w:sz w:val="32"/>
                <w:szCs w:val="32"/>
                <w:highlight w:val="none"/>
              </w:rPr>
              <w:t>CA签章</w:t>
            </w:r>
            <w:r>
              <w:rPr>
                <w:rFonts w:hint="eastAsia" w:ascii="宋体" w:hAnsi="宋体" w:eastAsia="宋体" w:cs="宋体"/>
                <w:color w:val="auto"/>
                <w:spacing w:val="-142"/>
                <w:sz w:val="28"/>
                <w:highlight w:val="none"/>
              </w:rPr>
              <w:t>）</w:t>
            </w:r>
            <w:r>
              <w:rPr>
                <w:rFonts w:hint="eastAsia" w:ascii="宋体" w:hAnsi="宋体" w:eastAsia="宋体" w:cs="宋体"/>
                <w:color w:val="auto"/>
                <w:spacing w:val="3"/>
                <w:sz w:val="28"/>
                <w:highlight w:val="none"/>
              </w:rPr>
              <w:t>：</w:t>
            </w:r>
            <w:r>
              <w:rPr>
                <w:rFonts w:hint="eastAsia" w:ascii="宋体" w:hAnsi="宋体" w:eastAsia="宋体" w:cs="宋体"/>
                <w:b/>
                <w:color w:val="auto"/>
                <w:sz w:val="28"/>
                <w:highlight w:val="none"/>
                <w:u w:val="single"/>
                <w:lang w:val="en-US"/>
              </w:rPr>
              <w:t xml:space="preserve">                        </w:t>
            </w:r>
          </w:p>
        </w:tc>
      </w:tr>
      <w:tr w14:paraId="4741B88C">
        <w:tblPrEx>
          <w:tblCellMar>
            <w:top w:w="0" w:type="dxa"/>
            <w:left w:w="0" w:type="dxa"/>
            <w:bottom w:w="0" w:type="dxa"/>
            <w:right w:w="0" w:type="dxa"/>
          </w:tblCellMar>
        </w:tblPrEx>
        <w:trPr>
          <w:trHeight w:val="1134" w:hRule="atLeast"/>
        </w:trPr>
        <w:tc>
          <w:tcPr>
            <w:tcW w:w="8537" w:type="dxa"/>
            <w:vAlign w:val="top"/>
          </w:tcPr>
          <w:p w14:paraId="611DD769">
            <w:pPr>
              <w:pStyle w:val="99"/>
              <w:tabs>
                <w:tab w:val="left" w:pos="8169"/>
              </w:tabs>
              <w:autoSpaceDE w:val="0"/>
              <w:autoSpaceDN w:val="0"/>
              <w:spacing w:before="160" w:line="480" w:lineRule="auto"/>
              <w:ind w:left="200"/>
              <w:rPr>
                <w:rFonts w:hint="eastAsia" w:ascii="宋体" w:hAnsi="宋体" w:eastAsia="宋体" w:cs="宋体"/>
                <w:color w:val="auto"/>
                <w:sz w:val="22"/>
                <w:highlight w:val="none"/>
                <w:lang w:val="en-US" w:eastAsia="en-US"/>
              </w:rPr>
            </w:pPr>
            <w:r>
              <w:rPr>
                <w:rFonts w:hint="eastAsia" w:ascii="宋体" w:hAnsi="宋体" w:eastAsia="宋体" w:cs="宋体"/>
                <w:color w:val="auto"/>
                <w:sz w:val="28"/>
                <w:highlight w:val="none"/>
                <w:lang w:eastAsia="en-US"/>
              </w:rPr>
              <w:t>磋商供</w:t>
            </w:r>
            <w:r>
              <w:rPr>
                <w:rFonts w:hint="eastAsia" w:ascii="宋体" w:hAnsi="宋体" w:eastAsia="宋体" w:cs="宋体"/>
                <w:color w:val="auto"/>
                <w:spacing w:val="-3"/>
                <w:sz w:val="28"/>
                <w:highlight w:val="none"/>
                <w:lang w:eastAsia="en-US"/>
              </w:rPr>
              <w:t>应</w:t>
            </w:r>
            <w:r>
              <w:rPr>
                <w:rFonts w:hint="eastAsia" w:ascii="宋体" w:hAnsi="宋体" w:eastAsia="宋体" w:cs="宋体"/>
                <w:color w:val="auto"/>
                <w:sz w:val="28"/>
                <w:highlight w:val="none"/>
                <w:lang w:eastAsia="en-US"/>
              </w:rPr>
              <w:t>商地</w:t>
            </w:r>
            <w:r>
              <w:rPr>
                <w:rFonts w:hint="eastAsia" w:ascii="宋体" w:hAnsi="宋体" w:eastAsia="宋体" w:cs="宋体"/>
                <w:color w:val="auto"/>
                <w:spacing w:val="-3"/>
                <w:sz w:val="28"/>
                <w:highlight w:val="none"/>
                <w:lang w:eastAsia="en-US"/>
              </w:rPr>
              <w:t>址</w:t>
            </w:r>
            <w:r>
              <w:rPr>
                <w:rFonts w:hint="eastAsia" w:ascii="宋体" w:hAnsi="宋体" w:eastAsia="宋体" w:cs="宋体"/>
                <w:color w:val="auto"/>
                <w:spacing w:val="3"/>
                <w:sz w:val="28"/>
                <w:highlight w:val="none"/>
                <w:lang w:eastAsia="en-US"/>
              </w:rPr>
              <w:t>：</w:t>
            </w:r>
            <w:r>
              <w:rPr>
                <w:rFonts w:hint="eastAsia" w:ascii="宋体" w:hAnsi="宋体" w:eastAsia="宋体" w:cs="宋体"/>
                <w:b/>
                <w:color w:val="auto"/>
                <w:sz w:val="28"/>
                <w:highlight w:val="none"/>
                <w:u w:val="single"/>
                <w:lang w:val="en-US"/>
              </w:rPr>
              <w:t xml:space="preserve">                                 </w:t>
            </w:r>
          </w:p>
        </w:tc>
      </w:tr>
      <w:tr w14:paraId="432B9FB8">
        <w:tblPrEx>
          <w:tblCellMar>
            <w:top w:w="0" w:type="dxa"/>
            <w:left w:w="0" w:type="dxa"/>
            <w:bottom w:w="0" w:type="dxa"/>
            <w:right w:w="0" w:type="dxa"/>
          </w:tblCellMar>
        </w:tblPrEx>
        <w:trPr>
          <w:trHeight w:val="1134" w:hRule="atLeast"/>
        </w:trPr>
        <w:tc>
          <w:tcPr>
            <w:tcW w:w="8537" w:type="dxa"/>
            <w:vAlign w:val="top"/>
          </w:tcPr>
          <w:p w14:paraId="0699DBC8">
            <w:pPr>
              <w:pStyle w:val="99"/>
              <w:tabs>
                <w:tab w:val="left" w:pos="8221"/>
              </w:tabs>
              <w:autoSpaceDE w:val="0"/>
              <w:autoSpaceDN w:val="0"/>
              <w:spacing w:before="160" w:line="480" w:lineRule="auto"/>
              <w:ind w:left="200"/>
              <w:rPr>
                <w:rFonts w:hint="eastAsia" w:ascii="宋体" w:hAnsi="宋体" w:eastAsia="宋体" w:cs="宋体"/>
                <w:color w:val="auto"/>
                <w:sz w:val="28"/>
                <w:highlight w:val="none"/>
                <w:lang w:val="en-US"/>
              </w:rPr>
            </w:pPr>
            <w:r>
              <w:rPr>
                <w:rFonts w:hint="eastAsia" w:ascii="宋体" w:hAnsi="宋体" w:eastAsia="宋体" w:cs="宋体"/>
                <w:color w:val="auto"/>
                <w:spacing w:val="-1"/>
                <w:sz w:val="28"/>
                <w:highlight w:val="none"/>
              </w:rPr>
              <w:t>磋</w:t>
            </w:r>
            <w:r>
              <w:rPr>
                <w:rFonts w:hint="eastAsia" w:ascii="宋体" w:hAnsi="宋体" w:eastAsia="宋体" w:cs="宋体"/>
                <w:color w:val="auto"/>
                <w:sz w:val="28"/>
                <w:highlight w:val="none"/>
              </w:rPr>
              <w:t>商供</w:t>
            </w:r>
            <w:r>
              <w:rPr>
                <w:rFonts w:hint="eastAsia" w:ascii="宋体" w:hAnsi="宋体" w:eastAsia="宋体" w:cs="宋体"/>
                <w:color w:val="auto"/>
                <w:spacing w:val="-3"/>
                <w:sz w:val="28"/>
                <w:highlight w:val="none"/>
              </w:rPr>
              <w:t>应</w:t>
            </w:r>
            <w:r>
              <w:rPr>
                <w:rFonts w:hint="eastAsia" w:ascii="宋体" w:hAnsi="宋体" w:eastAsia="宋体" w:cs="宋体"/>
                <w:color w:val="auto"/>
                <w:sz w:val="28"/>
                <w:highlight w:val="none"/>
              </w:rPr>
              <w:t>商联</w:t>
            </w:r>
            <w:r>
              <w:rPr>
                <w:rFonts w:hint="eastAsia" w:ascii="宋体" w:hAnsi="宋体" w:eastAsia="宋体" w:cs="宋体"/>
                <w:color w:val="auto"/>
                <w:spacing w:val="-3"/>
                <w:sz w:val="28"/>
                <w:highlight w:val="none"/>
              </w:rPr>
              <w:t>系电</w:t>
            </w:r>
            <w:r>
              <w:rPr>
                <w:rFonts w:hint="eastAsia" w:ascii="宋体" w:hAnsi="宋体" w:eastAsia="宋体" w:cs="宋体"/>
                <w:color w:val="auto"/>
                <w:sz w:val="28"/>
                <w:highlight w:val="none"/>
              </w:rPr>
              <w:t>话：</w:t>
            </w:r>
            <w:r>
              <w:rPr>
                <w:rFonts w:hint="eastAsia" w:ascii="宋体" w:hAnsi="宋体" w:eastAsia="宋体" w:cs="宋体"/>
                <w:b/>
                <w:color w:val="auto"/>
                <w:sz w:val="28"/>
                <w:highlight w:val="none"/>
                <w:u w:val="single"/>
                <w:lang w:val="en-US"/>
              </w:rPr>
              <w:t xml:space="preserve">                             </w:t>
            </w:r>
          </w:p>
        </w:tc>
      </w:tr>
      <w:tr w14:paraId="1DB9E458">
        <w:tblPrEx>
          <w:tblCellMar>
            <w:top w:w="0" w:type="dxa"/>
            <w:left w:w="0" w:type="dxa"/>
            <w:bottom w:w="0" w:type="dxa"/>
            <w:right w:w="0" w:type="dxa"/>
          </w:tblCellMar>
        </w:tblPrEx>
        <w:trPr>
          <w:trHeight w:val="1134" w:hRule="atLeast"/>
        </w:trPr>
        <w:tc>
          <w:tcPr>
            <w:tcW w:w="8537" w:type="dxa"/>
            <w:vAlign w:val="top"/>
          </w:tcPr>
          <w:p w14:paraId="5519DC03">
            <w:pPr>
              <w:pStyle w:val="99"/>
              <w:tabs>
                <w:tab w:val="left" w:pos="8150"/>
              </w:tabs>
              <w:autoSpaceDE w:val="0"/>
              <w:autoSpaceDN w:val="0"/>
              <w:spacing w:before="161" w:line="480" w:lineRule="auto"/>
              <w:ind w:left="200"/>
              <w:rPr>
                <w:rFonts w:hint="eastAsia" w:ascii="宋体" w:hAnsi="宋体" w:eastAsia="宋体" w:cs="宋体"/>
                <w:color w:val="auto"/>
                <w:sz w:val="22"/>
                <w:highlight w:val="none"/>
                <w:lang w:val="en-US" w:eastAsia="en-US"/>
              </w:rPr>
            </w:pPr>
            <w:r>
              <w:rPr>
                <w:rFonts w:hint="eastAsia" w:ascii="宋体" w:hAnsi="宋体" w:eastAsia="宋体" w:cs="宋体"/>
                <w:color w:val="auto"/>
                <w:sz w:val="28"/>
                <w:highlight w:val="none"/>
                <w:lang w:eastAsia="en-US"/>
              </w:rPr>
              <w:t>日期：</w:t>
            </w:r>
            <w:r>
              <w:rPr>
                <w:rFonts w:hint="eastAsia" w:ascii="宋体" w:hAnsi="宋体" w:eastAsia="宋体" w:cs="宋体"/>
                <w:b/>
                <w:color w:val="auto"/>
                <w:sz w:val="28"/>
                <w:highlight w:val="none"/>
                <w:u w:val="single"/>
                <w:lang w:val="en-US"/>
              </w:rPr>
              <w:t xml:space="preserve">                        </w:t>
            </w:r>
          </w:p>
        </w:tc>
      </w:tr>
    </w:tbl>
    <w:p w14:paraId="177818E8">
      <w:pPr>
        <w:spacing w:before="97"/>
        <w:ind w:right="159"/>
        <w:jc w:val="center"/>
        <w:rPr>
          <w:rFonts w:hint="eastAsia" w:ascii="宋体" w:hAnsi="宋体" w:eastAsia="宋体" w:cs="宋体"/>
          <w:b/>
          <w:color w:val="auto"/>
          <w:sz w:val="30"/>
          <w:highlight w:val="none"/>
        </w:rPr>
      </w:pPr>
    </w:p>
    <w:p w14:paraId="2A01E0CF">
      <w:pPr>
        <w:pStyle w:val="49"/>
        <w:ind w:firstLine="602"/>
        <w:rPr>
          <w:rFonts w:hint="eastAsia" w:ascii="宋体" w:hAnsi="宋体" w:eastAsia="宋体" w:cs="宋体"/>
          <w:b/>
          <w:color w:val="auto"/>
          <w:sz w:val="30"/>
          <w:highlight w:val="none"/>
        </w:rPr>
      </w:pPr>
    </w:p>
    <w:p w14:paraId="587B7904">
      <w:pPr>
        <w:pStyle w:val="49"/>
        <w:ind w:firstLine="602"/>
        <w:rPr>
          <w:rFonts w:hint="eastAsia" w:ascii="宋体" w:hAnsi="宋体" w:eastAsia="宋体" w:cs="宋体"/>
          <w:b/>
          <w:color w:val="auto"/>
          <w:sz w:val="30"/>
          <w:highlight w:val="none"/>
        </w:rPr>
      </w:pPr>
    </w:p>
    <w:p w14:paraId="05E4F404">
      <w:pPr>
        <w:numPr>
          <w:ilvl w:val="0"/>
          <w:numId w:val="4"/>
        </w:numPr>
        <w:spacing w:before="97"/>
        <w:ind w:right="159"/>
        <w:jc w:val="center"/>
        <w:outlineLvl w:val="1"/>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报价一览表</w:t>
      </w:r>
    </w:p>
    <w:p w14:paraId="33792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项目名称：庆元县宅基地及集体建设用地地籍图编制项目</w:t>
      </w:r>
    </w:p>
    <w:p w14:paraId="5CCA3C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项目编号：浙江飞秀2025026号</w:t>
      </w:r>
    </w:p>
    <w:tbl>
      <w:tblPr>
        <w:tblStyle w:val="4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041"/>
        <w:gridCol w:w="5218"/>
      </w:tblGrid>
      <w:tr w14:paraId="13CD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1026" w:type="dxa"/>
            <w:vAlign w:val="center"/>
          </w:tcPr>
          <w:p w14:paraId="31F22408">
            <w:pPr>
              <w:jc w:val="center"/>
              <w:rPr>
                <w:rFonts w:hint="eastAsia" w:ascii="宋体" w:hAnsi="宋体" w:eastAsia="宋体" w:cs="宋体"/>
                <w:b/>
                <w:color w:val="auto"/>
                <w:szCs w:val="21"/>
                <w:highlight w:val="none"/>
                <w:lang w:bidi="ar"/>
              </w:rPr>
            </w:pPr>
            <w:r>
              <w:rPr>
                <w:rFonts w:hint="eastAsia" w:ascii="宋体" w:hAnsi="宋体" w:eastAsia="宋体" w:cs="宋体"/>
                <w:b/>
                <w:color w:val="auto"/>
                <w:sz w:val="24"/>
                <w:highlight w:val="none"/>
              </w:rPr>
              <w:t>标项</w:t>
            </w:r>
          </w:p>
        </w:tc>
        <w:tc>
          <w:tcPr>
            <w:tcW w:w="3041" w:type="dxa"/>
            <w:vAlign w:val="center"/>
          </w:tcPr>
          <w:p w14:paraId="0AE909E1">
            <w:pPr>
              <w:jc w:val="center"/>
              <w:rPr>
                <w:rFonts w:hint="eastAsia" w:ascii="宋体" w:hAnsi="宋体" w:eastAsia="宋体" w:cs="宋体"/>
                <w:b/>
                <w:color w:val="auto"/>
                <w:szCs w:val="21"/>
                <w:highlight w:val="none"/>
                <w:lang w:bidi="ar"/>
              </w:rPr>
            </w:pPr>
            <w:r>
              <w:rPr>
                <w:rFonts w:hint="eastAsia" w:ascii="宋体" w:hAnsi="宋体" w:eastAsia="宋体" w:cs="宋体"/>
                <w:b/>
                <w:color w:val="auto"/>
                <w:sz w:val="24"/>
                <w:highlight w:val="none"/>
              </w:rPr>
              <w:t>项目名称</w:t>
            </w:r>
          </w:p>
        </w:tc>
        <w:tc>
          <w:tcPr>
            <w:tcW w:w="5218" w:type="dxa"/>
            <w:vAlign w:val="center"/>
          </w:tcPr>
          <w:p w14:paraId="314738CB">
            <w:pPr>
              <w:jc w:val="center"/>
              <w:rPr>
                <w:rFonts w:hint="eastAsia" w:ascii="宋体" w:hAnsi="宋体" w:eastAsia="宋体" w:cs="宋体"/>
                <w:b/>
                <w:color w:val="auto"/>
                <w:szCs w:val="21"/>
                <w:highlight w:val="none"/>
                <w:lang w:bidi="ar"/>
              </w:rPr>
            </w:pP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总价（元）</w:t>
            </w:r>
          </w:p>
        </w:tc>
      </w:tr>
      <w:tr w14:paraId="4C5F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026" w:type="dxa"/>
            <w:vAlign w:val="center"/>
          </w:tcPr>
          <w:p w14:paraId="2603CC6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3041" w:type="dxa"/>
            <w:vAlign w:val="center"/>
          </w:tcPr>
          <w:p w14:paraId="411425B4">
            <w:pPr>
              <w:jc w:val="center"/>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庆元县宅基地及集体建设用地地籍图编制项目</w:t>
            </w:r>
          </w:p>
        </w:tc>
        <w:tc>
          <w:tcPr>
            <w:tcW w:w="5218" w:type="dxa"/>
            <w:vAlign w:val="center"/>
          </w:tcPr>
          <w:p w14:paraId="7749D3EB">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小写：</w:t>
            </w:r>
          </w:p>
          <w:p w14:paraId="78A163F3">
            <w:pPr>
              <w:pStyle w:val="26"/>
              <w:rPr>
                <w:rFonts w:hint="eastAsia" w:ascii="宋体" w:hAnsi="宋体" w:eastAsia="宋体" w:cs="宋体"/>
                <w:color w:val="auto"/>
                <w:sz w:val="24"/>
                <w:highlight w:val="none"/>
                <w:lang w:eastAsia="zh-CN"/>
              </w:rPr>
            </w:pPr>
          </w:p>
          <w:p w14:paraId="1E4BBA12">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lang w:eastAsia="zh-CN"/>
              </w:rPr>
              <w:t>：</w:t>
            </w:r>
          </w:p>
        </w:tc>
      </w:tr>
    </w:tbl>
    <w:p w14:paraId="3640748C">
      <w:pPr>
        <w:pStyle w:val="108"/>
        <w:spacing w:line="300" w:lineRule="exact"/>
        <w:rPr>
          <w:rFonts w:hint="eastAsia" w:ascii="宋体" w:hAnsi="宋体" w:eastAsia="宋体" w:cs="宋体"/>
          <w:iCs/>
          <w:color w:val="auto"/>
          <w:szCs w:val="21"/>
          <w:highlight w:val="none"/>
        </w:rPr>
      </w:pPr>
    </w:p>
    <w:p w14:paraId="3D54C09F">
      <w:pPr>
        <w:pStyle w:val="10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Cs/>
          <w:color w:val="auto"/>
          <w:spacing w:val="-4"/>
          <w:sz w:val="24"/>
          <w:szCs w:val="24"/>
          <w:highlight w:val="none"/>
        </w:rPr>
      </w:pPr>
      <w:r>
        <w:rPr>
          <w:rFonts w:hint="eastAsia" w:ascii="宋体" w:hAnsi="宋体" w:eastAsia="宋体" w:cs="宋体"/>
          <w:iCs/>
          <w:color w:val="auto"/>
          <w:sz w:val="24"/>
          <w:szCs w:val="24"/>
          <w:highlight w:val="none"/>
        </w:rPr>
        <w:t>注：</w:t>
      </w:r>
      <w:r>
        <w:rPr>
          <w:rFonts w:hint="eastAsia" w:ascii="宋体" w:hAnsi="宋体" w:eastAsia="宋体" w:cs="宋体"/>
          <w:b/>
          <w:bCs/>
          <w:color w:val="auto"/>
          <w:spacing w:val="-4"/>
          <w:sz w:val="24"/>
          <w:szCs w:val="24"/>
          <w:highlight w:val="none"/>
        </w:rPr>
        <w:t>▲</w:t>
      </w:r>
      <w:r>
        <w:rPr>
          <w:rFonts w:hint="eastAsia" w:ascii="宋体" w:hAnsi="宋体" w:eastAsia="宋体" w:cs="宋体"/>
          <w:iCs/>
          <w:color w:val="auto"/>
          <w:spacing w:val="-4"/>
          <w:sz w:val="24"/>
          <w:szCs w:val="24"/>
          <w:highlight w:val="none"/>
        </w:rPr>
        <w:t>1、</w:t>
      </w:r>
      <w:r>
        <w:rPr>
          <w:rFonts w:hint="eastAsia" w:ascii="宋体" w:hAnsi="宋体" w:eastAsia="宋体" w:cs="宋体"/>
          <w:color w:val="auto"/>
          <w:spacing w:val="-4"/>
          <w:sz w:val="24"/>
          <w:szCs w:val="24"/>
          <w:highlight w:val="none"/>
        </w:rPr>
        <w:t>报价超过采购各项最高限价的，作无效标处理</w:t>
      </w:r>
      <w:r>
        <w:rPr>
          <w:rFonts w:hint="eastAsia" w:ascii="宋体" w:hAnsi="宋体" w:eastAsia="宋体" w:cs="宋体"/>
          <w:iCs/>
          <w:color w:val="auto"/>
          <w:spacing w:val="-4"/>
          <w:sz w:val="24"/>
          <w:szCs w:val="24"/>
          <w:highlight w:val="none"/>
        </w:rPr>
        <w:t>。</w:t>
      </w:r>
    </w:p>
    <w:p w14:paraId="6EF0AED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Cs/>
          <w:color w:val="auto"/>
          <w:sz w:val="24"/>
          <w:szCs w:val="24"/>
          <w:highlight w:val="none"/>
        </w:rPr>
        <w:t>2、最终报价是履行合同的最终价格，除磋商文件特殊说明外，</w:t>
      </w:r>
      <w:r>
        <w:rPr>
          <w:rFonts w:hint="eastAsia" w:ascii="宋体" w:hAnsi="宋体" w:eastAsia="宋体" w:cs="宋体"/>
          <w:bCs/>
          <w:color w:val="auto"/>
          <w:sz w:val="24"/>
          <w:szCs w:val="24"/>
          <w:highlight w:val="none"/>
          <w:lang w:eastAsia="zh-CN"/>
        </w:rPr>
        <w:t>包</w:t>
      </w:r>
      <w:r>
        <w:rPr>
          <w:rFonts w:hint="eastAsia" w:ascii="宋体" w:hAnsi="宋体" w:eastAsia="宋体" w:cs="宋体"/>
          <w:bCs/>
          <w:color w:val="auto"/>
          <w:sz w:val="24"/>
          <w:szCs w:val="24"/>
          <w:highlight w:val="none"/>
        </w:rPr>
        <w:t>括本次项目实施所需的</w:t>
      </w:r>
      <w:r>
        <w:rPr>
          <w:rFonts w:hint="eastAsia" w:ascii="宋体" w:hAnsi="宋体" w:eastAsia="宋体" w:cs="宋体"/>
          <w:bCs/>
          <w:color w:val="auto"/>
          <w:sz w:val="24"/>
          <w:szCs w:val="24"/>
          <w:highlight w:val="none"/>
          <w:lang w:val="en-US" w:eastAsia="zh-CN"/>
        </w:rPr>
        <w:t>服务、调查研究、分析认证、编制报告、交通费、文本制作费、办公耗材及设备折旧费、相关验收费用、管理费、利润、风险费、保险、税金、培训、指导、专利费（著作权费）、政策性文件规定费用</w:t>
      </w:r>
      <w:r>
        <w:rPr>
          <w:rFonts w:hint="eastAsia" w:ascii="宋体" w:hAnsi="宋体" w:eastAsia="宋体" w:cs="宋体"/>
          <w:bCs/>
          <w:color w:val="auto"/>
          <w:sz w:val="24"/>
          <w:szCs w:val="24"/>
          <w:highlight w:val="none"/>
        </w:rPr>
        <w:t>以及履行合同所产生的全部费用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采购人不再另行支付其他任何费用。</w:t>
      </w:r>
      <w:r>
        <w:rPr>
          <w:rFonts w:hint="eastAsia" w:ascii="宋体" w:hAnsi="宋体" w:cs="宋体"/>
          <w:bCs/>
          <w:color w:val="auto"/>
          <w:sz w:val="24"/>
          <w:szCs w:val="24"/>
          <w:highlight w:val="none"/>
          <w:lang w:val="en-US" w:eastAsia="zh-CN"/>
        </w:rPr>
        <w:t>供应商应列入而未列入其中的费用，均视为已包含在内，风险由供应商承担。</w:t>
      </w:r>
    </w:p>
    <w:p w14:paraId="1EAC1659">
      <w:pPr>
        <w:snapToGrid w:val="0"/>
        <w:spacing w:line="480" w:lineRule="auto"/>
        <w:ind w:left="5320" w:firstLine="532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供供应商盖章：</w:t>
      </w:r>
      <w:r>
        <w:rPr>
          <w:rFonts w:hint="eastAsia" w:ascii="宋体" w:hAnsi="宋体" w:eastAsia="宋体" w:cs="宋体"/>
          <w:color w:val="auto"/>
          <w:sz w:val="24"/>
          <w:szCs w:val="24"/>
          <w:highlight w:val="none"/>
          <w:u w:val="single"/>
        </w:rPr>
        <w:t xml:space="preserve">            </w:t>
      </w:r>
    </w:p>
    <w:p w14:paraId="4371C36B">
      <w:pPr>
        <w:pStyle w:val="6"/>
        <w:widowControl w:val="0"/>
        <w:ind w:left="0" w:leftChars="0" w:firstLine="5760" w:firstLineChars="2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8DB3333">
      <w:pPr>
        <w:rPr>
          <w:rFonts w:hint="eastAsia" w:ascii="宋体" w:hAnsi="宋体" w:eastAsia="宋体" w:cs="宋体"/>
          <w:color w:val="auto"/>
          <w:sz w:val="24"/>
          <w:szCs w:val="24"/>
          <w:highlight w:val="none"/>
        </w:rPr>
      </w:pPr>
    </w:p>
    <w:p w14:paraId="37582357">
      <w:pPr>
        <w:pStyle w:val="49"/>
        <w:rPr>
          <w:rFonts w:hint="eastAsia" w:ascii="宋体" w:hAnsi="宋体" w:eastAsia="宋体" w:cs="宋体"/>
          <w:color w:val="auto"/>
          <w:szCs w:val="24"/>
          <w:highlight w:val="none"/>
        </w:rPr>
      </w:pPr>
    </w:p>
    <w:p w14:paraId="0351F8EC">
      <w:pPr>
        <w:rPr>
          <w:rFonts w:hint="eastAsia" w:ascii="宋体" w:hAnsi="宋体" w:eastAsia="宋体" w:cs="宋体"/>
          <w:color w:val="auto"/>
          <w:spacing w:val="20"/>
          <w:sz w:val="24"/>
          <w:highlight w:val="none"/>
        </w:rPr>
      </w:pPr>
    </w:p>
    <w:p w14:paraId="1FBCB98A">
      <w:pPr>
        <w:pStyle w:val="49"/>
        <w:ind w:firstLine="560"/>
        <w:rPr>
          <w:rFonts w:hint="eastAsia" w:ascii="宋体" w:hAnsi="宋体" w:eastAsia="宋体" w:cs="宋体"/>
          <w:color w:val="auto"/>
          <w:spacing w:val="20"/>
          <w:highlight w:val="none"/>
        </w:rPr>
      </w:pPr>
    </w:p>
    <w:p w14:paraId="5A1647C7">
      <w:pPr>
        <w:pStyle w:val="49"/>
        <w:ind w:firstLine="560"/>
        <w:rPr>
          <w:rFonts w:hint="eastAsia" w:ascii="宋体" w:hAnsi="宋体" w:eastAsia="宋体" w:cs="宋体"/>
          <w:color w:val="auto"/>
          <w:spacing w:val="20"/>
          <w:highlight w:val="none"/>
        </w:rPr>
      </w:pPr>
    </w:p>
    <w:p w14:paraId="3CD096CF">
      <w:pPr>
        <w:pStyle w:val="49"/>
        <w:rPr>
          <w:rFonts w:hint="eastAsia" w:ascii="宋体" w:hAnsi="宋体" w:eastAsia="宋体" w:cs="宋体"/>
          <w:color w:val="auto"/>
          <w:highlight w:val="none"/>
        </w:rPr>
      </w:pPr>
    </w:p>
    <w:p w14:paraId="09F83A49">
      <w:pPr>
        <w:pStyle w:val="49"/>
        <w:rPr>
          <w:rFonts w:hint="eastAsia" w:ascii="宋体" w:hAnsi="宋体" w:eastAsia="宋体" w:cs="宋体"/>
          <w:color w:val="auto"/>
          <w:highlight w:val="none"/>
        </w:rPr>
      </w:pPr>
    </w:p>
    <w:p w14:paraId="050422A5">
      <w:pPr>
        <w:pStyle w:val="49"/>
        <w:rPr>
          <w:rFonts w:hint="eastAsia" w:ascii="宋体" w:hAnsi="宋体" w:eastAsia="宋体" w:cs="宋体"/>
          <w:color w:val="auto"/>
          <w:highlight w:val="none"/>
        </w:rPr>
      </w:pPr>
    </w:p>
    <w:p w14:paraId="689C272B">
      <w:pPr>
        <w:pStyle w:val="49"/>
        <w:rPr>
          <w:rFonts w:hint="eastAsia" w:ascii="宋体" w:hAnsi="宋体" w:eastAsia="宋体" w:cs="宋体"/>
          <w:color w:val="auto"/>
          <w:highlight w:val="none"/>
        </w:rPr>
      </w:pPr>
    </w:p>
    <w:p w14:paraId="2A36AAE7">
      <w:pPr>
        <w:pStyle w:val="49"/>
        <w:rPr>
          <w:rFonts w:hint="eastAsia" w:ascii="宋体" w:hAnsi="宋体" w:eastAsia="宋体" w:cs="宋体"/>
          <w:color w:val="auto"/>
          <w:highlight w:val="none"/>
        </w:rPr>
      </w:pPr>
    </w:p>
    <w:p w14:paraId="23BE9404">
      <w:pPr>
        <w:pStyle w:val="5"/>
        <w:widowControl w:val="0"/>
        <w:spacing w:before="240" w:after="240"/>
        <w:ind w:left="0" w:leftChars="0" w:firstLine="0" w:firstLineChars="0"/>
        <w:jc w:val="center"/>
        <w:outlineLvl w:val="1"/>
        <w:rPr>
          <w:rFonts w:hint="eastAsia" w:ascii="宋体" w:hAnsi="宋体" w:eastAsia="宋体" w:cs="宋体"/>
          <w:b/>
          <w:bCs/>
          <w:color w:val="auto"/>
          <w:sz w:val="32"/>
          <w:szCs w:val="32"/>
          <w:highlight w:val="none"/>
        </w:rPr>
      </w:pPr>
      <w:bookmarkStart w:id="163" w:name="_Toc28578"/>
      <w:bookmarkStart w:id="164" w:name="_Toc21287"/>
      <w:r>
        <w:rPr>
          <w:rFonts w:hint="eastAsia" w:ascii="宋体" w:hAnsi="宋体" w:eastAsia="宋体" w:cs="宋体"/>
          <w:b/>
          <w:bCs/>
          <w:color w:val="auto"/>
          <w:sz w:val="32"/>
          <w:szCs w:val="32"/>
          <w:highlight w:val="none"/>
        </w:rPr>
        <w:t>2、</w:t>
      </w:r>
      <w:r>
        <w:rPr>
          <w:rFonts w:hint="eastAsia" w:ascii="宋体" w:hAnsi="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分项报价表</w:t>
      </w:r>
      <w:bookmarkEnd w:id="163"/>
      <w:bookmarkEnd w:id="164"/>
    </w:p>
    <w:p w14:paraId="7BFA9279">
      <w:pPr>
        <w:autoSpaceDE w:val="0"/>
        <w:autoSpaceDN w:val="0"/>
        <w:adjustRightIn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分项报价表内容要求</w:t>
      </w:r>
      <w:r>
        <w:rPr>
          <w:rFonts w:hint="eastAsia" w:ascii="宋体" w:hAnsi="宋体" w:eastAsia="宋体" w:cs="宋体"/>
          <w:bCs/>
          <w:color w:val="auto"/>
          <w:sz w:val="24"/>
          <w:highlight w:val="none"/>
          <w:lang w:eastAsia="zh-CN"/>
        </w:rPr>
        <w:t>：</w:t>
      </w:r>
    </w:p>
    <w:p w14:paraId="5E9EDA7F">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需按“</w:t>
      </w:r>
      <w:r>
        <w:rPr>
          <w:rFonts w:hint="eastAsia" w:ascii="宋体" w:hAnsi="宋体" w:eastAsia="宋体" w:cs="宋体"/>
          <w:bCs/>
          <w:color w:val="auto"/>
          <w:sz w:val="24"/>
          <w:highlight w:val="none"/>
          <w:lang w:eastAsia="zh-CN"/>
        </w:rPr>
        <w:t>报价</w:t>
      </w:r>
      <w:r>
        <w:rPr>
          <w:rFonts w:hint="eastAsia" w:ascii="宋体" w:hAnsi="宋体" w:eastAsia="宋体" w:cs="宋体"/>
          <w:bCs/>
          <w:color w:val="auto"/>
          <w:sz w:val="24"/>
          <w:highlight w:val="none"/>
        </w:rPr>
        <w:t>一览表”的总报价，对产生总报价的分项报价进行详细列表说明。</w:t>
      </w:r>
    </w:p>
    <w:p w14:paraId="25B8060A">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2、文件中未要求，而供应商额外免费、无偿赠送或分项报价为0元情况的做无效标处理；</w:t>
      </w:r>
    </w:p>
    <w:p w14:paraId="498536CA">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1D6561A9">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12C7EB8C">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6B309210">
      <w:pPr>
        <w:autoSpaceDE w:val="0"/>
        <w:autoSpaceDN w:val="0"/>
        <w:adjustRightInd w:val="0"/>
        <w:spacing w:line="360" w:lineRule="auto"/>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（表格请按</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文件要求自行设计）</w:t>
      </w:r>
    </w:p>
    <w:p w14:paraId="4C2072D1">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11432566">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4CC37A48">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对产生报价的分项详细列表说明。</w:t>
      </w:r>
    </w:p>
    <w:p w14:paraId="32060D52">
      <w:pPr>
        <w:autoSpaceDE w:val="0"/>
        <w:autoSpaceDN w:val="0"/>
        <w:adjustRightIn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投标分项</w:t>
      </w:r>
      <w:r>
        <w:rPr>
          <w:rFonts w:hint="eastAsia" w:ascii="宋体" w:hAnsi="宋体" w:eastAsia="宋体" w:cs="宋体"/>
          <w:bCs/>
          <w:color w:val="auto"/>
          <w:sz w:val="24"/>
          <w:highlight w:val="none"/>
        </w:rPr>
        <w:t>报价表”所涉及的表格和内容较多，各</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没有按要求作出实质性响应是</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的风险。</w:t>
      </w:r>
    </w:p>
    <w:p w14:paraId="227C0538">
      <w:pPr>
        <w:autoSpaceDE w:val="0"/>
        <w:autoSpaceDN w:val="0"/>
        <w:adjustRightInd w:val="0"/>
        <w:spacing w:line="360" w:lineRule="auto"/>
        <w:ind w:firstLine="480" w:firstLineChars="200"/>
        <w:rPr>
          <w:rFonts w:hint="eastAsia" w:ascii="宋体" w:hAnsi="宋体" w:eastAsia="宋体" w:cs="宋体"/>
          <w:color w:val="auto"/>
          <w:spacing w:val="2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spacing w:val="20"/>
          <w:sz w:val="24"/>
          <w:highlight w:val="none"/>
        </w:rPr>
        <w:t>3、以上报价应包括为完成本项目可能发生的所需的一切税金和费用并承担一切风险责任。</w:t>
      </w:r>
    </w:p>
    <w:p w14:paraId="77BB8503">
      <w:pPr>
        <w:autoSpaceDE w:val="0"/>
        <w:autoSpaceDN w:val="0"/>
        <w:adjustRightInd w:val="0"/>
        <w:spacing w:line="360" w:lineRule="auto"/>
        <w:ind w:firstLine="480" w:firstLineChars="200"/>
        <w:rPr>
          <w:rFonts w:hint="eastAsia" w:ascii="宋体" w:hAnsi="宋体" w:eastAsia="宋体" w:cs="宋体"/>
          <w:bCs/>
          <w:color w:val="auto"/>
          <w:sz w:val="24"/>
          <w:highlight w:val="none"/>
        </w:rPr>
      </w:pPr>
    </w:p>
    <w:p w14:paraId="49DFE414">
      <w:pPr>
        <w:pStyle w:val="23"/>
        <w:widowControl w:val="0"/>
        <w:spacing w:line="440" w:lineRule="exact"/>
        <w:ind w:right="482"/>
        <w:rPr>
          <w:rFonts w:hint="eastAsia" w:ascii="宋体" w:hAnsi="宋体" w:eastAsia="宋体" w:cs="宋体"/>
          <w:color w:val="auto"/>
          <w:sz w:val="22"/>
          <w:szCs w:val="22"/>
          <w:highlight w:val="none"/>
        </w:rPr>
      </w:pPr>
    </w:p>
    <w:p w14:paraId="23DA438C">
      <w:pPr>
        <w:pStyle w:val="23"/>
        <w:widowControl w:val="0"/>
        <w:spacing w:line="480" w:lineRule="exact"/>
        <w:ind w:left="0" w:firstLine="5760" w:firstLineChars="2400"/>
        <w:rPr>
          <w:rFonts w:hint="eastAsia" w:ascii="宋体" w:hAnsi="宋体" w:eastAsia="宋体" w:cs="宋体"/>
          <w:color w:val="auto"/>
          <w:sz w:val="24"/>
          <w:szCs w:val="24"/>
          <w:highlight w:val="none"/>
          <w:u w:val="single"/>
        </w:rPr>
      </w:pPr>
      <w:bookmarkStart w:id="165" w:name="_Toc497376120"/>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u w:val="single"/>
        </w:rPr>
        <w:t xml:space="preserve">            </w:t>
      </w:r>
    </w:p>
    <w:p w14:paraId="506BA1BE">
      <w:pPr>
        <w:pStyle w:val="6"/>
        <w:widowControl w:val="0"/>
        <w:spacing w:line="480" w:lineRule="exact"/>
        <w:ind w:left="0"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051F29F">
      <w:pPr>
        <w:spacing w:line="360" w:lineRule="auto"/>
        <w:jc w:val="center"/>
        <w:rPr>
          <w:rFonts w:hint="eastAsia" w:ascii="宋体" w:hAnsi="宋体" w:eastAsia="宋体" w:cs="宋体"/>
          <w:b/>
          <w:color w:val="auto"/>
          <w:sz w:val="24"/>
          <w:szCs w:val="24"/>
          <w:highlight w:val="none"/>
        </w:rPr>
      </w:pPr>
    </w:p>
    <w:p w14:paraId="3D36812D">
      <w:pPr>
        <w:pStyle w:val="16"/>
        <w:ind w:firstLine="241"/>
        <w:rPr>
          <w:rFonts w:hint="eastAsia" w:ascii="宋体" w:hAnsi="宋体" w:eastAsia="宋体" w:cs="宋体"/>
          <w:b/>
          <w:color w:val="auto"/>
          <w:sz w:val="24"/>
          <w:szCs w:val="24"/>
          <w:highlight w:val="none"/>
        </w:rPr>
      </w:pPr>
    </w:p>
    <w:p w14:paraId="57C17F95">
      <w:pPr>
        <w:pStyle w:val="17"/>
        <w:rPr>
          <w:rFonts w:hint="eastAsia" w:ascii="宋体" w:hAnsi="宋体" w:eastAsia="宋体" w:cs="宋体"/>
          <w:b/>
          <w:color w:val="auto"/>
          <w:sz w:val="24"/>
          <w:szCs w:val="24"/>
          <w:highlight w:val="none"/>
        </w:rPr>
      </w:pPr>
    </w:p>
    <w:bookmarkEnd w:id="165"/>
    <w:p w14:paraId="75A89737">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527BD45B">
      <w:pPr>
        <w:pStyle w:val="109"/>
        <w:snapToGrid w:val="0"/>
        <w:jc w:val="both"/>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附件</w:t>
      </w:r>
      <w:r>
        <w:rPr>
          <w:rFonts w:hint="eastAsia" w:ascii="宋体" w:hAnsi="宋体" w:eastAsia="宋体" w:cs="宋体"/>
          <w:b/>
          <w:color w:val="auto"/>
          <w:highlight w:val="none"/>
        </w:rPr>
        <w:t>：</w:t>
      </w:r>
    </w:p>
    <w:p w14:paraId="5DFC5782">
      <w:pPr>
        <w:pStyle w:val="109"/>
        <w:snapToGrid w:val="0"/>
        <w:jc w:val="center"/>
        <w:outlineLvl w:val="3"/>
        <w:rPr>
          <w:rFonts w:hint="eastAsia" w:ascii="宋体" w:hAnsi="宋体" w:eastAsia="宋体" w:cs="宋体"/>
          <w:color w:val="auto"/>
          <w:sz w:val="30"/>
          <w:highlight w:val="none"/>
        </w:rPr>
      </w:pPr>
      <w:r>
        <w:rPr>
          <w:rFonts w:hint="eastAsia" w:ascii="宋体" w:hAnsi="宋体" w:eastAsia="宋体" w:cs="宋体"/>
          <w:b/>
          <w:bCs/>
          <w:color w:val="auto"/>
          <w:sz w:val="30"/>
          <w:highlight w:val="none"/>
        </w:rPr>
        <w:t>政府采购活动现场确认声明书</w:t>
      </w:r>
    </w:p>
    <w:p w14:paraId="4DBEB44E">
      <w:pPr>
        <w:pStyle w:val="15"/>
        <w:spacing w:before="69" w:line="225" w:lineRule="auto"/>
        <w:ind w:left="0" w:leftChars="0" w:firstLine="0" w:firstLineChars="0"/>
        <w:rPr>
          <w:sz w:val="21"/>
          <w:szCs w:val="21"/>
          <w:highlight w:val="none"/>
        </w:rPr>
      </w:pPr>
      <w:r>
        <w:rPr>
          <w:rFonts w:hint="eastAsia"/>
          <w:spacing w:val="4"/>
          <w:sz w:val="21"/>
          <w:szCs w:val="21"/>
          <w:highlight w:val="none"/>
          <w:lang w:eastAsia="zh-CN"/>
        </w:rPr>
        <w:t>浙江飞秀工程咨询有限公司</w:t>
      </w:r>
      <w:r>
        <w:rPr>
          <w:spacing w:val="55"/>
          <w:sz w:val="21"/>
          <w:szCs w:val="21"/>
          <w:highlight w:val="none"/>
        </w:rPr>
        <w:t xml:space="preserve"> </w:t>
      </w:r>
      <w:r>
        <w:rPr>
          <w:spacing w:val="4"/>
          <w:sz w:val="21"/>
          <w:szCs w:val="21"/>
          <w:highlight w:val="none"/>
        </w:rPr>
        <w:t>:</w:t>
      </w:r>
    </w:p>
    <w:p w14:paraId="446147A9">
      <w:pPr>
        <w:pStyle w:val="15"/>
        <w:spacing w:before="165" w:line="369" w:lineRule="auto"/>
        <w:ind w:left="9" w:right="28" w:firstLine="376"/>
        <w:rPr>
          <w:sz w:val="21"/>
          <w:szCs w:val="21"/>
          <w:highlight w:val="none"/>
        </w:rPr>
      </w:pPr>
      <w:r>
        <w:rPr>
          <w:spacing w:val="4"/>
          <w:sz w:val="21"/>
          <w:szCs w:val="21"/>
          <w:highlight w:val="none"/>
        </w:rPr>
        <w:t xml:space="preserve">本人 </w:t>
      </w:r>
      <w:r>
        <w:rPr>
          <w:spacing w:val="4"/>
          <w:sz w:val="21"/>
          <w:szCs w:val="21"/>
          <w:highlight w:val="none"/>
          <w:u w:val="single" w:color="auto"/>
        </w:rPr>
        <w:t xml:space="preserve">            </w:t>
      </w:r>
      <w:r>
        <w:rPr>
          <w:spacing w:val="4"/>
          <w:sz w:val="21"/>
          <w:szCs w:val="21"/>
          <w:highlight w:val="none"/>
        </w:rPr>
        <w:t>（授权代表姓名</w:t>
      </w:r>
      <w:r>
        <w:rPr>
          <w:spacing w:val="12"/>
          <w:sz w:val="21"/>
          <w:szCs w:val="21"/>
          <w:highlight w:val="none"/>
        </w:rPr>
        <w:t>），</w:t>
      </w:r>
      <w:r>
        <w:rPr>
          <w:spacing w:val="4"/>
          <w:sz w:val="21"/>
          <w:szCs w:val="21"/>
          <w:highlight w:val="none"/>
        </w:rPr>
        <w:t>经由</w:t>
      </w:r>
      <w:r>
        <w:rPr>
          <w:spacing w:val="-103"/>
          <w:sz w:val="21"/>
          <w:szCs w:val="21"/>
          <w:highlight w:val="none"/>
        </w:rPr>
        <w:t xml:space="preserve"> </w:t>
      </w:r>
      <w:r>
        <w:rPr>
          <w:spacing w:val="4"/>
          <w:sz w:val="21"/>
          <w:szCs w:val="21"/>
          <w:highlight w:val="none"/>
          <w:u w:val="single" w:color="auto"/>
        </w:rPr>
        <w:t xml:space="preserve"> </w:t>
      </w:r>
      <w:r>
        <w:rPr>
          <w:spacing w:val="3"/>
          <w:sz w:val="21"/>
          <w:szCs w:val="21"/>
          <w:highlight w:val="none"/>
          <w:u w:val="single" w:color="auto"/>
        </w:rPr>
        <w:t xml:space="preserve">                             </w:t>
      </w:r>
      <w:r>
        <w:rPr>
          <w:spacing w:val="3"/>
          <w:sz w:val="21"/>
          <w:szCs w:val="21"/>
          <w:highlight w:val="none"/>
        </w:rPr>
        <w:t xml:space="preserve">（单位） </w:t>
      </w:r>
      <w:r>
        <w:rPr>
          <w:spacing w:val="3"/>
          <w:sz w:val="21"/>
          <w:szCs w:val="21"/>
          <w:highlight w:val="none"/>
          <w:u w:val="single" w:color="auto"/>
        </w:rPr>
        <w:t xml:space="preserve">            </w:t>
      </w:r>
      <w:r>
        <w:rPr>
          <w:sz w:val="21"/>
          <w:szCs w:val="21"/>
          <w:highlight w:val="none"/>
        </w:rPr>
        <w:t xml:space="preserve">  </w:t>
      </w:r>
      <w:r>
        <w:rPr>
          <w:spacing w:val="5"/>
          <w:sz w:val="21"/>
          <w:szCs w:val="21"/>
          <w:highlight w:val="none"/>
        </w:rPr>
        <w:t>（法定代表人姓名）合法授权参加</w:t>
      </w:r>
      <w:r>
        <w:rPr>
          <w:rFonts w:hint="eastAsia"/>
          <w:spacing w:val="5"/>
          <w:sz w:val="21"/>
          <w:szCs w:val="21"/>
          <w:highlight w:val="none"/>
          <w:u w:val="single" w:color="auto"/>
          <w:lang w:eastAsia="zh-CN"/>
        </w:rPr>
        <w:t>庆元县宅基地及集体建设用地地籍图编制项目</w:t>
      </w:r>
      <w:r>
        <w:rPr>
          <w:spacing w:val="-97"/>
          <w:sz w:val="21"/>
          <w:szCs w:val="21"/>
          <w:highlight w:val="none"/>
          <w:u w:val="single" w:color="auto"/>
        </w:rPr>
        <w:t xml:space="preserve"> </w:t>
      </w:r>
      <w:r>
        <w:rPr>
          <w:spacing w:val="4"/>
          <w:sz w:val="21"/>
          <w:szCs w:val="21"/>
          <w:highlight w:val="none"/>
        </w:rPr>
        <w:t xml:space="preserve"> （编号：</w:t>
      </w:r>
      <w:r>
        <w:rPr>
          <w:rFonts w:hint="eastAsia"/>
          <w:spacing w:val="4"/>
          <w:sz w:val="21"/>
          <w:szCs w:val="21"/>
          <w:highlight w:val="none"/>
          <w:u w:val="single" w:color="auto"/>
          <w:lang w:eastAsia="zh-CN"/>
        </w:rPr>
        <w:t>浙江飞秀2025026号</w:t>
      </w:r>
      <w:r>
        <w:rPr>
          <w:spacing w:val="36"/>
          <w:sz w:val="21"/>
          <w:szCs w:val="21"/>
          <w:highlight w:val="none"/>
        </w:rPr>
        <w:t xml:space="preserve"> </w:t>
      </w:r>
      <w:r>
        <w:rPr>
          <w:spacing w:val="4"/>
          <w:sz w:val="21"/>
          <w:szCs w:val="21"/>
          <w:highlight w:val="none"/>
        </w:rPr>
        <w:t>）政</w:t>
      </w:r>
      <w:r>
        <w:rPr>
          <w:spacing w:val="6"/>
          <w:sz w:val="21"/>
          <w:szCs w:val="21"/>
          <w:highlight w:val="none"/>
        </w:rPr>
        <w:t>府采购活动．经与本单位法人代表（负责人）联系确认，现就有关公</w:t>
      </w:r>
      <w:r>
        <w:rPr>
          <w:spacing w:val="5"/>
          <w:sz w:val="21"/>
          <w:szCs w:val="21"/>
          <w:highlight w:val="none"/>
        </w:rPr>
        <w:t>平竞争事项郑重声明如下</w:t>
      </w:r>
      <w:r>
        <w:rPr>
          <w:spacing w:val="-62"/>
          <w:sz w:val="21"/>
          <w:szCs w:val="21"/>
          <w:highlight w:val="none"/>
        </w:rPr>
        <w:t xml:space="preserve"> </w:t>
      </w:r>
      <w:r>
        <w:rPr>
          <w:spacing w:val="5"/>
          <w:sz w:val="21"/>
          <w:szCs w:val="21"/>
          <w:highlight w:val="none"/>
        </w:rPr>
        <w:t>:</w:t>
      </w:r>
    </w:p>
    <w:p w14:paraId="72D7A122">
      <w:pPr>
        <w:pStyle w:val="15"/>
        <w:spacing w:before="166" w:line="223" w:lineRule="auto"/>
        <w:ind w:left="387"/>
        <w:outlineLvl w:val="2"/>
        <w:rPr>
          <w:sz w:val="21"/>
          <w:szCs w:val="21"/>
          <w:highlight w:val="none"/>
        </w:rPr>
      </w:pPr>
      <w:r>
        <w:rPr>
          <w:spacing w:val="5"/>
          <w:sz w:val="21"/>
          <w:szCs w:val="21"/>
          <w:highlight w:val="none"/>
        </w:rPr>
        <w:t>一、本单位与采购人之间口不存在利害关系口存在下列利害关系</w:t>
      </w:r>
      <w:r>
        <w:rPr>
          <w:spacing w:val="-50"/>
          <w:sz w:val="21"/>
          <w:szCs w:val="21"/>
          <w:highlight w:val="none"/>
        </w:rPr>
        <w:t xml:space="preserve"> </w:t>
      </w:r>
      <w:r>
        <w:rPr>
          <w:spacing w:val="5"/>
          <w:sz w:val="21"/>
          <w:szCs w:val="21"/>
          <w:highlight w:val="none"/>
        </w:rPr>
        <w:t>:</w:t>
      </w:r>
    </w:p>
    <w:p w14:paraId="04A4B178">
      <w:pPr>
        <w:pStyle w:val="15"/>
        <w:spacing w:before="166" w:line="224" w:lineRule="auto"/>
        <w:ind w:left="762"/>
        <w:rPr>
          <w:sz w:val="21"/>
          <w:szCs w:val="21"/>
          <w:highlight w:val="none"/>
        </w:rPr>
      </w:pPr>
      <w:r>
        <w:rPr>
          <w:spacing w:val="5"/>
          <w:sz w:val="21"/>
          <w:szCs w:val="21"/>
          <w:highlight w:val="none"/>
        </w:rPr>
        <w:t xml:space="preserve">A．投资关系      B．行政隶属关系 </w:t>
      </w:r>
      <w:r>
        <w:rPr>
          <w:spacing w:val="4"/>
          <w:sz w:val="21"/>
          <w:szCs w:val="21"/>
          <w:highlight w:val="none"/>
        </w:rPr>
        <w:t xml:space="preserve">     C．业务指导关系</w:t>
      </w:r>
    </w:p>
    <w:p w14:paraId="219FCD48">
      <w:pPr>
        <w:pStyle w:val="15"/>
        <w:spacing w:before="166" w:line="223" w:lineRule="auto"/>
        <w:ind w:left="765"/>
        <w:rPr>
          <w:sz w:val="21"/>
          <w:szCs w:val="21"/>
          <w:highlight w:val="none"/>
        </w:rPr>
      </w:pPr>
      <w:r>
        <w:rPr>
          <w:spacing w:val="5"/>
          <w:sz w:val="21"/>
          <w:szCs w:val="21"/>
          <w:highlight w:val="none"/>
        </w:rPr>
        <w:t>D．其他可能影响采购公正的利害关系（如有，请如实说明）。</w:t>
      </w:r>
    </w:p>
    <w:p w14:paraId="3BD7131C">
      <w:pPr>
        <w:pStyle w:val="15"/>
        <w:spacing w:before="166" w:line="420" w:lineRule="exact"/>
        <w:ind w:left="388"/>
        <w:rPr>
          <w:sz w:val="21"/>
          <w:szCs w:val="21"/>
          <w:highlight w:val="none"/>
        </w:rPr>
      </w:pPr>
      <w:r>
        <w:rPr>
          <w:spacing w:val="5"/>
          <w:position w:val="15"/>
          <w:sz w:val="21"/>
          <w:szCs w:val="21"/>
          <w:highlight w:val="none"/>
        </w:rPr>
        <w:t>二、</w:t>
      </w:r>
      <w:r>
        <w:rPr>
          <w:rFonts w:hint="eastAsia"/>
          <w:spacing w:val="5"/>
          <w:position w:val="15"/>
          <w:sz w:val="21"/>
          <w:szCs w:val="21"/>
          <w:highlight w:val="none"/>
          <w:lang w:eastAsia="zh-CN"/>
        </w:rPr>
        <w:t>现已</w:t>
      </w:r>
      <w:r>
        <w:rPr>
          <w:spacing w:val="5"/>
          <w:position w:val="15"/>
          <w:sz w:val="21"/>
          <w:szCs w:val="21"/>
          <w:highlight w:val="none"/>
        </w:rPr>
        <w:t>清楚知道参加本项目采购活动的其他所有供应商名称，本单位口与其他所有</w:t>
      </w:r>
      <w:r>
        <w:rPr>
          <w:spacing w:val="4"/>
          <w:position w:val="15"/>
          <w:sz w:val="21"/>
          <w:szCs w:val="21"/>
          <w:highlight w:val="none"/>
        </w:rPr>
        <w:t>供应商之间均不存</w:t>
      </w:r>
      <w:r>
        <w:rPr>
          <w:rFonts w:hint="eastAsia"/>
          <w:spacing w:val="4"/>
          <w:position w:val="15"/>
          <w:sz w:val="21"/>
          <w:szCs w:val="21"/>
          <w:highlight w:val="none"/>
          <w:lang w:eastAsia="zh-CN"/>
        </w:rPr>
        <w:t>在利害关系</w:t>
      </w:r>
      <w:r>
        <w:rPr>
          <w:spacing w:val="5"/>
          <w:position w:val="15"/>
          <w:sz w:val="21"/>
          <w:szCs w:val="21"/>
          <w:highlight w:val="none"/>
        </w:rPr>
        <w:t>口</w:t>
      </w:r>
      <w:r>
        <w:rPr>
          <w:rFonts w:hint="eastAsia"/>
          <w:spacing w:val="5"/>
          <w:position w:val="15"/>
          <w:sz w:val="21"/>
          <w:szCs w:val="21"/>
          <w:highlight w:val="none"/>
          <w:lang w:eastAsia="zh-CN"/>
        </w:rPr>
        <w:t>与</w:t>
      </w:r>
      <w:r>
        <w:rPr>
          <w:rFonts w:hint="eastAsia"/>
          <w:spacing w:val="5"/>
          <w:position w:val="15"/>
          <w:sz w:val="21"/>
          <w:szCs w:val="21"/>
          <w:highlight w:val="none"/>
          <w:u w:val="single"/>
          <w:lang w:val="en-US" w:eastAsia="zh-CN"/>
        </w:rPr>
        <w:t xml:space="preserve">              </w:t>
      </w:r>
      <w:r>
        <w:rPr>
          <w:rFonts w:hint="eastAsia"/>
          <w:spacing w:val="5"/>
          <w:position w:val="15"/>
          <w:sz w:val="21"/>
          <w:szCs w:val="21"/>
          <w:highlight w:val="none"/>
          <w:u w:val="none"/>
          <w:lang w:val="en-US" w:eastAsia="zh-CN"/>
        </w:rPr>
        <w:t>（供应商名称）之间存在下列利害关系</w:t>
      </w:r>
    </w:p>
    <w:p w14:paraId="64A2949E">
      <w:pPr>
        <w:pStyle w:val="15"/>
        <w:spacing w:before="166" w:line="224" w:lineRule="auto"/>
        <w:ind w:left="762"/>
        <w:rPr>
          <w:sz w:val="21"/>
          <w:szCs w:val="21"/>
          <w:highlight w:val="none"/>
        </w:rPr>
      </w:pPr>
      <w:r>
        <w:rPr>
          <w:spacing w:val="6"/>
          <w:sz w:val="21"/>
          <w:szCs w:val="21"/>
          <w:highlight w:val="none"/>
        </w:rPr>
        <w:t>A．法定代表人或负责人或实际控制人是同一人</w:t>
      </w:r>
    </w:p>
    <w:p w14:paraId="446A41D2">
      <w:pPr>
        <w:pStyle w:val="15"/>
        <w:spacing w:before="165" w:line="224" w:lineRule="auto"/>
        <w:ind w:left="764"/>
        <w:rPr>
          <w:sz w:val="21"/>
          <w:szCs w:val="21"/>
          <w:highlight w:val="none"/>
        </w:rPr>
      </w:pPr>
      <w:r>
        <w:rPr>
          <w:spacing w:val="5"/>
          <w:sz w:val="21"/>
          <w:szCs w:val="21"/>
          <w:highlight w:val="none"/>
        </w:rPr>
        <w:t>B．法定代表人或负责人或实际控制人是夫妻关系</w:t>
      </w:r>
    </w:p>
    <w:p w14:paraId="5BB3B71B">
      <w:pPr>
        <w:pStyle w:val="15"/>
        <w:spacing w:before="166" w:line="224" w:lineRule="auto"/>
        <w:ind w:left="767"/>
        <w:rPr>
          <w:sz w:val="21"/>
          <w:szCs w:val="21"/>
          <w:highlight w:val="none"/>
        </w:rPr>
      </w:pPr>
      <w:r>
        <w:rPr>
          <w:spacing w:val="5"/>
          <w:sz w:val="21"/>
          <w:szCs w:val="21"/>
          <w:highlight w:val="none"/>
        </w:rPr>
        <w:t>C．法定代表人或负责人或实际控制人是直系血亲关系</w:t>
      </w:r>
    </w:p>
    <w:p w14:paraId="0413DC60">
      <w:pPr>
        <w:pStyle w:val="15"/>
        <w:spacing w:before="165" w:line="420" w:lineRule="exact"/>
        <w:ind w:left="765"/>
        <w:rPr>
          <w:sz w:val="21"/>
          <w:szCs w:val="21"/>
          <w:highlight w:val="none"/>
        </w:rPr>
      </w:pPr>
      <w:r>
        <w:rPr>
          <w:spacing w:val="6"/>
          <w:position w:val="15"/>
          <w:sz w:val="21"/>
          <w:szCs w:val="21"/>
          <w:highlight w:val="none"/>
        </w:rPr>
        <w:t>D．法定代表人或负责人或实际控制人存在三代以</w:t>
      </w:r>
      <w:r>
        <w:rPr>
          <w:spacing w:val="5"/>
          <w:position w:val="15"/>
          <w:sz w:val="21"/>
          <w:szCs w:val="21"/>
          <w:highlight w:val="none"/>
        </w:rPr>
        <w:t>内旁系血亲关系</w:t>
      </w:r>
    </w:p>
    <w:p w14:paraId="0EF9C27B">
      <w:pPr>
        <w:pStyle w:val="15"/>
        <w:spacing w:before="2" w:line="223" w:lineRule="auto"/>
        <w:ind w:left="766"/>
        <w:rPr>
          <w:sz w:val="21"/>
          <w:szCs w:val="21"/>
          <w:highlight w:val="none"/>
        </w:rPr>
      </w:pPr>
      <w:r>
        <w:rPr>
          <w:spacing w:val="5"/>
          <w:sz w:val="21"/>
          <w:szCs w:val="21"/>
          <w:highlight w:val="none"/>
        </w:rPr>
        <w:t>E．法定代表人或负责人或实际控制人存在近姻亲关系</w:t>
      </w:r>
    </w:p>
    <w:p w14:paraId="3A70CA47">
      <w:pPr>
        <w:pStyle w:val="15"/>
        <w:spacing w:before="165" w:line="420" w:lineRule="exact"/>
        <w:ind w:left="765"/>
        <w:rPr>
          <w:sz w:val="21"/>
          <w:szCs w:val="21"/>
          <w:highlight w:val="none"/>
        </w:rPr>
      </w:pPr>
      <w:r>
        <w:rPr>
          <w:spacing w:val="6"/>
          <w:position w:val="15"/>
          <w:sz w:val="21"/>
          <w:szCs w:val="21"/>
          <w:highlight w:val="none"/>
        </w:rPr>
        <w:t>F．法定代表人或负责人或实际控制人存在股份控</w:t>
      </w:r>
      <w:r>
        <w:rPr>
          <w:spacing w:val="5"/>
          <w:position w:val="15"/>
          <w:sz w:val="21"/>
          <w:szCs w:val="21"/>
          <w:highlight w:val="none"/>
        </w:rPr>
        <w:t>制或实际控制关系</w:t>
      </w:r>
    </w:p>
    <w:p w14:paraId="301647DE">
      <w:pPr>
        <w:pStyle w:val="15"/>
        <w:spacing w:before="1" w:line="223" w:lineRule="auto"/>
        <w:ind w:left="766"/>
        <w:rPr>
          <w:sz w:val="21"/>
          <w:szCs w:val="21"/>
          <w:highlight w:val="none"/>
        </w:rPr>
      </w:pPr>
      <w:r>
        <w:rPr>
          <w:spacing w:val="6"/>
          <w:sz w:val="21"/>
          <w:szCs w:val="21"/>
          <w:highlight w:val="none"/>
        </w:rPr>
        <w:t>G．存在共同直接或间接投资设立子公司、联营企</w:t>
      </w:r>
      <w:r>
        <w:rPr>
          <w:spacing w:val="5"/>
          <w:sz w:val="21"/>
          <w:szCs w:val="21"/>
          <w:highlight w:val="none"/>
        </w:rPr>
        <w:t>业和合营企业情况</w:t>
      </w:r>
    </w:p>
    <w:p w14:paraId="00D48D7E">
      <w:pPr>
        <w:pStyle w:val="15"/>
        <w:spacing w:before="166" w:line="420" w:lineRule="exact"/>
        <w:ind w:left="764"/>
        <w:rPr>
          <w:sz w:val="21"/>
          <w:szCs w:val="21"/>
          <w:highlight w:val="none"/>
        </w:rPr>
      </w:pPr>
      <w:r>
        <w:rPr>
          <w:spacing w:val="7"/>
          <w:position w:val="15"/>
          <w:sz w:val="21"/>
          <w:szCs w:val="21"/>
          <w:highlight w:val="none"/>
        </w:rPr>
        <w:t>H．存在分级代理或代销关系、同一生产制造商关系、管理关系、重要</w:t>
      </w:r>
      <w:r>
        <w:rPr>
          <w:spacing w:val="6"/>
          <w:position w:val="15"/>
          <w:sz w:val="21"/>
          <w:szCs w:val="21"/>
          <w:highlight w:val="none"/>
        </w:rPr>
        <w:t>业务（占主营业务收入 50</w:t>
      </w:r>
      <w:r>
        <w:rPr>
          <w:spacing w:val="37"/>
          <w:position w:val="15"/>
          <w:sz w:val="21"/>
          <w:szCs w:val="21"/>
          <w:highlight w:val="none"/>
        </w:rPr>
        <w:t xml:space="preserve"> </w:t>
      </w:r>
      <w:r>
        <w:rPr>
          <w:spacing w:val="6"/>
          <w:position w:val="15"/>
          <w:sz w:val="21"/>
          <w:szCs w:val="21"/>
          <w:highlight w:val="none"/>
        </w:rPr>
        <w:t>%</w:t>
      </w:r>
    </w:p>
    <w:p w14:paraId="2438603F">
      <w:pPr>
        <w:pStyle w:val="15"/>
        <w:spacing w:before="1" w:line="223" w:lineRule="auto"/>
        <w:ind w:left="792"/>
        <w:rPr>
          <w:sz w:val="21"/>
          <w:szCs w:val="21"/>
          <w:highlight w:val="none"/>
        </w:rPr>
      </w:pPr>
      <w:r>
        <w:rPr>
          <w:spacing w:val="5"/>
          <w:sz w:val="21"/>
          <w:szCs w:val="21"/>
          <w:highlight w:val="none"/>
        </w:rPr>
        <w:t>以上）或重要财务往来关系（如融资）等其他实质性</w:t>
      </w:r>
      <w:r>
        <w:rPr>
          <w:spacing w:val="4"/>
          <w:sz w:val="21"/>
          <w:szCs w:val="21"/>
          <w:highlight w:val="none"/>
        </w:rPr>
        <w:t>控制关系</w:t>
      </w:r>
    </w:p>
    <w:p w14:paraId="7C2648A3">
      <w:pPr>
        <w:pStyle w:val="15"/>
        <w:spacing w:before="166" w:line="369" w:lineRule="auto"/>
        <w:ind w:left="781"/>
        <w:rPr>
          <w:sz w:val="21"/>
          <w:szCs w:val="21"/>
          <w:highlight w:val="none"/>
        </w:rPr>
      </w:pPr>
      <w:r>
        <w:rPr>
          <w:spacing w:val="3"/>
          <w:sz w:val="21"/>
          <w:szCs w:val="21"/>
          <w:highlight w:val="none"/>
        </w:rPr>
        <w:t xml:space="preserve">I．其他利害关系情况 </w:t>
      </w:r>
      <w:r>
        <w:rPr>
          <w:spacing w:val="3"/>
          <w:sz w:val="21"/>
          <w:szCs w:val="21"/>
          <w:highlight w:val="none"/>
          <w:u w:val="single" w:color="auto"/>
        </w:rPr>
        <w:t xml:space="preserve">                                        </w:t>
      </w:r>
      <w:r>
        <w:rPr>
          <w:spacing w:val="3"/>
          <w:sz w:val="21"/>
          <w:szCs w:val="21"/>
          <w:highlight w:val="none"/>
        </w:rPr>
        <w:t>。</w:t>
      </w:r>
    </w:p>
    <w:p w14:paraId="0DD87128">
      <w:pPr>
        <w:pStyle w:val="15"/>
        <w:spacing w:line="223" w:lineRule="auto"/>
        <w:ind w:left="384"/>
        <w:outlineLvl w:val="2"/>
        <w:rPr>
          <w:sz w:val="21"/>
          <w:szCs w:val="21"/>
          <w:highlight w:val="none"/>
        </w:rPr>
      </w:pPr>
      <w:r>
        <w:rPr>
          <w:spacing w:val="5"/>
          <w:sz w:val="21"/>
          <w:szCs w:val="21"/>
          <w:highlight w:val="none"/>
        </w:rPr>
        <w:t>三、现</w:t>
      </w:r>
      <w:r>
        <w:rPr>
          <w:rFonts w:hint="eastAsia"/>
          <w:spacing w:val="5"/>
          <w:sz w:val="21"/>
          <w:szCs w:val="21"/>
          <w:highlight w:val="none"/>
          <w:lang w:eastAsia="zh-CN"/>
        </w:rPr>
        <w:t>已</w:t>
      </w:r>
      <w:r>
        <w:rPr>
          <w:spacing w:val="5"/>
          <w:sz w:val="21"/>
          <w:szCs w:val="21"/>
          <w:highlight w:val="none"/>
        </w:rPr>
        <w:t>清楚知道并严格遵守政府采购法律法规和现场纪律。</w:t>
      </w:r>
    </w:p>
    <w:p w14:paraId="38AA2A9B">
      <w:pPr>
        <w:pStyle w:val="15"/>
        <w:spacing w:before="166" w:line="223" w:lineRule="auto"/>
        <w:ind w:left="387"/>
        <w:outlineLvl w:val="2"/>
        <w:rPr>
          <w:spacing w:val="5"/>
          <w:sz w:val="21"/>
          <w:szCs w:val="21"/>
          <w:highlight w:val="none"/>
        </w:rPr>
      </w:pPr>
      <w:r>
        <w:rPr>
          <w:spacing w:val="5"/>
          <w:sz w:val="21"/>
          <w:szCs w:val="21"/>
          <w:highlight w:val="none"/>
        </w:rPr>
        <w:t>四、我发现</w:t>
      </w:r>
      <w:r>
        <w:rPr>
          <w:spacing w:val="5"/>
          <w:sz w:val="21"/>
          <w:szCs w:val="21"/>
          <w:highlight w:val="none"/>
          <w:u w:val="single"/>
        </w:rPr>
        <w:t xml:space="preserve">                      </w:t>
      </w:r>
      <w:r>
        <w:rPr>
          <w:spacing w:val="5"/>
          <w:sz w:val="21"/>
          <w:szCs w:val="21"/>
          <w:highlight w:val="none"/>
        </w:rPr>
        <w:t>供应商之间存在或可能存在上述第二条第</w:t>
      </w:r>
      <w:r>
        <w:rPr>
          <w:spacing w:val="5"/>
          <w:sz w:val="21"/>
          <w:szCs w:val="21"/>
          <w:highlight w:val="none"/>
          <w:u w:val="single"/>
        </w:rPr>
        <w:t xml:space="preserve">              </w:t>
      </w:r>
      <w:r>
        <w:rPr>
          <w:spacing w:val="5"/>
          <w:sz w:val="21"/>
          <w:szCs w:val="21"/>
          <w:highlight w:val="none"/>
        </w:rPr>
        <w:t>项利害关系。</w:t>
      </w:r>
    </w:p>
    <w:p w14:paraId="38BDB1EE">
      <w:pPr>
        <w:spacing w:line="258" w:lineRule="auto"/>
        <w:rPr>
          <w:rFonts w:ascii="Arial"/>
          <w:sz w:val="21"/>
          <w:szCs w:val="21"/>
          <w:highlight w:val="none"/>
        </w:rPr>
      </w:pPr>
    </w:p>
    <w:p w14:paraId="7425DFB9">
      <w:pPr>
        <w:pStyle w:val="15"/>
        <w:spacing w:before="69" w:line="223" w:lineRule="auto"/>
        <w:ind w:left="6013"/>
        <w:rPr>
          <w:sz w:val="21"/>
          <w:szCs w:val="21"/>
          <w:highlight w:val="none"/>
        </w:rPr>
      </w:pPr>
      <w:r>
        <w:rPr>
          <w:spacing w:val="2"/>
          <w:sz w:val="21"/>
          <w:szCs w:val="21"/>
          <w:highlight w:val="none"/>
        </w:rPr>
        <w:t>（供应商代表签名）</w:t>
      </w:r>
      <w:r>
        <w:rPr>
          <w:spacing w:val="-48"/>
          <w:sz w:val="21"/>
          <w:szCs w:val="21"/>
          <w:highlight w:val="none"/>
        </w:rPr>
        <w:t xml:space="preserve"> </w:t>
      </w:r>
      <w:r>
        <w:rPr>
          <w:spacing w:val="2"/>
          <w:sz w:val="21"/>
          <w:szCs w:val="21"/>
          <w:highlight w:val="none"/>
        </w:rPr>
        <w:t>:</w:t>
      </w:r>
    </w:p>
    <w:p w14:paraId="0273F262">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Cs w:val="21"/>
          <w:highlight w:val="none"/>
        </w:rPr>
      </w:pPr>
      <w:r>
        <w:rPr>
          <w:rFonts w:hint="eastAsia"/>
          <w:spacing w:val="2"/>
          <w:sz w:val="21"/>
          <w:szCs w:val="21"/>
          <w:highlight w:val="none"/>
          <w:lang w:val="en-US" w:eastAsia="zh-CN"/>
        </w:rPr>
        <w:t xml:space="preserve">    </w:t>
      </w:r>
      <w:r>
        <w:rPr>
          <w:spacing w:val="2"/>
          <w:sz w:val="21"/>
          <w:szCs w:val="21"/>
          <w:highlight w:val="none"/>
        </w:rPr>
        <w:t>年</w:t>
      </w:r>
      <w:r>
        <w:rPr>
          <w:rFonts w:hint="eastAsia"/>
          <w:spacing w:val="2"/>
          <w:sz w:val="21"/>
          <w:szCs w:val="21"/>
          <w:highlight w:val="none"/>
          <w:lang w:val="en-US" w:eastAsia="zh-CN"/>
        </w:rPr>
        <w:t xml:space="preserve">   </w:t>
      </w:r>
      <w:r>
        <w:rPr>
          <w:spacing w:val="2"/>
          <w:sz w:val="21"/>
          <w:szCs w:val="21"/>
          <w:highlight w:val="none"/>
        </w:rPr>
        <w:t>月</w:t>
      </w:r>
      <w:r>
        <w:rPr>
          <w:rFonts w:hint="eastAsia"/>
          <w:spacing w:val="2"/>
          <w:sz w:val="21"/>
          <w:szCs w:val="21"/>
          <w:highlight w:val="none"/>
          <w:lang w:val="en-US" w:eastAsia="zh-CN"/>
        </w:rPr>
        <w:t xml:space="preserve">   </w:t>
      </w:r>
      <w:r>
        <w:rPr>
          <w:spacing w:val="2"/>
          <w:sz w:val="21"/>
          <w:szCs w:val="21"/>
          <w:highlight w:val="none"/>
        </w:rPr>
        <w:t>日</w:t>
      </w:r>
    </w:p>
    <w:p w14:paraId="33B78B4F">
      <w:pPr>
        <w:keepNext w:val="0"/>
        <w:keepLines w:val="0"/>
        <w:pageBreakBefore w:val="0"/>
        <w:widowControl w:val="0"/>
        <w:kinsoku/>
        <w:wordWrap/>
        <w:overflowPunct/>
        <w:topLinePunct w:val="0"/>
        <w:autoSpaceDE/>
        <w:autoSpaceDN/>
        <w:bidi w:val="0"/>
        <w:adjustRightInd/>
        <w:snapToGrid/>
        <w:spacing w:line="360" w:lineRule="exact"/>
        <w:ind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注：1.供应商认为有利害关系和需要回避的人员，应提供相关证明材料，与本声明书一同提交。由采购代理机构和财政监督部门负责询问核查。</w:t>
      </w:r>
    </w:p>
    <w:p w14:paraId="06D702C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供应商根据解密后交易平台公布的供应商名单及信息，通过邮件方式提交《政府采购活动现场确认声明书》至邮箱</w:t>
      </w:r>
      <w:r>
        <w:rPr>
          <w:rFonts w:hint="eastAsia" w:ascii="宋体" w:hAnsi="宋体" w:eastAsia="宋体" w:cs="宋体"/>
          <w:b/>
          <w:color w:val="auto"/>
          <w:szCs w:val="21"/>
          <w:highlight w:val="none"/>
          <w:lang w:val="en-US" w:eastAsia="zh-CN"/>
        </w:rPr>
        <w:t>652710846</w:t>
      </w:r>
      <w:r>
        <w:rPr>
          <w:rFonts w:hint="eastAsia" w:ascii="宋体" w:hAnsi="宋体" w:eastAsia="宋体" w:cs="宋体"/>
          <w:b/>
          <w:color w:val="auto"/>
          <w:szCs w:val="21"/>
          <w:highlight w:val="none"/>
        </w:rPr>
        <w:t>@qq.com，提交时限为“开启标书信息”后30分钟内，未发送视为无异议。</w:t>
      </w:r>
    </w:p>
    <w:p w14:paraId="6C01F47B">
      <w:pPr>
        <w:rPr>
          <w:rFonts w:hint="eastAsia" w:ascii="宋体" w:hAnsi="宋体" w:eastAsia="宋体" w:cs="宋体"/>
          <w:b/>
          <w:bCs/>
          <w:color w:val="auto"/>
          <w:sz w:val="36"/>
          <w:szCs w:val="36"/>
          <w:highlight w:val="none"/>
        </w:rPr>
      </w:pPr>
      <w:bookmarkStart w:id="166" w:name="_Toc11096"/>
      <w:bookmarkStart w:id="167" w:name="_Toc2466"/>
      <w:bookmarkStart w:id="168" w:name="_Toc335664294"/>
      <w:bookmarkStart w:id="169" w:name="_Toc390938600"/>
      <w:r>
        <w:rPr>
          <w:rFonts w:hint="eastAsia" w:ascii="宋体" w:hAnsi="宋体" w:eastAsia="宋体" w:cs="宋体"/>
          <w:b/>
          <w:bCs/>
          <w:color w:val="auto"/>
          <w:sz w:val="36"/>
          <w:szCs w:val="36"/>
          <w:highlight w:val="none"/>
        </w:rPr>
        <w:br w:type="page"/>
      </w:r>
    </w:p>
    <w:p w14:paraId="463D60BF">
      <w:pPr>
        <w:pStyle w:val="4"/>
        <w:widowControl w:val="0"/>
        <w:spacing w:line="560" w:lineRule="exact"/>
        <w:ind w:left="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磋商办法和细则</w:t>
      </w:r>
      <w:bookmarkEnd w:id="166"/>
      <w:bookmarkEnd w:id="167"/>
      <w:bookmarkEnd w:id="168"/>
      <w:bookmarkEnd w:id="169"/>
    </w:p>
    <w:p w14:paraId="30E49840">
      <w:pPr>
        <w:pStyle w:val="26"/>
        <w:keepNext w:val="0"/>
        <w:keepLines w:val="0"/>
        <w:pageBreakBefore w:val="0"/>
        <w:widowControl w:val="0"/>
        <w:kinsoku/>
        <w:wordWrap w:val="0"/>
        <w:overflowPunct/>
        <w:topLinePunct w:val="0"/>
        <w:autoSpaceDE/>
        <w:autoSpaceDN/>
        <w:bidi w:val="0"/>
        <w:adjustRightInd/>
        <w:snapToGrid/>
        <w:spacing w:line="46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根据《中华人民共和国政府采购法</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政府采购竞争性磋商采购方式管理暂行办法》等有关法律法规的规定，并结合本项目的实际，按照公正、公平、科学、择优的原则选择成交人，特制定本办法。</w:t>
      </w:r>
    </w:p>
    <w:p w14:paraId="75EAA3EE">
      <w:pPr>
        <w:pStyle w:val="5"/>
        <w:keepNext w:val="0"/>
        <w:keepLines w:val="0"/>
        <w:pageBreakBefore w:val="0"/>
        <w:widowControl w:val="0"/>
        <w:kinsoku/>
        <w:overflowPunct/>
        <w:topLinePunct w:val="0"/>
        <w:autoSpaceDE/>
        <w:autoSpaceDN/>
        <w:bidi w:val="0"/>
        <w:adjustRightInd/>
        <w:snapToGrid/>
        <w:spacing w:after="0" w:line="460" w:lineRule="exact"/>
        <w:ind w:left="0" w:firstLine="0"/>
        <w:textAlignment w:val="auto"/>
        <w:outlineLvl w:val="1"/>
        <w:rPr>
          <w:rFonts w:hint="eastAsia" w:ascii="宋体" w:hAnsi="宋体" w:eastAsia="宋体" w:cs="宋体"/>
          <w:b/>
          <w:bCs/>
          <w:color w:val="auto"/>
          <w:sz w:val="28"/>
          <w:szCs w:val="28"/>
          <w:highlight w:val="none"/>
        </w:rPr>
      </w:pPr>
      <w:bookmarkStart w:id="170" w:name="_Toc335664295"/>
      <w:bookmarkStart w:id="171" w:name="_Toc494558393"/>
      <w:bookmarkStart w:id="172" w:name="_Toc493955998"/>
      <w:bookmarkStart w:id="173" w:name="_Toc28076"/>
      <w:bookmarkStart w:id="174" w:name="_Toc26047"/>
      <w:bookmarkStart w:id="175" w:name="_Toc335664299"/>
      <w:bookmarkStart w:id="176" w:name="_Toc390938605"/>
      <w:r>
        <w:rPr>
          <w:rFonts w:hint="eastAsia" w:ascii="宋体" w:hAnsi="宋体" w:eastAsia="宋体" w:cs="宋体"/>
          <w:b/>
          <w:bCs/>
          <w:color w:val="auto"/>
          <w:sz w:val="28"/>
          <w:szCs w:val="28"/>
          <w:highlight w:val="none"/>
        </w:rPr>
        <w:t>一  总则</w:t>
      </w:r>
      <w:bookmarkEnd w:id="170"/>
      <w:bookmarkEnd w:id="171"/>
      <w:bookmarkEnd w:id="172"/>
      <w:bookmarkEnd w:id="173"/>
      <w:bookmarkEnd w:id="174"/>
    </w:p>
    <w:p w14:paraId="3ECB5AE5">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bookmarkStart w:id="177" w:name="_Toc335664296"/>
      <w:bookmarkStart w:id="178" w:name="_Toc3484"/>
      <w:bookmarkStart w:id="179" w:name="_Toc494558394"/>
      <w:bookmarkStart w:id="180" w:name="_Toc30682"/>
      <w:bookmarkStart w:id="181" w:name="_Toc493955999"/>
      <w:r>
        <w:rPr>
          <w:rFonts w:hint="eastAsia" w:ascii="宋体" w:hAnsi="宋体" w:eastAsia="宋体" w:cs="宋体"/>
          <w:color w:val="auto"/>
          <w:sz w:val="24"/>
          <w:szCs w:val="24"/>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w:t>
      </w:r>
      <w:r>
        <w:rPr>
          <w:rFonts w:hint="eastAsia" w:ascii="宋体" w:hAnsi="宋体" w:eastAsia="宋体" w:cs="宋体"/>
          <w:color w:val="auto"/>
          <w:sz w:val="24"/>
          <w:szCs w:val="24"/>
          <w:highlight w:val="none"/>
          <w:lang w:eastAsia="zh-CN"/>
        </w:rPr>
        <w:t>泄露</w:t>
      </w:r>
      <w:r>
        <w:rPr>
          <w:rFonts w:hint="eastAsia" w:ascii="宋体" w:hAnsi="宋体" w:eastAsia="宋体" w:cs="宋体"/>
          <w:color w:val="auto"/>
          <w:sz w:val="24"/>
          <w:szCs w:val="24"/>
          <w:highlight w:val="none"/>
        </w:rPr>
        <w:t>评审有关的情况，不得索贿受贿，不得参加影响评审的任何活动。</w:t>
      </w:r>
    </w:p>
    <w:p w14:paraId="654613C8">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本次评审方法采取百分制综合评分法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按总得分由高到低顺序排列。总得分相同的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按报价得分由高到低顺序排列；总得分和报价得分均相同的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按技术得分由高到低顺序排列；以上得分均相同的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由采购人抽签确定排名（即第一抽出人为第一名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以此类推）。评审委员会按总得分从高到低推荐</w:t>
      </w:r>
      <w:r>
        <w:rPr>
          <w:rFonts w:hint="eastAsia" w:ascii="宋体" w:hAnsi="宋体" w:eastAsia="宋体" w:cs="宋体"/>
          <w:color w:val="auto"/>
          <w:sz w:val="24"/>
          <w:szCs w:val="24"/>
          <w:highlight w:val="none"/>
          <w:lang w:eastAsia="zh-CN"/>
        </w:rPr>
        <w:t>三名预</w:t>
      </w:r>
      <w:r>
        <w:rPr>
          <w:rFonts w:hint="eastAsia" w:ascii="宋体" w:hAnsi="宋体" w:eastAsia="宋体" w:cs="宋体"/>
          <w:color w:val="auto"/>
          <w:sz w:val="24"/>
          <w:szCs w:val="24"/>
          <w:highlight w:val="none"/>
        </w:rPr>
        <w:t>成交人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由采购人确定本项目</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658D82B1">
      <w:pPr>
        <w:pStyle w:val="5"/>
        <w:keepNext w:val="0"/>
        <w:keepLines w:val="0"/>
        <w:pageBreakBefore w:val="0"/>
        <w:widowControl w:val="0"/>
        <w:kinsoku/>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二   </w:t>
      </w:r>
      <w:bookmarkEnd w:id="177"/>
      <w:r>
        <w:rPr>
          <w:rFonts w:hint="eastAsia" w:ascii="宋体" w:hAnsi="宋体" w:eastAsia="宋体" w:cs="宋体"/>
          <w:b/>
          <w:bCs/>
          <w:color w:val="auto"/>
          <w:sz w:val="28"/>
          <w:szCs w:val="28"/>
          <w:highlight w:val="none"/>
        </w:rPr>
        <w:t>磋商小组</w:t>
      </w:r>
      <w:bookmarkEnd w:id="178"/>
      <w:bookmarkEnd w:id="179"/>
      <w:bookmarkEnd w:id="180"/>
      <w:bookmarkEnd w:id="181"/>
    </w:p>
    <w:p w14:paraId="7016E4DD">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w:t>
      </w:r>
    </w:p>
    <w:p w14:paraId="30244FB8">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7AB903B4">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2.1.2职责：严格按政府采购法律法规的有关规定执行，磋商小组成员应按磋商文件规定的评审要求、评审程序、评审内容、评审方法和评审标准进行评审，对评审意见承担个人责任。</w:t>
      </w:r>
    </w:p>
    <w:p w14:paraId="182C84BE">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45F74424">
      <w:pPr>
        <w:pStyle w:val="5"/>
        <w:keepNext w:val="0"/>
        <w:keepLines w:val="0"/>
        <w:pageBreakBefore w:val="0"/>
        <w:widowControl w:val="0"/>
        <w:kinsoku/>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bookmarkStart w:id="182" w:name="_Toc5778"/>
      <w:bookmarkStart w:id="183" w:name="_Toc25156"/>
      <w:bookmarkStart w:id="184" w:name="_Toc494558395"/>
      <w:r>
        <w:rPr>
          <w:rFonts w:hint="eastAsia" w:ascii="宋体" w:hAnsi="宋体" w:eastAsia="宋体" w:cs="宋体"/>
          <w:b/>
          <w:bCs/>
          <w:color w:val="auto"/>
          <w:sz w:val="28"/>
          <w:szCs w:val="28"/>
          <w:highlight w:val="none"/>
        </w:rPr>
        <w:t>三   磋商程序</w:t>
      </w:r>
      <w:bookmarkEnd w:id="182"/>
      <w:bookmarkEnd w:id="183"/>
      <w:bookmarkEnd w:id="184"/>
    </w:p>
    <w:p w14:paraId="131C4DE5">
      <w:pPr>
        <w:keepNext w:val="0"/>
        <w:keepLines w:val="0"/>
        <w:pageBreakBefore w:val="0"/>
        <w:widowControl w:val="0"/>
        <w:kinsoku/>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符合性审查</w:t>
      </w:r>
    </w:p>
    <w:p w14:paraId="348DBC4B">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auto"/>
          <w:sz w:val="24"/>
          <w:highlight w:val="none"/>
        </w:rPr>
        <w:t>通过符合性审查不足三家的，除采购任务取消的情形外，按相关规定重新组织采购。</w:t>
      </w:r>
    </w:p>
    <w:p w14:paraId="6352792B">
      <w:pPr>
        <w:keepNext w:val="0"/>
        <w:keepLines w:val="0"/>
        <w:pageBreakBefore w:val="0"/>
        <w:widowControl w:val="0"/>
        <w:kinsoku/>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磋商</w:t>
      </w:r>
    </w:p>
    <w:p w14:paraId="1F54104E">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3.2.1磋商小组对响应文件进行评审，并根据磋商文件规定的程序、评定成交的标准等事项与实质性响应磋商文件要求的供应商进行多轮磋商。</w:t>
      </w:r>
    </w:p>
    <w:p w14:paraId="2022017B">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
          <w:sz w:val="24"/>
          <w:szCs w:val="24"/>
          <w:highlight w:val="none"/>
        </w:rPr>
        <w:t>磋商小组按电子交易平台解密后自动生成的“响应文件签收登记表”名单顺序分别进行磋商（若有演示、讲解内容，演示、讲解顺序同磋商顺序）。磋商小组所有成员应当集中与单一供应商分别进行磋商，并给予所有参加磋商的供应商平等的磋商机会。</w:t>
      </w:r>
    </w:p>
    <w:p w14:paraId="42CC5AD9">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54056940">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（3）在磋商过程中，磋商小组可以根据磋商文件和磋商情况实质性变动采购需求中的技术、服务要求以及合同条款。实质性变动的内容，</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经采购人代表确认。</w:t>
      </w:r>
    </w:p>
    <w:p w14:paraId="4113896B">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对磋商文件作出实质性变动是磋商文件的有效组成部分，磋商小组应当通过电子交易平台交换数据电文的形式同时通知所有参加磋商的供应商。</w:t>
      </w:r>
    </w:p>
    <w:p w14:paraId="4B31ED08">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（4）磋商文件能够详细列明采购标的的技术、服务要求的，磋商结束后，磋商小组应当要求所有继续参加磋商的供应商在规定时间内提交最终报价。</w:t>
      </w:r>
    </w:p>
    <w:p w14:paraId="03F84550">
      <w:pPr>
        <w:keepNext w:val="0"/>
        <w:keepLines w:val="0"/>
        <w:pageBreakBefore w:val="0"/>
        <w:widowControl w:val="0"/>
        <w:tabs>
          <w:tab w:val="left" w:pos="6870"/>
        </w:tabs>
        <w:kinsoku/>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3.2.2 磋商注意事项</w:t>
      </w:r>
    </w:p>
    <w:p w14:paraId="78607BDE">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磋商时，参与磋商的供应商应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ascii="宋体" w:hAnsi="宋体" w:eastAsia="宋体" w:cs="宋体"/>
          <w:b/>
          <w:bCs/>
          <w:color w:val="auto"/>
          <w:sz w:val="24"/>
          <w:szCs w:val="24"/>
          <w:highlight w:val="none"/>
        </w:rPr>
        <w:t>如磋商只要求对总价进行报价的，各分项报价以总价按前一轮报价下浮比例下浮。</w:t>
      </w:r>
    </w:p>
    <w:p w14:paraId="4F8F3E06">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3851D814">
      <w:pPr>
        <w:keepNext w:val="0"/>
        <w:keepLines w:val="0"/>
        <w:pageBreakBefore w:val="0"/>
        <w:widowControl w:val="0"/>
        <w:kinsoku/>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（3）出席磋商的有关人员：监督人员、磋商小组成员和采购代理机构工作人员；监督人员负责现场监督。参与磋商的供应商的所有响应文件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包括每次报价及重新承诺</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规定</w:t>
      </w:r>
      <w:r>
        <w:rPr>
          <w:rFonts w:hint="eastAsia" w:ascii="宋体" w:hAnsi="宋体" w:eastAsia="宋体" w:cs="宋体"/>
          <w:color w:val="auto"/>
          <w:spacing w:val="-6"/>
          <w:sz w:val="24"/>
          <w:szCs w:val="24"/>
          <w:highlight w:val="none"/>
          <w:lang w:eastAsia="zh-CN"/>
        </w:rPr>
        <w:t>截止时间</w:t>
      </w:r>
      <w:r>
        <w:rPr>
          <w:rFonts w:hint="eastAsia" w:ascii="宋体" w:hAnsi="宋体" w:eastAsia="宋体" w:cs="宋体"/>
          <w:color w:val="auto"/>
          <w:spacing w:val="-6"/>
          <w:sz w:val="24"/>
          <w:szCs w:val="24"/>
          <w:highlight w:val="none"/>
        </w:rPr>
        <w:t>前由代理机构工作人员进行接收，任何参与磋商的个人均不得私自拆封。磋商小组负责本次项目所有磋商任务，包括全程磋商、推荐成交候选人、填写评审报告等。</w:t>
      </w:r>
    </w:p>
    <w:p w14:paraId="4FEBA109">
      <w:pPr>
        <w:keepNext w:val="0"/>
        <w:keepLines w:val="0"/>
        <w:pageBreakBefore w:val="0"/>
        <w:widowControl w:val="0"/>
        <w:tabs>
          <w:tab w:val="left" w:pos="6870"/>
        </w:tabs>
        <w:kinsoku/>
        <w:overflowPunct/>
        <w:topLinePunct w:val="0"/>
        <w:autoSpaceDE/>
        <w:autoSpaceDN/>
        <w:bidi w:val="0"/>
        <w:adjustRightInd/>
        <w:snapToGrid/>
        <w:spacing w:line="460" w:lineRule="exact"/>
        <w:ind w:firstLine="600" w:firstLineChars="249"/>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评审</w:t>
      </w:r>
    </w:p>
    <w:p w14:paraId="704958BD">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3.3.1磋商小组采用综合评分法对确定作出最终报价的供应商的响应文件进行综合评分。</w:t>
      </w:r>
    </w:p>
    <w:p w14:paraId="12E2D703">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（1）磋商小组依据磋商文件的规定，对各供应商的资信商务部分进行评审，对客观分应统一意见后统一给分。</w:t>
      </w:r>
    </w:p>
    <w:p w14:paraId="67E6B27B">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磋商文件的规定，对各供应商的技术部分进行独立评审。对各响应文件进行比较和必要的澄清，若有演示、样品要求和技术文件评审同步进行，演示顺序为电子交易平台解密后自动生成的“响应文件签收登记表”名单顺序，并根据审查、澄清、演示、样品等情况结合评审办法进行独立打分；</w:t>
      </w:r>
    </w:p>
    <w:p w14:paraId="73119B18">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（3）各供应商的资信商务及技术得分，为各磋商小组成员对该供应商的评分汇总后的算术平均数。</w:t>
      </w:r>
    </w:p>
    <w:p w14:paraId="0870D2F9">
      <w:pPr>
        <w:keepNext w:val="0"/>
        <w:keepLines w:val="0"/>
        <w:pageBreakBefore w:val="0"/>
        <w:widowControl w:val="0"/>
        <w:tabs>
          <w:tab w:val="left" w:pos="6870"/>
        </w:tabs>
        <w:kinsoku/>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3.3.2 报价文件评审</w:t>
      </w:r>
    </w:p>
    <w:p w14:paraId="269A7076">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（1）供应商提交最终报价。</w:t>
      </w:r>
    </w:p>
    <w:p w14:paraId="11A1F853">
      <w:pPr>
        <w:keepNext w:val="0"/>
        <w:keepLines w:val="0"/>
        <w:pageBreakBefore w:val="0"/>
        <w:widowControl w:val="0"/>
        <w:kinsoku/>
        <w:overflowPunct/>
        <w:topLinePunct w:val="0"/>
        <w:autoSpaceDE/>
        <w:autoSpaceDN/>
        <w:bidi w:val="0"/>
        <w:adjustRightInd/>
        <w:snapToGrid/>
        <w:spacing w:line="460" w:lineRule="exact"/>
        <w:ind w:firstLine="342" w:firstLineChars="15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（2）代理机构通过电子交易平台同时公布各供应商最终报价和资信商务及技术得分。</w:t>
      </w:r>
    </w:p>
    <w:p w14:paraId="58B3BBD1">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（3）磋商小组依据磋商文件的规定，对各供应商的最终报价的合理性进行审查，必要时可要求供应商对其报价</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澄清、说明。</w:t>
      </w:r>
    </w:p>
    <w:p w14:paraId="2A9120E4">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（4）政府政策优惠扣除；</w:t>
      </w:r>
    </w:p>
    <w:p w14:paraId="723A17CC">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（5）报价修正；</w:t>
      </w:r>
    </w:p>
    <w:p w14:paraId="0DD81788">
      <w:pPr>
        <w:keepNext w:val="0"/>
        <w:keepLines w:val="0"/>
        <w:pageBreakBefore w:val="0"/>
        <w:widowControl w:val="0"/>
        <w:kinsoku/>
        <w:overflowPunct/>
        <w:topLinePunct w:val="0"/>
        <w:autoSpaceDE/>
        <w:autoSpaceDN/>
        <w:bidi w:val="0"/>
        <w:adjustRightInd/>
        <w:snapToGrid/>
        <w:spacing w:line="46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（6）磋商小组根据供应商的报价和评审标准，计算各供应商的报价得分。</w:t>
      </w:r>
    </w:p>
    <w:p w14:paraId="62BA4254">
      <w:pPr>
        <w:keepNext w:val="0"/>
        <w:keepLines w:val="0"/>
        <w:pageBreakBefore w:val="0"/>
        <w:widowControl w:val="0"/>
        <w:tabs>
          <w:tab w:val="left" w:pos="6870"/>
        </w:tabs>
        <w:kinsoku/>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评审结果</w:t>
      </w:r>
    </w:p>
    <w:p w14:paraId="17D63504">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评审结果汇总，供应商结果排序；</w:t>
      </w:r>
    </w:p>
    <w:p w14:paraId="1B719BA0">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起草评审报告，确定成交候选人；</w:t>
      </w:r>
    </w:p>
    <w:p w14:paraId="5570967C">
      <w:pPr>
        <w:keepNext w:val="0"/>
        <w:keepLines w:val="0"/>
        <w:pageBreakBefore w:val="0"/>
        <w:widowControl w:val="0"/>
        <w:kinsoku/>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3.5 结果公布。</w:t>
      </w:r>
    </w:p>
    <w:p w14:paraId="398B21C8">
      <w:pPr>
        <w:pStyle w:val="5"/>
        <w:keepNext w:val="0"/>
        <w:keepLines w:val="0"/>
        <w:pageBreakBefore w:val="0"/>
        <w:widowControl w:val="0"/>
        <w:kinsoku/>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bookmarkStart w:id="185" w:name="_Toc6802"/>
      <w:bookmarkStart w:id="186" w:name="_Toc21186"/>
      <w:r>
        <w:rPr>
          <w:rFonts w:hint="eastAsia" w:ascii="宋体" w:hAnsi="宋体" w:eastAsia="宋体" w:cs="宋体"/>
          <w:b/>
          <w:bCs/>
          <w:color w:val="auto"/>
          <w:sz w:val="28"/>
          <w:szCs w:val="28"/>
          <w:highlight w:val="none"/>
        </w:rPr>
        <w:t xml:space="preserve">四   </w:t>
      </w:r>
      <w:bookmarkEnd w:id="175"/>
      <w:r>
        <w:rPr>
          <w:rFonts w:hint="eastAsia" w:ascii="宋体" w:hAnsi="宋体" w:eastAsia="宋体" w:cs="宋体"/>
          <w:b/>
          <w:bCs/>
          <w:color w:val="auto"/>
          <w:sz w:val="28"/>
          <w:szCs w:val="28"/>
          <w:highlight w:val="none"/>
        </w:rPr>
        <w:t>磋商内容及规定</w:t>
      </w:r>
      <w:bookmarkEnd w:id="176"/>
      <w:bookmarkEnd w:id="185"/>
      <w:bookmarkEnd w:id="186"/>
    </w:p>
    <w:p w14:paraId="6A68E322">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4.1本评审办法采用综合评分法，总分100分。</w:t>
      </w:r>
    </w:p>
    <w:p w14:paraId="3957C675">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4.2资信商务及技术分的权重为</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%，评审分值为</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分。磋商小组对各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经充分审核，讨论后，其中客观部分（即资信商务部分）应统一意见后统一给分，其他部分（即技术部分）由磋商小组对各磋商文件的技术部分经充分审核后单独评定打分。如果某个单项的打分超过所规定的分值范围，则该张打分表无效。</w:t>
      </w:r>
    </w:p>
    <w:p w14:paraId="014AE68E">
      <w:pPr>
        <w:pStyle w:val="26"/>
        <w:keepNext w:val="0"/>
        <w:keepLines w:val="0"/>
        <w:pageBreakBefore w:val="0"/>
        <w:widowControl w:val="0"/>
        <w:kinsoku/>
        <w:overflowPunct/>
        <w:topLinePunct w:val="0"/>
        <w:autoSpaceDE/>
        <w:autoSpaceDN/>
        <w:bidi w:val="0"/>
        <w:adjustRightInd/>
        <w:snapToGrid/>
        <w:spacing w:line="46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各磋商供应商的资信商务及技术得分为各磋商小组对该</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的评审得分结果汇总后的算术平均值。</w:t>
      </w:r>
    </w:p>
    <w:p w14:paraId="09C26455">
      <w:pPr>
        <w:pStyle w:val="26"/>
        <w:keepNext w:val="0"/>
        <w:keepLines w:val="0"/>
        <w:pageBreakBefore w:val="0"/>
        <w:widowControl w:val="0"/>
        <w:kinsoku/>
        <w:overflowPunct/>
        <w:topLinePunct w:val="0"/>
        <w:autoSpaceDE/>
        <w:autoSpaceDN/>
        <w:bidi w:val="0"/>
        <w:adjustRightInd/>
        <w:snapToGrid/>
        <w:spacing w:line="460" w:lineRule="exact"/>
        <w:ind w:left="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4.3</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报价分的权重为</w:t>
      </w:r>
      <w:r>
        <w:rPr>
          <w:rFonts w:hint="eastAsia" w:ascii="宋体" w:hAnsi="宋体" w:eastAsia="宋体" w:cs="宋体"/>
          <w:color w:val="auto"/>
          <w:szCs w:val="24"/>
          <w:highlight w:val="none"/>
          <w:u w:val="single"/>
          <w:lang w:val="en-US" w:eastAsia="zh-CN"/>
        </w:rPr>
        <w:t>10</w:t>
      </w:r>
      <w:r>
        <w:rPr>
          <w:rFonts w:hint="eastAsia" w:ascii="宋体" w:hAnsi="宋体" w:eastAsia="宋体" w:cs="宋体"/>
          <w:color w:val="auto"/>
          <w:szCs w:val="24"/>
          <w:highlight w:val="none"/>
        </w:rPr>
        <w:t>%，评审分值为</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分，由磋商小组按各磋商供应商的最终</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报价统一计算。</w:t>
      </w:r>
    </w:p>
    <w:p w14:paraId="185CF6DA">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4.4磋商小组在规定的分值范围内打分</w:t>
      </w:r>
      <w:r>
        <w:rPr>
          <w:rFonts w:hint="eastAsia" w:ascii="宋体" w:hAnsi="宋体" w:eastAsia="宋体" w:cs="宋体"/>
          <w:color w:val="auto"/>
          <w:spacing w:val="0"/>
          <w:sz w:val="24"/>
          <w:szCs w:val="24"/>
          <w:highlight w:val="none"/>
        </w:rPr>
        <w:t>，评分保留</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位小数</w:t>
      </w:r>
    </w:p>
    <w:p w14:paraId="08A9A76E">
      <w:pPr>
        <w:pStyle w:val="5"/>
        <w:keepNext w:val="0"/>
        <w:keepLines w:val="0"/>
        <w:pageBreakBefore w:val="0"/>
        <w:widowControl w:val="0"/>
        <w:kinsoku/>
        <w:wordWrap w:val="0"/>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bookmarkStart w:id="187" w:name="_Toc31810"/>
      <w:bookmarkStart w:id="188" w:name="_Toc26204"/>
      <w:bookmarkStart w:id="189" w:name="_Toc335664301"/>
      <w:bookmarkStart w:id="190" w:name="_Toc390938606"/>
      <w:r>
        <w:rPr>
          <w:rFonts w:hint="eastAsia" w:ascii="宋体" w:hAnsi="宋体" w:eastAsia="宋体" w:cs="宋体"/>
          <w:b/>
          <w:bCs/>
          <w:color w:val="auto"/>
          <w:sz w:val="28"/>
          <w:szCs w:val="28"/>
          <w:highlight w:val="none"/>
        </w:rPr>
        <w:t>五  评标办法和细则</w:t>
      </w:r>
      <w:bookmarkEnd w:id="187"/>
      <w:bookmarkEnd w:id="188"/>
    </w:p>
    <w:tbl>
      <w:tblPr>
        <w:tblStyle w:val="40"/>
        <w:tblpPr w:leftFromText="180" w:rightFromText="180" w:vertAnchor="text" w:horzAnchor="page" w:tblpX="1365" w:tblpY="449"/>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7"/>
        <w:gridCol w:w="6005"/>
        <w:gridCol w:w="888"/>
      </w:tblGrid>
      <w:tr w14:paraId="645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0B7638C5">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667" w:type="dxa"/>
            <w:vAlign w:val="center"/>
          </w:tcPr>
          <w:p w14:paraId="516C9A42">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6005" w:type="dxa"/>
            <w:vAlign w:val="center"/>
          </w:tcPr>
          <w:p w14:paraId="4E66B4C3">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评审细则</w:t>
            </w:r>
          </w:p>
        </w:tc>
        <w:tc>
          <w:tcPr>
            <w:tcW w:w="888" w:type="dxa"/>
            <w:vAlign w:val="center"/>
          </w:tcPr>
          <w:p w14:paraId="55316E10">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1793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2679A011">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667" w:type="dxa"/>
            <w:vAlign w:val="center"/>
          </w:tcPr>
          <w:p w14:paraId="22FE75AF">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类似业绩</w:t>
            </w:r>
          </w:p>
        </w:tc>
        <w:tc>
          <w:tcPr>
            <w:tcW w:w="6005" w:type="dxa"/>
            <w:vAlign w:val="center"/>
          </w:tcPr>
          <w:p w14:paraId="16F57552">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供应商自202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年1月1日</w:t>
            </w:r>
            <w:r>
              <w:rPr>
                <w:rFonts w:hint="eastAsia" w:ascii="宋体" w:hAnsi="宋体" w:eastAsia="宋体" w:cs="宋体"/>
                <w:sz w:val="24"/>
                <w:szCs w:val="24"/>
                <w:highlight w:val="none"/>
              </w:rPr>
              <w:t xml:space="preserve">至磋商截止时间（以合同签订时间为准），承接过类似项目的，每个业绩得0.5分，最高得1分。 </w:t>
            </w:r>
          </w:p>
          <w:p w14:paraId="61A28DD9">
            <w:pPr>
              <w:pStyle w:val="14"/>
              <w:spacing w:line="400" w:lineRule="exact"/>
              <w:rPr>
                <w:rFonts w:ascii="宋体" w:hAnsi="宋体" w:eastAsia="宋体" w:cs="宋体"/>
                <w:sz w:val="24"/>
                <w:szCs w:val="24"/>
                <w:highlight w:val="none"/>
              </w:rPr>
            </w:pPr>
            <w:r>
              <w:rPr>
                <w:rFonts w:hint="eastAsia" w:ascii="宋体" w:hAnsi="宋体" w:eastAsia="宋体" w:cs="宋体"/>
                <w:b/>
                <w:bCs/>
                <w:sz w:val="24"/>
                <w:szCs w:val="24"/>
                <w:highlight w:val="none"/>
              </w:rPr>
              <w:t>注：1.提供合同扫描件加盖公章并附入响应文件中，不提供不得分。是否属于类似业绩由评标委员会根据合同的内容、特点以及与本项目的类似程度等进行认定。</w:t>
            </w:r>
          </w:p>
        </w:tc>
        <w:tc>
          <w:tcPr>
            <w:tcW w:w="888" w:type="dxa"/>
            <w:vAlign w:val="center"/>
          </w:tcPr>
          <w:p w14:paraId="3428AD7A">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0-1分</w:t>
            </w:r>
          </w:p>
        </w:tc>
      </w:tr>
      <w:tr w14:paraId="5CE7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210BFD1B">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667" w:type="dxa"/>
            <w:vAlign w:val="center"/>
          </w:tcPr>
          <w:p w14:paraId="63F9BCF6">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企业认证</w:t>
            </w:r>
          </w:p>
        </w:tc>
        <w:tc>
          <w:tcPr>
            <w:tcW w:w="6005" w:type="dxa"/>
            <w:vAlign w:val="center"/>
          </w:tcPr>
          <w:p w14:paraId="7ED3267E">
            <w:pPr>
              <w:pStyle w:val="14"/>
              <w:spacing w:line="400" w:lineRule="exact"/>
              <w:rPr>
                <w:rFonts w:ascii="宋体" w:hAnsi="宋体" w:cs="宋体"/>
                <w:bCs/>
                <w:sz w:val="24"/>
                <w:szCs w:val="24"/>
                <w:highlight w:val="none"/>
              </w:rPr>
            </w:pPr>
            <w:r>
              <w:rPr>
                <w:rFonts w:hint="eastAsia" w:ascii="宋体" w:hAnsi="宋体" w:cs="宋体"/>
                <w:bCs/>
                <w:sz w:val="24"/>
                <w:szCs w:val="24"/>
                <w:highlight w:val="none"/>
              </w:rPr>
              <w:t>供应商具有质量管理体系认证、环境管理体系认证、职业健康安全管理体系认证的、信息安全管理体系认证证书的，每个得0.5分，最高得2分。</w:t>
            </w:r>
          </w:p>
          <w:p w14:paraId="0578BD04">
            <w:pPr>
              <w:pStyle w:val="14"/>
              <w:spacing w:line="400" w:lineRule="exact"/>
              <w:rPr>
                <w:rFonts w:ascii="宋体" w:hAnsi="宋体" w:cs="宋体"/>
                <w:bCs/>
                <w:sz w:val="24"/>
                <w:szCs w:val="24"/>
                <w:highlight w:val="none"/>
              </w:rPr>
            </w:pPr>
            <w:r>
              <w:rPr>
                <w:rFonts w:hint="eastAsia" w:ascii="宋体" w:hAnsi="宋体" w:cs="宋体"/>
                <w:b/>
                <w:sz w:val="24"/>
                <w:szCs w:val="24"/>
                <w:highlight w:val="none"/>
              </w:rPr>
              <w:t>注：需提供相关证书扫描件和证书有效期内的认监网（www.cnca.gov.cn）上的查询截图并附入响应文件中，否则不得分。</w:t>
            </w:r>
            <w:r>
              <w:rPr>
                <w:rFonts w:hint="eastAsia" w:ascii="宋体" w:hAnsi="宋体" w:cs="宋体"/>
                <w:b/>
                <w:bCs/>
                <w:sz w:val="24"/>
                <w:highlight w:val="none"/>
              </w:rPr>
              <w:t>以上材料缺项漏项不得分</w:t>
            </w:r>
          </w:p>
        </w:tc>
        <w:tc>
          <w:tcPr>
            <w:tcW w:w="888" w:type="dxa"/>
            <w:vAlign w:val="center"/>
          </w:tcPr>
          <w:p w14:paraId="03F80512">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0-2分</w:t>
            </w:r>
          </w:p>
        </w:tc>
      </w:tr>
      <w:tr w14:paraId="2560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2A36E8A8">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1667" w:type="dxa"/>
            <w:vAlign w:val="center"/>
          </w:tcPr>
          <w:p w14:paraId="17884236">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企业实力</w:t>
            </w:r>
          </w:p>
        </w:tc>
        <w:tc>
          <w:tcPr>
            <w:tcW w:w="6005" w:type="dxa"/>
            <w:vAlign w:val="center"/>
          </w:tcPr>
          <w:p w14:paraId="6160C88A">
            <w:pPr>
              <w:pStyle w:val="14"/>
              <w:spacing w:line="400" w:lineRule="exact"/>
              <w:rPr>
                <w:rFonts w:ascii="宋体" w:hAnsi="宋体" w:eastAsia="宋体" w:cs="宋体"/>
                <w:bCs/>
                <w:kern w:val="0"/>
                <w:sz w:val="24"/>
                <w:szCs w:val="24"/>
                <w:highlight w:val="none"/>
              </w:rPr>
            </w:pPr>
            <w:r>
              <w:rPr>
                <w:rFonts w:hint="eastAsia" w:ascii="宋体" w:hAnsi="宋体" w:cs="宋体"/>
                <w:bCs/>
                <w:sz w:val="24"/>
                <w:szCs w:val="24"/>
                <w:highlight w:val="none"/>
              </w:rPr>
              <w:t>1.供应商具有行政主管部门颁发的有效乙级测绘资质证书（必须同时具备地理信息系统与不动产测绘专业类别）的得0.5分；具有行政主管部门颁发的有效甲级测绘资质证书（必须同时具备地理信息系统与不动产测绘专业类别）的得1分</w:t>
            </w:r>
            <w:r>
              <w:rPr>
                <w:rFonts w:hint="eastAsia" w:ascii="宋体" w:hAnsi="宋体" w:eastAsia="宋体" w:cs="宋体"/>
                <w:bCs/>
                <w:kern w:val="0"/>
                <w:sz w:val="24"/>
                <w:szCs w:val="24"/>
                <w:highlight w:val="none"/>
              </w:rPr>
              <w:t>；此项最高得1分</w:t>
            </w:r>
          </w:p>
          <w:p w14:paraId="58FA3571">
            <w:pPr>
              <w:pStyle w:val="14"/>
              <w:spacing w:line="400" w:lineRule="exact"/>
              <w:rPr>
                <w:rFonts w:ascii="宋体" w:hAnsi="宋体" w:cs="宋体"/>
                <w:bCs/>
                <w:sz w:val="24"/>
                <w:szCs w:val="24"/>
                <w:highlight w:val="none"/>
              </w:rPr>
            </w:pPr>
            <w:r>
              <w:rPr>
                <w:rFonts w:hint="eastAsia" w:ascii="宋体" w:hAnsi="宋体" w:eastAsia="宋体" w:cs="宋体"/>
                <w:sz w:val="24"/>
                <w:szCs w:val="24"/>
                <w:highlight w:val="none"/>
              </w:rPr>
              <w:t>2.</w:t>
            </w:r>
            <w:r>
              <w:rPr>
                <w:rFonts w:hint="eastAsia" w:ascii="宋体" w:hAnsi="宋体" w:cs="宋体"/>
                <w:bCs/>
                <w:sz w:val="24"/>
                <w:szCs w:val="24"/>
                <w:highlight w:val="none"/>
              </w:rPr>
              <w:t>供应商具有测绘成果及资料档案保密证书的得3分，此项最高得3分。</w:t>
            </w:r>
          </w:p>
          <w:p w14:paraId="11E10BB1">
            <w:pPr>
              <w:pStyle w:val="14"/>
              <w:spacing w:line="400" w:lineRule="exact"/>
              <w:rPr>
                <w:rFonts w:ascii="宋体" w:hAnsi="宋体" w:cs="宋体"/>
                <w:bCs/>
                <w:sz w:val="24"/>
                <w:szCs w:val="24"/>
                <w:highlight w:val="none"/>
              </w:rPr>
            </w:pPr>
            <w:r>
              <w:rPr>
                <w:rFonts w:hint="eastAsia" w:ascii="宋体" w:hAnsi="宋体" w:cs="宋体"/>
                <w:bCs/>
                <w:sz w:val="24"/>
                <w:szCs w:val="24"/>
                <w:highlight w:val="none"/>
              </w:rPr>
              <w:t>3.供应商承担过省级不动产登记业务体系和业务规范整合方案课题研究的每个得3分，本项最高得3分。</w:t>
            </w:r>
          </w:p>
          <w:p w14:paraId="018A3E66">
            <w:pPr>
              <w:pStyle w:val="14"/>
              <w:spacing w:line="400" w:lineRule="exact"/>
              <w:rPr>
                <w:rFonts w:ascii="宋体" w:hAnsi="宋体" w:eastAsia="宋体" w:cs="宋体"/>
                <w:bCs/>
                <w:kern w:val="0"/>
                <w:sz w:val="24"/>
                <w:szCs w:val="24"/>
                <w:highlight w:val="none"/>
              </w:rPr>
            </w:pPr>
            <w:r>
              <w:rPr>
                <w:rFonts w:hint="eastAsia" w:ascii="宋体" w:hAnsi="宋体" w:eastAsia="宋体" w:cs="宋体"/>
                <w:b/>
                <w:bCs/>
                <w:sz w:val="24"/>
                <w:szCs w:val="24"/>
                <w:highlight w:val="none"/>
              </w:rPr>
              <w:t>注：需提供有效的相关证书扫描件和课题研究的证明材料，加盖公章并附入响应文件中，否则不得分。</w:t>
            </w:r>
            <w:r>
              <w:rPr>
                <w:rFonts w:hint="eastAsia" w:ascii="宋体" w:hAnsi="宋体" w:cs="宋体"/>
                <w:b/>
                <w:bCs/>
                <w:sz w:val="24"/>
                <w:highlight w:val="none"/>
              </w:rPr>
              <w:t>以上材料缺项漏项不得分</w:t>
            </w:r>
          </w:p>
        </w:tc>
        <w:tc>
          <w:tcPr>
            <w:tcW w:w="888" w:type="dxa"/>
            <w:vAlign w:val="center"/>
          </w:tcPr>
          <w:p w14:paraId="2F889244">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0-7分</w:t>
            </w:r>
          </w:p>
        </w:tc>
      </w:tr>
      <w:tr w14:paraId="79CC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restart"/>
            <w:vAlign w:val="center"/>
          </w:tcPr>
          <w:p w14:paraId="719C5A31">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1667" w:type="dxa"/>
            <w:vMerge w:val="restart"/>
            <w:vAlign w:val="center"/>
          </w:tcPr>
          <w:p w14:paraId="163D0EFD">
            <w:pPr>
              <w:snapToGrid w:val="0"/>
              <w:spacing w:after="120"/>
              <w:jc w:val="center"/>
              <w:rPr>
                <w:rFonts w:ascii="宋体" w:hAnsi="宋体" w:eastAsia="宋体" w:cs="宋体"/>
                <w:sz w:val="24"/>
                <w:szCs w:val="24"/>
                <w:highlight w:val="none"/>
              </w:rPr>
            </w:pPr>
            <w:r>
              <w:rPr>
                <w:rFonts w:hint="eastAsia" w:asciiTheme="minorEastAsia" w:hAnsiTheme="minorEastAsia" w:cstheme="minorEastAsia"/>
                <w:sz w:val="24"/>
                <w:szCs w:val="24"/>
                <w:highlight w:val="none"/>
              </w:rPr>
              <w:t>项目人员配备</w:t>
            </w:r>
          </w:p>
        </w:tc>
        <w:tc>
          <w:tcPr>
            <w:tcW w:w="6005" w:type="dxa"/>
            <w:vAlign w:val="center"/>
          </w:tcPr>
          <w:p w14:paraId="3F74C179">
            <w:pPr>
              <w:jc w:val="left"/>
              <w:rPr>
                <w:rFonts w:ascii="宋体" w:hAnsi="宋体" w:cs="宋体"/>
                <w:bCs/>
                <w:sz w:val="24"/>
                <w:szCs w:val="24"/>
                <w:highlight w:val="none"/>
              </w:rPr>
            </w:pPr>
            <w:r>
              <w:rPr>
                <w:rFonts w:hint="eastAsia" w:ascii="宋体" w:hAnsi="宋体" w:cs="宋体"/>
                <w:bCs/>
                <w:sz w:val="24"/>
                <w:szCs w:val="24"/>
                <w:highlight w:val="none"/>
              </w:rPr>
              <w:t>拟派项目负责人：</w:t>
            </w:r>
            <w:r>
              <w:rPr>
                <w:rFonts w:hint="eastAsia" w:ascii="宋体" w:hAnsi="宋体" w:cs="宋体"/>
                <w:bCs/>
                <w:sz w:val="24"/>
                <w:szCs w:val="24"/>
                <w:highlight w:val="none"/>
                <w:lang w:eastAsia="zh-CN"/>
              </w:rPr>
              <w:t>同时</w:t>
            </w:r>
            <w:r>
              <w:rPr>
                <w:rFonts w:hint="eastAsia" w:ascii="宋体" w:hAnsi="宋体" w:cs="宋体"/>
                <w:color w:val="auto"/>
                <w:sz w:val="24"/>
                <w:szCs w:val="24"/>
                <w:highlight w:val="none"/>
                <w:lang w:val="en-US" w:eastAsia="zh-CN"/>
              </w:rPr>
              <w:t>具有测绘类高级及以上职称、注册测绘师证书、数据库系统工程师证书的得2分</w:t>
            </w:r>
            <w:r>
              <w:rPr>
                <w:rFonts w:hint="eastAsia" w:ascii="宋体" w:hAnsi="宋体" w:cs="宋体"/>
                <w:bCs/>
                <w:sz w:val="24"/>
                <w:szCs w:val="24"/>
                <w:highlight w:val="none"/>
              </w:rPr>
              <w:t>；</w:t>
            </w:r>
          </w:p>
          <w:p w14:paraId="7D2F1652">
            <w:pPr>
              <w:jc w:val="left"/>
              <w:rPr>
                <w:rFonts w:ascii="宋体" w:hAnsi="宋体" w:cs="宋体"/>
                <w:b/>
                <w:bCs/>
                <w:sz w:val="24"/>
                <w:highlight w:val="none"/>
              </w:rPr>
            </w:pPr>
            <w:r>
              <w:rPr>
                <w:rFonts w:hint="eastAsia" w:ascii="宋体" w:hAnsi="宋体" w:cs="宋体"/>
                <w:b/>
                <w:bCs/>
                <w:sz w:val="24"/>
                <w:highlight w:val="none"/>
              </w:rPr>
              <w:t>注：</w:t>
            </w:r>
          </w:p>
          <w:p w14:paraId="1278400D">
            <w:pPr>
              <w:jc w:val="left"/>
              <w:rPr>
                <w:rFonts w:ascii="宋体" w:hAnsi="宋体" w:cs="宋体"/>
                <w:b/>
                <w:bCs/>
                <w:sz w:val="24"/>
                <w:highlight w:val="none"/>
              </w:rPr>
            </w:pPr>
            <w:r>
              <w:rPr>
                <w:rFonts w:hint="eastAsia" w:ascii="宋体" w:hAnsi="宋体" w:cs="宋体"/>
                <w:b/>
                <w:bCs/>
                <w:sz w:val="24"/>
                <w:highlight w:val="none"/>
              </w:rPr>
              <w:t>1.需提供相关证书扫描件，加盖公章并附入响应文件中；</w:t>
            </w:r>
          </w:p>
          <w:p w14:paraId="2A3DFABB">
            <w:pPr>
              <w:jc w:val="left"/>
              <w:rPr>
                <w:rFonts w:ascii="宋体" w:hAnsi="宋体" w:eastAsia="宋体" w:cs="宋体"/>
                <w:sz w:val="24"/>
                <w:szCs w:val="24"/>
                <w:highlight w:val="none"/>
              </w:rPr>
            </w:pPr>
            <w:r>
              <w:rPr>
                <w:rFonts w:hint="eastAsia" w:ascii="宋体" w:hAnsi="宋体" w:cs="宋体"/>
                <w:b/>
                <w:bCs/>
                <w:sz w:val="24"/>
                <w:highlight w:val="none"/>
              </w:rPr>
              <w:t>2.</w:t>
            </w:r>
            <w:r>
              <w:rPr>
                <w:rFonts w:hint="eastAsia" w:ascii="宋体" w:hAnsi="宋体" w:cs="宋体"/>
                <w:b/>
                <w:bCs/>
                <w:sz w:val="24"/>
                <w:highlight w:val="none"/>
                <w:lang w:val="zh-CN"/>
              </w:rPr>
              <w:t>项目负责人需提供响应供应商为其缴纳的</w:t>
            </w:r>
            <w:r>
              <w:rPr>
                <w:rFonts w:hint="eastAsia" w:ascii="宋体" w:hAnsi="宋体" w:cs="宋体"/>
                <w:b/>
                <w:bCs/>
                <w:sz w:val="24"/>
                <w:highlight w:val="none"/>
              </w:rPr>
              <w:t>近三个月连续社保证明材料扫描件，加盖公章并附入响应文件中；以上材料缺项漏项不得分</w:t>
            </w:r>
          </w:p>
        </w:tc>
        <w:tc>
          <w:tcPr>
            <w:tcW w:w="888" w:type="dxa"/>
            <w:vAlign w:val="center"/>
          </w:tcPr>
          <w:p w14:paraId="26C8A0C4">
            <w:pPr>
              <w:snapToGrid w:val="0"/>
              <w:spacing w:after="120" w:line="280" w:lineRule="exact"/>
              <w:jc w:val="center"/>
              <w:rPr>
                <w:rFonts w:ascii="宋体" w:hAnsi="宋体"/>
                <w:b/>
                <w:bCs/>
                <w:sz w:val="24"/>
                <w:szCs w:val="24"/>
                <w:highlight w:val="none"/>
              </w:rPr>
            </w:pPr>
            <w:r>
              <w:rPr>
                <w:rFonts w:hint="eastAsia" w:ascii="宋体" w:hAnsi="宋体"/>
                <w:b/>
                <w:bCs/>
                <w:sz w:val="24"/>
                <w:szCs w:val="24"/>
                <w:highlight w:val="none"/>
              </w:rPr>
              <w:t>0-2分</w:t>
            </w:r>
          </w:p>
        </w:tc>
      </w:tr>
      <w:tr w14:paraId="30DA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continue"/>
            <w:vAlign w:val="center"/>
          </w:tcPr>
          <w:p w14:paraId="2CF16A28">
            <w:pPr>
              <w:pStyle w:val="14"/>
              <w:spacing w:line="400" w:lineRule="exact"/>
              <w:jc w:val="center"/>
              <w:rPr>
                <w:rFonts w:ascii="宋体" w:hAnsi="宋体" w:eastAsia="宋体" w:cs="宋体"/>
                <w:sz w:val="24"/>
                <w:szCs w:val="24"/>
                <w:highlight w:val="none"/>
              </w:rPr>
            </w:pPr>
          </w:p>
        </w:tc>
        <w:tc>
          <w:tcPr>
            <w:tcW w:w="1667" w:type="dxa"/>
            <w:vMerge w:val="continue"/>
            <w:vAlign w:val="center"/>
          </w:tcPr>
          <w:p w14:paraId="44824697">
            <w:pPr>
              <w:pStyle w:val="14"/>
              <w:spacing w:line="400" w:lineRule="exact"/>
              <w:jc w:val="center"/>
              <w:rPr>
                <w:rFonts w:ascii="宋体" w:hAnsi="宋体" w:eastAsia="宋体" w:cs="宋体"/>
                <w:sz w:val="24"/>
                <w:szCs w:val="24"/>
                <w:highlight w:val="none"/>
              </w:rPr>
            </w:pPr>
          </w:p>
        </w:tc>
        <w:tc>
          <w:tcPr>
            <w:tcW w:w="6005" w:type="dxa"/>
            <w:vAlign w:val="center"/>
          </w:tcPr>
          <w:p w14:paraId="34BC8BB4">
            <w:pPr>
              <w:jc w:val="left"/>
              <w:rPr>
                <w:rFonts w:hint="eastAsia" w:ascii="宋体" w:hAnsi="宋体" w:cs="宋体"/>
                <w:b w:val="0"/>
                <w:bCs w:val="0"/>
                <w:sz w:val="24"/>
                <w:highlight w:val="none"/>
              </w:rPr>
            </w:pPr>
            <w:r>
              <w:rPr>
                <w:rFonts w:hint="eastAsia" w:ascii="宋体" w:hAnsi="宋体" w:cs="宋体"/>
                <w:b w:val="0"/>
                <w:bCs w:val="0"/>
                <w:sz w:val="24"/>
                <w:highlight w:val="none"/>
              </w:rPr>
              <w:t>项目技术负责人：</w:t>
            </w:r>
            <w:r>
              <w:rPr>
                <w:rFonts w:hint="eastAsia" w:ascii="宋体" w:hAnsi="宋体" w:cs="宋体"/>
                <w:b w:val="0"/>
                <w:bCs w:val="0"/>
                <w:sz w:val="24"/>
                <w:highlight w:val="none"/>
                <w:lang w:eastAsia="zh-CN"/>
              </w:rPr>
              <w:t>同时</w:t>
            </w:r>
            <w:r>
              <w:rPr>
                <w:rFonts w:hint="eastAsia" w:ascii="宋体" w:hAnsi="宋体" w:cs="宋体"/>
                <w:b w:val="0"/>
                <w:bCs w:val="0"/>
                <w:sz w:val="24"/>
                <w:highlight w:val="none"/>
              </w:rPr>
              <w:t>具有高级信息系统项目管理师证书、不动产登记代理人</w:t>
            </w:r>
            <w:r>
              <w:rPr>
                <w:rFonts w:hint="eastAsia" w:ascii="宋体" w:hAnsi="宋体" w:cs="宋体"/>
                <w:b w:val="0"/>
                <w:bCs w:val="0"/>
                <w:sz w:val="24"/>
                <w:highlight w:val="none"/>
                <w:lang w:eastAsia="zh-CN"/>
              </w:rPr>
              <w:t>证书</w:t>
            </w:r>
            <w:r>
              <w:rPr>
                <w:rFonts w:hint="eastAsia" w:ascii="宋体" w:hAnsi="宋体" w:cs="宋体"/>
                <w:b w:val="0"/>
                <w:bCs w:val="0"/>
                <w:sz w:val="24"/>
                <w:highlight w:val="none"/>
              </w:rPr>
              <w:t>的得2分。</w:t>
            </w:r>
          </w:p>
          <w:p w14:paraId="0A90E4F9">
            <w:pPr>
              <w:jc w:val="left"/>
              <w:rPr>
                <w:rFonts w:ascii="宋体" w:hAnsi="宋体" w:cs="宋体"/>
                <w:b/>
                <w:bCs/>
                <w:sz w:val="24"/>
                <w:highlight w:val="none"/>
              </w:rPr>
            </w:pPr>
            <w:r>
              <w:rPr>
                <w:rFonts w:hint="eastAsia" w:ascii="宋体" w:hAnsi="宋体" w:cs="宋体"/>
                <w:b/>
                <w:bCs/>
                <w:sz w:val="24"/>
                <w:highlight w:val="none"/>
              </w:rPr>
              <w:t>注：</w:t>
            </w:r>
          </w:p>
          <w:p w14:paraId="68405153">
            <w:pPr>
              <w:jc w:val="left"/>
              <w:rPr>
                <w:rFonts w:ascii="宋体" w:hAnsi="宋体" w:cs="宋体"/>
                <w:b/>
                <w:bCs/>
                <w:sz w:val="24"/>
                <w:highlight w:val="none"/>
              </w:rPr>
            </w:pPr>
            <w:r>
              <w:rPr>
                <w:rFonts w:hint="eastAsia" w:ascii="宋体" w:hAnsi="宋体" w:cs="宋体"/>
                <w:b/>
                <w:bCs/>
                <w:sz w:val="24"/>
                <w:highlight w:val="none"/>
              </w:rPr>
              <w:t>1.需提供相关证书扫描件，加盖公章并附入响应文件中；</w:t>
            </w:r>
          </w:p>
          <w:p w14:paraId="668463A7">
            <w:pPr>
              <w:jc w:val="left"/>
              <w:rPr>
                <w:rFonts w:ascii="宋体" w:hAnsi="宋体" w:eastAsia="宋体" w:cs="宋体"/>
                <w:sz w:val="24"/>
                <w:szCs w:val="24"/>
                <w:highlight w:val="none"/>
              </w:rPr>
            </w:pPr>
            <w:r>
              <w:rPr>
                <w:rFonts w:hint="eastAsia" w:ascii="宋体" w:hAnsi="宋体" w:cs="宋体"/>
                <w:b/>
                <w:bCs/>
                <w:sz w:val="24"/>
                <w:highlight w:val="none"/>
              </w:rPr>
              <w:t>2.</w:t>
            </w:r>
            <w:r>
              <w:rPr>
                <w:rFonts w:hint="eastAsia" w:ascii="宋体" w:hAnsi="宋体" w:cs="宋体"/>
                <w:b/>
                <w:bCs/>
                <w:sz w:val="24"/>
                <w:highlight w:val="none"/>
                <w:lang w:val="zh-CN"/>
              </w:rPr>
              <w:t>项目负责人需提供响应供应商为其缴纳的</w:t>
            </w:r>
            <w:r>
              <w:rPr>
                <w:rFonts w:hint="eastAsia" w:ascii="宋体" w:hAnsi="宋体" w:cs="宋体"/>
                <w:b/>
                <w:bCs/>
                <w:sz w:val="24"/>
                <w:highlight w:val="none"/>
              </w:rPr>
              <w:t>近三个月连续社保证明材料扫描件，加盖公章并附入响应文件中；以上材料缺项漏项不得分</w:t>
            </w:r>
          </w:p>
        </w:tc>
        <w:tc>
          <w:tcPr>
            <w:tcW w:w="888" w:type="dxa"/>
            <w:vAlign w:val="center"/>
          </w:tcPr>
          <w:p w14:paraId="7FEFE2BE">
            <w:pPr>
              <w:snapToGrid w:val="0"/>
              <w:spacing w:after="120" w:line="280" w:lineRule="exact"/>
              <w:jc w:val="center"/>
              <w:rPr>
                <w:rFonts w:ascii="宋体" w:hAnsi="宋体"/>
                <w:b/>
                <w:bCs/>
                <w:sz w:val="24"/>
                <w:szCs w:val="24"/>
                <w:highlight w:val="none"/>
              </w:rPr>
            </w:pPr>
            <w:r>
              <w:rPr>
                <w:rFonts w:hint="eastAsia" w:ascii="宋体" w:hAnsi="宋体"/>
                <w:b/>
                <w:bCs/>
                <w:sz w:val="24"/>
                <w:szCs w:val="24"/>
                <w:highlight w:val="none"/>
              </w:rPr>
              <w:t>0-</w:t>
            </w:r>
            <w:r>
              <w:rPr>
                <w:rFonts w:hint="eastAsia" w:ascii="宋体" w:hAnsi="宋体"/>
                <w:b/>
                <w:bCs/>
                <w:sz w:val="24"/>
                <w:szCs w:val="24"/>
                <w:highlight w:val="none"/>
                <w:lang w:val="en-US" w:eastAsia="zh-CN"/>
              </w:rPr>
              <w:t>2</w:t>
            </w:r>
            <w:r>
              <w:rPr>
                <w:rFonts w:hint="eastAsia" w:ascii="宋体" w:hAnsi="宋体"/>
                <w:b/>
                <w:bCs/>
                <w:sz w:val="24"/>
                <w:szCs w:val="24"/>
                <w:highlight w:val="none"/>
              </w:rPr>
              <w:t>分</w:t>
            </w:r>
          </w:p>
        </w:tc>
      </w:tr>
      <w:tr w14:paraId="50D0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continue"/>
            <w:vAlign w:val="center"/>
          </w:tcPr>
          <w:p w14:paraId="4C18B9C8">
            <w:pPr>
              <w:pStyle w:val="14"/>
              <w:spacing w:line="400" w:lineRule="exact"/>
              <w:jc w:val="center"/>
              <w:rPr>
                <w:rFonts w:ascii="宋体" w:hAnsi="宋体" w:eastAsia="宋体" w:cs="宋体"/>
                <w:sz w:val="24"/>
                <w:szCs w:val="24"/>
                <w:highlight w:val="none"/>
              </w:rPr>
            </w:pPr>
          </w:p>
        </w:tc>
        <w:tc>
          <w:tcPr>
            <w:tcW w:w="1667" w:type="dxa"/>
            <w:vMerge w:val="continue"/>
            <w:vAlign w:val="center"/>
          </w:tcPr>
          <w:p w14:paraId="6ADE2392">
            <w:pPr>
              <w:pStyle w:val="14"/>
              <w:spacing w:line="400" w:lineRule="exact"/>
              <w:jc w:val="center"/>
              <w:rPr>
                <w:rFonts w:ascii="宋体" w:hAnsi="宋体" w:eastAsia="宋体" w:cs="宋体"/>
                <w:sz w:val="24"/>
                <w:szCs w:val="24"/>
                <w:highlight w:val="none"/>
              </w:rPr>
            </w:pPr>
          </w:p>
        </w:tc>
        <w:tc>
          <w:tcPr>
            <w:tcW w:w="6005" w:type="dxa"/>
            <w:vAlign w:val="center"/>
          </w:tcPr>
          <w:p w14:paraId="1C7D9776">
            <w:pPr>
              <w:jc w:val="left"/>
              <w:rPr>
                <w:rFonts w:hint="eastAsia" w:ascii="宋体" w:hAnsi="宋体" w:cs="宋体"/>
                <w:b w:val="0"/>
                <w:bCs w:val="0"/>
                <w:sz w:val="24"/>
                <w:highlight w:val="none"/>
              </w:rPr>
            </w:pPr>
            <w:r>
              <w:rPr>
                <w:rFonts w:hint="eastAsia" w:ascii="宋体" w:hAnsi="宋体" w:cs="宋体"/>
                <w:b w:val="0"/>
                <w:bCs w:val="0"/>
                <w:sz w:val="24"/>
                <w:highlight w:val="none"/>
              </w:rPr>
              <w:t>拟投入本项目的项目组成员（项目负责人、技术负责人除外）：</w:t>
            </w:r>
          </w:p>
          <w:p w14:paraId="53356F0C">
            <w:pPr>
              <w:jc w:val="left"/>
              <w:rPr>
                <w:rFonts w:hint="eastAsia" w:ascii="宋体" w:hAnsi="宋体" w:cs="宋体"/>
                <w:b w:val="0"/>
                <w:bCs w:val="0"/>
                <w:sz w:val="24"/>
                <w:highlight w:val="none"/>
              </w:rPr>
            </w:pPr>
            <w:r>
              <w:rPr>
                <w:rFonts w:hint="eastAsia" w:ascii="宋体" w:hAnsi="宋体" w:cs="宋体"/>
                <w:b w:val="0"/>
                <w:bCs w:val="0"/>
                <w:sz w:val="24"/>
                <w:highlight w:val="none"/>
              </w:rPr>
              <w:t>1.具有测绘或土地类相关专业高级及以上工程师职称的，每人得1分；</w:t>
            </w:r>
            <w:r>
              <w:rPr>
                <w:rFonts w:hint="eastAsia" w:ascii="宋体" w:hAnsi="宋体" w:cs="宋体"/>
                <w:b w:val="0"/>
                <w:bCs w:val="0"/>
                <w:sz w:val="24"/>
                <w:highlight w:val="none"/>
              </w:rPr>
              <w:t>具有测绘类</w:t>
            </w:r>
            <w:r>
              <w:rPr>
                <w:rFonts w:hint="eastAsia" w:ascii="宋体" w:hAnsi="宋体" w:cs="宋体"/>
                <w:b w:val="0"/>
                <w:bCs w:val="0"/>
                <w:sz w:val="24"/>
                <w:highlight w:val="none"/>
                <w:lang w:eastAsia="zh-CN"/>
              </w:rPr>
              <w:t>或土地类</w:t>
            </w:r>
            <w:r>
              <w:rPr>
                <w:rFonts w:hint="eastAsia" w:ascii="宋体" w:hAnsi="宋体" w:cs="宋体"/>
                <w:b w:val="0"/>
                <w:bCs w:val="0"/>
                <w:sz w:val="24"/>
                <w:highlight w:val="none"/>
              </w:rPr>
              <w:t>相关专业</w:t>
            </w:r>
            <w:r>
              <w:rPr>
                <w:rFonts w:hint="eastAsia" w:ascii="宋体" w:hAnsi="宋体" w:cs="宋体"/>
                <w:b w:val="0"/>
                <w:bCs w:val="0"/>
                <w:sz w:val="24"/>
                <w:highlight w:val="none"/>
              </w:rPr>
              <w:t>中级工程师职称的，每人得0.5分，</w:t>
            </w:r>
            <w:r>
              <w:rPr>
                <w:rFonts w:hint="eastAsia" w:ascii="宋体" w:hAnsi="宋体" w:cs="宋体"/>
                <w:b w:val="0"/>
                <w:bCs w:val="0"/>
                <w:sz w:val="24"/>
                <w:highlight w:val="none"/>
                <w:lang w:eastAsia="zh-CN"/>
              </w:rPr>
              <w:t>此项</w:t>
            </w:r>
            <w:r>
              <w:rPr>
                <w:rFonts w:hint="eastAsia" w:ascii="宋体" w:hAnsi="宋体" w:cs="宋体"/>
                <w:b w:val="0"/>
                <w:bCs w:val="0"/>
                <w:sz w:val="24"/>
                <w:highlight w:val="none"/>
              </w:rPr>
              <w:t>最高得4分；</w:t>
            </w:r>
          </w:p>
          <w:p w14:paraId="6FA00939">
            <w:pPr>
              <w:jc w:val="left"/>
              <w:rPr>
                <w:rFonts w:hint="eastAsia" w:ascii="宋体" w:hAnsi="宋体" w:cs="宋体"/>
                <w:b w:val="0"/>
                <w:bCs w:val="0"/>
                <w:sz w:val="24"/>
                <w:highlight w:val="none"/>
              </w:rPr>
            </w:pPr>
            <w:r>
              <w:rPr>
                <w:rFonts w:hint="eastAsia" w:ascii="宋体" w:hAnsi="宋体" w:cs="宋体"/>
                <w:b w:val="0"/>
                <w:bCs w:val="0"/>
                <w:sz w:val="24"/>
                <w:highlight w:val="none"/>
              </w:rPr>
              <w:t>2.具有不动产登记代理人证书的每个0.5分，</w:t>
            </w:r>
            <w:r>
              <w:rPr>
                <w:rFonts w:hint="eastAsia" w:ascii="宋体" w:hAnsi="宋体" w:cs="宋体"/>
                <w:b w:val="0"/>
                <w:bCs w:val="0"/>
                <w:sz w:val="24"/>
                <w:highlight w:val="none"/>
                <w:lang w:eastAsia="zh-CN"/>
              </w:rPr>
              <w:t>此项</w:t>
            </w:r>
            <w:r>
              <w:rPr>
                <w:rFonts w:hint="eastAsia" w:ascii="宋体" w:hAnsi="宋体" w:cs="宋体"/>
                <w:b w:val="0"/>
                <w:bCs w:val="0"/>
                <w:sz w:val="24"/>
                <w:highlight w:val="none"/>
              </w:rPr>
              <w:t>最高2分。</w:t>
            </w:r>
          </w:p>
          <w:p w14:paraId="59ACF027">
            <w:pPr>
              <w:jc w:val="left"/>
              <w:rPr>
                <w:rFonts w:hint="eastAsia" w:ascii="宋体" w:hAnsi="宋体" w:cs="宋体"/>
                <w:b w:val="0"/>
                <w:bCs w:val="0"/>
                <w:sz w:val="24"/>
                <w:highlight w:val="none"/>
              </w:rPr>
            </w:pPr>
            <w:r>
              <w:rPr>
                <w:rFonts w:hint="eastAsia" w:ascii="宋体" w:hAnsi="宋体" w:cs="宋体"/>
                <w:b w:val="0"/>
                <w:bCs w:val="0"/>
                <w:sz w:val="24"/>
                <w:highlight w:val="none"/>
              </w:rPr>
              <w:t>3.具有数据库系统工程师证书的，每人得1分，</w:t>
            </w:r>
            <w:r>
              <w:rPr>
                <w:rFonts w:hint="eastAsia" w:ascii="宋体" w:hAnsi="宋体" w:cs="宋体"/>
                <w:b w:val="0"/>
                <w:bCs w:val="0"/>
                <w:sz w:val="24"/>
                <w:highlight w:val="none"/>
                <w:lang w:eastAsia="zh-CN"/>
              </w:rPr>
              <w:t>此项</w:t>
            </w:r>
            <w:r>
              <w:rPr>
                <w:rFonts w:hint="eastAsia" w:ascii="宋体" w:hAnsi="宋体" w:cs="宋体"/>
                <w:b w:val="0"/>
                <w:bCs w:val="0"/>
                <w:sz w:val="24"/>
                <w:highlight w:val="none"/>
              </w:rPr>
              <w:t>最高得2分。</w:t>
            </w:r>
          </w:p>
          <w:p w14:paraId="3E1339D2">
            <w:pPr>
              <w:jc w:val="left"/>
              <w:rPr>
                <w:rFonts w:hint="eastAsia" w:ascii="宋体" w:hAnsi="宋体" w:cs="宋体" w:eastAsiaTheme="minorEastAsia"/>
                <w:b/>
                <w:bCs/>
                <w:sz w:val="24"/>
                <w:highlight w:val="none"/>
                <w:lang w:eastAsia="zh-CN"/>
              </w:rPr>
            </w:pPr>
            <w:r>
              <w:rPr>
                <w:rFonts w:hint="eastAsia" w:ascii="宋体" w:hAnsi="宋体" w:cs="宋体"/>
                <w:b/>
                <w:bCs/>
                <w:sz w:val="24"/>
                <w:highlight w:val="none"/>
              </w:rPr>
              <w:t>注：</w:t>
            </w:r>
            <w:r>
              <w:rPr>
                <w:rFonts w:hint="eastAsia" w:ascii="宋体" w:hAnsi="宋体" w:cs="宋体"/>
                <w:b/>
                <w:bCs/>
                <w:sz w:val="24"/>
                <w:highlight w:val="none"/>
                <w:lang w:val="en-US" w:eastAsia="zh-CN"/>
              </w:rPr>
              <w:t>1.</w:t>
            </w:r>
            <w:r>
              <w:rPr>
                <w:rFonts w:hint="eastAsia" w:ascii="宋体" w:hAnsi="宋体" w:cs="宋体"/>
                <w:b/>
                <w:bCs/>
                <w:sz w:val="24"/>
                <w:highlight w:val="none"/>
              </w:rPr>
              <w:t>一人一证，按就高原则计分，人员不可重复计分</w:t>
            </w:r>
            <w:r>
              <w:rPr>
                <w:rFonts w:hint="eastAsia" w:ascii="宋体" w:hAnsi="宋体" w:cs="宋体"/>
                <w:b/>
                <w:bCs/>
                <w:sz w:val="24"/>
                <w:highlight w:val="none"/>
                <w:lang w:eastAsia="zh-CN"/>
              </w:rPr>
              <w:t>；</w:t>
            </w:r>
          </w:p>
          <w:p w14:paraId="615ED0F0">
            <w:pPr>
              <w:jc w:val="left"/>
              <w:rPr>
                <w:rFonts w:hint="eastAsia" w:ascii="宋体" w:hAnsi="宋体" w:cs="宋体" w:eastAsiaTheme="minorEastAsia"/>
                <w:b/>
                <w:bCs/>
                <w:sz w:val="24"/>
                <w:highlight w:val="none"/>
                <w:lang w:eastAsia="zh-CN"/>
              </w:rPr>
            </w:pPr>
            <w:r>
              <w:rPr>
                <w:rFonts w:hint="eastAsia" w:ascii="宋体" w:hAnsi="宋体" w:cs="宋体"/>
                <w:b/>
                <w:bCs/>
                <w:sz w:val="24"/>
                <w:highlight w:val="none"/>
                <w:lang w:val="en-US" w:eastAsia="zh-CN"/>
              </w:rPr>
              <w:t>2.以上人员需提供响应供应商为其缴纳的近三个月连续社保证明材料扫描件，加盖公章并附入响应文件中</w:t>
            </w:r>
            <w:r>
              <w:rPr>
                <w:rFonts w:hint="eastAsia" w:ascii="宋体" w:hAnsi="宋体" w:cs="宋体"/>
                <w:b/>
                <w:bCs/>
                <w:sz w:val="24"/>
                <w:highlight w:val="none"/>
                <w:lang w:eastAsia="zh-CN"/>
              </w:rPr>
              <w:t>；</w:t>
            </w:r>
          </w:p>
          <w:p w14:paraId="3ADF590C">
            <w:pPr>
              <w:jc w:val="left"/>
              <w:rPr>
                <w:rFonts w:hint="eastAsia" w:ascii="宋体" w:hAnsi="宋体" w:cs="宋体" w:eastAsiaTheme="minorEastAsia"/>
                <w:b/>
                <w:bCs/>
                <w:sz w:val="24"/>
                <w:highlight w:val="none"/>
                <w:lang w:eastAsia="zh-CN"/>
              </w:rPr>
            </w:pPr>
            <w:r>
              <w:rPr>
                <w:rFonts w:hint="eastAsia" w:ascii="宋体" w:hAnsi="宋体" w:cs="宋体"/>
                <w:b/>
                <w:bCs/>
                <w:sz w:val="24"/>
                <w:highlight w:val="none"/>
                <w:lang w:val="en-US" w:eastAsia="zh-CN"/>
              </w:rPr>
              <w:t>3.</w:t>
            </w:r>
            <w:r>
              <w:rPr>
                <w:rFonts w:hint="eastAsia" w:ascii="宋体" w:hAnsi="宋体" w:cs="宋体"/>
                <w:b/>
                <w:bCs/>
                <w:sz w:val="24"/>
                <w:highlight w:val="none"/>
              </w:rPr>
              <w:t>需提供相关专业证书扫描件，加盖公章并附入响应文件中</w:t>
            </w:r>
            <w:r>
              <w:rPr>
                <w:rFonts w:hint="eastAsia" w:ascii="宋体" w:hAnsi="宋体" w:cs="宋体"/>
                <w:b/>
                <w:bCs/>
                <w:sz w:val="24"/>
                <w:highlight w:val="none"/>
                <w:lang w:eastAsia="zh-CN"/>
              </w:rPr>
              <w:t>；</w:t>
            </w:r>
            <w:r>
              <w:rPr>
                <w:rFonts w:hint="eastAsia" w:ascii="宋体" w:hAnsi="宋体" w:cs="宋体"/>
                <w:b/>
                <w:bCs/>
                <w:sz w:val="24"/>
                <w:highlight w:val="none"/>
              </w:rPr>
              <w:t>以上材料缺项漏项不得分</w:t>
            </w:r>
          </w:p>
        </w:tc>
        <w:tc>
          <w:tcPr>
            <w:tcW w:w="888" w:type="dxa"/>
            <w:vAlign w:val="center"/>
          </w:tcPr>
          <w:p w14:paraId="272817A0">
            <w:pPr>
              <w:snapToGrid w:val="0"/>
              <w:spacing w:after="120" w:line="280" w:lineRule="exact"/>
              <w:jc w:val="center"/>
              <w:rPr>
                <w:rFonts w:hint="default" w:ascii="宋体" w:hAnsi="宋体" w:eastAsiaTheme="minorEastAsia"/>
                <w:b/>
                <w:bCs/>
                <w:sz w:val="24"/>
                <w:szCs w:val="24"/>
                <w:highlight w:val="none"/>
                <w:lang w:val="en-US" w:eastAsia="zh-CN"/>
              </w:rPr>
            </w:pPr>
            <w:r>
              <w:rPr>
                <w:rFonts w:hint="eastAsia" w:ascii="宋体" w:hAnsi="宋体"/>
                <w:b/>
                <w:bCs/>
                <w:sz w:val="24"/>
                <w:szCs w:val="24"/>
                <w:highlight w:val="none"/>
                <w:lang w:val="en-US" w:eastAsia="zh-CN"/>
              </w:rPr>
              <w:t>0-8分</w:t>
            </w:r>
          </w:p>
        </w:tc>
      </w:tr>
      <w:tr w14:paraId="360B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restart"/>
            <w:vAlign w:val="center"/>
          </w:tcPr>
          <w:p w14:paraId="4C7FC78B">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1667" w:type="dxa"/>
            <w:vMerge w:val="restart"/>
            <w:vAlign w:val="center"/>
          </w:tcPr>
          <w:p w14:paraId="5D16FF8D">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项目需求的理解与分析</w:t>
            </w:r>
          </w:p>
        </w:tc>
        <w:tc>
          <w:tcPr>
            <w:tcW w:w="6005" w:type="dxa"/>
            <w:vAlign w:val="center"/>
          </w:tcPr>
          <w:p w14:paraId="5656BF2E">
            <w:pPr>
              <w:pStyle w:val="14"/>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根据供应商提供对本项目采购需求的理解与分析是否具有合理性、明确性、是否切实响应项目工作要求进行打分，评委在规定分值内打分。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58F12452">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5AE2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continue"/>
            <w:vAlign w:val="center"/>
          </w:tcPr>
          <w:p w14:paraId="6A4D4B88">
            <w:pPr>
              <w:pStyle w:val="14"/>
              <w:spacing w:line="400" w:lineRule="exact"/>
              <w:jc w:val="center"/>
              <w:rPr>
                <w:rFonts w:ascii="宋体" w:hAnsi="宋体" w:eastAsia="宋体" w:cs="宋体"/>
                <w:sz w:val="24"/>
                <w:szCs w:val="24"/>
                <w:highlight w:val="none"/>
              </w:rPr>
            </w:pPr>
          </w:p>
        </w:tc>
        <w:tc>
          <w:tcPr>
            <w:tcW w:w="1667" w:type="dxa"/>
            <w:vMerge w:val="continue"/>
            <w:vAlign w:val="center"/>
          </w:tcPr>
          <w:p w14:paraId="3257A2DC">
            <w:pPr>
              <w:pStyle w:val="14"/>
              <w:spacing w:line="400" w:lineRule="exact"/>
              <w:jc w:val="center"/>
              <w:rPr>
                <w:rFonts w:ascii="宋体" w:hAnsi="宋体" w:eastAsia="宋体" w:cs="宋体"/>
                <w:sz w:val="24"/>
                <w:szCs w:val="24"/>
                <w:highlight w:val="none"/>
              </w:rPr>
            </w:pPr>
          </w:p>
        </w:tc>
        <w:tc>
          <w:tcPr>
            <w:tcW w:w="6005" w:type="dxa"/>
            <w:vAlign w:val="center"/>
          </w:tcPr>
          <w:p w14:paraId="670F8E76">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根据供应商提供对采购人不动产登记系统现状、不动产登记数据情况的掌握、了解程度及是否具有准确性进行打分，评委在规定分值内打分。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5AD93C14">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1BC9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restart"/>
            <w:vAlign w:val="center"/>
          </w:tcPr>
          <w:p w14:paraId="43D66F21">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1667" w:type="dxa"/>
            <w:vMerge w:val="restart"/>
            <w:vAlign w:val="center"/>
          </w:tcPr>
          <w:p w14:paraId="14720C9F">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6005" w:type="dxa"/>
            <w:vAlign w:val="center"/>
          </w:tcPr>
          <w:p w14:paraId="765AFC1C">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根据供应商提供的项目组织实施方案是否具有科学性、合理性、规范性、可操作性进行打分，评委在规定分值内打分。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1B86C1E6">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6825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continue"/>
            <w:vAlign w:val="center"/>
          </w:tcPr>
          <w:p w14:paraId="15C016DB">
            <w:pPr>
              <w:pStyle w:val="14"/>
              <w:spacing w:line="400" w:lineRule="exact"/>
              <w:jc w:val="center"/>
              <w:rPr>
                <w:rFonts w:ascii="宋体" w:hAnsi="宋体" w:eastAsia="宋体" w:cs="宋体"/>
                <w:sz w:val="24"/>
                <w:szCs w:val="24"/>
                <w:highlight w:val="none"/>
              </w:rPr>
            </w:pPr>
          </w:p>
        </w:tc>
        <w:tc>
          <w:tcPr>
            <w:tcW w:w="1667" w:type="dxa"/>
            <w:vMerge w:val="continue"/>
            <w:vAlign w:val="center"/>
          </w:tcPr>
          <w:p w14:paraId="053980CA">
            <w:pPr>
              <w:pStyle w:val="14"/>
              <w:spacing w:line="400" w:lineRule="exact"/>
              <w:jc w:val="center"/>
              <w:rPr>
                <w:rFonts w:ascii="宋体" w:hAnsi="宋体" w:eastAsia="宋体" w:cs="宋体"/>
                <w:sz w:val="24"/>
                <w:szCs w:val="24"/>
                <w:highlight w:val="none"/>
              </w:rPr>
            </w:pPr>
          </w:p>
        </w:tc>
        <w:tc>
          <w:tcPr>
            <w:tcW w:w="6005" w:type="dxa"/>
            <w:vAlign w:val="center"/>
          </w:tcPr>
          <w:p w14:paraId="0A0E85D3">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根据供应商提供的项目实施方案是否具有全面性、科学性、可行性，是否针对本项目特点进行打分，评委在规定分值内打分。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6A30AB38">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0803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7EC7AAF9">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1667" w:type="dxa"/>
            <w:vAlign w:val="center"/>
          </w:tcPr>
          <w:p w14:paraId="4CF70925">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项目建设方案</w:t>
            </w:r>
          </w:p>
        </w:tc>
        <w:tc>
          <w:tcPr>
            <w:tcW w:w="6005" w:type="dxa"/>
            <w:vAlign w:val="center"/>
          </w:tcPr>
          <w:p w14:paraId="3C269F7E">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根据供应商提供的项目建设方案是否具有完整性、合理性，其中关于农村土地承包经营权数据标准化方案是否具有完整性进行打分，评委在规定分值内打分。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30C17074">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2AD7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restart"/>
            <w:vAlign w:val="center"/>
          </w:tcPr>
          <w:p w14:paraId="1661B1D0">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1667" w:type="dxa"/>
            <w:vMerge w:val="restart"/>
            <w:vAlign w:val="center"/>
          </w:tcPr>
          <w:p w14:paraId="3CEF2658">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项目技术难点分析及解决方案</w:t>
            </w:r>
          </w:p>
        </w:tc>
        <w:tc>
          <w:tcPr>
            <w:tcW w:w="6005" w:type="dxa"/>
            <w:vAlign w:val="center"/>
          </w:tcPr>
          <w:p w14:paraId="3D9ED722">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根据供应商提供在项目实施过程的技术难点、风险的分析是否具有合理性、科学性、严谨性进行打分，评委在规定分值内打分。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11B0130A">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5783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Merge w:val="continue"/>
            <w:vAlign w:val="center"/>
          </w:tcPr>
          <w:p w14:paraId="18CF58D2">
            <w:pPr>
              <w:pStyle w:val="14"/>
              <w:spacing w:line="400" w:lineRule="exact"/>
              <w:jc w:val="center"/>
              <w:rPr>
                <w:rFonts w:ascii="宋体" w:hAnsi="宋体" w:eastAsia="宋体" w:cs="宋体"/>
                <w:sz w:val="24"/>
                <w:szCs w:val="24"/>
                <w:highlight w:val="none"/>
              </w:rPr>
            </w:pPr>
          </w:p>
        </w:tc>
        <w:tc>
          <w:tcPr>
            <w:tcW w:w="1667" w:type="dxa"/>
            <w:vMerge w:val="continue"/>
            <w:vAlign w:val="center"/>
          </w:tcPr>
          <w:p w14:paraId="658F355F">
            <w:pPr>
              <w:pStyle w:val="14"/>
              <w:spacing w:line="400" w:lineRule="exact"/>
              <w:jc w:val="center"/>
              <w:rPr>
                <w:rFonts w:ascii="宋体" w:hAnsi="宋体" w:eastAsia="宋体" w:cs="宋体"/>
                <w:sz w:val="24"/>
                <w:szCs w:val="24"/>
                <w:highlight w:val="none"/>
              </w:rPr>
            </w:pPr>
          </w:p>
        </w:tc>
        <w:tc>
          <w:tcPr>
            <w:tcW w:w="6005" w:type="dxa"/>
            <w:vAlign w:val="center"/>
          </w:tcPr>
          <w:p w14:paraId="41FF697C">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根据供应商提供项目技术难点的解决方案、规避风险的方案是否具有合理性、可操作性进行打分，评委在规定分值内打分。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7E7E8A11">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7ED6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71BA1180">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9</w:t>
            </w:r>
          </w:p>
        </w:tc>
        <w:tc>
          <w:tcPr>
            <w:tcW w:w="1667" w:type="dxa"/>
            <w:vAlign w:val="center"/>
          </w:tcPr>
          <w:p w14:paraId="0A3E4C58">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数据</w:t>
            </w:r>
            <w:r>
              <w:rPr>
                <w:rFonts w:hint="eastAsia" w:ascii="宋体" w:hAnsi="宋体" w:cs="宋体"/>
                <w:sz w:val="24"/>
                <w:szCs w:val="24"/>
                <w:highlight w:val="none"/>
                <w:lang w:val="en-US" w:eastAsia="zh-CN"/>
              </w:rPr>
              <w:t>建库</w:t>
            </w:r>
            <w:r>
              <w:rPr>
                <w:rFonts w:hint="eastAsia" w:ascii="宋体" w:hAnsi="宋体" w:eastAsia="宋体" w:cs="宋体"/>
                <w:sz w:val="24"/>
                <w:szCs w:val="24"/>
                <w:highlight w:val="none"/>
              </w:rPr>
              <w:t>方案</w:t>
            </w:r>
          </w:p>
        </w:tc>
        <w:tc>
          <w:tcPr>
            <w:tcW w:w="6005" w:type="dxa"/>
            <w:vAlign w:val="center"/>
          </w:tcPr>
          <w:p w14:paraId="130394BA">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根据供应商提供的数据库设计的合理性、要素分类齐全性、属性内容是否符合项目要求、是否有完善且有效的数据建库方案进行综合评审打分，</w:t>
            </w:r>
            <w:r>
              <w:rPr>
                <w:rFonts w:hint="eastAsia" w:ascii="宋体" w:hAnsi="宋体" w:eastAsia="宋体" w:cs="宋体"/>
                <w:sz w:val="24"/>
                <w:szCs w:val="24"/>
                <w:highlight w:val="none"/>
              </w:rPr>
              <w:t>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0B6D655C">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4822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94" w:type="dxa"/>
            <w:vAlign w:val="center"/>
          </w:tcPr>
          <w:p w14:paraId="077B614F">
            <w:pPr>
              <w:pStyle w:val="14"/>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667" w:type="dxa"/>
            <w:vAlign w:val="center"/>
          </w:tcPr>
          <w:p w14:paraId="1D6E2B39">
            <w:pPr>
              <w:pStyle w:val="14"/>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数据入库方案</w:t>
            </w:r>
          </w:p>
        </w:tc>
        <w:tc>
          <w:tcPr>
            <w:tcW w:w="6005" w:type="dxa"/>
            <w:vAlign w:val="center"/>
          </w:tcPr>
          <w:p w14:paraId="6BB55F1D">
            <w:pPr>
              <w:pStyle w:val="14"/>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根据供应商提供</w:t>
            </w:r>
            <w:r>
              <w:rPr>
                <w:rFonts w:hint="eastAsia" w:ascii="宋体" w:hAnsi="宋体" w:eastAsia="宋体" w:cs="宋体"/>
                <w:sz w:val="24"/>
                <w:szCs w:val="24"/>
                <w:highlight w:val="none"/>
                <w:lang w:val="en-US" w:eastAsia="zh-CN"/>
              </w:rPr>
              <w:t>数据入库方案</w:t>
            </w:r>
            <w:r>
              <w:rPr>
                <w:rFonts w:hint="eastAsia" w:ascii="宋体" w:hAnsi="宋体" w:eastAsia="宋体" w:cs="宋体"/>
                <w:sz w:val="24"/>
                <w:szCs w:val="24"/>
                <w:highlight w:val="none"/>
              </w:rPr>
              <w:t>与现有不动产登记</w:t>
            </w:r>
            <w:r>
              <w:rPr>
                <w:rFonts w:hint="eastAsia" w:ascii="宋体" w:hAnsi="宋体" w:eastAsia="宋体" w:cs="宋体"/>
                <w:sz w:val="24"/>
                <w:szCs w:val="24"/>
                <w:highlight w:val="none"/>
                <w:lang w:val="en-US" w:eastAsia="zh-CN"/>
              </w:rPr>
              <w:t>数据库</w:t>
            </w:r>
            <w:r>
              <w:rPr>
                <w:rFonts w:hint="eastAsia" w:ascii="宋体" w:hAnsi="宋体" w:eastAsia="宋体" w:cs="宋体"/>
                <w:sz w:val="24"/>
                <w:szCs w:val="24"/>
                <w:highlight w:val="none"/>
              </w:rPr>
              <w:t>衔接以及与不动产信息</w:t>
            </w:r>
            <w:r>
              <w:rPr>
                <w:rFonts w:hint="eastAsia" w:ascii="宋体" w:hAnsi="宋体" w:eastAsia="宋体" w:cs="宋体"/>
                <w:sz w:val="24"/>
                <w:szCs w:val="24"/>
                <w:highlight w:val="none"/>
                <w:lang w:val="en-US" w:eastAsia="zh-CN"/>
              </w:rPr>
              <w:t>挂接</w:t>
            </w:r>
            <w:r>
              <w:rPr>
                <w:rFonts w:hint="eastAsia" w:ascii="宋体" w:hAnsi="宋体" w:eastAsia="宋体" w:cs="宋体"/>
                <w:sz w:val="24"/>
                <w:szCs w:val="24"/>
                <w:highlight w:val="none"/>
              </w:rPr>
              <w:t>是否具有可行性，是否实现无缝衔接，保证系统</w:t>
            </w:r>
            <w:r>
              <w:rPr>
                <w:rFonts w:hint="eastAsia" w:ascii="宋体" w:hAnsi="宋体" w:eastAsia="宋体" w:cs="宋体"/>
                <w:sz w:val="24"/>
                <w:szCs w:val="24"/>
                <w:highlight w:val="none"/>
                <w:lang w:val="en-US" w:eastAsia="zh-CN"/>
              </w:rPr>
              <w:t>及数据库</w:t>
            </w:r>
            <w:r>
              <w:rPr>
                <w:rFonts w:hint="eastAsia" w:ascii="宋体" w:hAnsi="宋体" w:eastAsia="宋体" w:cs="宋体"/>
                <w:sz w:val="24"/>
                <w:szCs w:val="24"/>
                <w:highlight w:val="none"/>
              </w:rPr>
              <w:t>的稳定运行进行打分，评委在规定分值内打分。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639A46E8">
            <w:pPr>
              <w:adjustRightInd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44FE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7DC919B8">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1667" w:type="dxa"/>
            <w:vAlign w:val="center"/>
          </w:tcPr>
          <w:p w14:paraId="26ECA161">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应急预案</w:t>
            </w:r>
          </w:p>
        </w:tc>
        <w:tc>
          <w:tcPr>
            <w:tcW w:w="6005" w:type="dxa"/>
            <w:vAlign w:val="center"/>
          </w:tcPr>
          <w:p w14:paraId="5EF7D1B1">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根据供应商提供的应急预案是否具有可操作性、监督性，是否具有详细的工作计划（对发生突发性事件后，明确投入的人力、时间、各种应对措施）进行打分，评委在规定分值内打分。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643449C4">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02F0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7F54150E">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1667" w:type="dxa"/>
            <w:vAlign w:val="center"/>
          </w:tcPr>
          <w:p w14:paraId="57B8C42D">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项目管理方案</w:t>
            </w:r>
          </w:p>
        </w:tc>
        <w:tc>
          <w:tcPr>
            <w:tcW w:w="6005" w:type="dxa"/>
            <w:vAlign w:val="center"/>
          </w:tcPr>
          <w:p w14:paraId="664AE98E">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根据供应商提供的项目管理方案是否符合软件工程管理要求（包括项目进度控制、质量保证、范围控制、配置管理、文档管理、风险控制等）是否具有合理性、科学性进行打分，评委在规定分值内打分。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62EEEC69">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498A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5D938805">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1667" w:type="dxa"/>
            <w:vAlign w:val="center"/>
          </w:tcPr>
          <w:p w14:paraId="7FD61A88">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6005" w:type="dxa"/>
            <w:vAlign w:val="center"/>
          </w:tcPr>
          <w:p w14:paraId="53C4C7C5">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根据供应商提供培训方案是否具有合理性、科学性、完整性进行打分，评委在规定分值内打分。</w:t>
            </w:r>
            <w:r>
              <w:rPr>
                <w:rFonts w:hint="eastAsia" w:ascii="宋体" w:hAnsi="宋体" w:eastAsia="宋体" w:cs="宋体"/>
                <w:sz w:val="24"/>
                <w:szCs w:val="24"/>
                <w:highlight w:val="none"/>
                <w:lang w:val="en-US" w:eastAsia="zh-CN"/>
              </w:rPr>
              <w:t>（评分范围：5、4.5、4、3.5、3、2.5、2、1.5、1、0.5、0）</w:t>
            </w:r>
          </w:p>
        </w:tc>
        <w:tc>
          <w:tcPr>
            <w:tcW w:w="888" w:type="dxa"/>
            <w:vAlign w:val="center"/>
          </w:tcPr>
          <w:p w14:paraId="3F30ADDA">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0-5分</w:t>
            </w:r>
          </w:p>
        </w:tc>
      </w:tr>
      <w:tr w14:paraId="67CA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5D182780">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1667" w:type="dxa"/>
            <w:vAlign w:val="center"/>
          </w:tcPr>
          <w:p w14:paraId="02B038F6">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6005" w:type="dxa"/>
            <w:vAlign w:val="center"/>
          </w:tcPr>
          <w:p w14:paraId="3D85F894">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根据供应商提供合理化建议是否具有可行性、合理性、科学性进行打分，评委在规定分值内打分。</w:t>
            </w:r>
            <w:r>
              <w:rPr>
                <w:rFonts w:hint="eastAsia" w:ascii="宋体" w:hAnsi="宋体" w:eastAsia="宋体" w:cs="宋体"/>
                <w:sz w:val="24"/>
                <w:szCs w:val="24"/>
                <w:highlight w:val="none"/>
                <w:lang w:val="en-US" w:eastAsia="zh-CN"/>
              </w:rPr>
              <w:t>（评分范围：4、3.5、3、2.5、2、1.5、1、0.5、0）</w:t>
            </w:r>
          </w:p>
        </w:tc>
        <w:tc>
          <w:tcPr>
            <w:tcW w:w="888" w:type="dxa"/>
            <w:vAlign w:val="center"/>
          </w:tcPr>
          <w:p w14:paraId="579E1CFC">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分</w:t>
            </w:r>
          </w:p>
        </w:tc>
      </w:tr>
      <w:tr w14:paraId="224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dxa"/>
            <w:vAlign w:val="center"/>
          </w:tcPr>
          <w:p w14:paraId="69C7CAB2">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1667" w:type="dxa"/>
            <w:vAlign w:val="center"/>
          </w:tcPr>
          <w:p w14:paraId="30B7F6F7">
            <w:pPr>
              <w:pStyle w:val="14"/>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售后服务方案</w:t>
            </w:r>
          </w:p>
        </w:tc>
        <w:tc>
          <w:tcPr>
            <w:tcW w:w="6005" w:type="dxa"/>
            <w:vAlign w:val="center"/>
          </w:tcPr>
          <w:p w14:paraId="1C8A3594">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根据供应商提供售后服务方案是否具有</w:t>
            </w:r>
            <w:r>
              <w:rPr>
                <w:rFonts w:hint="eastAsia" w:ascii="宋体" w:hAnsi="宋体" w:eastAsia="宋体" w:cs="宋体"/>
                <w:sz w:val="24"/>
                <w:highlight w:val="none"/>
              </w:rPr>
              <w:t>科学</w:t>
            </w:r>
            <w:r>
              <w:rPr>
                <w:rFonts w:hint="eastAsia" w:ascii="宋体" w:hAnsi="宋体" w:cs="宋体"/>
                <w:sz w:val="24"/>
                <w:highlight w:val="none"/>
              </w:rPr>
              <w:t>性</w:t>
            </w:r>
            <w:r>
              <w:rPr>
                <w:rFonts w:hint="eastAsia" w:ascii="宋体" w:hAnsi="宋体" w:eastAsia="宋体" w:cs="宋体"/>
                <w:sz w:val="24"/>
                <w:highlight w:val="none"/>
              </w:rPr>
              <w:t>、完善</w:t>
            </w:r>
            <w:r>
              <w:rPr>
                <w:rFonts w:hint="eastAsia" w:ascii="宋体" w:hAnsi="宋体" w:cs="宋体"/>
                <w:sz w:val="24"/>
                <w:highlight w:val="none"/>
              </w:rPr>
              <w:t>性</w:t>
            </w:r>
            <w:r>
              <w:rPr>
                <w:rFonts w:hint="eastAsia" w:ascii="宋体" w:hAnsi="宋体" w:eastAsia="宋体" w:cs="宋体"/>
                <w:sz w:val="24"/>
                <w:highlight w:val="none"/>
              </w:rPr>
              <w:t>、可行</w:t>
            </w:r>
            <w:r>
              <w:rPr>
                <w:rFonts w:hint="eastAsia" w:ascii="宋体" w:hAnsi="宋体" w:cs="宋体"/>
                <w:sz w:val="24"/>
                <w:highlight w:val="none"/>
              </w:rPr>
              <w:t>性</w:t>
            </w:r>
            <w:r>
              <w:rPr>
                <w:rFonts w:hint="eastAsia" w:ascii="宋体" w:hAnsi="宋体" w:eastAsia="宋体" w:cs="宋体"/>
                <w:sz w:val="24"/>
                <w:szCs w:val="24"/>
                <w:highlight w:val="none"/>
              </w:rPr>
              <w:t>进行打分，在规定分值内打分。</w:t>
            </w:r>
            <w:r>
              <w:rPr>
                <w:rFonts w:hint="eastAsia" w:ascii="宋体" w:hAnsi="宋体" w:eastAsia="宋体" w:cs="宋体"/>
                <w:sz w:val="24"/>
                <w:szCs w:val="24"/>
                <w:highlight w:val="none"/>
                <w:lang w:val="en-US" w:eastAsia="zh-CN"/>
              </w:rPr>
              <w:t>（评分范围：4、3.5、3、2.5、2、1.5、1、0.5、0）</w:t>
            </w:r>
          </w:p>
        </w:tc>
        <w:tc>
          <w:tcPr>
            <w:tcW w:w="888" w:type="dxa"/>
            <w:vAlign w:val="center"/>
          </w:tcPr>
          <w:p w14:paraId="7D362C0E">
            <w:pPr>
              <w:adjustRightInd w:val="0"/>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分</w:t>
            </w:r>
          </w:p>
        </w:tc>
      </w:tr>
    </w:tbl>
    <w:p w14:paraId="543D178C">
      <w:pPr>
        <w:keepNext w:val="0"/>
        <w:keepLines w:val="0"/>
        <w:pageBreakBefore w:val="0"/>
        <w:widowControl w:val="0"/>
        <w:kinsoku/>
        <w:overflowPunct/>
        <w:topLinePunct w:val="0"/>
        <w:autoSpaceDE/>
        <w:autoSpaceDN/>
        <w:bidi w:val="0"/>
        <w:adjustRightInd/>
        <w:snapToGrid/>
        <w:spacing w:line="460" w:lineRule="exact"/>
        <w:ind w:firstLine="482" w:firstLineChars="200"/>
        <w:textAlignment w:val="auto"/>
        <w:outlineLvl w:val="1"/>
        <w:rPr>
          <w:rFonts w:hint="eastAsia" w:ascii="宋体" w:hAnsi="宋体" w:cs="宋体"/>
          <w:b/>
          <w:color w:val="auto"/>
          <w:sz w:val="24"/>
          <w:highlight w:val="none"/>
        </w:rPr>
      </w:pPr>
      <w:r>
        <w:rPr>
          <w:rFonts w:hint="eastAsia" w:ascii="宋体" w:hAnsi="宋体" w:cs="宋体"/>
          <w:b/>
          <w:color w:val="auto"/>
          <w:sz w:val="24"/>
          <w:highlight w:val="none"/>
        </w:rPr>
        <w:t>5.1资信及商务、技术部分评审内容及分值（</w:t>
      </w:r>
      <w:r>
        <w:rPr>
          <w:rFonts w:hint="eastAsia" w:ascii="宋体" w:hAnsi="宋体" w:cs="宋体"/>
          <w:b/>
          <w:color w:val="auto"/>
          <w:sz w:val="24"/>
          <w:highlight w:val="none"/>
          <w:lang w:val="en-US" w:eastAsia="zh-CN"/>
        </w:rPr>
        <w:t>90</w:t>
      </w:r>
      <w:r>
        <w:rPr>
          <w:rFonts w:hint="eastAsia" w:ascii="宋体" w:hAnsi="宋体" w:cs="宋体"/>
          <w:b/>
          <w:color w:val="auto"/>
          <w:sz w:val="24"/>
          <w:highlight w:val="none"/>
        </w:rPr>
        <w:t>分）</w:t>
      </w:r>
    </w:p>
    <w:p w14:paraId="28B93781">
      <w:pPr>
        <w:keepNext w:val="0"/>
        <w:keepLines w:val="0"/>
        <w:pageBreakBefore w:val="0"/>
        <w:widowControl w:val="0"/>
        <w:kinsoku/>
        <w:overflowPunct/>
        <w:topLinePunct w:val="0"/>
        <w:autoSpaceDE/>
        <w:autoSpaceDN/>
        <w:bidi w:val="0"/>
        <w:adjustRightInd/>
        <w:snapToGrid/>
        <w:spacing w:line="46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2</w:t>
      </w:r>
      <w:r>
        <w:rPr>
          <w:rFonts w:hint="eastAsia" w:ascii="宋体" w:hAnsi="宋体"/>
          <w:b/>
          <w:color w:val="auto"/>
          <w:sz w:val="24"/>
          <w:highlight w:val="none"/>
          <w:lang w:eastAsia="zh-CN"/>
        </w:rPr>
        <w:t>投标</w:t>
      </w:r>
      <w:r>
        <w:rPr>
          <w:rFonts w:hint="eastAsia" w:ascii="宋体" w:hAnsi="宋体"/>
          <w:b/>
          <w:color w:val="auto"/>
          <w:sz w:val="24"/>
          <w:highlight w:val="none"/>
        </w:rPr>
        <w:t>报价得分为</w:t>
      </w:r>
      <w:r>
        <w:rPr>
          <w:rFonts w:hint="eastAsia" w:ascii="宋体" w:hAnsi="宋体"/>
          <w:b/>
          <w:color w:val="auto"/>
          <w:sz w:val="24"/>
          <w:highlight w:val="none"/>
          <w:lang w:val="en-US" w:eastAsia="zh-CN"/>
        </w:rPr>
        <w:t>10</w:t>
      </w:r>
      <w:r>
        <w:rPr>
          <w:rFonts w:hint="eastAsia" w:ascii="宋体" w:hAnsi="宋体"/>
          <w:b/>
          <w:color w:val="auto"/>
          <w:sz w:val="24"/>
          <w:highlight w:val="none"/>
        </w:rPr>
        <w:t>分</w:t>
      </w:r>
      <w:r>
        <w:rPr>
          <w:rFonts w:hint="eastAsia" w:ascii="宋体" w:hAnsi="宋体"/>
          <w:b/>
          <w:color w:val="auto"/>
          <w:sz w:val="24"/>
          <w:highlight w:val="none"/>
          <w:lang w:eastAsia="zh-CN"/>
        </w:rPr>
        <w:t>，</w:t>
      </w:r>
      <w:r>
        <w:rPr>
          <w:rFonts w:hint="eastAsia" w:ascii="宋体" w:hAnsi="宋体"/>
          <w:b/>
          <w:color w:val="auto"/>
          <w:sz w:val="24"/>
          <w:highlight w:val="none"/>
        </w:rPr>
        <w:t>权重为</w:t>
      </w:r>
      <w:r>
        <w:rPr>
          <w:rFonts w:hint="eastAsia" w:ascii="宋体" w:hAnsi="宋体"/>
          <w:b/>
          <w:color w:val="auto"/>
          <w:sz w:val="24"/>
          <w:highlight w:val="none"/>
          <w:lang w:val="en-US" w:eastAsia="zh-CN"/>
        </w:rPr>
        <w:t>10</w:t>
      </w:r>
      <w:r>
        <w:rPr>
          <w:rFonts w:hint="eastAsia" w:ascii="宋体" w:hAnsi="宋体"/>
          <w:b/>
          <w:color w:val="auto"/>
          <w:sz w:val="24"/>
          <w:highlight w:val="none"/>
        </w:rPr>
        <w:t>%，由评审委员会根据以下内容统一计算打分：</w:t>
      </w:r>
    </w:p>
    <w:p w14:paraId="6063A5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报价评分应在报价范围口径一致的评审价基础上进行。属磋商文件不清楚引起的报价内容和口径不一致的，则按有关规定统一调整报价内容和口径，计算出供应商的最终报价。属供应商失误造成的报价差错和遗漏，不得调整。</w:t>
      </w:r>
    </w:p>
    <w:p w14:paraId="45F185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.2最终报价超过预算金额的作无效标处理。</w:t>
      </w:r>
    </w:p>
    <w:p w14:paraId="769382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.3最终报价有漏项的或报价数量少于磋商文件要求数量的作无效标处理。</w:t>
      </w:r>
    </w:p>
    <w:p w14:paraId="230C66E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.4 报价得分按以下方式计算：</w:t>
      </w:r>
    </w:p>
    <w:p w14:paraId="587ED2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确定评审价：供应商的评审价=各供应商最终有效报价</w:t>
      </w:r>
    </w:p>
    <w:p w14:paraId="25DD83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磋商基准价=各有效供应商中的最低的参与评审价格；</w:t>
      </w:r>
    </w:p>
    <w:p w14:paraId="25EF96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评审价等于磋商基准价的得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分，其他供应商的报价得分按下列公式计算：</w:t>
      </w:r>
    </w:p>
    <w:p w14:paraId="503247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报价得分=（磋商基准价/各供应商最终评审价）×报价权重×100。</w:t>
      </w:r>
    </w:p>
    <w:p w14:paraId="357D02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落实政府采购扶持政策说明：本项目面向中小企业采购，不进行价格扣除或价格分加分。</w:t>
      </w:r>
    </w:p>
    <w:p w14:paraId="386D39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本项目最终得分=资信商务及技术得分＋报价得分；</w:t>
      </w:r>
    </w:p>
    <w:p w14:paraId="3DE42C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评分时保留小数</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位，计算评分值时保留小数2位，小数点采用四舍五入方法。</w:t>
      </w:r>
    </w:p>
    <w:p w14:paraId="1B0E1698">
      <w:pPr>
        <w:pStyle w:val="5"/>
        <w:keepNext w:val="0"/>
        <w:keepLines w:val="0"/>
        <w:pageBreakBefore w:val="0"/>
        <w:widowControl w:val="0"/>
        <w:kinsoku/>
        <w:overflowPunct/>
        <w:topLinePunct w:val="0"/>
        <w:autoSpaceDE/>
        <w:autoSpaceDN/>
        <w:bidi w:val="0"/>
        <w:adjustRightInd/>
        <w:snapToGrid/>
        <w:spacing w:after="0" w:line="460" w:lineRule="exact"/>
        <w:ind w:left="0" w:firstLine="0"/>
        <w:textAlignment w:val="auto"/>
        <w:rPr>
          <w:rFonts w:hint="eastAsia" w:ascii="宋体" w:hAnsi="宋体" w:eastAsia="宋体" w:cs="宋体"/>
          <w:b/>
          <w:bCs/>
          <w:color w:val="auto"/>
          <w:sz w:val="28"/>
          <w:szCs w:val="28"/>
          <w:highlight w:val="none"/>
        </w:rPr>
      </w:pPr>
      <w:bookmarkStart w:id="191" w:name="_Toc7763"/>
      <w:bookmarkStart w:id="192" w:name="_Toc8839"/>
      <w:r>
        <w:rPr>
          <w:rFonts w:hint="eastAsia" w:ascii="宋体" w:hAnsi="宋体" w:eastAsia="宋体" w:cs="宋体"/>
          <w:b/>
          <w:bCs/>
          <w:color w:val="auto"/>
          <w:sz w:val="28"/>
          <w:szCs w:val="28"/>
          <w:highlight w:val="none"/>
        </w:rPr>
        <w:t>六   磋商纪律和要求</w:t>
      </w:r>
      <w:bookmarkEnd w:id="189"/>
      <w:bookmarkEnd w:id="190"/>
      <w:bookmarkEnd w:id="191"/>
      <w:bookmarkEnd w:id="192"/>
    </w:p>
    <w:p w14:paraId="224E47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6.1磋商小组成员必须公平、公正评审，遵纪守法，客观、廉洁地履行职责。</w:t>
      </w:r>
    </w:p>
    <w:p w14:paraId="15D283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6.2磋商小组成员在评审开始前，应关闭并上交随身携带的各种通信工具。</w:t>
      </w:r>
    </w:p>
    <w:p w14:paraId="0E6823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6.3磋商小组成员在评审过程中，未经许可不得中途离开评审现场，不得迟到早退。</w:t>
      </w:r>
    </w:p>
    <w:p w14:paraId="5DCE45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6.4磋商小组成员和工作人员不得透露评审过程中的讨论情况和评审结果。</w:t>
      </w:r>
    </w:p>
    <w:p w14:paraId="645B6DC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1F8329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6.6采购人、采购代理机构不得向磋商小组的磋商小组成员作倾向性、误导性的解释或者说明。</w:t>
      </w:r>
    </w:p>
    <w:p w14:paraId="2803E7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D8EA5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6.8磋商小组成员在评审过程中不得将自己的观点强加给其他磋商小组成员，磋商小组成员应自主发表见解，对评审意见承担个人责任。</w:t>
      </w:r>
    </w:p>
    <w:p w14:paraId="57C157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056BA7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4A75760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6.11磋商小组成员应当遵守评审工作纪律，不得泄露评审文件、评审情况和评审中获悉的商业秘密。</w:t>
      </w:r>
    </w:p>
    <w:p w14:paraId="592009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磋商小组在评审过程中发现供应商有行贿、提供虚假材料或者串通等违法行为的，应当及时向财政部门报告。</w:t>
      </w:r>
    </w:p>
    <w:p w14:paraId="6BA6BA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6.12磋商文件内容违反国家有关强制性规定的，磋商小组应当停止评审并向采购代理机构说明情况。</w:t>
      </w:r>
    </w:p>
    <w:p w14:paraId="075029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6.13磋商小组成员应当配合采购代理机构答复供应商提出的质疑。</w:t>
      </w:r>
    </w:p>
    <w:p w14:paraId="178B00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6.14磋商小组成员应当配合财政部门的投诉处理工作。</w:t>
      </w:r>
    </w:p>
    <w:p w14:paraId="063435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6.15磋商小组成员有如下行为之一的，责令改正，给予警告，可以并处一千元以下的罚款：</w:t>
      </w:r>
    </w:p>
    <w:p w14:paraId="5C33EF9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6.15.1明知应当回避而未主动回避的；</w:t>
      </w:r>
    </w:p>
    <w:p w14:paraId="7986D0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6.15.2在知道自己为磋商小组成员身份后至评审结束前的时段内私下接触供应商的；</w:t>
      </w:r>
    </w:p>
    <w:p w14:paraId="6BD4AB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6.15.3在评审过程中擅离职守，影响评审程序正常进行的；</w:t>
      </w:r>
    </w:p>
    <w:p w14:paraId="18B382B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6.15.4在评审过程有明显不合理或者不正当倾向性的；</w:t>
      </w:r>
    </w:p>
    <w:p w14:paraId="0C473F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6.15.5未按磋商文件规定的评审方法和标准进行评审的。</w:t>
      </w:r>
    </w:p>
    <w:p w14:paraId="37185B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6.15.6上述6.15.1至6.15.5行为影响成交结果的，成交结果无效。</w:t>
      </w:r>
    </w:p>
    <w:p w14:paraId="526A0F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7CD8C2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2B4CC1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政府采购磋商小组成员与供应商存在利害关系未回避的，处2万元以上5万元以下的罚款，禁止其参加政府采购评审活动。</w:t>
      </w:r>
    </w:p>
    <w:p w14:paraId="244B97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0B2B58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政府采购磋商小组成员有上述违法行为的，其评审意见无效，不得获取评审费；有违法所得的，没收违法所得；给他人造成损失的，依法承担民事责任。</w:t>
      </w:r>
    </w:p>
    <w:sectPr>
      <w:pgSz w:w="11906" w:h="16838"/>
      <w:pgMar w:top="1417" w:right="1417" w:bottom="1417" w:left="1417" w:header="851"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A56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CB5">
    <w:pPr>
      <w:pStyle w:val="28"/>
      <w:widowControl/>
      <w:textAlignment w:val="baseline"/>
      <w:rPr>
        <w:rStyle w:val="115"/>
        <w:rFonts w:ascii="Calibri" w:hAnsi="Calibri" w:eastAsia="宋体"/>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2851">
                          <w:pPr>
                            <w:pStyle w:val="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002851">
                    <w:pPr>
                      <w:pStyle w:val="2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EFA8">
    <w:pPr>
      <w:pStyle w:val="30"/>
      <w:pBdr>
        <w:bottom w:val="thickThinSmallGap" w:color="auto" w:sz="12" w:space="1"/>
      </w:pBdr>
      <w:rPr>
        <w:rFonts w:ascii="楷体" w:hAnsi="楷体" w:eastAsia="楷体" w:cs="楷体"/>
        <w:spacing w:val="-11"/>
        <w:sz w:val="21"/>
        <w:szCs w:val="21"/>
      </w:rPr>
    </w:pPr>
    <w:r>
      <w:rPr>
        <w:rFonts w:hint="eastAsia" w:ascii="楷体" w:hAnsi="楷体" w:eastAsia="楷体" w:cs="楷体"/>
        <w:spacing w:val="-11"/>
        <w:sz w:val="21"/>
        <w:szCs w:val="21"/>
        <w:lang w:eastAsia="zh-CN"/>
      </w:rPr>
      <w:t>庆元县宅基地及集体建设用地地籍图编制项目</w:t>
    </w:r>
    <w:r>
      <w:rPr>
        <w:rFonts w:hint="eastAsia" w:ascii="楷体" w:hAnsi="楷体" w:eastAsia="楷体" w:cs="楷体"/>
        <w:spacing w:val="-11"/>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6CBB">
    <w:pPr>
      <w:pStyle w:val="30"/>
      <w:pBdr>
        <w:bottom w:val="thickThinSmallGap" w:color="auto" w:sz="12" w:space="0"/>
      </w:pBdr>
      <w:rPr>
        <w:spacing w:val="-11"/>
      </w:rPr>
    </w:pPr>
    <w:r>
      <w:rPr>
        <w:rFonts w:hint="eastAsia" w:ascii="楷体" w:hAnsi="楷体" w:eastAsia="楷体" w:cs="楷体"/>
        <w:spacing w:val="-11"/>
        <w:sz w:val="21"/>
        <w:szCs w:val="21"/>
        <w:lang w:eastAsia="zh-CN"/>
      </w:rPr>
      <w:t>庆元县宅基地及集体建设用地地籍图编制项目</w:t>
    </w:r>
    <w:r>
      <w:rPr>
        <w:rFonts w:hint="eastAsia" w:ascii="楷体" w:hAnsi="楷体" w:eastAsia="楷体" w:cs="楷体"/>
        <w:spacing w:val="-11"/>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abstractNum w:abstractNumId="1">
    <w:nsid w:val="0A21B76E"/>
    <w:multiLevelType w:val="singleLevel"/>
    <w:tmpl w:val="0A21B76E"/>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2">
    <w:nsid w:val="0AD025A3"/>
    <w:multiLevelType w:val="singleLevel"/>
    <w:tmpl w:val="0AD025A3"/>
    <w:lvl w:ilvl="0" w:tentative="0">
      <w:start w:val="1"/>
      <w:numFmt w:val="decimal"/>
      <w:suff w:val="nothing"/>
      <w:lvlText w:val="%1、"/>
      <w:lvlJc w:val="left"/>
    </w:lvl>
  </w:abstractNum>
  <w:abstractNum w:abstractNumId="3">
    <w:nsid w:val="0ADA319C"/>
    <w:multiLevelType w:val="singleLevel"/>
    <w:tmpl w:val="0ADA319C"/>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2Q5ZjBhZmU0NzZkNTgwYzdlYTZjNDY3NGIyMmEifQ=="/>
  </w:docVars>
  <w:rsids>
    <w:rsidRoot w:val="001765BB"/>
    <w:rsid w:val="0002534F"/>
    <w:rsid w:val="000B6D67"/>
    <w:rsid w:val="001765BB"/>
    <w:rsid w:val="001E5E24"/>
    <w:rsid w:val="002C5FD6"/>
    <w:rsid w:val="00306D09"/>
    <w:rsid w:val="00333E5F"/>
    <w:rsid w:val="003406BF"/>
    <w:rsid w:val="003A4697"/>
    <w:rsid w:val="00430043"/>
    <w:rsid w:val="004874D5"/>
    <w:rsid w:val="00570EAE"/>
    <w:rsid w:val="00630FCA"/>
    <w:rsid w:val="0068424A"/>
    <w:rsid w:val="00754492"/>
    <w:rsid w:val="0089552F"/>
    <w:rsid w:val="008E2542"/>
    <w:rsid w:val="00B7577D"/>
    <w:rsid w:val="00C6667B"/>
    <w:rsid w:val="00CE2DF7"/>
    <w:rsid w:val="00D822B6"/>
    <w:rsid w:val="00D969E5"/>
    <w:rsid w:val="00DA10F1"/>
    <w:rsid w:val="00EA23D3"/>
    <w:rsid w:val="00F41A4F"/>
    <w:rsid w:val="01604851"/>
    <w:rsid w:val="01714809"/>
    <w:rsid w:val="017D31AE"/>
    <w:rsid w:val="0187C4D7"/>
    <w:rsid w:val="018D0F17"/>
    <w:rsid w:val="01916C5A"/>
    <w:rsid w:val="01A93FA3"/>
    <w:rsid w:val="02184C85"/>
    <w:rsid w:val="0239402A"/>
    <w:rsid w:val="025D45D9"/>
    <w:rsid w:val="026C1B4D"/>
    <w:rsid w:val="027F37B2"/>
    <w:rsid w:val="028440C8"/>
    <w:rsid w:val="03404493"/>
    <w:rsid w:val="03573610"/>
    <w:rsid w:val="039A1B9F"/>
    <w:rsid w:val="04245B63"/>
    <w:rsid w:val="04350AB9"/>
    <w:rsid w:val="048B12E8"/>
    <w:rsid w:val="04F75026"/>
    <w:rsid w:val="051E110D"/>
    <w:rsid w:val="05304EB3"/>
    <w:rsid w:val="05351F51"/>
    <w:rsid w:val="053E57EF"/>
    <w:rsid w:val="055455C8"/>
    <w:rsid w:val="05B72A07"/>
    <w:rsid w:val="05E236C5"/>
    <w:rsid w:val="05EF03F3"/>
    <w:rsid w:val="0636392C"/>
    <w:rsid w:val="064D09AD"/>
    <w:rsid w:val="068648B3"/>
    <w:rsid w:val="06883EC4"/>
    <w:rsid w:val="068C399D"/>
    <w:rsid w:val="06A76277"/>
    <w:rsid w:val="06CE036C"/>
    <w:rsid w:val="06D02072"/>
    <w:rsid w:val="06DD0D9B"/>
    <w:rsid w:val="06F35CC1"/>
    <w:rsid w:val="07893F2F"/>
    <w:rsid w:val="07925E44"/>
    <w:rsid w:val="079275D3"/>
    <w:rsid w:val="07AA2551"/>
    <w:rsid w:val="07AB1B30"/>
    <w:rsid w:val="07CD1810"/>
    <w:rsid w:val="084476A8"/>
    <w:rsid w:val="084A1910"/>
    <w:rsid w:val="08A35757"/>
    <w:rsid w:val="08A940F7"/>
    <w:rsid w:val="08BD6586"/>
    <w:rsid w:val="08DF22E1"/>
    <w:rsid w:val="08E17D03"/>
    <w:rsid w:val="090D01BA"/>
    <w:rsid w:val="09526CCE"/>
    <w:rsid w:val="096A04BC"/>
    <w:rsid w:val="0A2613D7"/>
    <w:rsid w:val="0AA07F0D"/>
    <w:rsid w:val="0AE87B93"/>
    <w:rsid w:val="0AFA5870"/>
    <w:rsid w:val="0B28308C"/>
    <w:rsid w:val="0B6251C3"/>
    <w:rsid w:val="0B6622CD"/>
    <w:rsid w:val="0B6947A3"/>
    <w:rsid w:val="0B74624C"/>
    <w:rsid w:val="0B8E5FB8"/>
    <w:rsid w:val="0BBA1312"/>
    <w:rsid w:val="0BC9482D"/>
    <w:rsid w:val="0BD22349"/>
    <w:rsid w:val="0C0B585A"/>
    <w:rsid w:val="0C3030AE"/>
    <w:rsid w:val="0C34090D"/>
    <w:rsid w:val="0C41545F"/>
    <w:rsid w:val="0C7357D7"/>
    <w:rsid w:val="0C8F244C"/>
    <w:rsid w:val="0C9A6C16"/>
    <w:rsid w:val="0CB959C0"/>
    <w:rsid w:val="0CCE3F49"/>
    <w:rsid w:val="0CD17F01"/>
    <w:rsid w:val="0CE642FD"/>
    <w:rsid w:val="0CF57754"/>
    <w:rsid w:val="0D483242"/>
    <w:rsid w:val="0D4C612B"/>
    <w:rsid w:val="0DFF75A9"/>
    <w:rsid w:val="0E324850"/>
    <w:rsid w:val="0E34089B"/>
    <w:rsid w:val="0E381772"/>
    <w:rsid w:val="0E3E5A73"/>
    <w:rsid w:val="0E621CD1"/>
    <w:rsid w:val="0E842D95"/>
    <w:rsid w:val="0EB65F51"/>
    <w:rsid w:val="0ECD4AE0"/>
    <w:rsid w:val="0F0F7AC8"/>
    <w:rsid w:val="0F30319F"/>
    <w:rsid w:val="0F4C5F6E"/>
    <w:rsid w:val="0F6B6D3C"/>
    <w:rsid w:val="0F785EA6"/>
    <w:rsid w:val="0FD964D0"/>
    <w:rsid w:val="0FFD3CCB"/>
    <w:rsid w:val="10214AC8"/>
    <w:rsid w:val="103010F1"/>
    <w:rsid w:val="107439CE"/>
    <w:rsid w:val="114535BD"/>
    <w:rsid w:val="11457C97"/>
    <w:rsid w:val="11603F4F"/>
    <w:rsid w:val="117561A5"/>
    <w:rsid w:val="1196664A"/>
    <w:rsid w:val="119B21C7"/>
    <w:rsid w:val="11B85B3D"/>
    <w:rsid w:val="120118F6"/>
    <w:rsid w:val="125F0939"/>
    <w:rsid w:val="12AE1241"/>
    <w:rsid w:val="12C54E10"/>
    <w:rsid w:val="12E7492B"/>
    <w:rsid w:val="13315BA7"/>
    <w:rsid w:val="13417698"/>
    <w:rsid w:val="13447B20"/>
    <w:rsid w:val="135D699C"/>
    <w:rsid w:val="13A24CF6"/>
    <w:rsid w:val="13C94031"/>
    <w:rsid w:val="13E53E69"/>
    <w:rsid w:val="13FC2057"/>
    <w:rsid w:val="1433594E"/>
    <w:rsid w:val="14425B91"/>
    <w:rsid w:val="145E2384"/>
    <w:rsid w:val="145E51EB"/>
    <w:rsid w:val="14D72BCA"/>
    <w:rsid w:val="150A4901"/>
    <w:rsid w:val="15267261"/>
    <w:rsid w:val="154F67B8"/>
    <w:rsid w:val="15565D98"/>
    <w:rsid w:val="159E329B"/>
    <w:rsid w:val="15C250E9"/>
    <w:rsid w:val="16104199"/>
    <w:rsid w:val="161D2412"/>
    <w:rsid w:val="16406571"/>
    <w:rsid w:val="16493207"/>
    <w:rsid w:val="164D4902"/>
    <w:rsid w:val="167F5C16"/>
    <w:rsid w:val="16886814"/>
    <w:rsid w:val="168B2143"/>
    <w:rsid w:val="169D3553"/>
    <w:rsid w:val="16C44F84"/>
    <w:rsid w:val="16E54ABA"/>
    <w:rsid w:val="16EA2C3C"/>
    <w:rsid w:val="16FB6C78"/>
    <w:rsid w:val="172779EC"/>
    <w:rsid w:val="1788384B"/>
    <w:rsid w:val="17DB6FBA"/>
    <w:rsid w:val="186715DB"/>
    <w:rsid w:val="18673E19"/>
    <w:rsid w:val="188E5849"/>
    <w:rsid w:val="18AA3856"/>
    <w:rsid w:val="18B84674"/>
    <w:rsid w:val="18C01A27"/>
    <w:rsid w:val="18DC0363"/>
    <w:rsid w:val="19753AC1"/>
    <w:rsid w:val="19F722DF"/>
    <w:rsid w:val="1AB83330"/>
    <w:rsid w:val="1B0A0632"/>
    <w:rsid w:val="1B383AD4"/>
    <w:rsid w:val="1B684441"/>
    <w:rsid w:val="1BC14E5F"/>
    <w:rsid w:val="1BC66238"/>
    <w:rsid w:val="1BF6798D"/>
    <w:rsid w:val="1C166281"/>
    <w:rsid w:val="1C360B5C"/>
    <w:rsid w:val="1C462954"/>
    <w:rsid w:val="1C75612C"/>
    <w:rsid w:val="1C77394F"/>
    <w:rsid w:val="1C931680"/>
    <w:rsid w:val="1CA078F9"/>
    <w:rsid w:val="1CA35B59"/>
    <w:rsid w:val="1CD721FC"/>
    <w:rsid w:val="1CD74B04"/>
    <w:rsid w:val="1D1A7FC9"/>
    <w:rsid w:val="1D1E3640"/>
    <w:rsid w:val="1D25559E"/>
    <w:rsid w:val="1D2B53CE"/>
    <w:rsid w:val="1D2C21E3"/>
    <w:rsid w:val="1D5315F4"/>
    <w:rsid w:val="1D6D3C7F"/>
    <w:rsid w:val="1DDE1760"/>
    <w:rsid w:val="1DEA69C0"/>
    <w:rsid w:val="1E20147D"/>
    <w:rsid w:val="1E376383"/>
    <w:rsid w:val="1EBD0C84"/>
    <w:rsid w:val="1EDA5344"/>
    <w:rsid w:val="1F0416A8"/>
    <w:rsid w:val="1F645556"/>
    <w:rsid w:val="1F9361C9"/>
    <w:rsid w:val="1FB032B3"/>
    <w:rsid w:val="201A46A1"/>
    <w:rsid w:val="202A3F7E"/>
    <w:rsid w:val="206C7911"/>
    <w:rsid w:val="20DB4791"/>
    <w:rsid w:val="214747E7"/>
    <w:rsid w:val="214C004F"/>
    <w:rsid w:val="21C23F64"/>
    <w:rsid w:val="21F52495"/>
    <w:rsid w:val="220B777D"/>
    <w:rsid w:val="22327245"/>
    <w:rsid w:val="223C7883"/>
    <w:rsid w:val="22822DC1"/>
    <w:rsid w:val="22910410"/>
    <w:rsid w:val="22AD5AA0"/>
    <w:rsid w:val="22D24584"/>
    <w:rsid w:val="22F1670A"/>
    <w:rsid w:val="23176C03"/>
    <w:rsid w:val="233A4603"/>
    <w:rsid w:val="23EB3B2A"/>
    <w:rsid w:val="242D23BA"/>
    <w:rsid w:val="244A14D0"/>
    <w:rsid w:val="2455546D"/>
    <w:rsid w:val="2460195F"/>
    <w:rsid w:val="24710CCA"/>
    <w:rsid w:val="250F5A73"/>
    <w:rsid w:val="251E1D03"/>
    <w:rsid w:val="25207829"/>
    <w:rsid w:val="254554E6"/>
    <w:rsid w:val="2579602E"/>
    <w:rsid w:val="25816634"/>
    <w:rsid w:val="26326DAE"/>
    <w:rsid w:val="26BC4754"/>
    <w:rsid w:val="26F74805"/>
    <w:rsid w:val="270A69E3"/>
    <w:rsid w:val="27210605"/>
    <w:rsid w:val="27343A60"/>
    <w:rsid w:val="27381967"/>
    <w:rsid w:val="274E68CF"/>
    <w:rsid w:val="276525D1"/>
    <w:rsid w:val="27752BC0"/>
    <w:rsid w:val="27BC5EDE"/>
    <w:rsid w:val="27D45BAD"/>
    <w:rsid w:val="281331DB"/>
    <w:rsid w:val="2874680A"/>
    <w:rsid w:val="28906C24"/>
    <w:rsid w:val="28AF339E"/>
    <w:rsid w:val="28CA642A"/>
    <w:rsid w:val="290C07F0"/>
    <w:rsid w:val="29134D42"/>
    <w:rsid w:val="293D4E4D"/>
    <w:rsid w:val="29471395"/>
    <w:rsid w:val="296A3769"/>
    <w:rsid w:val="296E2A6A"/>
    <w:rsid w:val="2988064F"/>
    <w:rsid w:val="29A46C7B"/>
    <w:rsid w:val="29AC1FD3"/>
    <w:rsid w:val="29B34173"/>
    <w:rsid w:val="29B80978"/>
    <w:rsid w:val="2A2A190E"/>
    <w:rsid w:val="2A4B17EC"/>
    <w:rsid w:val="2A5830F2"/>
    <w:rsid w:val="2A5A1A2F"/>
    <w:rsid w:val="2A7D74CC"/>
    <w:rsid w:val="2AB37770"/>
    <w:rsid w:val="2ADD13DC"/>
    <w:rsid w:val="2B7803BF"/>
    <w:rsid w:val="2B8E1C47"/>
    <w:rsid w:val="2BB37B40"/>
    <w:rsid w:val="2BB5780A"/>
    <w:rsid w:val="2BD17ACF"/>
    <w:rsid w:val="2BE21F71"/>
    <w:rsid w:val="2C327F80"/>
    <w:rsid w:val="2C5C699D"/>
    <w:rsid w:val="2C656811"/>
    <w:rsid w:val="2C8E65D6"/>
    <w:rsid w:val="2C9A7789"/>
    <w:rsid w:val="2CDF7FCA"/>
    <w:rsid w:val="2D1A4678"/>
    <w:rsid w:val="2DEB0403"/>
    <w:rsid w:val="2DEC299E"/>
    <w:rsid w:val="2E0A00FD"/>
    <w:rsid w:val="2E310CF9"/>
    <w:rsid w:val="2E3305CD"/>
    <w:rsid w:val="2F120B2A"/>
    <w:rsid w:val="2F1E3AA1"/>
    <w:rsid w:val="2F4A6409"/>
    <w:rsid w:val="2F5527C5"/>
    <w:rsid w:val="2F706905"/>
    <w:rsid w:val="2F7849CE"/>
    <w:rsid w:val="2F917CA1"/>
    <w:rsid w:val="2F9D148E"/>
    <w:rsid w:val="302A2AF0"/>
    <w:rsid w:val="31103CDC"/>
    <w:rsid w:val="312863E3"/>
    <w:rsid w:val="317B7F7E"/>
    <w:rsid w:val="3186135C"/>
    <w:rsid w:val="31BC3C79"/>
    <w:rsid w:val="31DD4230"/>
    <w:rsid w:val="32000452"/>
    <w:rsid w:val="321113AA"/>
    <w:rsid w:val="32202354"/>
    <w:rsid w:val="32250B75"/>
    <w:rsid w:val="322C6815"/>
    <w:rsid w:val="32446460"/>
    <w:rsid w:val="325F4087"/>
    <w:rsid w:val="326351F9"/>
    <w:rsid w:val="327B46DE"/>
    <w:rsid w:val="32A171A2"/>
    <w:rsid w:val="32E82CE0"/>
    <w:rsid w:val="33036B92"/>
    <w:rsid w:val="33534D80"/>
    <w:rsid w:val="335C2374"/>
    <w:rsid w:val="33661C03"/>
    <w:rsid w:val="337376BE"/>
    <w:rsid w:val="33DE48A9"/>
    <w:rsid w:val="33E67E90"/>
    <w:rsid w:val="346B243C"/>
    <w:rsid w:val="346D235F"/>
    <w:rsid w:val="346E05B1"/>
    <w:rsid w:val="34A06409"/>
    <w:rsid w:val="352001C4"/>
    <w:rsid w:val="355856C5"/>
    <w:rsid w:val="355F5EB4"/>
    <w:rsid w:val="35604C85"/>
    <w:rsid w:val="35690D78"/>
    <w:rsid w:val="358C0AA8"/>
    <w:rsid w:val="36030F7D"/>
    <w:rsid w:val="36213401"/>
    <w:rsid w:val="3652103D"/>
    <w:rsid w:val="36585C79"/>
    <w:rsid w:val="36722213"/>
    <w:rsid w:val="3684230E"/>
    <w:rsid w:val="36846BD9"/>
    <w:rsid w:val="36914101"/>
    <w:rsid w:val="36C06A28"/>
    <w:rsid w:val="36C26992"/>
    <w:rsid w:val="36CE17DB"/>
    <w:rsid w:val="36D36CF5"/>
    <w:rsid w:val="36DC2AE7"/>
    <w:rsid w:val="36E92637"/>
    <w:rsid w:val="370A20E7"/>
    <w:rsid w:val="371B60A2"/>
    <w:rsid w:val="372919A2"/>
    <w:rsid w:val="372E5D8E"/>
    <w:rsid w:val="37824373"/>
    <w:rsid w:val="37F60FE9"/>
    <w:rsid w:val="383C3BCD"/>
    <w:rsid w:val="3858312F"/>
    <w:rsid w:val="38991974"/>
    <w:rsid w:val="397B72CC"/>
    <w:rsid w:val="39893797"/>
    <w:rsid w:val="39C4263A"/>
    <w:rsid w:val="3A0379ED"/>
    <w:rsid w:val="3A396F6B"/>
    <w:rsid w:val="3A4F678F"/>
    <w:rsid w:val="3A6D130B"/>
    <w:rsid w:val="3A8521B0"/>
    <w:rsid w:val="3A886145"/>
    <w:rsid w:val="3AAC5EAE"/>
    <w:rsid w:val="3B59181A"/>
    <w:rsid w:val="3B6A75F8"/>
    <w:rsid w:val="3B8A37F6"/>
    <w:rsid w:val="3B927563"/>
    <w:rsid w:val="3B98446F"/>
    <w:rsid w:val="3C157564"/>
    <w:rsid w:val="3C4165AB"/>
    <w:rsid w:val="3C664263"/>
    <w:rsid w:val="3C6C5566"/>
    <w:rsid w:val="3C7702B6"/>
    <w:rsid w:val="3C8F40C0"/>
    <w:rsid w:val="3C8F5568"/>
    <w:rsid w:val="3C94492D"/>
    <w:rsid w:val="3CAF5C0A"/>
    <w:rsid w:val="3CB15DFB"/>
    <w:rsid w:val="3CC01BC6"/>
    <w:rsid w:val="3D6D6297"/>
    <w:rsid w:val="3DDC7293"/>
    <w:rsid w:val="3DE75042"/>
    <w:rsid w:val="3DEC0F6E"/>
    <w:rsid w:val="3DFB09DB"/>
    <w:rsid w:val="3E0F3D55"/>
    <w:rsid w:val="3E2241BA"/>
    <w:rsid w:val="3E46434D"/>
    <w:rsid w:val="3E4E3201"/>
    <w:rsid w:val="3E570308"/>
    <w:rsid w:val="3E595E2E"/>
    <w:rsid w:val="3E950E30"/>
    <w:rsid w:val="3EC006FD"/>
    <w:rsid w:val="3EE6168C"/>
    <w:rsid w:val="3F310091"/>
    <w:rsid w:val="3F373C95"/>
    <w:rsid w:val="3F55456D"/>
    <w:rsid w:val="3F7F7B16"/>
    <w:rsid w:val="3FA05CDE"/>
    <w:rsid w:val="3FD77801"/>
    <w:rsid w:val="401364B0"/>
    <w:rsid w:val="403C4FCC"/>
    <w:rsid w:val="407C6A34"/>
    <w:rsid w:val="40CB28E7"/>
    <w:rsid w:val="40DE7BCD"/>
    <w:rsid w:val="41004C87"/>
    <w:rsid w:val="416C142E"/>
    <w:rsid w:val="41816CFC"/>
    <w:rsid w:val="41BE41FA"/>
    <w:rsid w:val="41E579D9"/>
    <w:rsid w:val="41FB36A0"/>
    <w:rsid w:val="42156510"/>
    <w:rsid w:val="4227084F"/>
    <w:rsid w:val="423A390B"/>
    <w:rsid w:val="423B584A"/>
    <w:rsid w:val="423F2E67"/>
    <w:rsid w:val="427C5A93"/>
    <w:rsid w:val="42983EE1"/>
    <w:rsid w:val="429E59A6"/>
    <w:rsid w:val="42CE59D7"/>
    <w:rsid w:val="42F75C15"/>
    <w:rsid w:val="434075BC"/>
    <w:rsid w:val="43566DE0"/>
    <w:rsid w:val="438439AB"/>
    <w:rsid w:val="43944248"/>
    <w:rsid w:val="43AF1C9D"/>
    <w:rsid w:val="43DE0B83"/>
    <w:rsid w:val="440A7BCA"/>
    <w:rsid w:val="442D0210"/>
    <w:rsid w:val="4431763D"/>
    <w:rsid w:val="44380C59"/>
    <w:rsid w:val="443C6ACF"/>
    <w:rsid w:val="444A7FC7"/>
    <w:rsid w:val="44901E7E"/>
    <w:rsid w:val="44F91CBB"/>
    <w:rsid w:val="44FC245C"/>
    <w:rsid w:val="450C780B"/>
    <w:rsid w:val="451F1453"/>
    <w:rsid w:val="45513D03"/>
    <w:rsid w:val="45782CBD"/>
    <w:rsid w:val="45C36283"/>
    <w:rsid w:val="46476EB4"/>
    <w:rsid w:val="46613A61"/>
    <w:rsid w:val="46A85DEA"/>
    <w:rsid w:val="46B34549"/>
    <w:rsid w:val="46C33553"/>
    <w:rsid w:val="46C93D6D"/>
    <w:rsid w:val="471548BC"/>
    <w:rsid w:val="471C5C4A"/>
    <w:rsid w:val="47633879"/>
    <w:rsid w:val="476D64B5"/>
    <w:rsid w:val="47B57E4D"/>
    <w:rsid w:val="47C106DF"/>
    <w:rsid w:val="47C7543F"/>
    <w:rsid w:val="47F14171"/>
    <w:rsid w:val="48221986"/>
    <w:rsid w:val="482D3688"/>
    <w:rsid w:val="48623521"/>
    <w:rsid w:val="4893018E"/>
    <w:rsid w:val="489A2B79"/>
    <w:rsid w:val="48C93BB0"/>
    <w:rsid w:val="48D81C0D"/>
    <w:rsid w:val="48DF5182"/>
    <w:rsid w:val="49431BB4"/>
    <w:rsid w:val="498C542C"/>
    <w:rsid w:val="49904FE3"/>
    <w:rsid w:val="49AF19AB"/>
    <w:rsid w:val="49B60BC2"/>
    <w:rsid w:val="49DA0587"/>
    <w:rsid w:val="4A00481B"/>
    <w:rsid w:val="4A2D63C1"/>
    <w:rsid w:val="4A325785"/>
    <w:rsid w:val="4A4F27DB"/>
    <w:rsid w:val="4A5B79F7"/>
    <w:rsid w:val="4A7453FF"/>
    <w:rsid w:val="4A7D2EA4"/>
    <w:rsid w:val="4A804456"/>
    <w:rsid w:val="4A8249ED"/>
    <w:rsid w:val="4AB13630"/>
    <w:rsid w:val="4B097D5D"/>
    <w:rsid w:val="4B553E21"/>
    <w:rsid w:val="4B5C6F5D"/>
    <w:rsid w:val="4BBC17AA"/>
    <w:rsid w:val="4BC863A1"/>
    <w:rsid w:val="4C080E93"/>
    <w:rsid w:val="4C2D4D08"/>
    <w:rsid w:val="4C602E4C"/>
    <w:rsid w:val="4C6A473A"/>
    <w:rsid w:val="4C7215A3"/>
    <w:rsid w:val="4CA231B1"/>
    <w:rsid w:val="4CF47B0A"/>
    <w:rsid w:val="4D176232"/>
    <w:rsid w:val="4D187320"/>
    <w:rsid w:val="4D270C24"/>
    <w:rsid w:val="4D534390"/>
    <w:rsid w:val="4D896004"/>
    <w:rsid w:val="4DD92AE7"/>
    <w:rsid w:val="4E07465C"/>
    <w:rsid w:val="4E17529E"/>
    <w:rsid w:val="4E52248E"/>
    <w:rsid w:val="4E641387"/>
    <w:rsid w:val="4E7F1B52"/>
    <w:rsid w:val="4ED935FF"/>
    <w:rsid w:val="4F1A46AA"/>
    <w:rsid w:val="4F4A531F"/>
    <w:rsid w:val="4F5D1A82"/>
    <w:rsid w:val="4F910D5F"/>
    <w:rsid w:val="4FAB2A57"/>
    <w:rsid w:val="4FAE3B00"/>
    <w:rsid w:val="500D2B30"/>
    <w:rsid w:val="504D156B"/>
    <w:rsid w:val="5055041F"/>
    <w:rsid w:val="50BE029D"/>
    <w:rsid w:val="50D77086"/>
    <w:rsid w:val="510A0F31"/>
    <w:rsid w:val="51135753"/>
    <w:rsid w:val="513637E3"/>
    <w:rsid w:val="51894824"/>
    <w:rsid w:val="51BC7E44"/>
    <w:rsid w:val="51ED7922"/>
    <w:rsid w:val="51F17720"/>
    <w:rsid w:val="52100AA2"/>
    <w:rsid w:val="525C3CE7"/>
    <w:rsid w:val="52654F32"/>
    <w:rsid w:val="526E67F5"/>
    <w:rsid w:val="529A036B"/>
    <w:rsid w:val="535B3F9E"/>
    <w:rsid w:val="53914DFB"/>
    <w:rsid w:val="53B8319F"/>
    <w:rsid w:val="53D1600F"/>
    <w:rsid w:val="53FD73AB"/>
    <w:rsid w:val="543F741C"/>
    <w:rsid w:val="54617393"/>
    <w:rsid w:val="54725A3B"/>
    <w:rsid w:val="54754BEC"/>
    <w:rsid w:val="54813591"/>
    <w:rsid w:val="549A6CA2"/>
    <w:rsid w:val="54C81223"/>
    <w:rsid w:val="54CD2C7A"/>
    <w:rsid w:val="553E76D4"/>
    <w:rsid w:val="554B4D04"/>
    <w:rsid w:val="55583F15"/>
    <w:rsid w:val="555F7520"/>
    <w:rsid w:val="556A0D67"/>
    <w:rsid w:val="556E0C8F"/>
    <w:rsid w:val="55A25EB5"/>
    <w:rsid w:val="55CA5489"/>
    <w:rsid w:val="55CC4CE0"/>
    <w:rsid w:val="55CE6CAA"/>
    <w:rsid w:val="55D04B10"/>
    <w:rsid w:val="55FF50B5"/>
    <w:rsid w:val="561C787B"/>
    <w:rsid w:val="56586573"/>
    <w:rsid w:val="56C500AD"/>
    <w:rsid w:val="56DA0439"/>
    <w:rsid w:val="56DC5BD5"/>
    <w:rsid w:val="56ED315F"/>
    <w:rsid w:val="56F84900"/>
    <w:rsid w:val="570C6F3D"/>
    <w:rsid w:val="5794182D"/>
    <w:rsid w:val="58931819"/>
    <w:rsid w:val="58A86EC4"/>
    <w:rsid w:val="58B6797B"/>
    <w:rsid w:val="58B843D1"/>
    <w:rsid w:val="58FC79B5"/>
    <w:rsid w:val="595102A8"/>
    <w:rsid w:val="5954428A"/>
    <w:rsid w:val="595B0854"/>
    <w:rsid w:val="595E6596"/>
    <w:rsid w:val="596F4365"/>
    <w:rsid w:val="597731B4"/>
    <w:rsid w:val="597E1037"/>
    <w:rsid w:val="59C457E9"/>
    <w:rsid w:val="59F91E1B"/>
    <w:rsid w:val="5A160930"/>
    <w:rsid w:val="5A3C4272"/>
    <w:rsid w:val="5A571788"/>
    <w:rsid w:val="5A753B98"/>
    <w:rsid w:val="5A875679"/>
    <w:rsid w:val="5A903AAB"/>
    <w:rsid w:val="5A98549B"/>
    <w:rsid w:val="5AB20000"/>
    <w:rsid w:val="5ABA5A4E"/>
    <w:rsid w:val="5B092532"/>
    <w:rsid w:val="5B3E6680"/>
    <w:rsid w:val="5B666682"/>
    <w:rsid w:val="5B846B38"/>
    <w:rsid w:val="5B880A8D"/>
    <w:rsid w:val="5BA34735"/>
    <w:rsid w:val="5BB126B0"/>
    <w:rsid w:val="5BD04209"/>
    <w:rsid w:val="5BD81095"/>
    <w:rsid w:val="5BED59B0"/>
    <w:rsid w:val="5C3F26AF"/>
    <w:rsid w:val="5C590598"/>
    <w:rsid w:val="5C7C791A"/>
    <w:rsid w:val="5C7D7EA4"/>
    <w:rsid w:val="5C8C6A67"/>
    <w:rsid w:val="5C933840"/>
    <w:rsid w:val="5CB36BF9"/>
    <w:rsid w:val="5CCD1662"/>
    <w:rsid w:val="5CFF1E40"/>
    <w:rsid w:val="5D107BA8"/>
    <w:rsid w:val="5D1D22C5"/>
    <w:rsid w:val="5D4C28ED"/>
    <w:rsid w:val="5DB50EF1"/>
    <w:rsid w:val="5E357F05"/>
    <w:rsid w:val="5E59326D"/>
    <w:rsid w:val="5E9F5687"/>
    <w:rsid w:val="5EA04F5B"/>
    <w:rsid w:val="5EE17A4E"/>
    <w:rsid w:val="5EF7101F"/>
    <w:rsid w:val="5F693700"/>
    <w:rsid w:val="5F7C285E"/>
    <w:rsid w:val="5FA82A0A"/>
    <w:rsid w:val="5FBE6FD9"/>
    <w:rsid w:val="604D4511"/>
    <w:rsid w:val="6051068D"/>
    <w:rsid w:val="60697740"/>
    <w:rsid w:val="60A9016E"/>
    <w:rsid w:val="60B42F40"/>
    <w:rsid w:val="60EA01C6"/>
    <w:rsid w:val="61231614"/>
    <w:rsid w:val="612400C6"/>
    <w:rsid w:val="619C5EAE"/>
    <w:rsid w:val="61C251E9"/>
    <w:rsid w:val="61E15FB7"/>
    <w:rsid w:val="61E67129"/>
    <w:rsid w:val="61F23D20"/>
    <w:rsid w:val="62066F96"/>
    <w:rsid w:val="620A2714"/>
    <w:rsid w:val="62255EA3"/>
    <w:rsid w:val="62381B51"/>
    <w:rsid w:val="62402CDD"/>
    <w:rsid w:val="624955E0"/>
    <w:rsid w:val="628506F0"/>
    <w:rsid w:val="62974E45"/>
    <w:rsid w:val="62BB05B6"/>
    <w:rsid w:val="62CD2097"/>
    <w:rsid w:val="62D84CC4"/>
    <w:rsid w:val="631B7BBC"/>
    <w:rsid w:val="63352116"/>
    <w:rsid w:val="6362439C"/>
    <w:rsid w:val="638B442C"/>
    <w:rsid w:val="63984453"/>
    <w:rsid w:val="63C55447"/>
    <w:rsid w:val="63DA4A6C"/>
    <w:rsid w:val="64283A29"/>
    <w:rsid w:val="644D348F"/>
    <w:rsid w:val="64580279"/>
    <w:rsid w:val="64C3330F"/>
    <w:rsid w:val="64C86FBA"/>
    <w:rsid w:val="64CA0F84"/>
    <w:rsid w:val="64E72E8B"/>
    <w:rsid w:val="65030F77"/>
    <w:rsid w:val="652A557F"/>
    <w:rsid w:val="65424FBE"/>
    <w:rsid w:val="656D3F4E"/>
    <w:rsid w:val="657E3D5E"/>
    <w:rsid w:val="65E66EBF"/>
    <w:rsid w:val="65E97270"/>
    <w:rsid w:val="664852F4"/>
    <w:rsid w:val="666158E9"/>
    <w:rsid w:val="66636F9A"/>
    <w:rsid w:val="668F7DFF"/>
    <w:rsid w:val="66CC1117"/>
    <w:rsid w:val="66F916AD"/>
    <w:rsid w:val="67065EAD"/>
    <w:rsid w:val="67395F4D"/>
    <w:rsid w:val="673A6D84"/>
    <w:rsid w:val="673E791B"/>
    <w:rsid w:val="6744501E"/>
    <w:rsid w:val="67560922"/>
    <w:rsid w:val="677865EE"/>
    <w:rsid w:val="67891DEC"/>
    <w:rsid w:val="679338AF"/>
    <w:rsid w:val="67A45ABC"/>
    <w:rsid w:val="67E22067"/>
    <w:rsid w:val="68072EB4"/>
    <w:rsid w:val="6870599E"/>
    <w:rsid w:val="68880F3A"/>
    <w:rsid w:val="68C006D4"/>
    <w:rsid w:val="68C1444C"/>
    <w:rsid w:val="68CB73FE"/>
    <w:rsid w:val="68E1064A"/>
    <w:rsid w:val="690A194F"/>
    <w:rsid w:val="691B0ED0"/>
    <w:rsid w:val="693036B5"/>
    <w:rsid w:val="694C640B"/>
    <w:rsid w:val="696F3EA8"/>
    <w:rsid w:val="69F66DCA"/>
    <w:rsid w:val="69F80494"/>
    <w:rsid w:val="6A022F6E"/>
    <w:rsid w:val="6A18228A"/>
    <w:rsid w:val="6A19689F"/>
    <w:rsid w:val="6A4D41E9"/>
    <w:rsid w:val="6A651713"/>
    <w:rsid w:val="6A701C86"/>
    <w:rsid w:val="6A7F531D"/>
    <w:rsid w:val="6A86769D"/>
    <w:rsid w:val="6AB52769"/>
    <w:rsid w:val="6ABD7B83"/>
    <w:rsid w:val="6ACC571B"/>
    <w:rsid w:val="6AE807B5"/>
    <w:rsid w:val="6B1116BB"/>
    <w:rsid w:val="6B460C38"/>
    <w:rsid w:val="6B853477"/>
    <w:rsid w:val="6BD37718"/>
    <w:rsid w:val="6BDA3F0C"/>
    <w:rsid w:val="6BFC369B"/>
    <w:rsid w:val="6C00528B"/>
    <w:rsid w:val="6C3C271D"/>
    <w:rsid w:val="6CF669D0"/>
    <w:rsid w:val="6CFA617E"/>
    <w:rsid w:val="6D1F684A"/>
    <w:rsid w:val="6D7277F1"/>
    <w:rsid w:val="6D8060A1"/>
    <w:rsid w:val="6D8A305E"/>
    <w:rsid w:val="6DA700B4"/>
    <w:rsid w:val="6DC65779"/>
    <w:rsid w:val="6DDD76A1"/>
    <w:rsid w:val="6DE31A1D"/>
    <w:rsid w:val="6DF7098F"/>
    <w:rsid w:val="6E032E11"/>
    <w:rsid w:val="6E2A65EF"/>
    <w:rsid w:val="6EAB1C6F"/>
    <w:rsid w:val="6F6F56C3"/>
    <w:rsid w:val="6F854425"/>
    <w:rsid w:val="6F873675"/>
    <w:rsid w:val="6FD54C31"/>
    <w:rsid w:val="6FEE488F"/>
    <w:rsid w:val="7000585A"/>
    <w:rsid w:val="7012566D"/>
    <w:rsid w:val="701360DB"/>
    <w:rsid w:val="702355CC"/>
    <w:rsid w:val="702C48A1"/>
    <w:rsid w:val="703D3692"/>
    <w:rsid w:val="703F09D9"/>
    <w:rsid w:val="704D3137"/>
    <w:rsid w:val="71156856"/>
    <w:rsid w:val="711D203B"/>
    <w:rsid w:val="714E0847"/>
    <w:rsid w:val="71563141"/>
    <w:rsid w:val="71663DE2"/>
    <w:rsid w:val="71722B8C"/>
    <w:rsid w:val="71D260B4"/>
    <w:rsid w:val="71F15DA2"/>
    <w:rsid w:val="71F16D04"/>
    <w:rsid w:val="722241AD"/>
    <w:rsid w:val="728E1843"/>
    <w:rsid w:val="729C7F2F"/>
    <w:rsid w:val="72E27499"/>
    <w:rsid w:val="72F86CBC"/>
    <w:rsid w:val="735F4F8D"/>
    <w:rsid w:val="73730004"/>
    <w:rsid w:val="73C571E6"/>
    <w:rsid w:val="73EC1062"/>
    <w:rsid w:val="73ED13D6"/>
    <w:rsid w:val="740239F9"/>
    <w:rsid w:val="744F0F04"/>
    <w:rsid w:val="74AC4202"/>
    <w:rsid w:val="74DB22FD"/>
    <w:rsid w:val="75120F9A"/>
    <w:rsid w:val="75490E47"/>
    <w:rsid w:val="755618C4"/>
    <w:rsid w:val="75680129"/>
    <w:rsid w:val="75B74C0D"/>
    <w:rsid w:val="75F714AD"/>
    <w:rsid w:val="75F7533C"/>
    <w:rsid w:val="75FE6B58"/>
    <w:rsid w:val="76660782"/>
    <w:rsid w:val="769A71E1"/>
    <w:rsid w:val="769F20CF"/>
    <w:rsid w:val="76A40BE3"/>
    <w:rsid w:val="76C9762C"/>
    <w:rsid w:val="76E73992"/>
    <w:rsid w:val="771C566F"/>
    <w:rsid w:val="774B7D02"/>
    <w:rsid w:val="77886BE8"/>
    <w:rsid w:val="77C74EAF"/>
    <w:rsid w:val="77CC156A"/>
    <w:rsid w:val="77E93077"/>
    <w:rsid w:val="780659D7"/>
    <w:rsid w:val="78177BE5"/>
    <w:rsid w:val="78191BAF"/>
    <w:rsid w:val="785B3F75"/>
    <w:rsid w:val="78676308"/>
    <w:rsid w:val="786F7A21"/>
    <w:rsid w:val="78782D79"/>
    <w:rsid w:val="787E7941"/>
    <w:rsid w:val="78B1738C"/>
    <w:rsid w:val="78B83176"/>
    <w:rsid w:val="791B54B2"/>
    <w:rsid w:val="79570BE0"/>
    <w:rsid w:val="79A40AF0"/>
    <w:rsid w:val="79B55C8D"/>
    <w:rsid w:val="79B650C1"/>
    <w:rsid w:val="79D01055"/>
    <w:rsid w:val="79FA156C"/>
    <w:rsid w:val="7A021C83"/>
    <w:rsid w:val="7A024084"/>
    <w:rsid w:val="7A393C5B"/>
    <w:rsid w:val="7A9F41B4"/>
    <w:rsid w:val="7ADE49E1"/>
    <w:rsid w:val="7AEA338E"/>
    <w:rsid w:val="7B021E50"/>
    <w:rsid w:val="7B3B14C6"/>
    <w:rsid w:val="7B625447"/>
    <w:rsid w:val="7B6F2E5E"/>
    <w:rsid w:val="7B7517F2"/>
    <w:rsid w:val="7BB045D8"/>
    <w:rsid w:val="7BB3231A"/>
    <w:rsid w:val="7BC8347A"/>
    <w:rsid w:val="7BD568B4"/>
    <w:rsid w:val="7C582729"/>
    <w:rsid w:val="7C860630"/>
    <w:rsid w:val="7CB2612E"/>
    <w:rsid w:val="7CBB09FD"/>
    <w:rsid w:val="7CBB3234"/>
    <w:rsid w:val="7CCC3EAE"/>
    <w:rsid w:val="7CD9190C"/>
    <w:rsid w:val="7D652879"/>
    <w:rsid w:val="7DC77131"/>
    <w:rsid w:val="7DE44A0D"/>
    <w:rsid w:val="7DEE3196"/>
    <w:rsid w:val="7E0C4865"/>
    <w:rsid w:val="7E1D3A7B"/>
    <w:rsid w:val="7E9C74EB"/>
    <w:rsid w:val="7EFB6D43"/>
    <w:rsid w:val="7F041FFD"/>
    <w:rsid w:val="7F37746C"/>
    <w:rsid w:val="7F494A37"/>
    <w:rsid w:val="7F4C0ABC"/>
    <w:rsid w:val="7F5D2632"/>
    <w:rsid w:val="7F8434D1"/>
    <w:rsid w:val="7FC145AE"/>
    <w:rsid w:val="7FFFAC36"/>
    <w:rsid w:val="BB7FB1FA"/>
    <w:rsid w:val="EFD206F4"/>
    <w:rsid w:val="FFDF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4">
    <w:name w:val="heading 2"/>
    <w:basedOn w:val="1"/>
    <w:next w:val="1"/>
    <w:link w:val="58"/>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5">
    <w:name w:val="heading 3"/>
    <w:basedOn w:val="1"/>
    <w:next w:val="6"/>
    <w:link w:val="59"/>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7">
    <w:name w:val="heading 4"/>
    <w:basedOn w:val="1"/>
    <w:next w:val="1"/>
    <w:link w:val="60"/>
    <w:qFormat/>
    <w:uiPriority w:val="0"/>
    <w:pPr>
      <w:wordWrap w:val="0"/>
      <w:spacing w:after="160"/>
      <w:ind w:left="1600" w:firstLine="2160"/>
      <w:outlineLvl w:val="3"/>
    </w:pPr>
    <w:rPr>
      <w:rFonts w:ascii="Times New Roman" w:hAnsi="Times New Roman" w:eastAsia="宋体" w:cs="Times New Roman"/>
    </w:rPr>
  </w:style>
  <w:style w:type="paragraph" w:styleId="8">
    <w:name w:val="heading 5"/>
    <w:next w:val="1"/>
    <w:link w:val="61"/>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9">
    <w:name w:val="heading 6"/>
    <w:basedOn w:val="1"/>
    <w:next w:val="1"/>
    <w:link w:val="62"/>
    <w:qFormat/>
    <w:uiPriority w:val="0"/>
    <w:pPr>
      <w:wordWrap w:val="0"/>
      <w:spacing w:after="160"/>
      <w:ind w:left="2000" w:firstLine="2160"/>
      <w:outlineLvl w:val="5"/>
    </w:pPr>
    <w:rPr>
      <w:rFonts w:ascii="Times New Roman" w:hAnsi="Times New Roman" w:eastAsia="宋体" w:cs="Times New Roman"/>
    </w:rPr>
  </w:style>
  <w:style w:type="paragraph" w:styleId="10">
    <w:name w:val="heading 7"/>
    <w:next w:val="1"/>
    <w:link w:val="63"/>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1">
    <w:name w:val="heading 8"/>
    <w:next w:val="1"/>
    <w:link w:val="64"/>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2">
    <w:name w:val="heading 9"/>
    <w:next w:val="1"/>
    <w:link w:val="65"/>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13">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4">
    <w:name w:val="annotation text"/>
    <w:basedOn w:val="1"/>
    <w:unhideWhenUsed/>
    <w:qFormat/>
    <w:uiPriority w:val="99"/>
    <w:pPr>
      <w:jc w:val="left"/>
    </w:pPr>
  </w:style>
  <w:style w:type="paragraph" w:styleId="15">
    <w:name w:val="Body Text"/>
    <w:basedOn w:val="1"/>
    <w:next w:val="16"/>
    <w:link w:val="73"/>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6">
    <w:name w:val="Body Text First Indent"/>
    <w:basedOn w:val="15"/>
    <w:next w:val="17"/>
    <w:qFormat/>
    <w:uiPriority w:val="0"/>
    <w:pPr>
      <w:spacing w:after="120" w:line="240" w:lineRule="auto"/>
      <w:ind w:firstLine="420" w:firstLineChars="100"/>
    </w:pPr>
    <w:rPr>
      <w:rFonts w:ascii="Times New Roman"/>
      <w:sz w:val="21"/>
    </w:rPr>
  </w:style>
  <w:style w:type="paragraph" w:styleId="17">
    <w:name w:val="toc 6"/>
    <w:basedOn w:val="1"/>
    <w:next w:val="1"/>
    <w:qFormat/>
    <w:uiPriority w:val="0"/>
    <w:pPr>
      <w:wordWrap w:val="0"/>
      <w:ind w:left="1188"/>
    </w:pPr>
    <w:rPr>
      <w:rFonts w:ascii="Times New Roman" w:hAnsi="Times New Roman" w:eastAsia="宋体" w:cs="Times New Roman"/>
    </w:rPr>
  </w:style>
  <w:style w:type="paragraph" w:styleId="18">
    <w:name w:val="Body Text Indent"/>
    <w:basedOn w:val="1"/>
    <w:next w:val="6"/>
    <w:link w:val="74"/>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9">
    <w:name w:val="Block Text"/>
    <w:basedOn w:val="1"/>
    <w:qFormat/>
    <w:uiPriority w:val="0"/>
    <w:pPr>
      <w:spacing w:after="120"/>
      <w:ind w:left="1440" w:leftChars="700" w:right="1440" w:rightChars="700"/>
    </w:pPr>
    <w:rPr>
      <w:rFonts w:ascii="Calibri" w:hAnsi="Calibri"/>
      <w:szCs w:val="24"/>
    </w:rPr>
  </w:style>
  <w:style w:type="paragraph" w:styleId="20">
    <w:name w:val="List Bullet 2"/>
    <w:basedOn w:val="1"/>
    <w:semiHidden/>
    <w:unhideWhenUsed/>
    <w:qFormat/>
    <w:uiPriority w:val="99"/>
    <w:pPr>
      <w:numPr>
        <w:ilvl w:val="0"/>
        <w:numId w:val="1"/>
      </w:numPr>
    </w:pPr>
  </w:style>
  <w:style w:type="paragraph" w:styleId="21">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22">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3">
    <w:name w:val="Plain Text"/>
    <w:basedOn w:val="1"/>
    <w:next w:val="24"/>
    <w:link w:val="72"/>
    <w:qFormat/>
    <w:uiPriority w:val="0"/>
    <w:pPr>
      <w:widowControl/>
      <w:wordWrap w:val="0"/>
      <w:ind w:left="1024"/>
    </w:pPr>
    <w:rPr>
      <w:rFonts w:ascii="宋体" w:hAnsi="Courier New" w:eastAsia="宋体" w:cs="Times New Roman"/>
      <w:kern w:val="0"/>
      <w:sz w:val="20"/>
      <w:szCs w:val="20"/>
    </w:rPr>
  </w:style>
  <w:style w:type="paragraph" w:styleId="24">
    <w:name w:val="Date"/>
    <w:basedOn w:val="1"/>
    <w:next w:val="1"/>
    <w:qFormat/>
    <w:uiPriority w:val="0"/>
    <w:pPr>
      <w:adjustRightInd w:val="0"/>
      <w:spacing w:line="312" w:lineRule="atLeast"/>
    </w:pPr>
    <w:rPr>
      <w:rFonts w:ascii="仿宋_GB2312" w:eastAsia="仿宋_GB2312"/>
      <w:kern w:val="0"/>
      <w:sz w:val="28"/>
      <w:szCs w:val="20"/>
    </w:rPr>
  </w:style>
  <w:style w:type="paragraph" w:styleId="25">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6">
    <w:name w:val="Body Text Indent 2"/>
    <w:basedOn w:val="1"/>
    <w:next w:val="16"/>
    <w:link w:val="75"/>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7">
    <w:name w:val="Balloon Text"/>
    <w:basedOn w:val="1"/>
    <w:link w:val="125"/>
    <w:semiHidden/>
    <w:unhideWhenUsed/>
    <w:qFormat/>
    <w:uiPriority w:val="99"/>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envelope return"/>
    <w:basedOn w:val="1"/>
    <w:qFormat/>
    <w:uiPriority w:val="0"/>
    <w:pPr>
      <w:snapToGrid w:val="0"/>
    </w:pPr>
    <w:rPr>
      <w:rFonts w:ascii="Arial" w:hAnsi="Arial" w:eastAsia="宋体" w:cs="Arial"/>
    </w:rPr>
  </w:style>
  <w:style w:type="paragraph" w:styleId="30">
    <w:name w:val="header"/>
    <w:basedOn w:val="1"/>
    <w:next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32">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33">
    <w:name w:val="Subtitle"/>
    <w:next w:val="1"/>
    <w:link w:val="76"/>
    <w:qFormat/>
    <w:uiPriority w:val="0"/>
    <w:pPr>
      <w:wordWrap w:val="0"/>
      <w:spacing w:after="60"/>
      <w:ind w:left="1024"/>
      <w:jc w:val="center"/>
    </w:pPr>
    <w:rPr>
      <w:rFonts w:ascii="Times New Roman" w:hAnsi="Times New Roman" w:eastAsia="宋体" w:cs="Times New Roman"/>
      <w:lang w:val="en-US" w:eastAsia="zh-CN" w:bidi="ar-SA"/>
    </w:rPr>
  </w:style>
  <w:style w:type="paragraph" w:styleId="34">
    <w:name w:val="Body Text Indent 3"/>
    <w:basedOn w:val="1"/>
    <w:semiHidden/>
    <w:unhideWhenUsed/>
    <w:qFormat/>
    <w:uiPriority w:val="99"/>
    <w:pPr>
      <w:spacing w:after="120"/>
      <w:ind w:left="420" w:leftChars="200"/>
    </w:pPr>
    <w:rPr>
      <w:sz w:val="16"/>
      <w:szCs w:val="16"/>
    </w:rPr>
  </w:style>
  <w:style w:type="paragraph" w:styleId="35">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36">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next w:val="1"/>
    <w:link w:val="78"/>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9">
    <w:name w:val="Body Text First Indent 2"/>
    <w:basedOn w:val="18"/>
    <w:link w:val="77"/>
    <w:qFormat/>
    <w:uiPriority w:val="0"/>
    <w:pPr>
      <w:ind w:firstLine="420" w:firstLineChars="20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Emphasis"/>
    <w:qFormat/>
    <w:uiPriority w:val="0"/>
    <w:rPr>
      <w:i/>
      <w:sz w:val="21"/>
    </w:rPr>
  </w:style>
  <w:style w:type="character" w:styleId="45">
    <w:name w:val="Hyperlink"/>
    <w:basedOn w:val="42"/>
    <w:unhideWhenUsed/>
    <w:qFormat/>
    <w:uiPriority w:val="99"/>
    <w:rPr>
      <w:color w:val="0000FF"/>
      <w:u w:val="single"/>
    </w:rPr>
  </w:style>
  <w:style w:type="paragraph" w:customStyle="1" w:styleId="46">
    <w:name w:val="[Normal]"/>
    <w:qFormat/>
    <w:uiPriority w:val="0"/>
    <w:rPr>
      <w:rFonts w:ascii="宋体" w:hAnsi="宋体" w:eastAsia="宋体" w:cs="Times New Roman"/>
      <w:sz w:val="24"/>
      <w:szCs w:val="22"/>
      <w:lang w:val="zh-CN" w:eastAsia="zh-CN" w:bidi="ar-SA"/>
    </w:rPr>
  </w:style>
  <w:style w:type="paragraph" w:customStyle="1" w:styleId="4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8">
    <w:name w:val="样式3"/>
    <w:basedOn w:val="23"/>
    <w:next w:val="1"/>
    <w:qFormat/>
    <w:uiPriority w:val="0"/>
    <w:pPr>
      <w:adjustRightInd/>
      <w:textAlignment w:val="auto"/>
    </w:pPr>
    <w:rPr>
      <w:rFonts w:ascii="Times New Roman" w:hAnsi="Times New Roman" w:eastAsia="宋体" w:cs="Times New Roman"/>
      <w:kern w:val="2"/>
      <w:sz w:val="21"/>
      <w:szCs w:val="20"/>
    </w:rPr>
  </w:style>
  <w:style w:type="paragraph" w:customStyle="1" w:styleId="49">
    <w:name w:val="首行缩进"/>
    <w:basedOn w:val="1"/>
    <w:qFormat/>
    <w:uiPriority w:val="0"/>
    <w:pPr>
      <w:spacing w:line="360" w:lineRule="auto"/>
      <w:ind w:firstLine="480" w:firstLineChars="200"/>
      <w:jc w:val="left"/>
    </w:pPr>
    <w:rPr>
      <w:rFonts w:ascii="宋体" w:hAnsi="宋体"/>
      <w:sz w:val="24"/>
    </w:rPr>
  </w:style>
  <w:style w:type="paragraph" w:customStyle="1" w:styleId="50">
    <w:name w:val="一级标题"/>
    <w:basedOn w:val="1"/>
    <w:next w:val="15"/>
    <w:qFormat/>
    <w:uiPriority w:val="0"/>
    <w:pPr>
      <w:outlineLvl w:val="0"/>
    </w:pPr>
    <w:rPr>
      <w:b/>
      <w:bCs/>
      <w:sz w:val="32"/>
    </w:rPr>
  </w:style>
  <w:style w:type="character" w:customStyle="1" w:styleId="51">
    <w:name w:val="页眉 Char"/>
    <w:basedOn w:val="42"/>
    <w:link w:val="30"/>
    <w:semiHidden/>
    <w:qFormat/>
    <w:uiPriority w:val="99"/>
    <w:rPr>
      <w:sz w:val="18"/>
      <w:szCs w:val="18"/>
    </w:rPr>
  </w:style>
  <w:style w:type="character" w:customStyle="1" w:styleId="52">
    <w:name w:val="页脚 Char"/>
    <w:basedOn w:val="42"/>
    <w:link w:val="28"/>
    <w:qFormat/>
    <w:uiPriority w:val="99"/>
    <w:rPr>
      <w:sz w:val="18"/>
      <w:szCs w:val="18"/>
    </w:rPr>
  </w:style>
  <w:style w:type="paragraph" w:customStyle="1" w:styleId="53">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apple-converted-space"/>
    <w:basedOn w:val="42"/>
    <w:qFormat/>
    <w:uiPriority w:val="0"/>
  </w:style>
  <w:style w:type="character" w:customStyle="1" w:styleId="55">
    <w:name w:val="bookmark-item"/>
    <w:basedOn w:val="42"/>
    <w:qFormat/>
    <w:uiPriority w:val="0"/>
  </w:style>
  <w:style w:type="paragraph" w:customStyle="1" w:styleId="56">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7">
    <w:name w:val="标题 1 Char"/>
    <w:basedOn w:val="42"/>
    <w:link w:val="3"/>
    <w:qFormat/>
    <w:uiPriority w:val="0"/>
    <w:rPr>
      <w:rFonts w:ascii="Times New Roman" w:hAnsi="Times New Roman" w:eastAsia="宋体" w:cs="Times New Roman"/>
      <w:kern w:val="0"/>
      <w:sz w:val="20"/>
      <w:szCs w:val="20"/>
    </w:rPr>
  </w:style>
  <w:style w:type="character" w:customStyle="1" w:styleId="58">
    <w:name w:val="标题 2 Char"/>
    <w:basedOn w:val="42"/>
    <w:link w:val="4"/>
    <w:qFormat/>
    <w:uiPriority w:val="0"/>
    <w:rPr>
      <w:rFonts w:ascii="Times New Roman" w:hAnsi="Times New Roman" w:eastAsia="宋体" w:cs="Times New Roman"/>
      <w:kern w:val="0"/>
      <w:sz w:val="20"/>
      <w:szCs w:val="20"/>
    </w:rPr>
  </w:style>
  <w:style w:type="character" w:customStyle="1" w:styleId="59">
    <w:name w:val="标题 3 Char"/>
    <w:basedOn w:val="42"/>
    <w:link w:val="5"/>
    <w:qFormat/>
    <w:uiPriority w:val="0"/>
    <w:rPr>
      <w:rFonts w:ascii="Times New Roman" w:hAnsi="Times New Roman" w:eastAsia="宋体" w:cs="Times New Roman"/>
      <w:kern w:val="0"/>
      <w:sz w:val="20"/>
      <w:szCs w:val="20"/>
    </w:rPr>
  </w:style>
  <w:style w:type="character" w:customStyle="1" w:styleId="60">
    <w:name w:val="标题 4 Char"/>
    <w:basedOn w:val="42"/>
    <w:link w:val="7"/>
    <w:qFormat/>
    <w:uiPriority w:val="0"/>
    <w:rPr>
      <w:rFonts w:ascii="Times New Roman" w:hAnsi="Times New Roman" w:eastAsia="宋体" w:cs="Times New Roman"/>
      <w:kern w:val="0"/>
      <w:sz w:val="20"/>
      <w:szCs w:val="20"/>
    </w:rPr>
  </w:style>
  <w:style w:type="character" w:customStyle="1" w:styleId="61">
    <w:name w:val="标题 5 Char"/>
    <w:basedOn w:val="42"/>
    <w:link w:val="8"/>
    <w:qFormat/>
    <w:uiPriority w:val="0"/>
    <w:rPr>
      <w:rFonts w:ascii="Times New Roman" w:hAnsi="Times New Roman" w:eastAsia="宋体" w:cs="Times New Roman"/>
      <w:kern w:val="0"/>
      <w:sz w:val="20"/>
      <w:szCs w:val="20"/>
    </w:rPr>
  </w:style>
  <w:style w:type="character" w:customStyle="1" w:styleId="62">
    <w:name w:val="标题 6 Char"/>
    <w:basedOn w:val="42"/>
    <w:link w:val="9"/>
    <w:qFormat/>
    <w:uiPriority w:val="0"/>
    <w:rPr>
      <w:rFonts w:ascii="Times New Roman" w:hAnsi="Times New Roman" w:eastAsia="宋体" w:cs="Times New Roman"/>
      <w:kern w:val="0"/>
      <w:sz w:val="20"/>
      <w:szCs w:val="20"/>
    </w:rPr>
  </w:style>
  <w:style w:type="character" w:customStyle="1" w:styleId="63">
    <w:name w:val="标题 7 Char"/>
    <w:basedOn w:val="42"/>
    <w:link w:val="10"/>
    <w:qFormat/>
    <w:uiPriority w:val="0"/>
    <w:rPr>
      <w:rFonts w:ascii="Times New Roman" w:hAnsi="Times New Roman" w:eastAsia="宋体" w:cs="Times New Roman"/>
      <w:kern w:val="0"/>
      <w:sz w:val="20"/>
      <w:szCs w:val="20"/>
    </w:rPr>
  </w:style>
  <w:style w:type="character" w:customStyle="1" w:styleId="64">
    <w:name w:val="标题 8 Char"/>
    <w:basedOn w:val="42"/>
    <w:link w:val="11"/>
    <w:qFormat/>
    <w:uiPriority w:val="0"/>
    <w:rPr>
      <w:rFonts w:ascii="Times New Roman" w:hAnsi="Times New Roman" w:eastAsia="宋体" w:cs="Times New Roman"/>
      <w:kern w:val="0"/>
      <w:sz w:val="20"/>
      <w:szCs w:val="20"/>
    </w:rPr>
  </w:style>
  <w:style w:type="character" w:customStyle="1" w:styleId="65">
    <w:name w:val="标题 9 Char"/>
    <w:basedOn w:val="42"/>
    <w:link w:val="12"/>
    <w:qFormat/>
    <w:uiPriority w:val="0"/>
    <w:rPr>
      <w:rFonts w:ascii="Times New Roman" w:hAnsi="Times New Roman" w:eastAsia="宋体" w:cs="Times New Roman"/>
      <w:kern w:val="0"/>
      <w:sz w:val="20"/>
      <w:szCs w:val="20"/>
    </w:rPr>
  </w:style>
  <w:style w:type="character" w:customStyle="1" w:styleId="66">
    <w:name w:val="不明显参考1"/>
    <w:qFormat/>
    <w:uiPriority w:val="0"/>
    <w:rPr>
      <w:color w:val="auto"/>
      <w:sz w:val="21"/>
    </w:rPr>
  </w:style>
  <w:style w:type="character" w:customStyle="1" w:styleId="67">
    <w:name w:val="不明显强调1"/>
    <w:qFormat/>
    <w:uiPriority w:val="0"/>
    <w:rPr>
      <w:i/>
      <w:color w:val="auto"/>
      <w:sz w:val="21"/>
    </w:rPr>
  </w:style>
  <w:style w:type="character" w:customStyle="1" w:styleId="68">
    <w:name w:val="font21"/>
    <w:basedOn w:val="42"/>
    <w:qFormat/>
    <w:uiPriority w:val="0"/>
    <w:rPr>
      <w:rFonts w:hint="eastAsia" w:ascii="宋体" w:hAnsi="宋体" w:eastAsia="宋体" w:cs="宋体"/>
      <w:color w:val="000000"/>
      <w:sz w:val="16"/>
      <w:szCs w:val="16"/>
      <w:u w:val="none"/>
    </w:rPr>
  </w:style>
  <w:style w:type="character" w:customStyle="1" w:styleId="69">
    <w:name w:val="明显参考1"/>
    <w:qFormat/>
    <w:uiPriority w:val="0"/>
    <w:rPr>
      <w:b/>
      <w:color w:val="auto"/>
      <w:sz w:val="21"/>
    </w:rPr>
  </w:style>
  <w:style w:type="character" w:customStyle="1" w:styleId="70">
    <w:name w:val="明显强调1"/>
    <w:qFormat/>
    <w:uiPriority w:val="0"/>
    <w:rPr>
      <w:i/>
      <w:color w:val="auto"/>
      <w:sz w:val="21"/>
    </w:rPr>
  </w:style>
  <w:style w:type="character" w:customStyle="1" w:styleId="71">
    <w:name w:val="书籍标题1"/>
    <w:qFormat/>
    <w:uiPriority w:val="0"/>
    <w:rPr>
      <w:b/>
      <w:i/>
      <w:sz w:val="21"/>
    </w:rPr>
  </w:style>
  <w:style w:type="character" w:customStyle="1" w:styleId="72">
    <w:name w:val="纯文本 Char"/>
    <w:basedOn w:val="42"/>
    <w:link w:val="23"/>
    <w:qFormat/>
    <w:uiPriority w:val="0"/>
    <w:rPr>
      <w:rFonts w:ascii="宋体" w:hAnsi="Courier New" w:eastAsia="宋体" w:cs="Times New Roman"/>
      <w:kern w:val="0"/>
      <w:sz w:val="20"/>
      <w:szCs w:val="20"/>
    </w:rPr>
  </w:style>
  <w:style w:type="character" w:customStyle="1" w:styleId="73">
    <w:name w:val="正文文本 Char"/>
    <w:basedOn w:val="42"/>
    <w:link w:val="15"/>
    <w:qFormat/>
    <w:uiPriority w:val="99"/>
    <w:rPr>
      <w:rFonts w:ascii="宋体" w:hAnsi="宋体" w:eastAsia="宋体" w:cs="Times New Roman"/>
      <w:kern w:val="0"/>
      <w:sz w:val="20"/>
      <w:szCs w:val="21"/>
      <w:lang w:val="zh-CN"/>
    </w:rPr>
  </w:style>
  <w:style w:type="character" w:customStyle="1" w:styleId="74">
    <w:name w:val="正文文本缩进 Char"/>
    <w:basedOn w:val="42"/>
    <w:link w:val="18"/>
    <w:qFormat/>
    <w:uiPriority w:val="0"/>
    <w:rPr>
      <w:rFonts w:ascii="Times New Roman" w:hAnsi="Times New Roman" w:eastAsia="宋体" w:cs="Times New Roman"/>
      <w:kern w:val="0"/>
      <w:sz w:val="20"/>
      <w:szCs w:val="20"/>
    </w:rPr>
  </w:style>
  <w:style w:type="character" w:customStyle="1" w:styleId="75">
    <w:name w:val="正文文本缩进 2 Char"/>
    <w:basedOn w:val="42"/>
    <w:link w:val="26"/>
    <w:qFormat/>
    <w:uiPriority w:val="0"/>
    <w:rPr>
      <w:rFonts w:ascii="Times New Roman" w:hAnsi="Times New Roman" w:eastAsia="仿宋_GB2312" w:cs="Times New Roman"/>
      <w:kern w:val="0"/>
      <w:sz w:val="24"/>
      <w:szCs w:val="20"/>
    </w:rPr>
  </w:style>
  <w:style w:type="character" w:customStyle="1" w:styleId="76">
    <w:name w:val="副标题 Char"/>
    <w:basedOn w:val="42"/>
    <w:link w:val="33"/>
    <w:qFormat/>
    <w:uiPriority w:val="0"/>
    <w:rPr>
      <w:rFonts w:ascii="Times New Roman" w:hAnsi="Times New Roman" w:eastAsia="宋体" w:cs="Times New Roman"/>
      <w:kern w:val="0"/>
      <w:sz w:val="20"/>
      <w:szCs w:val="20"/>
    </w:rPr>
  </w:style>
  <w:style w:type="character" w:customStyle="1" w:styleId="77">
    <w:name w:val="正文首行缩进 2 Char"/>
    <w:basedOn w:val="74"/>
    <w:link w:val="39"/>
    <w:qFormat/>
    <w:uiPriority w:val="0"/>
    <w:rPr>
      <w:rFonts w:ascii="Times New Roman" w:hAnsi="Times New Roman" w:eastAsia="宋体" w:cs="Times New Roman"/>
      <w:kern w:val="0"/>
      <w:sz w:val="20"/>
      <w:szCs w:val="20"/>
    </w:rPr>
  </w:style>
  <w:style w:type="character" w:customStyle="1" w:styleId="78">
    <w:name w:val="标题 Char"/>
    <w:basedOn w:val="42"/>
    <w:link w:val="38"/>
    <w:qFormat/>
    <w:uiPriority w:val="0"/>
    <w:rPr>
      <w:rFonts w:ascii="Times New Roman" w:hAnsi="Times New Roman" w:eastAsia="黑体" w:cs="Times New Roman"/>
      <w:b/>
      <w:kern w:val="0"/>
      <w:sz w:val="28"/>
      <w:szCs w:val="20"/>
      <w:lang w:val="en-GB"/>
    </w:rPr>
  </w:style>
  <w:style w:type="paragraph" w:customStyle="1" w:styleId="79">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80">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Char"/>
    <w:basedOn w:val="1"/>
    <w:qFormat/>
    <w:uiPriority w:val="0"/>
    <w:pPr>
      <w:widowControl/>
      <w:wordWrap w:val="0"/>
      <w:ind w:left="1024"/>
    </w:pPr>
    <w:rPr>
      <w:rFonts w:ascii="Tahoma" w:hAnsi="Tahoma" w:eastAsia="宋体" w:cs="Times New Roman"/>
      <w:kern w:val="0"/>
      <w:sz w:val="24"/>
      <w:szCs w:val="20"/>
    </w:rPr>
  </w:style>
  <w:style w:type="paragraph" w:customStyle="1" w:styleId="83">
    <w:name w:val="Char_0"/>
    <w:basedOn w:val="84"/>
    <w:qFormat/>
    <w:uiPriority w:val="0"/>
    <w:rPr>
      <w:rFonts w:ascii="Tahoma" w:hAnsi="Tahoma"/>
      <w:sz w:val="24"/>
      <w:szCs w:val="20"/>
    </w:rPr>
  </w:style>
  <w:style w:type="paragraph" w:customStyle="1" w:styleId="84">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0"/>
    <w:basedOn w:val="88"/>
    <w:unhideWhenUsed/>
    <w:qFormat/>
    <w:uiPriority w:val="0"/>
    <w:pPr>
      <w:widowControl/>
      <w:wordWrap w:val="0"/>
      <w:ind w:left="1024"/>
    </w:pPr>
    <w:rPr>
      <w:rFonts w:ascii="宋体" w:hAnsi="Courier New"/>
      <w:kern w:val="0"/>
      <w:sz w:val="20"/>
      <w:szCs w:val="20"/>
    </w:rPr>
  </w:style>
  <w:style w:type="paragraph" w:customStyle="1" w:styleId="8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90">
    <w:name w:val="普通(网站)_0"/>
    <w:basedOn w:val="84"/>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91">
    <w:name w:val="引用1"/>
    <w:next w:val="1"/>
    <w:link w:val="92"/>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2">
    <w:name w:val="引用 字符"/>
    <w:basedOn w:val="42"/>
    <w:link w:val="91"/>
    <w:qFormat/>
    <w:uiPriority w:val="0"/>
    <w:rPr>
      <w:rFonts w:ascii="Times New Roman" w:hAnsi="Times New Roman" w:eastAsia="宋体" w:cs="Times New Roman"/>
      <w:i/>
      <w:kern w:val="0"/>
      <w:sz w:val="20"/>
      <w:szCs w:val="20"/>
    </w:rPr>
  </w:style>
  <w:style w:type="paragraph" w:customStyle="1" w:styleId="93">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4">
    <w:name w:val="明显引用1"/>
    <w:next w:val="1"/>
    <w:link w:val="95"/>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5">
    <w:name w:val="明显引用 字符"/>
    <w:basedOn w:val="42"/>
    <w:link w:val="94"/>
    <w:qFormat/>
    <w:uiPriority w:val="0"/>
    <w:rPr>
      <w:rFonts w:ascii="Times New Roman" w:hAnsi="Times New Roman" w:eastAsia="宋体" w:cs="Times New Roman"/>
      <w:i/>
      <w:kern w:val="0"/>
      <w:sz w:val="20"/>
      <w:szCs w:val="20"/>
    </w:rPr>
  </w:style>
  <w:style w:type="paragraph" w:customStyle="1" w:styleId="96">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7">
    <w:name w:val="纯文本_3"/>
    <w:basedOn w:val="98"/>
    <w:qFormat/>
    <w:uiPriority w:val="0"/>
    <w:rPr>
      <w:rFonts w:ascii="宋体" w:hAnsi="Courier New"/>
      <w:szCs w:val="20"/>
    </w:rPr>
  </w:style>
  <w:style w:type="paragraph" w:customStyle="1" w:styleId="9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Table Paragraph"/>
    <w:basedOn w:val="1"/>
    <w:qFormat/>
    <w:uiPriority w:val="1"/>
    <w:rPr>
      <w:rFonts w:ascii="仿宋" w:hAnsi="仿宋" w:eastAsia="仿宋" w:cs="仿宋"/>
      <w:lang w:val="zh-CN" w:bidi="zh-CN"/>
    </w:rPr>
  </w:style>
  <w:style w:type="paragraph" w:customStyle="1" w:styleId="100">
    <w:name w:val="纯文本_0_0"/>
    <w:basedOn w:val="81"/>
    <w:qFormat/>
    <w:uiPriority w:val="0"/>
    <w:rPr>
      <w:rFonts w:ascii="宋体" w:hAnsi="Courier New"/>
      <w:szCs w:val="21"/>
    </w:rPr>
  </w:style>
  <w:style w:type="paragraph" w:customStyle="1" w:styleId="101">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纯文本_1"/>
    <w:basedOn w:val="1"/>
    <w:qFormat/>
    <w:uiPriority w:val="0"/>
    <w:rPr>
      <w:rFonts w:ascii="宋体" w:hAnsi="Courier New"/>
      <w:szCs w:val="20"/>
    </w:rPr>
  </w:style>
  <w:style w:type="paragraph" w:customStyle="1" w:styleId="10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纯文本1"/>
    <w:basedOn w:val="1"/>
    <w:qFormat/>
    <w:uiPriority w:val="0"/>
    <w:pPr>
      <w:adjustRightInd w:val="0"/>
      <w:jc w:val="left"/>
    </w:pPr>
    <w:rPr>
      <w:rFonts w:ascii="宋体" w:hAnsi="Courier New"/>
      <w:sz w:val="24"/>
      <w:szCs w:val="20"/>
    </w:rPr>
  </w:style>
  <w:style w:type="character" w:customStyle="1" w:styleId="110">
    <w:name w:val="font91"/>
    <w:basedOn w:val="42"/>
    <w:qFormat/>
    <w:uiPriority w:val="0"/>
    <w:rPr>
      <w:rFonts w:hint="eastAsia" w:ascii="宋体" w:hAnsi="宋体" w:eastAsia="宋体" w:cs="宋体"/>
      <w:color w:val="000000"/>
      <w:sz w:val="24"/>
      <w:szCs w:val="24"/>
      <w:u w:val="none"/>
    </w:rPr>
  </w:style>
  <w:style w:type="paragraph" w:customStyle="1" w:styleId="111">
    <w:name w:val="WPSOffice手动目录 1"/>
    <w:qFormat/>
    <w:uiPriority w:val="0"/>
    <w:rPr>
      <w:rFonts w:ascii="Calibri" w:hAnsi="Calibri" w:eastAsia="宋体" w:cs="Times New Roman"/>
      <w:lang w:val="en-US" w:eastAsia="zh-CN" w:bidi="ar-SA"/>
    </w:rPr>
  </w:style>
  <w:style w:type="paragraph" w:customStyle="1" w:styleId="112">
    <w:name w:val="WPSOffice手动目录 2"/>
    <w:qFormat/>
    <w:uiPriority w:val="0"/>
    <w:pPr>
      <w:ind w:left="200" w:leftChars="200"/>
    </w:pPr>
    <w:rPr>
      <w:rFonts w:ascii="Calibri" w:hAnsi="Calibri" w:eastAsia="宋体" w:cs="Times New Roman"/>
      <w:lang w:val="en-US" w:eastAsia="zh-CN" w:bidi="ar-SA"/>
    </w:rPr>
  </w:style>
  <w:style w:type="paragraph" w:customStyle="1" w:styleId="113">
    <w:name w:val="UserStyle_0"/>
    <w:basedOn w:val="1"/>
    <w:next w:val="114"/>
    <w:qFormat/>
    <w:uiPriority w:val="0"/>
    <w:pPr>
      <w:textAlignment w:val="baseline"/>
    </w:pPr>
    <w:rPr>
      <w:rFonts w:ascii="Calibri" w:hAnsi="Calibri" w:eastAsia="宋体" w:cs="Times New Roman"/>
      <w:b/>
      <w:bCs/>
      <w:sz w:val="32"/>
      <w:szCs w:val="24"/>
    </w:rPr>
  </w:style>
  <w:style w:type="paragraph" w:customStyle="1" w:styleId="114">
    <w:name w:val="BodyText"/>
    <w:basedOn w:val="1"/>
    <w:qFormat/>
    <w:uiPriority w:val="0"/>
    <w:pPr>
      <w:jc w:val="center"/>
      <w:textAlignment w:val="baseline"/>
    </w:pPr>
    <w:rPr>
      <w:rFonts w:ascii="Calibri" w:hAnsi="Calibri" w:eastAsia="宋体"/>
      <w:sz w:val="44"/>
      <w:szCs w:val="20"/>
    </w:rPr>
  </w:style>
  <w:style w:type="character" w:customStyle="1" w:styleId="11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6">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7">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8">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9">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20">
    <w:name w:val="Char Char1"/>
    <w:qFormat/>
    <w:uiPriority w:val="0"/>
    <w:rPr>
      <w:rFonts w:ascii="Times New Roman" w:hAnsi="Times New Roman" w:eastAsia="宋体"/>
      <w:color w:val="auto"/>
      <w:kern w:val="2"/>
      <w:sz w:val="18"/>
      <w:szCs w:val="24"/>
      <w:lang w:val="en-US" w:eastAsia="zh-CN"/>
    </w:rPr>
  </w:style>
  <w:style w:type="paragraph" w:customStyle="1" w:styleId="121">
    <w:name w:val="_Style 14"/>
    <w:basedOn w:val="1"/>
    <w:next w:val="89"/>
    <w:qFormat/>
    <w:uiPriority w:val="99"/>
    <w:pPr>
      <w:spacing w:line="360" w:lineRule="auto"/>
      <w:ind w:firstLine="420" w:firstLineChars="200"/>
    </w:pPr>
    <w:rPr>
      <w:rFonts w:ascii="等线" w:hAnsi="等线" w:eastAsia="等线"/>
      <w:sz w:val="24"/>
    </w:rPr>
  </w:style>
  <w:style w:type="character" w:customStyle="1" w:styleId="122">
    <w:name w:val="Char Char5"/>
    <w:qFormat/>
    <w:uiPriority w:val="0"/>
    <w:rPr>
      <w:rFonts w:ascii="Times New Roman" w:hAnsi="Times New Roman" w:eastAsia="宋体"/>
      <w:color w:val="auto"/>
      <w:kern w:val="2"/>
      <w:sz w:val="21"/>
      <w:szCs w:val="24"/>
      <w:lang w:val="en-US" w:eastAsia="zh-CN"/>
    </w:rPr>
  </w:style>
  <w:style w:type="paragraph" w:customStyle="1" w:styleId="123">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批注框文本 Char"/>
    <w:basedOn w:val="42"/>
    <w:link w:val="27"/>
    <w:semiHidden/>
    <w:qFormat/>
    <w:uiPriority w:val="99"/>
    <w:rPr>
      <w:rFonts w:asciiTheme="minorHAnsi" w:hAnsiTheme="minorHAnsi" w:eastAsiaTheme="minorEastAsia" w:cstheme="minorBidi"/>
      <w:kern w:val="2"/>
      <w:sz w:val="18"/>
      <w:szCs w:val="18"/>
    </w:rPr>
  </w:style>
  <w:style w:type="paragraph" w:customStyle="1" w:styleId="126">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7">
    <w:name w:val="索引 11"/>
    <w:basedOn w:val="1"/>
    <w:next w:val="1"/>
    <w:qFormat/>
    <w:uiPriority w:val="0"/>
    <w:pPr>
      <w:spacing w:line="360" w:lineRule="auto"/>
    </w:pPr>
    <w:rPr>
      <w:rFonts w:ascii="仿宋_GB2312" w:hAnsi="Times New Roman" w:eastAsia="仿宋_GB2312"/>
      <w:sz w:val="24"/>
      <w:szCs w:val="20"/>
    </w:rPr>
  </w:style>
  <w:style w:type="table" w:customStyle="1" w:styleId="128">
    <w:name w:val="Table Normal"/>
    <w:semiHidden/>
    <w:unhideWhenUsed/>
    <w:qFormat/>
    <w:uiPriority w:val="2"/>
    <w:tblPr>
      <w:tblCellMar>
        <w:top w:w="0" w:type="dxa"/>
        <w:left w:w="0" w:type="dxa"/>
        <w:bottom w:w="0" w:type="dxa"/>
        <w:right w:w="0" w:type="dxa"/>
      </w:tblCellMar>
    </w:tblPr>
  </w:style>
  <w:style w:type="paragraph" w:styleId="129">
    <w:name w:val="List Paragraph"/>
    <w:basedOn w:val="1"/>
    <w:qFormat/>
    <w:uiPriority w:val="1"/>
    <w:pPr>
      <w:ind w:left="535" w:firstLine="480"/>
    </w:pPr>
  </w:style>
  <w:style w:type="paragraph" w:customStyle="1" w:styleId="130">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131">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32">
    <w:name w:val="表格样式"/>
    <w:basedOn w:val="1"/>
    <w:qFormat/>
    <w:uiPriority w:val="0"/>
    <w:pPr>
      <w:adjustRightInd w:val="0"/>
      <w:snapToGrid w:val="0"/>
      <w:jc w:val="center"/>
    </w:pPr>
    <w:rPr>
      <w:rFonts w:ascii="宋体" w:hAnsi="宋体"/>
    </w:rPr>
  </w:style>
  <w:style w:type="paragraph" w:customStyle="1" w:styleId="13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34">
    <w:name w:val="正文2"/>
    <w:basedOn w:val="1"/>
    <w:qFormat/>
    <w:uiPriority w:val="0"/>
    <w:pPr>
      <w:adjustRightInd w:val="0"/>
      <w:spacing w:line="318" w:lineRule="atLeast"/>
      <w:ind w:left="369" w:firstLine="369"/>
      <w:textAlignment w:val="baseline"/>
    </w:pPr>
    <w:rPr>
      <w:rFonts w:ascii="宋体"/>
      <w:szCs w:val="20"/>
    </w:rPr>
  </w:style>
  <w:style w:type="paragraph" w:customStyle="1" w:styleId="1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136">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137">
    <w:name w:val="Body text|1"/>
    <w:basedOn w:val="1"/>
    <w:qFormat/>
    <w:uiPriority w:val="0"/>
    <w:pPr>
      <w:widowControl w:val="0"/>
      <w:shd w:val="clear" w:color="auto" w:fill="auto"/>
      <w:spacing w:line="468" w:lineRule="auto"/>
      <w:ind w:firstLine="400"/>
    </w:pPr>
    <w:rPr>
      <w:rFonts w:ascii="宋体" w:hAnsi="宋体" w:eastAsia="宋体" w:cs="宋体"/>
      <w:sz w:val="20"/>
      <w:szCs w:val="20"/>
      <w:u w:val="none"/>
      <w:shd w:val="clear" w:color="auto" w:fill="auto"/>
      <w:lang w:val="zh-TW" w:eastAsia="zh-TW" w:bidi="zh-TW"/>
    </w:rPr>
  </w:style>
  <w:style w:type="paragraph" w:customStyle="1" w:styleId="138">
    <w:name w:val="表格文字"/>
    <w:basedOn w:val="1"/>
    <w:next w:val="15"/>
    <w:qFormat/>
    <w:uiPriority w:val="0"/>
    <w:pPr>
      <w:spacing w:line="420" w:lineRule="atLeast"/>
      <w:textAlignment w:val="baseline"/>
    </w:pPr>
  </w:style>
  <w:style w:type="paragraph" w:customStyle="1" w:styleId="139">
    <w:name w:val="表"/>
    <w:basedOn w:val="1"/>
    <w:qFormat/>
    <w:uiPriority w:val="0"/>
    <w:pPr>
      <w:adjustRightInd w:val="0"/>
      <w:jc w:val="left"/>
    </w:pPr>
    <w:rPr>
      <w:rFonts w:ascii="宋体" w:hAnsi="宋体" w:eastAsia="仿宋"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65</Pages>
  <Words>20832</Words>
  <Characters>22415</Characters>
  <Lines>289</Lines>
  <Paragraphs>81</Paragraphs>
  <TotalTime>40</TotalTime>
  <ScaleCrop>false</ScaleCrop>
  <LinksUpToDate>false</LinksUpToDate>
  <CharactersWithSpaces>23708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2020-12-15T00:02:00Z</dcterms:created>
  <dc:creator>deeplm</dc:creator>
  <cp:lastModifiedBy>Administrator</cp:lastModifiedBy>
  <cp:lastPrinted>2025-07-03T07:22:32Z</cp:lastPrinted>
  <dcterms:modified xsi:type="dcterms:W3CDTF">2025-07-03T07:56:52Z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9CA2A9AF55C84160B1640D8E5B289CFA_13</vt:lpwstr>
  </property>
  <property fmtid="{D5CDD505-2E9C-101B-9397-08002B2CF9AE}" pid="4" name="KSOTemplateDocerSaveRecord">
    <vt:lpwstr>eyJoZGlkIjoiMWVmNjMxZTk2NmMzNjMzYjUyMjFiOWRkMjJmNWU5OTMiLCJ1c2VySWQiOiIyNTY4MzI4NDYifQ==</vt:lpwstr>
  </property>
</Properties>
</file>