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596B">
      <w:pPr>
        <w:pStyle w:val="19"/>
        <w:ind w:firstLine="0"/>
        <w:rPr>
          <w:rFonts w:eastAsia="宋体" w:cs="宋体"/>
          <w:color w:val="000000" w:themeColor="text1"/>
          <w:highlight w:val="none"/>
          <w14:textFill>
            <w14:solidFill>
              <w14:schemeClr w14:val="tx1"/>
            </w14:solidFill>
          </w14:textFill>
        </w:rPr>
      </w:pPr>
    </w:p>
    <w:p w14:paraId="7444593D">
      <w:pPr>
        <w:rPr>
          <w:rFonts w:ascii="宋体" w:hAnsi="宋体" w:cs="宋体"/>
          <w:color w:val="000000" w:themeColor="text1"/>
          <w:highlight w:val="none"/>
          <w14:textFill>
            <w14:solidFill>
              <w14:schemeClr w14:val="tx1"/>
            </w14:solidFill>
          </w14:textFill>
        </w:rPr>
      </w:pPr>
    </w:p>
    <w:p w14:paraId="7FF3B01D">
      <w:pPr>
        <w:pStyle w:val="3"/>
        <w:rPr>
          <w:rFonts w:ascii="宋体" w:hAnsi="宋体" w:eastAsia="宋体" w:cs="宋体"/>
          <w:color w:val="000000" w:themeColor="text1"/>
          <w:highlight w:val="none"/>
          <w14:textFill>
            <w14:solidFill>
              <w14:schemeClr w14:val="tx1"/>
            </w14:solidFill>
          </w14:textFill>
        </w:rPr>
      </w:pPr>
    </w:p>
    <w:p w14:paraId="009616DF">
      <w:pPr>
        <w:rPr>
          <w:rFonts w:ascii="宋体" w:hAnsi="宋体" w:cs="宋体"/>
          <w:color w:val="000000" w:themeColor="text1"/>
          <w:highlight w:val="none"/>
          <w14:textFill>
            <w14:solidFill>
              <w14:schemeClr w14:val="tx1"/>
            </w14:solidFill>
          </w14:textFill>
        </w:rPr>
      </w:pPr>
    </w:p>
    <w:p w14:paraId="08D24683">
      <w:pPr>
        <w:autoSpaceDE w:val="0"/>
        <w:autoSpaceDN w:val="0"/>
        <w:spacing w:line="360" w:lineRule="auto"/>
        <w:jc w:val="center"/>
        <w:textAlignment w:val="bottom"/>
        <w:rPr>
          <w:rFonts w:ascii="宋体" w:hAnsi="宋体" w:cs="宋体"/>
          <w:color w:val="auto"/>
          <w:sz w:val="72"/>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84"/>
          <w:highlight w:val="none"/>
          <w14:shadow w14:blurRad="50800" w14:dist="38100" w14:dir="2700000" w14:sx="100000" w14:sy="100000" w14:kx="0" w14:ky="0" w14:algn="tl">
            <w14:srgbClr w14:val="000000">
              <w14:alpha w14:val="60000"/>
            </w14:srgbClr>
          </w14:shadow>
        </w:rPr>
        <w:t>招  标  文  件</w:t>
      </w:r>
    </w:p>
    <w:p w14:paraId="13E9C615">
      <w:pPr>
        <w:pStyle w:val="19"/>
        <w:ind w:firstLine="0"/>
        <w:rPr>
          <w:rFonts w:eastAsia="宋体" w:cs="宋体"/>
          <w:color w:val="auto"/>
          <w:highlight w:val="none"/>
        </w:rPr>
      </w:pPr>
    </w:p>
    <w:p w14:paraId="748A9745">
      <w:pPr>
        <w:pStyle w:val="19"/>
        <w:rPr>
          <w:rFonts w:eastAsia="宋体" w:cs="宋体"/>
          <w:color w:val="auto"/>
          <w:highlight w:val="none"/>
        </w:rPr>
      </w:pPr>
    </w:p>
    <w:p w14:paraId="08D062D0">
      <w:pPr>
        <w:spacing w:line="360" w:lineRule="auto"/>
        <w:rPr>
          <w:rFonts w:ascii="宋体" w:hAnsi="宋体" w:cs="宋体"/>
          <w:b/>
          <w:color w:val="auto"/>
          <w:sz w:val="30"/>
          <w:szCs w:val="30"/>
          <w:highlight w:val="none"/>
        </w:rPr>
      </w:pPr>
    </w:p>
    <w:p w14:paraId="385855DA">
      <w:pPr>
        <w:spacing w:line="360" w:lineRule="auto"/>
        <w:ind w:firstLine="723" w:firstLineChars="2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采购编号: JY分散公开202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 xml:space="preserve">26  </w:t>
      </w:r>
    </w:p>
    <w:p w14:paraId="7B6DF993">
      <w:pPr>
        <w:spacing w:line="360" w:lineRule="auto"/>
        <w:jc w:val="center"/>
        <w:rPr>
          <w:rFonts w:ascii="宋体" w:hAnsi="宋体" w:cs="宋体"/>
          <w:b/>
          <w:color w:val="auto"/>
          <w:sz w:val="36"/>
          <w:szCs w:val="36"/>
          <w:highlight w:val="none"/>
        </w:rPr>
      </w:pPr>
    </w:p>
    <w:p w14:paraId="653D4340">
      <w:pPr>
        <w:spacing w:line="360" w:lineRule="auto"/>
        <w:ind w:firstLine="36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6"/>
          <w:szCs w:val="36"/>
          <w:highlight w:val="none"/>
        </w:rPr>
        <w:t>项目名称</w:t>
      </w:r>
      <w:r>
        <w:rPr>
          <w:rFonts w:hint="eastAsia" w:ascii="宋体" w:hAnsi="宋体" w:cs="宋体"/>
          <w:b/>
          <w:color w:val="auto"/>
          <w:sz w:val="32"/>
          <w:szCs w:val="32"/>
          <w:highlight w:val="none"/>
        </w:rPr>
        <w:t>:</w:t>
      </w:r>
      <w:r>
        <w:rPr>
          <w:rFonts w:hint="eastAsia" w:ascii="宋体" w:hAnsi="宋体" w:cs="宋体"/>
          <w:b/>
          <w:color w:val="auto"/>
          <w:sz w:val="36"/>
          <w:szCs w:val="36"/>
          <w:highlight w:val="none"/>
          <w:lang w:eastAsia="zh-CN"/>
        </w:rPr>
        <w:t>2025年缙云县林业局森林防火物资采购项目  </w:t>
      </w:r>
    </w:p>
    <w:p w14:paraId="263FAB7E">
      <w:pPr>
        <w:spacing w:line="360" w:lineRule="auto"/>
        <w:ind w:firstLine="723" w:firstLineChars="200"/>
        <w:rPr>
          <w:rFonts w:ascii="宋体" w:hAnsi="宋体" w:cs="宋体"/>
          <w:b/>
          <w:color w:val="auto"/>
          <w:sz w:val="36"/>
          <w:szCs w:val="36"/>
          <w:highlight w:val="none"/>
        </w:rPr>
      </w:pPr>
    </w:p>
    <w:p w14:paraId="2231D16A">
      <w:pPr>
        <w:spacing w:line="360" w:lineRule="auto"/>
        <w:ind w:firstLine="723" w:firstLineChars="200"/>
        <w:rPr>
          <w:rFonts w:hint="eastAsia" w:ascii="宋体" w:hAnsi="宋体" w:eastAsia="宋体" w:cs="宋体"/>
          <w:b/>
          <w:color w:val="auto"/>
          <w:spacing w:val="-20"/>
          <w:sz w:val="36"/>
          <w:szCs w:val="36"/>
          <w:highlight w:val="none"/>
          <w:lang w:eastAsia="zh-CN"/>
        </w:rPr>
      </w:pPr>
      <w:r>
        <w:rPr>
          <w:rFonts w:hint="eastAsia" w:ascii="宋体" w:hAnsi="宋体" w:cs="宋体"/>
          <w:b/>
          <w:color w:val="auto"/>
          <w:sz w:val="36"/>
          <w:szCs w:val="36"/>
          <w:highlight w:val="none"/>
        </w:rPr>
        <w:t xml:space="preserve">采 购 人: </w:t>
      </w:r>
      <w:r>
        <w:rPr>
          <w:rFonts w:hint="eastAsia" w:ascii="宋体" w:hAnsi="宋体" w:cs="宋体"/>
          <w:b/>
          <w:color w:val="auto"/>
          <w:spacing w:val="-20"/>
          <w:sz w:val="36"/>
          <w:szCs w:val="36"/>
          <w:highlight w:val="none"/>
          <w:lang w:eastAsia="zh-CN"/>
        </w:rPr>
        <w:t>缙云县林业局</w:t>
      </w:r>
    </w:p>
    <w:p w14:paraId="6E4B4CDA">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770B9080">
      <w:pPr>
        <w:spacing w:line="360" w:lineRule="auto"/>
        <w:ind w:firstLine="723" w:firstLineChars="20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采购代理机构:</w:t>
      </w:r>
      <w:r>
        <w:rPr>
          <w:rFonts w:hint="eastAsia" w:ascii="宋体" w:hAnsi="宋体" w:cs="宋体"/>
          <w:b/>
          <w:color w:val="000000" w:themeColor="text1"/>
          <w:sz w:val="36"/>
          <w:szCs w:val="36"/>
          <w:highlight w:val="none"/>
          <w:lang w:eastAsia="zh-CN"/>
          <w14:textFill>
            <w14:solidFill>
              <w14:schemeClr w14:val="tx1"/>
            </w14:solidFill>
          </w14:textFill>
        </w:rPr>
        <w:t>浙江康茂工程管理有限公司</w:t>
      </w:r>
    </w:p>
    <w:p w14:paraId="42FE8925">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60F91FC0">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w:t>
      </w:r>
      <w:r>
        <w:rPr>
          <w:rFonts w:hint="eastAsia" w:ascii="宋体" w:hAnsi="宋体" w:cs="宋体"/>
          <w:b/>
          <w:color w:val="000000" w:themeColor="text1"/>
          <w:sz w:val="36"/>
          <w:szCs w:val="36"/>
          <w:highlight w:val="none"/>
          <w:lang w:val="en-US" w:eastAsia="zh-CN"/>
          <w14:textFill>
            <w14:solidFill>
              <w14:schemeClr w14:val="tx1"/>
            </w14:solidFill>
          </w14:textFill>
        </w:rPr>
        <w:t>7</w:t>
      </w:r>
      <w:r>
        <w:rPr>
          <w:rFonts w:hint="eastAsia" w:ascii="宋体" w:hAnsi="宋体" w:cs="宋体"/>
          <w:b/>
          <w:color w:val="000000" w:themeColor="text1"/>
          <w:sz w:val="36"/>
          <w:szCs w:val="36"/>
          <w:highlight w:val="none"/>
          <w14:textFill>
            <w14:solidFill>
              <w14:schemeClr w14:val="tx1"/>
            </w14:solidFill>
          </w14:textFill>
        </w:rPr>
        <w:t>月</w:t>
      </w:r>
    </w:p>
    <w:p w14:paraId="33EFD261">
      <w:pPr>
        <w:pStyle w:val="19"/>
        <w:rPr>
          <w:rFonts w:eastAsia="宋体" w:cs="宋体"/>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14:paraId="421F56DE">
      <w:pPr>
        <w:rPr>
          <w:rFonts w:ascii="宋体" w:hAnsi="宋体" w:cs="宋体"/>
          <w:color w:val="000000" w:themeColor="text1"/>
          <w:highlight w:val="none"/>
          <w14:textFill>
            <w14:solidFill>
              <w14:schemeClr w14:val="tx1"/>
            </w14:solidFill>
          </w14:textFill>
        </w:rPr>
      </w:pPr>
    </w:p>
    <w:sdt>
      <w:sdtPr>
        <w:rPr>
          <w:rFonts w:hint="eastAsia" w:ascii="宋体" w:hAnsi="宋体" w:cs="宋体"/>
          <w:color w:val="000000" w:themeColor="text1"/>
          <w:highlight w:val="none"/>
          <w14:textFill>
            <w14:solidFill>
              <w14:schemeClr w14:val="tx1"/>
            </w14:solidFill>
          </w14:textFill>
        </w:rPr>
        <w:id w:val="147464508"/>
        <w15:color w:val="DBDBDB"/>
        <w:docPartObj>
          <w:docPartGallery w:val="Table of Contents"/>
          <w:docPartUnique/>
        </w:docPartObj>
      </w:sdtPr>
      <w:sdtEndPr>
        <w:rPr>
          <w:rFonts w:hint="eastAsia" w:ascii="宋体" w:hAnsi="宋体" w:cs="宋体"/>
          <w:color w:val="0000FF"/>
          <w:sz w:val="22"/>
          <w:szCs w:val="28"/>
          <w:highlight w:val="none"/>
        </w:rPr>
      </w:sdtEndPr>
      <w:sdtContent>
        <w:p w14:paraId="18F90BEC">
          <w:pPr>
            <w:jc w:val="center"/>
            <w:rPr>
              <w:rFonts w:ascii="宋体" w:hAnsi="宋体" w:cs="宋体"/>
              <w:color w:val="000000" w:themeColor="text1"/>
              <w:sz w:val="40"/>
              <w:szCs w:val="48"/>
              <w:highlight w:val="none"/>
              <w14:textFill>
                <w14:solidFill>
                  <w14:schemeClr w14:val="tx1"/>
                </w14:solidFill>
              </w14:textFill>
            </w:rPr>
          </w:pPr>
          <w:bookmarkStart w:id="0" w:name="_Toc3568_WPSOffice_Level1"/>
          <w:r>
            <w:rPr>
              <w:rFonts w:hint="eastAsia" w:ascii="宋体" w:hAnsi="宋体" w:cs="宋体"/>
              <w:color w:val="000000" w:themeColor="text1"/>
              <w:sz w:val="40"/>
              <w:szCs w:val="48"/>
              <w:highlight w:val="none"/>
              <w14:textFill>
                <w14:solidFill>
                  <w14:schemeClr w14:val="tx1"/>
                </w14:solidFill>
              </w14:textFill>
            </w:rPr>
            <w:t>目 录</w:t>
          </w:r>
        </w:p>
        <w:p w14:paraId="5DDAF324">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290C5CD7">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3F1C6935">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rFonts w:hint="eastAsia" w:eastAsia="宋体" w:cs="宋体"/>
              <w:b w:val="0"/>
              <w:bCs/>
              <w:color w:val="000000" w:themeColor="text1"/>
              <w:sz w:val="22"/>
              <w:szCs w:val="22"/>
              <w:highlight w:val="none"/>
              <w14:textFill>
                <w14:solidFill>
                  <w14:schemeClr w14:val="tx1"/>
                </w14:solidFill>
              </w14:textFill>
            </w:rPr>
            <w:fldChar w:fldCharType="begin"/>
          </w:r>
          <w:r>
            <w:rPr>
              <w:rFonts w:hint="eastAsia" w:eastAsia="宋体" w:cs="宋体"/>
              <w:b w:val="0"/>
              <w:bCs/>
              <w:color w:val="000000" w:themeColor="text1"/>
              <w:sz w:val="22"/>
              <w:szCs w:val="22"/>
              <w:highlight w:val="none"/>
              <w14:textFill>
                <w14:solidFill>
                  <w14:schemeClr w14:val="tx1"/>
                </w14:solidFill>
              </w14:textFill>
            </w:rPr>
            <w:instrText xml:space="preserve">TOC \o "1-1" \h \u </w:instrText>
          </w:r>
          <w:r>
            <w:rPr>
              <w:rFonts w:hint="eastAsia" w:eastAsia="宋体" w:cs="宋体"/>
              <w:b w:val="0"/>
              <w:bCs/>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"_Toc30115"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第一章  公开招标公告</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p>
        <w:p w14:paraId="5A753AAE">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"_Toc32158"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第二章  投标人须知</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p>
        <w:p w14:paraId="7C3AC4FC">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"_Toc3459"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第三章  采购需求</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23</w:t>
          </w:r>
        </w:p>
        <w:p w14:paraId="11FE4A53">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第四章　采购合同</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w:t>
          </w:r>
        </w:p>
        <w:p w14:paraId="7DAD38C1">
          <w:pPr>
            <w:pStyle w:val="19"/>
            <w:tabs>
              <w:tab w:val="right" w:leader="dot" w:pos="9026"/>
              <w:tab w:val="clear" w:pos="1470"/>
              <w:tab w:val="clear" w:pos="9016"/>
            </w:tabs>
            <w:spacing w:line="480" w:lineRule="auto"/>
            <w:rPr>
              <w:rFonts w:hint="eastAsia" w:eastAsia="宋体" w:cs="宋体"/>
              <w:b w:val="0"/>
              <w:bCs/>
              <w:color w:val="000000" w:themeColor="text1"/>
              <w:sz w:val="22"/>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"_Toc3798"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第五章　投标相关文件格式</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8</w:t>
          </w:r>
        </w:p>
        <w:p w14:paraId="1E7FB124">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"_Toc13063"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第六章  评标办法和细则</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1</w:t>
          </w:r>
        </w:p>
        <w:p w14:paraId="277DDC66">
          <w:pPr>
            <w:spacing w:line="480" w:lineRule="auto"/>
            <w:rPr>
              <w:rFonts w:ascii="宋体" w:hAnsi="宋体" w:cs="宋体"/>
              <w:color w:val="0000FF"/>
              <w:sz w:val="22"/>
              <w:szCs w:val="28"/>
              <w:highlight w:val="none"/>
            </w:rPr>
          </w:pPr>
          <w:r>
            <w:rPr>
              <w:rFonts w:hint="eastAsia" w:ascii="宋体" w:hAnsi="宋体" w:cs="宋体"/>
              <w:bCs/>
              <w:color w:val="000000" w:themeColor="text1"/>
              <w:sz w:val="22"/>
              <w:szCs w:val="22"/>
              <w:highlight w:val="none"/>
              <w14:textFill>
                <w14:solidFill>
                  <w14:schemeClr w14:val="tx1"/>
                </w14:solidFill>
              </w14:textFill>
            </w:rPr>
            <w:fldChar w:fldCharType="end"/>
          </w:r>
        </w:p>
      </w:sdtContent>
    </w:sdt>
    <w:p w14:paraId="20728209">
      <w:pPr>
        <w:spacing w:line="360" w:lineRule="auto"/>
        <w:jc w:val="center"/>
        <w:outlineLvl w:val="0"/>
        <w:rPr>
          <w:rFonts w:ascii="宋体" w:hAnsi="宋体" w:cs="宋体"/>
          <w:b/>
          <w:color w:val="0000FF"/>
          <w:sz w:val="36"/>
          <w:szCs w:val="36"/>
          <w:highlight w:val="none"/>
        </w:rPr>
        <w:sectPr>
          <w:footerReference r:id="rId5" w:type="default"/>
          <w:pgSz w:w="11906" w:h="16838"/>
          <w:pgMar w:top="1276" w:right="1418" w:bottom="1247" w:left="1418" w:header="851" w:footer="992" w:gutter="0"/>
          <w:pgNumType w:fmt="decimal" w:start="1"/>
          <w:cols w:space="720" w:num="1"/>
          <w:docGrid w:linePitch="312" w:charSpace="0"/>
        </w:sectPr>
      </w:pPr>
      <w:bookmarkStart w:id="1" w:name="_Toc30115"/>
    </w:p>
    <w:p w14:paraId="17ABB03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公开招标公告</w:t>
      </w:r>
      <w:bookmarkEnd w:id="0"/>
      <w:bookmarkEnd w:id="1"/>
    </w:p>
    <w:p w14:paraId="0E089203">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highlight w:val="none"/>
          <w14:textFill>
            <w14:solidFill>
              <w14:schemeClr w14:val="tx1"/>
            </w14:solidFill>
          </w14:textFill>
        </w:rPr>
      </w:pPr>
      <w:bookmarkStart w:id="2" w:name="_Toc35393790"/>
      <w:bookmarkStart w:id="3" w:name="_Toc28359002"/>
      <w:bookmarkStart w:id="4" w:name="_Toc28359079"/>
      <w:bookmarkStart w:id="5" w:name="_Toc35393621"/>
      <w:bookmarkStart w:id="6" w:name="_Hlk24379207"/>
      <w:bookmarkStart w:id="7" w:name="EBf1e27c6183244f4a8f3fc355defd653e"/>
      <w:bookmarkStart w:id="8" w:name="OLE_LINK4"/>
      <w:r>
        <w:rPr>
          <w:rFonts w:hint="eastAsia" w:ascii="宋体" w:hAnsi="宋体" w:cs="宋体"/>
          <w:color w:val="000000" w:themeColor="text1"/>
          <w:sz w:val="24"/>
          <w:highlight w:val="none"/>
          <w14:textFill>
            <w14:solidFill>
              <w14:schemeClr w14:val="tx1"/>
            </w14:solidFill>
          </w14:textFill>
        </w:rPr>
        <w:t>项目概况：</w:t>
      </w:r>
    </w:p>
    <w:p w14:paraId="5276F195">
      <w:pPr>
        <w:keepNext w:val="0"/>
        <w:keepLines w:val="0"/>
        <w:pageBreakBefore w:val="0"/>
        <w:widowControl w:val="0"/>
        <w:pBdr>
          <w:top w:val="single" w:color="auto" w:sz="4" w:space="1"/>
          <w:left w:val="single" w:color="auto" w:sz="4" w:space="4"/>
          <w:bottom w:val="single" w:color="auto" w:sz="4" w:space="1"/>
          <w:right w:val="single" w:color="auto" w:sz="4" w:space="2"/>
        </w:pBdr>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w:t>
      </w:r>
      <w:r>
        <w:rPr>
          <w:rFonts w:hint="eastAsia" w:ascii="宋体" w:hAnsi="宋体" w:cs="宋体"/>
          <w:color w:val="000000" w:themeColor="text1"/>
          <w:sz w:val="24"/>
          <w:highlight w:val="none"/>
          <w14:textFill>
            <w14:solidFill>
              <w14:schemeClr w14:val="tx1"/>
            </w14:solidFill>
          </w14:textFill>
        </w:rPr>
        <w:t>的潜在投标人应在政采云平台http://zfcg.czt.zj.gov.cn、丽水</w:t>
      </w:r>
      <w:r>
        <w:rPr>
          <w:rFonts w:hint="eastAsia" w:ascii="宋体" w:hAnsi="宋体" w:cs="宋体"/>
          <w:color w:val="auto"/>
          <w:sz w:val="24"/>
          <w:highlight w:val="none"/>
        </w:rPr>
        <w:t>市公共资源交易网（http://lssggzy.lishui.gov.cn/jyweb/）获取（下载）招标文件，并于</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r>
        <w:rPr>
          <w:rFonts w:hint="eastAsia" w:ascii="宋体" w:hAnsi="宋体" w:cs="宋体"/>
          <w:color w:val="000000" w:themeColor="text1"/>
          <w:sz w:val="24"/>
          <w:highlight w:val="none"/>
          <w14:textFill>
            <w14:solidFill>
              <w14:schemeClr w14:val="tx1"/>
            </w14:solidFill>
          </w14:textFill>
        </w:rPr>
        <w:t>）前递交（上传）投标文件。</w:t>
      </w:r>
    </w:p>
    <w:p w14:paraId="1A5AE1DA">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一、项目基本情况</w:t>
      </w:r>
      <w:bookmarkEnd w:id="2"/>
      <w:bookmarkEnd w:id="3"/>
      <w:bookmarkEnd w:id="4"/>
      <w:bookmarkEnd w:id="5"/>
    </w:p>
    <w:bookmarkEnd w:id="6"/>
    <w:p w14:paraId="1EE04A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采购编号</w:t>
      </w:r>
      <w:r>
        <w:rPr>
          <w:rFonts w:hint="eastAsia" w:ascii="宋体" w:hAnsi="宋体" w:cs="宋体"/>
          <w:color w:val="auto"/>
          <w:sz w:val="24"/>
          <w:highlight w:val="none"/>
        </w:rPr>
        <w:t>：JY分散公开202</w:t>
      </w:r>
      <w:r>
        <w:rPr>
          <w:rFonts w:hint="eastAsia" w:ascii="宋体" w:hAnsi="宋体" w:cs="宋体"/>
          <w:color w:val="auto"/>
          <w:sz w:val="24"/>
          <w:highlight w:val="none"/>
          <w:lang w:val="en-US" w:eastAsia="zh-CN"/>
        </w:rPr>
        <w:t xml:space="preserve">5-26  </w:t>
      </w:r>
      <w:r>
        <w:rPr>
          <w:rFonts w:hint="eastAsia" w:ascii="宋体" w:hAnsi="宋体" w:cs="宋体"/>
          <w:color w:val="auto"/>
          <w:sz w:val="24"/>
          <w:highlight w:val="none"/>
        </w:rPr>
        <w:t xml:space="preserve">   </w:t>
      </w:r>
    </w:p>
    <w:p w14:paraId="3CF9017A">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2025年缙云县林业局森林防火物资采购项目  </w:t>
      </w:r>
    </w:p>
    <w:p w14:paraId="374F47A6">
      <w:pPr>
        <w:wordWrap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650000</w:t>
      </w:r>
    </w:p>
    <w:p w14:paraId="229B6385">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val="en-US" w:eastAsia="zh-CN"/>
        </w:rPr>
        <w:t>650000</w:t>
      </w:r>
    </w:p>
    <w:p w14:paraId="7D8AEF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6D1E64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p w14:paraId="2E3B65B6">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p w14:paraId="3E305B5C">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采购项目数量:1</w:t>
      </w:r>
      <w:r>
        <w:rPr>
          <w:rFonts w:hint="eastAsia" w:ascii="宋体" w:hAnsi="宋体" w:cs="宋体"/>
          <w:color w:val="000000" w:themeColor="text1"/>
          <w:sz w:val="24"/>
          <w:highlight w:val="none"/>
          <w:lang w:eastAsia="zh-CN"/>
          <w14:textFill>
            <w14:solidFill>
              <w14:schemeClr w14:val="tx1"/>
            </w14:solidFill>
          </w14:textFill>
        </w:rPr>
        <w:t>批</w:t>
      </w:r>
    </w:p>
    <w:p w14:paraId="79FB9D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简要规格描述或项目基本概况介绍、用途：详见采购文件</w:t>
      </w:r>
    </w:p>
    <w:p w14:paraId="08AC8BA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385D9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合同履约期限：标项 1，详见采购文件</w:t>
      </w:r>
    </w:p>
    <w:p w14:paraId="1F0257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60F1E4B9">
      <w:pPr>
        <w:spacing w:line="360" w:lineRule="auto"/>
        <w:jc w:val="left"/>
        <w:rPr>
          <w:rFonts w:ascii="宋体" w:hAnsi="宋体" w:cs="宋体"/>
          <w:b/>
          <w:color w:val="000000" w:themeColor="text1"/>
          <w:sz w:val="24"/>
          <w:highlight w:val="none"/>
          <w14:textFill>
            <w14:solidFill>
              <w14:schemeClr w14:val="tx1"/>
            </w14:solidFill>
          </w14:textFill>
        </w:rPr>
      </w:pPr>
      <w:bookmarkStart w:id="9" w:name="_Toc35393622"/>
      <w:bookmarkStart w:id="10" w:name="_Toc28359003"/>
      <w:bookmarkStart w:id="11" w:name="_Toc35393791"/>
      <w:bookmarkStart w:id="12" w:name="_Toc28359080"/>
      <w:r>
        <w:rPr>
          <w:rFonts w:hint="eastAsia" w:ascii="宋体" w:hAnsi="宋体" w:cs="宋体"/>
          <w:b/>
          <w:color w:val="000000" w:themeColor="text1"/>
          <w:sz w:val="24"/>
          <w:highlight w:val="none"/>
          <w14:textFill>
            <w14:solidFill>
              <w14:schemeClr w14:val="tx1"/>
            </w14:solidFill>
          </w14:textFill>
        </w:rPr>
        <w:t>二、申请人的资格要求</w:t>
      </w:r>
      <w:bookmarkEnd w:id="9"/>
      <w:bookmarkEnd w:id="10"/>
      <w:bookmarkEnd w:id="11"/>
      <w:bookmarkEnd w:id="12"/>
    </w:p>
    <w:p w14:paraId="48D9C69E">
      <w:pPr>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13" w:name="_Toc35393792"/>
      <w:bookmarkStart w:id="14" w:name="_Toc35393623"/>
      <w:bookmarkStart w:id="15" w:name="_Toc28359004"/>
      <w:bookmarkStart w:id="16" w:name="_Toc28359081"/>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14:paraId="363A2BD1">
      <w:pPr>
        <w:wordWrap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2.落实政府采购政策需满足的资格要求：</w:t>
      </w:r>
      <w:r>
        <w:rPr>
          <w:rFonts w:hint="eastAsia" w:ascii="宋体" w:hAnsi="宋体" w:cs="宋体"/>
          <w:b/>
          <w:bCs/>
          <w:color w:val="000000"/>
          <w:sz w:val="24"/>
          <w:highlight w:val="none"/>
          <w:lang w:val="en-US" w:eastAsia="zh-CN"/>
        </w:rPr>
        <w:t>本项目属于专门面向中小企业采购的项目,供应商应为中、小、微型企业或者监狱企业或者残疾人福利性单位</w:t>
      </w:r>
      <w:r>
        <w:rPr>
          <w:rFonts w:hint="eastAsia" w:ascii="宋体" w:hAnsi="宋体" w:cs="宋体"/>
          <w:b/>
          <w:bCs/>
          <w:color w:val="000000" w:themeColor="text1"/>
          <w:kern w:val="0"/>
          <w:sz w:val="24"/>
          <w:highlight w:val="none"/>
          <w14:textFill>
            <w14:solidFill>
              <w14:schemeClr w14:val="tx1"/>
            </w14:solidFill>
          </w14:textFill>
        </w:rPr>
        <w:t>。</w:t>
      </w:r>
    </w:p>
    <w:bookmarkEnd w:id="13"/>
    <w:bookmarkEnd w:id="14"/>
    <w:bookmarkEnd w:id="15"/>
    <w:bookmarkEnd w:id="16"/>
    <w:p w14:paraId="4AA36421">
      <w:pPr>
        <w:spacing w:line="360" w:lineRule="auto"/>
        <w:jc w:val="left"/>
        <w:rPr>
          <w:rFonts w:ascii="宋体" w:hAnsi="宋体" w:cs="宋体"/>
          <w:b/>
          <w:color w:val="auto"/>
          <w:sz w:val="24"/>
          <w:highlight w:val="none"/>
        </w:rPr>
      </w:pPr>
      <w:r>
        <w:rPr>
          <w:rFonts w:hint="eastAsia" w:ascii="宋体" w:hAnsi="宋体" w:cs="宋体"/>
          <w:b/>
          <w:color w:val="000000" w:themeColor="text1"/>
          <w:sz w:val="24"/>
          <w:highlight w:val="none"/>
          <w14:textFill>
            <w14:solidFill>
              <w14:schemeClr w14:val="tx1"/>
            </w14:solidFill>
          </w14:textFill>
        </w:rPr>
        <w:t>三、获取招标</w:t>
      </w:r>
      <w:r>
        <w:rPr>
          <w:rFonts w:hint="eastAsia" w:ascii="宋体" w:hAnsi="宋体" w:cs="宋体"/>
          <w:b/>
          <w:color w:val="auto"/>
          <w:sz w:val="24"/>
          <w:highlight w:val="none"/>
        </w:rPr>
        <w:t>文件</w:t>
      </w:r>
    </w:p>
    <w:p w14:paraId="3F2C692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1. 时间：/至</w:t>
      </w:r>
      <w:r>
        <w:rPr>
          <w:rFonts w:hint="eastAsia" w:ascii="宋体" w:hAnsi="宋体" w:cs="宋体"/>
          <w:bCs/>
          <w:snapToGrid w:val="0"/>
          <w:color w:val="auto"/>
          <w:sz w:val="24"/>
          <w:highlight w:val="none"/>
          <w:u w:val="single"/>
        </w:rPr>
        <w:t>202</w:t>
      </w:r>
      <w:r>
        <w:rPr>
          <w:rFonts w:hint="eastAsia" w:ascii="宋体" w:hAnsi="宋体" w:cs="宋体"/>
          <w:bCs/>
          <w:snapToGrid w:val="0"/>
          <w:color w:val="auto"/>
          <w:sz w:val="24"/>
          <w:highlight w:val="none"/>
          <w:u w:val="singl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rPr>
        <w:t>日</w:t>
      </w:r>
      <w:r>
        <w:rPr>
          <w:rFonts w:hint="eastAsia" w:ascii="宋体" w:hAnsi="宋体" w:cs="宋体"/>
          <w:color w:val="auto"/>
          <w:sz w:val="24"/>
          <w:highlight w:val="none"/>
        </w:rPr>
        <w:t>，每</w:t>
      </w:r>
      <w:r>
        <w:rPr>
          <w:rFonts w:hint="eastAsia" w:ascii="宋体" w:hAnsi="宋体" w:cs="宋体"/>
          <w:color w:val="000000" w:themeColor="text1"/>
          <w:sz w:val="24"/>
          <w:highlight w:val="none"/>
          <w14:textFill>
            <w14:solidFill>
              <w14:schemeClr w14:val="tx1"/>
            </w14:solidFill>
          </w14:textFill>
        </w:rPr>
        <w:t>天上午00:00至12:00，下午12:00至23:59（北京时间，线上获取法定节假日均可，线下获取文件法定节假日除外）</w:t>
      </w:r>
    </w:p>
    <w:p w14:paraId="48B5F3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地点（网址）：浙江政府采购网（</w:t>
      </w:r>
      <w:r>
        <w:rPr>
          <w:rFonts w:hint="eastAsia" w:ascii="宋体" w:hAnsi="宋体" w:cs="宋体"/>
          <w:color w:val="000000" w:themeColor="text1"/>
          <w:sz w:val="24"/>
          <w:highlight w:val="none"/>
          <w:u w:val="singl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t>），丽水市公共资源交易网</w:t>
      </w:r>
      <w:r>
        <w:rPr>
          <w:rFonts w:hint="eastAsia" w:ascii="宋体" w:hAnsi="宋体" w:cs="宋体"/>
          <w:color w:val="000000" w:themeColor="text1"/>
          <w:sz w:val="24"/>
          <w:highlight w:val="none"/>
          <w:u w:val="single"/>
          <w14:textFill>
            <w14:solidFill>
              <w14:schemeClr w14:val="tx1"/>
            </w14:solidFill>
          </w14:textFill>
        </w:rPr>
        <w:t>（http://lssggzy.lishui.gov.cn/jyweb/）</w:t>
      </w:r>
      <w:r>
        <w:rPr>
          <w:rFonts w:hint="eastAsia" w:ascii="宋体" w:hAnsi="宋体" w:cs="宋体"/>
          <w:color w:val="000000" w:themeColor="text1"/>
          <w:sz w:val="24"/>
          <w:highlight w:val="none"/>
          <w14:textFill>
            <w14:solidFill>
              <w14:schemeClr w14:val="tx1"/>
            </w14:solidFill>
          </w14:textFill>
        </w:rPr>
        <w:t>公告附件</w:t>
      </w:r>
    </w:p>
    <w:p w14:paraId="3CF2D012">
      <w:pPr>
        <w:spacing w:line="360" w:lineRule="auto"/>
        <w:ind w:firstLine="480" w:firstLineChars="200"/>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3. 方式：自行下载获取。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3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⑶</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在浙江政府采购网采购公告附件中以“游客”身份（或丽水市公共资源交</w:t>
      </w:r>
      <w:r>
        <w:rPr>
          <w:rFonts w:hint="eastAsia" w:ascii="宋体" w:hAnsi="宋体" w:cs="宋体"/>
          <w:color w:val="auto"/>
          <w:sz w:val="24"/>
          <w:highlight w:val="none"/>
        </w:rPr>
        <w:t>易网）获取的招标文件在仅供阅览；潜在供应商未按上述第</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条方式获取招标文件的不得对招标文件提起质疑投诉；</w:t>
      </w:r>
    </w:p>
    <w:p w14:paraId="14F38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售价：0元</w:t>
      </w:r>
    </w:p>
    <w:p w14:paraId="761F7DB2">
      <w:pPr>
        <w:spacing w:line="360" w:lineRule="auto"/>
        <w:rPr>
          <w:rFonts w:ascii="宋体" w:hAnsi="宋体" w:cs="宋体"/>
          <w:b/>
          <w:color w:val="auto"/>
          <w:sz w:val="24"/>
          <w:highlight w:val="none"/>
        </w:rPr>
      </w:pPr>
      <w:bookmarkStart w:id="17" w:name="_Toc28359007"/>
      <w:bookmarkStart w:id="18" w:name="_Toc28359084"/>
      <w:bookmarkStart w:id="19" w:name="_Toc35393794"/>
      <w:bookmarkStart w:id="20" w:name="_Toc35393625"/>
      <w:r>
        <w:rPr>
          <w:rFonts w:hint="eastAsia" w:ascii="宋体" w:hAnsi="宋体" w:cs="宋体"/>
          <w:b/>
          <w:color w:val="auto"/>
          <w:sz w:val="24"/>
          <w:highlight w:val="none"/>
        </w:rPr>
        <w:t>四、提交投标文件截止时间、开标时间和地点</w:t>
      </w:r>
    </w:p>
    <w:p w14:paraId="33DD5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1.提交投标文件截止时间：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14:paraId="7A1946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2.投标地点（</w:t>
      </w:r>
      <w:r>
        <w:rPr>
          <w:rFonts w:hint="eastAsia" w:ascii="宋体" w:hAnsi="宋体" w:eastAsia="宋体" w:cs="宋体"/>
          <w:color w:val="auto"/>
          <w:sz w:val="24"/>
          <w:highlight w:val="none"/>
        </w:rPr>
        <w:t>网址）：应按照本项目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和政采云平台的要求编制、加密并递交投标文件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前往政采云平台上传电子响应文件</w:t>
      </w:r>
      <w:r>
        <w:rPr>
          <w:rFonts w:hint="eastAsia" w:ascii="宋体" w:hAnsi="宋体" w:eastAsia="宋体" w:cs="宋体"/>
          <w:color w:val="auto"/>
          <w:sz w:val="24"/>
          <w:highlight w:val="none"/>
          <w:lang w:eastAsia="zh-CN"/>
        </w:rPr>
        <w:t>（http://zfcg.czt.zj.gov.cn）。</w:t>
      </w:r>
      <w:r>
        <w:rPr>
          <w:rFonts w:hint="eastAsia" w:ascii="宋体" w:hAnsi="宋体" w:eastAsia="宋体" w:cs="宋体"/>
          <w:color w:val="auto"/>
          <w:sz w:val="24"/>
          <w:highlight w:val="none"/>
        </w:rPr>
        <w:t> </w:t>
      </w:r>
    </w:p>
    <w:p w14:paraId="65F7B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14:paraId="0D6589D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4.开标地点（网址）：</w:t>
      </w:r>
      <w:r>
        <w:rPr>
          <w:rFonts w:hint="eastAsia" w:ascii="宋体" w:hAnsi="宋体" w:cs="宋体"/>
          <w:bCs/>
          <w:color w:val="auto"/>
          <w:sz w:val="24"/>
          <w:highlight w:val="none"/>
        </w:rPr>
        <w:t>缙云县公共资源交易中心（</w:t>
      </w:r>
      <w:r>
        <w:rPr>
          <w:rFonts w:hint="eastAsia" w:ascii="宋体" w:hAnsi="宋体" w:cs="宋体"/>
          <w:bCs/>
          <w:color w:val="auto"/>
          <w:sz w:val="24"/>
          <w:highlight w:val="none"/>
          <w:lang w:eastAsia="zh-CN"/>
        </w:rPr>
        <w:t>缙云县新区黄龙路48号广电大楼</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楼开标</w:t>
      </w:r>
      <w:r>
        <w:rPr>
          <w:rFonts w:hint="eastAsia" w:ascii="宋体" w:hAnsi="宋体" w:cs="宋体"/>
          <w:bCs/>
          <w:color w:val="auto"/>
          <w:sz w:val="24"/>
          <w:highlight w:val="none"/>
          <w:lang w:val="en-US" w:eastAsia="zh-CN"/>
        </w:rPr>
        <w:t>室一</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p w14:paraId="6188C62E">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五、公告期限</w:t>
      </w:r>
      <w:bookmarkEnd w:id="17"/>
      <w:bookmarkEnd w:id="18"/>
      <w:bookmarkEnd w:id="19"/>
      <w:bookmarkEnd w:id="20"/>
    </w:p>
    <w:p w14:paraId="1FAA59BB">
      <w:pPr>
        <w:spacing w:line="360" w:lineRule="auto"/>
        <w:ind w:firstLine="480" w:firstLineChars="200"/>
        <w:rPr>
          <w:rFonts w:ascii="宋体" w:hAnsi="宋体" w:cs="宋体"/>
          <w:color w:val="auto"/>
          <w:sz w:val="24"/>
          <w:highlight w:val="none"/>
        </w:rPr>
      </w:pPr>
      <w:bookmarkStart w:id="21" w:name="_Toc35393795"/>
      <w:bookmarkStart w:id="22" w:name="_Toc35393626"/>
      <w:r>
        <w:rPr>
          <w:rFonts w:hint="eastAsia" w:ascii="宋体" w:hAnsi="宋体" w:cs="宋体"/>
          <w:color w:val="auto"/>
          <w:sz w:val="24"/>
          <w:highlight w:val="none"/>
        </w:rPr>
        <w:t>自本公告发布之日起5个工作日。</w:t>
      </w:r>
    </w:p>
    <w:p w14:paraId="586A1AEE">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End w:id="21"/>
      <w:bookmarkEnd w:id="22"/>
    </w:p>
    <w:p w14:paraId="692B28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40E3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D73C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67E8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14:paraId="7B4BC8BC">
      <w:pPr>
        <w:spacing w:line="360" w:lineRule="auto"/>
        <w:jc w:val="left"/>
        <w:rPr>
          <w:rFonts w:ascii="宋体" w:hAnsi="宋体" w:cs="宋体"/>
          <w:b/>
          <w:color w:val="000000" w:themeColor="text1"/>
          <w:sz w:val="24"/>
          <w:highlight w:val="none"/>
          <w14:textFill>
            <w14:solidFill>
              <w14:schemeClr w14:val="tx1"/>
            </w14:solidFill>
          </w14:textFill>
        </w:rPr>
      </w:pPr>
      <w:bookmarkStart w:id="23" w:name="_Toc28359008"/>
      <w:bookmarkStart w:id="24" w:name="_Toc28359085"/>
      <w:bookmarkStart w:id="25" w:name="_Toc35393796"/>
      <w:bookmarkStart w:id="26" w:name="_Toc35393627"/>
      <w:r>
        <w:rPr>
          <w:rFonts w:hint="eastAsia" w:ascii="宋体" w:hAnsi="宋体" w:cs="宋体"/>
          <w:b/>
          <w:color w:val="000000" w:themeColor="text1"/>
          <w:sz w:val="24"/>
          <w:highlight w:val="none"/>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29345446">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采购人信息</w:t>
      </w:r>
    </w:p>
    <w:p w14:paraId="4574D9D7">
      <w:pPr>
        <w:snapToGrid w:val="0"/>
        <w:spacing w:line="360" w:lineRule="auto"/>
        <w:ind w:firstLine="868" w:firstLineChars="362"/>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缙云县林业局</w:t>
      </w:r>
    </w:p>
    <w:p w14:paraId="456C4118">
      <w:pPr>
        <w:snapToGrid w:val="0"/>
        <w:spacing w:line="360" w:lineRule="auto"/>
        <w:ind w:left="42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 xml:space="preserve">卢女士 </w:t>
      </w:r>
    </w:p>
    <w:p w14:paraId="298F54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0578-3131197 </w:t>
      </w:r>
    </w:p>
    <w:p w14:paraId="2DB841A7">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rPr>
        <w:t>2. 采购代理机构信息</w:t>
      </w:r>
    </w:p>
    <w:p w14:paraId="3C779003">
      <w:pPr>
        <w:snapToGrid w:val="0"/>
        <w:spacing w:line="360" w:lineRule="auto"/>
        <w:ind w:firstLine="868" w:firstLineChars="36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采购代理机构名称：</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p>
    <w:p w14:paraId="2C3843F9">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r>
        <w:rPr>
          <w:rFonts w:hint="eastAsia" w:ascii="宋体" w:hAnsi="宋体" w:cs="宋体"/>
          <w:color w:val="000000" w:themeColor="text1"/>
          <w:sz w:val="24"/>
          <w:highlight w:val="none"/>
          <w:lang w:val="en-US" w:eastAsia="zh-CN"/>
          <w14:textFill>
            <w14:solidFill>
              <w14:schemeClr w14:val="tx1"/>
            </w14:solidFill>
          </w14:textFill>
        </w:rPr>
        <w:t>蔡先生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15990872520</w:t>
      </w:r>
      <w:r>
        <w:rPr>
          <w:rFonts w:hint="eastAsia" w:ascii="宋体" w:hAnsi="宋体" w:cs="宋体"/>
          <w:color w:val="000000" w:themeColor="text1"/>
          <w:sz w:val="24"/>
          <w:highlight w:val="none"/>
          <w14:textFill>
            <w14:solidFill>
              <w14:schemeClr w14:val="tx1"/>
            </w14:solidFill>
          </w14:textFill>
        </w:rPr>
        <w:t xml:space="preserve">  </w:t>
      </w:r>
    </w:p>
    <w:p w14:paraId="0EA55B36">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陶</w:t>
      </w:r>
      <w:r>
        <w:rPr>
          <w:rFonts w:hint="eastAsia" w:ascii="宋体" w:hAnsi="宋体" w:cs="宋体"/>
          <w:color w:val="000000" w:themeColor="text1"/>
          <w:sz w:val="24"/>
          <w:highlight w:val="none"/>
          <w14:textFill>
            <w14:solidFill>
              <w14:schemeClr w14:val="tx1"/>
            </w14:solidFill>
          </w14:textFill>
        </w:rPr>
        <w:t>先生    联系电话：0578-3</w:t>
      </w:r>
      <w:r>
        <w:rPr>
          <w:rFonts w:hint="eastAsia" w:ascii="宋体" w:hAnsi="宋体" w:cs="宋体"/>
          <w:color w:val="000000" w:themeColor="text1"/>
          <w:sz w:val="24"/>
          <w:highlight w:val="none"/>
          <w:lang w:val="en-US" w:eastAsia="zh-CN"/>
          <w14:textFill>
            <w14:solidFill>
              <w14:schemeClr w14:val="tx1"/>
            </w14:solidFill>
          </w14:textFill>
        </w:rPr>
        <w:t>199997</w:t>
      </w:r>
      <w:r>
        <w:rPr>
          <w:rFonts w:hint="eastAsia" w:ascii="宋体" w:hAnsi="宋体" w:cs="宋体"/>
          <w:color w:val="000000" w:themeColor="text1"/>
          <w:sz w:val="24"/>
          <w:highlight w:val="none"/>
          <w14:textFill>
            <w14:solidFill>
              <w14:schemeClr w14:val="tx1"/>
            </w14:solidFill>
          </w14:textFill>
        </w:rPr>
        <w:t xml:space="preserve">   </w:t>
      </w:r>
    </w:p>
    <w:p w14:paraId="4CA99C3D">
      <w:pPr>
        <w:snapToGrid w:val="0"/>
        <w:spacing w:line="360" w:lineRule="auto"/>
        <w:ind w:firstLine="868" w:firstLineChars="36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地址：缙云县五云街道黄龙路</w:t>
      </w:r>
      <w:r>
        <w:rPr>
          <w:rFonts w:hint="eastAsia" w:ascii="宋体" w:hAnsi="宋体" w:cs="宋体"/>
          <w:color w:val="000000" w:themeColor="text1"/>
          <w:sz w:val="24"/>
          <w:highlight w:val="none"/>
          <w:lang w:val="en-US" w:eastAsia="zh-CN"/>
          <w14:textFill>
            <w14:solidFill>
              <w14:schemeClr w14:val="tx1"/>
            </w14:solidFill>
          </w14:textFill>
        </w:rPr>
        <w:t>120号</w:t>
      </w:r>
    </w:p>
    <w:p w14:paraId="562AD867">
      <w:pPr>
        <w:pStyle w:val="12"/>
        <w:adjustRightInd w:val="0"/>
        <w:snapToGrid w:val="0"/>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 同级政府采购监督管理部门名称：</w:t>
      </w:r>
      <w:r>
        <w:rPr>
          <w:rFonts w:hint="eastAsia" w:hAnsi="宋体" w:eastAsia="宋体" w:cs="宋体"/>
          <w:bCs/>
          <w:color w:val="000000" w:themeColor="text1"/>
          <w:sz w:val="24"/>
          <w:highlight w:val="none"/>
          <w14:textFill>
            <w14:solidFill>
              <w14:schemeClr w14:val="tx1"/>
            </w14:solidFill>
          </w14:textFill>
        </w:rPr>
        <w:t>缙云县财政局政府采购监管科</w:t>
      </w:r>
    </w:p>
    <w:p w14:paraId="4C9D7E4A">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联系人：朱航    监督投诉电话：0578-3318985   传真：0578-3318985</w:t>
      </w:r>
    </w:p>
    <w:p w14:paraId="491D9C60">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End w:id="7"/>
      <w:r>
        <w:rPr>
          <w:rFonts w:hint="eastAsia" w:ascii="宋体" w:hAnsi="宋体" w:cs="宋体"/>
          <w:color w:val="000000" w:themeColor="text1"/>
          <w:sz w:val="24"/>
          <w:highlight w:val="none"/>
          <w14:textFill>
            <w14:solidFill>
              <w14:schemeClr w14:val="tx1"/>
            </w14:solidFill>
          </w14:textFill>
        </w:rPr>
        <w:t>缙云县财政局7楼</w:t>
      </w:r>
    </w:p>
    <w:p w14:paraId="0FEAA26C">
      <w:pPr>
        <w:snapToGrid w:val="0"/>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B599F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7AFB5C77">
      <w:pPr>
        <w:spacing w:line="360" w:lineRule="auto"/>
        <w:ind w:firstLine="470" w:firstLineChars="196"/>
        <w:jc w:val="center"/>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FF"/>
          <w:sz w:val="24"/>
          <w:highlight w:val="none"/>
          <w:lang w:val="en-US" w:eastAsia="zh-CN"/>
        </w:rPr>
        <w:t xml:space="preserve">             </w:t>
      </w:r>
    </w:p>
    <w:bookmarkEnd w:id="8"/>
    <w:p w14:paraId="24DC85FC">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bookmarkStart w:id="27" w:name="_Toc15754_WPSOffice_Level1"/>
      <w:bookmarkStart w:id="28" w:name="_Toc26114"/>
      <w:bookmarkStart w:id="29" w:name="_Toc32158"/>
    </w:p>
    <w:p w14:paraId="02C38F61">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67233808">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投标人须知</w:t>
      </w:r>
      <w:bookmarkEnd w:id="27"/>
      <w:bookmarkEnd w:id="28"/>
      <w:bookmarkEnd w:id="29"/>
    </w:p>
    <w:p w14:paraId="62150B63">
      <w:pPr>
        <w:pStyle w:val="5"/>
        <w:spacing w:before="240" w:after="240" w:line="240" w:lineRule="exact"/>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30" w:name="_Toc24898"/>
      <w:r>
        <w:rPr>
          <w:rFonts w:hint="eastAsia" w:ascii="宋体" w:hAnsi="宋体" w:eastAsia="宋体" w:cs="宋体"/>
          <w:color w:val="000000" w:themeColor="text1"/>
          <w:sz w:val="32"/>
          <w:szCs w:val="21"/>
          <w:highlight w:val="none"/>
          <w14:textFill>
            <w14:solidFill>
              <w14:schemeClr w14:val="tx1"/>
            </w14:solidFill>
          </w14:textFill>
        </w:rPr>
        <w:t>前列表</w:t>
      </w:r>
      <w:bookmarkEnd w:id="30"/>
    </w:p>
    <w:tbl>
      <w:tblPr>
        <w:tblStyle w:val="29"/>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08"/>
        <w:gridCol w:w="2110"/>
        <w:gridCol w:w="1262"/>
        <w:gridCol w:w="3921"/>
      </w:tblGrid>
      <w:tr w14:paraId="710AE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14:paraId="66E39555">
            <w:pPr>
              <w:jc w:val="center"/>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序号</w:t>
            </w:r>
          </w:p>
        </w:tc>
        <w:tc>
          <w:tcPr>
            <w:tcW w:w="1508" w:type="dxa"/>
            <w:tcBorders>
              <w:top w:val="double" w:color="auto" w:sz="4" w:space="0"/>
              <w:left w:val="single" w:color="auto" w:sz="4" w:space="0"/>
              <w:bottom w:val="single" w:color="auto" w:sz="4" w:space="0"/>
            </w:tcBorders>
            <w:vAlign w:val="center"/>
          </w:tcPr>
          <w:p w14:paraId="33072A1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须知项目</w:t>
            </w:r>
          </w:p>
        </w:tc>
        <w:tc>
          <w:tcPr>
            <w:tcW w:w="7293" w:type="dxa"/>
            <w:gridSpan w:val="3"/>
            <w:tcBorders>
              <w:top w:val="double" w:color="auto" w:sz="4" w:space="0"/>
              <w:bottom w:val="single" w:color="auto" w:sz="4" w:space="0"/>
              <w:right w:val="double" w:color="auto" w:sz="4" w:space="0"/>
            </w:tcBorders>
            <w:vAlign w:val="center"/>
          </w:tcPr>
          <w:p w14:paraId="0DBBE1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内容、要求和时间</w:t>
            </w:r>
          </w:p>
        </w:tc>
      </w:tr>
      <w:tr w14:paraId="583AA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14:paraId="685DD30D">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w:t>
            </w:r>
          </w:p>
        </w:tc>
        <w:tc>
          <w:tcPr>
            <w:tcW w:w="1508" w:type="dxa"/>
            <w:tcBorders>
              <w:top w:val="single" w:color="auto" w:sz="4" w:space="0"/>
              <w:left w:val="single" w:color="auto" w:sz="4" w:space="0"/>
            </w:tcBorders>
            <w:vAlign w:val="center"/>
          </w:tcPr>
          <w:p w14:paraId="0933E04D">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项目名称</w:t>
            </w:r>
          </w:p>
        </w:tc>
        <w:tc>
          <w:tcPr>
            <w:tcW w:w="7293" w:type="dxa"/>
            <w:gridSpan w:val="3"/>
            <w:tcBorders>
              <w:top w:val="single" w:color="auto" w:sz="4" w:space="0"/>
              <w:right w:val="double" w:color="auto" w:sz="4" w:space="0"/>
            </w:tcBorders>
            <w:vAlign w:val="center"/>
          </w:tcPr>
          <w:p w14:paraId="0B77D358">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tc>
      </w:tr>
      <w:tr w14:paraId="5D913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14:paraId="13D81A83">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p>
        </w:tc>
        <w:tc>
          <w:tcPr>
            <w:tcW w:w="1508" w:type="dxa"/>
            <w:tcBorders>
              <w:left w:val="single" w:color="auto" w:sz="4" w:space="0"/>
            </w:tcBorders>
            <w:vAlign w:val="center"/>
          </w:tcPr>
          <w:p w14:paraId="13C61947">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采购人</w:t>
            </w:r>
          </w:p>
        </w:tc>
        <w:tc>
          <w:tcPr>
            <w:tcW w:w="7293" w:type="dxa"/>
            <w:gridSpan w:val="3"/>
            <w:tcBorders>
              <w:right w:val="double" w:color="auto" w:sz="4" w:space="0"/>
            </w:tcBorders>
            <w:vAlign w:val="center"/>
          </w:tcPr>
          <w:p w14:paraId="1A35B6EB">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缙云县林业局</w:t>
            </w:r>
          </w:p>
        </w:tc>
      </w:tr>
      <w:tr w14:paraId="4E393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14:paraId="76C764E6">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w:t>
            </w:r>
          </w:p>
        </w:tc>
        <w:tc>
          <w:tcPr>
            <w:tcW w:w="1508" w:type="dxa"/>
            <w:tcBorders>
              <w:left w:val="single" w:color="auto" w:sz="4" w:space="0"/>
            </w:tcBorders>
            <w:vAlign w:val="center"/>
          </w:tcPr>
          <w:p w14:paraId="0FE074E4">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采购代理机构</w:t>
            </w:r>
          </w:p>
        </w:tc>
        <w:tc>
          <w:tcPr>
            <w:tcW w:w="7293" w:type="dxa"/>
            <w:gridSpan w:val="3"/>
            <w:tcBorders>
              <w:right w:val="double" w:color="auto" w:sz="4" w:space="0"/>
            </w:tcBorders>
            <w:vAlign w:val="center"/>
          </w:tcPr>
          <w:p w14:paraId="4B94135A">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浙江康茂工程管理有限公司</w:t>
            </w:r>
          </w:p>
        </w:tc>
      </w:tr>
      <w:tr w14:paraId="13E24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7A1C06DE">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4</w:t>
            </w:r>
          </w:p>
        </w:tc>
        <w:tc>
          <w:tcPr>
            <w:tcW w:w="1508" w:type="dxa"/>
            <w:tcBorders>
              <w:left w:val="single" w:color="auto" w:sz="4" w:space="0"/>
            </w:tcBorders>
            <w:vAlign w:val="center"/>
          </w:tcPr>
          <w:p w14:paraId="696B3A85">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采购方式</w:t>
            </w:r>
          </w:p>
        </w:tc>
        <w:tc>
          <w:tcPr>
            <w:tcW w:w="2110" w:type="dxa"/>
            <w:vAlign w:val="center"/>
          </w:tcPr>
          <w:p w14:paraId="7A30DA0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c>
          <w:tcPr>
            <w:tcW w:w="1262" w:type="dxa"/>
            <w:vAlign w:val="center"/>
          </w:tcPr>
          <w:p w14:paraId="4F90ADAC">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组织方式</w:t>
            </w:r>
          </w:p>
        </w:tc>
        <w:tc>
          <w:tcPr>
            <w:tcW w:w="3921" w:type="dxa"/>
            <w:tcBorders>
              <w:right w:val="double" w:color="auto" w:sz="4" w:space="0"/>
            </w:tcBorders>
            <w:vAlign w:val="center"/>
          </w:tcPr>
          <w:p w14:paraId="28438F66">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分散采购委托中介</w:t>
            </w:r>
          </w:p>
        </w:tc>
      </w:tr>
      <w:tr w14:paraId="7CD44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15445F86">
            <w:pPr>
              <w:spacing w:line="312" w:lineRule="auto"/>
              <w:jc w:val="center"/>
              <w:rPr>
                <w:rFonts w:hint="eastAsia"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5</w:t>
            </w:r>
          </w:p>
        </w:tc>
        <w:tc>
          <w:tcPr>
            <w:tcW w:w="1508" w:type="dxa"/>
            <w:tcBorders>
              <w:left w:val="single" w:color="auto" w:sz="4" w:space="0"/>
            </w:tcBorders>
            <w:vAlign w:val="center"/>
          </w:tcPr>
          <w:p w14:paraId="54EDD115">
            <w:pPr>
              <w:spacing w:line="312" w:lineRule="auto"/>
              <w:jc w:val="left"/>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项目属性与核心产品</w:t>
            </w:r>
          </w:p>
        </w:tc>
        <w:tc>
          <w:tcPr>
            <w:tcW w:w="7293" w:type="dxa"/>
            <w:gridSpan w:val="3"/>
            <w:tcBorders>
              <w:right w:val="double" w:color="auto" w:sz="4" w:space="0"/>
            </w:tcBorders>
            <w:vAlign w:val="center"/>
          </w:tcPr>
          <w:p w14:paraId="2CF4AEB0">
            <w:pPr>
              <w:spacing w:line="312" w:lineRule="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项目属于货物类采购，核心产品为</w:t>
            </w:r>
            <w:r>
              <w:rPr>
                <w:rFonts w:hint="eastAsia" w:ascii="宋体" w:hAnsi="宋体" w:cs="仿宋"/>
                <w:b w:val="0"/>
                <w:bCs w:val="0"/>
                <w:kern w:val="0"/>
                <w:sz w:val="24"/>
                <w:szCs w:val="24"/>
                <w:u w:val="single"/>
                <w:lang w:val="en-US" w:eastAsia="zh-CN" w:bidi="ar"/>
              </w:rPr>
              <w:t>●</w:t>
            </w:r>
            <w:r>
              <w:rPr>
                <w:rFonts w:hint="eastAsia" w:ascii="宋体" w:hAnsi="宋体" w:cs="仿宋"/>
                <w:b w:val="0"/>
                <w:bCs w:val="0"/>
                <w:kern w:val="0"/>
                <w:sz w:val="24"/>
                <w:szCs w:val="24"/>
                <w:u w:val="single"/>
                <w:lang w:bidi="ar"/>
              </w:rPr>
              <w:t>远程高扬程消防水泵</w:t>
            </w:r>
          </w:p>
        </w:tc>
      </w:tr>
      <w:tr w14:paraId="21B33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14:paraId="21CAC1BB">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14:paraId="6BC4AC35">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资格审查方式</w:t>
            </w:r>
          </w:p>
        </w:tc>
        <w:tc>
          <w:tcPr>
            <w:tcW w:w="7293" w:type="dxa"/>
            <w:gridSpan w:val="3"/>
            <w:tcBorders>
              <w:right w:val="double" w:color="auto" w:sz="4" w:space="0"/>
            </w:tcBorders>
            <w:vAlign w:val="center"/>
          </w:tcPr>
          <w:p w14:paraId="32552179">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采用资格后审。投标人获取招标文件或提交投标文件不表明已获取投标资格。开标会上通过资格审查的投标人才具有投标资格。</w:t>
            </w:r>
          </w:p>
        </w:tc>
      </w:tr>
      <w:tr w14:paraId="60B8B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14:paraId="41B7763A">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7</w:t>
            </w:r>
          </w:p>
        </w:tc>
        <w:tc>
          <w:tcPr>
            <w:tcW w:w="1508" w:type="dxa"/>
            <w:tcBorders>
              <w:left w:val="single" w:color="auto" w:sz="4" w:space="0"/>
            </w:tcBorders>
            <w:vAlign w:val="center"/>
          </w:tcPr>
          <w:p w14:paraId="2E587F50">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投标有效期</w:t>
            </w:r>
          </w:p>
        </w:tc>
        <w:tc>
          <w:tcPr>
            <w:tcW w:w="7293" w:type="dxa"/>
            <w:gridSpan w:val="3"/>
            <w:tcBorders>
              <w:right w:val="double" w:color="auto" w:sz="4" w:space="0"/>
            </w:tcBorders>
            <w:vAlign w:val="center"/>
          </w:tcPr>
          <w:p w14:paraId="20E16E31">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tc>
      </w:tr>
      <w:tr w14:paraId="2E6B7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exact"/>
          <w:jc w:val="center"/>
        </w:trPr>
        <w:tc>
          <w:tcPr>
            <w:tcW w:w="805" w:type="dxa"/>
            <w:tcBorders>
              <w:left w:val="double" w:color="auto" w:sz="4" w:space="0"/>
              <w:right w:val="single" w:color="auto" w:sz="4" w:space="0"/>
            </w:tcBorders>
            <w:vAlign w:val="center"/>
          </w:tcPr>
          <w:p w14:paraId="1877FB7C">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14:paraId="3108149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招标文件质疑</w:t>
            </w:r>
          </w:p>
        </w:tc>
        <w:tc>
          <w:tcPr>
            <w:tcW w:w="7293" w:type="dxa"/>
            <w:gridSpan w:val="3"/>
            <w:tcBorders>
              <w:right w:val="double" w:color="auto" w:sz="4" w:space="0"/>
            </w:tcBorders>
            <w:vAlign w:val="center"/>
          </w:tcPr>
          <w:p w14:paraId="70D81E34">
            <w:pPr>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1、只有通过浙江政府采购网—用户入驻/登录—用户登录—项目采购—获取招标文件管理栏获取招标文件的投标人才能对招标文件提出质疑，否则不予受理。</w:t>
            </w:r>
          </w:p>
          <w:p w14:paraId="231E718B">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14:paraId="1F6F6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14:paraId="758467C6">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14:paraId="5CEB57FC">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招标文件澄清或修改时间</w:t>
            </w:r>
          </w:p>
        </w:tc>
        <w:tc>
          <w:tcPr>
            <w:tcW w:w="7293" w:type="dxa"/>
            <w:gridSpan w:val="3"/>
            <w:tcBorders>
              <w:right w:val="double" w:color="auto" w:sz="4" w:space="0"/>
            </w:tcBorders>
            <w:vAlign w:val="center"/>
          </w:tcPr>
          <w:p w14:paraId="7E5BDEAC">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投标截止时间15天前，发布网址同招标公告发布网址。</w:t>
            </w:r>
          </w:p>
        </w:tc>
      </w:tr>
      <w:tr w14:paraId="10D87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14:paraId="73C195A3">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10</w:t>
            </w:r>
          </w:p>
        </w:tc>
        <w:tc>
          <w:tcPr>
            <w:tcW w:w="1508" w:type="dxa"/>
            <w:tcBorders>
              <w:left w:val="single" w:color="auto" w:sz="4" w:space="0"/>
            </w:tcBorders>
            <w:vAlign w:val="center"/>
          </w:tcPr>
          <w:p w14:paraId="7F05E6AD">
            <w:pPr>
              <w:spacing w:line="312" w:lineRule="auto"/>
              <w:jc w:val="left"/>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投标文件提交</w:t>
            </w:r>
          </w:p>
        </w:tc>
        <w:tc>
          <w:tcPr>
            <w:tcW w:w="7293" w:type="dxa"/>
            <w:gridSpan w:val="3"/>
            <w:tcBorders>
              <w:right w:val="double" w:color="auto" w:sz="4" w:space="0"/>
            </w:tcBorders>
            <w:vAlign w:val="center"/>
          </w:tcPr>
          <w:p w14:paraId="620E4068">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本项目实行电子招投标，供应商须在投标截止时间前，前往政采云平台上传电子响应文件，无需到达现场提交响应文件。 </w:t>
            </w:r>
          </w:p>
        </w:tc>
      </w:tr>
      <w:tr w14:paraId="74249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14:paraId="5BB75ED7">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11</w:t>
            </w:r>
          </w:p>
        </w:tc>
        <w:tc>
          <w:tcPr>
            <w:tcW w:w="1508" w:type="dxa"/>
            <w:tcBorders>
              <w:left w:val="single" w:color="auto" w:sz="4" w:space="0"/>
            </w:tcBorders>
            <w:vAlign w:val="center"/>
          </w:tcPr>
          <w:p w14:paraId="4853806E">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开标时间及地点</w:t>
            </w:r>
          </w:p>
        </w:tc>
        <w:tc>
          <w:tcPr>
            <w:tcW w:w="7293" w:type="dxa"/>
            <w:gridSpan w:val="3"/>
            <w:tcBorders>
              <w:right w:val="double" w:color="auto" w:sz="4" w:space="0"/>
            </w:tcBorders>
            <w:vAlign w:val="center"/>
          </w:tcPr>
          <w:p w14:paraId="144D2144">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开标时间：同投标截止时间。</w:t>
            </w:r>
          </w:p>
          <w:p w14:paraId="44625FBA">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开标地点：浙江政府采购网—用户入驻/登录—用户登录—项目采购—开标评标—进入开标大厅</w:t>
            </w:r>
          </w:p>
          <w:p w14:paraId="58F36CA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评标地点：缙云县公共资源交易中心（</w:t>
            </w:r>
            <w:r>
              <w:rPr>
                <w:rFonts w:hint="eastAsia" w:ascii="宋体" w:hAnsi="宋体" w:cs="宋体"/>
                <w:bCs/>
                <w:color w:val="000000" w:themeColor="text1"/>
                <w:sz w:val="24"/>
                <w:highlight w:val="none"/>
                <w:lang w:eastAsia="zh-CN"/>
                <w14:textFill>
                  <w14:solidFill>
                    <w14:schemeClr w14:val="tx1"/>
                  </w14:solidFill>
                </w14:textFill>
              </w:rPr>
              <w:t>缙云县新区黄龙路48号广电大楼7楼</w:t>
            </w:r>
            <w:r>
              <w:rPr>
                <w:rFonts w:hint="eastAsia" w:ascii="宋体" w:hAnsi="宋体" w:cs="宋体"/>
                <w:bCs/>
                <w:color w:val="000000" w:themeColor="text1"/>
                <w:sz w:val="24"/>
                <w:highlight w:val="none"/>
                <w:lang w:val="en-US" w:eastAsia="zh-CN"/>
                <w14:textFill>
                  <w14:solidFill>
                    <w14:schemeClr w14:val="tx1"/>
                  </w14:solidFill>
                </w14:textFill>
              </w:rPr>
              <w:t>评标室二</w:t>
            </w:r>
            <w:r>
              <w:rPr>
                <w:rFonts w:hint="eastAsia" w:ascii="宋体" w:hAnsi="宋体" w:cs="宋体"/>
                <w:bCs/>
                <w:color w:val="000000" w:themeColor="text1"/>
                <w:sz w:val="24"/>
                <w:highlight w:val="none"/>
                <w14:textFill>
                  <w14:solidFill>
                    <w14:schemeClr w14:val="tx1"/>
                  </w14:solidFill>
                </w14:textFill>
              </w:rPr>
              <w:t>）</w:t>
            </w:r>
          </w:p>
        </w:tc>
      </w:tr>
      <w:tr w14:paraId="5D8FD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14:paraId="5B9A37B1">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12</w:t>
            </w:r>
          </w:p>
        </w:tc>
        <w:tc>
          <w:tcPr>
            <w:tcW w:w="1508" w:type="dxa"/>
            <w:tcBorders>
              <w:left w:val="single" w:color="auto" w:sz="4" w:space="0"/>
            </w:tcBorders>
            <w:vAlign w:val="center"/>
          </w:tcPr>
          <w:p w14:paraId="196571D6">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中标结果公告及中标通知书</w:t>
            </w:r>
          </w:p>
        </w:tc>
        <w:tc>
          <w:tcPr>
            <w:tcW w:w="7293" w:type="dxa"/>
            <w:gridSpan w:val="3"/>
            <w:tcBorders>
              <w:right w:val="double" w:color="auto" w:sz="4" w:space="0"/>
            </w:tcBorders>
            <w:vAlign w:val="center"/>
          </w:tcPr>
          <w:p w14:paraId="6AD1BCEB">
            <w:pPr>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评标报告经采购人确认后2个工作日内，中标公告在</w:t>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媒</w:t>
            </w:r>
            <w:r>
              <w:rPr>
                <w:rFonts w:hint="eastAsia" w:ascii="宋体" w:hAnsi="宋体" w:cs="宋体"/>
                <w:bCs/>
                <w:color w:val="000000" w:themeColor="text1"/>
                <w:kern w:val="0"/>
                <w:sz w:val="24"/>
                <w:highlight w:val="none"/>
                <w14:textFill>
                  <w14:solidFill>
                    <w14:schemeClr w14:val="tx1"/>
                  </w14:solidFill>
                </w14:textFill>
              </w:rPr>
              <w:t>体上发布，并同时发出中标通知书。</w:t>
            </w:r>
          </w:p>
        </w:tc>
      </w:tr>
      <w:tr w14:paraId="467A2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14:paraId="57F87022">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13</w:t>
            </w:r>
          </w:p>
        </w:tc>
        <w:tc>
          <w:tcPr>
            <w:tcW w:w="1508" w:type="dxa"/>
            <w:tcBorders>
              <w:left w:val="single" w:color="auto" w:sz="4" w:space="0"/>
            </w:tcBorders>
            <w:vAlign w:val="center"/>
          </w:tcPr>
          <w:p w14:paraId="5066800B">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评标办法和细则</w:t>
            </w:r>
          </w:p>
        </w:tc>
        <w:tc>
          <w:tcPr>
            <w:tcW w:w="7293" w:type="dxa"/>
            <w:gridSpan w:val="3"/>
            <w:tcBorders>
              <w:right w:val="double" w:color="auto" w:sz="4" w:space="0"/>
            </w:tcBorders>
            <w:vAlign w:val="center"/>
          </w:tcPr>
          <w:p w14:paraId="06F6A1C2">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详见本招标文件第六章</w:t>
            </w:r>
          </w:p>
        </w:tc>
      </w:tr>
      <w:tr w14:paraId="5370B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14:paraId="2298AF39">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14</w:t>
            </w:r>
          </w:p>
        </w:tc>
        <w:tc>
          <w:tcPr>
            <w:tcW w:w="1508" w:type="dxa"/>
            <w:tcBorders>
              <w:left w:val="single" w:color="auto" w:sz="4" w:space="0"/>
            </w:tcBorders>
            <w:vAlign w:val="center"/>
          </w:tcPr>
          <w:p w14:paraId="1CD6735B">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w:t>
            </w:r>
          </w:p>
        </w:tc>
        <w:tc>
          <w:tcPr>
            <w:tcW w:w="7293" w:type="dxa"/>
            <w:gridSpan w:val="3"/>
            <w:tcBorders>
              <w:right w:val="double" w:color="auto" w:sz="4" w:space="0"/>
            </w:tcBorders>
            <w:vAlign w:val="center"/>
          </w:tcPr>
          <w:p w14:paraId="11B6FF67">
            <w:pPr>
              <w:pStyle w:val="41"/>
              <w:spacing w:line="312"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中标通知书发出之日起30日内，按照采购文件确定的事项签订政府采购合同。</w:t>
            </w:r>
          </w:p>
        </w:tc>
      </w:tr>
      <w:tr w14:paraId="2FE91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14:paraId="2B54E3B2">
            <w:pPr>
              <w:spacing w:line="312" w:lineRule="auto"/>
              <w:jc w:val="center"/>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15</w:t>
            </w:r>
          </w:p>
        </w:tc>
        <w:tc>
          <w:tcPr>
            <w:tcW w:w="1508" w:type="dxa"/>
            <w:tcBorders>
              <w:left w:val="single" w:color="auto" w:sz="4" w:space="0"/>
            </w:tcBorders>
            <w:vAlign w:val="center"/>
          </w:tcPr>
          <w:p w14:paraId="7292C75D">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发布媒体</w:t>
            </w:r>
          </w:p>
        </w:tc>
        <w:tc>
          <w:tcPr>
            <w:tcW w:w="7293" w:type="dxa"/>
            <w:gridSpan w:val="3"/>
            <w:tcBorders>
              <w:right w:val="double" w:color="auto" w:sz="4" w:space="0"/>
            </w:tcBorders>
            <w:vAlign w:val="center"/>
          </w:tcPr>
          <w:p w14:paraId="478EB623">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w:t>
            </w:r>
          </w:p>
          <w:p w14:paraId="3B532A34">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丽水市公共资源交易网http://lssggzy.lishui.gov.cn/jyweb/</w:t>
            </w:r>
          </w:p>
        </w:tc>
      </w:tr>
      <w:tr w14:paraId="3DC46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14:paraId="45D75FBB">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1</w:t>
            </w:r>
            <w:r>
              <w:rPr>
                <w:rFonts w:hint="eastAsia" w:ascii="宋体" w:hAnsi="宋体" w:cs="宋体"/>
                <w:b/>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14:paraId="694EF8A9">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采购文件解释</w:t>
            </w:r>
          </w:p>
        </w:tc>
        <w:tc>
          <w:tcPr>
            <w:tcW w:w="7293" w:type="dxa"/>
            <w:gridSpan w:val="3"/>
            <w:tcBorders>
              <w:right w:val="double" w:color="auto" w:sz="4" w:space="0"/>
            </w:tcBorders>
            <w:vAlign w:val="center"/>
          </w:tcPr>
          <w:p w14:paraId="727EF0BA">
            <w:pPr>
              <w:spacing w:line="312" w:lineRule="auto"/>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本项目采购文件的解释权属于</w:t>
            </w:r>
            <w:r>
              <w:rPr>
                <w:rFonts w:hint="eastAsia" w:ascii="宋体" w:hAnsi="宋体" w:cs="宋体"/>
                <w:bCs/>
                <w:color w:val="000000" w:themeColor="text1"/>
                <w:kern w:val="0"/>
                <w:sz w:val="24"/>
                <w:highlight w:val="none"/>
                <w:lang w:eastAsia="zh-CN"/>
                <w14:textFill>
                  <w14:solidFill>
                    <w14:schemeClr w14:val="tx1"/>
                  </w14:solidFill>
                </w14:textFill>
              </w:rPr>
              <w:t>浙江康茂工程管理有限公司</w:t>
            </w:r>
          </w:p>
        </w:tc>
      </w:tr>
      <w:tr w14:paraId="1DED4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14:paraId="422A7527">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17</w:t>
            </w:r>
          </w:p>
        </w:tc>
        <w:tc>
          <w:tcPr>
            <w:tcW w:w="1508" w:type="dxa"/>
            <w:tcBorders>
              <w:left w:val="single" w:color="auto" w:sz="4" w:space="0"/>
            </w:tcBorders>
            <w:vAlign w:val="center"/>
          </w:tcPr>
          <w:p w14:paraId="72C018B6">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投标人硬件准备</w:t>
            </w:r>
          </w:p>
        </w:tc>
        <w:tc>
          <w:tcPr>
            <w:tcW w:w="7293" w:type="dxa"/>
            <w:gridSpan w:val="3"/>
            <w:tcBorders>
              <w:right w:val="double" w:color="auto" w:sz="4" w:space="0"/>
            </w:tcBorders>
            <w:vAlign w:val="center"/>
          </w:tcPr>
          <w:p w14:paraId="666C8DA7">
            <w:pPr>
              <w:spacing w:line="312"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1.电脑、网络（供电子投标文件解密和澄清答疑使用）；</w:t>
            </w:r>
          </w:p>
          <w:p w14:paraId="280BD6E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2.电子投标文件解密CA锁(即原编制电子投标文件加密的CA锁)；</w:t>
            </w:r>
          </w:p>
        </w:tc>
      </w:tr>
      <w:tr w14:paraId="7C802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14:paraId="1A2EB8B7">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14:paraId="355DA813">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强制采购的节能产品</w:t>
            </w:r>
          </w:p>
        </w:tc>
        <w:tc>
          <w:tcPr>
            <w:tcW w:w="7293" w:type="dxa"/>
            <w:gridSpan w:val="3"/>
            <w:tcBorders>
              <w:right w:val="double" w:color="auto" w:sz="4" w:space="0"/>
            </w:tcBorders>
            <w:vAlign w:val="center"/>
          </w:tcPr>
          <w:p w14:paraId="65A482BF">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□台式计算机  □便携式计算机  □平板式微型计算机</w:t>
            </w:r>
          </w:p>
          <w:p w14:paraId="11E5463C">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□激光打印机  □针式打印机    □液晶显示设备     □水嘴</w:t>
            </w:r>
          </w:p>
          <w:p w14:paraId="08290D95">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□制冷压缩机  □空调机组      □专用制冷、空调设备</w:t>
            </w:r>
          </w:p>
          <w:p w14:paraId="3671B4D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□镇流器      □视频设备      □电热水器         □便器</w:t>
            </w:r>
          </w:p>
          <w:p w14:paraId="0ACF63C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□普通照明用双端荧光灯        □电视设备         □空调机             </w:t>
            </w:r>
          </w:p>
        </w:tc>
      </w:tr>
      <w:tr w14:paraId="01A8B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08" w:hRule="exact"/>
          <w:jc w:val="center"/>
        </w:trPr>
        <w:tc>
          <w:tcPr>
            <w:tcW w:w="805" w:type="dxa"/>
            <w:tcBorders>
              <w:left w:val="double" w:color="auto" w:sz="4" w:space="0"/>
              <w:right w:val="single" w:color="auto" w:sz="4" w:space="0"/>
            </w:tcBorders>
            <w:vAlign w:val="center"/>
          </w:tcPr>
          <w:p w14:paraId="472B949D">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14:paraId="700E6561">
            <w:pPr>
              <w:snapToGrid w:val="0"/>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落实政府采购支持中小企业、监狱企业及残疾人福利性单位发展政策</w:t>
            </w:r>
          </w:p>
        </w:tc>
        <w:tc>
          <w:tcPr>
            <w:tcW w:w="7293" w:type="dxa"/>
            <w:gridSpan w:val="3"/>
            <w:tcBorders>
              <w:right w:val="double" w:color="auto" w:sz="4" w:space="0"/>
            </w:tcBorders>
            <w:vAlign w:val="center"/>
          </w:tcPr>
          <w:p w14:paraId="6B6AA0C5">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根据《政府采购促进中小企业发展管理办法》（财库﹝2020﹞46号）规定，本项目</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28"/>
                <w:sz w:val="24"/>
                <w:szCs w:val="24"/>
                <w:highlight w:val="none"/>
                <w:u w:val="single"/>
                <w14:textFill>
                  <w14:solidFill>
                    <w14:schemeClr w14:val="tx1"/>
                  </w14:solidFill>
                </w14:textFill>
              </w:rPr>
              <w:t>是</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，不再重复享受价格扣除的优惠政策。</w:t>
            </w:r>
          </w:p>
          <w:p w14:paraId="4DAAC680">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对于非</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14:paraId="15CF90EE">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本项目所属行业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Segoe UI" w:hAnsi="Segoe UI" w:cs="Segoe UI"/>
                <w:i w:val="0"/>
                <w:iCs w:val="0"/>
                <w:caps w:val="0"/>
                <w:spacing w:val="0"/>
                <w:sz w:val="24"/>
                <w:szCs w:val="24"/>
                <w:u w:val="single"/>
                <w:shd w:val="clear" w:fill="FFFFFF"/>
                <w:lang w:val="en-US" w:eastAsia="zh-CN"/>
              </w:rPr>
              <w:t>工业</w:t>
            </w:r>
            <w:r>
              <w:rPr>
                <w:rFonts w:hint="eastAsia" w:ascii="宋体" w:hAnsi="宋体" w:cs="宋体"/>
                <w:b w:val="0"/>
                <w:bCs w:val="0"/>
                <w:snapToGrid w:val="0"/>
                <w:color w:val="000000" w:themeColor="text1"/>
                <w:kern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14:paraId="30D0A51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监狱企业、残疾人福利性单位视同小型、微型企业，享受价格扣除。</w:t>
            </w:r>
          </w:p>
          <w:p w14:paraId="4405D5A6">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残疾人福利性单位属于小型、微型企业的，不重复享受政策。</w:t>
            </w:r>
          </w:p>
          <w:p w14:paraId="05CC964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注：</w:t>
            </w:r>
          </w:p>
          <w:p w14:paraId="5EAF730C">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1、从业人员、营业收入、资产总额填报上一年度数据，新成立企业也需要提供声明函，在声明函中对营业收入、资产总额、从业人员的数据不填写。</w:t>
            </w:r>
          </w:p>
          <w:p w14:paraId="2A28AF7A">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2、填写要求：</w:t>
            </w:r>
          </w:p>
          <w:p w14:paraId="266AD7B9">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3057056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②从业人员、营业收入、资产总额填报上一年度数据，无上一年度数据的新成立企业可不填报；</w:t>
            </w:r>
          </w:p>
          <w:p w14:paraId="3A4AB53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181D9046">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0A2B4AEE">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1BF81D">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4.制造商请务必和《报价明细表》的制造商保持一致。《中小企业声明函》（货物）中制造厂商错填、漏填，声明函无效；《中小企业声明函》中的制造厂商使用他人授权品牌或</w:t>
            </w:r>
            <w:r>
              <w:rPr>
                <w:rFonts w:hint="eastAsia"/>
              </w:rPr>
              <w:t>者授权他人实际生产，声明函无效。</w:t>
            </w:r>
          </w:p>
        </w:tc>
      </w:tr>
      <w:tr w14:paraId="3FE4D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805" w:type="dxa"/>
            <w:tcBorders>
              <w:left w:val="double" w:color="auto" w:sz="4" w:space="0"/>
              <w:right w:val="single" w:color="auto" w:sz="4" w:space="0"/>
            </w:tcBorders>
            <w:vAlign w:val="center"/>
          </w:tcPr>
          <w:p w14:paraId="291C04A6">
            <w:pPr>
              <w:spacing w:line="288" w:lineRule="auto"/>
              <w:ind w:left="-88" w:leftChars="-42" w:right="-113" w:rightChars="-54"/>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20</w:t>
            </w:r>
          </w:p>
        </w:tc>
        <w:tc>
          <w:tcPr>
            <w:tcW w:w="1508" w:type="dxa"/>
            <w:tcBorders>
              <w:left w:val="single" w:color="auto" w:sz="4" w:space="0"/>
            </w:tcBorders>
            <w:vAlign w:val="center"/>
          </w:tcPr>
          <w:p w14:paraId="07E45400">
            <w:pPr>
              <w:snapToGrid w:val="0"/>
              <w:spacing w:line="312"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履约保证金</w:t>
            </w:r>
          </w:p>
        </w:tc>
        <w:tc>
          <w:tcPr>
            <w:tcW w:w="7293" w:type="dxa"/>
            <w:gridSpan w:val="3"/>
            <w:tcBorders>
              <w:right w:val="double" w:color="auto" w:sz="4" w:space="0"/>
            </w:tcBorders>
            <w:vAlign w:val="center"/>
          </w:tcPr>
          <w:p w14:paraId="0DCAC6DE">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sz w:val="24"/>
                <w:lang w:val="en-US" w:eastAsia="zh-CN"/>
              </w:rPr>
              <w:t>不需要缴纳</w:t>
            </w:r>
            <w:r>
              <w:rPr>
                <w:rFonts w:hint="eastAsia" w:ascii="宋体" w:hAnsi="宋体" w:cs="宋体"/>
                <w:sz w:val="24"/>
              </w:rPr>
              <w:t>。</w:t>
            </w:r>
          </w:p>
          <w:p w14:paraId="23232297">
            <w:pPr>
              <w:snapToGrid w:val="0"/>
              <w:spacing w:line="312" w:lineRule="auto"/>
              <w:rPr>
                <w:rFonts w:hint="eastAsia" w:ascii="宋体" w:hAnsi="宋体" w:eastAsia="宋体" w:cs="宋体"/>
                <w:bCs/>
                <w:color w:val="auto"/>
                <w:sz w:val="24"/>
                <w:highlight w:val="none"/>
                <w:lang w:eastAsia="zh-CN"/>
              </w:rPr>
            </w:pPr>
          </w:p>
        </w:tc>
      </w:tr>
      <w:tr w14:paraId="3BB4F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14:paraId="365CCB43">
            <w:pPr>
              <w:spacing w:line="288"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lang w:val="en-US" w:eastAsia="zh-CN"/>
                <w14:textFill>
                  <w14:solidFill>
                    <w14:schemeClr w14:val="tx1"/>
                  </w14:solidFill>
                </w14:textFill>
              </w:rPr>
              <w:t>1</w:t>
            </w:r>
          </w:p>
        </w:tc>
        <w:tc>
          <w:tcPr>
            <w:tcW w:w="1508" w:type="dxa"/>
            <w:tcBorders>
              <w:left w:val="single" w:color="auto" w:sz="4" w:space="0"/>
              <w:bottom w:val="double" w:color="auto" w:sz="4" w:space="0"/>
            </w:tcBorders>
            <w:vAlign w:val="center"/>
          </w:tcPr>
          <w:p w14:paraId="0947CE30">
            <w:pPr>
              <w:spacing w:line="288"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w:t>
            </w:r>
          </w:p>
        </w:tc>
        <w:tc>
          <w:tcPr>
            <w:tcW w:w="7293" w:type="dxa"/>
            <w:gridSpan w:val="3"/>
            <w:tcBorders>
              <w:bottom w:val="double" w:color="auto" w:sz="4" w:space="0"/>
              <w:right w:val="double" w:color="auto" w:sz="4" w:space="0"/>
            </w:tcBorders>
            <w:vAlign w:val="center"/>
          </w:tcPr>
          <w:p w14:paraId="4A1E2BB8">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中标供应商有资金需求，可申请政采贷、履约保函、预付款保函等政府采购金融服务。</w:t>
            </w:r>
          </w:p>
          <w:p w14:paraId="6A7FB349">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1、政采贷</w:t>
            </w:r>
          </w:p>
          <w:p w14:paraId="2D9B26F6">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1AB18BAB">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2、履约保函、预付款保函</w:t>
            </w:r>
          </w:p>
          <w:p w14:paraId="3E082802">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中标供应商可通过以保函的形式提交履约保证金，减少对中小微企业的资金占用，降低财务成本。</w:t>
            </w:r>
          </w:p>
          <w:p w14:paraId="1FE0D751">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履约保函，政采贷，预付款保函等金融服务办理方式。</w:t>
            </w:r>
          </w:p>
          <w:p w14:paraId="3E05F01D">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中标供应商登陆政采云——我的工作台——金融服务——融资专区或保函专区申请。金融专线95763</w:t>
            </w:r>
          </w:p>
          <w:p w14:paraId="385CD1BB">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3.风险提示</w:t>
            </w:r>
          </w:p>
          <w:p w14:paraId="6A7E1550">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0254159D">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（2）政府采购金融服务有风险，请详细了解并综合评估后再决定。</w:t>
            </w:r>
          </w:p>
          <w:p w14:paraId="59668CAF">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6F8CAED7">
      <w:pPr>
        <w:spacing w:line="312" w:lineRule="auto"/>
        <w:ind w:firstLine="480" w:firstLineChars="200"/>
        <w:rPr>
          <w:rFonts w:ascii="宋体" w:hAnsi="宋体" w:cs="宋体"/>
          <w:color w:val="000000" w:themeColor="text1"/>
          <w:sz w:val="24"/>
          <w:szCs w:val="32"/>
          <w:highlight w:val="none"/>
          <w14:textFill>
            <w14:solidFill>
              <w14:schemeClr w14:val="tx1"/>
            </w14:solidFill>
          </w14:textFill>
        </w:rPr>
      </w:pPr>
    </w:p>
    <w:p w14:paraId="15262D35">
      <w:pPr>
        <w:pStyle w:val="5"/>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1" w:name="_Toc28883"/>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一   总则</w:t>
      </w:r>
      <w:bookmarkEnd w:id="31"/>
    </w:p>
    <w:p w14:paraId="720326C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189644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1.1招标文件适用于本次所述项目的采购行为（法律、法规另有规定的，从其规定）。</w:t>
      </w:r>
    </w:p>
    <w:p w14:paraId="023EF0F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0F7F1F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2.1.1“采购人”系</w:t>
      </w:r>
      <w:r>
        <w:rPr>
          <w:rFonts w:hint="eastAsia" w:ascii="宋体" w:hAnsi="宋体" w:cs="宋体"/>
          <w:color w:val="000000" w:themeColor="text1"/>
          <w:sz w:val="24"/>
          <w:highlight w:val="none"/>
          <w:lang w:eastAsia="zh-CN"/>
          <w14:textFill>
            <w14:solidFill>
              <w14:schemeClr w14:val="tx1"/>
            </w14:solidFill>
          </w14:textFill>
        </w:rPr>
        <w:t>缙云县林业局</w:t>
      </w:r>
      <w:r>
        <w:rPr>
          <w:rFonts w:hint="eastAsia" w:ascii="宋体" w:hAnsi="宋体" w:cs="宋体"/>
          <w:color w:val="000000" w:themeColor="text1"/>
          <w:sz w:val="24"/>
          <w:highlight w:val="none"/>
          <w14:textFill>
            <w14:solidFill>
              <w14:schemeClr w14:val="tx1"/>
            </w14:solidFill>
          </w14:textFill>
        </w:rPr>
        <w:t>。</w:t>
      </w:r>
    </w:p>
    <w:p w14:paraId="238B9B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14:paraId="797A75A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“采购代理机构”系指</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14:paraId="02A92B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2.1.4“负责人”系指法人企业的法定代表人，或其他组织为法律、行政法规规定代表单位行使职权的主要负责人。</w:t>
      </w:r>
    </w:p>
    <w:p w14:paraId="1E40F67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2.1.5“合同”系指甲乙双方签署的规定甲乙双方权利与义务的协议，以及所有的附件、附录和招标文件所提到的构成合同的所有文件。</w:t>
      </w:r>
    </w:p>
    <w:p w14:paraId="247307D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14:paraId="308227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“服务”系指投标人按招标文件规定应承担的送货上门、安装、调试、技术协助、校准、培训、技术指导以及其他类似的附随义务。</w:t>
      </w:r>
    </w:p>
    <w:p w14:paraId="06DBD04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2.1.8本文件所指的公章均指投标人的CA电子章（投标文件格式有特殊要求的除外）。</w:t>
      </w:r>
    </w:p>
    <w:p w14:paraId="612CEA31">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2.1.9</w:t>
      </w:r>
      <w:r>
        <w:rPr>
          <w:rFonts w:hint="eastAsia" w:ascii="宋体" w:hAnsi="宋体" w:eastAsia="宋体" w:cs="宋体"/>
          <w:color w:val="000000" w:themeColor="text1"/>
          <w:sz w:val="24"/>
          <w:szCs w:val="32"/>
          <w:highlight w:val="none"/>
          <w14:textFill>
            <w14:solidFill>
              <w14:schemeClr w14:val="tx1"/>
            </w14:solidFill>
          </w14:textFill>
        </w:rPr>
        <w:t>“实质性条款”系指采购需求中标明“▲”的条款</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“★”为关键性技术参数。</w:t>
      </w:r>
    </w:p>
    <w:p w14:paraId="2C9BEA5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3.投标人基本要求</w:t>
      </w:r>
    </w:p>
    <w:p w14:paraId="668941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3.1符合第一章第“二”条规定；</w:t>
      </w:r>
    </w:p>
    <w:p w14:paraId="77F0A8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3.2投标人应遵守有关的法律、法规和规章条例。</w:t>
      </w:r>
    </w:p>
    <w:p w14:paraId="5CF3CFC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4.联合体说明</w:t>
      </w:r>
    </w:p>
    <w:p w14:paraId="61C0C4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388A0AE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p>
    <w:p w14:paraId="4AD7E24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w:t>
      </w:r>
    </w:p>
    <w:p w14:paraId="774EDF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为采购项目提供整体设计、规范编制或者项目管理、监理、检测等服务的投标人，不得再参加该采购项目的其他采购活动。</w:t>
      </w:r>
    </w:p>
    <w:p w14:paraId="4A0BAC8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5.3投标人自行承担所有与投标有关的全部费用。</w:t>
      </w:r>
    </w:p>
    <w:p w14:paraId="689E064B">
      <w:pPr>
        <w:pStyle w:val="5"/>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2" w:name="_Toc10913"/>
      <w:r>
        <w:rPr>
          <w:rFonts w:hint="eastAsia" w:ascii="宋体" w:hAnsi="宋体" w:eastAsia="宋体" w:cs="宋体"/>
          <w:color w:val="000000" w:themeColor="text1"/>
          <w:sz w:val="24"/>
          <w:szCs w:val="24"/>
          <w:highlight w:val="none"/>
          <w14:textFill>
            <w14:solidFill>
              <w14:schemeClr w14:val="tx1"/>
            </w14:solidFill>
          </w14:textFill>
        </w:rPr>
        <w:t>二   招标文件说明</w:t>
      </w:r>
      <w:bookmarkEnd w:id="32"/>
    </w:p>
    <w:p w14:paraId="285E6F6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6.招标文件的构成</w:t>
      </w:r>
    </w:p>
    <w:p w14:paraId="6AF85C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6.1招标文件用以阐明所需货物及服务、招标、投标程序和合同条款。招标文件由下述部分组成：</w:t>
      </w:r>
    </w:p>
    <w:p w14:paraId="6849DD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6.1.1招标公告</w:t>
      </w:r>
    </w:p>
    <w:p w14:paraId="19A3E5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14:paraId="0EB7E8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14:paraId="41990B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6.1.4政府采购合同格式</w:t>
      </w:r>
    </w:p>
    <w:p w14:paraId="27A1404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6.1.5投标相关文件格式</w:t>
      </w:r>
    </w:p>
    <w:p w14:paraId="3F0A882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6.1.6评标办法和细则</w:t>
      </w:r>
    </w:p>
    <w:p w14:paraId="5FDEBC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6.1.7与本项目有关的招标文件澄清、答复、修改、补充的内容。</w:t>
      </w:r>
    </w:p>
    <w:p w14:paraId="1FA83EF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7.投标人的风险</w:t>
      </w:r>
    </w:p>
    <w:p w14:paraId="570EDF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14:paraId="7A6CB14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8.招标文件的澄清和修改</w:t>
      </w:r>
    </w:p>
    <w:p w14:paraId="1B7185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8.1招标文件澄清、答复、修改、补充的内容为招标文件的组成部分。</w:t>
      </w:r>
    </w:p>
    <w:p w14:paraId="06485CB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发布更正公告，并对其具有约束力。不足15日的，采购代理机构有权顺延提交投标文件的截止时间。</w:t>
      </w:r>
    </w:p>
    <w:p w14:paraId="1F04E387">
      <w:pPr>
        <w:pStyle w:val="5"/>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3" w:name="_Toc15978"/>
      <w:r>
        <w:rPr>
          <w:rFonts w:hint="eastAsia" w:ascii="宋体" w:hAnsi="宋体" w:eastAsia="宋体" w:cs="宋体"/>
          <w:color w:val="000000" w:themeColor="text1"/>
          <w:sz w:val="24"/>
          <w:szCs w:val="24"/>
          <w:highlight w:val="none"/>
          <w14:textFill>
            <w14:solidFill>
              <w14:schemeClr w14:val="tx1"/>
            </w14:solidFill>
          </w14:textFill>
        </w:rPr>
        <w:t>三   投标文件的编写</w:t>
      </w:r>
      <w:bookmarkEnd w:id="33"/>
    </w:p>
    <w:p w14:paraId="6E3B715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9.要求</w:t>
      </w:r>
    </w:p>
    <w:p w14:paraId="7918C20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9.1投标人应仔细阅读招标文件的所有内容，按照招标文件的要求提交投标文件，并对所提供的全部资料的真实性承担法律责任。</w:t>
      </w:r>
    </w:p>
    <w:p w14:paraId="10C4B1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14:paraId="0F0C45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9.3投标文件的形式和效力</w:t>
      </w:r>
    </w:p>
    <w:p w14:paraId="5F48B955">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9.3.1 投标文件的形式：投标文件分为电子投标文件、备份投标文件。</w:t>
      </w:r>
    </w:p>
    <w:p w14:paraId="478DF82D">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9.3.2 投标文件的效力</w:t>
      </w:r>
    </w:p>
    <w:p w14:paraId="2864341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投标文件的启用，按先后顺位分别为电子投标文件、备份投标文件。</w:t>
      </w:r>
    </w:p>
    <w:p w14:paraId="56B53C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E9981A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投标文件的组成</w:t>
      </w:r>
    </w:p>
    <w:p w14:paraId="1540EC8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10.1提交的投标文件应分为</w:t>
      </w:r>
      <w:r>
        <w:rPr>
          <w:rFonts w:hint="eastAsia" w:ascii="宋体" w:hAnsi="宋体" w:cs="宋体"/>
          <w:b/>
          <w:color w:val="000000" w:themeColor="text1"/>
          <w:kern w:val="0"/>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资信商务及技术文件、报价文件三部分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14:paraId="5513A23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投标文件编制内容和要求</w:t>
      </w:r>
    </w:p>
    <w:p w14:paraId="4588CEF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11.1 资格审查文件编制内容和要求：</w:t>
      </w:r>
      <w:r>
        <w:rPr>
          <w:rFonts w:hint="eastAsia" w:ascii="宋体" w:hAnsi="宋体" w:cs="宋体"/>
          <w:color w:val="000000" w:themeColor="text1"/>
          <w:sz w:val="24"/>
          <w:highlight w:val="none"/>
          <w14:textFill>
            <w14:solidFill>
              <w14:schemeClr w14:val="tx1"/>
            </w14:solidFill>
          </w14:textFill>
        </w:rPr>
        <w:t>格式见第五章资格审查文件格式</w:t>
      </w:r>
    </w:p>
    <w:p w14:paraId="7AFB73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11.2资信商务及技术文件编制内容和要求：</w:t>
      </w:r>
    </w:p>
    <w:p w14:paraId="08776F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11.2.1资信及商务部分详见第五章格式。</w:t>
      </w:r>
    </w:p>
    <w:p w14:paraId="635A489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11.2.2技术部分（包含但不限于）:</w:t>
      </w:r>
    </w:p>
    <w:p w14:paraId="09D0F7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11.2.2.1按招标文件第五章投标相关文件格式所列的内容、格式的要求,及投标人认为有必要提供的其它文件；</w:t>
      </w:r>
    </w:p>
    <w:p w14:paraId="0698D1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11.2.2.2投标人需对照招标文件第三章招标要求所列的内容进行承诺；</w:t>
      </w:r>
    </w:p>
    <w:p w14:paraId="704CCF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11.2.2.3投标人认为有必要提交的其他资料文件；</w:t>
      </w:r>
    </w:p>
    <w:p w14:paraId="694D12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11.3报价文件内容: 详见第五章格式。</w:t>
      </w:r>
    </w:p>
    <w:p w14:paraId="0BFCD7E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1投标报价要求</w:t>
      </w:r>
    </w:p>
    <w:p w14:paraId="0E3BB0B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14:paraId="168D95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2投标相关报价明细表填写时应详细注明该表列举的费用及分项清单。</w:t>
      </w:r>
    </w:p>
    <w:p w14:paraId="2D487FB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12.投标文件排版、封面</w:t>
      </w:r>
    </w:p>
    <w:p w14:paraId="59BE52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12.1排版：</w:t>
      </w:r>
      <w:r>
        <w:rPr>
          <w:rFonts w:hint="eastAsia" w:ascii="宋体" w:hAnsi="宋体" w:cs="宋体"/>
          <w:color w:val="000000" w:themeColor="text1"/>
          <w:kern w:val="0"/>
          <w:sz w:val="24"/>
          <w:highlight w:val="none"/>
          <w14:textFill>
            <w14:solidFill>
              <w14:schemeClr w14:val="tx1"/>
            </w14:solidFill>
          </w14:textFill>
        </w:rPr>
        <w:t>建议A4排版。</w:t>
      </w:r>
    </w:p>
    <w:p w14:paraId="0EF7B21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13.投标有效期</w:t>
      </w:r>
    </w:p>
    <w:p w14:paraId="2E4C74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w:t>
      </w: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p w14:paraId="23072C7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14.投标文件的签署及规定</w:t>
      </w:r>
    </w:p>
    <w:p w14:paraId="0DDFB9C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kern w:val="0"/>
          <w:sz w:val="24"/>
          <w:highlight w:val="none"/>
          <w14:textFill>
            <w14:solidFill>
              <w14:schemeClr w14:val="tx1"/>
            </w14:solidFill>
          </w14:textFill>
        </w:rPr>
        <w:t>投标人应按招标文件规定的内容和要求编制投标文件，</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须清楚的标明“资格审查文件”、“资信商务及技术文件”、“报价文件”。</w:t>
      </w:r>
    </w:p>
    <w:p w14:paraId="490F3C8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highlight w:val="none"/>
          <w14:textFill>
            <w14:solidFill>
              <w14:schemeClr w14:val="tx1"/>
            </w14:solidFill>
          </w14:textFill>
        </w:rPr>
        <w:t>CA</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b/>
          <w:bCs/>
          <w:color w:val="000000" w:themeColor="text1"/>
          <w:sz w:val="24"/>
          <w:highlight w:val="none"/>
          <w14:textFill>
            <w14:solidFill>
              <w14:schemeClr w14:val="tx1"/>
            </w14:solidFill>
          </w14:textFill>
        </w:rPr>
        <w:t>（投标文件格式有特殊要求的除外）。</w:t>
      </w:r>
    </w:p>
    <w:p w14:paraId="4DFF01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14.3电报、电话、传真形式的投标概不接受。</w:t>
      </w:r>
      <w:bookmarkStart w:id="34" w:name="_Toc107820049"/>
      <w:bookmarkStart w:id="35" w:name="_Toc56928685"/>
    </w:p>
    <w:p w14:paraId="742CC4B7">
      <w:pPr>
        <w:pStyle w:val="5"/>
        <w:spacing w:before="0" w:after="0"/>
        <w:ind w:firstLine="200" w:firstLineChars="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4"/>
          <w:szCs w:val="24"/>
          <w:highlight w:val="none"/>
          <w14:textFill>
            <w14:solidFill>
              <w14:schemeClr w14:val="tx1"/>
            </w14:solidFill>
          </w14:textFill>
        </w:rPr>
        <w:t>四   履约保证金</w:t>
      </w:r>
      <w:bookmarkEnd w:id="36"/>
      <w:bookmarkEnd w:id="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不需要缴纳。</w:t>
      </w:r>
    </w:p>
    <w:p w14:paraId="580441EE">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8" w:name="_Toc18341"/>
      <w:r>
        <w:rPr>
          <w:rFonts w:hint="eastAsia" w:ascii="宋体" w:hAnsi="宋体" w:eastAsia="宋体" w:cs="宋体"/>
          <w:color w:val="000000" w:themeColor="text1"/>
          <w:sz w:val="24"/>
          <w:szCs w:val="24"/>
          <w:highlight w:val="none"/>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加密、提交、修改和撤回</w:t>
      </w:r>
      <w:bookmarkEnd w:id="38"/>
    </w:p>
    <w:p w14:paraId="5BD9B48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16.投标文件的加密</w:t>
      </w:r>
    </w:p>
    <w:p w14:paraId="44A09C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16.1投标人应当将资格审查文件、资信商务及技术文件和报价文件三部分分别导入相应位置，各文件之间不得混装；</w:t>
      </w:r>
    </w:p>
    <w:p w14:paraId="456A2DB9">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
          <w:color w:val="000000" w:themeColor="text1"/>
          <w:sz w:val="24"/>
          <w:highlight w:val="none"/>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highlight w:val="none"/>
          <w14:textFill>
            <w14:solidFill>
              <w14:schemeClr w14:val="tx1"/>
            </w14:solidFill>
          </w14:textFill>
        </w:rPr>
        <w:t>将最后生成的具有电子签章的备份响应文件进行压缩并加密。</w:t>
      </w:r>
    </w:p>
    <w:p w14:paraId="2890B93C">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9" w:name="_Toc107820050"/>
      <w:r>
        <w:rPr>
          <w:rFonts w:hint="eastAsia" w:ascii="宋体" w:hAnsi="宋体" w:cs="宋体"/>
          <w:b/>
          <w:color w:val="000000" w:themeColor="text1"/>
          <w:sz w:val="24"/>
          <w:highlight w:val="none"/>
          <w14:textFill>
            <w14:solidFill>
              <w14:schemeClr w14:val="tx1"/>
            </w14:solidFill>
          </w14:textFill>
        </w:rPr>
        <w:t>17.投标文件的提交</w:t>
      </w:r>
    </w:p>
    <w:p w14:paraId="7EA7EA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17.1投标文件提交截止时间和提交地点详见本章前附表。</w:t>
      </w:r>
    </w:p>
    <w:p w14:paraId="42E7ED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17.2不予接收的电子投标文件情形</w:t>
      </w:r>
    </w:p>
    <w:p w14:paraId="6E6174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投标截止时间前未完成传输的电子投标文件；</w:t>
      </w:r>
    </w:p>
    <w:p w14:paraId="00DDC2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未生成加密的电子投标文件；</w:t>
      </w:r>
    </w:p>
    <w:p w14:paraId="28EA32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⑶在规定时间内未解密的电子投标文件或者解密不成功又未在规定时间内提交备份投标文件的。</w:t>
      </w:r>
    </w:p>
    <w:p w14:paraId="66EED02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18.投标文件的修改和撤回</w:t>
      </w:r>
    </w:p>
    <w:p w14:paraId="1B29C69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18.1在投标截止时间前，可以修改或撤回其投标文件：</w:t>
      </w:r>
      <w:r>
        <w:rPr>
          <w:rFonts w:hint="eastAsia" w:ascii="宋体" w:hAnsi="宋体" w:cs="宋体"/>
          <w:b/>
          <w:color w:val="000000" w:themeColor="text1"/>
          <w:sz w:val="24"/>
          <w:highlight w:val="none"/>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14:paraId="037EC3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18.2修改后重新提交的投标文件应按招标文件的规定编制、标记和提交。</w:t>
      </w:r>
    </w:p>
    <w:p w14:paraId="6D1F05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18.3在投标截止时间后,投标人不得修改、撤回已提交的投标文件。</w:t>
      </w:r>
    </w:p>
    <w:p w14:paraId="5419437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18.4补充、修改后的电子投标文件、备份投标文件内容均应相同。</w:t>
      </w:r>
    </w:p>
    <w:p w14:paraId="74C9AEA4">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40" w:name="_Toc27850"/>
      <w:r>
        <w:rPr>
          <w:rFonts w:hint="eastAsia" w:ascii="宋体" w:hAnsi="宋体" w:eastAsia="宋体" w:cs="宋体"/>
          <w:color w:val="000000" w:themeColor="text1"/>
          <w:sz w:val="24"/>
          <w:szCs w:val="24"/>
          <w:highlight w:val="none"/>
          <w14:textFill>
            <w14:solidFill>
              <w14:schemeClr w14:val="tx1"/>
            </w14:solidFill>
          </w14:textFill>
        </w:rPr>
        <w:t>六   开标和评</w:t>
      </w:r>
      <w:bookmarkEnd w:id="39"/>
      <w:r>
        <w:rPr>
          <w:rFonts w:hint="eastAsia" w:ascii="宋体" w:hAnsi="宋体" w:eastAsia="宋体" w:cs="宋体"/>
          <w:color w:val="000000" w:themeColor="text1"/>
          <w:sz w:val="24"/>
          <w:szCs w:val="24"/>
          <w:highlight w:val="none"/>
          <w14:textFill>
            <w14:solidFill>
              <w14:schemeClr w14:val="tx1"/>
            </w14:solidFill>
          </w14:textFill>
        </w:rPr>
        <w:t>审</w:t>
      </w:r>
      <w:bookmarkEnd w:id="40"/>
    </w:p>
    <w:p w14:paraId="702CCC2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19.开标</w:t>
      </w:r>
    </w:p>
    <w:p w14:paraId="4120E77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19.1优先采用电子投标文件进行开标，电子投标文件未按时解密的，采用备份投标文件开标。</w:t>
      </w:r>
    </w:p>
    <w:p w14:paraId="0760E636">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1" w:name="_Toc396838136"/>
      <w:bookmarkStart w:id="42" w:name="_Toc393869892"/>
      <w:bookmarkStart w:id="43" w:name="_Toc415648536"/>
      <w:bookmarkStart w:id="44" w:name="_Toc334087238"/>
      <w:bookmarkStart w:id="45" w:name="_Toc335664280"/>
      <w:bookmarkStart w:id="46" w:name="_Toc393869894"/>
      <w:bookmarkStart w:id="47" w:name="_Toc394928032"/>
      <w:bookmarkStart w:id="48" w:name="_Toc107820051"/>
      <w:r>
        <w:rPr>
          <w:rFonts w:hint="eastAsia" w:ascii="宋体" w:hAnsi="宋体" w:cs="宋体"/>
          <w:color w:val="000000" w:themeColor="text1"/>
          <w:sz w:val="24"/>
          <w:highlight w:val="none"/>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14:paraId="304875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w:t>
      </w:r>
      <w:r>
        <w:rPr>
          <w:rFonts w:hint="eastAsia" w:ascii="宋体" w:hAnsi="宋体" w:cs="宋体"/>
          <w:bCs/>
          <w:color w:val="000000" w:themeColor="text1"/>
          <w:sz w:val="24"/>
          <w:highlight w:val="none"/>
          <w14:textFill>
            <w14:solidFill>
              <w14:schemeClr w14:val="tx1"/>
            </w14:solidFill>
          </w14:textFill>
        </w:rPr>
        <w:t>电子投标文件解密：由代理机构工作人员开启电子投标文件解密通道，解密时限以政采云电子交易平台为准。</w:t>
      </w:r>
    </w:p>
    <w:p w14:paraId="01648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w:t>
      </w:r>
      <w:r>
        <w:rPr>
          <w:rFonts w:hint="eastAsia" w:ascii="宋体" w:hAnsi="宋体" w:cs="宋体"/>
          <w:bCs/>
          <w:color w:val="000000" w:themeColor="text1"/>
          <w:sz w:val="24"/>
          <w:highlight w:val="none"/>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14:paraId="7A43DA2C">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19.5</w:t>
      </w:r>
      <w:r>
        <w:rPr>
          <w:rFonts w:hint="eastAsia" w:ascii="宋体" w:hAnsi="宋体" w:cs="宋体"/>
          <w:color w:val="000000" w:themeColor="text1"/>
          <w:kern w:val="0"/>
          <w:sz w:val="24"/>
          <w:highlight w:val="none"/>
          <w14:textFill>
            <w14:solidFill>
              <w14:schemeClr w14:val="tx1"/>
            </w14:solidFill>
          </w14:textFill>
        </w:rPr>
        <w:t>解密成功的投标人不足三家的，按相关规定重新组织采购。</w:t>
      </w:r>
    </w:p>
    <w:p w14:paraId="704A933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19.6采购代理机构做好会议记录，投标人在代理机构开启标书信息后可查看投标人名单。</w:t>
      </w:r>
    </w:p>
    <w:p w14:paraId="337FA982">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19.7投标人认为采购人员及相关人员与其他投标人有利害关系的，可向采购代理机构提出回避申请，并说明理由，申请须由投标人代表签字或盖章。</w:t>
      </w:r>
    </w:p>
    <w:p w14:paraId="4611FD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投标人对记录表有疑义的，</w:t>
      </w:r>
      <w:r>
        <w:rPr>
          <w:rFonts w:hint="eastAsia" w:ascii="宋体" w:hAnsi="宋体" w:cs="宋体"/>
          <w:color w:val="000000" w:themeColor="text1"/>
          <w:sz w:val="24"/>
          <w:highlight w:val="none"/>
          <w14:textFill>
            <w14:solidFill>
              <w14:schemeClr w14:val="tx1"/>
            </w14:solidFill>
          </w14:textFill>
        </w:rPr>
        <w:t>投标人代表在开标会议结束前可以向采购代理机构通过现场或电子邮件的方式（</w:t>
      </w:r>
      <w:r>
        <w:rPr>
          <w:rFonts w:hint="eastAsia" w:ascii="宋体" w:hAnsi="宋体" w:cs="宋体"/>
          <w:color w:val="000000" w:themeColor="text1"/>
          <w:sz w:val="24"/>
          <w:highlight w:val="none"/>
          <w:lang w:eastAsia="zh-CN"/>
          <w14:textFill>
            <w14:solidFill>
              <w14:schemeClr w14:val="tx1"/>
            </w14:solidFill>
          </w14:textFill>
        </w:rPr>
        <w:t>1104467299@qq.com</w:t>
      </w:r>
      <w:r>
        <w:rPr>
          <w:rFonts w:hint="eastAsia" w:ascii="宋体" w:hAnsi="宋体" w:cs="宋体"/>
          <w:color w:val="000000" w:themeColor="text1"/>
          <w:sz w:val="24"/>
          <w:highlight w:val="none"/>
          <w14:textFill>
            <w14:solidFill>
              <w14:schemeClr w14:val="tx1"/>
            </w14:solidFill>
          </w14:textFill>
        </w:rPr>
        <w:t>）提出申请，并说明理由，申请须由投标人代表签字或盖章。</w:t>
      </w:r>
    </w:p>
    <w:p w14:paraId="2CF8D81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开标会议结束。</w:t>
      </w:r>
    </w:p>
    <w:p w14:paraId="6D80D32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资格审查</w:t>
      </w:r>
    </w:p>
    <w:p w14:paraId="6A0A8C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采购人或采购代理机构按资格要求和资格审查文件要求对投标人进行资格审查及记录。并通过政采云平台公布审查结果。</w:t>
      </w:r>
    </w:p>
    <w:p w14:paraId="4AD6AC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 经资格审查后合格的投标人不足三家的，按相关规定重新组织招标。</w:t>
      </w:r>
    </w:p>
    <w:p w14:paraId="67B053E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评审流程：详见第六章。</w:t>
      </w:r>
    </w:p>
    <w:p w14:paraId="64D8F02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投标文件的澄清</w:t>
      </w:r>
    </w:p>
    <w:p w14:paraId="2AF2CB65">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3C6512DC">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报价算术错误将按以下方法修正：</w:t>
      </w:r>
    </w:p>
    <w:p w14:paraId="11F7718F">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报价文件</w:t>
      </w:r>
      <w:r>
        <w:rPr>
          <w:rFonts w:hint="eastAsia" w:ascii="宋体" w:hAnsi="宋体" w:cs="宋体"/>
          <w:bCs/>
          <w:color w:val="000000" w:themeColor="text1"/>
          <w:sz w:val="24"/>
          <w:highlight w:val="none"/>
          <w14:textFill>
            <w14:solidFill>
              <w14:schemeClr w14:val="tx1"/>
            </w14:solidFill>
          </w14:textFill>
        </w:rPr>
        <w:t>中开标一览表内容与</w:t>
      </w:r>
      <w:r>
        <w:rPr>
          <w:rFonts w:hint="eastAsia" w:ascii="宋体" w:hAnsi="宋体" w:cs="宋体"/>
          <w:color w:val="000000" w:themeColor="text1"/>
          <w:kern w:val="0"/>
          <w:sz w:val="24"/>
          <w:highlight w:val="none"/>
          <w14:textFill>
            <w14:solidFill>
              <w14:schemeClr w14:val="tx1"/>
            </w14:solidFill>
          </w14:textFill>
        </w:rPr>
        <w:t>报价</w:t>
      </w:r>
      <w:r>
        <w:rPr>
          <w:rFonts w:hint="eastAsia" w:ascii="宋体" w:hAnsi="宋体" w:cs="宋体"/>
          <w:bCs/>
          <w:color w:val="000000" w:themeColor="text1"/>
          <w:sz w:val="24"/>
          <w:highlight w:val="none"/>
          <w14:textFill>
            <w14:solidFill>
              <w14:schemeClr w14:val="tx1"/>
            </w14:solidFill>
          </w14:textFill>
        </w:rPr>
        <w:t>明细表相应内容不一致的，以开标一览表为准；</w:t>
      </w:r>
    </w:p>
    <w:p w14:paraId="04D850C8">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（2）报价有明显错位的，以开标一览表的报价为准，并修改分项报价；</w:t>
      </w:r>
    </w:p>
    <w:p w14:paraId="41986563">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大写金额和小写金额不一致的，以大写金额为准；单价金额小数点或者百分比有明显错位的，以开标一览表的总价为准，并修改单价。</w:t>
      </w:r>
    </w:p>
    <w:p w14:paraId="35DD9AF4">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highlight w:val="none"/>
          <w14:textFill>
            <w14:solidFill>
              <w14:schemeClr w14:val="tx1"/>
            </w14:solidFill>
          </w14:textFill>
        </w:rPr>
        <w:t>；</w:t>
      </w:r>
    </w:p>
    <w:p w14:paraId="3ABA2179">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（5）对不同文字文本</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bCs/>
          <w:color w:val="000000" w:themeColor="text1"/>
          <w:sz w:val="24"/>
          <w:highlight w:val="none"/>
          <w14:textFill>
            <w14:solidFill>
              <w14:schemeClr w14:val="tx1"/>
            </w14:solidFill>
          </w14:textFill>
        </w:rPr>
        <w:t>的解释发生异议的，以中文文本为准；</w:t>
      </w:r>
    </w:p>
    <w:p w14:paraId="298C3E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（6）同时出现两种以上不一致的，按照前款规定的顺序修正。</w:t>
      </w:r>
    </w:p>
    <w:p w14:paraId="66D0A1E7">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14:paraId="1D756AC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对投标文件的比较和评估</w:t>
      </w:r>
    </w:p>
    <w:p w14:paraId="6C32FA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774CC1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14:paraId="59040E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推荐资格；评审得分相同的，由采购人或者采购人委托评标委员会按照招标文件规定的方式确定一个投标人获得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推荐资格，招标文件未规定的采取随机抽取方式确定，其他同品牌投标人不作为中标候选人。</w:t>
      </w:r>
    </w:p>
    <w:p w14:paraId="0D1E9F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23.2.2如按一家有效投标人认定后，造成项目有效投标人不足三家的，项目应予以废标处理。</w:t>
      </w:r>
    </w:p>
    <w:p w14:paraId="6D1EE33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评标报告</w:t>
      </w:r>
    </w:p>
    <w:p w14:paraId="000703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评审委员会根据全体评审成员签字的原始评审记录和评审结果编写评标报告，并推荐中标候选人，评审报告由评审委员会成员签字确认提交。</w:t>
      </w:r>
    </w:p>
    <w:p w14:paraId="5C895C0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25.采购过程中出现以下情形，导致电子交易平台无法正常运行，或者无法保证电子交易的公平、公正和安全时，可中止电子交易活动：</w:t>
      </w:r>
    </w:p>
    <w:p w14:paraId="6825E5E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（一）电子交易平台发生故障而无法登录访问的； </w:t>
      </w:r>
    </w:p>
    <w:p w14:paraId="354898F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（二）电子交易平台应用或数据库出现错误，不能进行正常操作的；</w:t>
      </w:r>
    </w:p>
    <w:p w14:paraId="512D154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（三）电子交易平台发现严重安全漏洞，有潜在泄密危险的；</w:t>
      </w:r>
    </w:p>
    <w:p w14:paraId="7B229EF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（四）病毒发作导致不能进行正常操作的； </w:t>
      </w:r>
    </w:p>
    <w:p w14:paraId="5BC9BF0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（五）其他无法保证电子交易的公平、公正和安全的情况。</w:t>
      </w:r>
    </w:p>
    <w:p w14:paraId="03EAD7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14:paraId="7AA015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14:paraId="69D0BC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⑴短时间内能消除不可抗力因素的，采购代理机构或评审委员会在消除不可抗力因素后继续组织电子交易活动。</w:t>
      </w:r>
    </w:p>
    <w:p w14:paraId="5C6B2E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⑵长时间内无法消除不可抗力因素的，采购代理机构或评审委员会将中止电子交易活动。中止电子交易活动的，采购人应当重新组织政府采购活动。</w:t>
      </w:r>
    </w:p>
    <w:p w14:paraId="3C01D3B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保密和评审过程的监控</w:t>
      </w:r>
    </w:p>
    <w:p w14:paraId="1000A5F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14:paraId="53CBFB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highlight w:val="none"/>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highlight w:val="none"/>
          <w14:textFill>
            <w14:solidFill>
              <w14:schemeClr w14:val="tx1"/>
            </w14:solidFill>
          </w14:textFill>
        </w:rPr>
        <w:t xml:space="preserve"> </w:t>
      </w:r>
      <w:bookmarkEnd w:id="50"/>
    </w:p>
    <w:p w14:paraId="3FA31290">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1" w:name="_Toc25936"/>
      <w:bookmarkStart w:id="52" w:name="_Toc493956039"/>
      <w:bookmarkStart w:id="53" w:name="_Toc494555855"/>
      <w:r>
        <w:rPr>
          <w:rFonts w:hint="eastAsia" w:ascii="宋体" w:hAnsi="宋体" w:eastAsia="宋体" w:cs="宋体"/>
          <w:color w:val="000000" w:themeColor="text1"/>
          <w:sz w:val="24"/>
          <w:szCs w:val="24"/>
          <w:highlight w:val="none"/>
          <w14:textFill>
            <w14:solidFill>
              <w14:schemeClr w14:val="tx1"/>
            </w14:solidFill>
          </w14:textFill>
        </w:rPr>
        <w:t>七   投标无效的情形</w:t>
      </w:r>
      <w:bookmarkEnd w:id="51"/>
      <w:bookmarkEnd w:id="52"/>
      <w:bookmarkEnd w:id="53"/>
    </w:p>
    <w:p w14:paraId="010A7F7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highlight w:val="none"/>
          <w14:textFill>
            <w14:solidFill>
              <w14:schemeClr w14:val="tx1"/>
            </w14:solidFill>
          </w14:textFill>
        </w:rPr>
        <w:t>投标文件</w:t>
      </w:r>
      <w:r>
        <w:rPr>
          <w:rFonts w:hint="eastAsia" w:ascii="宋体" w:hAnsi="宋体" w:cs="宋体"/>
          <w:b/>
          <w:color w:val="000000" w:themeColor="text1"/>
          <w:sz w:val="24"/>
          <w:highlight w:val="none"/>
          <w14:textFill>
            <w14:solidFill>
              <w14:schemeClr w14:val="tx1"/>
            </w14:solidFill>
          </w14:textFill>
        </w:rPr>
        <w:t>无效：</w:t>
      </w:r>
    </w:p>
    <w:p w14:paraId="49EF9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28.1电报、电话、传真形式提交响应文件的；</w:t>
      </w:r>
    </w:p>
    <w:p w14:paraId="5EC245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28.2投标人未按招标文件规定的时间和地点提交电子投标文件的；</w:t>
      </w:r>
    </w:p>
    <w:p w14:paraId="3E3DDD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28.3未按招标文件规定要求签署、盖章的；</w:t>
      </w:r>
    </w:p>
    <w:p w14:paraId="39B302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28.4不具备投标文件规定资格要求的；</w:t>
      </w:r>
    </w:p>
    <w:p w14:paraId="3D4E90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 投标有效期不足的。</w:t>
      </w:r>
    </w:p>
    <w:p w14:paraId="3BA964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28.6采购产品为政府强制采购的节能产品，投标人未提供节能产品认证证书的；</w:t>
      </w:r>
    </w:p>
    <w:p w14:paraId="00E6FF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28.7评审委员会评定有实质上“</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”条款的负偏离的。</w:t>
      </w:r>
    </w:p>
    <w:p w14:paraId="36AF6D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28.8投标文件含有采购人不能接受的附加条款的。</w:t>
      </w:r>
    </w:p>
    <w:p w14:paraId="452158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28.9投标报价高于招标文件中规定的预算金额或者最高限价的。</w:t>
      </w:r>
    </w:p>
    <w:p w14:paraId="0E8ACA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8.10招标文件中未要求，但投标人给予赠品、回扣或与采购无关的其他商品、服务的。</w:t>
      </w:r>
    </w:p>
    <w:p w14:paraId="0F9374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28.11投标报价存在漏项或报价数量少于采购要求的。</w:t>
      </w:r>
    </w:p>
    <w:p w14:paraId="64F7AD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56A026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中予以特别说明的。</w:t>
      </w:r>
    </w:p>
    <w:p w14:paraId="27FCD4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28.14提供虚假材料谋取中标的。</w:t>
      </w:r>
    </w:p>
    <w:p w14:paraId="2194D5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28.15在招标过程中与采购人进行协商谈判、不按招标文件和</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订立合同，或者与采购人另行订立背离合同实质性内容的协议的。</w:t>
      </w:r>
    </w:p>
    <w:p w14:paraId="3DFBC4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28.16招标文件规定的其他</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无效情形。</w:t>
      </w:r>
      <w:bookmarkStart w:id="54" w:name="EBdafef940fa674575a283c03dcfd15197"/>
      <w:r>
        <w:rPr>
          <w:rFonts w:hint="eastAsia" w:ascii="宋体" w:hAnsi="宋体" w:cs="宋体"/>
          <w:color w:val="000000" w:themeColor="text1"/>
          <w:sz w:val="24"/>
          <w:highlight w:val="none"/>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highlight w:val="none"/>
          <w14:textFill>
            <w14:solidFill>
              <w14:schemeClr w14:val="tx1"/>
            </w14:solidFill>
          </w14:textFill>
        </w:rPr>
        <w:t xml:space="preserve"> </w:t>
      </w:r>
      <w:bookmarkEnd w:id="55"/>
    </w:p>
    <w:p w14:paraId="3BFE13F2">
      <w:pPr>
        <w:spacing w:line="360" w:lineRule="auto"/>
        <w:ind w:firstLine="480" w:firstLineChars="200"/>
        <w:rPr>
          <w:rFonts w:hint="eastAsia"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28.1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参与同一个采购包（标段）的供应商存在下列情形之一且无法合理解释的，其投标（响应）文件无效：</w:t>
      </w:r>
    </w:p>
    <w:p w14:paraId="4E5960EF">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不同供应商的电子投标（响应）文件上传计算机的网卡MAC地址或硬盘序列号等硬件信息相同的；</w:t>
      </w:r>
    </w:p>
    <w:p w14:paraId="44457149">
      <w:pPr>
        <w:numPr>
          <w:ilvl w:val="0"/>
          <w:numId w:val="2"/>
        </w:num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14:paraId="654E3D15">
      <w:pPr>
        <w:numPr>
          <w:ilvl w:val="0"/>
          <w:numId w:val="2"/>
        </w:num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不同供应商的投标（响应）文件的内容存在3处（含）以上错误一致的；</w:t>
      </w:r>
    </w:p>
    <w:p w14:paraId="7688C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p>
    <w:p w14:paraId="7A9CE1D1">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6" w:name="_Toc493956040"/>
      <w:bookmarkStart w:id="57" w:name="_Toc494555856"/>
      <w:bookmarkStart w:id="58" w:name="_Toc3787"/>
      <w:r>
        <w:rPr>
          <w:rFonts w:hint="eastAsia" w:ascii="宋体" w:hAnsi="宋体" w:eastAsia="宋体" w:cs="宋体"/>
          <w:color w:val="000000" w:themeColor="text1"/>
          <w:sz w:val="24"/>
          <w:szCs w:val="24"/>
          <w:highlight w:val="none"/>
          <w14:textFill>
            <w14:solidFill>
              <w14:schemeClr w14:val="tx1"/>
            </w14:solidFill>
          </w14:textFill>
        </w:rPr>
        <w:t>八   法律责任</w:t>
      </w:r>
      <w:bookmarkEnd w:id="56"/>
      <w:bookmarkEnd w:id="57"/>
      <w:bookmarkEnd w:id="58"/>
    </w:p>
    <w:p w14:paraId="7E7E16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7F695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29.1 提供虚假材料谋取中标的；</w:t>
      </w:r>
    </w:p>
    <w:p w14:paraId="2DF3DA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29.2 采取不正当手段诋毁、排挤其他投标人的；</w:t>
      </w:r>
    </w:p>
    <w:p w14:paraId="4941CA9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29.3 与采购人、其他投标人或者采购代理机构恶意串通的；</w:t>
      </w:r>
    </w:p>
    <w:p w14:paraId="787901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29.4 向采购人、采购代理机构行贿或者提供其他不正当利益的；</w:t>
      </w:r>
    </w:p>
    <w:p w14:paraId="6A3F18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29.5 在招标采购过程中与采购人进行协商谈判的；</w:t>
      </w:r>
    </w:p>
    <w:p w14:paraId="1D7D02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29.6 拒绝有关部门监督检查或者提供虚假情况的；</w:t>
      </w:r>
    </w:p>
    <w:p w14:paraId="0C7FE63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投标人有前款29.1至29.5项情形之一的，中标无效。</w:t>
      </w:r>
    </w:p>
    <w:p w14:paraId="1081579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 投标人有下列情形之一的，依照政府采购法第七十七条第一款的规定追究法律责任：</w:t>
      </w:r>
    </w:p>
    <w:p w14:paraId="742117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 向评审委员会或者评审委员会成员行贿或者提供其他不正当利益；</w:t>
      </w:r>
    </w:p>
    <w:p w14:paraId="186AB7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 中标或者成交后无正当理由拒不与采购人签订政府采购合同；</w:t>
      </w:r>
    </w:p>
    <w:p w14:paraId="47F040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 未按照招标文件确定的事项签订政府采购合同；</w:t>
      </w:r>
    </w:p>
    <w:p w14:paraId="362C10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 将政府采购合同转包；</w:t>
      </w:r>
    </w:p>
    <w:p w14:paraId="3023E44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 提供假冒伪劣产品；</w:t>
      </w:r>
    </w:p>
    <w:p w14:paraId="06F486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30.6 擅自变更、中止或者终止政府采购合同。</w:t>
      </w:r>
    </w:p>
    <w:p w14:paraId="1DD887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8CFCAC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投标人捏造事实、提供虚假材料或者以非法手段取得证明材料进行投诉的，由财政部门列入不良行为记录名单，禁止其1至3年内参加政府采购活动。</w:t>
      </w:r>
    </w:p>
    <w:p w14:paraId="78592EA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14:paraId="2848B1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6F310A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7B73C6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投标人之间协商报价、技术方案等</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的实质性内容；</w:t>
      </w:r>
    </w:p>
    <w:p w14:paraId="489924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32.4属于同一集团、协会、商会等组织成员的投标人按照该组织要求协同参加政府采购活动；</w:t>
      </w:r>
    </w:p>
    <w:p w14:paraId="25BE8D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 投标人之间事先约定由某一特定投标人中标、成交；</w:t>
      </w:r>
    </w:p>
    <w:p w14:paraId="44F41D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 投标人之间商定部分投标人放弃参加政府采购活动或者放弃中标、成交；</w:t>
      </w:r>
    </w:p>
    <w:p w14:paraId="2F61D4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32.7投标人与采购人或者采购代理机构之间、投标人相互之间，为谋求特定投标人中标、成交或者排斥其他投标人的其他串通行为；</w:t>
      </w:r>
    </w:p>
    <w:p w14:paraId="0C2180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 不同投标人的投标文件由同一单位或者个人编制；</w:t>
      </w:r>
    </w:p>
    <w:p w14:paraId="066F255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 不同投标人委托同一单位或者个人办理投标事宜；</w:t>
      </w:r>
    </w:p>
    <w:p w14:paraId="095DEF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32.10 不同投标人的投标文件载明的项目管理成员或者联系人员为同一人；</w:t>
      </w:r>
    </w:p>
    <w:p w14:paraId="09CB43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32.11 不同投标人的投标文件异常一致或者投标报价呈规律性差异；</w:t>
      </w:r>
    </w:p>
    <w:p w14:paraId="28B858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32.12 不同投标人的投标文件相互混装。</w:t>
      </w:r>
    </w:p>
    <w:bookmarkEnd w:id="41"/>
    <w:bookmarkEnd w:id="42"/>
    <w:bookmarkEnd w:id="43"/>
    <w:p w14:paraId="7DE71066">
      <w:pPr>
        <w:pStyle w:val="5"/>
        <w:spacing w:before="0" w:after="0"/>
        <w:ind w:firstLine="118" w:firstLineChars="49"/>
        <w:rPr>
          <w:rFonts w:ascii="宋体" w:hAnsi="宋体" w:eastAsia="宋体" w:cs="宋体"/>
          <w:color w:val="000000" w:themeColor="text1"/>
          <w:sz w:val="24"/>
          <w:szCs w:val="24"/>
          <w:highlight w:val="none"/>
          <w14:textFill>
            <w14:solidFill>
              <w14:schemeClr w14:val="tx1"/>
            </w14:solidFill>
          </w14:textFill>
        </w:rPr>
      </w:pPr>
      <w:bookmarkStart w:id="59" w:name="_Toc17793770"/>
      <w:bookmarkStart w:id="60" w:name="_Toc14433"/>
      <w:bookmarkStart w:id="61" w:name="_Toc396838137"/>
      <w:bookmarkStart w:id="62" w:name="_Toc176659672"/>
      <w:bookmarkStart w:id="63" w:name="_Toc415648537"/>
      <w:bookmarkStart w:id="64" w:name="_Toc335664279"/>
      <w:bookmarkStart w:id="65" w:name="_Toc393869893"/>
      <w:bookmarkStart w:id="66" w:name="_Toc334087237"/>
      <w:r>
        <w:rPr>
          <w:rFonts w:hint="eastAsia" w:ascii="宋体" w:hAnsi="宋体" w:eastAsia="宋体" w:cs="宋体"/>
          <w:color w:val="000000" w:themeColor="text1"/>
          <w:sz w:val="24"/>
          <w:szCs w:val="24"/>
          <w:highlight w:val="none"/>
          <w14:textFill>
            <w14:solidFill>
              <w14:schemeClr w14:val="tx1"/>
            </w14:solidFill>
          </w14:textFill>
        </w:rPr>
        <w:t>九   澄清、修改发布媒体</w:t>
      </w:r>
      <w:bookmarkEnd w:id="59"/>
      <w:bookmarkEnd w:id="60"/>
    </w:p>
    <w:p w14:paraId="79B46974">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highlight w:val="none"/>
          <w14:textFill>
            <w14:solidFill>
              <w14:schemeClr w14:val="tx1"/>
            </w14:solidFill>
          </w14:textFill>
        </w:rPr>
        <w:t>修改的，采购代理机构将在投标截止时间十五日前将澄清或修改内容在浙江政府采购网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http://zfcg.czt.zj.gov.cn/</w:t>
      </w:r>
      <w:r>
        <w:rPr>
          <w:rFonts w:hint="eastAsia"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、丽水市公共资源交易网（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"http://sy.lssggzy.com/syweb/"</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http://lssggzy.lishui.gov.cn/jyweb</w:t>
      </w:r>
      <w:r>
        <w:rPr>
          <w:rFonts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/）上予以公布，潜在投标人应自行关注网站更正公告等内容，采购代理机构不再一一通知。</w:t>
      </w:r>
    </w:p>
    <w:p w14:paraId="5C8D60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33.2潜在投标人提出的询问超出采购人对采购代理机构委托授权范围的，投标人应向采购人提出。</w:t>
      </w:r>
    </w:p>
    <w:p w14:paraId="3CAA93D6">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7" w:name="_Toc27646"/>
      <w:r>
        <w:rPr>
          <w:rFonts w:hint="eastAsia" w:ascii="宋体" w:hAnsi="宋体" w:eastAsia="宋体" w:cs="宋体"/>
          <w:color w:val="000000" w:themeColor="text1"/>
          <w:sz w:val="24"/>
          <w:szCs w:val="24"/>
          <w:highlight w:val="none"/>
          <w14:textFill>
            <w14:solidFill>
              <w14:schemeClr w14:val="tx1"/>
            </w14:solidFill>
          </w14:textFill>
        </w:rPr>
        <w:t>十   质疑</w:t>
      </w:r>
      <w:bookmarkEnd w:id="61"/>
      <w:bookmarkEnd w:id="62"/>
      <w:bookmarkEnd w:id="63"/>
      <w:bookmarkEnd w:id="64"/>
      <w:bookmarkEnd w:id="65"/>
      <w:bookmarkEnd w:id="66"/>
      <w:bookmarkEnd w:id="67"/>
    </w:p>
    <w:p w14:paraId="2CF8B8E5">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34.1</w:t>
      </w:r>
      <w:r>
        <w:rPr>
          <w:rFonts w:hint="eastAsia" w:hAnsi="宋体" w:eastAsia="宋体" w:cs="宋体"/>
          <w:color w:val="000000" w:themeColor="text1"/>
          <w:kern w:val="0"/>
          <w:sz w:val="24"/>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0A331897">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34.2质疑的主要内容应符合</w:t>
      </w:r>
      <w:r>
        <w:rPr>
          <w:rFonts w:hint="eastAsia" w:hAnsi="宋体" w:eastAsia="宋体" w:cs="宋体"/>
          <w:color w:val="000000" w:themeColor="text1"/>
          <w:kern w:val="0"/>
          <w:sz w:val="24"/>
          <w:highlight w:val="none"/>
          <w14:textFill>
            <w14:solidFill>
              <w14:schemeClr w14:val="tx1"/>
            </w14:solidFill>
          </w14:textFill>
        </w:rPr>
        <w:t>《政府采购质疑和投诉办法》（94号令）规定</w:t>
      </w:r>
      <w:r>
        <w:rPr>
          <w:rFonts w:hint="eastAsia" w:hAnsi="宋体" w:eastAsia="宋体" w:cs="宋体"/>
          <w:color w:val="000000" w:themeColor="text1"/>
          <w:sz w:val="24"/>
          <w:highlight w:val="none"/>
          <w14:textFill>
            <w14:solidFill>
              <w14:schemeClr w14:val="tx1"/>
            </w14:solidFill>
          </w14:textFill>
        </w:rPr>
        <w:t>以及浙江省和丽水市相关文件的规定。质疑内容涉及保密事项，质疑投标人应提供有效的信息来源或有效证据。</w:t>
      </w:r>
    </w:p>
    <w:p w14:paraId="704F2486">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34.3质疑投标人可直接提交、传真或邮寄方式提交质疑书（一式三份以上）。以其他方式提出的质疑，采购代理机构可不予接受、答复。</w:t>
      </w:r>
    </w:p>
    <w:p w14:paraId="2D4308BF">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34.3.1邮寄方式送达质疑书的，以采购代理机构实际收到邮件之日作为收到质疑的日期。</w:t>
      </w:r>
    </w:p>
    <w:p w14:paraId="1B75954F">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14:paraId="5AE33CF1">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34.3.3在质疑期限届满前，质疑书已经邮寄或传真成功的，质疑不视为过期。</w:t>
      </w:r>
    </w:p>
    <w:p w14:paraId="0133ABD3">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14:paraId="613810AC">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34.5采购代理机构在收到质疑投标人的书面质疑后7个工作日内作出答复，并以书面形式答复质疑投标人。</w:t>
      </w:r>
    </w:p>
    <w:p w14:paraId="714A7EED">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14:paraId="2ACE3A39">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8" w:name="_Toc6332"/>
      <w:r>
        <w:rPr>
          <w:rFonts w:hint="eastAsia" w:ascii="宋体" w:hAnsi="宋体" w:eastAsia="宋体" w:cs="宋体"/>
          <w:color w:val="000000" w:themeColor="text1"/>
          <w:sz w:val="24"/>
          <w:szCs w:val="24"/>
          <w:highlight w:val="none"/>
          <w14:textFill>
            <w14:solidFill>
              <w14:schemeClr w14:val="tx1"/>
            </w14:solidFill>
          </w14:textFill>
        </w:rPr>
        <w:t>十一  投诉</w:t>
      </w:r>
      <w:bookmarkEnd w:id="44"/>
      <w:bookmarkEnd w:id="45"/>
      <w:bookmarkEnd w:id="46"/>
      <w:bookmarkEnd w:id="47"/>
      <w:bookmarkEnd w:id="68"/>
    </w:p>
    <w:p w14:paraId="3AFA25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14:paraId="2FA0E311">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9" w:name="_Toc29108"/>
      <w:r>
        <w:rPr>
          <w:rFonts w:hint="eastAsia" w:ascii="宋体" w:hAnsi="宋体" w:eastAsia="宋体" w:cs="宋体"/>
          <w:color w:val="000000" w:themeColor="text1"/>
          <w:sz w:val="24"/>
          <w:szCs w:val="24"/>
          <w:highlight w:val="none"/>
          <w14:textFill>
            <w14:solidFill>
              <w14:schemeClr w14:val="tx1"/>
            </w14:solidFill>
          </w14:textFill>
        </w:rPr>
        <w:t>十二  授予合同</w:t>
      </w:r>
      <w:bookmarkEnd w:id="48"/>
      <w:bookmarkEnd w:id="69"/>
    </w:p>
    <w:p w14:paraId="4FDFF3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中标结果公告及中标通知书</w:t>
      </w:r>
    </w:p>
    <w:p w14:paraId="23DAFE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采购代理机构将在浙江政府采购网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、丽水市公共资源交易网http://lssggzy.lishui.gov.cn/jyweb/上发布中标结果公告。中标结果公告内容不包括国家秘密、商业秘密。</w:t>
      </w:r>
    </w:p>
    <w:p w14:paraId="567432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36.2发布中标公告的同时，采购代理机构向</w:t>
      </w:r>
      <w:r>
        <w:rPr>
          <w:rFonts w:hint="eastAsia" w:ascii="宋体" w:hAnsi="宋体" w:cs="宋体"/>
          <w:color w:val="000000" w:themeColor="text1"/>
          <w:kern w:val="0"/>
          <w:sz w:val="24"/>
          <w:highlight w:val="none"/>
          <w:lang w:eastAsia="zh-CN"/>
          <w14:textFill>
            <w14:solidFill>
              <w14:schemeClr w14:val="tx1"/>
            </w14:solidFill>
          </w14:textFill>
        </w:rPr>
        <w:t>成交供应商</w:t>
      </w:r>
      <w:r>
        <w:rPr>
          <w:rFonts w:hint="eastAsia" w:ascii="宋体" w:hAnsi="宋体" w:cs="宋体"/>
          <w:color w:val="000000" w:themeColor="text1"/>
          <w:kern w:val="0"/>
          <w:sz w:val="24"/>
          <w:highlight w:val="none"/>
          <w14:textFill>
            <w14:solidFill>
              <w14:schemeClr w14:val="tx1"/>
            </w14:solidFill>
          </w14:textFill>
        </w:rPr>
        <w:t>发出中标通知书。</w:t>
      </w:r>
    </w:p>
    <w:p w14:paraId="4C2384C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37.授予合同时变更数量的权力</w:t>
      </w:r>
    </w:p>
    <w:p w14:paraId="078EFE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37.1采购人需追加与合同标的相同的货物、工程或者服务的，在不改变合同其他条款的前提下，可经同级政府采购管理办公室批准直接与</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签订补充合同，补充合同需交由同级政府采购管理办公室备案，但所补充合同的采购金额不得超过原合同采购金额的10%。</w:t>
      </w:r>
    </w:p>
    <w:p w14:paraId="1C407B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38.签订合同</w:t>
      </w:r>
    </w:p>
    <w:p w14:paraId="4D3FAE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自中标通知书发出之日起30日内与采购人签定合同。</w:t>
      </w:r>
    </w:p>
    <w:p w14:paraId="6AB55A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38.2招标文件、</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的投标文件及其澄清文件等,均为签订合同的依据。</w:t>
      </w:r>
    </w:p>
    <w:p w14:paraId="7350BA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不遵守招标文件和投标文件的要约条款及所作的承诺,擅自修改报价或在中标通知书发出之日起30日内,借故拖延、拒签合同者,采购人有权取消该投标人的中标资格。</w:t>
      </w:r>
    </w:p>
    <w:p w14:paraId="340D83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按有关法律法规</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拒绝与采购人签订合同的，采购人可以按照评审报告推荐的中标候选人名单排序，确定下一候选人为</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，也可以重新开展政府采购活动。</w:t>
      </w:r>
    </w:p>
    <w:p w14:paraId="4DBB11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14:paraId="61FF18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14:paraId="6272EE77">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0" w:name="_Toc26469"/>
      <w:r>
        <w:rPr>
          <w:rFonts w:hint="eastAsia" w:ascii="宋体" w:hAnsi="宋体" w:eastAsia="宋体" w:cs="宋体"/>
          <w:color w:val="000000" w:themeColor="text1"/>
          <w:sz w:val="24"/>
          <w:szCs w:val="24"/>
          <w:highlight w:val="none"/>
          <w14:textFill>
            <w14:solidFill>
              <w14:schemeClr w14:val="tx1"/>
            </w14:solidFill>
          </w14:textFill>
        </w:rPr>
        <w:t>十三  验收</w:t>
      </w:r>
      <w:bookmarkEnd w:id="70"/>
    </w:p>
    <w:p w14:paraId="1B292628">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1" w:name="_Toc107820052"/>
      <w:bookmarkStart w:id="72" w:name="_Toc47756031"/>
      <w:bookmarkStart w:id="73" w:name="_Toc15805937"/>
      <w:bookmarkStart w:id="74" w:name="_Toc45506731"/>
      <w:bookmarkStart w:id="75" w:name="_Toc15813254"/>
      <w:r>
        <w:rPr>
          <w:rFonts w:hint="eastAsia" w:ascii="宋体" w:hAnsi="宋体" w:cs="宋体"/>
          <w:color w:val="000000" w:themeColor="text1"/>
          <w:sz w:val="24"/>
          <w:highlight w:val="none"/>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14:paraId="58993CF0">
      <w:pPr>
        <w:pStyle w:val="25"/>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highlight w:val="none"/>
          <w14:textFill>
            <w14:solidFill>
              <w14:schemeClr w14:val="tx1"/>
            </w14:solidFill>
          </w14:textFill>
        </w:rPr>
        <w:t>招标文件</w:t>
      </w:r>
      <w:r>
        <w:rPr>
          <w:rFonts w:hint="eastAsia" w:cs="宋体"/>
          <w:color w:val="000000" w:themeColor="text1"/>
          <w:kern w:val="2"/>
          <w:highlight w:val="none"/>
          <w14:textFill>
            <w14:solidFill>
              <w14:schemeClr w14:val="tx1"/>
            </w14:solidFill>
          </w14:textFill>
        </w:rPr>
        <w:t>、</w:t>
      </w:r>
      <w:r>
        <w:rPr>
          <w:rFonts w:hint="eastAsia" w:cs="宋体"/>
          <w:color w:val="000000" w:themeColor="text1"/>
          <w:kern w:val="2"/>
          <w:highlight w:val="none"/>
          <w:lang w:eastAsia="zh-CN"/>
          <w14:textFill>
            <w14:solidFill>
              <w14:schemeClr w14:val="tx1"/>
            </w14:solidFill>
          </w14:textFill>
        </w:rPr>
        <w:t>成交供应商</w:t>
      </w:r>
      <w:r>
        <w:rPr>
          <w:rFonts w:hint="eastAsia" w:cs="宋体"/>
          <w:color w:val="000000" w:themeColor="text1"/>
          <w:highlight w:val="none"/>
          <w14:textFill>
            <w14:solidFill>
              <w14:schemeClr w14:val="tx1"/>
            </w14:solidFill>
          </w14:textFill>
        </w:rPr>
        <w:t>投标文件</w:t>
      </w:r>
      <w:r>
        <w:rPr>
          <w:rFonts w:hint="eastAsia" w:cs="宋体"/>
          <w:color w:val="000000" w:themeColor="text1"/>
          <w:kern w:val="2"/>
          <w:highlight w:val="none"/>
          <w14:textFill>
            <w14:solidFill>
              <w14:schemeClr w14:val="tx1"/>
            </w14:solidFill>
          </w14:textFill>
        </w:rPr>
        <w:t>的内容相符合。</w:t>
      </w:r>
    </w:p>
    <w:p w14:paraId="45DAAE3D">
      <w:pPr>
        <w:pStyle w:val="25"/>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5E0157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cs="宋体"/>
          <w:color w:val="000000" w:themeColor="text1"/>
          <w:sz w:val="24"/>
          <w:highlight w:val="none"/>
          <w14:textFill>
            <w14:solidFill>
              <w14:schemeClr w14:val="tx1"/>
            </w14:solidFill>
          </w14:textFill>
        </w:rPr>
        <w:t xml:space="preserve"> </w:t>
      </w:r>
      <w:bookmarkEnd w:id="77"/>
    </w:p>
    <w:p w14:paraId="432ABF7C">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8" w:name="_Toc493956047"/>
      <w:bookmarkStart w:id="79" w:name="_Toc530987054"/>
      <w:bookmarkStart w:id="80" w:name="_Toc27124"/>
      <w:r>
        <w:rPr>
          <w:rFonts w:hint="eastAsia" w:ascii="宋体" w:hAnsi="宋体" w:eastAsia="宋体" w:cs="宋体"/>
          <w:color w:val="000000" w:themeColor="text1"/>
          <w:sz w:val="24"/>
          <w:szCs w:val="24"/>
          <w:highlight w:val="none"/>
          <w14:textFill>
            <w14:solidFill>
              <w14:schemeClr w14:val="tx1"/>
            </w14:solidFill>
          </w14:textFill>
        </w:rPr>
        <w:t>十四  政府采购政策</w:t>
      </w:r>
      <w:bookmarkEnd w:id="78"/>
      <w:bookmarkEnd w:id="79"/>
      <w:bookmarkEnd w:id="80"/>
    </w:p>
    <w:p w14:paraId="7CC89ACB">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81" w:name="_Toc18197"/>
      <w:r>
        <w:rPr>
          <w:rFonts w:hint="eastAsia" w:ascii="宋体" w:hAnsi="宋体" w:cs="宋体"/>
          <w:color w:val="000000" w:themeColor="text1"/>
          <w:sz w:val="24"/>
          <w:highlight w:val="none"/>
          <w14:textFill>
            <w14:solidFill>
              <w14:schemeClr w14:val="tx1"/>
            </w14:solidFill>
          </w14:textFill>
        </w:rPr>
        <w:t>40.1本项目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是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w:t>
      </w:r>
    </w:p>
    <w:p w14:paraId="3289567C">
      <w:pPr>
        <w:spacing w:line="360" w:lineRule="auto"/>
        <w:ind w:firstLine="480" w:firstLineChars="200"/>
        <w:rPr>
          <w:rFonts w:hint="eastAsia" w:ascii="宋体" w:hAnsi="宋体" w:eastAsia="宋体" w:cs="宋体"/>
          <w:color w:val="0000FF"/>
          <w:sz w:val="24"/>
          <w:highlight w:val="none"/>
          <w:u w:val="single"/>
          <w:lang w:eastAsia="zh-CN"/>
        </w:rPr>
      </w:pPr>
      <w:r>
        <w:rPr>
          <w:rFonts w:hint="eastAsia" w:ascii="宋体" w:hAnsi="宋体" w:cs="宋体"/>
          <w:color w:val="000000" w:themeColor="text1"/>
          <w:sz w:val="24"/>
          <w:highlight w:val="none"/>
          <w14:textFill>
            <w14:solidFill>
              <w14:schemeClr w14:val="tx1"/>
            </w14:solidFill>
          </w14:textFill>
        </w:rPr>
        <w:t>40.1.1本项目对应的中小企</w:t>
      </w:r>
      <w:r>
        <w:rPr>
          <w:rFonts w:hint="eastAsia" w:ascii="宋体" w:hAnsi="宋体" w:cs="宋体"/>
          <w:color w:val="auto"/>
          <w:sz w:val="24"/>
          <w:highlight w:val="none"/>
        </w:rPr>
        <w:t>业划分标准所属行业：</w:t>
      </w:r>
      <w:r>
        <w:rPr>
          <w:rFonts w:hint="eastAsia" w:ascii="Segoe UI" w:hAnsi="Segoe UI" w:cs="Segoe UI"/>
          <w:i w:val="0"/>
          <w:iCs w:val="0"/>
          <w:caps w:val="0"/>
          <w:spacing w:val="0"/>
          <w:sz w:val="24"/>
          <w:szCs w:val="24"/>
          <w:u w:val="single"/>
          <w:shd w:val="clear" w:fill="FFFFFF"/>
          <w:lang w:val="en-US" w:eastAsia="zh-CN"/>
        </w:rPr>
        <w:t>工业</w:t>
      </w:r>
      <w:r>
        <w:rPr>
          <w:rFonts w:hint="eastAsia" w:ascii="Segoe UI" w:hAnsi="Segoe UI" w:eastAsia="宋体" w:cs="Segoe UI"/>
          <w:i w:val="0"/>
          <w:iCs w:val="0"/>
          <w:caps w:val="0"/>
          <w:color w:val="auto"/>
          <w:spacing w:val="0"/>
          <w:sz w:val="24"/>
          <w:szCs w:val="24"/>
          <w:u w:val="none"/>
          <w:shd w:val="clear" w:fill="FFFFFF"/>
          <w:lang w:eastAsia="zh-CN"/>
        </w:rPr>
        <w:t>。</w:t>
      </w:r>
    </w:p>
    <w:p w14:paraId="27BE257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14:paraId="353A88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40.1.3符合中小企业划分标准的个体工商户，在政府采购活动中视同中小企业。</w:t>
      </w:r>
    </w:p>
    <w:p w14:paraId="241A49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40.1.4在政府采购活动中，供应商提供的货物、工程或者服务符合下列情形的，可享受小型、微型企业（以下简称小微企业）的价格扣除：</w:t>
      </w:r>
    </w:p>
    <w:p w14:paraId="595BF1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（1）在货物采购项目中，货物由小微企业制造，即货物由小微企业生产且使用该小微企业商号或者注册商标；</w:t>
      </w:r>
    </w:p>
    <w:p w14:paraId="17C12A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（2）在工程采购项目中，工程由小微企业承建，即工程施工单位为小微企业；</w:t>
      </w:r>
    </w:p>
    <w:p w14:paraId="7332AC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14:paraId="7FA5B36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以联合体形式参加政府采购活动，联合体各方均为小微企业的，联合体视同小微企业。</w:t>
      </w:r>
    </w:p>
    <w:p w14:paraId="1A3A2B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40.1.5在货物采购项目中，供应商提供的货物既有中小企业制造货物，也有大型企业制造货物的，不享受的小微企业价格扣除。</w:t>
      </w:r>
    </w:p>
    <w:p w14:paraId="3E034C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40.1.6本项目对符合《政府采购促进中小企业发展管理办法》（财库﹝2020﹞46号）规定的小微企业报价给予 20%的扣除，用扣除后的价格参加评审。</w:t>
      </w:r>
    </w:p>
    <w:p w14:paraId="7047E3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69B6E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40.1.7中小企业应按照采购文件格式要求提供《中小企业声明函》。</w:t>
      </w:r>
    </w:p>
    <w:p w14:paraId="53372F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AF09A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14:paraId="49A0E4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40.1.10按规定享受扶持政策获得政府采购合同的，小微企业不得将合同分包给大中型企业，中型企业不得将合同分包给大型企业。</w:t>
      </w:r>
    </w:p>
    <w:p w14:paraId="14516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14:paraId="098CA772">
      <w:pPr>
        <w:pStyle w:val="5"/>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  其他事项</w:t>
      </w:r>
      <w:bookmarkEnd w:id="71"/>
      <w:bookmarkEnd w:id="72"/>
      <w:bookmarkEnd w:id="73"/>
      <w:bookmarkEnd w:id="74"/>
      <w:bookmarkEnd w:id="75"/>
      <w:bookmarkEnd w:id="81"/>
    </w:p>
    <w:p w14:paraId="590014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 解释权 </w:t>
      </w:r>
    </w:p>
    <w:p w14:paraId="74815378">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42.1本招标文件是根据国家有关法律、法规、规章和有关规定编制的,解释权属采购代理机构。</w:t>
      </w:r>
    </w:p>
    <w:p w14:paraId="3FE076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42.2 采购代理机构</w:t>
      </w:r>
      <w:r>
        <w:rPr>
          <w:rFonts w:hint="eastAsia" w:ascii="宋体" w:hAnsi="宋体" w:cs="宋体"/>
          <w:color w:val="000000" w:themeColor="text1"/>
          <w:sz w:val="24"/>
          <w:highlight w:val="none"/>
          <w14:textFill>
            <w14:solidFill>
              <w14:schemeClr w14:val="tx1"/>
            </w14:solidFill>
          </w14:textFill>
        </w:rPr>
        <w:t>对决标结果不负责解释。</w:t>
      </w:r>
    </w:p>
    <w:p w14:paraId="059E22A6">
      <w:pPr>
        <w:spacing w:line="360" w:lineRule="auto"/>
        <w:ind w:firstLine="482" w:firstLineChars="200"/>
        <w:rPr>
          <w:rFonts w:hint="eastAsia" w:ascii="宋体" w:hAnsi="宋体"/>
          <w:b/>
          <w:bCs/>
          <w:color w:val="000000"/>
          <w:sz w:val="24"/>
        </w:rPr>
      </w:pPr>
      <w:r>
        <w:rPr>
          <w:rFonts w:hint="eastAsia" w:ascii="宋体" w:hAnsi="宋体"/>
          <w:b/>
          <w:sz w:val="24"/>
        </w:rPr>
        <w:t>采购代理服务费</w:t>
      </w:r>
      <w:r>
        <w:rPr>
          <w:rFonts w:hint="eastAsia" w:ascii="宋体" w:hAnsi="宋体"/>
          <w:b/>
          <w:sz w:val="24"/>
          <w:lang w:eastAsia="zh-CN"/>
        </w:rPr>
        <w:t>：</w:t>
      </w:r>
      <w:r>
        <w:rPr>
          <w:rFonts w:hint="eastAsia" w:ascii="宋体" w:hAnsi="宋体"/>
          <w:b/>
          <w:bCs/>
          <w:color w:val="000000"/>
          <w:sz w:val="24"/>
        </w:rPr>
        <w:t>由成交人支付代理服务费，</w:t>
      </w:r>
      <w:r>
        <w:rPr>
          <w:rFonts w:ascii="宋体" w:hAnsi="宋体"/>
          <w:b/>
          <w:color w:val="000000"/>
          <w:sz w:val="24"/>
        </w:rPr>
        <w:t>费用</w:t>
      </w:r>
      <w:r>
        <w:rPr>
          <w:rFonts w:hint="eastAsia" w:ascii="宋体" w:hAnsi="宋体"/>
          <w:b/>
          <w:color w:val="000000"/>
          <w:sz w:val="24"/>
        </w:rPr>
        <w:t>以中标总价</w:t>
      </w:r>
      <w:r>
        <w:rPr>
          <w:rFonts w:ascii="宋体" w:hAnsi="宋体"/>
          <w:b/>
          <w:color w:val="000000"/>
          <w:sz w:val="24"/>
        </w:rPr>
        <w:t>按</w:t>
      </w:r>
      <w:r>
        <w:rPr>
          <w:rFonts w:hint="eastAsia" w:ascii="宋体" w:hAnsi="宋体"/>
          <w:b/>
          <w:color w:val="000000"/>
          <w:sz w:val="24"/>
        </w:rPr>
        <w:t>下表收费标准</w:t>
      </w:r>
      <w:r>
        <w:rPr>
          <w:rFonts w:hint="eastAsia" w:ascii="宋体" w:hAnsi="宋体"/>
          <w:b/>
          <w:color w:val="000000"/>
          <w:sz w:val="24"/>
          <w:lang w:val="en-US" w:eastAsia="zh-CN"/>
        </w:rPr>
        <w:t>*70%</w:t>
      </w:r>
      <w:r>
        <w:rPr>
          <w:rFonts w:hint="eastAsia" w:ascii="宋体" w:hAnsi="宋体"/>
          <w:b/>
          <w:color w:val="000000"/>
          <w:sz w:val="24"/>
        </w:rPr>
        <w:t>计取</w:t>
      </w:r>
      <w:r>
        <w:rPr>
          <w:rFonts w:hint="eastAsia" w:ascii="宋体" w:hAnsi="宋体"/>
          <w:b/>
          <w:color w:val="000000"/>
          <w:sz w:val="24"/>
          <w:lang w:eastAsia="zh-CN"/>
        </w:rPr>
        <w:t>（</w:t>
      </w:r>
      <w:r>
        <w:rPr>
          <w:rFonts w:hint="eastAsia" w:ascii="宋体" w:hAnsi="宋体"/>
          <w:b/>
          <w:color w:val="000000"/>
          <w:sz w:val="24"/>
          <w:lang w:val="en-US" w:eastAsia="zh-CN"/>
        </w:rPr>
        <w:t>不足4500元按4500元计取</w:t>
      </w:r>
      <w:r>
        <w:rPr>
          <w:rFonts w:hint="eastAsia" w:ascii="宋体" w:hAnsi="宋体"/>
          <w:b/>
          <w:color w:val="000000"/>
          <w:sz w:val="24"/>
          <w:lang w:eastAsia="zh-CN"/>
        </w:rPr>
        <w:t>）</w:t>
      </w:r>
      <w:r>
        <w:rPr>
          <w:rFonts w:hint="eastAsia" w:ascii="宋体" w:hAnsi="宋体"/>
          <w:b/>
          <w:color w:val="000000"/>
          <w:sz w:val="24"/>
        </w:rPr>
        <w:t>，采用差额累进法计算，</w:t>
      </w:r>
      <w:r>
        <w:rPr>
          <w:rFonts w:hint="eastAsia" w:ascii="宋体" w:hAnsi="宋体"/>
          <w:b/>
          <w:color w:val="000000"/>
          <w:sz w:val="24"/>
          <w:lang w:eastAsia="zh-CN"/>
        </w:rPr>
        <w:t>成交供应商</w:t>
      </w:r>
      <w:r>
        <w:rPr>
          <w:rFonts w:hint="eastAsia" w:ascii="宋体" w:hAnsi="宋体"/>
          <w:b/>
          <w:color w:val="000000"/>
          <w:sz w:val="24"/>
        </w:rPr>
        <w:t>在中标公告发布之日起5个工作日内向采购代理机构一次性付清。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4"/>
        <w:gridCol w:w="3358"/>
      </w:tblGrid>
      <w:tr w14:paraId="625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40D62D63">
            <w:pPr>
              <w:jc w:val="center"/>
              <w:rPr>
                <w:rFonts w:hint="eastAsia" w:ascii="宋体" w:hAnsi="宋体"/>
                <w:b/>
                <w:color w:val="000000"/>
                <w:sz w:val="24"/>
              </w:rPr>
            </w:pPr>
            <w:r>
              <w:rPr>
                <w:rFonts w:hint="eastAsia" w:ascii="宋体" w:hAnsi="宋体"/>
                <w:b/>
                <w:color w:val="000000"/>
                <w:sz w:val="24"/>
              </w:rPr>
              <w:t>成交金额（万元）</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35A42962">
            <w:pPr>
              <w:jc w:val="center"/>
              <w:rPr>
                <w:rFonts w:hint="eastAsia" w:ascii="宋体" w:hAnsi="宋体"/>
                <w:b/>
                <w:color w:val="000000"/>
                <w:sz w:val="24"/>
              </w:rPr>
            </w:pPr>
            <w:r>
              <w:rPr>
                <w:rFonts w:hint="eastAsia" w:ascii="宋体" w:hAnsi="宋体"/>
                <w:b/>
                <w:color w:val="000000"/>
                <w:sz w:val="24"/>
              </w:rPr>
              <w:t>收费标准</w:t>
            </w:r>
          </w:p>
        </w:tc>
      </w:tr>
      <w:tr w14:paraId="5E4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4EEB241C">
            <w:pPr>
              <w:jc w:val="center"/>
              <w:rPr>
                <w:rFonts w:hint="eastAsia" w:ascii="宋体" w:hAnsi="宋体"/>
                <w:b/>
                <w:color w:val="000000"/>
                <w:sz w:val="24"/>
              </w:rPr>
            </w:pPr>
            <w:r>
              <w:rPr>
                <w:rFonts w:hint="eastAsia" w:ascii="宋体" w:hAnsi="宋体"/>
                <w:b/>
                <w:color w:val="000000"/>
                <w:sz w:val="24"/>
              </w:rPr>
              <w:t>100以下</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780AAE1D">
            <w:pPr>
              <w:jc w:val="center"/>
              <w:rPr>
                <w:rFonts w:hint="eastAsia" w:ascii="宋体" w:hAnsi="宋体"/>
                <w:b/>
                <w:color w:val="000000"/>
                <w:sz w:val="24"/>
              </w:rPr>
            </w:pPr>
            <w:r>
              <w:rPr>
                <w:rFonts w:hint="eastAsia" w:ascii="宋体" w:hAnsi="宋体"/>
                <w:b/>
                <w:color w:val="000000"/>
                <w:sz w:val="24"/>
              </w:rPr>
              <w:t>1.5%</w:t>
            </w:r>
          </w:p>
        </w:tc>
      </w:tr>
      <w:tr w14:paraId="7172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3A9F73BE">
            <w:pPr>
              <w:jc w:val="center"/>
              <w:rPr>
                <w:rFonts w:hint="eastAsia" w:ascii="宋体" w:hAnsi="宋体"/>
                <w:b/>
                <w:color w:val="000000"/>
                <w:sz w:val="24"/>
              </w:rPr>
            </w:pPr>
            <w:r>
              <w:rPr>
                <w:rFonts w:hint="eastAsia" w:ascii="宋体" w:hAnsi="宋体"/>
                <w:b/>
                <w:color w:val="000000"/>
                <w:sz w:val="24"/>
              </w:rPr>
              <w:t>100-500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16981271">
            <w:pPr>
              <w:jc w:val="center"/>
              <w:rPr>
                <w:rFonts w:hint="eastAsia" w:ascii="宋体" w:hAnsi="宋体"/>
                <w:b/>
                <w:color w:val="000000"/>
                <w:sz w:val="24"/>
              </w:rPr>
            </w:pPr>
            <w:r>
              <w:rPr>
                <w:rFonts w:hint="eastAsia" w:ascii="宋体" w:hAnsi="宋体"/>
                <w:b/>
                <w:color w:val="000000"/>
                <w:sz w:val="24"/>
              </w:rPr>
              <w:t>0.8%</w:t>
            </w:r>
          </w:p>
        </w:tc>
      </w:tr>
      <w:tr w14:paraId="4525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0059B423">
            <w:pPr>
              <w:jc w:val="center"/>
              <w:rPr>
                <w:rFonts w:hint="eastAsia" w:ascii="宋体" w:hAnsi="宋体"/>
                <w:b/>
                <w:color w:val="000000"/>
                <w:sz w:val="24"/>
              </w:rPr>
            </w:pPr>
            <w:r>
              <w:rPr>
                <w:rFonts w:hint="eastAsia" w:ascii="宋体" w:hAnsi="宋体"/>
                <w:b/>
                <w:color w:val="000000"/>
                <w:sz w:val="24"/>
              </w:rPr>
              <w:t>500-1000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73B45845">
            <w:pPr>
              <w:jc w:val="center"/>
              <w:rPr>
                <w:rFonts w:hint="eastAsia" w:ascii="宋体" w:hAnsi="宋体"/>
                <w:b/>
                <w:color w:val="000000"/>
                <w:sz w:val="24"/>
              </w:rPr>
            </w:pPr>
            <w:r>
              <w:rPr>
                <w:rFonts w:hint="eastAsia" w:ascii="宋体" w:hAnsi="宋体"/>
                <w:b/>
                <w:color w:val="000000"/>
                <w:sz w:val="24"/>
              </w:rPr>
              <w:t>0.45%</w:t>
            </w:r>
          </w:p>
        </w:tc>
      </w:tr>
      <w:tr w14:paraId="13E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14D0D095">
            <w:pPr>
              <w:jc w:val="center"/>
              <w:rPr>
                <w:rFonts w:hint="eastAsia" w:ascii="宋体" w:hAnsi="宋体"/>
                <w:b/>
                <w:color w:val="000000"/>
                <w:sz w:val="24"/>
              </w:rPr>
            </w:pPr>
            <w:r>
              <w:rPr>
                <w:rFonts w:hint="eastAsia" w:ascii="宋体" w:hAnsi="宋体"/>
                <w:b/>
                <w:color w:val="000000"/>
                <w:sz w:val="24"/>
              </w:rPr>
              <w:t>1000-5000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1B12ABB7">
            <w:pPr>
              <w:jc w:val="center"/>
              <w:rPr>
                <w:rFonts w:hint="eastAsia" w:ascii="宋体" w:hAnsi="宋体"/>
                <w:b/>
                <w:color w:val="000000"/>
                <w:sz w:val="24"/>
              </w:rPr>
            </w:pPr>
            <w:r>
              <w:rPr>
                <w:rFonts w:hint="eastAsia" w:ascii="宋体" w:hAnsi="宋体"/>
                <w:b/>
                <w:color w:val="000000"/>
                <w:sz w:val="24"/>
              </w:rPr>
              <w:t>0.25%</w:t>
            </w:r>
          </w:p>
        </w:tc>
      </w:tr>
    </w:tbl>
    <w:p w14:paraId="67F143D1">
      <w:pP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br w:type="page"/>
      </w:r>
    </w:p>
    <w:p w14:paraId="113F363A">
      <w:pPr>
        <w:autoSpaceDE w:val="0"/>
        <w:snapToGrid w:val="0"/>
        <w:spacing w:before="156" w:after="156" w:line="400" w:lineRule="exact"/>
        <w:jc w:val="center"/>
        <w:rPr>
          <w:rFonts w:hint="eastAsia"/>
          <w:b/>
          <w:color w:val="000000" w:themeColor="text1"/>
          <w:sz w:val="36"/>
          <w:szCs w:val="44"/>
          <w:lang w:eastAsia="zh-CN"/>
          <w14:textFill>
            <w14:solidFill>
              <w14:schemeClr w14:val="tx1"/>
            </w14:solidFill>
          </w14:textFill>
        </w:rPr>
      </w:pPr>
      <w:bookmarkStart w:id="82" w:name="_Toc27895_WPSOffice_Level1"/>
      <w:bookmarkStart w:id="83" w:name="_Toc1223"/>
      <w:bookmarkStart w:id="84" w:name="_Toc5762"/>
      <w:r>
        <w:rPr>
          <w:rFonts w:hint="eastAsia"/>
          <w:b/>
          <w:color w:val="000000" w:themeColor="text1"/>
          <w:sz w:val="36"/>
          <w:szCs w:val="44"/>
          <w:lang w:eastAsia="zh-CN"/>
          <w14:textFill>
            <w14:solidFill>
              <w14:schemeClr w14:val="tx1"/>
            </w14:solidFill>
          </w14:textFill>
        </w:rPr>
        <w:t>第三章</w:t>
      </w:r>
      <w:r>
        <w:rPr>
          <w:rFonts w:hint="eastAsia"/>
          <w:b/>
          <w:color w:val="000000" w:themeColor="text1"/>
          <w:sz w:val="36"/>
          <w:szCs w:val="44"/>
          <w:lang w:val="en-US" w:eastAsia="zh-CN"/>
          <w14:textFill>
            <w14:solidFill>
              <w14:schemeClr w14:val="tx1"/>
            </w14:solidFill>
          </w14:textFill>
        </w:rPr>
        <w:t xml:space="preserve">  招标</w:t>
      </w:r>
      <w:r>
        <w:rPr>
          <w:rFonts w:hint="eastAsia"/>
          <w:b/>
          <w:color w:val="000000" w:themeColor="text1"/>
          <w:sz w:val="36"/>
          <w:szCs w:val="44"/>
          <w:lang w:eastAsia="zh-CN"/>
          <w14:textFill>
            <w14:solidFill>
              <w14:schemeClr w14:val="tx1"/>
            </w14:solidFill>
          </w14:textFill>
        </w:rPr>
        <w:t>需求</w:t>
      </w:r>
    </w:p>
    <w:bookmarkEnd w:id="82"/>
    <w:bookmarkEnd w:id="83"/>
    <w:bookmarkEnd w:id="84"/>
    <w:p w14:paraId="65173B3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color w:val="auto"/>
          <w:kern w:val="2"/>
          <w:sz w:val="28"/>
          <w:szCs w:val="28"/>
          <w:lang w:val="en-US" w:eastAsia="zh-CN" w:bidi="ar-SA"/>
        </w:rPr>
      </w:pPr>
      <w:bookmarkStart w:id="85" w:name="_Toc52045529"/>
      <w:bookmarkStart w:id="86" w:name="_Toc31438"/>
      <w:bookmarkStart w:id="87" w:name="_Toc23303"/>
      <w:r>
        <w:rPr>
          <w:rFonts w:hint="eastAsia" w:ascii="宋体" w:hAnsi="宋体" w:eastAsia="宋体" w:cs="宋体"/>
          <w:b/>
          <w:bCs w:val="0"/>
          <w:color w:val="auto"/>
          <w:kern w:val="2"/>
          <w:sz w:val="24"/>
          <w:szCs w:val="24"/>
          <w:lang w:val="en-US" w:eastAsia="zh-CN" w:bidi="ar-SA"/>
        </w:rPr>
        <w:t>一、</w:t>
      </w:r>
      <w:r>
        <w:rPr>
          <w:rFonts w:hint="eastAsia" w:ascii="Times New Roman" w:hAnsi="Times New Roman" w:eastAsia="宋体" w:cs="Times New Roman"/>
          <w:b/>
          <w:color w:val="auto"/>
          <w:kern w:val="2"/>
          <w:sz w:val="28"/>
          <w:szCs w:val="28"/>
          <w:lang w:val="en-US" w:eastAsia="zh-CN" w:bidi="ar-SA"/>
        </w:rPr>
        <w:t>项目采购说</w:t>
      </w:r>
      <w:r>
        <w:rPr>
          <w:rFonts w:hint="eastAsia" w:ascii="Times New Roman" w:hAnsi="Times New Roman" w:cs="Times New Roman"/>
          <w:b/>
          <w:color w:val="auto"/>
          <w:kern w:val="2"/>
          <w:sz w:val="28"/>
          <w:szCs w:val="28"/>
          <w:lang w:val="en-US" w:eastAsia="zh-CN" w:bidi="ar-SA"/>
        </w:rPr>
        <w:t>明</w:t>
      </w:r>
    </w:p>
    <w:p w14:paraId="33249C7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1.本技术规范要求提出的是最低限度的基本技术要求，并未对所有技术细节作出规定，供应商应提供符合本技术要求和国家标准、行业标准的优质产品。</w:t>
      </w:r>
    </w:p>
    <w:p w14:paraId="63DDE89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2.供应商产品与本技术要求不一致时，供应商应在响应文件中予以说明，并由评审小组鉴定供应商产品能否达到要求。</w:t>
      </w:r>
    </w:p>
    <w:p w14:paraId="3E0D03D6">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3.技术要求及标准的执行</w:t>
      </w:r>
    </w:p>
    <w:p w14:paraId="727820B6">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供应商提供的产品应标明所执行的质量标准，若同一标准已颁发新标准，则按最新标准执行。若同一产品同时有几个标准（国家标准、行业标准、企业标准等），则按最高层次的标准执行。</w:t>
      </w:r>
    </w:p>
    <w:p w14:paraId="4096302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须按国家有关规定及标准完成本次采购产品的供货、运输、装卸、就位、安装、调试、技术培训、检验、通过有关部门验收、售后服务、质保期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响应文件须对下列要求作出实质性回应。</w:t>
      </w:r>
    </w:p>
    <w:p w14:paraId="2908F63F">
      <w:pPr>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000000"/>
          <w:sz w:val="24"/>
          <w:szCs w:val="24"/>
          <w:lang w:val="en-US" w:eastAsia="zh-CN"/>
        </w:rPr>
        <w:t>5、中标供应商应当对投标文件真实性负责。如采购单位发现中标供应商提供虚假证明文件或相关产品性能、功能、参数与投标文件承诺不一致（有偏离）或发现中标供应商有转包等行为，采购单位有权随时取消投标人的中标资格或终止合同，并保留向相关监督管理部门投诉投标人弄虚作假行为、向投标人提出赔偿采购单位损失的要求（赔偿金额不限于合同金额）的权利。</w:t>
      </w:r>
    </w:p>
    <w:bookmarkEnd w:id="85"/>
    <w:p w14:paraId="183265B2">
      <w:pPr>
        <w:pStyle w:val="5"/>
        <w:keepNext w:val="0"/>
        <w:keepLines w:val="0"/>
        <w:spacing w:after="0"/>
        <w:ind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二、项目采购需求</w:t>
      </w:r>
    </w:p>
    <w:tbl>
      <w:tblPr>
        <w:tblStyle w:val="29"/>
        <w:tblW w:w="10267" w:type="dxa"/>
        <w:jc w:val="center"/>
        <w:tblLayout w:type="fixed"/>
        <w:tblCellMar>
          <w:top w:w="0" w:type="dxa"/>
          <w:left w:w="108" w:type="dxa"/>
          <w:bottom w:w="0" w:type="dxa"/>
          <w:right w:w="108" w:type="dxa"/>
        </w:tblCellMar>
      </w:tblPr>
      <w:tblGrid>
        <w:gridCol w:w="820"/>
        <w:gridCol w:w="1175"/>
        <w:gridCol w:w="750"/>
        <w:gridCol w:w="750"/>
        <w:gridCol w:w="6772"/>
      </w:tblGrid>
      <w:tr w14:paraId="539AF5DD">
        <w:tblPrEx>
          <w:tblCellMar>
            <w:top w:w="0" w:type="dxa"/>
            <w:left w:w="108" w:type="dxa"/>
            <w:bottom w:w="0" w:type="dxa"/>
            <w:right w:w="108" w:type="dxa"/>
          </w:tblCellMar>
        </w:tblPrEx>
        <w:trPr>
          <w:trHeight w:val="631"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1A8EC55">
            <w:pPr>
              <w:widowControl/>
              <w:jc w:val="center"/>
              <w:textAlignment w:val="center"/>
              <w:rPr>
                <w:rFonts w:hint="eastAsia" w:ascii="宋体" w:hAnsi="宋体" w:cs="仿宋"/>
                <w:bCs/>
                <w:kern w:val="0"/>
                <w:sz w:val="24"/>
                <w:szCs w:val="24"/>
                <w:shd w:val="clear" w:color="auto" w:fill="FFFFFF"/>
              </w:rPr>
            </w:pPr>
            <w:bookmarkStart w:id="88" w:name="_Toc11787892"/>
            <w:bookmarkStart w:id="89" w:name="_Toc13055142"/>
            <w:bookmarkStart w:id="90" w:name="_Toc8297"/>
            <w:r>
              <w:rPr>
                <w:rStyle w:val="125"/>
                <w:rFonts w:hint="eastAsia" w:ascii="宋体" w:hAnsi="宋体" w:eastAsia="宋体" w:cs="仿宋"/>
                <w:sz w:val="24"/>
                <w:szCs w:val="24"/>
                <w:lang w:bidi="ar"/>
              </w:rPr>
              <w:t>序号</w:t>
            </w:r>
          </w:p>
        </w:tc>
        <w:tc>
          <w:tcPr>
            <w:tcW w:w="1175" w:type="dxa"/>
            <w:tcBorders>
              <w:top w:val="single" w:color="auto" w:sz="4" w:space="0"/>
              <w:left w:val="nil"/>
              <w:bottom w:val="single" w:color="auto" w:sz="4" w:space="0"/>
              <w:right w:val="single" w:color="auto" w:sz="4" w:space="0"/>
            </w:tcBorders>
            <w:vAlign w:val="center"/>
          </w:tcPr>
          <w:p w14:paraId="187F374C">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名称</w:t>
            </w:r>
          </w:p>
        </w:tc>
        <w:tc>
          <w:tcPr>
            <w:tcW w:w="750" w:type="dxa"/>
            <w:tcBorders>
              <w:top w:val="single" w:color="auto" w:sz="4" w:space="0"/>
              <w:left w:val="nil"/>
              <w:bottom w:val="single" w:color="auto" w:sz="4" w:space="0"/>
              <w:right w:val="single" w:color="auto" w:sz="4" w:space="0"/>
            </w:tcBorders>
            <w:vAlign w:val="center"/>
          </w:tcPr>
          <w:p w14:paraId="63791DD9">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单位</w:t>
            </w:r>
          </w:p>
        </w:tc>
        <w:tc>
          <w:tcPr>
            <w:tcW w:w="750" w:type="dxa"/>
            <w:tcBorders>
              <w:top w:val="single" w:color="auto" w:sz="4" w:space="0"/>
              <w:left w:val="nil"/>
              <w:bottom w:val="single" w:color="auto" w:sz="4" w:space="0"/>
              <w:right w:val="single" w:color="auto" w:sz="4" w:space="0"/>
            </w:tcBorders>
            <w:vAlign w:val="center"/>
          </w:tcPr>
          <w:p w14:paraId="387AF35C">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数量</w:t>
            </w:r>
          </w:p>
        </w:tc>
        <w:tc>
          <w:tcPr>
            <w:tcW w:w="6772" w:type="dxa"/>
            <w:tcBorders>
              <w:top w:val="single" w:color="auto" w:sz="4" w:space="0"/>
              <w:left w:val="nil"/>
              <w:bottom w:val="single" w:color="auto" w:sz="4" w:space="0"/>
              <w:right w:val="single" w:color="auto" w:sz="4" w:space="0"/>
            </w:tcBorders>
            <w:vAlign w:val="center"/>
          </w:tcPr>
          <w:p w14:paraId="5FD6EEFB">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技术参数、配置</w:t>
            </w:r>
          </w:p>
        </w:tc>
      </w:tr>
      <w:tr w14:paraId="6DE28147">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AD70196">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1</w:t>
            </w:r>
          </w:p>
        </w:tc>
        <w:tc>
          <w:tcPr>
            <w:tcW w:w="1175" w:type="dxa"/>
            <w:tcBorders>
              <w:top w:val="single" w:color="auto" w:sz="4" w:space="0"/>
              <w:left w:val="nil"/>
              <w:bottom w:val="single" w:color="auto" w:sz="4" w:space="0"/>
              <w:right w:val="single" w:color="auto" w:sz="4" w:space="0"/>
            </w:tcBorders>
            <w:vAlign w:val="center"/>
          </w:tcPr>
          <w:p w14:paraId="2564E3AF">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桔红色阻燃服（包括头盔、手套、防扎鞋、腰带）</w:t>
            </w:r>
          </w:p>
        </w:tc>
        <w:tc>
          <w:tcPr>
            <w:tcW w:w="750" w:type="dxa"/>
            <w:tcBorders>
              <w:top w:val="single" w:color="auto" w:sz="4" w:space="0"/>
              <w:left w:val="nil"/>
              <w:bottom w:val="single" w:color="auto" w:sz="4" w:space="0"/>
              <w:right w:val="single" w:color="auto" w:sz="4" w:space="0"/>
            </w:tcBorders>
            <w:vAlign w:val="center"/>
          </w:tcPr>
          <w:p w14:paraId="2A7F84B8">
            <w:pPr>
              <w:widowControl/>
              <w:jc w:val="center"/>
              <w:textAlignment w:val="center"/>
              <w:rPr>
                <w:rFonts w:hint="eastAsia" w:ascii="宋体" w:hAnsi="宋体" w:cs="仿宋"/>
                <w:b w:val="0"/>
                <w:bCs w:val="0"/>
                <w:sz w:val="24"/>
                <w:szCs w:val="24"/>
              </w:rPr>
            </w:pPr>
            <w:r>
              <w:rPr>
                <w:rStyle w:val="128"/>
                <w:rFonts w:hint="eastAsia" w:ascii="宋体" w:hAnsi="宋体" w:eastAsia="宋体" w:cs="仿宋"/>
                <w:b w:val="0"/>
                <w:bCs w:val="0"/>
                <w:lang w:bidi="ar"/>
              </w:rPr>
              <w:t>套</w:t>
            </w:r>
          </w:p>
        </w:tc>
        <w:tc>
          <w:tcPr>
            <w:tcW w:w="750" w:type="dxa"/>
            <w:tcBorders>
              <w:top w:val="single" w:color="auto" w:sz="4" w:space="0"/>
              <w:left w:val="nil"/>
              <w:bottom w:val="single" w:color="auto" w:sz="4" w:space="0"/>
              <w:right w:val="single" w:color="auto" w:sz="4" w:space="0"/>
            </w:tcBorders>
            <w:vAlign w:val="center"/>
          </w:tcPr>
          <w:p w14:paraId="79136001">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65</w:t>
            </w:r>
          </w:p>
        </w:tc>
        <w:tc>
          <w:tcPr>
            <w:tcW w:w="6772" w:type="dxa"/>
            <w:tcBorders>
              <w:top w:val="single" w:color="auto" w:sz="4" w:space="0"/>
              <w:left w:val="nil"/>
              <w:bottom w:val="single" w:color="auto" w:sz="4" w:space="0"/>
              <w:right w:val="single" w:color="auto" w:sz="4" w:space="0"/>
            </w:tcBorders>
            <w:vAlign w:val="center"/>
          </w:tcPr>
          <w:p w14:paraId="3E66C290">
            <w:pPr>
              <w:jc w:val="left"/>
              <w:rPr>
                <w:b w:val="0"/>
                <w:bCs w:val="0"/>
              </w:rPr>
            </w:pPr>
            <w:r>
              <w:rPr>
                <w:rFonts w:hint="eastAsia" w:cs="宋体"/>
                <w:b w:val="0"/>
                <w:bCs w:val="0"/>
                <w:sz w:val="24"/>
              </w:rPr>
              <w:t>一</w:t>
            </w:r>
            <w:r>
              <w:rPr>
                <w:rFonts w:hint="eastAsia" w:ascii="宋体" w:hAnsi="宋体" w:cs="宋体"/>
                <w:b w:val="0"/>
                <w:bCs w:val="0"/>
                <w:sz w:val="24"/>
              </w:rPr>
              <w:t>、款式设计</w:t>
            </w:r>
            <w:r>
              <w:rPr>
                <w:rFonts w:hint="eastAsia" w:cs="宋体"/>
                <w:b w:val="0"/>
                <w:bCs w:val="0"/>
                <w:sz w:val="24"/>
              </w:rPr>
              <w:t>要求</w:t>
            </w:r>
            <w:r>
              <w:rPr>
                <w:rFonts w:hint="eastAsia" w:ascii="宋体" w:hAnsi="宋体" w:cs="宋体"/>
                <w:b w:val="0"/>
                <w:bCs w:val="0"/>
                <w:sz w:val="24"/>
              </w:rPr>
              <w:t>：款式、结构、外观及缝制工艺</w:t>
            </w:r>
            <w:r>
              <w:rPr>
                <w:rFonts w:hint="eastAsia" w:cs="宋体"/>
                <w:b w:val="0"/>
                <w:bCs w:val="0"/>
                <w:sz w:val="24"/>
              </w:rPr>
              <w:t>均</w:t>
            </w:r>
            <w:r>
              <w:rPr>
                <w:rFonts w:hint="eastAsia" w:ascii="宋体" w:hAnsi="宋体" w:cs="宋体"/>
                <w:b w:val="0"/>
                <w:bCs w:val="0"/>
                <w:sz w:val="24"/>
              </w:rPr>
              <w:t>符合国家标准；采用金属铜拉链，耐高温易穿脱，粘扣和铜扣结合设计，穿脱方便；上衣底摆、袖口处采用收紧式结构，能有效防止灰尘进入并具有舒适性。贴边采用粘扣，裤口、裤腰处的收紧结构能适应不同腰围尺寸的人员穿着裤腿侧面有2个带盖口袋；裤子需有包裆处理；有行业标志，重点突出行业性和专业性：衣服左臂上缝“森林消防”臂章一个，背后印字“森林消防”（可根据采购方要求）。</w:t>
            </w:r>
          </w:p>
          <w:p w14:paraId="0742D220">
            <w:pPr>
              <w:jc w:val="left"/>
              <w:rPr>
                <w:b w:val="0"/>
                <w:bCs w:val="0"/>
              </w:rPr>
            </w:pPr>
            <w:r>
              <w:rPr>
                <w:rFonts w:hint="eastAsia" w:cs="宋体"/>
                <w:b w:val="0"/>
                <w:bCs w:val="0"/>
                <w:sz w:val="24"/>
              </w:rPr>
              <w:t>二</w:t>
            </w:r>
            <w:r>
              <w:rPr>
                <w:rFonts w:hint="eastAsia" w:ascii="宋体" w:hAnsi="宋体" w:cs="宋体"/>
                <w:b w:val="0"/>
                <w:bCs w:val="0"/>
                <w:sz w:val="24"/>
              </w:rPr>
              <w:t>、性能参数：</w:t>
            </w:r>
          </w:p>
          <w:p w14:paraId="2983D7DD">
            <w:pPr>
              <w:jc w:val="left"/>
              <w:rPr>
                <w:b w:val="0"/>
                <w:bCs w:val="0"/>
              </w:rPr>
            </w:pPr>
            <w:r>
              <w:rPr>
                <w:rFonts w:ascii="宋体" w:hAnsi="宋体" w:cs="宋体"/>
                <w:b w:val="0"/>
                <w:bCs w:val="0"/>
                <w:sz w:val="24"/>
              </w:rPr>
              <w:t>▲</w:t>
            </w:r>
            <w:r>
              <w:rPr>
                <w:rFonts w:hint="eastAsia" w:ascii="宋体" w:hAnsi="宋体" w:cs="宋体"/>
                <w:b w:val="0"/>
                <w:bCs w:val="0"/>
                <w:sz w:val="24"/>
              </w:rPr>
              <w:t>1、面料纤维含量：100%棉；</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41FD02A4">
            <w:pPr>
              <w:jc w:val="left"/>
              <w:rPr>
                <w:b w:val="0"/>
                <w:bCs w:val="0"/>
              </w:rPr>
            </w:pPr>
            <w:r>
              <w:rPr>
                <w:rFonts w:ascii="宋体" w:hAnsi="宋体" w:cs="宋体"/>
                <w:b w:val="0"/>
                <w:bCs w:val="0"/>
                <w:sz w:val="24"/>
              </w:rPr>
              <w:t>▲</w:t>
            </w:r>
            <w:r>
              <w:rPr>
                <w:rFonts w:hint="eastAsia" w:ascii="宋体" w:hAnsi="宋体" w:cs="宋体"/>
                <w:b w:val="0"/>
                <w:bCs w:val="0"/>
                <w:sz w:val="24"/>
              </w:rPr>
              <w:t>2、面料阻燃性（洗涤50次后）：续燃时间≤0.1S、阴燃时间≤0.1S、损毁长度≤20mm 、无熔融滴落现象、热防护系数≥290TPP（kW·s/㎡）；</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225B20C0">
            <w:pPr>
              <w:jc w:val="left"/>
              <w:rPr>
                <w:b w:val="0"/>
                <w:bCs w:val="0"/>
              </w:rPr>
            </w:pPr>
            <w:r>
              <w:rPr>
                <w:rFonts w:hint="eastAsia" w:ascii="宋体" w:hAnsi="宋体" w:cs="宋体"/>
                <w:b w:val="0"/>
                <w:bCs w:val="0"/>
                <w:sz w:val="24"/>
              </w:rPr>
              <w:t>3、面料断裂强力（洗涤50次后）：经向（T）≥1000N，纬向（W）≥750N；</w:t>
            </w:r>
          </w:p>
          <w:p w14:paraId="1D04310E">
            <w:pPr>
              <w:jc w:val="left"/>
              <w:rPr>
                <w:b w:val="0"/>
                <w:bCs w:val="0"/>
              </w:rPr>
            </w:pPr>
            <w:r>
              <w:rPr>
                <w:rFonts w:hint="eastAsia" w:ascii="宋体" w:hAnsi="宋体" w:cs="宋体"/>
                <w:b w:val="0"/>
                <w:bCs w:val="0"/>
                <w:sz w:val="24"/>
              </w:rPr>
              <w:t>4、面料撕破强力（洗涤前）：经向（T）≥35N，纬向（W）≥35N；</w:t>
            </w:r>
          </w:p>
          <w:p w14:paraId="44DAAE9E">
            <w:pPr>
              <w:jc w:val="left"/>
              <w:rPr>
                <w:b w:val="0"/>
                <w:bCs w:val="0"/>
              </w:rPr>
            </w:pPr>
            <w:r>
              <w:rPr>
                <w:rFonts w:hint="eastAsia" w:ascii="宋体" w:hAnsi="宋体" w:cs="宋体"/>
                <w:b w:val="0"/>
                <w:bCs w:val="0"/>
                <w:sz w:val="24"/>
              </w:rPr>
              <w:t>5、面料透湿量：≥6300g/（㎡·24h）；</w:t>
            </w:r>
          </w:p>
          <w:p w14:paraId="1469B6A6">
            <w:pPr>
              <w:jc w:val="left"/>
              <w:rPr>
                <w:b w:val="0"/>
                <w:bCs w:val="0"/>
              </w:rPr>
            </w:pPr>
            <w:r>
              <w:rPr>
                <w:rFonts w:hint="eastAsia" w:ascii="宋体" w:hAnsi="宋体" w:cs="宋体"/>
                <w:b w:val="0"/>
                <w:bCs w:val="0"/>
                <w:sz w:val="24"/>
              </w:rPr>
              <w:t>6、成品水洗尺寸变化率：-1.0％～+1.0％；</w:t>
            </w:r>
          </w:p>
          <w:p w14:paraId="3690AA37">
            <w:pPr>
              <w:jc w:val="left"/>
              <w:rPr>
                <w:b w:val="0"/>
                <w:bCs w:val="0"/>
              </w:rPr>
            </w:pPr>
            <w:r>
              <w:rPr>
                <w:rFonts w:hint="eastAsia" w:ascii="宋体" w:hAnsi="宋体" w:cs="宋体"/>
                <w:b w:val="0"/>
                <w:bCs w:val="0"/>
                <w:sz w:val="24"/>
              </w:rPr>
              <w:t>7、面料热稳定性：≤-1.0%（260℃±5℃）；</w:t>
            </w:r>
          </w:p>
          <w:p w14:paraId="66DEC463">
            <w:pPr>
              <w:jc w:val="left"/>
              <w:rPr>
                <w:b w:val="0"/>
                <w:bCs w:val="0"/>
              </w:rPr>
            </w:pPr>
            <w:r>
              <w:rPr>
                <w:rFonts w:hint="eastAsia" w:ascii="宋体" w:hAnsi="宋体" w:cs="宋体"/>
                <w:b w:val="0"/>
                <w:bCs w:val="0"/>
                <w:sz w:val="24"/>
              </w:rPr>
              <w:t>8、色牢度/级：耐洗色牢度：≥4级、耐水色牢度：≥4级、耐摩擦色牢度：≥4级、耐酸汗渍色牢度：≥4级、耐碱汗渍色牢度：≥4级。</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0B2103F4">
            <w:pPr>
              <w:jc w:val="left"/>
              <w:rPr>
                <w:b w:val="0"/>
                <w:bCs w:val="0"/>
              </w:rPr>
            </w:pPr>
            <w:r>
              <w:rPr>
                <w:rFonts w:hint="eastAsia" w:ascii="宋体" w:hAnsi="宋体" w:cs="宋体"/>
                <w:b w:val="0"/>
                <w:bCs w:val="0"/>
                <w:sz w:val="24"/>
              </w:rPr>
              <w:t>9、甲醛含量：未检出。</w:t>
            </w:r>
          </w:p>
          <w:p w14:paraId="0CA15008">
            <w:pPr>
              <w:jc w:val="left"/>
              <w:rPr>
                <w:b w:val="0"/>
                <w:bCs w:val="0"/>
              </w:rPr>
            </w:pPr>
            <w:r>
              <w:rPr>
                <w:rFonts w:hint="eastAsia" w:ascii="宋体" w:hAnsi="宋体" w:cs="宋体"/>
                <w:b w:val="0"/>
                <w:bCs w:val="0"/>
                <w:sz w:val="24"/>
              </w:rPr>
              <w:t>10、PH值：6.0-8.0；</w:t>
            </w:r>
          </w:p>
          <w:p w14:paraId="2387F2B6">
            <w:pPr>
              <w:jc w:val="left"/>
              <w:rPr>
                <w:b/>
                <w:bCs/>
              </w:rPr>
            </w:pPr>
            <w:r>
              <w:rPr>
                <w:rFonts w:ascii="宋体" w:hAnsi="宋体" w:cs="宋体"/>
                <w:b w:val="0"/>
                <w:bCs w:val="0"/>
                <w:sz w:val="24"/>
              </w:rPr>
              <w:t>★</w:t>
            </w:r>
            <w:r>
              <w:rPr>
                <w:rFonts w:hint="eastAsia" w:ascii="宋体" w:hAnsi="宋体" w:cs="宋体"/>
                <w:b w:val="0"/>
                <w:bCs w:val="0"/>
                <w:sz w:val="24"/>
              </w:rPr>
              <w:t>11、缝纫线性能：断裂强力≥12N、在（260±5）℃环境中，经过5分钟热稳 定性试验后，不熔融，无烧焦现象。</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3177059D">
            <w:pPr>
              <w:jc w:val="left"/>
              <w:rPr>
                <w:b w:val="0"/>
                <w:bCs w:val="0"/>
              </w:rPr>
            </w:pPr>
            <w:r>
              <w:rPr>
                <w:rFonts w:ascii="宋体" w:hAnsi="宋体" w:cs="宋体"/>
                <w:b w:val="0"/>
                <w:bCs w:val="0"/>
                <w:sz w:val="24"/>
              </w:rPr>
              <w:t>★</w:t>
            </w:r>
            <w:r>
              <w:rPr>
                <w:rFonts w:hint="eastAsia" w:ascii="宋体" w:hAnsi="宋体" w:cs="宋体"/>
                <w:b w:val="0"/>
                <w:bCs w:val="0"/>
                <w:sz w:val="24"/>
              </w:rPr>
              <w:t>12、缝制针距：≥12针/3CM；</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3E1F152D">
            <w:pPr>
              <w:jc w:val="left"/>
              <w:rPr>
                <w:b w:val="0"/>
                <w:bCs w:val="0"/>
              </w:rPr>
            </w:pPr>
            <w:r>
              <w:rPr>
                <w:rFonts w:ascii="宋体" w:hAnsi="宋体" w:cs="宋体"/>
                <w:b w:val="0"/>
                <w:bCs w:val="0"/>
                <w:sz w:val="24"/>
              </w:rPr>
              <w:t>★</w:t>
            </w:r>
            <w:r>
              <w:rPr>
                <w:rFonts w:hint="eastAsia" w:ascii="宋体" w:hAnsi="宋体" w:cs="宋体"/>
                <w:b w:val="0"/>
                <w:bCs w:val="0"/>
                <w:sz w:val="24"/>
              </w:rPr>
              <w:t>13、接缝强力：肩缝接缝强力≥320N、后裆接缝强力≥550N；</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497C4194">
            <w:pPr>
              <w:jc w:val="left"/>
              <w:rPr>
                <w:b/>
                <w:bCs/>
              </w:rPr>
            </w:pPr>
            <w:r>
              <w:rPr>
                <w:rFonts w:ascii="宋体" w:hAnsi="宋体" w:cs="宋体"/>
                <w:b w:val="0"/>
                <w:bCs w:val="0"/>
                <w:sz w:val="24"/>
              </w:rPr>
              <w:t>▲</w:t>
            </w:r>
            <w:r>
              <w:rPr>
                <w:rFonts w:hint="eastAsia" w:ascii="宋体" w:hAnsi="宋体" w:cs="宋体"/>
                <w:b w:val="0"/>
                <w:bCs w:val="0"/>
                <w:sz w:val="24"/>
              </w:rPr>
              <w:t>14、成品带点电荷量：≤0.1μC/件；</w:t>
            </w:r>
            <w:r>
              <w:rPr>
                <w:rFonts w:hint="eastAsia" w:ascii="宋体" w:hAnsi="宋体" w:cs="宋体"/>
                <w:b/>
                <w:bCs/>
                <w:sz w:val="24"/>
              </w:rPr>
              <w:t>（提供</w:t>
            </w:r>
            <w:r>
              <w:rPr>
                <w:rFonts w:hint="eastAsia" w:cs="宋体"/>
                <w:b/>
                <w:bCs/>
                <w:sz w:val="24"/>
              </w:rPr>
              <w:t>证明材料</w:t>
            </w:r>
            <w:r>
              <w:rPr>
                <w:rFonts w:hint="eastAsia" w:ascii="宋体" w:hAnsi="宋体" w:cs="宋体"/>
                <w:b/>
                <w:bCs/>
                <w:sz w:val="24"/>
              </w:rPr>
              <w:t>）</w:t>
            </w:r>
          </w:p>
          <w:p w14:paraId="48530196">
            <w:pPr>
              <w:jc w:val="left"/>
              <w:rPr>
                <w:rFonts w:hint="eastAsia" w:ascii="宋体" w:hAnsi="宋体" w:cs="宋体"/>
                <w:b/>
                <w:bCs/>
                <w:sz w:val="24"/>
              </w:rPr>
            </w:pPr>
            <w:r>
              <w:rPr>
                <w:rFonts w:hint="eastAsia" w:cs="宋体"/>
                <w:b/>
                <w:bCs/>
                <w:sz w:val="24"/>
              </w:rPr>
              <w:t>证明材料</w:t>
            </w:r>
            <w:r>
              <w:rPr>
                <w:rFonts w:hint="eastAsia" w:ascii="宋体" w:hAnsi="宋体" w:cs="宋体"/>
                <w:b/>
                <w:bCs/>
                <w:sz w:val="24"/>
              </w:rPr>
              <w:t>要求：需提供国家认证或认可的第三方质量监督</w:t>
            </w:r>
            <w:r>
              <w:rPr>
                <w:rFonts w:hint="eastAsia" w:cs="宋体"/>
                <w:b/>
                <w:bCs/>
                <w:sz w:val="24"/>
              </w:rPr>
              <w:t>检验</w:t>
            </w:r>
            <w:r>
              <w:rPr>
                <w:rFonts w:hint="eastAsia" w:ascii="宋体" w:hAnsi="宋体" w:cs="宋体"/>
                <w:b/>
                <w:bCs/>
                <w:sz w:val="24"/>
              </w:rPr>
              <w:t>机构出具的</w:t>
            </w:r>
            <w:r>
              <w:rPr>
                <w:rFonts w:hint="eastAsia" w:cs="宋体"/>
                <w:b/>
                <w:bCs/>
                <w:sz w:val="24"/>
              </w:rPr>
              <w:t>检验</w:t>
            </w:r>
            <w:r>
              <w:rPr>
                <w:rFonts w:hint="eastAsia" w:ascii="宋体" w:hAnsi="宋体" w:cs="宋体"/>
                <w:b/>
                <w:bCs/>
                <w:sz w:val="24"/>
              </w:rPr>
              <w:t>报告复印件，</w:t>
            </w:r>
            <w:r>
              <w:rPr>
                <w:rFonts w:hint="eastAsia" w:cs="宋体"/>
                <w:b/>
                <w:bCs/>
                <w:sz w:val="24"/>
              </w:rPr>
              <w:t>检验</w:t>
            </w:r>
            <w:r>
              <w:rPr>
                <w:rFonts w:hint="eastAsia" w:ascii="宋体" w:hAnsi="宋体" w:cs="宋体"/>
                <w:b/>
                <w:bCs/>
                <w:sz w:val="24"/>
              </w:rPr>
              <w:t>报告需具有ILAC-MRA、CNAS、CMA认证标志及官方防伪扫描二维码。</w:t>
            </w:r>
          </w:p>
          <w:p w14:paraId="4D0E5E02">
            <w:pPr>
              <w:ind w:firstLine="482" w:firstLineChars="200"/>
              <w:jc w:val="left"/>
              <w:rPr>
                <w:rFonts w:hint="eastAsia" w:ascii="宋体" w:hAnsi="宋体" w:cs="仿宋"/>
                <w:b w:val="0"/>
                <w:bCs w:val="0"/>
                <w:kern w:val="0"/>
                <w:sz w:val="24"/>
                <w:szCs w:val="24"/>
                <w:lang w:bidi="ar"/>
              </w:rPr>
            </w:pPr>
            <w:r>
              <w:rPr>
                <w:rFonts w:hint="eastAsia" w:ascii="宋体" w:hAnsi="宋体" w:cs="宋体"/>
                <w:b/>
                <w:bCs/>
                <w:sz w:val="24"/>
                <w:lang w:val="en-US" w:eastAsia="zh-CN"/>
              </w:rPr>
              <w:t>成交后供应商</w:t>
            </w:r>
            <w:r>
              <w:rPr>
                <w:rFonts w:hint="eastAsia" w:cs="宋体"/>
                <w:b/>
                <w:bCs/>
                <w:sz w:val="24"/>
              </w:rPr>
              <w:t>需于本项目成交公告后3个工作日内，提供检验报告原件供采购人核查。</w:t>
            </w:r>
            <w:r>
              <w:rPr>
                <w:rFonts w:ascii="宋体" w:hAnsi="宋体" w:cs="仿宋"/>
                <w:b w:val="0"/>
                <w:bCs w:val="0"/>
                <w:kern w:val="0"/>
                <w:sz w:val="24"/>
                <w:szCs w:val="24"/>
                <w:lang w:bidi="ar"/>
              </w:rPr>
              <w:t xml:space="preserve"> </w:t>
            </w:r>
          </w:p>
          <w:p w14:paraId="3B395AF4">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配置：</w:t>
            </w:r>
          </w:p>
          <w:p w14:paraId="22630F85">
            <w:pPr>
              <w:spacing w:line="276" w:lineRule="auto"/>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1.头盔: 头盔结构：盔体、内衬、面罩、标识、收缩式头灯组成；材料：盔体采用ABS阻燃工程塑料，一次性压模而成，耐敲击，耐高温；内衬采用减震织带，与盔体连接牢固，衬箍大小可调；面罩：采用耐高温亚克力，可见光透率≥90%；</w:t>
            </w:r>
          </w:p>
          <w:p w14:paraId="4D5722BA">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2.消防手套: 五指手套，面料采用阻燃纱卞面料，有内胆衬里；手心采用防滑点塑阻燃布；手背有反光提示标志；</w:t>
            </w:r>
          </w:p>
          <w:p w14:paraId="7A6A45AF">
            <w:pPr>
              <w:rPr>
                <w:rFonts w:hint="eastAsia" w:ascii="宋体" w:hAnsi="宋体"/>
                <w:b w:val="0"/>
                <w:bCs w:val="0"/>
                <w:sz w:val="24"/>
                <w:lang w:bidi="ar"/>
              </w:rPr>
            </w:pPr>
            <w:r>
              <w:rPr>
                <w:rFonts w:hint="eastAsia" w:ascii="宋体" w:hAnsi="宋体" w:cs="仿宋"/>
                <w:b w:val="0"/>
                <w:bCs w:val="0"/>
                <w:kern w:val="0"/>
                <w:sz w:val="24"/>
                <w:szCs w:val="24"/>
                <w:lang w:bidi="ar"/>
              </w:rPr>
              <w:t>3.防扎鞋：</w:t>
            </w:r>
            <w:r>
              <w:rPr>
                <w:rFonts w:hint="eastAsia" w:ascii="宋体" w:hAnsi="宋体"/>
                <w:b w:val="0"/>
                <w:bCs w:val="0"/>
                <w:sz w:val="24"/>
                <w:lang w:bidi="ar"/>
              </w:rPr>
              <w:t>①外观：采用优质橡胶鞋底，底部采用凯夫拉防刺设计，鞋头易弯折处采用耐磨牛绒材质；</w:t>
            </w:r>
          </w:p>
          <w:p w14:paraId="5A003B44">
            <w:pPr>
              <w:rPr>
                <w:rFonts w:hint="eastAsia" w:ascii="宋体" w:hAnsi="宋体"/>
                <w:b w:val="0"/>
                <w:bCs w:val="0"/>
                <w:sz w:val="24"/>
                <w:lang w:bidi="ar"/>
              </w:rPr>
            </w:pPr>
            <w:r>
              <w:rPr>
                <w:rFonts w:hint="eastAsia" w:ascii="宋体" w:hAnsi="宋体"/>
                <w:b w:val="0"/>
                <w:bCs w:val="0"/>
                <w:sz w:val="24"/>
                <w:lang w:bidi="ar"/>
              </w:rPr>
              <w:t>②颜色：迷彩；</w:t>
            </w:r>
          </w:p>
          <w:p w14:paraId="55EE80BC">
            <w:pPr>
              <w:rPr>
                <w:rFonts w:hint="eastAsia" w:ascii="宋体" w:hAnsi="宋体"/>
                <w:b/>
                <w:bCs/>
                <w:sz w:val="24"/>
                <w:lang w:bidi="ar"/>
              </w:rPr>
            </w:pPr>
            <w:r>
              <w:rPr>
                <w:rFonts w:hint="eastAsia" w:ascii="宋体" w:hAnsi="宋体"/>
                <w:b w:val="0"/>
                <w:bCs w:val="0"/>
                <w:sz w:val="24"/>
                <w:lang w:bidi="ar"/>
              </w:rPr>
              <w:t>★③鞋帮材质：棉≥100%；</w:t>
            </w:r>
            <w:r>
              <w:rPr>
                <w:rFonts w:hint="eastAsia" w:ascii="宋体" w:hAnsi="宋体"/>
                <w:b/>
                <w:bCs/>
                <w:sz w:val="24"/>
                <w:lang w:bidi="ar"/>
              </w:rPr>
              <w:t>（提供证明材料）</w:t>
            </w:r>
          </w:p>
          <w:p w14:paraId="39CD8EC1">
            <w:pPr>
              <w:rPr>
                <w:rFonts w:hint="eastAsia" w:ascii="宋体" w:hAnsi="宋体"/>
                <w:b w:val="0"/>
                <w:bCs w:val="0"/>
                <w:sz w:val="24"/>
                <w:lang w:bidi="ar"/>
              </w:rPr>
            </w:pPr>
            <w:r>
              <w:rPr>
                <w:rFonts w:hint="eastAsia" w:ascii="宋体" w:hAnsi="宋体"/>
                <w:b w:val="0"/>
                <w:bCs w:val="0"/>
                <w:sz w:val="24"/>
                <w:lang w:bidi="ar"/>
              </w:rPr>
              <w:t>★④抗刺穿性：≥1750N；</w:t>
            </w:r>
            <w:r>
              <w:rPr>
                <w:rFonts w:hint="eastAsia" w:ascii="宋体" w:hAnsi="宋体"/>
                <w:b/>
                <w:bCs/>
                <w:sz w:val="24"/>
                <w:lang w:bidi="ar"/>
              </w:rPr>
              <w:t>（提供证明材料）</w:t>
            </w:r>
          </w:p>
          <w:p w14:paraId="1DEA4F84">
            <w:pPr>
              <w:rPr>
                <w:rFonts w:hint="eastAsia" w:ascii="宋体" w:hAnsi="宋体"/>
                <w:b w:val="0"/>
                <w:bCs w:val="0"/>
                <w:sz w:val="24"/>
                <w:lang w:bidi="ar"/>
              </w:rPr>
            </w:pPr>
            <w:r>
              <w:rPr>
                <w:rFonts w:hint="eastAsia" w:ascii="宋体" w:hAnsi="宋体"/>
                <w:b w:val="0"/>
                <w:bCs w:val="0"/>
                <w:sz w:val="24"/>
                <w:lang w:bidi="ar"/>
              </w:rPr>
              <w:t>⑤外底硬度：≥65ShoreA；</w:t>
            </w:r>
            <w:r>
              <w:rPr>
                <w:rFonts w:hint="eastAsia" w:ascii="宋体" w:hAnsi="宋体"/>
                <w:b/>
                <w:bCs/>
                <w:sz w:val="24"/>
                <w:lang w:bidi="ar"/>
              </w:rPr>
              <w:t>（提供证明材料）</w:t>
            </w:r>
          </w:p>
          <w:p w14:paraId="40F946C8">
            <w:pPr>
              <w:rPr>
                <w:rFonts w:hint="eastAsia" w:ascii="宋体" w:hAnsi="宋体"/>
                <w:b w:val="0"/>
                <w:bCs w:val="0"/>
                <w:sz w:val="24"/>
                <w:lang w:bidi="ar"/>
              </w:rPr>
            </w:pPr>
            <w:r>
              <w:rPr>
                <w:rFonts w:hint="eastAsia" w:ascii="宋体" w:hAnsi="宋体"/>
                <w:b w:val="0"/>
                <w:bCs w:val="0"/>
                <w:sz w:val="24"/>
                <w:lang w:bidi="ar"/>
              </w:rPr>
              <w:t>▲⑥鞋帮面料续燃、阴燃时间：＜0.1s；鞋帮面料损毁长度：＜100mm；</w:t>
            </w:r>
            <w:r>
              <w:rPr>
                <w:rFonts w:hint="eastAsia" w:ascii="宋体" w:hAnsi="宋体"/>
                <w:b/>
                <w:bCs/>
                <w:sz w:val="24"/>
                <w:lang w:bidi="ar"/>
              </w:rPr>
              <w:t>（提供证明材料）</w:t>
            </w:r>
          </w:p>
          <w:p w14:paraId="361D399A">
            <w:pPr>
              <w:rPr>
                <w:rFonts w:hint="eastAsia" w:ascii="宋体" w:hAnsi="宋体"/>
                <w:b w:val="0"/>
                <w:bCs w:val="0"/>
                <w:sz w:val="24"/>
                <w:lang w:bidi="ar"/>
              </w:rPr>
            </w:pPr>
            <w:r>
              <w:rPr>
                <w:rFonts w:hint="eastAsia" w:ascii="宋体" w:hAnsi="宋体"/>
                <w:b w:val="0"/>
                <w:bCs w:val="0"/>
                <w:sz w:val="24"/>
                <w:lang w:bidi="ar"/>
              </w:rPr>
              <w:t>⑦色牢度≥3级；</w:t>
            </w:r>
            <w:r>
              <w:rPr>
                <w:rFonts w:hint="eastAsia" w:ascii="宋体" w:hAnsi="宋体"/>
                <w:b/>
                <w:bCs/>
                <w:sz w:val="24"/>
                <w:lang w:bidi="ar"/>
              </w:rPr>
              <w:t>（提供证明材料）</w:t>
            </w:r>
          </w:p>
          <w:p w14:paraId="1A37A5B6">
            <w:pPr>
              <w:rPr>
                <w:rFonts w:hint="eastAsia" w:ascii="宋体" w:hAnsi="宋体"/>
                <w:b w:val="0"/>
                <w:bCs w:val="0"/>
                <w:sz w:val="24"/>
                <w:lang w:bidi="ar"/>
              </w:rPr>
            </w:pPr>
            <w:r>
              <w:rPr>
                <w:rFonts w:hint="eastAsia" w:ascii="宋体" w:hAnsi="宋体"/>
                <w:b w:val="0"/>
                <w:bCs w:val="0"/>
                <w:sz w:val="24"/>
                <w:lang w:bidi="ar"/>
              </w:rPr>
              <w:t>★⑧鞋帮可分解致癌芳香胺染料：未检出；</w:t>
            </w:r>
            <w:r>
              <w:rPr>
                <w:rFonts w:hint="eastAsia" w:ascii="宋体" w:hAnsi="宋体"/>
                <w:b/>
                <w:bCs/>
                <w:sz w:val="24"/>
                <w:lang w:bidi="ar"/>
              </w:rPr>
              <w:t>（提供证明材料）</w:t>
            </w:r>
          </w:p>
          <w:p w14:paraId="63DCE5A5">
            <w:pPr>
              <w:rPr>
                <w:rFonts w:hint="eastAsia" w:ascii="宋体" w:hAnsi="宋体"/>
                <w:b/>
                <w:bCs/>
                <w:sz w:val="24"/>
                <w:lang w:bidi="ar"/>
              </w:rPr>
            </w:pPr>
            <w:r>
              <w:rPr>
                <w:rFonts w:hint="eastAsia" w:ascii="宋体" w:hAnsi="宋体"/>
                <w:b w:val="0"/>
                <w:bCs w:val="0"/>
                <w:sz w:val="24"/>
                <w:lang w:bidi="ar"/>
              </w:rPr>
              <w:t>★⑨单线断裂强力（缝纫线）：≥3.2×103cN；</w:t>
            </w:r>
            <w:r>
              <w:rPr>
                <w:rFonts w:hint="eastAsia" w:ascii="宋体" w:hAnsi="宋体"/>
                <w:b/>
                <w:bCs/>
                <w:sz w:val="24"/>
                <w:lang w:bidi="ar"/>
              </w:rPr>
              <w:t>（提供证明材料）</w:t>
            </w:r>
          </w:p>
          <w:p w14:paraId="2C62E36D">
            <w:pPr>
              <w:rPr>
                <w:rFonts w:hint="eastAsia" w:ascii="宋体" w:hAnsi="宋体"/>
                <w:b w:val="0"/>
                <w:bCs w:val="0"/>
                <w:sz w:val="24"/>
                <w:lang w:bidi="ar"/>
              </w:rPr>
            </w:pPr>
            <w:r>
              <w:rPr>
                <w:rFonts w:hint="eastAsia" w:ascii="宋体" w:hAnsi="宋体"/>
                <w:b w:val="0"/>
                <w:bCs w:val="0"/>
                <w:sz w:val="24"/>
                <w:lang w:bidi="ar"/>
              </w:rPr>
              <w:t>⑩鞋帮撕破强力：经向≥30N，纬向≥30N；</w:t>
            </w:r>
            <w:r>
              <w:rPr>
                <w:rFonts w:hint="eastAsia" w:ascii="宋体" w:hAnsi="宋体"/>
                <w:b/>
                <w:bCs/>
                <w:sz w:val="24"/>
                <w:lang w:bidi="ar"/>
              </w:rPr>
              <w:t>（提供证明材料）</w:t>
            </w:r>
          </w:p>
          <w:p w14:paraId="68BBA96F">
            <w:pPr>
              <w:rPr>
                <w:rFonts w:hint="eastAsia" w:ascii="宋体" w:hAnsi="宋体"/>
                <w:b w:val="0"/>
                <w:bCs w:val="0"/>
                <w:sz w:val="24"/>
                <w:lang w:bidi="ar"/>
              </w:rPr>
            </w:pPr>
            <w:r>
              <w:rPr>
                <w:rFonts w:ascii="Cambria Math" w:hAnsi="Cambria Math" w:cs="Cambria Math"/>
                <w:b w:val="0"/>
                <w:bCs w:val="0"/>
                <w:sz w:val="24"/>
                <w:lang w:bidi="ar"/>
              </w:rPr>
              <w:t>⑪</w:t>
            </w:r>
            <w:r>
              <w:rPr>
                <w:rFonts w:hint="eastAsia" w:ascii="宋体" w:hAnsi="宋体"/>
                <w:b w:val="0"/>
                <w:bCs w:val="0"/>
                <w:sz w:val="24"/>
                <w:lang w:bidi="ar"/>
              </w:rPr>
              <w:t>鞋帮断裂强力：经向≥730N，纬向≥700N；</w:t>
            </w:r>
            <w:r>
              <w:rPr>
                <w:rFonts w:hint="eastAsia" w:ascii="宋体" w:hAnsi="宋体"/>
                <w:b/>
                <w:bCs/>
                <w:sz w:val="24"/>
                <w:lang w:bidi="ar"/>
              </w:rPr>
              <w:t>（提供证明材料）</w:t>
            </w:r>
          </w:p>
          <w:p w14:paraId="025FE331">
            <w:pPr>
              <w:pStyle w:val="4"/>
              <w:spacing w:line="240" w:lineRule="auto"/>
              <w:ind w:firstLine="0"/>
              <w:rPr>
                <w:rFonts w:hint="eastAsia" w:ascii="宋体" w:hAnsi="宋体"/>
                <w:b/>
                <w:bCs/>
                <w:kern w:val="2"/>
                <w:sz w:val="24"/>
                <w:szCs w:val="24"/>
                <w:lang w:bidi="ar"/>
              </w:rPr>
            </w:pPr>
            <w:r>
              <w:rPr>
                <w:rFonts w:hint="eastAsia" w:ascii="宋体" w:hAnsi="宋体"/>
                <w:b w:val="0"/>
                <w:bCs w:val="0"/>
                <w:kern w:val="2"/>
                <w:sz w:val="24"/>
                <w:szCs w:val="24"/>
                <w:lang w:bidi="ar"/>
              </w:rPr>
              <w:t>▲</w:t>
            </w:r>
            <w:r>
              <w:rPr>
                <w:rFonts w:ascii="Cambria Math" w:hAnsi="Cambria Math" w:cs="Cambria Math"/>
                <w:b w:val="0"/>
                <w:bCs w:val="0"/>
                <w:kern w:val="2"/>
                <w:sz w:val="24"/>
                <w:szCs w:val="24"/>
                <w:lang w:bidi="ar"/>
              </w:rPr>
              <w:t>⑫</w:t>
            </w:r>
            <w:r>
              <w:rPr>
                <w:rFonts w:hint="eastAsia" w:ascii="宋体" w:hAnsi="宋体"/>
                <w:b w:val="0"/>
                <w:bCs w:val="0"/>
                <w:kern w:val="2"/>
                <w:sz w:val="24"/>
                <w:szCs w:val="24"/>
                <w:lang w:bidi="ar"/>
              </w:rPr>
              <w:t>外底撕裂强度：符合GB 21148-2020标准5.7.2规定。</w:t>
            </w:r>
            <w:r>
              <w:rPr>
                <w:rFonts w:hint="eastAsia" w:ascii="宋体" w:hAnsi="宋体"/>
                <w:b/>
                <w:bCs/>
                <w:kern w:val="2"/>
                <w:sz w:val="24"/>
                <w:szCs w:val="24"/>
                <w:lang w:bidi="ar"/>
              </w:rPr>
              <w:t>（提供证明材料）</w:t>
            </w:r>
          </w:p>
          <w:p w14:paraId="39B98868">
            <w:pPr>
              <w:widowControl/>
              <w:jc w:val="left"/>
              <w:textAlignment w:val="center"/>
              <w:rPr>
                <w:rFonts w:hint="eastAsia" w:ascii="宋体" w:hAnsi="宋体"/>
                <w:b/>
                <w:bCs/>
                <w:sz w:val="24"/>
                <w:lang w:bidi="ar"/>
              </w:rPr>
            </w:pPr>
            <w:r>
              <w:rPr>
                <w:rFonts w:hint="eastAsia" w:ascii="宋体" w:hAnsi="宋体"/>
                <w:b/>
                <w:bCs/>
                <w:sz w:val="24"/>
                <w:lang w:bidi="ar"/>
              </w:rPr>
              <w:t>证明材料要求：需提供国家认证或认可的第三方质量监督检验机构出具的检验报告复印件；检验报告需具有ilac-MRA、CNAS、CMA认证标志及官方防伪扫描二维码。</w:t>
            </w:r>
          </w:p>
          <w:p w14:paraId="068E41F9">
            <w:pPr>
              <w:ind w:firstLine="482" w:firstLineChars="200"/>
              <w:jc w:val="left"/>
              <w:rPr>
                <w:rFonts w:hint="eastAsia" w:ascii="宋体" w:hAnsi="宋体" w:cs="仿宋"/>
                <w:b w:val="0"/>
                <w:bCs w:val="0"/>
                <w:kern w:val="0"/>
                <w:sz w:val="24"/>
                <w:szCs w:val="24"/>
                <w:lang w:bidi="ar"/>
              </w:rPr>
            </w:pPr>
            <w:r>
              <w:rPr>
                <w:rFonts w:hint="eastAsia" w:ascii="宋体" w:hAnsi="宋体" w:cs="宋体"/>
                <w:b/>
                <w:bCs/>
                <w:sz w:val="24"/>
                <w:lang w:val="en-US" w:eastAsia="zh-CN"/>
              </w:rPr>
              <w:t>成交后供应商</w:t>
            </w:r>
            <w:r>
              <w:rPr>
                <w:rFonts w:hint="eastAsia" w:cs="宋体"/>
                <w:b/>
                <w:bCs/>
                <w:sz w:val="24"/>
              </w:rPr>
              <w:t>需于本项目成交公告后3个工作日内，提供检验报告原件供采购人核查。</w:t>
            </w:r>
            <w:r>
              <w:rPr>
                <w:rFonts w:ascii="宋体" w:hAnsi="宋体" w:cs="仿宋"/>
                <w:b w:val="0"/>
                <w:bCs w:val="0"/>
                <w:kern w:val="0"/>
                <w:sz w:val="24"/>
                <w:szCs w:val="24"/>
                <w:lang w:bidi="ar"/>
              </w:rPr>
              <w:t xml:space="preserve"> </w:t>
            </w:r>
          </w:p>
          <w:p w14:paraId="732BAEEC">
            <w:pPr>
              <w:widowControl/>
              <w:jc w:val="left"/>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4.腰带：插扣式腰带，材质：涤棉混纺材料，耐高温性能：经204±4°耐高温试验后织带和缝线未出现融熔、焦化现象；规格长度*宽度*厚度≤1300*50*2.8 mm。</w:t>
            </w:r>
          </w:p>
        </w:tc>
      </w:tr>
      <w:tr w14:paraId="03316826">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5867037">
            <w:pPr>
              <w:widowControl/>
              <w:jc w:val="center"/>
              <w:textAlignment w:val="center"/>
              <w:rPr>
                <w:rFonts w:hint="eastAsia" w:ascii="宋体" w:hAnsi="宋体" w:cs="仿宋"/>
                <w:b w:val="0"/>
                <w:bCs w:val="0"/>
                <w:kern w:val="0"/>
                <w:sz w:val="24"/>
                <w:szCs w:val="24"/>
                <w:lang w:bidi="ar"/>
              </w:rPr>
            </w:pPr>
            <w:bookmarkStart w:id="91" w:name="_Toc3774"/>
            <w:bookmarkStart w:id="92" w:name="_Toc35551047"/>
            <w:bookmarkStart w:id="93" w:name="_Toc9372"/>
            <w:r>
              <w:rPr>
                <w:rFonts w:hint="eastAsia" w:ascii="宋体" w:hAnsi="宋体" w:cs="仿宋"/>
                <w:b w:val="0"/>
                <w:bCs w:val="0"/>
                <w:kern w:val="0"/>
                <w:sz w:val="24"/>
                <w:szCs w:val="24"/>
                <w:lang w:bidi="ar"/>
              </w:rPr>
              <w:t>2</w:t>
            </w:r>
          </w:p>
        </w:tc>
        <w:tc>
          <w:tcPr>
            <w:tcW w:w="1175" w:type="dxa"/>
            <w:tcBorders>
              <w:top w:val="single" w:color="auto" w:sz="4" w:space="0"/>
              <w:left w:val="nil"/>
              <w:bottom w:val="single" w:color="auto" w:sz="4" w:space="0"/>
              <w:right w:val="single" w:color="auto" w:sz="4" w:space="0"/>
            </w:tcBorders>
            <w:vAlign w:val="center"/>
          </w:tcPr>
          <w:p w14:paraId="318BA55B">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风力灭火机（手提式）</w:t>
            </w:r>
          </w:p>
        </w:tc>
        <w:tc>
          <w:tcPr>
            <w:tcW w:w="750" w:type="dxa"/>
            <w:tcBorders>
              <w:top w:val="single" w:color="auto" w:sz="4" w:space="0"/>
              <w:left w:val="nil"/>
              <w:bottom w:val="single" w:color="auto" w:sz="4" w:space="0"/>
              <w:right w:val="single" w:color="auto" w:sz="4" w:space="0"/>
            </w:tcBorders>
            <w:vAlign w:val="center"/>
          </w:tcPr>
          <w:p w14:paraId="55535073">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7842350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14:paraId="37EC66D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1.符合国家第二阶段排放标准，混合2冲程发动机；</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2.功率≥0.8 kw / 1.1 hp；</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3.气缸排量≥27.2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4.重量≤4.4 kg，油箱容量≥0.44 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5.最大排风量≥810 m³/h，最大风速≥89m/s；</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6.空转转速≥2500 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7.手感振动≤2.5 m/s²（弹簧减震系统）；</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8.全封闭的供油管。</w:t>
            </w:r>
          </w:p>
        </w:tc>
      </w:tr>
      <w:tr w14:paraId="3D15BA3F">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97535D3">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w:t>
            </w:r>
          </w:p>
        </w:tc>
        <w:tc>
          <w:tcPr>
            <w:tcW w:w="1175" w:type="dxa"/>
            <w:tcBorders>
              <w:top w:val="single" w:color="auto" w:sz="4" w:space="0"/>
              <w:left w:val="nil"/>
              <w:bottom w:val="single" w:color="auto" w:sz="4" w:space="0"/>
              <w:right w:val="single" w:color="auto" w:sz="4" w:space="0"/>
            </w:tcBorders>
            <w:vAlign w:val="center"/>
          </w:tcPr>
          <w:p w14:paraId="409EA616">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风力灭火机（背负式）</w:t>
            </w:r>
          </w:p>
        </w:tc>
        <w:tc>
          <w:tcPr>
            <w:tcW w:w="750" w:type="dxa"/>
            <w:tcBorders>
              <w:top w:val="single" w:color="auto" w:sz="4" w:space="0"/>
              <w:left w:val="nil"/>
              <w:bottom w:val="single" w:color="auto" w:sz="4" w:space="0"/>
              <w:right w:val="single" w:color="auto" w:sz="4" w:space="0"/>
            </w:tcBorders>
            <w:vAlign w:val="center"/>
          </w:tcPr>
          <w:p w14:paraId="215680F2">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sz w:val="21"/>
                <w:szCs w:val="21"/>
                <w:lang w:bidi="ar"/>
              </w:rPr>
              <w:t>台</w:t>
            </w:r>
          </w:p>
        </w:tc>
        <w:tc>
          <w:tcPr>
            <w:tcW w:w="750" w:type="dxa"/>
            <w:tcBorders>
              <w:top w:val="single" w:color="auto" w:sz="4" w:space="0"/>
              <w:left w:val="nil"/>
              <w:bottom w:val="single" w:color="auto" w:sz="4" w:space="0"/>
              <w:right w:val="single" w:color="auto" w:sz="4" w:space="0"/>
            </w:tcBorders>
            <w:vAlign w:val="center"/>
          </w:tcPr>
          <w:p w14:paraId="0E9D8D6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14</w:t>
            </w:r>
          </w:p>
        </w:tc>
        <w:tc>
          <w:tcPr>
            <w:tcW w:w="6772" w:type="dxa"/>
            <w:tcBorders>
              <w:top w:val="single" w:color="auto" w:sz="4" w:space="0"/>
              <w:left w:val="nil"/>
              <w:bottom w:val="single" w:color="auto" w:sz="4" w:space="0"/>
              <w:right w:val="single" w:color="auto" w:sz="4" w:space="0"/>
            </w:tcBorders>
            <w:vAlign w:val="center"/>
          </w:tcPr>
          <w:p w14:paraId="666EBDB8">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1.混合4冲程发动机、符合国家第二阶段排放标准；  </w:t>
            </w:r>
          </w:p>
          <w:p w14:paraId="38D65166">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2.功率≥2.9 kw；  </w:t>
            </w:r>
          </w:p>
          <w:p w14:paraId="1C6D74A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3.气缸排量≥64.8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4.最大排风量≥1720 m³/h；  </w:t>
            </w:r>
          </w:p>
          <w:p w14:paraId="0E702B47">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5.满负荷运行转速≥7200r/min；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6.空转转速≥2500 r/min；   </w:t>
            </w:r>
          </w:p>
          <w:p w14:paraId="169004C0">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7.重量≤9.8 kg；</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8.油箱容量 ≥1.4L；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9.手感振动≤2.0 m/s²（弹簧减震系统：带有4点弹簧减震系统的动力设备，充分提高背负时的舒适度）；</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10.全封闭的供油管：发动机供油管全封闭在机器外罩里，操作使用时不易被树枝意外挂断和在火场造成漏油，更安全；</w:t>
            </w:r>
          </w:p>
        </w:tc>
      </w:tr>
      <w:tr w14:paraId="76A02427">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596CC2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w:t>
            </w:r>
          </w:p>
        </w:tc>
        <w:tc>
          <w:tcPr>
            <w:tcW w:w="1175" w:type="dxa"/>
            <w:tcBorders>
              <w:top w:val="single" w:color="auto" w:sz="4" w:space="0"/>
              <w:left w:val="nil"/>
              <w:bottom w:val="single" w:color="auto" w:sz="4" w:space="0"/>
              <w:right w:val="single" w:color="auto" w:sz="4" w:space="0"/>
            </w:tcBorders>
            <w:vAlign w:val="center"/>
          </w:tcPr>
          <w:p w14:paraId="052359D4">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水带</w:t>
            </w:r>
          </w:p>
        </w:tc>
        <w:tc>
          <w:tcPr>
            <w:tcW w:w="750" w:type="dxa"/>
            <w:tcBorders>
              <w:top w:val="single" w:color="auto" w:sz="4" w:space="0"/>
              <w:left w:val="nil"/>
              <w:bottom w:val="single" w:color="auto" w:sz="4" w:space="0"/>
              <w:right w:val="single" w:color="auto" w:sz="4" w:space="0"/>
            </w:tcBorders>
            <w:vAlign w:val="center"/>
          </w:tcPr>
          <w:p w14:paraId="3839C314">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米</w:t>
            </w:r>
          </w:p>
        </w:tc>
        <w:tc>
          <w:tcPr>
            <w:tcW w:w="750" w:type="dxa"/>
            <w:tcBorders>
              <w:top w:val="single" w:color="auto" w:sz="4" w:space="0"/>
              <w:left w:val="nil"/>
              <w:bottom w:val="single" w:color="auto" w:sz="4" w:space="0"/>
              <w:right w:val="single" w:color="auto" w:sz="4" w:space="0"/>
            </w:tcBorders>
            <w:vAlign w:val="center"/>
          </w:tcPr>
          <w:p w14:paraId="1AFD9E6D">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9020</w:t>
            </w:r>
          </w:p>
        </w:tc>
        <w:tc>
          <w:tcPr>
            <w:tcW w:w="6772" w:type="dxa"/>
            <w:tcBorders>
              <w:top w:val="single" w:color="auto" w:sz="4" w:space="0"/>
              <w:left w:val="nil"/>
              <w:bottom w:val="single" w:color="auto" w:sz="4" w:space="0"/>
              <w:right w:val="single" w:color="auto" w:sz="4" w:space="0"/>
            </w:tcBorders>
            <w:vAlign w:val="center"/>
          </w:tcPr>
          <w:p w14:paraId="37E566A9">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口径25MM，长度30M/根，聚氨酯衬里，双层制作，工作压力≥30公斤，爆破压力≥90公斤。</w:t>
            </w:r>
          </w:p>
        </w:tc>
      </w:tr>
      <w:tr w14:paraId="3BFAAFFD">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AF583B1">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1175" w:type="dxa"/>
            <w:tcBorders>
              <w:top w:val="single" w:color="auto" w:sz="4" w:space="0"/>
              <w:left w:val="nil"/>
              <w:bottom w:val="single" w:color="auto" w:sz="4" w:space="0"/>
              <w:right w:val="single" w:color="auto" w:sz="4" w:space="0"/>
            </w:tcBorders>
            <w:vAlign w:val="center"/>
          </w:tcPr>
          <w:p w14:paraId="17C9FEA3">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消防水桶（5T）</w:t>
            </w:r>
          </w:p>
        </w:tc>
        <w:tc>
          <w:tcPr>
            <w:tcW w:w="750" w:type="dxa"/>
            <w:tcBorders>
              <w:top w:val="single" w:color="auto" w:sz="4" w:space="0"/>
              <w:left w:val="nil"/>
              <w:bottom w:val="single" w:color="auto" w:sz="4" w:space="0"/>
              <w:right w:val="single" w:color="auto" w:sz="4" w:space="0"/>
            </w:tcBorders>
            <w:vAlign w:val="center"/>
          </w:tcPr>
          <w:p w14:paraId="3B3A64D1">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个</w:t>
            </w:r>
          </w:p>
        </w:tc>
        <w:tc>
          <w:tcPr>
            <w:tcW w:w="750" w:type="dxa"/>
            <w:tcBorders>
              <w:top w:val="single" w:color="auto" w:sz="4" w:space="0"/>
              <w:left w:val="nil"/>
              <w:bottom w:val="single" w:color="auto" w:sz="4" w:space="0"/>
              <w:right w:val="single" w:color="auto" w:sz="4" w:space="0"/>
            </w:tcBorders>
            <w:vAlign w:val="center"/>
          </w:tcPr>
          <w:p w14:paraId="4A3A8935">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6772" w:type="dxa"/>
            <w:tcBorders>
              <w:top w:val="single" w:color="auto" w:sz="4" w:space="0"/>
              <w:left w:val="nil"/>
              <w:bottom w:val="single" w:color="auto" w:sz="4" w:space="0"/>
              <w:right w:val="single" w:color="auto" w:sz="4" w:space="0"/>
            </w:tcBorders>
            <w:vAlign w:val="center"/>
          </w:tcPr>
          <w:p w14:paraId="00407A9A">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一、容量：≥5000L；</w:t>
            </w:r>
          </w:p>
          <w:p w14:paraId="44AC1D05">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二、尺寸：</w:t>
            </w:r>
          </w:p>
          <w:p w14:paraId="19E20FB4">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1.直径：≥1800mm、总高度：≥2200mm，总重量：≥110kg，平均厚度：≥5mm；集雨口直径≥500mm；集雨面有消防取水口，22cm≤取水口直径≤25cm，23cm≤桶盖直径≤26cm；</w:t>
            </w:r>
          </w:p>
          <w:p w14:paraId="108127D0">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2.桶体与桶盖材料一致，均采用聚乙烯（PE）。</w:t>
            </w:r>
          </w:p>
          <w:p w14:paraId="45E10B9D">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三、整体材料</w:t>
            </w:r>
            <w:r>
              <w:rPr>
                <w:rFonts w:hint="eastAsia" w:ascii="宋体" w:hAnsi="宋体" w:cs="仿宋"/>
                <w:b/>
                <w:bCs/>
                <w:kern w:val="0"/>
                <w:sz w:val="24"/>
                <w:szCs w:val="24"/>
                <w:lang w:bidi="ar"/>
              </w:rPr>
              <w:t>（投标时提供第三方检测机构出具的带有CMA和CNAS标志的检测（验）报告佐证）</w:t>
            </w:r>
            <w:r>
              <w:rPr>
                <w:rFonts w:hint="eastAsia" w:ascii="宋体" w:hAnsi="宋体" w:cs="仿宋"/>
                <w:b w:val="0"/>
                <w:bCs w:val="0"/>
                <w:kern w:val="0"/>
                <w:sz w:val="24"/>
                <w:szCs w:val="24"/>
                <w:lang w:bidi="ar"/>
              </w:rPr>
              <w:t>：</w:t>
            </w:r>
          </w:p>
          <w:p w14:paraId="65875096">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★1.材料：采用PE（聚乙烯）原料；</w:t>
            </w:r>
          </w:p>
          <w:p w14:paraId="132B806F">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★2.屈服强度：≥15MPa</w:t>
            </w:r>
          </w:p>
          <w:p w14:paraId="06EAD20F">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★3.断裂强度：≥11MPa；</w:t>
            </w:r>
          </w:p>
          <w:p w14:paraId="7989319C">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★4.邵氏硬度：≥60HD；</w:t>
            </w:r>
          </w:p>
          <w:p w14:paraId="1F41154D">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★5.耐高温老化性能：≥80℃环境下，≥24小时后无变化；</w:t>
            </w:r>
          </w:p>
          <w:p w14:paraId="1EDAE68B">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★6.耐光照老化性能：黑标温度在（65±3）℃，辐照度在（50±2）W/㎡（宽带），试验箱温度≥40℃，相对湿度在（50±10）%RH，波长在（300-400）nm下，时间≥24小时后，外观无可见性损坏、裂缝和起泡等现象。</w:t>
            </w:r>
          </w:p>
          <w:p w14:paraId="4ECB257B">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四、外观设计：</w:t>
            </w:r>
          </w:p>
          <w:p w14:paraId="6269C85B">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1.蓄水桶为圆柱形，顶面为一个向下凹陷的弧面，能自然集雨，无接缝，与桶体一次成形；</w:t>
            </w:r>
          </w:p>
          <w:p w14:paraId="0F3841C0">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2.蓄水桶上平面设计有水泵架设平台，平台上设计有防滑条，方便使用便携式水泵进行抽水灭火；</w:t>
            </w:r>
          </w:p>
          <w:p w14:paraId="7C3F0B6F">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3.桶体外侧壁设有加强筋，加强筋间距≤10cm；</w:t>
            </w:r>
          </w:p>
          <w:p w14:paraId="19A6935E">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4.蓄水桶桶体为蓝色，（森林消防蓄水桶表面字样可根据采购方要求定制）；</w:t>
            </w:r>
          </w:p>
          <w:p w14:paraId="2670424F">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5.正常使用年限：≥10年</w:t>
            </w:r>
          </w:p>
          <w:p w14:paraId="3BAC9D47">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五、安装要求：安装完毕后，提供安装位置照片及经纬度。</w:t>
            </w:r>
          </w:p>
          <w:p w14:paraId="681A78B1">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六、每只森林消防蓄水桶配一只提水桶，用于取水备用。</w:t>
            </w:r>
          </w:p>
          <w:p w14:paraId="5A951E94">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提水桶参数要求：</w:t>
            </w:r>
          </w:p>
          <w:p w14:paraId="25C2EC68">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1.提水桶提手采用热镀锌钢筋；</w:t>
            </w:r>
          </w:p>
          <w:p w14:paraId="41F4270D">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2.18cm≤直径≤24cm，高度：≥22cm，重量：≤0.7kg。</w:t>
            </w:r>
          </w:p>
          <w:p w14:paraId="4E8AEC5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3.整体材料</w:t>
            </w:r>
            <w:r>
              <w:rPr>
                <w:rFonts w:hint="eastAsia" w:ascii="宋体" w:hAnsi="宋体" w:cs="仿宋"/>
                <w:b/>
                <w:bCs/>
                <w:kern w:val="0"/>
                <w:sz w:val="24"/>
                <w:szCs w:val="24"/>
                <w:lang w:bidi="ar"/>
              </w:rPr>
              <w:t>（投标时整项提供第三方检测机构出具的带有CMA和CNAS标志的检测（验）报告佐证）</w:t>
            </w:r>
            <w:r>
              <w:rPr>
                <w:rFonts w:hint="eastAsia" w:ascii="宋体" w:hAnsi="宋体" w:cs="仿宋"/>
                <w:b w:val="0"/>
                <w:bCs w:val="0"/>
                <w:kern w:val="0"/>
                <w:sz w:val="24"/>
                <w:szCs w:val="24"/>
                <w:lang w:bidi="ar"/>
              </w:rPr>
              <w:t>：</w:t>
            </w:r>
          </w:p>
          <w:p w14:paraId="4298F46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★3.1.材质：采用EEA（乙烯-丙烯酸乙酯共聚物）原料；</w:t>
            </w:r>
          </w:p>
          <w:p w14:paraId="00E43157">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★3.2.屈服强度：≥14MPa；</w:t>
            </w:r>
          </w:p>
          <w:p w14:paraId="4D4592FF">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★3.3.断裂强度：≥14MPa；</w:t>
            </w:r>
          </w:p>
          <w:p w14:paraId="012529EB">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★3.4.邵氏硬度：≥70HD；</w:t>
            </w:r>
          </w:p>
          <w:p w14:paraId="09C5BCD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★3.5.耐高温老化性能：≥60℃环境下，≥12小时后，外观无变化；</w:t>
            </w:r>
          </w:p>
          <w:p w14:paraId="01E96A5C">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3.6.耐光照老化性能：黑标温度在（65±3）℃，辐照度在（50±2）W/㎡（宽带），试验箱温度在（38±3）℃，相对湿度在（50±10）%RH，波长在（300-400）nm下，时间≥12小时后，未出现粉化、裂缝、起泡和脱落等现象。</w:t>
            </w:r>
          </w:p>
          <w:p w14:paraId="42AE8394">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4.提水桶能方便放入森林消防蓄水桶取水口提水。</w:t>
            </w:r>
          </w:p>
        </w:tc>
      </w:tr>
      <w:tr w14:paraId="7A96D083">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897E64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w:t>
            </w:r>
          </w:p>
        </w:tc>
        <w:tc>
          <w:tcPr>
            <w:tcW w:w="1175" w:type="dxa"/>
            <w:tcBorders>
              <w:top w:val="single" w:color="auto" w:sz="4" w:space="0"/>
              <w:left w:val="nil"/>
              <w:bottom w:val="single" w:color="auto" w:sz="4" w:space="0"/>
              <w:right w:val="single" w:color="auto" w:sz="4" w:space="0"/>
            </w:tcBorders>
            <w:vAlign w:val="center"/>
          </w:tcPr>
          <w:p w14:paraId="766AF4CE">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u w:val="none"/>
                <w:lang w:val="en-US" w:eastAsia="zh-CN" w:bidi="ar"/>
              </w:rPr>
              <w:t>●</w:t>
            </w:r>
            <w:r>
              <w:rPr>
                <w:rFonts w:hint="eastAsia" w:ascii="宋体" w:hAnsi="宋体" w:cs="仿宋"/>
                <w:b w:val="0"/>
                <w:bCs w:val="0"/>
                <w:kern w:val="0"/>
                <w:sz w:val="24"/>
                <w:szCs w:val="24"/>
                <w:u w:val="none"/>
                <w:lang w:bidi="ar"/>
              </w:rPr>
              <w:t>远程高</w:t>
            </w:r>
            <w:r>
              <w:rPr>
                <w:rFonts w:hint="eastAsia" w:ascii="宋体" w:hAnsi="宋体" w:cs="仿宋"/>
                <w:b w:val="0"/>
                <w:bCs w:val="0"/>
                <w:kern w:val="0"/>
                <w:sz w:val="24"/>
                <w:szCs w:val="24"/>
                <w:lang w:bidi="ar"/>
              </w:rPr>
              <w:t>扬程消防水泵</w:t>
            </w:r>
          </w:p>
        </w:tc>
        <w:tc>
          <w:tcPr>
            <w:tcW w:w="750" w:type="dxa"/>
            <w:tcBorders>
              <w:top w:val="single" w:color="auto" w:sz="4" w:space="0"/>
              <w:left w:val="nil"/>
              <w:bottom w:val="single" w:color="auto" w:sz="4" w:space="0"/>
              <w:right w:val="single" w:color="auto" w:sz="4" w:space="0"/>
            </w:tcBorders>
            <w:vAlign w:val="center"/>
          </w:tcPr>
          <w:p w14:paraId="003E8524">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798664C1">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14:paraId="33D4468A">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1.泵组由四冲程风冷汽油发动机与进口三缸隔膜泵组成，变速箱与泵体一体化结构；</w:t>
            </w:r>
          </w:p>
          <w:p w14:paraId="71A2D8BF">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2.水泵类型：三缸隔膜泵；最大扬程≥680m；最大流量≥74L/min；额定压力≥3MPa；额定流量≥ 70L/min；最大射程≥26m；水泵重量：≤68kg；</w:t>
            </w:r>
          </w:p>
          <w:p w14:paraId="0F62159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3.外观：框架封闭式，杠杆式滚轮移动设计；</w:t>
            </w:r>
          </w:p>
          <w:p w14:paraId="40E23105">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4.出水口直径：25mm或40mm；</w:t>
            </w:r>
          </w:p>
          <w:p w14:paraId="407F6263">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5.进水口直径：40mm;水枪口直径：6mm;</w:t>
            </w:r>
          </w:p>
          <w:p w14:paraId="71EE341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6.吸水扬程：7m；引水时间（1米吸深）：≤8s；最大输出距离：≥7400m；压力表精度：不低于2.5级；</w:t>
            </w:r>
          </w:p>
          <w:p w14:paraId="5A509B03">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7.水泵保护装置：必须配备电子压力传感器超压熄火保护装置；水泵启动方式：手拉反冲式/电启动；</w:t>
            </w:r>
          </w:p>
          <w:p w14:paraId="6157A15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四冲程风冷汽油发动机要求：</w:t>
            </w:r>
          </w:p>
          <w:p w14:paraId="79D4C1D1">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1.最大功率≥9.5/4000kW/(r/min)；最低燃油消耗率：≤281g/(kW.h)；启动时间≤7s；</w:t>
            </w:r>
          </w:p>
          <w:p w14:paraId="4955C5EC">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2.内置油箱容量25L，一次加油连续工作时间≥5小时；</w:t>
            </w:r>
          </w:p>
        </w:tc>
      </w:tr>
      <w:tr w14:paraId="1E421E98">
        <w:tblPrEx>
          <w:tblCellMar>
            <w:top w:w="0" w:type="dxa"/>
            <w:left w:w="108" w:type="dxa"/>
            <w:bottom w:w="0" w:type="dxa"/>
            <w:right w:w="108" w:type="dxa"/>
          </w:tblCellMar>
        </w:tblPrEx>
        <w:trPr>
          <w:trHeight w:val="80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6CA335F">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w:t>
            </w:r>
          </w:p>
        </w:tc>
        <w:tc>
          <w:tcPr>
            <w:tcW w:w="1175" w:type="dxa"/>
            <w:tcBorders>
              <w:top w:val="single" w:color="auto" w:sz="4" w:space="0"/>
              <w:left w:val="nil"/>
              <w:bottom w:val="single" w:color="auto" w:sz="4" w:space="0"/>
              <w:right w:val="single" w:color="auto" w:sz="4" w:space="0"/>
            </w:tcBorders>
            <w:vAlign w:val="center"/>
          </w:tcPr>
          <w:p w14:paraId="162167B4">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高扬程消防水泵</w:t>
            </w:r>
          </w:p>
        </w:tc>
        <w:tc>
          <w:tcPr>
            <w:tcW w:w="750" w:type="dxa"/>
            <w:tcBorders>
              <w:top w:val="single" w:color="auto" w:sz="4" w:space="0"/>
              <w:left w:val="nil"/>
              <w:bottom w:val="single" w:color="auto" w:sz="4" w:space="0"/>
              <w:right w:val="single" w:color="auto" w:sz="4" w:space="0"/>
            </w:tcBorders>
            <w:vAlign w:val="center"/>
          </w:tcPr>
          <w:p w14:paraId="1A9433F8">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429A60D3">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p>
        </w:tc>
        <w:tc>
          <w:tcPr>
            <w:tcW w:w="6772" w:type="dxa"/>
            <w:tcBorders>
              <w:top w:val="single" w:color="auto" w:sz="4" w:space="0"/>
              <w:left w:val="nil"/>
              <w:bottom w:val="single" w:color="auto" w:sz="4" w:space="0"/>
              <w:right w:val="single" w:color="auto" w:sz="4" w:space="0"/>
            </w:tcBorders>
            <w:vAlign w:val="center"/>
          </w:tcPr>
          <w:p w14:paraId="37814D2E">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泵体结构：三缸隔膜泵，配套发动机型式：单缸，四冲程，强制风冷、OHV汽油机；</w:t>
            </w:r>
          </w:p>
          <w:p w14:paraId="767A9EF8">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hint="eastAsia" w:ascii="宋体" w:hAnsi="宋体" w:cs="仿宋"/>
                <w:b w:val="0"/>
                <w:bCs w:val="0"/>
                <w:kern w:val="0"/>
                <w:sz w:val="24"/>
                <w:szCs w:val="24"/>
                <w:lang w:bidi="ar"/>
              </w:rPr>
              <w:t>2</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供油方式：喷油嘴供油的大小由中央处理器ECU电脑控制(电喷)；整机净重≤45kg；</w:t>
            </w:r>
          </w:p>
          <w:p w14:paraId="59319850">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3.</w:t>
            </w:r>
            <w:r>
              <w:rPr>
                <w:rFonts w:hint="eastAsia" w:ascii="宋体" w:hAnsi="宋体" w:cs="仿宋"/>
                <w:b w:val="0"/>
                <w:bCs w:val="0"/>
                <w:kern w:val="0"/>
                <w:sz w:val="24"/>
                <w:szCs w:val="24"/>
                <w:lang w:bidi="ar"/>
              </w:rPr>
              <w:t>配套发动机特点：转动惯性大、易起动，最大功率≥3.5/3600 kw/（r/min）；</w:t>
            </w:r>
          </w:p>
          <w:p w14:paraId="5EAD1797">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4.最大压力≥5.4MPa，最大扬程≥540米，额定流量≥39升/min，射程≥24米，额定压力≥4MPa。</w:t>
            </w:r>
          </w:p>
          <w:p w14:paraId="316EF697">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ascii="宋体" w:hAnsi="宋体" w:cs="仿宋"/>
                <w:b w:val="0"/>
                <w:bCs w:val="0"/>
                <w:kern w:val="0"/>
                <w:sz w:val="24"/>
                <w:szCs w:val="24"/>
                <w:lang w:bidi="ar"/>
              </w:rPr>
              <w:t>5.</w:t>
            </w:r>
            <w:r>
              <w:rPr>
                <w:rFonts w:hint="eastAsia" w:ascii="宋体" w:hAnsi="宋体" w:cs="仿宋"/>
                <w:b w:val="0"/>
                <w:bCs w:val="0"/>
                <w:kern w:val="0"/>
                <w:sz w:val="24"/>
                <w:szCs w:val="24"/>
                <w:lang w:bidi="ar"/>
              </w:rPr>
              <w:t>启动方式：电启动/手拉反冲式启动/遥控启动；</w:t>
            </w:r>
          </w:p>
          <w:p w14:paraId="08F6C691">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6.</w:t>
            </w:r>
            <w:r>
              <w:rPr>
                <w:rFonts w:hint="eastAsia" w:ascii="宋体" w:hAnsi="宋体" w:cs="仿宋"/>
                <w:b w:val="0"/>
                <w:bCs w:val="0"/>
                <w:kern w:val="0"/>
                <w:sz w:val="24"/>
                <w:szCs w:val="24"/>
                <w:lang w:bidi="ar"/>
              </w:rPr>
              <w:t>保护装置：水泵配备电子压力传感器超压熄火保护装置；</w:t>
            </w:r>
          </w:p>
          <w:p w14:paraId="7E2C55A1">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7.</w:t>
            </w:r>
            <w:r>
              <w:rPr>
                <w:rFonts w:hint="eastAsia" w:ascii="宋体" w:hAnsi="宋体" w:cs="仿宋"/>
                <w:b w:val="0"/>
                <w:bCs w:val="0"/>
                <w:kern w:val="0"/>
                <w:sz w:val="24"/>
                <w:szCs w:val="24"/>
                <w:lang w:bidi="ar"/>
              </w:rPr>
              <w:t>水泵采用框架式封闭结构；</w:t>
            </w:r>
          </w:p>
          <w:p w14:paraId="30DCB615">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8.配置：专用工具1套，转换接头1只 </w:t>
            </w:r>
          </w:p>
        </w:tc>
      </w:tr>
      <w:bookmarkEnd w:id="88"/>
      <w:bookmarkEnd w:id="89"/>
      <w:bookmarkEnd w:id="90"/>
      <w:bookmarkEnd w:id="91"/>
      <w:bookmarkEnd w:id="92"/>
      <w:bookmarkEnd w:id="93"/>
    </w:tbl>
    <w:p w14:paraId="1F0F43BE">
      <w:pPr>
        <w:widowControl/>
        <w:jc w:val="left"/>
        <w:rPr>
          <w:rFonts w:hint="default"/>
          <w:lang w:val="en-US" w:eastAsia="zh-CN"/>
        </w:rPr>
      </w:pPr>
      <w:r>
        <w:rPr>
          <w:rFonts w:hint="eastAsia" w:ascii="宋体" w:hAnsi="宋体" w:cs="仿宋"/>
          <w:b/>
          <w:bCs/>
          <w:sz w:val="24"/>
          <w:szCs w:val="24"/>
        </w:rPr>
        <w:t>备注：开标时，须提供项目采购的</w:t>
      </w:r>
      <w:r>
        <w:rPr>
          <w:rFonts w:hint="eastAsia" w:ascii="宋体" w:hAnsi="宋体" w:cs="仿宋"/>
          <w:b/>
          <w:bCs/>
          <w:kern w:val="0"/>
          <w:sz w:val="24"/>
          <w:szCs w:val="24"/>
          <w:lang w:bidi="ar"/>
        </w:rPr>
        <w:t>高扬程消防水泵、提水桶</w:t>
      </w:r>
      <w:r>
        <w:rPr>
          <w:rFonts w:hint="eastAsia" w:ascii="宋体" w:hAnsi="宋体" w:cs="仿宋"/>
          <w:b/>
          <w:bCs/>
          <w:sz w:val="24"/>
          <w:szCs w:val="24"/>
        </w:rPr>
        <w:t>样品各一套，预中标单位的样品现场留存，后续交货产品按样品进行验收。如后续交货产品经检验与样品不符，则予以退回，不予以验收，并取消中标资格。</w:t>
      </w:r>
    </w:p>
    <w:p w14:paraId="2A9862DA">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bookmarkStart w:id="94" w:name="_Toc155272985"/>
      <w:r>
        <w:rPr>
          <w:rFonts w:hint="eastAsia" w:ascii="宋体" w:hAnsi="宋体" w:eastAsia="宋体" w:cs="宋体"/>
          <w:b/>
          <w:bCs/>
          <w:color w:val="auto"/>
          <w:kern w:val="2"/>
          <w:sz w:val="30"/>
          <w:szCs w:val="20"/>
          <w:lang w:val="en-US" w:eastAsia="zh-CN" w:bidi="ar-SA"/>
        </w:rPr>
        <w:t>三、</w:t>
      </w:r>
      <w:r>
        <w:rPr>
          <w:rFonts w:hint="eastAsia" w:ascii="宋体" w:hAnsi="宋体" w:cs="宋体"/>
          <w:b/>
          <w:bCs/>
          <w:color w:val="auto"/>
          <w:kern w:val="2"/>
          <w:sz w:val="30"/>
          <w:szCs w:val="20"/>
          <w:lang w:val="en-US" w:eastAsia="zh-CN" w:bidi="ar-SA"/>
        </w:rPr>
        <w:t>商务</w:t>
      </w:r>
      <w:r>
        <w:rPr>
          <w:rFonts w:hint="eastAsia" w:ascii="宋体" w:hAnsi="宋体" w:eastAsia="宋体" w:cs="宋体"/>
          <w:b/>
          <w:bCs/>
          <w:color w:val="auto"/>
          <w:kern w:val="2"/>
          <w:sz w:val="30"/>
          <w:szCs w:val="20"/>
          <w:lang w:val="en-US" w:eastAsia="zh-CN" w:bidi="ar-SA"/>
        </w:rPr>
        <w:t>要求</w:t>
      </w:r>
      <w:bookmarkEnd w:id="94"/>
    </w:p>
    <w:p w14:paraId="47B6B0A7">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1.安装（交货）时间及地点要求</w:t>
      </w:r>
    </w:p>
    <w:p w14:paraId="46A3E124">
      <w:pPr>
        <w:adjustRightInd w:val="0"/>
        <w:snapToGrid w:val="0"/>
        <w:spacing w:line="360" w:lineRule="auto"/>
        <w:ind w:firstLine="480" w:firstLineChars="200"/>
        <w:rPr>
          <w:rFonts w:hint="default" w:ascii="宋体" w:hAnsi="宋体" w:eastAsia="宋体" w:cs="仿宋"/>
          <w:sz w:val="24"/>
          <w:szCs w:val="24"/>
          <w:lang w:val="en-US" w:eastAsia="zh-CN"/>
        </w:rPr>
      </w:pPr>
      <w:r>
        <w:rPr>
          <w:rFonts w:hint="eastAsia" w:ascii="宋体" w:hAnsi="宋体" w:cs="仿宋"/>
          <w:sz w:val="24"/>
          <w:szCs w:val="24"/>
        </w:rPr>
        <w:t>1.1安装（交货）时间要求：合同签订后30天内完成产品供货、安装、调试及验收并交付采购人使用。</w:t>
      </w:r>
      <w:r>
        <w:rPr>
          <w:rFonts w:hint="eastAsia" w:ascii="宋体" w:hAnsi="宋体" w:cs="仿宋"/>
          <w:sz w:val="24"/>
          <w:szCs w:val="24"/>
          <w:lang w:val="en-US" w:eastAsia="zh-CN"/>
        </w:rPr>
        <w:t>质保期为3年。</w:t>
      </w:r>
    </w:p>
    <w:p w14:paraId="18010031">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1.2产品必须为原厂包装，包装质量符合国家相关标准，产品的包装均应有良好的防湿、防锈、防潮、防雨、防腐及防碰撞的措施。产品要求有包装材料保护运至现场。因包装不良造成的损失由</w:t>
      </w:r>
      <w:r>
        <w:rPr>
          <w:rFonts w:hint="eastAsia" w:ascii="宋体" w:hAnsi="宋体" w:cs="仿宋"/>
          <w:sz w:val="24"/>
          <w:szCs w:val="24"/>
          <w:lang w:val="en-US" w:eastAsia="zh-CN"/>
        </w:rPr>
        <w:t>成交供应商</w:t>
      </w:r>
      <w:r>
        <w:rPr>
          <w:rFonts w:hint="eastAsia" w:ascii="宋体" w:hAnsi="宋体" w:cs="仿宋"/>
          <w:sz w:val="24"/>
          <w:szCs w:val="24"/>
        </w:rPr>
        <w:t>负责。</w:t>
      </w:r>
    </w:p>
    <w:p w14:paraId="797110AB">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1.3安装（交货）地点：按</w:t>
      </w:r>
      <w:r>
        <w:rPr>
          <w:rFonts w:hint="eastAsia" w:ascii="宋体" w:hAnsi="宋体" w:cs="仿宋"/>
          <w:sz w:val="24"/>
          <w:szCs w:val="24"/>
          <w:lang w:val="en-US" w:eastAsia="zh-CN"/>
        </w:rPr>
        <w:t>采购人</w:t>
      </w:r>
      <w:r>
        <w:rPr>
          <w:rFonts w:hint="eastAsia" w:ascii="宋体" w:hAnsi="宋体" w:cs="仿宋"/>
          <w:sz w:val="24"/>
          <w:szCs w:val="24"/>
        </w:rPr>
        <w:t xml:space="preserve">要求。 </w:t>
      </w:r>
    </w:p>
    <w:p w14:paraId="01996B28">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1.4产品供货、安装、调试及验收过程中发生的费用由</w:t>
      </w:r>
      <w:r>
        <w:rPr>
          <w:rFonts w:hint="eastAsia" w:ascii="宋体" w:hAnsi="宋体" w:cs="仿宋"/>
          <w:sz w:val="24"/>
          <w:szCs w:val="24"/>
          <w:lang w:val="en-US" w:eastAsia="zh-CN"/>
        </w:rPr>
        <w:t>成交供应商</w:t>
      </w:r>
      <w:r>
        <w:rPr>
          <w:rFonts w:hint="eastAsia" w:ascii="宋体" w:hAnsi="宋体" w:cs="仿宋"/>
          <w:sz w:val="24"/>
          <w:szCs w:val="24"/>
        </w:rPr>
        <w:t>承担。</w:t>
      </w:r>
    </w:p>
    <w:p w14:paraId="75B09AE5">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2.验收</w:t>
      </w:r>
    </w:p>
    <w:p w14:paraId="13333A55">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2.1产品供货、安装、调试完成后采购人组织专业技术人员进行验收，验收按照国家有关验收标准、招标文件要求、响应文件执行，所有的技术资料向采购人提交并签署验收报告后视为合格。</w:t>
      </w:r>
    </w:p>
    <w:p w14:paraId="2F51868D">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2.2技术资料包含但不限于：合格证、检测报告、全套设备配置清单（列出详细规</w:t>
      </w:r>
      <w:bookmarkStart w:id="192" w:name="_GoBack"/>
      <w:bookmarkEnd w:id="192"/>
      <w:r>
        <w:rPr>
          <w:rFonts w:hint="eastAsia" w:ascii="宋体" w:hAnsi="宋体" w:cs="仿宋"/>
          <w:sz w:val="24"/>
          <w:szCs w:val="24"/>
        </w:rPr>
        <w:t>格型号），维修手册和使用手册，简易操作使用规程，维护保养规程和电子版等。</w:t>
      </w:r>
    </w:p>
    <w:p w14:paraId="65A3A77C">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2.3若验收不合格，</w:t>
      </w:r>
      <w:r>
        <w:rPr>
          <w:rFonts w:hint="eastAsia" w:ascii="宋体" w:hAnsi="宋体" w:cs="仿宋"/>
          <w:sz w:val="24"/>
          <w:szCs w:val="24"/>
          <w:lang w:val="en-US" w:eastAsia="zh-CN"/>
        </w:rPr>
        <w:t>成交供应商</w:t>
      </w:r>
      <w:r>
        <w:rPr>
          <w:rFonts w:hint="eastAsia" w:ascii="宋体" w:hAnsi="宋体" w:cs="仿宋"/>
          <w:sz w:val="24"/>
          <w:szCs w:val="24"/>
        </w:rPr>
        <w:t>应在1</w:t>
      </w:r>
      <w:r>
        <w:rPr>
          <w:rFonts w:hint="eastAsia" w:ascii="宋体" w:hAnsi="宋体" w:cs="仿宋"/>
          <w:sz w:val="24"/>
          <w:szCs w:val="24"/>
          <w:lang w:val="en-US" w:eastAsia="zh-CN"/>
        </w:rPr>
        <w:t>0</w:t>
      </w:r>
      <w:r>
        <w:rPr>
          <w:rFonts w:hint="eastAsia" w:ascii="宋体" w:hAnsi="宋体" w:cs="仿宋"/>
          <w:sz w:val="24"/>
          <w:szCs w:val="24"/>
        </w:rPr>
        <w:t>天内包退、包换到位，进行二次验收，若二次验收不合格，采购人有权解除合同，解除合同的通知自发出之日起生效，且不予支付合同款。</w:t>
      </w:r>
    </w:p>
    <w:p w14:paraId="525D3F33">
      <w:pPr>
        <w:numPr>
          <w:ilvl w:val="0"/>
          <w:numId w:val="3"/>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验收过程中发生的一切费用、风险由</w:t>
      </w:r>
      <w:r>
        <w:rPr>
          <w:rFonts w:hint="eastAsia" w:ascii="宋体" w:hAnsi="宋体" w:cs="仿宋"/>
          <w:sz w:val="24"/>
          <w:szCs w:val="24"/>
          <w:lang w:val="en-US" w:eastAsia="zh-CN"/>
        </w:rPr>
        <w:t>成交供应商</w:t>
      </w:r>
      <w:r>
        <w:rPr>
          <w:rFonts w:hint="eastAsia" w:ascii="宋体" w:hAnsi="宋体" w:cs="仿宋"/>
          <w:sz w:val="24"/>
          <w:szCs w:val="24"/>
        </w:rPr>
        <w:t>承担。</w:t>
      </w:r>
    </w:p>
    <w:p w14:paraId="38E14E6E">
      <w:pPr>
        <w:numPr>
          <w:ilvl w:val="0"/>
          <w:numId w:val="0"/>
        </w:num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4.履约保证金：不需要缴纳</w:t>
      </w:r>
      <w:r>
        <w:rPr>
          <w:rFonts w:hint="eastAsia" w:ascii="宋体" w:hAnsi="宋体" w:cs="仿宋"/>
          <w:sz w:val="24"/>
          <w:szCs w:val="24"/>
        </w:rPr>
        <w:t>。</w:t>
      </w:r>
    </w:p>
    <w:p w14:paraId="5E4E6ABB">
      <w:pPr>
        <w:numPr>
          <w:ilvl w:val="0"/>
          <w:numId w:val="0"/>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lang w:val="en-US" w:eastAsia="zh-CN"/>
        </w:rPr>
        <w:t>5</w:t>
      </w:r>
      <w:r>
        <w:rPr>
          <w:rFonts w:hint="eastAsia" w:ascii="宋体" w:hAnsi="宋体" w:cs="仿宋"/>
          <w:sz w:val="24"/>
          <w:szCs w:val="24"/>
        </w:rPr>
        <w:t>.付款方式</w:t>
      </w:r>
    </w:p>
    <w:p w14:paraId="6C31BB00">
      <w:pPr>
        <w:numPr>
          <w:ilvl w:val="0"/>
          <w:numId w:val="0"/>
        </w:num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5</w:t>
      </w:r>
      <w:r>
        <w:rPr>
          <w:rFonts w:hint="eastAsia" w:ascii="宋体" w:hAnsi="宋体" w:cs="仿宋"/>
          <w:sz w:val="24"/>
          <w:szCs w:val="24"/>
        </w:rPr>
        <w:t>.1付款方式：合同签订及具备实施条件后7个工作日内支付合同总额的40%预付款；</w:t>
      </w:r>
      <w:r>
        <w:rPr>
          <w:rFonts w:hint="eastAsia" w:ascii="宋体" w:hAnsi="宋体" w:cs="仿宋"/>
          <w:sz w:val="24"/>
          <w:szCs w:val="24"/>
          <w:lang w:val="en-US" w:eastAsia="zh-CN"/>
        </w:rPr>
        <w:t>成交供应商应提交银行、保险公司等金融机构出具同等金额的预付款保函。</w:t>
      </w:r>
      <w:r>
        <w:rPr>
          <w:rFonts w:hint="eastAsia" w:ascii="宋体" w:hAnsi="宋体" w:cs="仿宋"/>
          <w:sz w:val="24"/>
          <w:szCs w:val="24"/>
        </w:rPr>
        <w:t>安装调试完毕并经验收合格后7个工作日内支付</w:t>
      </w:r>
      <w:r>
        <w:rPr>
          <w:rFonts w:hint="eastAsia" w:ascii="宋体" w:hAnsi="宋体" w:cs="仿宋"/>
          <w:sz w:val="24"/>
          <w:szCs w:val="24"/>
          <w:lang w:val="en-US" w:eastAsia="zh-CN"/>
        </w:rPr>
        <w:t>至</w:t>
      </w:r>
      <w:r>
        <w:rPr>
          <w:rFonts w:hint="eastAsia" w:ascii="宋体" w:hAnsi="宋体" w:cs="仿宋"/>
          <w:sz w:val="24"/>
          <w:szCs w:val="24"/>
        </w:rPr>
        <w:t>合同总额的100%。</w:t>
      </w:r>
    </w:p>
    <w:p w14:paraId="7F103D76">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四、</w:t>
      </w:r>
      <w:r>
        <w:rPr>
          <w:rFonts w:hint="eastAsia" w:ascii="宋体" w:hAnsi="宋体" w:cs="宋体"/>
          <w:b/>
          <w:bCs/>
          <w:color w:val="auto"/>
          <w:kern w:val="2"/>
          <w:sz w:val="30"/>
          <w:szCs w:val="20"/>
          <w:lang w:val="en-US" w:eastAsia="zh-CN" w:bidi="ar-SA"/>
        </w:rPr>
        <w:t>培训要求</w:t>
      </w:r>
    </w:p>
    <w:p w14:paraId="2E83BBC9">
      <w:pPr>
        <w:adjustRightInd w:val="0"/>
        <w:snapToGrid w:val="0"/>
        <w:spacing w:line="360" w:lineRule="auto"/>
        <w:ind w:firstLine="480" w:firstLineChars="200"/>
        <w:rPr>
          <w:rFonts w:hint="eastAsia" w:ascii="宋体" w:hAnsi="宋体" w:cs="仿宋"/>
          <w:sz w:val="24"/>
          <w:szCs w:val="24"/>
        </w:rPr>
      </w:pPr>
      <w:bookmarkStart w:id="95" w:name="_Toc155272986"/>
      <w:r>
        <w:rPr>
          <w:rFonts w:hint="eastAsia" w:ascii="宋体" w:hAnsi="宋体" w:cs="仿宋"/>
          <w:sz w:val="24"/>
          <w:szCs w:val="24"/>
        </w:rPr>
        <w:t>1.技术培训</w:t>
      </w:r>
    </w:p>
    <w:p w14:paraId="0EC7D31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1.1现场培训</w:t>
      </w:r>
    </w:p>
    <w:p w14:paraId="22F9087C">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在所有产品部署现场，投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14:paraId="46C73BF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1.2课程培训</w:t>
      </w:r>
    </w:p>
    <w:p w14:paraId="6453B2A1">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投标人应提供专门的课程培训，包括理论教授，问题讨论和上机操作，以便采购人能够迅速掌握相应的培训内容。</w:t>
      </w:r>
    </w:p>
    <w:p w14:paraId="79F8A87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应提供详细的培训计划，包括课程的内容、资料讲义、授课方式、课程目标。</w:t>
      </w:r>
    </w:p>
    <w:p w14:paraId="5363151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2.培训费用</w:t>
      </w:r>
    </w:p>
    <w:p w14:paraId="1B2C56E4">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所有培训所涉及的所有费用应由</w:t>
      </w:r>
      <w:r>
        <w:rPr>
          <w:rFonts w:hint="eastAsia" w:ascii="宋体" w:hAnsi="宋体" w:cs="仿宋"/>
          <w:sz w:val="24"/>
          <w:szCs w:val="24"/>
          <w:lang w:val="en-US" w:eastAsia="zh-CN"/>
        </w:rPr>
        <w:t>成交供应商</w:t>
      </w:r>
      <w:r>
        <w:rPr>
          <w:rFonts w:hint="eastAsia" w:ascii="宋体" w:hAnsi="宋体" w:cs="仿宋"/>
          <w:sz w:val="24"/>
          <w:szCs w:val="24"/>
        </w:rPr>
        <w:t>承担，不得另行向采购人收取。</w:t>
      </w:r>
    </w:p>
    <w:p w14:paraId="0F0E2C44">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3.培训地点：按采购人要求；</w:t>
      </w:r>
    </w:p>
    <w:p w14:paraId="2DC4F276">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4.培训人数：不少于3人参加；</w:t>
      </w:r>
    </w:p>
    <w:p w14:paraId="779676D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5.培训天数：至少2天。</w:t>
      </w:r>
    </w:p>
    <w:bookmarkEnd w:id="95"/>
    <w:p w14:paraId="62597450">
      <w:pPr>
        <w:pStyle w:val="5"/>
        <w:spacing w:before="200" w:after="200"/>
        <w:ind w:left="0" w:leftChars="0" w:firstLine="0" w:firstLineChars="0"/>
        <w:rPr>
          <w:rFonts w:hint="eastAsia" w:ascii="宋体" w:hAnsi="宋体" w:eastAsia="宋体" w:cs="宋体"/>
          <w:b/>
          <w:bCs/>
          <w:color w:val="auto"/>
          <w:kern w:val="2"/>
          <w:sz w:val="30"/>
          <w:szCs w:val="20"/>
          <w:lang w:val="en-US" w:eastAsia="zh-CN" w:bidi="ar-SA"/>
        </w:rPr>
      </w:pPr>
      <w:bookmarkStart w:id="96" w:name="_Toc10299"/>
      <w:bookmarkStart w:id="97" w:name="_Toc155272987"/>
      <w:r>
        <w:rPr>
          <w:rFonts w:hint="eastAsia" w:ascii="宋体" w:hAnsi="宋体" w:eastAsia="宋体" w:cs="宋体"/>
          <w:b/>
          <w:bCs/>
          <w:color w:val="auto"/>
          <w:kern w:val="2"/>
          <w:sz w:val="30"/>
          <w:szCs w:val="20"/>
          <w:lang w:val="en-US" w:eastAsia="zh-CN" w:bidi="ar-SA"/>
        </w:rPr>
        <w:t>五、样品</w:t>
      </w:r>
      <w:bookmarkEnd w:id="96"/>
    </w:p>
    <w:p w14:paraId="1CCFFE0D">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1.样品的递交方式</w:t>
      </w:r>
    </w:p>
    <w:p w14:paraId="7251FC28">
      <w:pPr>
        <w:adjustRightInd w:val="0"/>
        <w:snapToGrid w:val="0"/>
        <w:spacing w:line="360" w:lineRule="auto"/>
        <w:ind w:firstLine="480" w:firstLineChars="200"/>
        <w:rPr>
          <w:rFonts w:hint="eastAsia" w:ascii="宋体" w:hAnsi="宋体" w:cs="仿宋"/>
          <w:color w:val="auto"/>
          <w:sz w:val="24"/>
          <w:szCs w:val="24"/>
        </w:rPr>
      </w:pPr>
      <w:r>
        <w:rPr>
          <w:rFonts w:hint="eastAsia" w:ascii="宋体" w:hAnsi="宋体" w:cs="仿宋"/>
          <w:sz w:val="24"/>
          <w:szCs w:val="24"/>
        </w:rPr>
        <w:t>样品递交方式：供应商自行</w:t>
      </w:r>
      <w:r>
        <w:rPr>
          <w:rFonts w:hint="eastAsia" w:ascii="宋体" w:hAnsi="宋体" w:cs="仿宋"/>
          <w:sz w:val="24"/>
          <w:szCs w:val="24"/>
          <w:lang w:val="en-US" w:eastAsia="zh-CN"/>
        </w:rPr>
        <w:t>递</w:t>
      </w:r>
      <w:r>
        <w:rPr>
          <w:rFonts w:hint="eastAsia" w:ascii="宋体" w:hAnsi="宋体" w:cs="仿宋"/>
          <w:sz w:val="24"/>
          <w:szCs w:val="24"/>
        </w:rPr>
        <w:t>交并安装到位（须标注项目名称、</w:t>
      </w:r>
      <w:r>
        <w:rPr>
          <w:rFonts w:hint="eastAsia" w:ascii="宋体" w:hAnsi="宋体" w:cs="仿宋"/>
          <w:sz w:val="24"/>
          <w:szCs w:val="24"/>
          <w:lang w:eastAsia="zh-CN"/>
        </w:rPr>
        <w:t>采购编号</w:t>
      </w:r>
      <w:r>
        <w:rPr>
          <w:rFonts w:hint="eastAsia" w:ascii="宋体" w:hAnsi="宋体" w:cs="仿宋"/>
          <w:sz w:val="24"/>
          <w:szCs w:val="24"/>
        </w:rPr>
        <w:t>及供应商名称）。</w:t>
      </w:r>
    </w:p>
    <w:p w14:paraId="4E4376A7">
      <w:pPr>
        <w:adjustRightInd w:val="0"/>
        <w:snapToGrid w:val="0"/>
        <w:spacing w:line="360" w:lineRule="auto"/>
        <w:ind w:firstLine="480" w:firstLineChars="200"/>
        <w:rPr>
          <w:rFonts w:hint="eastAsia" w:ascii="宋体" w:hAnsi="宋体" w:eastAsia="宋体" w:cs="仿宋"/>
          <w:color w:val="0000FF"/>
          <w:sz w:val="24"/>
          <w:szCs w:val="24"/>
          <w:lang w:eastAsia="zh-CN"/>
        </w:rPr>
      </w:pPr>
      <w:r>
        <w:rPr>
          <w:rFonts w:hint="eastAsia" w:ascii="宋体" w:hAnsi="宋体" w:cs="仿宋"/>
          <w:color w:val="auto"/>
          <w:sz w:val="24"/>
          <w:szCs w:val="24"/>
        </w:rPr>
        <w:t>递交时间：202</w:t>
      </w:r>
      <w:r>
        <w:rPr>
          <w:rFonts w:hint="eastAsia" w:ascii="宋体" w:hAnsi="宋体" w:cs="仿宋"/>
          <w:color w:val="auto"/>
          <w:sz w:val="24"/>
          <w:szCs w:val="24"/>
          <w:lang w:val="en-US" w:eastAsia="zh-CN"/>
        </w:rPr>
        <w:t>5</w:t>
      </w:r>
      <w:r>
        <w:rPr>
          <w:rFonts w:hint="eastAsia" w:ascii="宋体" w:hAnsi="宋体" w:cs="仿宋"/>
          <w:color w:val="auto"/>
          <w:sz w:val="24"/>
          <w:szCs w:val="24"/>
        </w:rPr>
        <w:t>年</w:t>
      </w:r>
      <w:r>
        <w:rPr>
          <w:rFonts w:hint="eastAsia" w:ascii="宋体" w:hAnsi="宋体" w:cs="仿宋"/>
          <w:color w:val="auto"/>
          <w:sz w:val="24"/>
          <w:szCs w:val="24"/>
          <w:lang w:val="en-US" w:eastAsia="zh-CN"/>
        </w:rPr>
        <w:t>7</w:t>
      </w:r>
      <w:r>
        <w:rPr>
          <w:rFonts w:hint="eastAsia" w:ascii="宋体" w:hAnsi="宋体" w:cs="仿宋"/>
          <w:color w:val="auto"/>
          <w:sz w:val="24"/>
          <w:szCs w:val="24"/>
        </w:rPr>
        <w:t>月</w:t>
      </w:r>
      <w:r>
        <w:rPr>
          <w:rFonts w:hint="eastAsia" w:ascii="宋体" w:hAnsi="宋体" w:cs="仿宋"/>
          <w:color w:val="auto"/>
          <w:sz w:val="24"/>
          <w:szCs w:val="24"/>
          <w:lang w:val="en-US" w:eastAsia="zh-CN"/>
        </w:rPr>
        <w:t>24</w:t>
      </w:r>
      <w:r>
        <w:rPr>
          <w:rFonts w:hint="eastAsia" w:ascii="宋体" w:hAnsi="宋体" w:cs="仿宋"/>
          <w:color w:val="auto"/>
          <w:sz w:val="24"/>
          <w:szCs w:val="24"/>
        </w:rPr>
        <w:t>日</w:t>
      </w:r>
      <w:r>
        <w:rPr>
          <w:rFonts w:hint="eastAsia" w:ascii="宋体" w:hAnsi="宋体" w:cs="仿宋"/>
          <w:color w:val="auto"/>
          <w:sz w:val="24"/>
          <w:szCs w:val="24"/>
          <w:lang w:val="en-US" w:eastAsia="zh-CN"/>
        </w:rPr>
        <w:t>8：30时-9：00时（须自行携带安装工具，插座等，采购人及采购代理机构概不负责）</w:t>
      </w:r>
      <w:r>
        <w:rPr>
          <w:rFonts w:hint="eastAsia" w:ascii="宋体" w:hAnsi="宋体" w:cs="仿宋"/>
          <w:color w:val="auto"/>
          <w:sz w:val="24"/>
          <w:szCs w:val="24"/>
          <w:lang w:eastAsia="zh-CN"/>
        </w:rPr>
        <w:t>。</w:t>
      </w:r>
    </w:p>
    <w:p w14:paraId="0D2BC2B5">
      <w:p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递交地点：缙云县新区黄龙路48号广电大楼七楼样品室，联系人：蔡先生，联系电话:15990872520。</w:t>
      </w:r>
    </w:p>
    <w:p w14:paraId="62D94BA8">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2.未</w:t>
      </w:r>
      <w:r>
        <w:rPr>
          <w:rFonts w:hint="eastAsia" w:ascii="宋体" w:hAnsi="宋体" w:cs="仿宋"/>
          <w:sz w:val="24"/>
          <w:szCs w:val="24"/>
          <w:lang w:eastAsia="zh-CN"/>
        </w:rPr>
        <w:t>成交供应商</w:t>
      </w:r>
      <w:r>
        <w:rPr>
          <w:rFonts w:hint="eastAsia" w:ascii="宋体" w:hAnsi="宋体" w:cs="仿宋"/>
          <w:sz w:val="24"/>
          <w:szCs w:val="24"/>
        </w:rPr>
        <w:t>样品的退还处理方式：开评标结束后，由供应商自行</w:t>
      </w:r>
      <w:r>
        <w:rPr>
          <w:rFonts w:hint="eastAsia" w:ascii="宋体" w:hAnsi="宋体" w:cs="仿宋"/>
          <w:sz w:val="24"/>
          <w:szCs w:val="24"/>
          <w:lang w:val="en-US" w:eastAsia="zh-CN"/>
        </w:rPr>
        <w:t>带回处理；</w:t>
      </w:r>
      <w:r>
        <w:rPr>
          <w:rFonts w:hint="eastAsia" w:ascii="宋体" w:hAnsi="宋体" w:cs="仿宋"/>
          <w:sz w:val="24"/>
          <w:szCs w:val="24"/>
        </w:rPr>
        <w:t>3个工作日后不处理，由采购人自行处理。</w:t>
      </w:r>
    </w:p>
    <w:p w14:paraId="453844D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成交供应商</w:t>
      </w:r>
      <w:r>
        <w:rPr>
          <w:rFonts w:hint="eastAsia" w:ascii="宋体" w:hAnsi="宋体" w:cs="仿宋"/>
          <w:sz w:val="24"/>
          <w:szCs w:val="24"/>
        </w:rPr>
        <w:t>的样品应当由招标人进行保管、封存，作为履约验收的参考。</w:t>
      </w:r>
    </w:p>
    <w:p w14:paraId="1AB50F7F">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4.样品清单：高扬程消防水泵、提水桶。</w:t>
      </w:r>
    </w:p>
    <w:p w14:paraId="0EADEC64">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六、其他事项</w:t>
      </w:r>
      <w:bookmarkEnd w:id="97"/>
    </w:p>
    <w:p w14:paraId="41BFB101">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1.供货过程中，各有关人员人身安全及财产安全问题由投标人自行解决，采购人概不负责。</w:t>
      </w:r>
    </w:p>
    <w:p w14:paraId="2638A8B1">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2.备品备件及耗材要求：质保期配件等质量问题需要原配件维修。</w:t>
      </w:r>
    </w:p>
    <w:p w14:paraId="037D6E1F">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3.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入其中的费用，均视为已包含在内，风险由投标人承担。</w:t>
      </w:r>
    </w:p>
    <w:p w14:paraId="4F8039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7235561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26165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DA332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7E2438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58E3B2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146738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84F98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29FCE7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1CF8C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05EB28DD">
      <w:pPr>
        <w:rPr>
          <w:rStyle w:val="106"/>
          <w:rFonts w:hint="eastAsia" w:ascii="宋体" w:hAnsi="宋体" w:cs="宋体"/>
          <w:color w:val="000000" w:themeColor="text1"/>
          <w:sz w:val="36"/>
          <w:highlight w:val="none"/>
          <w14:textFill>
            <w14:solidFill>
              <w14:schemeClr w14:val="tx1"/>
            </w14:solidFill>
          </w14:textFill>
        </w:rPr>
      </w:pPr>
    </w:p>
    <w:p w14:paraId="4647D2FC">
      <w:pPr>
        <w:jc w:val="center"/>
        <w:rPr>
          <w:rFonts w:ascii="宋体" w:hAnsi="宋体" w:cs="宋体"/>
          <w:color w:val="000000" w:themeColor="text1"/>
          <w:sz w:val="52"/>
          <w:szCs w:val="36"/>
          <w:highlight w:val="none"/>
          <w14:textFill>
            <w14:solidFill>
              <w14:schemeClr w14:val="tx1"/>
            </w14:solidFill>
          </w14:textFill>
        </w:rPr>
      </w:pPr>
      <w:r>
        <w:rPr>
          <w:rStyle w:val="106"/>
          <w:rFonts w:hint="eastAsia" w:ascii="宋体" w:hAnsi="宋体" w:cs="宋体"/>
          <w:color w:val="000000" w:themeColor="text1"/>
          <w:sz w:val="36"/>
          <w:highlight w:val="none"/>
          <w14:textFill>
            <w14:solidFill>
              <w14:schemeClr w14:val="tx1"/>
            </w14:solidFill>
          </w14:textFill>
        </w:rPr>
        <w:t xml:space="preserve">第四章  </w:t>
      </w:r>
      <w:bookmarkEnd w:id="86"/>
      <w:bookmarkEnd w:id="87"/>
      <w:r>
        <w:rPr>
          <w:rStyle w:val="106"/>
          <w:rFonts w:hint="eastAsia" w:ascii="宋体" w:hAnsi="宋体" w:cs="宋体"/>
          <w:color w:val="000000" w:themeColor="text1"/>
          <w:sz w:val="36"/>
          <w:highlight w:val="none"/>
          <w14:textFill>
            <w14:solidFill>
              <w14:schemeClr w14:val="tx1"/>
            </w14:solidFill>
          </w14:textFill>
        </w:rPr>
        <w:t>采购合同</w:t>
      </w:r>
    </w:p>
    <w:p w14:paraId="6CF8CAEA">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14EF11E3">
      <w:pPr>
        <w:tabs>
          <w:tab w:val="left" w:pos="2592"/>
          <w:tab w:val="center" w:pos="4465"/>
        </w:tabs>
        <w:spacing w:line="360" w:lineRule="auto"/>
        <w:jc w:val="righ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14:paraId="579F1DA2">
      <w:pPr>
        <w:rPr>
          <w:rFonts w:ascii="宋体" w:hAnsi="宋体" w:cs="宋体"/>
          <w:color w:val="000000" w:themeColor="text1"/>
          <w:sz w:val="28"/>
          <w:szCs w:val="28"/>
          <w:highlight w:val="none"/>
          <w14:textFill>
            <w14:solidFill>
              <w14:schemeClr w14:val="tx1"/>
            </w14:solidFill>
          </w14:textFill>
        </w:rPr>
      </w:pPr>
    </w:p>
    <w:p w14:paraId="3774489E">
      <w:pPr>
        <w:rPr>
          <w:rFonts w:hint="eastAsia" w:ascii="宋体" w:hAnsi="宋体" w:cs="宋体"/>
          <w:b/>
          <w:color w:val="000000" w:themeColor="text1"/>
          <w:sz w:val="28"/>
          <w:szCs w:val="2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2"/>
          <w:highlight w:val="none"/>
          <w14:textFill>
            <w14:solidFill>
              <w14:schemeClr w14:val="tx1"/>
            </w14:solidFill>
          </w14:textFill>
        </w:rPr>
        <w:t xml:space="preserve">                   </w:t>
      </w:r>
    </w:p>
    <w:p w14:paraId="25B42E41">
      <w:pPr>
        <w:ind w:firstLine="560" w:firstLineChars="200"/>
        <w:rPr>
          <w:rFonts w:ascii="宋体" w:hAnsi="宋体" w:cs="宋体"/>
          <w:color w:val="000000" w:themeColor="text1"/>
          <w:sz w:val="28"/>
          <w:szCs w:val="22"/>
          <w:highlight w:val="none"/>
          <w:u w:val="singl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项目名称：</w:t>
      </w:r>
      <w:r>
        <w:rPr>
          <w:rFonts w:hint="eastAsia" w:ascii="宋体" w:hAnsi="宋体" w:cs="宋体"/>
          <w:color w:val="000000" w:themeColor="text1"/>
          <w:sz w:val="28"/>
          <w:szCs w:val="22"/>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"https://bidding.zcygov.cn/xmgl/projectQuery/queryDetail?projectUuid=5c859e260a927c18" \l "/purchaseFileMake/_blank" \t "https://www.zcygov.cn/bidding-entrust/"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u w:val="single"/>
          <w14:textFill>
            <w14:solidFill>
              <w14:schemeClr w14:val="tx1"/>
            </w14:solidFill>
          </w14:textFill>
        </w:rPr>
        <w:fldChar w:fldCharType="end"/>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14:textFill>
            <w14:solidFill>
              <w14:schemeClr w14:val="tx1"/>
            </w14:solidFill>
          </w14:textFill>
        </w:rPr>
        <w:t xml:space="preserve">             </w:t>
      </w:r>
    </w:p>
    <w:p w14:paraId="33BE1FF4">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4C59ED70">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甲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549279A2">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66A6433F">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乙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3795550C">
      <w:pPr>
        <w:snapToGrid w:val="0"/>
        <w:spacing w:before="119" w:line="600" w:lineRule="exact"/>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0B820D4B">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签署地点：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5D66A0C0">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66FDCBF4">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签署日期：</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0B3F8713">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47666E1D">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456395E9">
      <w:pPr>
        <w:snapToGrid w:val="0"/>
        <w:spacing w:line="440" w:lineRule="exact"/>
        <w:ind w:right="42" w:rightChars="2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98" w:name="_Toc28936"/>
      <w:bookmarkStart w:id="99" w:name="_Toc3798"/>
      <w:bookmarkStart w:id="100" w:name="_Toc18872_WPSOffice_Level1"/>
    </w:p>
    <w:p w14:paraId="259B82BE">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A9A891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62199B2">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招标文件（</w:t>
      </w:r>
      <w:r>
        <w:rPr>
          <w:rFonts w:hint="eastAsia" w:ascii="宋体" w:hAnsi="宋体" w:cs="宋体"/>
          <w:color w:val="auto"/>
          <w:kern w:val="0"/>
          <w:sz w:val="24"/>
          <w:szCs w:val="24"/>
          <w:highlight w:val="none"/>
          <w:lang w:eastAsia="zh-CN"/>
        </w:rPr>
        <w:t>采购编号</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为该项目</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。甲乙双方依据《中华人民共和国政府采购法》、《中华人民共和国民法典》等相关法律法规和招标文件的要求，在平等自愿的基础上，同意按照下面的条款和条件，签署本合同。</w:t>
      </w:r>
    </w:p>
    <w:p w14:paraId="6C15A556">
      <w:pPr>
        <w:keepNext w:val="0"/>
        <w:keepLines w:val="0"/>
        <w:pageBreakBefore w:val="0"/>
        <w:widowControl/>
        <w:numPr>
          <w:ilvl w:val="0"/>
          <w:numId w:val="0"/>
        </w:numPr>
        <w:shd w:val="clear" w:color="auto" w:fill="auto"/>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1" w:name="_Toc13742298"/>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货物及其数量、金额等</w:t>
      </w:r>
      <w:bookmarkEnd w:id="101"/>
    </w:p>
    <w:tbl>
      <w:tblPr>
        <w:tblStyle w:val="29"/>
        <w:tblW w:w="55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2563"/>
        <w:gridCol w:w="895"/>
        <w:gridCol w:w="2709"/>
        <w:gridCol w:w="493"/>
        <w:gridCol w:w="833"/>
        <w:gridCol w:w="939"/>
        <w:gridCol w:w="1147"/>
      </w:tblGrid>
      <w:tr w14:paraId="7EAB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338A7526">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4CB3A07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653DD45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2051BA6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0457F96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36113C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E643FA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36905D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合价（元）</w:t>
            </w:r>
          </w:p>
        </w:tc>
      </w:tr>
      <w:tr w14:paraId="12BF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2C87136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509D532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16CEA2A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71F71CD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74D08B6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0080EE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648B366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DFD8A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126D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29C64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3548123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7DBB4747">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259EC17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2B3EB167">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FD7704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63A7C07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E47B9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0EAE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77E2D1D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701D2D5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05474EFA">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418705F1">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550DB1D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028693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474EFB00">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41EED7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638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4D496B66">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both"/>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rPr>
              <w:t>合同总金额：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元整</w:t>
            </w:r>
          </w:p>
        </w:tc>
      </w:tr>
      <w:tr w14:paraId="418D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14:paraId="6C3571E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甲方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14:paraId="24EA2CB6">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p>
          <w:p w14:paraId="5533ECD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移动电话：</w:t>
            </w:r>
            <w:r>
              <w:rPr>
                <w:rFonts w:hint="eastAsia" w:ascii="宋体" w:hAnsi="宋体" w:eastAsia="宋体" w:cs="宋体"/>
                <w:color w:val="auto"/>
                <w:kern w:val="0"/>
                <w:sz w:val="24"/>
                <w:szCs w:val="24"/>
                <w:highlight w:val="none"/>
                <w:lang w:val="en-US" w:eastAsia="zh-CN"/>
              </w:rPr>
              <w:t xml:space="preserve"> </w:t>
            </w:r>
          </w:p>
        </w:tc>
      </w:tr>
      <w:tr w14:paraId="32AE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14:paraId="0858A02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乙方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14:paraId="42A85DCE">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 xml:space="preserve"> </w:t>
            </w:r>
          </w:p>
          <w:p w14:paraId="4552768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移动电话： </w:t>
            </w:r>
            <w:r>
              <w:rPr>
                <w:rFonts w:hint="eastAsia" w:ascii="宋体" w:hAnsi="宋体" w:eastAsia="宋体" w:cs="宋体"/>
                <w:color w:val="auto"/>
                <w:kern w:val="0"/>
                <w:sz w:val="24"/>
                <w:szCs w:val="24"/>
                <w:highlight w:val="none"/>
                <w:lang w:val="en-US" w:eastAsia="zh-CN"/>
              </w:rPr>
              <w:t xml:space="preserve"> </w:t>
            </w:r>
          </w:p>
        </w:tc>
      </w:tr>
    </w:tbl>
    <w:p w14:paraId="3AAEB3A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2" w:name="_Toc373097176"/>
      <w:bookmarkStart w:id="103" w:name="_Toc13742299"/>
      <w:bookmarkStart w:id="104" w:name="_Toc408591660"/>
      <w:r>
        <w:rPr>
          <w:rFonts w:hint="eastAsia" w:ascii="宋体" w:hAnsi="宋体" w:eastAsia="宋体" w:cs="宋体"/>
          <w:b/>
          <w:bCs/>
          <w:color w:val="auto"/>
          <w:kern w:val="0"/>
          <w:sz w:val="24"/>
          <w:szCs w:val="24"/>
          <w:highlight w:val="none"/>
        </w:rPr>
        <w:t>二、服务的内容、方式及要求</w:t>
      </w:r>
      <w:bookmarkEnd w:id="102"/>
      <w:bookmarkEnd w:id="103"/>
      <w:bookmarkEnd w:id="104"/>
    </w:p>
    <w:p w14:paraId="7AB6612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14:paraId="218D4A94">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14:paraId="53001C3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14:paraId="54DD3D6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14:paraId="41715C2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5" w:name="_Toc13742300"/>
      <w:r>
        <w:rPr>
          <w:rFonts w:hint="eastAsia" w:ascii="宋体" w:hAnsi="宋体" w:eastAsia="宋体" w:cs="宋体"/>
          <w:b/>
          <w:bCs/>
          <w:color w:val="auto"/>
          <w:kern w:val="0"/>
          <w:sz w:val="24"/>
          <w:szCs w:val="24"/>
          <w:highlight w:val="none"/>
        </w:rPr>
        <w:t>三、质量保证</w:t>
      </w:r>
      <w:bookmarkEnd w:id="105"/>
    </w:p>
    <w:p w14:paraId="448B57E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日以后生产的产品，符合国家技术规格和质量标准的出厂合格产品；如发生所供商品与合同不符，甲方有权拒收或退货，由此产生的一切责任和后果由乙方承担。</w:t>
      </w:r>
    </w:p>
    <w:p w14:paraId="57DB22EF">
      <w:pPr>
        <w:keepNext w:val="0"/>
        <w:keepLines w:val="0"/>
        <w:pageBreakBefore w:val="0"/>
        <w:shd w:val="clear" w:color="auto" w:fill="auto"/>
        <w:tabs>
          <w:tab w:val="left" w:pos="605"/>
        </w:tabs>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6" w:name="_Toc373097177"/>
      <w:bookmarkStart w:id="107" w:name="_Toc13742301"/>
      <w:bookmarkStart w:id="108" w:name="_Toc408591661"/>
      <w:r>
        <w:rPr>
          <w:rFonts w:hint="eastAsia" w:ascii="宋体" w:hAnsi="宋体" w:eastAsia="宋体" w:cs="宋体"/>
          <w:b/>
          <w:bCs/>
          <w:color w:val="auto"/>
          <w:kern w:val="0"/>
          <w:sz w:val="24"/>
          <w:szCs w:val="24"/>
          <w:highlight w:val="none"/>
        </w:rPr>
        <w:t>四、工作条件</w:t>
      </w:r>
      <w:bookmarkEnd w:id="106"/>
      <w:bookmarkEnd w:id="107"/>
      <w:bookmarkEnd w:id="108"/>
    </w:p>
    <w:p w14:paraId="7FD3CEA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14:paraId="755EB33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14:paraId="4BAC00B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14:paraId="1636FD1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14:paraId="4C7A36E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9" w:name="_Toc373097178"/>
      <w:bookmarkStart w:id="110" w:name="_Toc408591662"/>
      <w:bookmarkStart w:id="111" w:name="_Toc13742302"/>
      <w:r>
        <w:rPr>
          <w:rFonts w:hint="eastAsia" w:ascii="宋体" w:hAnsi="宋体" w:eastAsia="宋体" w:cs="宋体"/>
          <w:b/>
          <w:bCs/>
          <w:color w:val="auto"/>
          <w:kern w:val="0"/>
          <w:sz w:val="24"/>
          <w:szCs w:val="24"/>
          <w:highlight w:val="none"/>
        </w:rPr>
        <w:t>五、实施安排和协作事项</w:t>
      </w:r>
      <w:bookmarkEnd w:id="109"/>
      <w:bookmarkEnd w:id="110"/>
      <w:bookmarkEnd w:id="111"/>
    </w:p>
    <w:p w14:paraId="4BF90F3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14:paraId="7541BBF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14:paraId="1310B90D">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B71736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2" w:name="_Toc408591663"/>
      <w:bookmarkStart w:id="113" w:name="_Toc13742303"/>
      <w:bookmarkStart w:id="114" w:name="_Toc373097179"/>
      <w:r>
        <w:rPr>
          <w:rFonts w:hint="eastAsia" w:ascii="宋体" w:hAnsi="宋体" w:eastAsia="宋体" w:cs="宋体"/>
          <w:b/>
          <w:bCs/>
          <w:color w:val="auto"/>
          <w:kern w:val="0"/>
          <w:sz w:val="24"/>
          <w:szCs w:val="24"/>
          <w:highlight w:val="none"/>
        </w:rPr>
        <w:t>六、售后服务</w:t>
      </w:r>
      <w:bookmarkEnd w:id="112"/>
      <w:bookmarkEnd w:id="113"/>
      <w:bookmarkEnd w:id="114"/>
    </w:p>
    <w:p w14:paraId="70DD0E1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1、设备质保及维护期为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年，自竣工验收合格之日起计算，质保维护期内</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为甲方提供项目免费咨询、日常维护、保养、维修及零配件更换。质保维护期满后，</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须提供长期维修服务，收取维修成本费，零配件不高于中标时零配件的投标价格。在质保期内非人为破坏因素引起的维修、保养均由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承担，合同内的所有产品要求提供上门服务。</w:t>
      </w:r>
    </w:p>
    <w:p w14:paraId="38555E8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5" w:name="_Toc408591664"/>
      <w:bookmarkStart w:id="116" w:name="_Toc13742304"/>
      <w:bookmarkStart w:id="117" w:name="_Toc373097180"/>
      <w:r>
        <w:rPr>
          <w:rFonts w:hint="eastAsia" w:ascii="宋体" w:hAnsi="宋体" w:eastAsia="宋体" w:cs="宋体"/>
          <w:b/>
          <w:bCs/>
          <w:color w:val="auto"/>
          <w:kern w:val="0"/>
          <w:sz w:val="24"/>
          <w:szCs w:val="24"/>
          <w:highlight w:val="none"/>
        </w:rPr>
        <w:t>七、工期及供货地点要求</w:t>
      </w:r>
      <w:bookmarkEnd w:id="115"/>
      <w:bookmarkEnd w:id="116"/>
      <w:bookmarkEnd w:id="117"/>
    </w:p>
    <w:p w14:paraId="6CC4900E">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1、工期要求：</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14:paraId="75B8D25B">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2、供货（安装）地点要求：</w:t>
      </w:r>
      <w:r>
        <w:rPr>
          <w:rFonts w:hint="eastAsia" w:ascii="宋体" w:hAnsi="宋体" w:eastAsia="宋体" w:cs="宋体"/>
          <w:color w:val="auto"/>
          <w:sz w:val="24"/>
          <w:szCs w:val="24"/>
          <w:highlight w:val="none"/>
          <w:lang w:val="en-US" w:eastAsia="zh-CN"/>
        </w:rPr>
        <w:t>甲方指定地点。</w:t>
      </w:r>
    </w:p>
    <w:p w14:paraId="40016154">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rPr>
      </w:pPr>
      <w:bookmarkStart w:id="118" w:name="_Toc408591665"/>
      <w:bookmarkStart w:id="119" w:name="_Toc13742305"/>
      <w:bookmarkStart w:id="120" w:name="_Toc373097181"/>
      <w:r>
        <w:rPr>
          <w:rFonts w:hint="eastAsia" w:ascii="宋体" w:hAnsi="宋体" w:eastAsia="宋体" w:cs="宋体"/>
          <w:b/>
          <w:bCs/>
          <w:color w:val="auto"/>
          <w:kern w:val="0"/>
          <w:sz w:val="24"/>
          <w:szCs w:val="24"/>
          <w:highlight w:val="none"/>
        </w:rPr>
        <w:t>八、验收</w:t>
      </w:r>
      <w:bookmarkEnd w:id="118"/>
      <w:bookmarkEnd w:id="119"/>
      <w:bookmarkEnd w:id="120"/>
    </w:p>
    <w:p w14:paraId="4A04CF37">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21" w:name="_Toc373097182"/>
      <w:bookmarkStart w:id="122" w:name="_Toc408591666"/>
      <w:r>
        <w:rPr>
          <w:rFonts w:hint="eastAsia" w:ascii="宋体" w:hAnsi="宋体" w:eastAsia="宋体" w:cs="宋体"/>
          <w:color w:val="auto"/>
          <w:kern w:val="0"/>
          <w:sz w:val="24"/>
          <w:szCs w:val="24"/>
          <w:highlight w:val="none"/>
        </w:rPr>
        <w:t>1、验收</w:t>
      </w:r>
    </w:p>
    <w:p w14:paraId="61085029">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（1）运行结果符合产品标准和技术规格书及合同要求。</w:t>
      </w:r>
    </w:p>
    <w:p w14:paraId="59D70CE6">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（2）在进行测试和验收运行过程中发生的故障已被消除并得到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的认可。</w:t>
      </w:r>
    </w:p>
    <w:p w14:paraId="55B396EC">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（3）所有合同中规定的货物、材料和技术文件都已提交。</w:t>
      </w:r>
    </w:p>
    <w:p w14:paraId="02747CE6">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）供货完成后甲方</w:t>
      </w:r>
      <w:r>
        <w:rPr>
          <w:rFonts w:hint="eastAsia" w:ascii="宋体" w:hAnsi="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lang w:eastAsia="zh-CN"/>
        </w:rPr>
        <w:t>随机抽验</w:t>
      </w:r>
      <w:r>
        <w:rPr>
          <w:rFonts w:hint="eastAsia" w:ascii="宋体" w:hAnsi="宋体" w:eastAsia="宋体" w:cs="宋体"/>
          <w:color w:val="auto"/>
          <w:kern w:val="0"/>
          <w:sz w:val="24"/>
          <w:szCs w:val="24"/>
          <w:highlight w:val="none"/>
          <w:lang w:val="en-US" w:eastAsia="zh-CN"/>
        </w:rPr>
        <w:t>1个</w:t>
      </w:r>
      <w:r>
        <w:rPr>
          <w:rFonts w:hint="eastAsia" w:ascii="宋体" w:hAnsi="宋体" w:eastAsia="宋体" w:cs="宋体"/>
          <w:color w:val="auto"/>
          <w:kern w:val="0"/>
          <w:sz w:val="24"/>
          <w:szCs w:val="24"/>
          <w:highlight w:val="none"/>
          <w:lang w:eastAsia="zh-CN"/>
        </w:rPr>
        <w:t>产品进行送检。检测产品质量不合格的，按验收不合格处理，甲方有权退回货物并要求重新供货</w:t>
      </w:r>
      <w:r>
        <w:rPr>
          <w:rFonts w:hint="eastAsia" w:ascii="宋体" w:hAnsi="宋体" w:eastAsia="宋体" w:cs="宋体"/>
          <w:color w:val="auto"/>
          <w:kern w:val="0"/>
          <w:sz w:val="24"/>
          <w:szCs w:val="24"/>
          <w:highlight w:val="none"/>
        </w:rPr>
        <w:t>。</w:t>
      </w:r>
    </w:p>
    <w:p w14:paraId="7D8B66D8">
      <w:pPr>
        <w:pStyle w:val="154"/>
        <w:keepNext w:val="0"/>
        <w:keepLines w:val="0"/>
        <w:pageBreakBefore w:val="0"/>
        <w:widowControl w:val="0"/>
        <w:shd w:val="clear" w:color="auto" w:fill="auto"/>
        <w:kinsoku/>
        <w:wordWrap/>
        <w:overflowPunct w:val="0"/>
        <w:topLinePunct w:val="0"/>
        <w:autoSpaceDE w:val="0"/>
        <w:autoSpaceDN w:val="0"/>
        <w:bidi w:val="0"/>
        <w:adjustRightInd w:val="0"/>
        <w:snapToGrid/>
        <w:spacing w:line="480" w:lineRule="exact"/>
        <w:ind w:left="0" w:leftChars="0" w:right="0" w:rightChars="0" w:firstLine="480" w:firstLineChars="200"/>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注：验收时需进行破坏性验收，实物作为破坏性试验验收依据，若</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没有满足采购参数实质性要求需更换直至满足甲方需求。</w:t>
      </w:r>
    </w:p>
    <w:p w14:paraId="2CFA5EFC">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九、履约保证金</w:t>
      </w:r>
      <w:bookmarkEnd w:id="121"/>
      <w:bookmarkEnd w:id="122"/>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lang w:val="en-US" w:eastAsia="zh-CN" w:bidi="ar-SA"/>
        </w:rPr>
        <w:t>不需要缴纳</w:t>
      </w:r>
      <w:r>
        <w:rPr>
          <w:rFonts w:hint="eastAsia" w:ascii="宋体" w:hAnsi="宋体" w:eastAsia="宋体" w:cs="宋体"/>
          <w:color w:val="auto"/>
          <w:kern w:val="0"/>
          <w:sz w:val="24"/>
          <w:szCs w:val="24"/>
          <w:highlight w:val="none"/>
          <w:lang w:val="en-US" w:eastAsia="zh-CN" w:bidi="ar-SA"/>
        </w:rPr>
        <w:t>。</w:t>
      </w:r>
    </w:p>
    <w:p w14:paraId="5D2EB0B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3" w:name="_Toc408591667"/>
      <w:bookmarkStart w:id="124" w:name="_Toc373097183"/>
      <w:bookmarkStart w:id="125" w:name="_Toc13742306"/>
      <w:r>
        <w:rPr>
          <w:rFonts w:hint="eastAsia" w:ascii="宋体" w:hAnsi="宋体" w:eastAsia="宋体" w:cs="宋体"/>
          <w:b/>
          <w:bCs/>
          <w:color w:val="auto"/>
          <w:kern w:val="0"/>
          <w:sz w:val="24"/>
          <w:szCs w:val="24"/>
          <w:highlight w:val="none"/>
        </w:rPr>
        <w:t>十、付款方式</w:t>
      </w:r>
      <w:bookmarkEnd w:id="123"/>
      <w:bookmarkEnd w:id="124"/>
      <w:bookmarkEnd w:id="125"/>
    </w:p>
    <w:p w14:paraId="3DDA42A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bookmarkStart w:id="126" w:name="_Toc373097184"/>
      <w:bookmarkStart w:id="127" w:name="_Toc408591668"/>
      <w:r>
        <w:rPr>
          <w:rFonts w:hint="eastAsia" w:ascii="宋体" w:hAnsi="宋体" w:eastAsia="宋体" w:cs="宋体"/>
          <w:color w:val="auto"/>
          <w:kern w:val="0"/>
          <w:sz w:val="24"/>
          <w:szCs w:val="24"/>
          <w:highlight w:val="none"/>
        </w:rPr>
        <w:t>合同签订及具备实施条件后7个工作日内支付合同总额的40%预付款；</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应提交银行、保险公司等金融机构出具同等金额的预付款保函。</w:t>
      </w:r>
      <w:r>
        <w:rPr>
          <w:rFonts w:hint="eastAsia" w:ascii="宋体" w:hAnsi="宋体" w:eastAsia="宋体" w:cs="宋体"/>
          <w:color w:val="auto"/>
          <w:kern w:val="0"/>
          <w:sz w:val="24"/>
          <w:szCs w:val="24"/>
          <w:highlight w:val="none"/>
        </w:rPr>
        <w:t>安装调试完毕并经验收合格后7个工作日内支付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合同总额的100%。</w:t>
      </w:r>
    </w:p>
    <w:p w14:paraId="40CDC6B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乙方明确表示无需预付款或者主动要求降低预付款比例的，采购合同可不适用前述规定。</w:t>
      </w:r>
    </w:p>
    <w:p w14:paraId="71175E9C">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在乙方领取项目款时，应提供与项目款同等数额的发票，否则，甲方有权拒绝支付结算款</w:t>
      </w:r>
      <w:r>
        <w:rPr>
          <w:rFonts w:hint="eastAsia" w:ascii="宋体" w:hAnsi="宋体" w:cs="宋体"/>
          <w:color w:val="auto"/>
          <w:sz w:val="24"/>
          <w:szCs w:val="24"/>
          <w:highlight w:val="none"/>
          <w:lang w:val="en-US" w:eastAsia="zh-CN"/>
        </w:rPr>
        <w:t>，并不承担违约责任。</w:t>
      </w:r>
    </w:p>
    <w:p w14:paraId="3B19721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8" w:name="_Toc13742307"/>
      <w:r>
        <w:rPr>
          <w:rFonts w:hint="eastAsia" w:ascii="宋体" w:hAnsi="宋体" w:eastAsia="宋体" w:cs="宋体"/>
          <w:b/>
          <w:bCs/>
          <w:color w:val="auto"/>
          <w:kern w:val="0"/>
          <w:sz w:val="24"/>
          <w:szCs w:val="24"/>
          <w:highlight w:val="none"/>
        </w:rPr>
        <w:t>十一、违约责任</w:t>
      </w:r>
      <w:bookmarkEnd w:id="126"/>
      <w:bookmarkEnd w:id="127"/>
      <w:bookmarkEnd w:id="128"/>
    </w:p>
    <w:p w14:paraId="51F43C97">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29" w:name="_Toc373097185"/>
      <w:bookmarkStart w:id="130" w:name="_Toc408591669"/>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、如乙方不能交付货物，甲方有权单方解除合同，同时乙方除退还全部已收取款项，还应向甲方支付合同总价10％的违约金，造成甲方损失超过违约金的，乙方继续承担赔偿责任。</w:t>
      </w:r>
    </w:p>
    <w:p w14:paraId="27EE7745">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、乙方逾期交付货物的，每逾期1天，乙方向甲方偿付逾期交货部分货款总额的5‰的</w:t>
      </w:r>
      <w:r>
        <w:rPr>
          <w:rFonts w:hint="eastAsia" w:ascii="宋体" w:hAnsi="宋体" w:eastAsia="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。如乙方逾期交货达30天，甲方有权单方解除合同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解除合同的通知自到达乙方时生效，乙方除全部退还甲方已收款项及支付前述应付违约金外，还应向甲方支付合同总价10％的违约金，造成甲方损失超过违约金的，乙方继续承担赔偿责任。</w:t>
      </w:r>
    </w:p>
    <w:p w14:paraId="63DB759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逾期交付货物处理。</w:t>
      </w:r>
    </w:p>
    <w:p w14:paraId="2D87A94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、乙方所交付的货物品种、型号、规格、技术指标不符合合同规定的，甲方有权拒收。甲方拒收的，乙方应向甲方支付货款总额1%的违约金。乙方应继续交付符合合同规定的货</w:t>
      </w:r>
      <w:r>
        <w:rPr>
          <w:rFonts w:hint="eastAsia" w:ascii="宋体" w:hAnsi="宋体" w:eastAsia="宋体" w:cs="宋体"/>
          <w:color w:val="auto"/>
          <w:kern w:val="0"/>
          <w:sz w:val="24"/>
          <w:szCs w:val="24"/>
          <w:highlight w:val="none"/>
          <w:lang w:eastAsia="zh-CN"/>
        </w:rPr>
        <w:t>物。</w:t>
      </w:r>
    </w:p>
    <w:p w14:paraId="5F18863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在乙方承诺的或国家规定的质量保证期内（取两者中最长的期限），如经乙方两次维修或更换，货物仍不能达到合同约定的质量标准，甲方有权退货，乙方应退回全部货款，乙方还应向甲方支付合同总价10%的违约金，造成甲方损失超过违约金</w:t>
      </w:r>
      <w:r>
        <w:rPr>
          <w:rFonts w:hint="eastAsia" w:ascii="宋体" w:hAnsi="宋体" w:eastAsia="宋体" w:cs="宋体"/>
          <w:color w:val="auto"/>
          <w:kern w:val="0"/>
          <w:sz w:val="24"/>
          <w:szCs w:val="24"/>
          <w:highlight w:val="none"/>
          <w:lang w:eastAsia="zh-CN"/>
        </w:rPr>
        <w:t>的，乙方继续承担赔偿责任</w:t>
      </w:r>
      <w:r>
        <w:rPr>
          <w:rFonts w:hint="eastAsia" w:ascii="宋体" w:hAnsi="宋体" w:eastAsia="宋体" w:cs="宋体"/>
          <w:color w:val="auto"/>
          <w:kern w:val="0"/>
          <w:sz w:val="24"/>
          <w:szCs w:val="24"/>
          <w:highlight w:val="none"/>
        </w:rPr>
        <w:t>。</w:t>
      </w:r>
    </w:p>
    <w:p w14:paraId="65B9D2B7">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、乙方未按本合同的规定和“服务承诺”提供伴随服务/售后服务的，应按合同总价款的30%向甲方承担违约责任</w:t>
      </w:r>
      <w:r>
        <w:rPr>
          <w:rFonts w:hint="eastAsia" w:ascii="宋体" w:hAnsi="宋体" w:eastAsia="宋体" w:cs="宋体"/>
          <w:color w:val="auto"/>
          <w:kern w:val="0"/>
          <w:sz w:val="24"/>
          <w:szCs w:val="24"/>
          <w:highlight w:val="none"/>
          <w:lang w:eastAsia="zh-CN"/>
        </w:rPr>
        <w:t>，造成甲方损失超过违约金的，乙方继续承担赔偿责任</w:t>
      </w:r>
      <w:r>
        <w:rPr>
          <w:rFonts w:hint="eastAsia" w:ascii="宋体" w:hAnsi="宋体" w:eastAsia="宋体" w:cs="宋体"/>
          <w:color w:val="auto"/>
          <w:kern w:val="0"/>
          <w:sz w:val="24"/>
          <w:szCs w:val="24"/>
          <w:highlight w:val="none"/>
        </w:rPr>
        <w:t>。</w:t>
      </w:r>
    </w:p>
    <w:p w14:paraId="6DEAD07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、乙方在承担上述</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款一项或多项违约责任后，仍应继续履行合同规定的义务（甲方解除合同的除外）。甲方未能及时追究乙方的任何一项违约责任并不表明甲方放弃追究乙方该项或其他违约责任。</w:t>
      </w:r>
    </w:p>
    <w:p w14:paraId="0D83B02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1" w:name="_Toc13742308"/>
      <w:r>
        <w:rPr>
          <w:rFonts w:hint="eastAsia" w:ascii="宋体" w:hAnsi="宋体" w:eastAsia="宋体" w:cs="宋体"/>
          <w:b/>
          <w:bCs/>
          <w:color w:val="auto"/>
          <w:kern w:val="0"/>
          <w:sz w:val="24"/>
          <w:szCs w:val="24"/>
          <w:highlight w:val="none"/>
        </w:rPr>
        <w:t>十二、合同纠纷处理：</w:t>
      </w:r>
      <w:bookmarkEnd w:id="129"/>
      <w:bookmarkEnd w:id="130"/>
      <w:bookmarkEnd w:id="131"/>
    </w:p>
    <w:p w14:paraId="4B6C8205">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32" w:name="_Toc408591670"/>
      <w:bookmarkStart w:id="133" w:name="_Toc373097186"/>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73A434B8">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2、因履行本合同引起的或与本合同有关的争议，甲乙双方应首先通过友好协商解决，如果协商不能解决争议，则采取以下第（2）种方式解决争议：</w:t>
      </w:r>
    </w:p>
    <w:p w14:paraId="0B4894B3">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14:paraId="560894EF">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14:paraId="727A9252">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14:paraId="451B59A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4" w:name="_Toc13742309"/>
      <w:r>
        <w:rPr>
          <w:rFonts w:hint="eastAsia" w:ascii="宋体" w:hAnsi="宋体" w:eastAsia="宋体" w:cs="宋体"/>
          <w:b/>
          <w:bCs/>
          <w:color w:val="auto"/>
          <w:kern w:val="0"/>
          <w:sz w:val="24"/>
          <w:szCs w:val="24"/>
          <w:highlight w:val="none"/>
        </w:rPr>
        <w:t>十三、合同的转让和分包：</w:t>
      </w:r>
      <w:bookmarkEnd w:id="134"/>
    </w:p>
    <w:p w14:paraId="607469E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14:paraId="050BE75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5" w:name="_Toc13742310"/>
      <w:r>
        <w:rPr>
          <w:rFonts w:hint="eastAsia" w:ascii="宋体" w:hAnsi="宋体" w:eastAsia="宋体" w:cs="宋体"/>
          <w:b/>
          <w:bCs/>
          <w:color w:val="auto"/>
          <w:kern w:val="0"/>
          <w:sz w:val="24"/>
          <w:szCs w:val="24"/>
          <w:highlight w:val="none"/>
        </w:rPr>
        <w:t>十四、</w:t>
      </w:r>
      <w:bookmarkEnd w:id="132"/>
      <w:bookmarkEnd w:id="133"/>
      <w:bookmarkStart w:id="136" w:name="_Toc373097188"/>
      <w:bookmarkStart w:id="137" w:name="_Toc408591672"/>
      <w:r>
        <w:rPr>
          <w:rFonts w:hint="eastAsia" w:ascii="宋体" w:hAnsi="宋体" w:eastAsia="宋体" w:cs="宋体"/>
          <w:b/>
          <w:bCs/>
          <w:color w:val="auto"/>
          <w:kern w:val="0"/>
          <w:sz w:val="24"/>
          <w:szCs w:val="24"/>
          <w:highlight w:val="none"/>
        </w:rPr>
        <w:t>组成本合同的文件包括：</w:t>
      </w:r>
      <w:bookmarkEnd w:id="135"/>
      <w:bookmarkEnd w:id="136"/>
      <w:bookmarkEnd w:id="137"/>
    </w:p>
    <w:p w14:paraId="1F88B59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、本合同；</w:t>
      </w:r>
    </w:p>
    <w:p w14:paraId="343329B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、采购文件和乙方的投标文件；</w:t>
      </w:r>
    </w:p>
    <w:p w14:paraId="68E7877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、中标通知书；</w:t>
      </w:r>
    </w:p>
    <w:p w14:paraId="6B4D023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、甲乙双方商定的其他必要文件。</w:t>
      </w:r>
    </w:p>
    <w:p w14:paraId="44434D2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14:paraId="60EB7CD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14:paraId="6B73BC0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、合同经双方负责人或委托代理人签字并加盖单位公章。</w:t>
      </w:r>
    </w:p>
    <w:p w14:paraId="0C1EF720">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、合同执行中涉及采购资金和采购内容修改或补充的，须经财政部门批准，并签书面补充协议报政府采购监督管理部门备案，方可作为合同不可分割的一部分。</w:t>
      </w:r>
    </w:p>
    <w:p w14:paraId="2864EBB8">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、本合同自签订之日起生效。</w:t>
      </w:r>
    </w:p>
    <w:p w14:paraId="505E38EA">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14:paraId="349D311A">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、本合同应按照中华人民共和国的现行法律进行解释。</w:t>
      </w:r>
    </w:p>
    <w:p w14:paraId="338DF2E6">
      <w:pPr>
        <w:keepNext w:val="0"/>
        <w:keepLines w:val="0"/>
        <w:pageBreakBefore w:val="0"/>
        <w:shd w:val="clear" w:color="auto" w:fill="auto"/>
        <w:tabs>
          <w:tab w:val="center" w:pos="4153"/>
          <w:tab w:val="right" w:pos="8306"/>
        </w:tabs>
        <w:kinsoku/>
        <w:wordWrap/>
        <w:topLinePunct w:val="0"/>
        <w:bidi w:val="0"/>
        <w:snapToGrid w:val="0"/>
        <w:spacing w:line="480" w:lineRule="exact"/>
        <w:ind w:right="0" w:rightChars="0"/>
        <w:jc w:val="left"/>
        <w:outlineLvl w:val="9"/>
        <w:rPr>
          <w:rFonts w:hint="eastAsia" w:ascii="宋体" w:hAnsi="宋体" w:eastAsia="宋体" w:cs="宋体"/>
          <w:color w:val="auto"/>
          <w:kern w:val="0"/>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113"/>
        <w:gridCol w:w="3338"/>
      </w:tblGrid>
      <w:tr w14:paraId="3C0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vMerge w:val="restart"/>
            <w:tcBorders>
              <w:tl2br w:val="single" w:color="auto" w:sz="4" w:space="0"/>
            </w:tcBorders>
            <w:noWrap w:val="0"/>
            <w:vAlign w:val="center"/>
          </w:tcPr>
          <w:p w14:paraId="4795822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单位名称</w:t>
            </w:r>
          </w:p>
          <w:p w14:paraId="66F592F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类别名称</w:t>
            </w:r>
          </w:p>
        </w:tc>
        <w:tc>
          <w:tcPr>
            <w:tcW w:w="3113" w:type="dxa"/>
            <w:noWrap w:val="0"/>
            <w:vAlign w:val="center"/>
          </w:tcPr>
          <w:p w14:paraId="78B4AF0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3338" w:type="dxa"/>
            <w:noWrap w:val="0"/>
            <w:vAlign w:val="center"/>
          </w:tcPr>
          <w:p w14:paraId="647092D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14:paraId="48F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071" w:type="dxa"/>
            <w:vMerge w:val="continue"/>
            <w:tcBorders>
              <w:tl2br w:val="single" w:color="auto" w:sz="4" w:space="0"/>
            </w:tcBorders>
            <w:noWrap w:val="0"/>
            <w:vAlign w:val="center"/>
          </w:tcPr>
          <w:p w14:paraId="7F13A25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p>
        </w:tc>
        <w:tc>
          <w:tcPr>
            <w:tcW w:w="3113" w:type="dxa"/>
            <w:noWrap w:val="0"/>
            <w:vAlign w:val="center"/>
          </w:tcPr>
          <w:p w14:paraId="7E075BB1">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缙云县林业局</w:t>
            </w:r>
          </w:p>
        </w:tc>
        <w:tc>
          <w:tcPr>
            <w:tcW w:w="3338" w:type="dxa"/>
            <w:noWrap w:val="0"/>
            <w:vAlign w:val="center"/>
          </w:tcPr>
          <w:p w14:paraId="1D08FD6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14:paraId="3EA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C65C46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113" w:type="dxa"/>
            <w:noWrap w:val="0"/>
            <w:vAlign w:val="center"/>
          </w:tcPr>
          <w:p w14:paraId="77295B6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2DEDE41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42D0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00A88A7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w:t>
            </w:r>
          </w:p>
        </w:tc>
        <w:tc>
          <w:tcPr>
            <w:tcW w:w="3113" w:type="dxa"/>
            <w:noWrap w:val="0"/>
            <w:vAlign w:val="center"/>
          </w:tcPr>
          <w:p w14:paraId="5D75900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51A9980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46F1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28B4118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或被授权人：</w:t>
            </w:r>
          </w:p>
        </w:tc>
        <w:tc>
          <w:tcPr>
            <w:tcW w:w="3113" w:type="dxa"/>
            <w:noWrap w:val="0"/>
            <w:vAlign w:val="center"/>
          </w:tcPr>
          <w:p w14:paraId="67DDE057">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259D6CA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651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006753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113" w:type="dxa"/>
            <w:noWrap w:val="0"/>
            <w:vAlign w:val="center"/>
          </w:tcPr>
          <w:p w14:paraId="1B43F46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1910BDD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2426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B95201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  称：</w:t>
            </w:r>
          </w:p>
        </w:tc>
        <w:tc>
          <w:tcPr>
            <w:tcW w:w="3113" w:type="dxa"/>
            <w:noWrap w:val="0"/>
            <w:vAlign w:val="center"/>
          </w:tcPr>
          <w:p w14:paraId="72C9375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4508128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03E5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166B31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tc>
        <w:tc>
          <w:tcPr>
            <w:tcW w:w="3113" w:type="dxa"/>
            <w:noWrap w:val="0"/>
            <w:vAlign w:val="center"/>
          </w:tcPr>
          <w:p w14:paraId="44CD000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0B9B25E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713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55B8690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3113" w:type="dxa"/>
            <w:noWrap w:val="0"/>
            <w:vAlign w:val="center"/>
          </w:tcPr>
          <w:p w14:paraId="2D93684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17FBF43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p>
        </w:tc>
      </w:tr>
      <w:tr w14:paraId="707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39D28F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6451" w:type="dxa"/>
            <w:gridSpan w:val="2"/>
            <w:noWrap w:val="0"/>
            <w:vAlign w:val="center"/>
          </w:tcPr>
          <w:p w14:paraId="1AF3F6E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23C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3592AF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113" w:type="dxa"/>
            <w:noWrap w:val="0"/>
            <w:vAlign w:val="center"/>
          </w:tcPr>
          <w:p w14:paraId="5145D5B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3338" w:type="dxa"/>
            <w:noWrap w:val="0"/>
            <w:vAlign w:val="center"/>
          </w:tcPr>
          <w:p w14:paraId="3174ECC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1E22FBC9">
      <w:pPr>
        <w:pStyle w:val="12"/>
        <w:snapToGrid w:val="0"/>
        <w:spacing w:line="360" w:lineRule="exact"/>
        <w:rPr>
          <w:rFonts w:hAnsi="宋体" w:cs="宋体"/>
          <w:snapToGrid/>
          <w:color w:val="auto"/>
          <w:sz w:val="24"/>
          <w:szCs w:val="24"/>
          <w:highlight w:val="none"/>
          <w:lang w:val="zh-CN"/>
        </w:rPr>
      </w:pPr>
    </w:p>
    <w:p w14:paraId="43334694">
      <w:pPr>
        <w:rPr>
          <w:rFonts w:ascii="宋体" w:hAnsi="宋体" w:cs="宋体"/>
          <w:color w:val="auto"/>
          <w:highlight w:val="none"/>
        </w:rPr>
      </w:pPr>
    </w:p>
    <w:p w14:paraId="79B8B49C">
      <w:pPr>
        <w:jc w:val="both"/>
        <w:rPr>
          <w:rFonts w:hint="eastAsia" w:ascii="宋体" w:hAnsi="宋体" w:cs="宋体"/>
          <w:b/>
          <w:color w:val="000000" w:themeColor="text1"/>
          <w:sz w:val="36"/>
          <w:szCs w:val="36"/>
          <w:highlight w:val="none"/>
          <w14:textFill>
            <w14:solidFill>
              <w14:schemeClr w14:val="tx1"/>
            </w14:solidFill>
          </w14:textFill>
        </w:rPr>
      </w:pPr>
    </w:p>
    <w:p w14:paraId="42C54438">
      <w:pPr>
        <w:rPr>
          <w:rFonts w:hint="eastAsia" w:ascii="宋体" w:hAnsi="宋体" w:cs="宋体"/>
          <w:b/>
          <w:color w:val="000000" w:themeColor="text1"/>
          <w:sz w:val="36"/>
          <w:szCs w:val="36"/>
          <w:highlight w:val="none"/>
          <w14:textFill>
            <w14:solidFill>
              <w14:schemeClr w14:val="tx1"/>
            </w14:solidFill>
          </w14:textFill>
        </w:rPr>
      </w:pPr>
    </w:p>
    <w:p w14:paraId="29E3FFDA">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579465A">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　投标相关文件格式</w:t>
      </w:r>
      <w:bookmarkEnd w:id="98"/>
      <w:bookmarkEnd w:id="99"/>
      <w:bookmarkEnd w:id="100"/>
      <w:bookmarkStart w:id="138" w:name="_Toc47756041"/>
      <w:bookmarkStart w:id="139" w:name="_Toc15805942"/>
      <w:bookmarkStart w:id="140" w:name="_Toc15813259"/>
      <w:bookmarkStart w:id="141" w:name="_Toc45506740"/>
    </w:p>
    <w:p w14:paraId="62716E50">
      <w:pPr>
        <w:spacing w:line="360" w:lineRule="auto"/>
        <w:rPr>
          <w:rFonts w:ascii="宋体" w:hAnsi="宋体" w:cs="宋体"/>
          <w:b/>
          <w:color w:val="000000" w:themeColor="text1"/>
          <w:sz w:val="32"/>
          <w:szCs w:val="28"/>
          <w:highlight w:val="none"/>
          <w14:textFill>
            <w14:solidFill>
              <w14:schemeClr w14:val="tx1"/>
            </w14:solidFill>
          </w14:textFill>
        </w:rPr>
      </w:pPr>
    </w:p>
    <w:p w14:paraId="06E6CAD5">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资格审查文件封面</w:t>
      </w:r>
    </w:p>
    <w:p w14:paraId="025C027A">
      <w:pPr>
        <w:pStyle w:val="4"/>
        <w:ind w:firstLine="1664" w:firstLineChars="416"/>
        <w:rPr>
          <w:rFonts w:ascii="宋体" w:hAnsi="宋体" w:cs="宋体"/>
          <w:color w:val="000000" w:themeColor="text1"/>
          <w:sz w:val="40"/>
          <w:szCs w:val="21"/>
          <w:highlight w:val="none"/>
          <w14:textFill>
            <w14:solidFill>
              <w14:schemeClr w14:val="tx1"/>
            </w14:solidFill>
          </w14:textFill>
        </w:rPr>
      </w:pPr>
    </w:p>
    <w:p w14:paraId="55B9BF2E">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2FC23631">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4BB6FA2D">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6954013C">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2180EF2F">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4E41B69B">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74D30355">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24ACF5DD">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投标文件名称：资格审查文件</w:t>
      </w:r>
    </w:p>
    <w:p w14:paraId="40DB10F8">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45A15C2D">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7519F06F">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75B445EF">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424B4037">
      <w:pPr>
        <w:pStyle w:val="4"/>
        <w:ind w:firstLine="0"/>
        <w:rPr>
          <w:rFonts w:ascii="宋体" w:hAnsi="宋体" w:cs="宋体"/>
          <w:color w:val="000000" w:themeColor="text1"/>
          <w:sz w:val="36"/>
          <w:szCs w:val="36"/>
          <w:highlight w:val="none"/>
          <w14:textFill>
            <w14:solidFill>
              <w14:schemeClr w14:val="tx1"/>
            </w14:solidFill>
          </w14:textFill>
        </w:rPr>
      </w:pPr>
    </w:p>
    <w:p w14:paraId="10EBB2EC">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75A49123">
      <w:pPr>
        <w:pStyle w:val="4"/>
        <w:ind w:firstLine="0"/>
        <w:rPr>
          <w:rFonts w:ascii="宋体" w:hAnsi="宋体" w:cs="宋体"/>
          <w:color w:val="000000" w:themeColor="text1"/>
          <w:sz w:val="40"/>
          <w:szCs w:val="21"/>
          <w:highlight w:val="none"/>
          <w14:textFill>
            <w14:solidFill>
              <w14:schemeClr w14:val="tx1"/>
            </w14:solidFill>
          </w14:textFill>
        </w:rPr>
      </w:pPr>
    </w:p>
    <w:p w14:paraId="6B39D82A">
      <w:pPr>
        <w:pStyle w:val="4"/>
        <w:ind w:firstLine="0"/>
        <w:rPr>
          <w:rFonts w:ascii="宋体" w:hAnsi="宋体" w:cs="宋体"/>
          <w:color w:val="000000" w:themeColor="text1"/>
          <w:sz w:val="40"/>
          <w:szCs w:val="21"/>
          <w:highlight w:val="none"/>
          <w14:textFill>
            <w14:solidFill>
              <w14:schemeClr w14:val="tx1"/>
            </w14:solidFill>
          </w14:textFill>
        </w:rPr>
      </w:pPr>
    </w:p>
    <w:p w14:paraId="7F02FCD6">
      <w:pPr>
        <w:pStyle w:val="4"/>
        <w:ind w:firstLine="1600" w:firstLineChars="400"/>
        <w:rPr>
          <w:rFonts w:ascii="宋体" w:hAnsi="宋体" w:cs="宋体"/>
          <w:color w:val="000000" w:themeColor="text1"/>
          <w:sz w:val="40"/>
          <w:szCs w:val="21"/>
          <w:highlight w:val="none"/>
          <w14:textFill>
            <w14:solidFill>
              <w14:schemeClr w14:val="tx1"/>
            </w14:solidFill>
          </w14:textFill>
        </w:rPr>
      </w:pPr>
    </w:p>
    <w:p w14:paraId="6DB48D49">
      <w:pPr>
        <w:pStyle w:val="4"/>
        <w:ind w:firstLine="1497" w:firstLineChars="416"/>
        <w:jc w:val="center"/>
        <w:rPr>
          <w:rFonts w:ascii="宋体" w:hAnsi="宋体" w:cs="宋体"/>
          <w:color w:val="000000" w:themeColor="text1"/>
          <w:sz w:val="36"/>
          <w:szCs w:val="36"/>
          <w:highlight w:val="none"/>
          <w14:textFill>
            <w14:solidFill>
              <w14:schemeClr w14:val="tx1"/>
            </w14:solidFill>
          </w14:textFill>
        </w:rPr>
      </w:pPr>
    </w:p>
    <w:p w14:paraId="42EBEC4C">
      <w:pPr>
        <w:rPr>
          <w:rFonts w:ascii="宋体" w:hAnsi="宋体" w:cs="宋体"/>
          <w:b/>
          <w:bCs/>
          <w:color w:val="000000" w:themeColor="text1"/>
          <w:sz w:val="24"/>
          <w:highlight w:val="none"/>
          <w14:textFill>
            <w14:solidFill>
              <w14:schemeClr w14:val="tx1"/>
            </w14:solidFill>
          </w14:textFill>
        </w:rPr>
      </w:pPr>
      <w:bookmarkStart w:id="142" w:name="_Toc8668"/>
    </w:p>
    <w:p w14:paraId="49D1C8C4">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10430D9F">
      <w:pPr>
        <w:jc w:val="center"/>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一、资格审查文件格式</w:t>
      </w:r>
      <w:bookmarkEnd w:id="142"/>
    </w:p>
    <w:p w14:paraId="6BB3E0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1.1、公司有效营业执照</w:t>
      </w:r>
    </w:p>
    <w:p w14:paraId="0AACFCE4">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1.提供有效的营业执照复印件并加盖公章</w:t>
      </w:r>
    </w:p>
    <w:p w14:paraId="2B98754C">
      <w:pPr>
        <w:keepNext/>
        <w:keepLines/>
        <w:snapToGrid w:val="0"/>
        <w:jc w:val="left"/>
        <w:rPr>
          <w:rFonts w:ascii="宋体" w:hAnsi="宋体" w:cs="宋体"/>
          <w:b/>
          <w:bCs/>
          <w:color w:val="000000" w:themeColor="text1"/>
          <w:sz w:val="28"/>
          <w:szCs w:val="28"/>
          <w:highlight w:val="none"/>
          <w14:textFill>
            <w14:solidFill>
              <w14:schemeClr w14:val="tx1"/>
            </w14:solidFill>
          </w14:textFill>
        </w:rPr>
      </w:pPr>
    </w:p>
    <w:p w14:paraId="2A61B2C9">
      <w:pPr>
        <w:keepNext/>
        <w:keepLines/>
        <w:snapToGrid w:val="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1.2、授权委托书</w:t>
      </w:r>
    </w:p>
    <w:p w14:paraId="1344E235">
      <w:pPr>
        <w:pStyle w:val="89"/>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（代理机构名称）</w:t>
      </w:r>
      <w:r>
        <w:rPr>
          <w:rFonts w:hint="eastAsia" w:ascii="宋体" w:hAnsi="宋体" w:cs="宋体"/>
          <w:color w:val="000000" w:themeColor="text1"/>
          <w:sz w:val="24"/>
          <w:highlight w:val="none"/>
          <w14:textFill>
            <w14:solidFill>
              <w14:schemeClr w14:val="tx1"/>
            </w14:solidFill>
          </w14:textFill>
        </w:rPr>
        <w:t>：</w:t>
      </w:r>
    </w:p>
    <w:p w14:paraId="62E73910">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负责人姓名）系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（投标人全称）的负责人，现授权委托本单位</w:t>
      </w:r>
      <w:r>
        <w:rPr>
          <w:rFonts w:hint="eastAsia" w:ascii="宋体" w:hAnsi="宋体" w:cs="宋体"/>
          <w:bCs/>
          <w:color w:val="000000" w:themeColor="text1"/>
          <w:sz w:val="24"/>
          <w:highlight w:val="none"/>
          <w14:textFill>
            <w14:solidFill>
              <w14:schemeClr w14:val="tx1"/>
            </w14:solidFill>
          </w14:textFill>
        </w:rPr>
        <w:t>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（姓名）以我方的名义参加就贵方组织的</w:t>
      </w:r>
      <w:r>
        <w:rPr>
          <w:rFonts w:hint="eastAsia" w:ascii="宋体" w:hAnsi="宋体" w:cs="宋体"/>
          <w:color w:val="000000" w:themeColor="text1"/>
          <w:sz w:val="24"/>
          <w:highlight w:val="none"/>
          <w:u w:val="single"/>
          <w14:textFill>
            <w14:solidFill>
              <w14:schemeClr w14:val="tx1"/>
            </w14:solidFill>
          </w14:textFill>
        </w:rPr>
        <w:t>（采购项目名称）</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）项目的投标活动，并代表我方全权办理针对上述项目的投标、开标、评审、签约等具体事务和签署相关文件。</w:t>
      </w:r>
    </w:p>
    <w:p w14:paraId="6DF96202">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我方对委托代理人的签字或盖章事项负全部责任。</w:t>
      </w:r>
    </w:p>
    <w:p w14:paraId="6AB3AEE8">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57DF729D">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委托代理人无转委托权，特此声明。</w:t>
      </w:r>
    </w:p>
    <w:p w14:paraId="13C6951F">
      <w:pPr>
        <w:pStyle w:val="89"/>
        <w:spacing w:line="440" w:lineRule="exact"/>
        <w:ind w:firstLine="480"/>
        <w:rPr>
          <w:rFonts w:ascii="宋体" w:hAnsi="宋体" w:cs="宋体"/>
          <w:color w:val="000000" w:themeColor="text1"/>
          <w:sz w:val="24"/>
          <w:highlight w:val="none"/>
          <w14:textFill>
            <w14:solidFill>
              <w14:schemeClr w14:val="tx1"/>
            </w14:solidFill>
          </w14:textFill>
        </w:rPr>
      </w:pPr>
    </w:p>
    <w:p w14:paraId="298C5731">
      <w:pPr>
        <w:pStyle w:val="89"/>
        <w:spacing w:line="440" w:lineRule="exact"/>
        <w:ind w:firstLine="480"/>
        <w:rPr>
          <w:rFonts w:ascii="宋体" w:hAnsi="宋体" w:cs="宋体"/>
          <w:color w:val="000000" w:themeColor="text1"/>
          <w:sz w:val="24"/>
          <w:highlight w:val="none"/>
          <w14:textFill>
            <w14:solidFill>
              <w14:schemeClr w14:val="tx1"/>
            </w14:solidFill>
          </w14:textFill>
        </w:rPr>
      </w:pPr>
    </w:p>
    <w:p w14:paraId="721CB673">
      <w:pPr>
        <w:pStyle w:val="89"/>
        <w:spacing w:line="440" w:lineRule="exact"/>
        <w:ind w:firstLine="3640" w:firstLineChars="1300"/>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负责人</w:t>
      </w:r>
      <w:r>
        <w:rPr>
          <w:rFonts w:hint="eastAsia" w:ascii="宋体" w:hAnsi="宋体" w:cs="宋体"/>
          <w:color w:val="000000" w:themeColor="text1"/>
          <w:spacing w:val="20"/>
          <w:sz w:val="24"/>
          <w:highlight w:val="none"/>
          <w14:textFill>
            <w14:solidFill>
              <w14:schemeClr w14:val="tx1"/>
            </w14:solidFill>
          </w14:textFill>
        </w:rPr>
        <w:t>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841D178">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65CC4FA">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6F848D52">
      <w:pPr>
        <w:pStyle w:val="89"/>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_____________________________________________________________________</w:t>
      </w:r>
    </w:p>
    <w:p w14:paraId="6D2003E2">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附：1、委托代理人工作单位：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职务： </w:t>
      </w:r>
    </w:p>
    <w:p w14:paraId="02437556">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性别：　    </w:t>
      </w:r>
    </w:p>
    <w:p w14:paraId="00CCC7CC">
      <w:pPr>
        <w:pStyle w:val="89"/>
        <w:spacing w:line="360" w:lineRule="auto"/>
        <w:ind w:firstLine="420"/>
        <w:rPr>
          <w:rFonts w:ascii="宋体" w:hAnsi="宋体" w:cs="宋体"/>
          <w:b/>
          <w:color w:val="000000" w:themeColor="text1"/>
          <w:sz w:val="24"/>
          <w:highlight w:val="none"/>
          <w14:textFill>
            <w14:solidFill>
              <w14:schemeClr w14:val="tx1"/>
            </w14:solidFill>
          </w14:textFill>
        </w:rPr>
      </w:pPr>
    </w:p>
    <w:p w14:paraId="71DE3708">
      <w:pPr>
        <w:pStyle w:val="89"/>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1、投标人为法人企业的，其负责人为其法定代表人；投标人为其他组织的，其负责人为法律、行政法规规定代表单位行使职权的主要负责人；。</w:t>
      </w:r>
    </w:p>
    <w:p w14:paraId="1C39B14E">
      <w:pPr>
        <w:pStyle w:val="89"/>
        <w:spacing w:line="360" w:lineRule="auto"/>
        <w:ind w:firstLine="900" w:firstLineChars="3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2、委托人为上述条款中的负责人。</w:t>
      </w:r>
    </w:p>
    <w:p w14:paraId="662BA0EC">
      <w:pPr>
        <w:pStyle w:val="89"/>
        <w:spacing w:line="360" w:lineRule="auto"/>
        <w:ind w:firstLine="900" w:firstLineChars="37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3、本“授权委托书”需附负责人</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委托代理人身份证扫描件，如扫描件不清晰或错误的，后果由投标人自行承担。</w:t>
      </w:r>
    </w:p>
    <w:p w14:paraId="5E737261">
      <w:pPr>
        <w:pStyle w:val="89"/>
        <w:spacing w:line="360" w:lineRule="auto"/>
        <w:ind w:firstLine="904" w:firstLineChars="375"/>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14:paraId="7E2993BC">
      <w:pPr>
        <w:pStyle w:val="90"/>
        <w:spacing w:line="440" w:lineRule="exact"/>
        <w:ind w:firstLine="560" w:firstLineChars="200"/>
        <w:rPr>
          <w:rFonts w:hAnsi="宋体" w:cs="宋体"/>
          <w:bCs/>
          <w:color w:val="000000" w:themeColor="text1"/>
          <w:sz w:val="28"/>
          <w:szCs w:val="22"/>
          <w:highlight w:val="none"/>
          <w14:textFill>
            <w14:solidFill>
              <w14:schemeClr w14:val="tx1"/>
            </w14:solidFill>
          </w14:textFill>
        </w:rPr>
      </w:pPr>
    </w:p>
    <w:p w14:paraId="3F429C06">
      <w:pPr>
        <w:pStyle w:val="90"/>
        <w:spacing w:line="440" w:lineRule="exact"/>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负责人身份证件扫描件：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B91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1741753C">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1B7A3389">
            <w:pPr>
              <w:pStyle w:val="90"/>
              <w:spacing w:line="440" w:lineRule="exact"/>
              <w:rPr>
                <w:rFonts w:hAnsi="宋体" w:cs="宋体"/>
                <w:bCs/>
                <w:color w:val="000000" w:themeColor="text1"/>
                <w:sz w:val="22"/>
                <w:szCs w:val="22"/>
                <w:highlight w:val="none"/>
                <w14:textFill>
                  <w14:solidFill>
                    <w14:schemeClr w14:val="tx1"/>
                  </w14:solidFill>
                </w14:textFill>
              </w:rPr>
            </w:pPr>
          </w:p>
        </w:tc>
      </w:tr>
    </w:tbl>
    <w:p w14:paraId="6C47953C">
      <w:pPr>
        <w:pStyle w:val="90"/>
        <w:spacing w:line="440" w:lineRule="exac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委托代理人身份证件扫描件：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45E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44AA55C5">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49F0DC76">
            <w:pPr>
              <w:pStyle w:val="90"/>
              <w:spacing w:line="440" w:lineRule="exact"/>
              <w:rPr>
                <w:rFonts w:hAnsi="宋体" w:cs="宋体"/>
                <w:bCs/>
                <w:color w:val="000000" w:themeColor="text1"/>
                <w:sz w:val="22"/>
                <w:szCs w:val="22"/>
                <w:highlight w:val="none"/>
                <w14:textFill>
                  <w14:solidFill>
                    <w14:schemeClr w14:val="tx1"/>
                  </w14:solidFill>
                </w14:textFill>
              </w:rPr>
            </w:pPr>
          </w:p>
        </w:tc>
      </w:tr>
    </w:tbl>
    <w:p w14:paraId="1E8C4197">
      <w:pPr>
        <w:pStyle w:val="90"/>
        <w:spacing w:line="360" w:lineRule="auto"/>
        <w:ind w:firstLine="5120" w:firstLineChars="1600"/>
        <w:rPr>
          <w:rFonts w:hAnsi="宋体" w:cs="宋体"/>
          <w:color w:val="000000" w:themeColor="text1"/>
          <w:spacing w:val="20"/>
          <w:sz w:val="28"/>
          <w:szCs w:val="22"/>
          <w:highlight w:val="none"/>
          <w14:textFill>
            <w14:solidFill>
              <w14:schemeClr w14:val="tx1"/>
            </w14:solidFill>
          </w14:textFill>
        </w:rPr>
      </w:pPr>
    </w:p>
    <w:p w14:paraId="6ADEFAA3">
      <w:pPr>
        <w:keepNext/>
        <w:keepLines/>
        <w:snapToGrid w:val="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bookmarkStart w:id="143" w:name="_Toc531359045"/>
      <w:bookmarkStart w:id="144" w:name="_Toc29626"/>
      <w:bookmarkStart w:id="145" w:name="_Toc530551879"/>
      <w:bookmarkStart w:id="146" w:name="_Toc493956054"/>
      <w:r>
        <w:rPr>
          <w:rFonts w:hint="eastAsia" w:ascii="宋体" w:hAnsi="宋体" w:cs="宋体"/>
          <w:b/>
          <w:bCs/>
          <w:color w:val="000000" w:themeColor="text1"/>
          <w:sz w:val="24"/>
          <w:highlight w:val="none"/>
          <w14:textFill>
            <w14:solidFill>
              <w14:schemeClr w14:val="tx1"/>
            </w14:solidFill>
          </w14:textFill>
        </w:rPr>
        <w:t xml:space="preserve">1.3 </w:t>
      </w:r>
      <w:bookmarkEnd w:id="143"/>
      <w:bookmarkEnd w:id="144"/>
      <w:bookmarkEnd w:id="145"/>
      <w:bookmarkEnd w:id="146"/>
      <w:bookmarkStart w:id="147" w:name="_Toc530551880"/>
      <w:bookmarkStart w:id="148" w:name="_Toc493956055"/>
      <w:r>
        <w:rPr>
          <w:rFonts w:hint="eastAsia" w:ascii="宋体" w:hAnsi="宋体" w:cs="宋体"/>
          <w:b/>
          <w:bCs/>
          <w:color w:val="000000" w:themeColor="text1"/>
          <w:sz w:val="24"/>
          <w:highlight w:val="none"/>
          <w14:textFill>
            <w14:solidFill>
              <w14:schemeClr w14:val="tx1"/>
            </w14:solidFill>
          </w14:textFill>
        </w:rPr>
        <w:t>具有良好的财务会计制度、依法缴纳税收和社会保障资金的承诺函格式</w:t>
      </w:r>
    </w:p>
    <w:p w14:paraId="24B994E3">
      <w:pPr>
        <w:pStyle w:val="4"/>
        <w:spacing w:line="360" w:lineRule="auto"/>
        <w:ind w:firstLine="0"/>
        <w:rPr>
          <w:rFonts w:ascii="宋体" w:hAnsi="宋体" w:cs="宋体"/>
          <w:color w:val="000000" w:themeColor="text1"/>
          <w:sz w:val="22"/>
          <w:szCs w:val="21"/>
          <w:highlight w:val="none"/>
          <w14:textFill>
            <w14:solidFill>
              <w14:schemeClr w14:val="tx1"/>
            </w14:solidFill>
          </w14:textFill>
        </w:rPr>
      </w:pPr>
    </w:p>
    <w:p w14:paraId="3C13860B">
      <w:pPr>
        <w:pStyle w:val="4"/>
        <w:ind w:left="630" w:leftChars="300" w:right="630" w:rightChars="300"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具有良好的财务会计制度、依法缴纳税收和社会保障资金的承诺函</w:t>
      </w:r>
    </w:p>
    <w:p w14:paraId="5EB817C1">
      <w:pPr>
        <w:pStyle w:val="44"/>
        <w:spacing w:line="360" w:lineRule="auto"/>
        <w:rPr>
          <w:rFonts w:ascii="宋体" w:hAnsi="宋体" w:cs="宋体"/>
          <w:color w:val="000000" w:themeColor="text1"/>
          <w:sz w:val="24"/>
          <w:highlight w:val="none"/>
          <w:u w:val="single"/>
          <w14:textFill>
            <w14:solidFill>
              <w14:schemeClr w14:val="tx1"/>
            </w14:solidFill>
          </w14:textFill>
        </w:rPr>
      </w:pPr>
    </w:p>
    <w:p w14:paraId="513A9295">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7D1A936C">
      <w:pPr>
        <w:pStyle w:val="4"/>
        <w:spacing w:line="360" w:lineRule="auto"/>
        <w:ind w:firstLine="504"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14:paraId="74F0B2DB">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56B4E298">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65B4E7F0">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36DCA205">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0123E575">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23CDA525">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546F4721">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D578330">
      <w:pPr>
        <w:keepNext/>
        <w:keepLines/>
        <w:snapToGrid w:val="0"/>
        <w:jc w:val="left"/>
        <w:rPr>
          <w:rFonts w:ascii="宋体" w:hAnsi="宋体" w:cs="宋体"/>
          <w:b/>
          <w:bCs/>
          <w:color w:val="000000" w:themeColor="text1"/>
          <w:sz w:val="24"/>
          <w:highlight w:val="none"/>
          <w14:textFill>
            <w14:solidFill>
              <w14:schemeClr w14:val="tx1"/>
            </w14:solidFill>
          </w14:textFill>
        </w:rPr>
      </w:pPr>
      <w:bookmarkStart w:id="149" w:name="_Toc531359046"/>
      <w:bookmarkStart w:id="150" w:name="_Toc31473"/>
      <w:r>
        <w:rPr>
          <w:rFonts w:hint="eastAsia" w:ascii="宋体" w:hAnsi="宋体" w:cs="宋体"/>
          <w:b/>
          <w:bCs/>
          <w:color w:val="000000" w:themeColor="text1"/>
          <w:sz w:val="24"/>
          <w:highlight w:val="none"/>
          <w14:textFill>
            <w14:solidFill>
              <w14:schemeClr w14:val="tx1"/>
            </w14:solidFill>
          </w14:textFill>
        </w:rPr>
        <w:t xml:space="preserve">1.4 </w:t>
      </w:r>
      <w:bookmarkEnd w:id="147"/>
      <w:bookmarkEnd w:id="148"/>
      <w:bookmarkEnd w:id="149"/>
      <w:bookmarkEnd w:id="150"/>
      <w:r>
        <w:rPr>
          <w:rFonts w:hint="eastAsia" w:ascii="宋体" w:hAnsi="宋体" w:cs="宋体"/>
          <w:b/>
          <w:bCs/>
          <w:color w:val="000000" w:themeColor="text1"/>
          <w:sz w:val="24"/>
          <w:highlight w:val="none"/>
          <w14:textFill>
            <w14:solidFill>
              <w14:schemeClr w14:val="tx1"/>
            </w14:solidFill>
          </w14:textFill>
        </w:rPr>
        <w:t>具有履行合同所必需的设备和专业技术能力承诺函格式</w:t>
      </w:r>
    </w:p>
    <w:p w14:paraId="4DB38E7E">
      <w:pPr>
        <w:pStyle w:val="4"/>
        <w:ind w:firstLine="0"/>
        <w:rPr>
          <w:rFonts w:ascii="宋体" w:hAnsi="宋体" w:cs="宋体"/>
          <w:color w:val="000000" w:themeColor="text1"/>
          <w:sz w:val="24"/>
          <w:szCs w:val="24"/>
          <w:highlight w:val="none"/>
          <w14:textFill>
            <w14:solidFill>
              <w14:schemeClr w14:val="tx1"/>
            </w14:solidFill>
          </w14:textFill>
        </w:rPr>
      </w:pPr>
    </w:p>
    <w:p w14:paraId="0F91F06D">
      <w:pPr>
        <w:pStyle w:val="4"/>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具有履行合同所必需设备和专业技术能力的承诺函</w:t>
      </w:r>
    </w:p>
    <w:p w14:paraId="28AA95FF">
      <w:pPr>
        <w:snapToGrid w:val="0"/>
        <w:spacing w:line="360" w:lineRule="auto"/>
        <w:rPr>
          <w:rFonts w:ascii="宋体" w:hAnsi="宋体" w:cs="宋体"/>
          <w:color w:val="000000" w:themeColor="text1"/>
          <w:highlight w:val="none"/>
          <w14:textFill>
            <w14:solidFill>
              <w14:schemeClr w14:val="tx1"/>
            </w14:solidFill>
          </w14:textFill>
        </w:rPr>
      </w:pPr>
    </w:p>
    <w:p w14:paraId="3EEA5B16">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26D7303B">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14:paraId="4624E6C6">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62D36EF1">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0CFE0695">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04A5EC67">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03E2B06B">
      <w:pPr>
        <w:pStyle w:val="102"/>
        <w:spacing w:line="360" w:lineRule="auto"/>
        <w:ind w:firstLine="7440" w:firstLine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5BCB1332">
      <w:pPr>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color w:val="000000" w:themeColor="text1"/>
          <w:spacing w:val="11"/>
          <w:sz w:val="24"/>
          <w:szCs w:val="28"/>
          <w:highlight w:val="none"/>
          <w14:textFill>
            <w14:solidFill>
              <w14:schemeClr w14:val="tx1"/>
            </w14:solidFill>
          </w14:textFill>
        </w:rPr>
        <w:br w:type="page"/>
      </w:r>
    </w:p>
    <w:p w14:paraId="63377E45">
      <w:pPr>
        <w:pStyle w:val="103"/>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1.5供应商资格声明</w:t>
      </w:r>
    </w:p>
    <w:p w14:paraId="2A996E07">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（一）名称及概况：</w:t>
      </w:r>
    </w:p>
    <w:p w14:paraId="6A094449">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1．企业名称：__________________________________________</w:t>
      </w:r>
    </w:p>
    <w:p w14:paraId="04AD76E8">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银行开户名称：__________________________________________</w:t>
      </w:r>
    </w:p>
    <w:p w14:paraId="5DBFD9B6">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开户银行：__________________________________________</w:t>
      </w:r>
    </w:p>
    <w:p w14:paraId="2B1E12A3">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帐    号：__________________________________________</w:t>
      </w:r>
    </w:p>
    <w:p w14:paraId="304606AA">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企业详细地址：__________________________________________</w:t>
      </w:r>
    </w:p>
    <w:p w14:paraId="413FB576">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    真：__________________________________________</w:t>
      </w:r>
    </w:p>
    <w:p w14:paraId="26533C8C">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    话：__________________________________________</w:t>
      </w:r>
    </w:p>
    <w:p w14:paraId="4FCE50A9">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2．法定代表人姓名：__________________________________________</w:t>
      </w:r>
    </w:p>
    <w:p w14:paraId="34B80FAB">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3．项目联系人：姓名___________职务___________电话_______________</w:t>
      </w:r>
    </w:p>
    <w:p w14:paraId="00289DF8">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手机_______________________电子信箱_____________________________</w:t>
      </w:r>
    </w:p>
    <w:p w14:paraId="7475454B">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4．注册地址：__________________________________________</w:t>
      </w:r>
    </w:p>
    <w:p w14:paraId="202497EE">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5．注册资金：_____________________________万元</w:t>
      </w:r>
    </w:p>
    <w:p w14:paraId="60108525">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自有资金：_____________________________万元</w:t>
      </w:r>
    </w:p>
    <w:p w14:paraId="34C5B2C0">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企业人数:_____________人</w:t>
      </w:r>
    </w:p>
    <w:p w14:paraId="503617E7">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6．企业性质：__________________________________________</w:t>
      </w:r>
    </w:p>
    <w:p w14:paraId="326FC60C">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7．主要经营地点__________________________________________</w:t>
      </w:r>
    </w:p>
    <w:p w14:paraId="4A23E883">
      <w:pPr>
        <w:pStyle w:val="104"/>
        <w:pBdr>
          <w:bottom w:val="single" w:color="auto" w:sz="12" w:space="1"/>
        </w:pBdr>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如有派出机构，请列出名称及详细通讯地址如下：</w:t>
      </w:r>
    </w:p>
    <w:p w14:paraId="5F9BBEE6">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兹证明上述声明是真实、正确的，并提供了全部能提供的资料和数据，我们同意遵照贵方要求出示有关证明文件。</w:t>
      </w:r>
    </w:p>
    <w:p w14:paraId="46E3FA14">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供应商名称________________________________</w:t>
      </w:r>
    </w:p>
    <w:p w14:paraId="2D714068">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签字人职务和部门__________________________</w:t>
      </w:r>
    </w:p>
    <w:p w14:paraId="1BF010C1">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签字人姓名（签字或盖章）________________________</w:t>
      </w:r>
    </w:p>
    <w:p w14:paraId="560867C1">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签字日期__________________________________</w:t>
      </w:r>
    </w:p>
    <w:p w14:paraId="74E2FFE0">
      <w:pPr>
        <w:keepNext/>
        <w:keepLines/>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51" w:name="_Toc530551882"/>
      <w:bookmarkStart w:id="152" w:name="_Toc531359049"/>
      <w:bookmarkStart w:id="153" w:name="_Toc10413"/>
      <w:r>
        <w:rPr>
          <w:rFonts w:hint="eastAsia" w:ascii="宋体" w:hAnsi="宋体" w:cs="宋体"/>
          <w:b/>
          <w:bCs/>
          <w:color w:val="000000" w:themeColor="text1"/>
          <w:sz w:val="24"/>
          <w:highlight w:val="none"/>
          <w14:textFill>
            <w14:solidFill>
              <w14:schemeClr w14:val="tx1"/>
            </w14:solidFill>
          </w14:textFill>
        </w:rPr>
        <w:t>1.6 无重大违法记录声明书</w:t>
      </w:r>
      <w:bookmarkEnd w:id="151"/>
      <w:bookmarkEnd w:id="152"/>
      <w:r>
        <w:rPr>
          <w:rFonts w:hint="eastAsia" w:ascii="宋体" w:hAnsi="宋体" w:cs="宋体"/>
          <w:b/>
          <w:bCs/>
          <w:color w:val="000000" w:themeColor="text1"/>
          <w:sz w:val="24"/>
          <w:highlight w:val="none"/>
          <w14:textFill>
            <w14:solidFill>
              <w14:schemeClr w14:val="tx1"/>
            </w14:solidFill>
          </w14:textFill>
        </w:rPr>
        <w:t>格式</w:t>
      </w:r>
      <w:bookmarkEnd w:id="153"/>
    </w:p>
    <w:p w14:paraId="36C7A72E">
      <w:pPr>
        <w:pStyle w:val="4"/>
        <w:ind w:firstLine="0"/>
        <w:rPr>
          <w:rFonts w:ascii="宋体" w:hAnsi="宋体" w:cs="宋体"/>
          <w:color w:val="000000" w:themeColor="text1"/>
          <w:sz w:val="24"/>
          <w:szCs w:val="24"/>
          <w:highlight w:val="none"/>
          <w14:textFill>
            <w14:solidFill>
              <w14:schemeClr w14:val="tx1"/>
            </w14:solidFill>
          </w14:textFill>
        </w:rPr>
      </w:pPr>
    </w:p>
    <w:p w14:paraId="3A7BAE09">
      <w:pPr>
        <w:pStyle w:val="4"/>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无重大违法记录声明书</w:t>
      </w:r>
    </w:p>
    <w:p w14:paraId="58B07ABA">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pacing w:val="6"/>
          <w:sz w:val="24"/>
          <w:highlight w:val="none"/>
          <w14:textFill>
            <w14:solidFill>
              <w14:schemeClr w14:val="tx1"/>
            </w14:solidFill>
          </w14:textFill>
        </w:rPr>
        <w:t>：</w:t>
      </w:r>
    </w:p>
    <w:p w14:paraId="7118D454">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（项目名称）（</w:t>
      </w:r>
      <w:r>
        <w:rPr>
          <w:rFonts w:hint="eastAsia" w:ascii="宋体" w:hAnsi="宋体" w:cs="宋体"/>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2CCC804">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ab/>
      </w:r>
      <w:r>
        <w:rPr>
          <w:rFonts w:hint="eastAsia" w:ascii="宋体" w:hAnsi="宋体" w:cs="宋体"/>
          <w:color w:val="000000" w:themeColor="text1"/>
          <w:spacing w:val="6"/>
          <w:sz w:val="24"/>
          <w:highlight w:val="none"/>
          <w14:textFill>
            <w14:solidFill>
              <w14:schemeClr w14:val="tx1"/>
            </w14:solidFill>
          </w14:textFill>
        </w:rPr>
        <w:t>特此声明。</w:t>
      </w:r>
      <w:bookmarkStart w:id="154" w:name="_Toc500333505"/>
      <w:bookmarkStart w:id="155" w:name="_Toc531359051"/>
      <w:bookmarkStart w:id="156" w:name="_Toc523398458"/>
    </w:p>
    <w:p w14:paraId="43611E15">
      <w:pPr>
        <w:pStyle w:val="44"/>
        <w:spacing w:line="360" w:lineRule="auto"/>
        <w:rPr>
          <w:rFonts w:ascii="宋体" w:hAnsi="宋体" w:cs="宋体"/>
          <w:color w:val="000000" w:themeColor="text1"/>
          <w:spacing w:val="6"/>
          <w:sz w:val="24"/>
          <w:highlight w:val="none"/>
          <w14:textFill>
            <w14:solidFill>
              <w14:schemeClr w14:val="tx1"/>
            </w14:solidFill>
          </w14:textFill>
        </w:rPr>
      </w:pPr>
    </w:p>
    <w:p w14:paraId="66147840">
      <w:pPr>
        <w:pStyle w:val="44"/>
        <w:spacing w:line="360" w:lineRule="auto"/>
        <w:ind w:right="140"/>
        <w:jc w:val="left"/>
        <w:rPr>
          <w:rFonts w:ascii="宋体" w:hAnsi="宋体" w:cs="宋体"/>
          <w:color w:val="000000" w:themeColor="text1"/>
          <w:spacing w:val="20"/>
          <w:sz w:val="24"/>
          <w:highlight w:val="none"/>
          <w14:textFill>
            <w14:solidFill>
              <w14:schemeClr w14:val="tx1"/>
            </w14:solidFill>
          </w14:textFill>
        </w:rPr>
      </w:pPr>
    </w:p>
    <w:bookmarkEnd w:id="154"/>
    <w:bookmarkEnd w:id="155"/>
    <w:bookmarkEnd w:id="156"/>
    <w:p w14:paraId="446DE01D">
      <w:pPr>
        <w:spacing w:line="360" w:lineRule="auto"/>
        <w:ind w:firstLine="1800" w:firstLineChars="7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pacing w:val="20"/>
          <w:sz w:val="24"/>
          <w:highlight w:val="none"/>
          <w14:textFill>
            <w14:solidFill>
              <w14:schemeClr w14:val="tx1"/>
            </w14:solidFill>
          </w14:textFill>
        </w:rPr>
        <w:t>（或授权委托人）签字或盖章: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3995D57B">
      <w:pPr>
        <w:spacing w:line="360" w:lineRule="auto"/>
        <w:ind w:firstLine="560" w:firstLineChars="2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供应商盖章: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8BB990C">
      <w:pPr>
        <w:pStyle w:val="89"/>
        <w:wordWrap w:val="0"/>
        <w:spacing w:line="360" w:lineRule="auto"/>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4535BAA7">
      <w:pPr>
        <w:spacing w:line="360" w:lineRule="auto"/>
        <w:ind w:firstLine="4578" w:firstLineChars="1900"/>
        <w:rPr>
          <w:rFonts w:ascii="宋体" w:hAnsi="宋体" w:cs="宋体"/>
          <w:b/>
          <w:bCs/>
          <w:color w:val="000000" w:themeColor="text1"/>
          <w:sz w:val="24"/>
          <w:highlight w:val="none"/>
          <w14:textFill>
            <w14:solidFill>
              <w14:schemeClr w14:val="tx1"/>
            </w14:solidFill>
          </w14:textFill>
        </w:rPr>
      </w:pPr>
    </w:p>
    <w:p w14:paraId="255E6A7E">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2BDD63C4">
      <w:pPr>
        <w:keepNext/>
        <w:keepLines/>
        <w:snapToGrid w:val="0"/>
        <w:jc w:val="left"/>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1.7</w:t>
      </w: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 xml:space="preserve"> 中小企业声明函格式</w:t>
      </w:r>
    </w:p>
    <w:p w14:paraId="1D124E13">
      <w:pPr>
        <w:keepNext/>
        <w:keepLines/>
        <w:snapToGrid w:val="0"/>
        <w:jc w:val="center"/>
        <w:rPr>
          <w:rFonts w:hint="eastAsia" w:ascii="宋体" w:hAnsi="宋体" w:eastAsia="宋体" w:cs="宋体"/>
          <w:b/>
          <w:bCs/>
          <w:color w:val="000000"/>
          <w:sz w:val="22"/>
          <w:szCs w:val="22"/>
          <w:highlight w:val="none"/>
        </w:rPr>
      </w:pPr>
    </w:p>
    <w:p w14:paraId="3E12B46A">
      <w:pPr>
        <w:pStyle w:val="3"/>
        <w:spacing w:before="146"/>
        <w:ind w:left="0" w:leftChars="0" w:right="142"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中小企业声明函（货物）</w:t>
      </w:r>
    </w:p>
    <w:p w14:paraId="5BBEE25C">
      <w:pPr>
        <w:rPr>
          <w:rFonts w:hint="eastAsia" w:ascii="宋体" w:hAnsi="宋体" w:eastAsia="宋体" w:cs="宋体"/>
          <w:b/>
          <w:bCs/>
          <w:color w:val="auto"/>
          <w:sz w:val="15"/>
          <w:szCs w:val="15"/>
          <w:lang w:eastAsia="zh-CN"/>
        </w:rPr>
      </w:pPr>
    </w:p>
    <w:p w14:paraId="4248038E">
      <w:pPr>
        <w:spacing w:before="2"/>
        <w:rPr>
          <w:rFonts w:hint="eastAsia" w:ascii="宋体" w:hAnsi="宋体" w:eastAsia="宋体" w:cs="宋体"/>
          <w:b/>
          <w:bCs/>
          <w:color w:val="auto"/>
          <w:sz w:val="21"/>
          <w:szCs w:val="21"/>
          <w:lang w:eastAsia="zh-CN"/>
        </w:rPr>
      </w:pPr>
    </w:p>
    <w:p w14:paraId="1CC0EF9F">
      <w:pPr>
        <w:spacing w:line="360" w:lineRule="auto"/>
        <w:ind w:firstLine="660" w:firstLineChars="3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本公司（联合体）郑重声明，根据《政府采购促进中小企业发展管理办法》（财库﹝2020﹞46 号）的规定，本公司</w:t>
      </w:r>
      <w:r>
        <w:rPr>
          <w:rFonts w:hint="eastAsia" w:ascii="宋体" w:hAnsi="宋体" w:eastAsia="宋体" w:cs="宋体"/>
          <w:color w:val="auto"/>
          <w:sz w:val="22"/>
          <w:szCs w:val="22"/>
          <w:u w:val="none"/>
          <w:lang w:eastAsia="zh-CN"/>
        </w:rPr>
        <w:t>（联合体）</w:t>
      </w:r>
      <w:r>
        <w:rPr>
          <w:rFonts w:hint="eastAsia" w:ascii="宋体" w:hAnsi="宋体" w:eastAsia="宋体" w:cs="宋体"/>
          <w:color w:val="auto"/>
          <w:sz w:val="22"/>
          <w:szCs w:val="22"/>
          <w:lang w:eastAsia="zh-CN"/>
        </w:rPr>
        <w:t>参加</w:t>
      </w:r>
      <w:r>
        <w:rPr>
          <w:rFonts w:hint="eastAsia" w:ascii="宋体" w:hAnsi="宋体" w:eastAsia="宋体" w:cs="宋体"/>
          <w:color w:val="auto"/>
          <w:sz w:val="22"/>
          <w:szCs w:val="22"/>
          <w:u w:val="single"/>
          <w:lang w:eastAsia="zh-CN"/>
        </w:rPr>
        <w:t>（单位名称）</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u w:val="single"/>
          <w:lang w:eastAsia="zh-CN"/>
        </w:rPr>
        <w:t>（项目名称）</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标项：</w:t>
      </w:r>
      <w:r>
        <w:rPr>
          <w:rFonts w:hint="eastAsia" w:ascii="宋体" w:hAnsi="宋体" w:eastAsia="宋体" w:cs="宋体"/>
          <w:color w:val="auto"/>
          <w:sz w:val="22"/>
          <w:szCs w:val="22"/>
          <w:lang w:eastAsia="zh-CN"/>
        </w:rPr>
        <w:t>（若有）采购活动，提供的货物全部由符合政策要求的中小企业制造。相关企业（含联合体中的中小企业、签订分包意向协议的中小企业）的具体情况如下：</w:t>
      </w:r>
    </w:p>
    <w:p w14:paraId="3C4A0B8E">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 </w:t>
      </w:r>
      <w:r>
        <w:rPr>
          <w:rFonts w:hint="eastAsia" w:ascii="宋体" w:hAnsi="宋体" w:eastAsia="宋体" w:cs="宋体"/>
          <w:color w:val="auto"/>
          <w:sz w:val="22"/>
          <w:szCs w:val="22"/>
          <w:u w:val="single"/>
          <w:lang w:eastAsia="zh-CN"/>
        </w:rPr>
        <w:t>（标的名称）</w:t>
      </w:r>
      <w:r>
        <w:rPr>
          <w:rFonts w:hint="eastAsia" w:ascii="宋体" w:hAnsi="宋体" w:eastAsia="宋体" w:cs="宋体"/>
          <w:color w:val="auto"/>
          <w:sz w:val="22"/>
          <w:szCs w:val="22"/>
          <w:lang w:eastAsia="zh-CN"/>
        </w:rPr>
        <w:t xml:space="preserve"> ，属于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1CAAFCEC">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2. </w:t>
      </w:r>
      <w:r>
        <w:rPr>
          <w:rFonts w:hint="eastAsia" w:ascii="宋体" w:hAnsi="宋体" w:eastAsia="宋体" w:cs="宋体"/>
          <w:color w:val="auto"/>
          <w:sz w:val="22"/>
          <w:szCs w:val="22"/>
          <w:u w:val="single"/>
          <w:lang w:eastAsia="zh-CN"/>
        </w:rPr>
        <w:t xml:space="preserve">（标的名称） </w:t>
      </w:r>
      <w:r>
        <w:rPr>
          <w:rFonts w:hint="eastAsia" w:ascii="宋体" w:hAnsi="宋体" w:eastAsia="宋体" w:cs="宋体"/>
          <w:color w:val="auto"/>
          <w:sz w:val="22"/>
          <w:szCs w:val="22"/>
          <w:lang w:eastAsia="zh-CN"/>
        </w:rPr>
        <w:t>，属于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1E5F1618">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p>
    <w:p w14:paraId="21E30411">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以上企业，不属于大企业的分支机构，不存在控股股东为大企业的情形，也不存在与大企业的负责人为同一人的情形。</w:t>
      </w:r>
    </w:p>
    <w:p w14:paraId="41DB5577">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本企业对上述声明内容的真实性负责。如有虚假，将依法承担相应责任。</w:t>
      </w:r>
    </w:p>
    <w:p w14:paraId="4AB73AE8">
      <w:pPr>
        <w:spacing w:line="360" w:lineRule="auto"/>
        <w:ind w:firstLine="440" w:firstLineChars="200"/>
        <w:jc w:val="left"/>
        <w:rPr>
          <w:rFonts w:hint="eastAsia" w:ascii="宋体" w:hAnsi="宋体" w:eastAsia="宋体" w:cs="宋体"/>
          <w:color w:val="auto"/>
          <w:sz w:val="22"/>
          <w:szCs w:val="22"/>
          <w:lang w:eastAsia="zh-CN"/>
        </w:rPr>
      </w:pPr>
    </w:p>
    <w:p w14:paraId="73AA7C28">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企业名称（盖章）： </w:t>
      </w:r>
    </w:p>
    <w:p w14:paraId="7C77D821">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 xml:space="preserve"> 期：</w:t>
      </w:r>
    </w:p>
    <w:p w14:paraId="6173483E">
      <w:pPr>
        <w:spacing w:line="309" w:lineRule="auto"/>
        <w:rPr>
          <w:rFonts w:hint="eastAsia" w:ascii="宋体" w:hAnsi="宋体" w:eastAsia="宋体" w:cs="宋体"/>
          <w:color w:val="auto"/>
          <w:sz w:val="18"/>
          <w:szCs w:val="20"/>
          <w:lang w:eastAsia="zh-CN"/>
        </w:rPr>
      </w:pPr>
    </w:p>
    <w:p w14:paraId="2D8A8F4A">
      <w:pPr>
        <w:spacing w:line="440" w:lineRule="exact"/>
        <w:ind w:firstLine="420" w:firstLineChars="200"/>
        <w:jc w:val="left"/>
        <w:rPr>
          <w:rFonts w:hint="eastAsia" w:ascii="宋体" w:hAnsi="宋体" w:eastAsia="宋体" w:cs="宋体"/>
          <w:color w:val="auto"/>
          <w:sz w:val="21"/>
          <w:szCs w:val="21"/>
          <w:highlight w:val="none"/>
        </w:rPr>
      </w:pPr>
    </w:p>
    <w:p w14:paraId="6AB175BA">
      <w:pP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br w:type="page"/>
      </w:r>
    </w:p>
    <w:p w14:paraId="7581800A">
      <w:pPr>
        <w:pStyle w:val="7"/>
        <w:rPr>
          <w:rFonts w:hint="eastAsia"/>
        </w:rPr>
      </w:pPr>
    </w:p>
    <w:p w14:paraId="5572161B">
      <w:pPr>
        <w:spacing w:line="360" w:lineRule="auto"/>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注：</w:t>
      </w:r>
    </w:p>
    <w:p w14:paraId="47571918">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1、从业人员、营业收入、资产总额填报上一年度数据，新成立企业也需要提供声明函，在声明函中对营业收入、资产总额、从业人员的数据不填写。</w:t>
      </w:r>
    </w:p>
    <w:p w14:paraId="66821140">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2、填写要求：</w:t>
      </w:r>
    </w:p>
    <w:p w14:paraId="0619E586">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14E6ADEE">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②从业人员、营业收入、资产总额填报上一年度数据，无上一年度数据的新成立企业可不填报；</w:t>
      </w:r>
    </w:p>
    <w:p w14:paraId="4BEDA39B">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5BCDB68C">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5191E84B">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2B6236">
      <w:pPr>
        <w:spacing w:line="360" w:lineRule="auto"/>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kern w:val="0"/>
          <w:sz w:val="22"/>
          <w:szCs w:val="22"/>
          <w:highlight w:val="none"/>
        </w:rPr>
        <w:t>4.制造商请务必和《报价明细表》的制造商保持一致。《中小企业声明函》（货物）中制造厂商错填、漏填，声明函无效；《中小企业声明函》中的制造厂商使用他人授权品牌或者授权他人实际生产，声明函无效。</w:t>
      </w:r>
    </w:p>
    <w:p w14:paraId="3FFF1DDC">
      <w:pPr>
        <w:pStyle w:val="131"/>
        <w:rPr>
          <w:rFonts w:hint="eastAsia"/>
          <w:color w:val="000000" w:themeColor="text1"/>
          <w:highlight w:val="none"/>
          <w:lang w:eastAsia="zh-CN"/>
          <w14:textFill>
            <w14:solidFill>
              <w14:schemeClr w14:val="tx1"/>
            </w14:solidFill>
          </w14:textFill>
        </w:rPr>
      </w:pPr>
    </w:p>
    <w:p w14:paraId="03DA512A">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14:paraId="3372494A">
      <w:pP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br w:type="page"/>
      </w:r>
    </w:p>
    <w:p w14:paraId="560EDC32">
      <w:pPr>
        <w:rPr>
          <w:rFonts w:hint="eastAsia" w:ascii="宋体" w:hAnsi="宋体" w:eastAsia="宋体" w:cs="宋体"/>
          <w:b/>
          <w:bCs/>
          <w:color w:val="000000" w:themeColor="text1"/>
          <w:sz w:val="22"/>
          <w:szCs w:val="22"/>
          <w:highlight w:val="none"/>
          <w14:textFill>
            <w14:solidFill>
              <w14:schemeClr w14:val="tx1"/>
            </w14:solidFill>
          </w14:textFill>
        </w:rPr>
      </w:pPr>
      <w:bookmarkStart w:id="157" w:name="_bookmark1"/>
      <w:bookmarkEnd w:id="157"/>
    </w:p>
    <w:p w14:paraId="57D2819E">
      <w:pPr>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7.2</w:t>
      </w:r>
      <w:r>
        <w:rPr>
          <w:rFonts w:hint="eastAsia" w:ascii="宋体" w:hAnsi="宋体" w:eastAsia="宋体" w:cs="宋体"/>
          <w:b/>
          <w:bCs/>
          <w:color w:val="000000" w:themeColor="text1"/>
          <w:sz w:val="22"/>
          <w:szCs w:val="22"/>
          <w:highlight w:val="none"/>
          <w14:textFill>
            <w14:solidFill>
              <w14:schemeClr w14:val="tx1"/>
            </w14:solidFill>
          </w14:textFill>
        </w:rPr>
        <w:t>残疾人福利性单位声明函格式</w:t>
      </w:r>
    </w:p>
    <w:p w14:paraId="79E05853">
      <w:pPr>
        <w:pStyle w:val="132"/>
        <w:spacing w:line="360" w:lineRule="auto"/>
        <w:jc w:val="center"/>
        <w:outlineLvl w:val="4"/>
        <w:rPr>
          <w:rFonts w:hint="eastAsia" w:ascii="宋体" w:hAnsi="宋体" w:eastAsia="宋体" w:cs="宋体"/>
          <w:b/>
          <w:bCs w:val="0"/>
          <w:color w:val="000000" w:themeColor="text1"/>
          <w:spacing w:val="6"/>
          <w:sz w:val="22"/>
          <w:szCs w:val="22"/>
          <w:highlight w:val="none"/>
          <w14:textFill>
            <w14:solidFill>
              <w14:schemeClr w14:val="tx1"/>
            </w14:solidFill>
          </w14:textFill>
        </w:rPr>
      </w:pPr>
      <w:r>
        <w:rPr>
          <w:rFonts w:hint="eastAsia" w:ascii="宋体" w:hAnsi="宋体" w:eastAsia="宋体" w:cs="宋体"/>
          <w:b/>
          <w:bCs w:val="0"/>
          <w:color w:val="000000" w:themeColor="text1"/>
          <w:spacing w:val="6"/>
          <w:sz w:val="22"/>
          <w:szCs w:val="22"/>
          <w:highlight w:val="none"/>
          <w14:textFill>
            <w14:solidFill>
              <w14:schemeClr w14:val="tx1"/>
            </w14:solidFill>
          </w14:textFill>
        </w:rPr>
        <w:t>残疾人福利性单位声明函</w:t>
      </w:r>
    </w:p>
    <w:p w14:paraId="3CD44F7E">
      <w:pPr>
        <w:pStyle w:val="132"/>
        <w:spacing w:line="360" w:lineRule="auto"/>
        <w:jc w:val="center"/>
        <w:rPr>
          <w:rFonts w:hint="eastAsia" w:ascii="宋体" w:hAnsi="宋体" w:eastAsia="宋体" w:cs="宋体"/>
          <w:bCs/>
          <w:color w:val="000000" w:themeColor="text1"/>
          <w:spacing w:val="6"/>
          <w:sz w:val="36"/>
          <w:szCs w:val="36"/>
          <w:highlight w:val="none"/>
          <w14:textFill>
            <w14:solidFill>
              <w14:schemeClr w14:val="tx1"/>
            </w14:solidFill>
          </w14:textFill>
        </w:rPr>
      </w:pPr>
    </w:p>
    <w:p w14:paraId="0737BB79">
      <w:pPr>
        <w:pStyle w:val="132"/>
        <w:spacing w:line="360" w:lineRule="auto"/>
        <w:ind w:firstLine="601"/>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cs="宋体"/>
          <w:color w:val="000000" w:themeColor="text1"/>
          <w:kern w:val="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ascii="宋体" w:hAnsi="宋体" w:eastAsia="宋体" w:cs="宋体"/>
          <w:color w:val="000000" w:themeColor="text1"/>
          <w:kern w:val="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A6841DC">
      <w:pPr>
        <w:pStyle w:val="132"/>
        <w:spacing w:line="360" w:lineRule="auto"/>
        <w:ind w:firstLine="6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本单位对上述声明的真实性负责。如有虚假，将依法承担相应责任。</w:t>
      </w:r>
    </w:p>
    <w:p w14:paraId="72CB8066">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1E6AD3CE">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729249CB">
      <w:pPr>
        <w:pStyle w:val="132"/>
        <w:spacing w:line="360" w:lineRule="auto"/>
        <w:ind w:right="1560" w:firstLine="600"/>
        <w:jc w:val="right"/>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单位名称（盖章）：</w:t>
      </w:r>
    </w:p>
    <w:p w14:paraId="3C86E90B">
      <w:pPr>
        <w:pStyle w:val="132"/>
        <w:spacing w:line="360" w:lineRule="auto"/>
        <w:ind w:right="1560" w:firstLine="6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日  期：</w:t>
      </w:r>
    </w:p>
    <w:p w14:paraId="5963A039">
      <w:pPr>
        <w:spacing w:line="312" w:lineRule="auto"/>
        <w:ind w:firstLine="5040" w:firstLineChars="2100"/>
        <w:rPr>
          <w:rFonts w:ascii="宋体" w:hAnsi="宋体" w:cs="宋体"/>
          <w:color w:val="000000" w:themeColor="text1"/>
          <w:sz w:val="24"/>
          <w:szCs w:val="24"/>
          <w:highlight w:val="none"/>
          <w14:textFill>
            <w14:solidFill>
              <w14:schemeClr w14:val="tx1"/>
            </w14:solidFill>
          </w14:textFill>
        </w:rPr>
      </w:pPr>
    </w:p>
    <w:p w14:paraId="42E78EE3">
      <w:pPr>
        <w:pStyle w:val="89"/>
        <w:spacing w:line="360" w:lineRule="auto"/>
        <w:jc w:val="left"/>
        <w:rPr>
          <w:rFonts w:ascii="宋体" w:hAnsi="宋体" w:cs="宋体"/>
          <w:color w:val="000000" w:themeColor="text1"/>
          <w:spacing w:val="6"/>
          <w:sz w:val="22"/>
          <w:szCs w:val="22"/>
          <w:highlight w:val="none"/>
          <w14:textFill>
            <w14:solidFill>
              <w14:schemeClr w14:val="tx1"/>
            </w14:solidFill>
          </w14:textFill>
        </w:rPr>
      </w:pPr>
    </w:p>
    <w:p w14:paraId="6727539D">
      <w:pPr>
        <w:spacing w:line="312" w:lineRule="auto"/>
        <w:ind w:firstLine="482"/>
        <w:jc w:val="left"/>
        <w:rPr>
          <w:rFonts w:ascii="宋体" w:hAnsi="宋体" w:cs="宋体"/>
          <w:color w:val="000000" w:themeColor="text1"/>
          <w:kern w:val="0"/>
          <w:sz w:val="22"/>
          <w:szCs w:val="22"/>
          <w:highlight w:val="none"/>
          <w14:textFill>
            <w14:solidFill>
              <w14:schemeClr w14:val="tx1"/>
            </w14:solidFill>
          </w14:textFill>
        </w:rPr>
      </w:pPr>
    </w:p>
    <w:p w14:paraId="787FAF76">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4D385ED6">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21981835">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1A2FD0CE">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68B48385">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0984EC92">
      <w:pPr>
        <w:pStyle w:val="4"/>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2A3B0950">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6A517E71">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4E69008D">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1475E727">
      <w:pPr>
        <w:keepNext/>
        <w:keepLines/>
        <w:snapToGrid w:val="0"/>
        <w:jc w:val="center"/>
        <w:outlineLvl w:val="3"/>
        <w:rPr>
          <w:rFonts w:hint="default" w:ascii="宋体" w:hAnsi="宋体" w:eastAsia="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1.7.3</w:t>
      </w:r>
      <w:r>
        <w:rPr>
          <w:rFonts w:hint="eastAsia" w:ascii="宋体" w:hAnsi="宋体" w:eastAsia="宋体" w:cs="宋体"/>
          <w:b/>
          <w:bCs/>
          <w:color w:val="000000" w:themeColor="text1"/>
          <w:sz w:val="22"/>
          <w:szCs w:val="22"/>
          <w:highlight w:val="none"/>
          <w14:textFill>
            <w14:solidFill>
              <w14:schemeClr w14:val="tx1"/>
            </w14:solidFill>
          </w14:textFill>
        </w:rPr>
        <w:t>监狱企业</w:t>
      </w:r>
      <w:r>
        <w:rPr>
          <w:rFonts w:hint="eastAsia" w:ascii="宋体" w:hAnsi="宋体" w:cs="宋体"/>
          <w:b/>
          <w:bCs/>
          <w:color w:val="000000" w:themeColor="text1"/>
          <w:sz w:val="22"/>
          <w:szCs w:val="22"/>
          <w:highlight w:val="none"/>
          <w:lang w:eastAsia="zh-CN"/>
          <w14:textFill>
            <w14:solidFill>
              <w14:schemeClr w14:val="tx1"/>
            </w14:solidFill>
          </w14:textFill>
        </w:rPr>
        <w:t>证明文件</w:t>
      </w:r>
      <w:r>
        <w:rPr>
          <w:rFonts w:hint="eastAsia" w:ascii="宋体" w:hAnsi="宋体" w:cs="宋体"/>
          <w:b/>
          <w:bCs/>
          <w:color w:val="000000" w:themeColor="text1"/>
          <w:sz w:val="22"/>
          <w:szCs w:val="22"/>
          <w:highlight w:val="none"/>
          <w:lang w:val="en-US" w:eastAsia="zh-CN"/>
          <w14:textFill>
            <w14:solidFill>
              <w14:schemeClr w14:val="tx1"/>
            </w14:solidFill>
          </w14:textFill>
        </w:rPr>
        <w:t>格式</w:t>
      </w:r>
    </w:p>
    <w:p w14:paraId="6EB30FEC">
      <w:pPr>
        <w:pStyle w:val="4"/>
        <w:ind w:firstLine="0"/>
        <w:jc w:val="center"/>
        <w:rPr>
          <w:rFonts w:ascii="宋体" w:hAnsi="宋体" w:cs="宋体"/>
          <w:color w:val="000000" w:themeColor="text1"/>
          <w:sz w:val="22"/>
          <w:szCs w:val="22"/>
          <w:highlight w:val="none"/>
          <w14:textFill>
            <w14:solidFill>
              <w14:schemeClr w14:val="tx1"/>
            </w14:solidFill>
          </w14:textFill>
        </w:rPr>
      </w:pPr>
    </w:p>
    <w:p w14:paraId="3D4E95A6">
      <w:pPr>
        <w:pStyle w:val="4"/>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0DE64A6B">
      <w:pPr>
        <w:pStyle w:val="4"/>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351769F7">
      <w:pPr>
        <w:pStyle w:val="4"/>
        <w:spacing w:line="360" w:lineRule="auto"/>
        <w:ind w:firstLine="0"/>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监狱企业证明</w:t>
      </w:r>
    </w:p>
    <w:p w14:paraId="7B378F52">
      <w:pPr>
        <w:pStyle w:val="4"/>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p w14:paraId="6F89F57C">
      <w:pPr>
        <w:pStyle w:val="4"/>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注：须提供省级以上监狱管理局、戒毒管理局（含新疆生产建设兵团）出具的属于监狱企业的证明文件</w:t>
      </w:r>
    </w:p>
    <w:p w14:paraId="6D394A0B">
      <w:pPr>
        <w:pStyle w:val="89"/>
        <w:ind w:left="626" w:leftChars="199" w:hanging="208" w:hangingChars="87"/>
        <w:jc w:val="left"/>
        <w:rPr>
          <w:rFonts w:hint="eastAsia" w:ascii="宋体" w:hAnsi="宋体" w:eastAsia="宋体" w:cs="宋体"/>
          <w:color w:val="000000" w:themeColor="text1"/>
          <w:sz w:val="24"/>
          <w:szCs w:val="21"/>
          <w:highlight w:val="none"/>
          <w14:textFill>
            <w14:solidFill>
              <w14:schemeClr w14:val="tx1"/>
            </w14:solidFill>
          </w14:textFill>
        </w:rPr>
        <w:sectPr>
          <w:footerReference r:id="rId6" w:type="default"/>
          <w:pgSz w:w="11906" w:h="16838"/>
          <w:pgMar w:top="1440" w:right="1440" w:bottom="1440" w:left="1440" w:header="851" w:footer="851" w:gutter="0"/>
          <w:pgNumType w:fmt="decimal"/>
          <w:cols w:space="720" w:num="1"/>
          <w:docGrid w:linePitch="312" w:charSpace="0"/>
        </w:sectPr>
      </w:pPr>
    </w:p>
    <w:p w14:paraId="55A63058">
      <w:pPr>
        <w:pStyle w:val="43"/>
        <w:spacing w:line="360" w:lineRule="auto"/>
        <w:jc w:val="left"/>
        <w:rPr>
          <w:rFonts w:hint="eastAsia" w:ascii="宋体" w:hAnsi="宋体" w:eastAsia="宋体" w:cs="宋体"/>
          <w:b/>
          <w:color w:val="000000" w:themeColor="text1"/>
          <w:sz w:val="24"/>
          <w:szCs w:val="21"/>
          <w:highlight w:val="none"/>
          <w:lang w:eastAsia="zh-CN"/>
          <w14:textFill>
            <w14:solidFill>
              <w14:schemeClr w14:val="tx1"/>
            </w14:solidFill>
          </w14:textFill>
        </w:rPr>
      </w:pPr>
    </w:p>
    <w:p w14:paraId="000F61C8">
      <w:pPr>
        <w:pStyle w:val="5"/>
        <w:spacing w:before="0" w:after="0"/>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bookmarkStart w:id="158" w:name="_Toc14167"/>
      <w:bookmarkStart w:id="159" w:name="_Toc531359053"/>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其他</w:t>
      </w:r>
      <w:bookmarkEnd w:id="158"/>
      <w:bookmarkEnd w:id="159"/>
    </w:p>
    <w:p w14:paraId="2C08C69C">
      <w:pPr>
        <w:pStyle w:val="4"/>
        <w:spacing w:line="360" w:lineRule="auto"/>
        <w:ind w:firstLine="0"/>
        <w:rPr>
          <w:rFonts w:hint="eastAsia" w:ascii="宋体" w:hAnsi="宋体" w:eastAsia="宋体" w:cs="宋体"/>
          <w:color w:val="000000" w:themeColor="text1"/>
          <w:highlight w:val="none"/>
          <w14:textFill>
            <w14:solidFill>
              <w14:schemeClr w14:val="tx1"/>
            </w14:solidFill>
          </w14:textFill>
        </w:rPr>
      </w:pPr>
    </w:p>
    <w:p w14:paraId="3CD5A50D">
      <w:pPr>
        <w:pStyle w:val="43"/>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14:paraId="7C4B0F93">
      <w:pPr>
        <w:pStyle w:val="44"/>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14:paraId="127628D0">
      <w:pPr>
        <w:pStyle w:val="43"/>
        <w:jc w:val="center"/>
        <w:rPr>
          <w:rFonts w:hAnsi="宋体" w:cs="宋体"/>
          <w:b/>
          <w:bCs/>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（投标人认为有利于其本次投标的其它资格证明材料等</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14:paraId="6E2E5489">
      <w:pPr>
        <w:pStyle w:val="43"/>
        <w:jc w:val="center"/>
        <w:rPr>
          <w:rFonts w:hAnsi="宋体" w:cs="宋体"/>
          <w:b/>
          <w:bCs/>
          <w:color w:val="000000" w:themeColor="text1"/>
          <w:sz w:val="22"/>
          <w:szCs w:val="21"/>
          <w:highlight w:val="none"/>
          <w14:textFill>
            <w14:solidFill>
              <w14:schemeClr w14:val="tx1"/>
            </w14:solidFill>
          </w14:textFill>
        </w:rPr>
      </w:pPr>
    </w:p>
    <w:p w14:paraId="12952067">
      <w:pPr>
        <w:pStyle w:val="43"/>
        <w:jc w:val="center"/>
        <w:rPr>
          <w:rFonts w:hAnsi="宋体" w:cs="宋体"/>
          <w:b/>
          <w:bCs/>
          <w:color w:val="000000" w:themeColor="text1"/>
          <w:sz w:val="22"/>
          <w:szCs w:val="21"/>
          <w:highlight w:val="none"/>
          <w14:textFill>
            <w14:solidFill>
              <w14:schemeClr w14:val="tx1"/>
            </w14:solidFill>
          </w14:textFill>
        </w:rPr>
      </w:pPr>
    </w:p>
    <w:p w14:paraId="37A343CA">
      <w:pPr>
        <w:rPr>
          <w:rFonts w:hint="eastAsia" w:ascii="宋体" w:hAnsi="宋体" w:eastAsia="宋体" w:cs="宋体"/>
          <w:b w:val="0"/>
          <w:bCs w:val="0"/>
          <w:color w:val="000000" w:themeColor="text1"/>
          <w:sz w:val="32"/>
          <w:szCs w:val="21"/>
          <w:highlight w:val="none"/>
          <w14:textFill>
            <w14:solidFill>
              <w14:schemeClr w14:val="tx1"/>
            </w14:solidFill>
          </w14:textFill>
        </w:rPr>
      </w:pPr>
      <w:bookmarkStart w:id="160" w:name="_Toc10781"/>
      <w:r>
        <w:rPr>
          <w:rFonts w:hint="eastAsia" w:ascii="宋体" w:hAnsi="宋体" w:eastAsia="宋体" w:cs="宋体"/>
          <w:b w:val="0"/>
          <w:bCs w:val="0"/>
          <w:color w:val="000000" w:themeColor="text1"/>
          <w:sz w:val="32"/>
          <w:szCs w:val="21"/>
          <w:highlight w:val="none"/>
          <w14:textFill>
            <w14:solidFill>
              <w14:schemeClr w14:val="tx1"/>
            </w14:solidFill>
          </w14:textFill>
        </w:rPr>
        <w:br w:type="page"/>
      </w:r>
    </w:p>
    <w:p w14:paraId="418DA14D">
      <w:pPr>
        <w:pStyle w:val="5"/>
        <w:ind w:firstLine="0" w:firstLineChars="0"/>
        <w:rPr>
          <w:rFonts w:ascii="宋体" w:hAnsi="宋体" w:eastAsia="宋体" w:cs="宋体"/>
          <w:b w:val="0"/>
          <w:bCs w:val="0"/>
          <w:color w:val="000000" w:themeColor="text1"/>
          <w:sz w:val="32"/>
          <w:szCs w:val="21"/>
          <w:highlight w:val="none"/>
          <w14:textFill>
            <w14:solidFill>
              <w14:schemeClr w14:val="tx1"/>
            </w14:solidFill>
          </w14:textFill>
        </w:rPr>
      </w:pPr>
      <w:r>
        <w:rPr>
          <w:rFonts w:hint="eastAsia" w:ascii="宋体" w:hAnsi="宋体" w:eastAsia="宋体" w:cs="宋体"/>
          <w:b w:val="0"/>
          <w:bCs w:val="0"/>
          <w:color w:val="000000" w:themeColor="text1"/>
          <w:sz w:val="32"/>
          <w:szCs w:val="21"/>
          <w:highlight w:val="none"/>
          <w14:textFill>
            <w14:solidFill>
              <w14:schemeClr w14:val="tx1"/>
            </w14:solidFill>
          </w14:textFill>
        </w:rPr>
        <w:t>二   资信商务及技术文件格式</w:t>
      </w:r>
      <w:bookmarkEnd w:id="160"/>
    </w:p>
    <w:p w14:paraId="429E9602">
      <w:pPr>
        <w:spacing w:line="360" w:lineRule="auto"/>
        <w:jc w:val="center"/>
        <w:rPr>
          <w:rFonts w:ascii="宋体" w:hAnsi="宋体" w:cs="宋体"/>
          <w:color w:val="000000" w:themeColor="text1"/>
          <w:sz w:val="32"/>
          <w:szCs w:val="28"/>
          <w:highlight w:val="none"/>
          <w14:textFill>
            <w14:solidFill>
              <w14:schemeClr w14:val="tx1"/>
            </w14:solidFill>
          </w14:textFill>
        </w:rPr>
      </w:pPr>
    </w:p>
    <w:p w14:paraId="2E584089">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资信商务及技术文件封面</w:t>
      </w:r>
    </w:p>
    <w:p w14:paraId="66E7C2EA">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4F1434E9">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3FA93729">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0023116C">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784E5349">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7B6CAC01">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4DAE9161">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74923691">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5708E858">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资信商务及技术文件</w:t>
      </w:r>
    </w:p>
    <w:p w14:paraId="06EE37A6">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05B25E93">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62BDC346">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49C44E23">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0BE7BFD8">
      <w:pPr>
        <w:pStyle w:val="4"/>
        <w:ind w:firstLine="0"/>
        <w:rPr>
          <w:rFonts w:ascii="宋体" w:hAnsi="宋体" w:cs="宋体"/>
          <w:color w:val="000000" w:themeColor="text1"/>
          <w:sz w:val="36"/>
          <w:szCs w:val="36"/>
          <w:highlight w:val="none"/>
          <w14:textFill>
            <w14:solidFill>
              <w14:schemeClr w14:val="tx1"/>
            </w14:solidFill>
          </w14:textFill>
        </w:rPr>
      </w:pPr>
    </w:p>
    <w:p w14:paraId="5D5D6D72">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195725DB">
      <w:pPr>
        <w:pStyle w:val="4"/>
        <w:rPr>
          <w:rFonts w:ascii="宋体" w:hAnsi="宋体" w:cs="宋体"/>
          <w:color w:val="000000" w:themeColor="text1"/>
          <w:sz w:val="22"/>
          <w:szCs w:val="21"/>
          <w:highlight w:val="none"/>
          <w14:textFill>
            <w14:solidFill>
              <w14:schemeClr w14:val="tx1"/>
            </w14:solidFill>
          </w14:textFill>
        </w:rPr>
      </w:pPr>
    </w:p>
    <w:p w14:paraId="400DA7AB">
      <w:pPr>
        <w:spacing w:line="360" w:lineRule="auto"/>
        <w:jc w:val="center"/>
        <w:rPr>
          <w:rFonts w:ascii="宋体" w:hAnsi="宋体" w:cs="宋体"/>
          <w:color w:val="000000" w:themeColor="text1"/>
          <w:sz w:val="32"/>
          <w:szCs w:val="28"/>
          <w:highlight w:val="none"/>
          <w14:textFill>
            <w14:solidFill>
              <w14:schemeClr w14:val="tx1"/>
            </w14:solidFill>
          </w14:textFill>
        </w:rPr>
      </w:pPr>
    </w:p>
    <w:p w14:paraId="4FF009C1">
      <w:pPr>
        <w:rPr>
          <w:rFonts w:hint="eastAsia"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p>
    <w:p w14:paraId="1A634FE2">
      <w:pPr>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（一）资信商务部分</w:t>
      </w:r>
    </w:p>
    <w:bookmarkEnd w:id="138"/>
    <w:bookmarkEnd w:id="139"/>
    <w:bookmarkEnd w:id="140"/>
    <w:bookmarkEnd w:id="141"/>
    <w:p w14:paraId="7195FB85">
      <w:pPr>
        <w:spacing w:line="360" w:lineRule="auto"/>
        <w:jc w:val="center"/>
        <w:rPr>
          <w:rFonts w:ascii="宋体" w:hAnsi="宋体" w:cs="宋体"/>
          <w:b/>
          <w:color w:val="000000" w:themeColor="text1"/>
          <w:sz w:val="32"/>
          <w:highlight w:val="none"/>
          <w14:textFill>
            <w14:solidFill>
              <w14:schemeClr w14:val="tx1"/>
            </w14:solidFill>
          </w14:textFill>
        </w:rPr>
      </w:pPr>
      <w:bookmarkStart w:id="161" w:name="_Toc173728539"/>
      <w:bookmarkStart w:id="162" w:name="_Toc105230662"/>
      <w:r>
        <w:rPr>
          <w:rFonts w:hint="eastAsia" w:ascii="宋体" w:hAnsi="宋体" w:cs="宋体"/>
          <w:b/>
          <w:color w:val="000000" w:themeColor="text1"/>
          <w:sz w:val="32"/>
          <w:highlight w:val="none"/>
          <w14:textFill>
            <w14:solidFill>
              <w14:schemeClr w14:val="tx1"/>
            </w14:solidFill>
          </w14:textFill>
        </w:rPr>
        <w:t>1、投标声明书</w:t>
      </w:r>
    </w:p>
    <w:p w14:paraId="0523D238">
      <w:pPr>
        <w:pStyle w:val="89"/>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（采购人名称）</w:t>
      </w:r>
      <w:r>
        <w:rPr>
          <w:rFonts w:hint="eastAsia" w:ascii="宋体" w:hAnsi="宋体" w:cs="宋体"/>
          <w:color w:val="000000" w:themeColor="text1"/>
          <w:kern w:val="0"/>
          <w:sz w:val="24"/>
          <w:highlight w:val="none"/>
          <w:u w:val="single"/>
          <w14:textFill>
            <w14:solidFill>
              <w14:schemeClr w14:val="tx1"/>
            </w14:solidFill>
          </w14:textFill>
        </w:rPr>
        <w:t>：</w:t>
      </w:r>
    </w:p>
    <w:p w14:paraId="08E7D171">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14:textFill>
            <w14:solidFill>
              <w14:schemeClr w14:val="tx1"/>
            </w14:solidFill>
          </w14:textFill>
        </w:rPr>
        <w:t>)系中华人民共和国合法企业，经营地址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247AB18D">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w:t>
      </w:r>
      <w:r>
        <w:rPr>
          <w:rFonts w:hint="eastAsia" w:hAnsi="宋体" w:cs="宋体"/>
          <w:color w:val="000000" w:themeColor="text1"/>
          <w:sz w:val="24"/>
          <w:szCs w:val="24"/>
          <w:highlight w:val="none"/>
          <w:u w:val="single"/>
          <w14:textFill>
            <w14:solidFill>
              <w14:schemeClr w14:val="tx1"/>
            </w14:solidFill>
          </w14:textFill>
        </w:rPr>
        <w:t xml:space="preserve">   (法定代表人或负责人名字)  </w:t>
      </w: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(投标人名称)       </w:t>
      </w:r>
      <w:r>
        <w:rPr>
          <w:rFonts w:hint="eastAsia" w:hAnsi="宋体" w:cs="宋体"/>
          <w:color w:val="000000" w:themeColor="text1"/>
          <w:sz w:val="24"/>
          <w:szCs w:val="24"/>
          <w:highlight w:val="none"/>
          <w14:textFill>
            <w14:solidFill>
              <w14:schemeClr w14:val="tx1"/>
            </w14:solidFill>
          </w14:textFill>
        </w:rPr>
        <w:t>的负责人，我方愿意参加贵方组织的</w:t>
      </w:r>
      <w:r>
        <w:rPr>
          <w:rFonts w:hint="eastAsia" w:hAnsi="宋体" w:cs="宋体"/>
          <w:color w:val="000000" w:themeColor="text1"/>
          <w:sz w:val="24"/>
          <w:szCs w:val="24"/>
          <w:highlight w:val="none"/>
          <w:u w:val="single"/>
          <w14:textFill>
            <w14:solidFill>
              <w14:schemeClr w14:val="tx1"/>
            </w14:solidFill>
          </w14:textFill>
        </w:rPr>
        <w:t xml:space="preserve">    （项目名称）（采购编号：   ）</w:t>
      </w:r>
      <w:r>
        <w:rPr>
          <w:rFonts w:hint="eastAsia" w:hAnsi="宋体" w:cs="宋体"/>
          <w:color w:val="000000" w:themeColor="text1"/>
          <w:sz w:val="24"/>
          <w:szCs w:val="24"/>
          <w:highlight w:val="none"/>
          <w14:textFill>
            <w14:solidFill>
              <w14:schemeClr w14:val="tx1"/>
            </w14:solidFill>
          </w14:textFill>
        </w:rPr>
        <w:t>的投标。为便于贵方公正、择优地确定</w:t>
      </w:r>
      <w:r>
        <w:rPr>
          <w:rFonts w:hint="eastAsia" w:hAnsi="宋体" w:cs="宋体"/>
          <w:color w:val="000000" w:themeColor="text1"/>
          <w:sz w:val="24"/>
          <w:szCs w:val="24"/>
          <w:highlight w:val="none"/>
          <w:lang w:eastAsia="zh-CN"/>
          <w14:textFill>
            <w14:solidFill>
              <w14:schemeClr w14:val="tx1"/>
            </w14:solidFill>
          </w14:textFill>
        </w:rPr>
        <w:t>成交供应商</w:t>
      </w:r>
      <w:r>
        <w:rPr>
          <w:rFonts w:hint="eastAsia" w:hAnsi="宋体" w:cs="宋体"/>
          <w:color w:val="000000" w:themeColor="text1"/>
          <w:sz w:val="24"/>
          <w:szCs w:val="24"/>
          <w:highlight w:val="none"/>
          <w14:textFill>
            <w14:solidFill>
              <w14:schemeClr w14:val="tx1"/>
            </w14:solidFill>
          </w14:textFill>
        </w:rPr>
        <w:t>以及投标产品和服务，我方就本次投标有关事项郑重承诺如下：</w:t>
      </w:r>
    </w:p>
    <w:p w14:paraId="30BB50DF">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1、我方向贵方提交的所有投标文件、资料都是准确的和真实的。</w:t>
      </w:r>
    </w:p>
    <w:p w14:paraId="2863DCF2">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14:paraId="243AF5BA">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3、提供投标人须知规定的全部投标文件，包括：</w:t>
      </w:r>
    </w:p>
    <w:p w14:paraId="51F72CFD">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①电子投标文件；</w:t>
      </w:r>
    </w:p>
    <w:p w14:paraId="48F15AA9">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②备份投标文件（注：是否提交由投标人自行决定，如不提交，本条可删除）。</w:t>
      </w:r>
    </w:p>
    <w:p w14:paraId="13F91676">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4、如果我方中标，将派出</w:t>
      </w:r>
      <w:r>
        <w:rPr>
          <w:rFonts w:hint="eastAsia" w:hAnsi="宋体" w:cs="宋体"/>
          <w:color w:val="000000" w:themeColor="text1"/>
          <w:sz w:val="24"/>
          <w:szCs w:val="24"/>
          <w:highlight w:val="none"/>
          <w:u w:val="single"/>
          <w14:textFill>
            <w14:solidFill>
              <w14:schemeClr w14:val="tx1"/>
            </w14:solidFill>
          </w14:textFill>
        </w:rPr>
        <w:t xml:space="preserve">  （姓名及身份证号码）</w:t>
      </w:r>
      <w:r>
        <w:rPr>
          <w:rFonts w:hint="eastAsia" w:hAnsi="宋体" w:cs="宋体"/>
          <w:color w:val="000000" w:themeColor="text1"/>
          <w:sz w:val="24"/>
          <w:szCs w:val="24"/>
          <w:highlight w:val="none"/>
          <w14:textFill>
            <w14:solidFill>
              <w14:schemeClr w14:val="tx1"/>
            </w14:solidFill>
          </w14:textFill>
        </w:rPr>
        <w:t>，作为本项目与采购人联系的项目实施负责人，联系手机号码：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。在项目实施过程中，并承诺项目实施负责人不更换，若确需要更换的，书面征得采购人同意后才准予更换。</w:t>
      </w:r>
    </w:p>
    <w:p w14:paraId="2FB07C49">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5、我方的投标有效期自</w:t>
      </w:r>
      <w:r>
        <w:rPr>
          <w:rFonts w:hint="eastAsia" w:hAnsi="宋体" w:cs="宋体"/>
          <w:bCs/>
          <w:snapToGrid w:val="0"/>
          <w:color w:val="000000" w:themeColor="text1"/>
          <w:kern w:val="2"/>
          <w:sz w:val="24"/>
          <w:szCs w:val="24"/>
          <w:highlight w:val="none"/>
          <w14:textFill>
            <w14:solidFill>
              <w14:schemeClr w14:val="tx1"/>
            </w14:solidFill>
          </w14:textFill>
        </w:rPr>
        <w:t>提交投标文件的截止之日起</w:t>
      </w:r>
      <w:r>
        <w:rPr>
          <w:rFonts w:hint="eastAsia" w:hAnsi="宋体" w:cs="宋体"/>
          <w:color w:val="000000" w:themeColor="text1"/>
          <w:sz w:val="24"/>
          <w:szCs w:val="24"/>
          <w:highlight w:val="none"/>
          <w:u w:val="single"/>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天内有效。</w:t>
      </w:r>
    </w:p>
    <w:p w14:paraId="4D6D704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6、我方在投标之前已经与贵方进行了充分的沟通，完全理解并接受招标文件的各项规定和要求，对招标文件的合理性、合法性不再有异议。</w:t>
      </w:r>
    </w:p>
    <w:p w14:paraId="63A55E6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我方愿意向贵方提供真实完整的任何与该项投标有关的数据、情况和技术资料。若贵方需要，我方愿意提供我方作出的一切承诺的证明材料。</w:t>
      </w:r>
    </w:p>
    <w:p w14:paraId="66B8A3CA">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14:paraId="7F23110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14:paraId="66A0E0EB">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F6F933">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（一）提供虚假材料谋取中标、中标的；</w:t>
      </w:r>
    </w:p>
    <w:p w14:paraId="3848F824">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（二）采取不正当手段诋毁、排挤其他投标人的；</w:t>
      </w:r>
    </w:p>
    <w:p w14:paraId="1A99D861">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（三）与采购人、其它投标人或者采购代理机构恶意串通的；</w:t>
      </w:r>
    </w:p>
    <w:p w14:paraId="3F1C784E">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（四）向采购人、采购代理机构行贿或者提供其他不正当利益的；</w:t>
      </w:r>
    </w:p>
    <w:p w14:paraId="4D36EDB0">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（五）在招标采购过程中与采购人进行协商谈判的；</w:t>
      </w:r>
    </w:p>
    <w:p w14:paraId="4DBE22E7">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（六）拒绝有关部门监督检查或提供虚假情况的。</w:t>
      </w:r>
    </w:p>
    <w:p w14:paraId="1235F5C5">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10、如中标，本投标文件至本项目合同履行完毕止均保持有效，我方将按招标文件及政府采购法律、法规的规定履行合同责任和义务。</w:t>
      </w:r>
    </w:p>
    <w:p w14:paraId="3879B14A">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11、以上事项如有虚假或隐瞒，我方愿意承担一切不利后果，并不再寻求任何旨在减轻或免除法律责任。</w:t>
      </w:r>
    </w:p>
    <w:p w14:paraId="72AAD970">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与本次投标有关的一切正式往来信函请寄：</w:t>
      </w:r>
    </w:p>
    <w:p w14:paraId="7BD06EA3">
      <w:pPr>
        <w:pStyle w:val="91"/>
        <w:spacing w:line="440" w:lineRule="exact"/>
        <w:ind w:firstLine="480"/>
        <w:rPr>
          <w:rFonts w:hAnsi="宋体" w:cs="宋体"/>
          <w:color w:val="000000" w:themeColor="text1"/>
          <w:sz w:val="24"/>
          <w:szCs w:val="24"/>
          <w:highlight w:val="none"/>
          <w14:textFill>
            <w14:solidFill>
              <w14:schemeClr w14:val="tx1"/>
            </w14:solidFill>
          </w14:textFill>
        </w:rPr>
      </w:pPr>
    </w:p>
    <w:p w14:paraId="4020F7DD">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邮编：</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w:t>
      </w:r>
    </w:p>
    <w:p w14:paraId="2DF04FFD">
      <w:pPr>
        <w:pStyle w:val="12"/>
        <w:spacing w:line="440" w:lineRule="exact"/>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电话：</w:t>
      </w:r>
      <w:r>
        <w:rPr>
          <w:rFonts w:hint="eastAsia" w:hAnsi="宋体" w:eastAsia="宋体" w:cs="宋体"/>
          <w:color w:val="000000" w:themeColor="text1"/>
          <w:spacing w:val="20"/>
          <w:sz w:val="24"/>
          <w:highlight w:val="none"/>
          <w:u w:val="single"/>
          <w14:textFill>
            <w14:solidFill>
              <w14:schemeClr w14:val="tx1"/>
            </w14:solidFill>
          </w14:textFill>
        </w:rPr>
        <w:t xml:space="preserve">             </w:t>
      </w:r>
      <w:r>
        <w:rPr>
          <w:rFonts w:hint="eastAsia" w:hAnsi="宋体" w:eastAsia="宋体" w:cs="宋体"/>
          <w:color w:val="000000" w:themeColor="text1"/>
          <w:sz w:val="24"/>
          <w:highlight w:val="none"/>
          <w14:textFill>
            <w14:solidFill>
              <w14:schemeClr w14:val="tx1"/>
            </w14:solidFill>
          </w14:textFill>
        </w:rPr>
        <w:t xml:space="preserve">     传真：</w:t>
      </w:r>
      <w:r>
        <w:rPr>
          <w:rFonts w:hint="eastAsia" w:hAnsi="宋体" w:eastAsia="宋体" w:cs="宋体"/>
          <w:color w:val="000000" w:themeColor="text1"/>
          <w:spacing w:val="20"/>
          <w:sz w:val="24"/>
          <w:highlight w:val="none"/>
          <w:u w:val="single"/>
          <w14:textFill>
            <w14:solidFill>
              <w14:schemeClr w14:val="tx1"/>
            </w14:solidFill>
          </w14:textFill>
        </w:rPr>
        <w:t xml:space="preserve">           </w:t>
      </w:r>
    </w:p>
    <w:p w14:paraId="5A759E98">
      <w:pPr>
        <w:pStyle w:val="91"/>
        <w:spacing w:line="440" w:lineRule="exact"/>
        <w:rPr>
          <w:rFonts w:hAnsi="宋体" w:cs="宋体"/>
          <w:color w:val="000000" w:themeColor="text1"/>
          <w:sz w:val="28"/>
          <w:szCs w:val="22"/>
          <w:highlight w:val="none"/>
          <w14:textFill>
            <w14:solidFill>
              <w14:schemeClr w14:val="tx1"/>
            </w14:solidFill>
          </w14:textFill>
        </w:rPr>
      </w:pPr>
    </w:p>
    <w:p w14:paraId="2F1723D9">
      <w:pPr>
        <w:pStyle w:val="92"/>
        <w:spacing w:line="520" w:lineRule="exact"/>
        <w:rPr>
          <w:rFonts w:hAnsi="宋体" w:cs="宋体"/>
          <w:color w:val="000000" w:themeColor="text1"/>
          <w:spacing w:val="20"/>
          <w:sz w:val="28"/>
          <w:szCs w:val="21"/>
          <w:highlight w:val="none"/>
          <w14:textFill>
            <w14:solidFill>
              <w14:schemeClr w14:val="tx1"/>
            </w14:solidFill>
          </w14:textFill>
        </w:rPr>
      </w:pPr>
    </w:p>
    <w:p w14:paraId="744E3C47">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4BC0C254">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093CA989">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2C00925C">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76A579CF">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30CFD43B">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2、投标人参标申请表</w:t>
      </w:r>
    </w:p>
    <w:tbl>
      <w:tblPr>
        <w:tblStyle w:val="29"/>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9414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13E9A0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594044D">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0474380F">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14:paraId="669717D8">
            <w:pPr>
              <w:pStyle w:val="93"/>
              <w:ind w:firstLine="360"/>
              <w:jc w:val="center"/>
              <w:rPr>
                <w:rFonts w:ascii="宋体" w:hAnsi="宋体" w:cs="宋体"/>
                <w:color w:val="000000" w:themeColor="text1"/>
                <w:sz w:val="24"/>
                <w:highlight w:val="none"/>
                <w14:textFill>
                  <w14:solidFill>
                    <w14:schemeClr w14:val="tx1"/>
                  </w14:solidFill>
                </w14:textFill>
              </w:rPr>
            </w:pPr>
          </w:p>
        </w:tc>
      </w:tr>
      <w:tr w14:paraId="66557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002ADDC">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14:paraId="152ACABF">
            <w:pPr>
              <w:pStyle w:val="93"/>
              <w:ind w:firstLine="480"/>
              <w:jc w:val="center"/>
              <w:rPr>
                <w:rFonts w:ascii="宋体" w:hAnsi="宋体" w:cs="宋体"/>
                <w:color w:val="000000" w:themeColor="text1"/>
                <w:sz w:val="24"/>
                <w:highlight w:val="none"/>
                <w14:textFill>
                  <w14:solidFill>
                    <w14:schemeClr w14:val="tx1"/>
                  </w14:solidFill>
                </w14:textFill>
              </w:rPr>
            </w:pPr>
          </w:p>
        </w:tc>
      </w:tr>
      <w:tr w14:paraId="7CBE5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CA1F0C0">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9A53397">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23FA75A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0E151E1B">
            <w:pPr>
              <w:pStyle w:val="93"/>
              <w:ind w:firstLine="480"/>
              <w:jc w:val="center"/>
              <w:rPr>
                <w:rFonts w:ascii="宋体" w:hAnsi="宋体" w:cs="宋体"/>
                <w:color w:val="000000" w:themeColor="text1"/>
                <w:sz w:val="24"/>
                <w:highlight w:val="none"/>
                <w14:textFill>
                  <w14:solidFill>
                    <w14:schemeClr w14:val="tx1"/>
                  </w14:solidFill>
                </w14:textFill>
              </w:rPr>
            </w:pPr>
          </w:p>
        </w:tc>
      </w:tr>
      <w:tr w14:paraId="7B9B1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FB699A8">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75E406F">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6909130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524F3CE2">
            <w:pPr>
              <w:pStyle w:val="93"/>
              <w:ind w:firstLine="480"/>
              <w:jc w:val="center"/>
              <w:rPr>
                <w:rFonts w:ascii="宋体" w:hAnsi="宋体" w:cs="宋体"/>
                <w:color w:val="000000" w:themeColor="text1"/>
                <w:sz w:val="24"/>
                <w:highlight w:val="none"/>
                <w14:textFill>
                  <w14:solidFill>
                    <w14:schemeClr w14:val="tx1"/>
                  </w14:solidFill>
                </w14:textFill>
              </w:rPr>
            </w:pPr>
          </w:p>
        </w:tc>
      </w:tr>
      <w:tr w14:paraId="132E7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BE8B253">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364081B0">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CE7291B">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4B9E5DEB">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6EBD4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69CBF8B">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852B890">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01F9366">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EEBD5B6">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2A00D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3D82B97">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77D0800">
            <w:pPr>
              <w:pStyle w:val="93"/>
              <w:ind w:firstLine="480"/>
              <w:jc w:val="center"/>
              <w:rPr>
                <w:rFonts w:ascii="宋体" w:hAnsi="宋体" w:cs="宋体"/>
                <w:color w:val="000000" w:themeColor="text1"/>
                <w:sz w:val="24"/>
                <w:highlight w:val="none"/>
                <w14:textFill>
                  <w14:solidFill>
                    <w14:schemeClr w14:val="tx1"/>
                  </w14:solidFill>
                </w14:textFill>
              </w:rPr>
            </w:pPr>
          </w:p>
        </w:tc>
      </w:tr>
      <w:tr w14:paraId="0C3A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7F49261">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A5A8F77">
            <w:pPr>
              <w:pStyle w:val="93"/>
              <w:ind w:firstLine="480"/>
              <w:jc w:val="center"/>
              <w:rPr>
                <w:rFonts w:ascii="宋体" w:hAnsi="宋体" w:cs="宋体"/>
                <w:color w:val="000000" w:themeColor="text1"/>
                <w:sz w:val="24"/>
                <w:highlight w:val="none"/>
                <w14:textFill>
                  <w14:solidFill>
                    <w14:schemeClr w14:val="tx1"/>
                  </w14:solidFill>
                </w14:textFill>
              </w:rPr>
            </w:pPr>
          </w:p>
        </w:tc>
      </w:tr>
      <w:tr w14:paraId="59BBF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CD8C10E">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本单位申请参加下列采购项目的投标：</w:t>
            </w:r>
          </w:p>
        </w:tc>
      </w:tr>
      <w:tr w14:paraId="246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49222416">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0B50A7F">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C0B1225">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318A2510">
            <w:pPr>
              <w:pStyle w:val="93"/>
              <w:ind w:firstLine="48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2C2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802CDD">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B7270AC">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12F3242">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CA95390">
            <w:pPr>
              <w:pStyle w:val="93"/>
              <w:ind w:firstLine="480"/>
              <w:jc w:val="center"/>
              <w:rPr>
                <w:rFonts w:ascii="宋体" w:hAnsi="宋体" w:cs="宋体"/>
                <w:color w:val="000000" w:themeColor="text1"/>
                <w:sz w:val="24"/>
                <w:highlight w:val="none"/>
                <w14:textFill>
                  <w14:solidFill>
                    <w14:schemeClr w14:val="tx1"/>
                  </w14:solidFill>
                </w14:textFill>
              </w:rPr>
            </w:pPr>
          </w:p>
        </w:tc>
      </w:tr>
      <w:tr w14:paraId="3365B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20CA52E">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33AC86">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AA3C80">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8A2C2EE">
            <w:pPr>
              <w:pStyle w:val="93"/>
              <w:ind w:firstLine="480"/>
              <w:jc w:val="center"/>
              <w:rPr>
                <w:rFonts w:ascii="宋体" w:hAnsi="宋体" w:cs="宋体"/>
                <w:color w:val="000000" w:themeColor="text1"/>
                <w:sz w:val="24"/>
                <w:highlight w:val="none"/>
                <w14:textFill>
                  <w14:solidFill>
                    <w14:schemeClr w14:val="tx1"/>
                  </w14:solidFill>
                </w14:textFill>
              </w:rPr>
            </w:pPr>
          </w:p>
        </w:tc>
      </w:tr>
      <w:tr w14:paraId="5859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F38650">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1DFCA5">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8AB9F1D">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DA3FE4D">
            <w:pPr>
              <w:pStyle w:val="93"/>
              <w:ind w:firstLine="480"/>
              <w:jc w:val="center"/>
              <w:rPr>
                <w:rFonts w:ascii="宋体" w:hAnsi="宋体" w:cs="宋体"/>
                <w:color w:val="000000" w:themeColor="text1"/>
                <w:sz w:val="24"/>
                <w:highlight w:val="none"/>
                <w14:textFill>
                  <w14:solidFill>
                    <w14:schemeClr w14:val="tx1"/>
                  </w14:solidFill>
                </w14:textFill>
              </w:rPr>
            </w:pPr>
          </w:p>
        </w:tc>
      </w:tr>
      <w:tr w14:paraId="70DDC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6FB418A">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752CD4">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240A34B">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9E462C7">
            <w:pPr>
              <w:pStyle w:val="93"/>
              <w:ind w:firstLine="480"/>
              <w:jc w:val="center"/>
              <w:rPr>
                <w:rFonts w:ascii="宋体" w:hAnsi="宋体" w:cs="宋体"/>
                <w:color w:val="000000" w:themeColor="text1"/>
                <w:sz w:val="24"/>
                <w:highlight w:val="none"/>
                <w14:textFill>
                  <w14:solidFill>
                    <w14:schemeClr w14:val="tx1"/>
                  </w14:solidFill>
                </w14:textFill>
              </w:rPr>
            </w:pPr>
          </w:p>
        </w:tc>
      </w:tr>
      <w:tr w14:paraId="4FB3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8E4333">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1D1993">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AC5FD10">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5FD9FC1E">
            <w:pPr>
              <w:pStyle w:val="93"/>
              <w:ind w:firstLine="480"/>
              <w:jc w:val="center"/>
              <w:rPr>
                <w:rFonts w:ascii="宋体" w:hAnsi="宋体" w:cs="宋体"/>
                <w:color w:val="000000" w:themeColor="text1"/>
                <w:sz w:val="24"/>
                <w:highlight w:val="none"/>
                <w14:textFill>
                  <w14:solidFill>
                    <w14:schemeClr w14:val="tx1"/>
                  </w14:solidFill>
                </w14:textFill>
              </w:rPr>
            </w:pPr>
          </w:p>
        </w:tc>
      </w:tr>
      <w:tr w14:paraId="5C2DE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4248F6B">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B56AB0F">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6D78C2B">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22127E18">
            <w:pPr>
              <w:pStyle w:val="93"/>
              <w:ind w:firstLine="480"/>
              <w:jc w:val="center"/>
              <w:rPr>
                <w:rFonts w:ascii="宋体" w:hAnsi="宋体" w:cs="宋体"/>
                <w:color w:val="000000" w:themeColor="text1"/>
                <w:sz w:val="24"/>
                <w:highlight w:val="none"/>
                <w14:textFill>
                  <w14:solidFill>
                    <w14:schemeClr w14:val="tx1"/>
                  </w14:solidFill>
                </w14:textFill>
              </w:rPr>
            </w:pPr>
          </w:p>
        </w:tc>
      </w:tr>
      <w:tr w14:paraId="34576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4001107">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0A7235B">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D48DA7E">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C18E959">
            <w:pPr>
              <w:pStyle w:val="93"/>
              <w:ind w:firstLine="480"/>
              <w:jc w:val="center"/>
              <w:rPr>
                <w:rFonts w:ascii="宋体" w:hAnsi="宋体" w:cs="宋体"/>
                <w:color w:val="000000" w:themeColor="text1"/>
                <w:sz w:val="24"/>
                <w:highlight w:val="none"/>
                <w14:textFill>
                  <w14:solidFill>
                    <w14:schemeClr w14:val="tx1"/>
                  </w14:solidFill>
                </w14:textFill>
              </w:rPr>
            </w:pPr>
          </w:p>
        </w:tc>
      </w:tr>
      <w:tr w14:paraId="13673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424BAD">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771DF7D">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D8037A">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C6F764F">
            <w:pPr>
              <w:pStyle w:val="93"/>
              <w:ind w:firstLine="480"/>
              <w:jc w:val="center"/>
              <w:rPr>
                <w:rFonts w:ascii="宋体" w:hAnsi="宋体" w:cs="宋体"/>
                <w:color w:val="000000" w:themeColor="text1"/>
                <w:sz w:val="24"/>
                <w:highlight w:val="none"/>
                <w14:textFill>
                  <w14:solidFill>
                    <w14:schemeClr w14:val="tx1"/>
                  </w14:solidFill>
                </w14:textFill>
              </w:rPr>
            </w:pPr>
          </w:p>
        </w:tc>
      </w:tr>
    </w:tbl>
    <w:p w14:paraId="5C9D2B29">
      <w:pPr>
        <w:pStyle w:val="92"/>
        <w:spacing w:line="52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br w:type="page"/>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14:textFill>
            <w14:solidFill>
              <w14:schemeClr w14:val="tx1"/>
            </w14:solidFill>
          </w14:textFill>
        </w:rPr>
        <w:t>、</w:t>
      </w:r>
      <w:r>
        <w:rPr>
          <w:rFonts w:hint="eastAsia" w:hAnsi="宋体" w:cs="宋体"/>
          <w:b/>
          <w:color w:val="000000" w:themeColor="text1"/>
          <w:sz w:val="32"/>
          <w:highlight w:val="none"/>
          <w14:textFill>
            <w14:solidFill>
              <w14:schemeClr w14:val="tx1"/>
            </w14:solidFill>
          </w14:textFill>
        </w:rPr>
        <w:t>代理服务费支付承诺书</w:t>
      </w:r>
    </w:p>
    <w:p w14:paraId="2A4CBADD">
      <w:pPr>
        <w:spacing w:line="360" w:lineRule="auto"/>
        <w:jc w:val="left"/>
        <w:rPr>
          <w:rFonts w:ascii="宋体" w:hAnsi="宋体" w:cs="宋体"/>
          <w:color w:val="000000" w:themeColor="text1"/>
          <w:sz w:val="32"/>
          <w:szCs w:val="32"/>
          <w:highlight w:val="none"/>
          <w14:textFill>
            <w14:solidFill>
              <w14:schemeClr w14:val="tx1"/>
            </w14:solidFill>
          </w14:textFill>
        </w:rPr>
      </w:pPr>
    </w:p>
    <w:p w14:paraId="22D63AAA">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14:paraId="0A167F09">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33EBEDDA">
      <w:pPr>
        <w:spacing w:line="360" w:lineRule="auto"/>
        <w:jc w:val="left"/>
        <w:rPr>
          <w:rFonts w:ascii="宋体" w:hAnsi="宋体" w:cs="宋体"/>
          <w:b/>
          <w:color w:val="000000" w:themeColor="text1"/>
          <w:sz w:val="24"/>
          <w:highlight w:val="none"/>
          <w14:textFill>
            <w14:solidFill>
              <w14:schemeClr w14:val="tx1"/>
            </w14:solidFill>
          </w14:textFill>
        </w:rPr>
      </w:pPr>
    </w:p>
    <w:p w14:paraId="362C68B9">
      <w:pPr>
        <w:spacing w:line="360" w:lineRule="auto"/>
        <w:jc w:val="center"/>
        <w:rPr>
          <w:rFonts w:ascii="宋体" w:hAnsi="宋体" w:cs="宋体"/>
          <w:b/>
          <w:color w:val="000000" w:themeColor="text1"/>
          <w:sz w:val="36"/>
          <w:szCs w:val="32"/>
          <w:highlight w:val="none"/>
          <w14:textFill>
            <w14:solidFill>
              <w14:schemeClr w14:val="tx1"/>
            </w14:solidFill>
          </w14:textFill>
        </w:rPr>
      </w:pPr>
    </w:p>
    <w:p w14:paraId="0DAA2D5F">
      <w:pPr>
        <w:pStyle w:val="2"/>
        <w:rPr>
          <w:rFonts w:ascii="宋体" w:hAnsi="宋体" w:cs="宋体"/>
          <w:b/>
          <w:color w:val="000000" w:themeColor="text1"/>
          <w:sz w:val="36"/>
          <w:szCs w:val="32"/>
          <w:highlight w:val="none"/>
          <w14:textFill>
            <w14:solidFill>
              <w14:schemeClr w14:val="tx1"/>
            </w14:solidFill>
          </w14:textFill>
        </w:rPr>
      </w:pPr>
    </w:p>
    <w:p w14:paraId="725A8F38">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90E71F">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2284095">
      <w:pPr>
        <w:rPr>
          <w:rFonts w:ascii="宋体" w:hAnsi="宋体" w:cs="宋体"/>
          <w:b/>
          <w:color w:val="000000" w:themeColor="text1"/>
          <w:sz w:val="36"/>
          <w:szCs w:val="32"/>
          <w:highlight w:val="none"/>
          <w14:textFill>
            <w14:solidFill>
              <w14:schemeClr w14:val="tx1"/>
            </w14:solidFill>
          </w14:textFill>
        </w:rPr>
      </w:pPr>
    </w:p>
    <w:p w14:paraId="4577DA20">
      <w:pPr>
        <w:pStyle w:val="2"/>
        <w:rPr>
          <w:rFonts w:ascii="宋体" w:hAnsi="宋体" w:cs="宋体"/>
          <w:b/>
          <w:color w:val="000000" w:themeColor="text1"/>
          <w:sz w:val="36"/>
          <w:szCs w:val="32"/>
          <w:highlight w:val="none"/>
          <w14:textFill>
            <w14:solidFill>
              <w14:schemeClr w14:val="tx1"/>
            </w14:solidFill>
          </w14:textFill>
        </w:rPr>
      </w:pPr>
    </w:p>
    <w:p w14:paraId="2E496FD9">
      <w:pPr>
        <w:rPr>
          <w:rFonts w:ascii="宋体" w:hAnsi="宋体" w:cs="宋体"/>
          <w:b/>
          <w:color w:val="000000" w:themeColor="text1"/>
          <w:sz w:val="36"/>
          <w:szCs w:val="32"/>
          <w:highlight w:val="none"/>
          <w14:textFill>
            <w14:solidFill>
              <w14:schemeClr w14:val="tx1"/>
            </w14:solidFill>
          </w14:textFill>
        </w:rPr>
      </w:pPr>
    </w:p>
    <w:p w14:paraId="518D6DA3">
      <w:pPr>
        <w:pStyle w:val="2"/>
        <w:rPr>
          <w:rFonts w:ascii="宋体" w:hAnsi="宋体" w:cs="宋体"/>
          <w:b/>
          <w:color w:val="000000" w:themeColor="text1"/>
          <w:sz w:val="36"/>
          <w:szCs w:val="32"/>
          <w:highlight w:val="none"/>
          <w14:textFill>
            <w14:solidFill>
              <w14:schemeClr w14:val="tx1"/>
            </w14:solidFill>
          </w14:textFill>
        </w:rPr>
      </w:pPr>
    </w:p>
    <w:p w14:paraId="7881453A">
      <w:pPr>
        <w:rPr>
          <w:rFonts w:ascii="宋体" w:hAnsi="宋体" w:cs="宋体"/>
          <w:b/>
          <w:color w:val="000000" w:themeColor="text1"/>
          <w:sz w:val="36"/>
          <w:szCs w:val="32"/>
          <w:highlight w:val="none"/>
          <w14:textFill>
            <w14:solidFill>
              <w14:schemeClr w14:val="tx1"/>
            </w14:solidFill>
          </w14:textFill>
        </w:rPr>
      </w:pPr>
    </w:p>
    <w:p w14:paraId="79873BC7">
      <w:pPr>
        <w:pStyle w:val="2"/>
        <w:rPr>
          <w:rFonts w:ascii="宋体" w:hAnsi="宋体" w:cs="宋体"/>
          <w:b/>
          <w:color w:val="000000" w:themeColor="text1"/>
          <w:sz w:val="36"/>
          <w:szCs w:val="32"/>
          <w:highlight w:val="none"/>
          <w14:textFill>
            <w14:solidFill>
              <w14:schemeClr w14:val="tx1"/>
            </w14:solidFill>
          </w14:textFill>
        </w:rPr>
      </w:pPr>
    </w:p>
    <w:p w14:paraId="78FCCD59">
      <w:pPr>
        <w:rPr>
          <w:rFonts w:ascii="宋体" w:hAnsi="宋体" w:cs="宋体"/>
          <w:b/>
          <w:color w:val="000000" w:themeColor="text1"/>
          <w:sz w:val="36"/>
          <w:szCs w:val="32"/>
          <w:highlight w:val="none"/>
          <w14:textFill>
            <w14:solidFill>
              <w14:schemeClr w14:val="tx1"/>
            </w14:solidFill>
          </w14:textFill>
        </w:rPr>
      </w:pPr>
    </w:p>
    <w:p w14:paraId="77B1D93A">
      <w:pPr>
        <w:pStyle w:val="2"/>
      </w:pPr>
    </w:p>
    <w:p w14:paraId="362371C1">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173F1F19">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77226DEC">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lang w:val="en-US" w:eastAsia="zh-CN"/>
          <w14:textFill>
            <w14:solidFill>
              <w14:schemeClr w14:val="tx1"/>
            </w14:solidFill>
          </w14:textFill>
        </w:rPr>
        <w:t>4</w:t>
      </w:r>
      <w:r>
        <w:rPr>
          <w:rFonts w:hint="eastAsia" w:ascii="宋体" w:hAnsi="宋体" w:cs="宋体"/>
          <w:b/>
          <w:color w:val="000000" w:themeColor="text1"/>
          <w:sz w:val="32"/>
          <w:szCs w:val="28"/>
          <w:highlight w:val="none"/>
          <w14:textFill>
            <w14:solidFill>
              <w14:schemeClr w14:val="tx1"/>
            </w14:solidFill>
          </w14:textFill>
        </w:rPr>
        <w:t>、其  他</w:t>
      </w:r>
    </w:p>
    <w:p w14:paraId="737A46AF">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除招标文件规定的要求外，投标人还可以提供如下证明材料：</w:t>
      </w:r>
    </w:p>
    <w:p w14:paraId="4499476A">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1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⑴</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评标办法要求的其他资料；</w:t>
      </w:r>
    </w:p>
    <w:p w14:paraId="7CDBC4FA">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2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⑵</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投标人认为需要提供的其他材料，但不得出现报价。</w:t>
      </w:r>
    </w:p>
    <w:p w14:paraId="1E6DBAD8">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br w:type="page"/>
      </w:r>
      <w:bookmarkEnd w:id="161"/>
      <w:bookmarkEnd w:id="162"/>
      <w:bookmarkStart w:id="163" w:name="_Toc65051207"/>
      <w:bookmarkStart w:id="164" w:name="_Toc58318190"/>
    </w:p>
    <w:p w14:paraId="39D3FCAE">
      <w:pPr>
        <w:spacing w:line="360" w:lineRule="auto"/>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（二）技术</w:t>
      </w:r>
      <w:bookmarkEnd w:id="163"/>
      <w:bookmarkEnd w:id="164"/>
      <w:bookmarkStart w:id="165" w:name="_Toc208049590"/>
      <w:r>
        <w:rPr>
          <w:rFonts w:hint="eastAsia" w:ascii="宋体" w:hAnsi="宋体" w:cs="宋体"/>
          <w:color w:val="000000" w:themeColor="text1"/>
          <w:sz w:val="32"/>
          <w:szCs w:val="28"/>
          <w:highlight w:val="none"/>
          <w14:textFill>
            <w14:solidFill>
              <w14:schemeClr w14:val="tx1"/>
            </w14:solidFill>
          </w14:textFill>
        </w:rPr>
        <w:t>部分</w:t>
      </w:r>
    </w:p>
    <w:p w14:paraId="28B4E403">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bookmarkStart w:id="166" w:name="_Toc530551887"/>
      <w:bookmarkStart w:id="167" w:name="_Toc493956063"/>
      <w:r>
        <w:rPr>
          <w:rFonts w:hint="eastAsia" w:ascii="宋体" w:hAnsi="宋体" w:eastAsia="宋体" w:cs="宋体"/>
          <w:b/>
          <w:bCs/>
          <w:color w:val="000000" w:themeColor="text1"/>
          <w:sz w:val="28"/>
          <w:szCs w:val="28"/>
          <w:highlight w:val="none"/>
          <w14:textFill>
            <w14:solidFill>
              <w14:schemeClr w14:val="tx1"/>
            </w14:solidFill>
          </w14:textFill>
        </w:rPr>
        <w:t>1、商务响应表</w:t>
      </w:r>
    </w:p>
    <w:p w14:paraId="166B34ED">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采购编号</w:t>
      </w:r>
      <w:r>
        <w:rPr>
          <w:rFonts w:hint="eastAsia" w:ascii="宋体" w:hAnsi="宋体" w:eastAsia="宋体" w:cs="宋体"/>
          <w:color w:val="000000" w:themeColor="text1"/>
          <w:sz w:val="24"/>
          <w:highlight w:val="none"/>
          <w14:textFill>
            <w14:solidFill>
              <w14:schemeClr w14:val="tx1"/>
            </w14:solidFill>
          </w14:textFill>
        </w:rPr>
        <w:t>：</w:t>
      </w:r>
    </w:p>
    <w:p w14:paraId="3542D37B">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项目名称：                              </w:t>
      </w:r>
    </w:p>
    <w:tbl>
      <w:tblPr>
        <w:tblStyle w:val="2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14:paraId="220E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2C513CBB">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46" w:type="dxa"/>
            <w:vAlign w:val="center"/>
          </w:tcPr>
          <w:p w14:paraId="60949B07">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69" w:type="dxa"/>
            <w:vAlign w:val="center"/>
          </w:tcPr>
          <w:p w14:paraId="1DAD0ECD">
            <w:pPr>
              <w:pStyle w:val="9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是否响应</w:t>
            </w:r>
          </w:p>
        </w:tc>
        <w:tc>
          <w:tcPr>
            <w:tcW w:w="2347" w:type="dxa"/>
            <w:vAlign w:val="center"/>
          </w:tcPr>
          <w:p w14:paraId="4B2464F3">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7CD5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EBEEDC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46" w:type="dxa"/>
            <w:vAlign w:val="center"/>
          </w:tcPr>
          <w:p w14:paraId="5FCCAD1F">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0D97D14">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6617DB8D">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7B44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7794831C">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446" w:type="dxa"/>
            <w:vAlign w:val="center"/>
          </w:tcPr>
          <w:p w14:paraId="43507585">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2D1D47DA">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09F30C74">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5C54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3155ACFD">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446" w:type="dxa"/>
            <w:vAlign w:val="center"/>
          </w:tcPr>
          <w:p w14:paraId="4F8ACE05">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60431443">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1C08FD2">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0B43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73FFFB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446" w:type="dxa"/>
            <w:vAlign w:val="center"/>
          </w:tcPr>
          <w:p w14:paraId="63D9CF66">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787BA302">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1B736A29">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7D00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C1122AB">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3446" w:type="dxa"/>
            <w:vAlign w:val="center"/>
          </w:tcPr>
          <w:p w14:paraId="13006BB6">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45895FB7">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43F4C017">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616E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384219C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3446" w:type="dxa"/>
            <w:vAlign w:val="center"/>
          </w:tcPr>
          <w:p w14:paraId="5A1ABE98">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5203191">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2560C85E">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68C3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14:paraId="660FEC70">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3446" w:type="dxa"/>
            <w:vAlign w:val="center"/>
          </w:tcPr>
          <w:p w14:paraId="7711C527">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4EDFBA1A">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AE13CC2">
            <w:pPr>
              <w:pStyle w:val="97"/>
              <w:jc w:val="center"/>
              <w:rPr>
                <w:rFonts w:hint="eastAsia" w:ascii="宋体" w:hAnsi="宋体" w:eastAsia="宋体" w:cs="宋体"/>
                <w:color w:val="000000" w:themeColor="text1"/>
                <w:sz w:val="24"/>
                <w:highlight w:val="none"/>
                <w14:textFill>
                  <w14:solidFill>
                    <w14:schemeClr w14:val="tx1"/>
                  </w14:solidFill>
                </w14:textFill>
              </w:rPr>
            </w:pPr>
          </w:p>
        </w:tc>
      </w:tr>
    </w:tbl>
    <w:p w14:paraId="009B050E">
      <w:pPr>
        <w:pStyle w:val="20"/>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030B669D">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8C27B7D">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3D9581A">
      <w:pPr>
        <w:rPr>
          <w:rFonts w:hint="eastAsia" w:ascii="宋体" w:hAnsi="宋体" w:cs="宋体"/>
          <w:b/>
          <w:bCs/>
          <w:color w:val="000000" w:themeColor="text1"/>
          <w:sz w:val="28"/>
          <w:szCs w:val="28"/>
          <w:highlight w:val="none"/>
          <w:lang w:val="en-US" w:eastAsia="zh-CN"/>
          <w14:textFill>
            <w14:solidFill>
              <w14:schemeClr w14:val="tx1"/>
            </w14:solidFill>
          </w14:textFill>
        </w:rPr>
      </w:pPr>
    </w:p>
    <w:p w14:paraId="74172629">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325A247F">
      <w:pP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、技术规格偏离表</w:t>
      </w:r>
    </w:p>
    <w:p w14:paraId="4E353254">
      <w:pPr>
        <w:pStyle w:val="5"/>
        <w:spacing w:before="0" w:after="0"/>
        <w:ind w:firstLine="0" w:firstLineChars="0"/>
        <w:jc w:val="center"/>
        <w:outlineLvl w:val="4"/>
        <w:rPr>
          <w:rFonts w:hint="eastAsia" w:ascii="宋体" w:hAnsi="宋体" w:eastAsia="宋体" w:cs="宋体"/>
          <w:color w:val="000000" w:themeColor="text1"/>
          <w:sz w:val="28"/>
          <w:szCs w:val="28"/>
          <w:highlight w:val="none"/>
          <w14:textFill>
            <w14:solidFill>
              <w14:schemeClr w14:val="tx1"/>
            </w14:solidFill>
          </w14:textFill>
        </w:rPr>
      </w:pPr>
      <w:bookmarkStart w:id="168" w:name="_Toc8209"/>
      <w:bookmarkStart w:id="169" w:name="_Toc1752"/>
      <w:bookmarkStart w:id="170" w:name="_Toc22428"/>
      <w:bookmarkStart w:id="171" w:name="_Toc2978"/>
      <w:r>
        <w:rPr>
          <w:rFonts w:hint="eastAsia" w:ascii="宋体" w:hAnsi="宋体" w:eastAsia="宋体" w:cs="宋体"/>
          <w:color w:val="000000" w:themeColor="text1"/>
          <w:sz w:val="28"/>
          <w:szCs w:val="28"/>
          <w:highlight w:val="none"/>
          <w14:textFill>
            <w14:solidFill>
              <w14:schemeClr w14:val="tx1"/>
            </w14:solidFill>
          </w14:textFill>
        </w:rPr>
        <w:t>技术规格偏离表</w:t>
      </w:r>
      <w:bookmarkEnd w:id="168"/>
      <w:bookmarkEnd w:id="169"/>
      <w:bookmarkEnd w:id="170"/>
      <w:bookmarkEnd w:id="171"/>
    </w:p>
    <w:tbl>
      <w:tblPr>
        <w:tblStyle w:val="29"/>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14:paraId="152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5" w:type="dxa"/>
            <w:tcBorders>
              <w:top w:val="single" w:color="auto" w:sz="4" w:space="0"/>
              <w:left w:val="single" w:color="auto" w:sz="4" w:space="0"/>
              <w:right w:val="single" w:color="auto" w:sz="4" w:space="0"/>
            </w:tcBorders>
            <w:vAlign w:val="center"/>
          </w:tcPr>
          <w:p w14:paraId="017F0612">
            <w:pPr>
              <w:pStyle w:val="107"/>
              <w:tabs>
                <w:tab w:val="left" w:pos="3200"/>
              </w:tabs>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14:paraId="101CEE00">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eastAsia="zh-CN"/>
                <w14:textFill>
                  <w14:solidFill>
                    <w14:schemeClr w14:val="tx1"/>
                  </w14:solidFill>
                </w14:textFill>
              </w:rPr>
              <w:t>的规格参数</w:t>
            </w:r>
          </w:p>
        </w:tc>
        <w:tc>
          <w:tcPr>
            <w:tcW w:w="1831" w:type="dxa"/>
            <w:tcBorders>
              <w:top w:val="single" w:color="auto" w:sz="4" w:space="0"/>
              <w:left w:val="single" w:color="auto" w:sz="4" w:space="0"/>
              <w:right w:val="single" w:color="auto" w:sz="4" w:space="0"/>
            </w:tcBorders>
            <w:vAlign w:val="center"/>
          </w:tcPr>
          <w:p w14:paraId="6B7ED4DB">
            <w:pPr>
              <w:pStyle w:val="107"/>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投标产品详细规格</w:t>
            </w:r>
            <w:r>
              <w:rPr>
                <w:rFonts w:hint="eastAsia" w:ascii="宋体" w:hAnsi="宋体" w:eastAsia="宋体" w:cs="宋体"/>
                <w:color w:val="000000" w:themeColor="text1"/>
                <w:sz w:val="24"/>
                <w:highlight w:val="none"/>
                <w:lang w:eastAsia="zh-CN"/>
                <w14:textFill>
                  <w14:solidFill>
                    <w14:schemeClr w14:val="tx1"/>
                  </w14:solidFill>
                </w14:textFill>
              </w:rPr>
              <w:t>参数</w:t>
            </w:r>
          </w:p>
        </w:tc>
        <w:tc>
          <w:tcPr>
            <w:tcW w:w="1350" w:type="dxa"/>
            <w:tcBorders>
              <w:top w:val="single" w:color="auto" w:sz="4" w:space="0"/>
              <w:left w:val="single" w:color="auto" w:sz="4" w:space="0"/>
              <w:right w:val="single" w:color="auto" w:sz="4" w:space="0"/>
            </w:tcBorders>
            <w:vAlign w:val="center"/>
          </w:tcPr>
          <w:p w14:paraId="51859DB3">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14:paraId="10D8A176">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提供的相应</w:t>
            </w:r>
            <w:r>
              <w:rPr>
                <w:rFonts w:hint="eastAsia" w:ascii="宋体" w:hAnsi="宋体" w:cs="宋体"/>
                <w:color w:val="000000" w:themeColor="text1"/>
                <w:sz w:val="24"/>
                <w:highlight w:val="none"/>
                <w14:textFill>
                  <w14:solidFill>
                    <w14:schemeClr w14:val="tx1"/>
                  </w14:solidFill>
                </w14:textFill>
              </w:rPr>
              <w:t>佐证</w:t>
            </w:r>
            <w:r>
              <w:rPr>
                <w:rFonts w:hint="eastAsia" w:ascii="宋体" w:hAnsi="宋体" w:eastAsia="宋体" w:cs="宋体"/>
                <w:color w:val="000000" w:themeColor="text1"/>
                <w:sz w:val="24"/>
                <w:highlight w:val="none"/>
                <w:lang w:eastAsia="zh-CN"/>
                <w14:textFill>
                  <w14:solidFill>
                    <w14:schemeClr w14:val="tx1"/>
                  </w14:solidFill>
                </w14:textFill>
              </w:rPr>
              <w:t>材料</w:t>
            </w:r>
            <w:r>
              <w:rPr>
                <w:rFonts w:hint="eastAsia" w:ascii="宋体" w:hAnsi="宋体" w:cs="宋体"/>
                <w:color w:val="000000" w:themeColor="text1"/>
                <w:sz w:val="24"/>
                <w:highlight w:val="none"/>
                <w:lang w:eastAsia="zh-CN"/>
                <w14:textFill>
                  <w14:solidFill>
                    <w14:schemeClr w14:val="tx1"/>
                  </w14:solidFill>
                </w14:textFill>
              </w:rPr>
              <w:t>对应</w:t>
            </w:r>
            <w:r>
              <w:rPr>
                <w:rFonts w:hint="eastAsia" w:ascii="宋体" w:hAnsi="宋体" w:eastAsia="宋体" w:cs="宋体"/>
                <w:color w:val="000000" w:themeColor="text1"/>
                <w:sz w:val="24"/>
                <w:highlight w:val="none"/>
                <w:lang w:eastAsia="zh-CN"/>
                <w14:textFill>
                  <w14:solidFill>
                    <w14:schemeClr w14:val="tx1"/>
                  </w14:solidFill>
                </w14:textFill>
              </w:rPr>
              <w:t>的页码</w:t>
            </w:r>
            <w:r>
              <w:rPr>
                <w:rFonts w:hint="eastAsia" w:ascii="宋体" w:hAnsi="宋体" w:cs="宋体"/>
                <w:color w:val="000000" w:themeColor="text1"/>
                <w:sz w:val="24"/>
                <w:highlight w:val="none"/>
                <w:lang w:eastAsia="zh-CN"/>
                <w14:textFill>
                  <w14:solidFill>
                    <w14:schemeClr w14:val="tx1"/>
                  </w14:solidFill>
                </w14:textFill>
              </w:rPr>
              <w:t>（如有）</w:t>
            </w:r>
          </w:p>
        </w:tc>
        <w:tc>
          <w:tcPr>
            <w:tcW w:w="1290" w:type="dxa"/>
            <w:tcBorders>
              <w:top w:val="single" w:color="auto" w:sz="4" w:space="0"/>
              <w:left w:val="single" w:color="auto" w:sz="4" w:space="0"/>
              <w:right w:val="single" w:color="auto" w:sz="4" w:space="0"/>
            </w:tcBorders>
            <w:vAlign w:val="center"/>
          </w:tcPr>
          <w:p w14:paraId="0C78FE90">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5A7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0723F135">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14:paraId="74124E47">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ACE18F9">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6FF7104B">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744117D">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29A14EBD">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14:paraId="175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1CC297D1">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14:paraId="4A3DCF3E">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38CA6EF">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26556A5B">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63870C0">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62E0E1E7">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14:paraId="7B2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14:paraId="6F6E812F">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14:paraId="10886783">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14:paraId="3F9F8471">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14:paraId="62A58E85">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14:paraId="6A166105">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14:paraId="26444CD4">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3BCA5AC4">
      <w:pPr>
        <w:pStyle w:val="5"/>
        <w:spacing w:before="0" w:after="0"/>
        <w:ind w:firstLine="0" w:firstLineChars="0"/>
        <w:jc w:val="both"/>
        <w:outlineLvl w:val="9"/>
        <w:rPr>
          <w:rFonts w:hint="eastAsia" w:ascii="宋体" w:hAnsi="宋体" w:eastAsia="宋体" w:cs="宋体"/>
          <w:color w:val="000000" w:themeColor="text1"/>
          <w:sz w:val="28"/>
          <w:szCs w:val="28"/>
          <w:highlight w:val="none"/>
          <w14:textFill>
            <w14:solidFill>
              <w14:schemeClr w14:val="tx1"/>
            </w14:solidFill>
          </w14:textFill>
        </w:rPr>
      </w:pPr>
    </w:p>
    <w:p w14:paraId="7A83E124">
      <w:pPr>
        <w:pStyle w:val="107"/>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注：请各投标人参照招标文件严格按以下要求认真填写偏离表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格式可更详细，自行调整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3091B272">
      <w:pPr>
        <w:pStyle w:val="107"/>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1.投标人应根据投标货物的实际规格，并对照招标文件</w:t>
      </w:r>
      <w:r>
        <w:rPr>
          <w:rFonts w:hint="eastAsia" w:ascii="宋体" w:hAnsi="宋体" w:cs="宋体"/>
          <w:color w:val="000000" w:themeColor="text1"/>
          <w:sz w:val="24"/>
          <w:highlight w:val="none"/>
          <w:lang w:eastAsia="zh-CN"/>
          <w14:textFill>
            <w14:solidFill>
              <w14:schemeClr w14:val="tx1"/>
            </w14:solidFill>
          </w14:textFill>
        </w:rPr>
        <w:t>中采购需求内容</w:t>
      </w:r>
      <w:r>
        <w:rPr>
          <w:rFonts w:hint="eastAsia" w:ascii="宋体" w:hAnsi="宋体" w:cs="宋体"/>
          <w:color w:val="000000" w:themeColor="text1"/>
          <w:sz w:val="24"/>
          <w:highlight w:val="none"/>
          <w14:textFill>
            <w14:solidFill>
              <w14:schemeClr w14:val="tx1"/>
            </w14:solidFill>
          </w14:textFill>
        </w:rPr>
        <w:t>要求，对确实存在投标规格要求与招标文件要求有偏离的情况，应真实、认真的填写本表。“招标文件要求</w:t>
      </w:r>
      <w:r>
        <w:rPr>
          <w:rFonts w:hint="eastAsia" w:ascii="宋体" w:hAnsi="宋体" w:cs="宋体"/>
          <w:color w:val="000000" w:themeColor="text1"/>
          <w:sz w:val="24"/>
          <w:highlight w:val="none"/>
          <w:lang w:eastAsia="zh-CN"/>
          <w14:textFill>
            <w14:solidFill>
              <w14:schemeClr w14:val="tx1"/>
            </w14:solidFill>
          </w14:textFill>
        </w:rPr>
        <w:t>的规格参数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投标产品详细规格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w:t>
      </w:r>
      <w:r>
        <w:rPr>
          <w:rFonts w:hint="eastAsia" w:ascii="宋体" w:hAnsi="宋体" w:cs="宋体"/>
          <w:color w:val="000000" w:themeColor="text1"/>
          <w:sz w:val="24"/>
          <w:highlight w:val="none"/>
          <w:lang w:eastAsia="zh-CN"/>
          <w14:textFill>
            <w14:solidFill>
              <w14:schemeClr w14:val="tx1"/>
            </w14:solidFill>
          </w14:textFill>
        </w:rPr>
        <w:t>提供的相应证明材料的页码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“偏离情况”栏注明此项偏离为“正偏离”或“负偏离”</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无偏离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偏离说明是指对招标文件要求存在不同之处的解释说明。偏离系指：正偏离（高于采购需求）、负偏离（低于采购需求）、无偏离（满足采购需求）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投标人应任何原因漏写或缺项或填写不正确的，后果由投标人自行承担</w:t>
      </w:r>
      <w:r>
        <w:rPr>
          <w:rFonts w:hint="eastAsia" w:ascii="宋体" w:hAnsi="宋体" w:cs="宋体"/>
          <w:color w:val="000000" w:themeColor="text1"/>
          <w:sz w:val="24"/>
          <w:highlight w:val="none"/>
          <w:lang w:eastAsia="zh-CN"/>
          <w14:textFill>
            <w14:solidFill>
              <w14:schemeClr w14:val="tx1"/>
            </w14:solidFill>
          </w14:textFill>
        </w:rPr>
        <w:t>。</w:t>
      </w:r>
    </w:p>
    <w:p w14:paraId="5A002202">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技术指标若有要求供应商提供相应佐证材料的，供应商未提供相应佐证材料或者供应商的响应承诺与其佐证材料不一致</w:t>
      </w:r>
      <w:r>
        <w:rPr>
          <w:rFonts w:hint="eastAsia" w:ascii="宋体" w:hAnsi="宋体" w:cs="宋体"/>
          <w:color w:val="000000" w:themeColor="text1"/>
          <w:sz w:val="24"/>
          <w:highlight w:val="none"/>
          <w:lang w:eastAsia="zh-CN"/>
          <w14:textFill>
            <w14:solidFill>
              <w14:schemeClr w14:val="tx1"/>
            </w14:solidFill>
          </w14:textFill>
        </w:rPr>
        <w:t>且于招标文件要求不符的</w:t>
      </w:r>
      <w:r>
        <w:rPr>
          <w:rFonts w:hint="eastAsia" w:ascii="宋体" w:hAnsi="宋体" w:cs="宋体"/>
          <w:color w:val="000000" w:themeColor="text1"/>
          <w:sz w:val="24"/>
          <w:highlight w:val="none"/>
          <w14:textFill>
            <w14:solidFill>
              <w14:schemeClr w14:val="tx1"/>
            </w14:solidFill>
          </w14:textFill>
        </w:rPr>
        <w:t>，评审小组会将以不利于供应商的内容为准进行评审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真实填写本表，并对其真实性负责。</w:t>
      </w:r>
    </w:p>
    <w:p w14:paraId="5C28E50D">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投标人注明的偏离情况只作为评审专家评定的参考，最终是否构成偏离或实质性偏离情况应由评标委员会决定。</w:t>
      </w:r>
    </w:p>
    <w:p w14:paraId="123F160D">
      <w:pPr>
        <w:pStyle w:val="10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.投标规格的实际偏离情况以评标委员会综合评价为准，</w:t>
      </w:r>
      <w:r>
        <w:rPr>
          <w:rFonts w:hint="eastAsia" w:ascii="宋体" w:hAnsi="宋体" w:eastAsia="宋体" w:cs="宋体"/>
          <w:bCs/>
          <w:color w:val="000000" w:themeColor="text1"/>
          <w:sz w:val="24"/>
          <w:highlight w:val="none"/>
          <w14:textFill>
            <w14:solidFill>
              <w14:schemeClr w14:val="tx1"/>
            </w14:solidFill>
          </w14:textFill>
        </w:rPr>
        <w:t>解释权属</w:t>
      </w:r>
      <w:r>
        <w:rPr>
          <w:rFonts w:hint="eastAsia" w:ascii="宋体" w:hAnsi="宋体" w:eastAsia="宋体" w:cs="宋体"/>
          <w:color w:val="000000" w:themeColor="text1"/>
          <w:sz w:val="24"/>
          <w:highlight w:val="none"/>
          <w14:textFill>
            <w14:solidFill>
              <w14:schemeClr w14:val="tx1"/>
            </w14:solidFill>
          </w14:textFill>
        </w:rPr>
        <w:t>评标委员会。</w:t>
      </w:r>
    </w:p>
    <w:p w14:paraId="5D290BD3">
      <w:pPr>
        <w:pStyle w:val="20"/>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3FC0C510">
      <w:pPr>
        <w:pStyle w:val="89"/>
        <w:wordWrap w:val="0"/>
        <w:spacing w:line="360" w:lineRule="auto"/>
        <w:ind w:firstLine="480"/>
        <w:jc w:val="righ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672C2220">
      <w:pPr>
        <w:pStyle w:val="89"/>
        <w:wordWrap w:val="0"/>
        <w:spacing w:line="360" w:lineRule="auto"/>
        <w:ind w:firstLine="480"/>
        <w:jc w:val="righ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194390D6">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76CCFAA7">
      <w:pPr>
        <w:pStyle w:val="89"/>
        <w:wordWrap w:val="0"/>
        <w:spacing w:line="360" w:lineRule="auto"/>
        <w:ind w:firstLine="480"/>
        <w:jc w:val="center"/>
        <w:rPr>
          <w:rFonts w:ascii="宋体" w:hAnsi="宋体" w:cs="宋体"/>
          <w:b/>
          <w:color w:val="000000" w:themeColor="text1"/>
          <w:sz w:val="32"/>
          <w:szCs w:val="32"/>
          <w:highlight w:val="none"/>
          <w14:textFill>
            <w14:solidFill>
              <w14:schemeClr w14:val="tx1"/>
            </w14:solidFill>
          </w14:textFill>
        </w:rPr>
      </w:pPr>
    </w:p>
    <w:p w14:paraId="1EFC9351">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.按照评分办法跟采购需求</w:t>
      </w:r>
      <w:r>
        <w:rPr>
          <w:rFonts w:hint="eastAsia" w:ascii="宋体" w:hAnsi="宋体" w:cs="宋体"/>
          <w:b/>
          <w:color w:val="000000" w:themeColor="text1"/>
          <w:sz w:val="28"/>
          <w:szCs w:val="28"/>
          <w:highlight w:val="none"/>
          <w:lang w:eastAsia="zh-CN"/>
          <w14:textFill>
            <w14:solidFill>
              <w14:schemeClr w14:val="tx1"/>
            </w14:solidFill>
          </w14:textFill>
        </w:rPr>
        <w:t>内容</w:t>
      </w:r>
      <w:r>
        <w:rPr>
          <w:rFonts w:hint="eastAsia" w:ascii="宋体" w:hAnsi="宋体" w:cs="宋体"/>
          <w:b/>
          <w:color w:val="000000" w:themeColor="text1"/>
          <w:sz w:val="28"/>
          <w:szCs w:val="28"/>
          <w:highlight w:val="none"/>
          <w14:textFill>
            <w14:solidFill>
              <w14:schemeClr w14:val="tx1"/>
            </w14:solidFill>
          </w14:textFill>
        </w:rPr>
        <w:t>进行编制综合阐述。</w:t>
      </w:r>
    </w:p>
    <w:bookmarkEnd w:id="166"/>
    <w:bookmarkEnd w:id="167"/>
    <w:p w14:paraId="48A82E6A">
      <w:pPr>
        <w:spacing w:line="360" w:lineRule="auto"/>
        <w:rPr>
          <w:rFonts w:ascii="宋体" w:hAnsi="宋体" w:cs="宋体"/>
          <w:b/>
          <w:color w:val="000000" w:themeColor="text1"/>
          <w:kern w:val="0"/>
          <w:sz w:val="32"/>
          <w:szCs w:val="32"/>
          <w:highlight w:val="none"/>
          <w14:textFill>
            <w14:solidFill>
              <w14:schemeClr w14:val="tx1"/>
            </w14:solidFill>
          </w14:textFill>
        </w:rPr>
      </w:pPr>
      <w:bookmarkStart w:id="172" w:name="_Toc531359062"/>
      <w:bookmarkStart w:id="173" w:name="_Toc530551891"/>
      <w:bookmarkStart w:id="174" w:name="_Toc493956067"/>
      <w:bookmarkStart w:id="175" w:name="_Toc34985817"/>
    </w:p>
    <w:bookmarkEnd w:id="172"/>
    <w:bookmarkEnd w:id="173"/>
    <w:bookmarkEnd w:id="174"/>
    <w:bookmarkEnd w:id="175"/>
    <w:p w14:paraId="7896AEBE">
      <w:pPr>
        <w:pStyle w:val="89"/>
        <w:wordWrap w:val="0"/>
        <w:spacing w:line="360" w:lineRule="auto"/>
        <w:ind w:firstLine="480"/>
        <w:jc w:val="center"/>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7588E65F">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06BAACA6">
      <w:pPr>
        <w:pStyle w:val="89"/>
        <w:wordWrap w:val="0"/>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2810D949">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658FD18F">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5D6F7B4B">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.投标人认为有必要提供</w:t>
      </w:r>
      <w:r>
        <w:rPr>
          <w:rFonts w:hint="eastAsia" w:ascii="宋体" w:hAnsi="宋体" w:cs="宋体"/>
          <w:b/>
          <w:bCs/>
          <w:color w:val="000000" w:themeColor="text1"/>
          <w:sz w:val="28"/>
          <w:szCs w:val="28"/>
          <w:highlight w:val="none"/>
          <w14:textFill>
            <w14:solidFill>
              <w14:schemeClr w14:val="tx1"/>
            </w14:solidFill>
          </w14:textFill>
        </w:rPr>
        <w:t>和</w:t>
      </w:r>
      <w:r>
        <w:rPr>
          <w:rFonts w:hint="eastAsia" w:ascii="宋体" w:hAnsi="宋体" w:cs="宋体"/>
          <w:b/>
          <w:color w:val="000000" w:themeColor="text1"/>
          <w:sz w:val="28"/>
          <w:szCs w:val="28"/>
          <w:highlight w:val="none"/>
          <w14:textFill>
            <w14:solidFill>
              <w14:schemeClr w14:val="tx1"/>
            </w14:solidFill>
          </w14:textFill>
        </w:rPr>
        <w:t>评分办法中要求提供的其他资料。</w:t>
      </w:r>
    </w:p>
    <w:p w14:paraId="1C9117FE">
      <w:pPr>
        <w:pStyle w:val="89"/>
        <w:wordWrap w:val="0"/>
        <w:spacing w:line="360" w:lineRule="auto"/>
        <w:ind w:firstLine="3654" w:firstLineChars="13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（不得出现报价）</w:t>
      </w:r>
    </w:p>
    <w:p w14:paraId="53CC6D5F">
      <w:pPr>
        <w:pStyle w:val="89"/>
        <w:wordWrap w:val="0"/>
        <w:spacing w:line="360" w:lineRule="auto"/>
        <w:ind w:firstLine="4698" w:firstLineChars="1300"/>
        <w:rPr>
          <w:rFonts w:ascii="宋体" w:hAnsi="宋体" w:cs="宋体"/>
          <w:b/>
          <w:color w:val="000000" w:themeColor="text1"/>
          <w:sz w:val="36"/>
          <w:szCs w:val="36"/>
          <w:highlight w:val="none"/>
          <w14:textFill>
            <w14:solidFill>
              <w14:schemeClr w14:val="tx1"/>
            </w14:solidFill>
          </w14:textFill>
        </w:rPr>
      </w:pPr>
    </w:p>
    <w:p w14:paraId="2B4304D2">
      <w:pPr>
        <w:pStyle w:val="89"/>
        <w:wordWrap w:val="0"/>
        <w:spacing w:line="360" w:lineRule="auto"/>
        <w:ind w:firstLine="6380" w:firstLineChars="2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664635D9">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5076FD30">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7C49E162">
      <w:pPr>
        <w:spacing w:line="360" w:lineRule="auto"/>
        <w:ind w:left="1134" w:leftChars="540" w:firstLine="2400" w:firstLineChars="750"/>
        <w:rPr>
          <w:rFonts w:ascii="宋体" w:hAnsi="宋体" w:cs="宋体"/>
          <w:color w:val="000000" w:themeColor="text1"/>
          <w:sz w:val="32"/>
          <w:szCs w:val="28"/>
          <w:highlight w:val="none"/>
          <w14:textFill>
            <w14:solidFill>
              <w14:schemeClr w14:val="tx1"/>
            </w14:solidFill>
          </w14:textFill>
        </w:rPr>
      </w:pPr>
    </w:p>
    <w:bookmarkEnd w:id="165"/>
    <w:p w14:paraId="37ED2734">
      <w:pPr>
        <w:pStyle w:val="5"/>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176" w:name="_Toc69635465"/>
      <w:bookmarkStart w:id="177" w:name="_Toc27986"/>
      <w:r>
        <w:rPr>
          <w:rFonts w:hint="eastAsia" w:ascii="宋体" w:hAnsi="宋体" w:eastAsia="宋体" w:cs="宋体"/>
          <w:color w:val="000000" w:themeColor="text1"/>
          <w:sz w:val="32"/>
          <w:szCs w:val="21"/>
          <w:highlight w:val="none"/>
          <w14:textFill>
            <w14:solidFill>
              <w14:schemeClr w14:val="tx1"/>
            </w14:solidFill>
          </w14:textFill>
        </w:rPr>
        <w:t>三   报价文件格式</w:t>
      </w:r>
      <w:bookmarkEnd w:id="176"/>
      <w:bookmarkEnd w:id="177"/>
    </w:p>
    <w:p w14:paraId="21BAA042">
      <w:pPr>
        <w:pStyle w:val="4"/>
        <w:rPr>
          <w:rFonts w:ascii="宋体" w:hAnsi="宋体" w:cs="宋体"/>
          <w:color w:val="000000" w:themeColor="text1"/>
          <w:sz w:val="22"/>
          <w:szCs w:val="21"/>
          <w:highlight w:val="none"/>
          <w14:textFill>
            <w14:solidFill>
              <w14:schemeClr w14:val="tx1"/>
            </w14:solidFill>
          </w14:textFill>
        </w:rPr>
      </w:pPr>
    </w:p>
    <w:p w14:paraId="66671232">
      <w:pPr>
        <w:pStyle w:val="4"/>
        <w:rPr>
          <w:rFonts w:ascii="宋体" w:hAnsi="宋体" w:cs="宋体"/>
          <w:color w:val="000000" w:themeColor="text1"/>
          <w:sz w:val="22"/>
          <w:szCs w:val="21"/>
          <w:highlight w:val="none"/>
          <w14:textFill>
            <w14:solidFill>
              <w14:schemeClr w14:val="tx1"/>
            </w14:solidFill>
          </w14:textFill>
        </w:rPr>
      </w:pPr>
    </w:p>
    <w:p w14:paraId="6F651F11">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报价文件封面</w:t>
      </w:r>
    </w:p>
    <w:p w14:paraId="60A9F149">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2B710470">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3D80C143">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028D9B58">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53B9A5B0">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5B2A2CCD">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5AC71A53">
      <w:pPr>
        <w:pStyle w:val="9"/>
        <w:rPr>
          <w:rFonts w:ascii="宋体" w:hAnsi="宋体" w:cs="宋体"/>
          <w:color w:val="000000" w:themeColor="text1"/>
          <w:sz w:val="32"/>
          <w:szCs w:val="21"/>
          <w:highlight w:val="none"/>
          <w14:textFill>
            <w14:solidFill>
              <w14:schemeClr w14:val="tx1"/>
            </w14:solidFill>
          </w14:textFill>
        </w:rPr>
      </w:pPr>
    </w:p>
    <w:p w14:paraId="40B15A4C">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27A164D0">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报价文件</w:t>
      </w:r>
    </w:p>
    <w:p w14:paraId="2C9793CE">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5D772D1B">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13421093">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73A9FF0D">
      <w:pPr>
        <w:pStyle w:val="4"/>
        <w:ind w:firstLine="1497" w:firstLineChars="416"/>
        <w:rPr>
          <w:rFonts w:ascii="宋体" w:hAnsi="宋体" w:cs="宋体"/>
          <w:color w:val="000000" w:themeColor="text1"/>
          <w:sz w:val="36"/>
          <w:szCs w:val="36"/>
          <w:highlight w:val="none"/>
          <w14:textFill>
            <w14:solidFill>
              <w14:schemeClr w14:val="tx1"/>
            </w14:solidFill>
          </w14:textFill>
        </w:rPr>
      </w:pPr>
    </w:p>
    <w:p w14:paraId="0F02EA3B">
      <w:pPr>
        <w:pStyle w:val="4"/>
        <w:ind w:firstLine="0"/>
        <w:rPr>
          <w:rFonts w:ascii="宋体" w:hAnsi="宋体" w:cs="宋体"/>
          <w:color w:val="000000" w:themeColor="text1"/>
          <w:sz w:val="36"/>
          <w:szCs w:val="36"/>
          <w:highlight w:val="none"/>
          <w14:textFill>
            <w14:solidFill>
              <w14:schemeClr w14:val="tx1"/>
            </w14:solidFill>
          </w14:textFill>
        </w:rPr>
      </w:pPr>
    </w:p>
    <w:p w14:paraId="54EB907B">
      <w:pPr>
        <w:pStyle w:val="4"/>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44BB1E4C">
      <w:pPr>
        <w:spacing w:line="360" w:lineRule="auto"/>
        <w:jc w:val="center"/>
        <w:rPr>
          <w:rFonts w:ascii="宋体" w:hAnsi="宋体" w:cs="宋体"/>
          <w:color w:val="000000" w:themeColor="text1"/>
          <w:sz w:val="32"/>
          <w:szCs w:val="28"/>
          <w:highlight w:val="none"/>
          <w14:textFill>
            <w14:solidFill>
              <w14:schemeClr w14:val="tx1"/>
            </w14:solidFill>
          </w14:textFill>
        </w:rPr>
      </w:pPr>
    </w:p>
    <w:p w14:paraId="671E6BDE">
      <w:pPr>
        <w:spacing w:line="360" w:lineRule="auto"/>
        <w:jc w:val="center"/>
        <w:rPr>
          <w:rFonts w:ascii="宋体" w:hAnsi="宋体" w:cs="宋体"/>
          <w:color w:val="000000" w:themeColor="text1"/>
          <w:sz w:val="32"/>
          <w:szCs w:val="28"/>
          <w:highlight w:val="none"/>
          <w14:textFill>
            <w14:solidFill>
              <w14:schemeClr w14:val="tx1"/>
            </w14:solidFill>
          </w14:textFill>
        </w:rPr>
      </w:pPr>
    </w:p>
    <w:p w14:paraId="3EF5DD7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1.报价书（开标一览表）</w:t>
      </w:r>
    </w:p>
    <w:p w14:paraId="41993445">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14:paraId="1E6CBFD3">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14:paraId="76D822C6">
      <w:pPr>
        <w:spacing w:line="440" w:lineRule="exact"/>
        <w:ind w:firstLine="5180" w:firstLineChars="18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14:paraId="4498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14:paraId="6DA84047">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77" w:type="dxa"/>
            <w:vAlign w:val="center"/>
          </w:tcPr>
          <w:p w14:paraId="78C93AF0">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3210" w:type="dxa"/>
            <w:vAlign w:val="center"/>
          </w:tcPr>
          <w:p w14:paraId="5EC439A7">
            <w:pPr>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投标报价（元）</w:t>
            </w:r>
          </w:p>
        </w:tc>
        <w:tc>
          <w:tcPr>
            <w:tcW w:w="1305" w:type="dxa"/>
            <w:vAlign w:val="center"/>
          </w:tcPr>
          <w:p w14:paraId="12DC072E">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B0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14:paraId="23CE2F8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77" w:type="dxa"/>
            <w:vAlign w:val="center"/>
          </w:tcPr>
          <w:p w14:paraId="2CFDD92B">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cs="宋体"/>
                <w:color w:val="000000" w:themeColor="text1"/>
                <w:sz w:val="24"/>
                <w:highlight w:val="none"/>
                <w:lang w:eastAsia="zh-CN"/>
                <w14:textFill>
                  <w14:solidFill>
                    <w14:schemeClr w14:val="tx1"/>
                  </w14:solidFill>
                </w14:textFill>
              </w:rPr>
              <w:t> </w:t>
            </w:r>
          </w:p>
        </w:tc>
        <w:tc>
          <w:tcPr>
            <w:tcW w:w="3210" w:type="dxa"/>
            <w:vAlign w:val="center"/>
          </w:tcPr>
          <w:p w14:paraId="6F945E72">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306FA8DF">
            <w:pPr>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c>
          <w:tcPr>
            <w:tcW w:w="1305" w:type="dxa"/>
            <w:vAlign w:val="center"/>
          </w:tcPr>
          <w:p w14:paraId="6C2D5B3C">
            <w:pPr>
              <w:rPr>
                <w:rFonts w:ascii="宋体" w:hAnsi="宋体" w:cs="宋体"/>
                <w:color w:val="000000" w:themeColor="text1"/>
                <w:sz w:val="24"/>
                <w:highlight w:val="none"/>
                <w14:textFill>
                  <w14:solidFill>
                    <w14:schemeClr w14:val="tx1"/>
                  </w14:solidFill>
                </w14:textFill>
              </w:rPr>
            </w:pPr>
          </w:p>
        </w:tc>
      </w:tr>
    </w:tbl>
    <w:p w14:paraId="4B8CFC65">
      <w:pPr>
        <w:spacing w:line="360" w:lineRule="auto"/>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D10DADB">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w:t>
      </w:r>
      <w:r>
        <w:rPr>
          <w:rFonts w:hint="eastAsia" w:ascii="宋体" w:hAnsi="宋体" w:eastAsia="宋体" w:cs="宋体"/>
          <w:color w:val="000000" w:themeColor="text1"/>
          <w:sz w:val="24"/>
          <w:highlight w:val="none"/>
          <w:lang w:val="en-US" w:eastAsia="zh-CN"/>
          <w14:textFill>
            <w14:solidFill>
              <w14:schemeClr w14:val="tx1"/>
            </w14:solidFill>
          </w14:textFill>
        </w:rPr>
        <w:t>入其中的费用，均视为已包含在内，风险由投标人承担。</w:t>
      </w:r>
    </w:p>
    <w:p w14:paraId="79D80E4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投标人不接受有选择报价及优惠前报价，请投标人直接填报优惠后的报价。</w:t>
      </w:r>
    </w:p>
    <w:p w14:paraId="2ABEAF39">
      <w:pPr>
        <w:spacing w:line="440" w:lineRule="exact"/>
        <w:ind w:firstLine="240" w:firstLineChars="100"/>
        <w:rPr>
          <w:rFonts w:ascii="宋体" w:hAnsi="宋体" w:cs="宋体"/>
          <w:color w:val="000000" w:themeColor="text1"/>
          <w:sz w:val="24"/>
          <w:highlight w:val="none"/>
          <w14:textFill>
            <w14:solidFill>
              <w14:schemeClr w14:val="tx1"/>
            </w14:solidFill>
          </w14:textFill>
        </w:rPr>
      </w:pPr>
    </w:p>
    <w:p w14:paraId="6FB4B2F7">
      <w:pPr>
        <w:ind w:right="120" w:firstLine="2240" w:firstLineChars="800"/>
        <w:jc w:val="right"/>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133D241E">
      <w:pPr>
        <w:rPr>
          <w:rFonts w:ascii="宋体" w:hAnsi="宋体" w:cs="宋体"/>
          <w:color w:val="000000" w:themeColor="text1"/>
          <w:spacing w:val="20"/>
          <w:sz w:val="24"/>
          <w:highlight w:val="none"/>
          <w:u w:val="single" w:color="000000"/>
          <w14:textFill>
            <w14:solidFill>
              <w14:schemeClr w14:val="tx1"/>
            </w14:solidFill>
          </w14:textFill>
        </w:rPr>
      </w:pPr>
    </w:p>
    <w:p w14:paraId="230161C0">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7FFC52DF">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05399606">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14:paraId="186F76AC">
      <w:pPr>
        <w:spacing w:line="460" w:lineRule="exact"/>
        <w:ind w:firstLine="275" w:firstLineChars="98"/>
        <w:textAlignment w:val="baseline"/>
        <w:rPr>
          <w:rFonts w:ascii="宋体" w:hAnsi="宋体" w:cs="宋体"/>
          <w:b/>
          <w:color w:val="000000" w:themeColor="text1"/>
          <w:spacing w:val="20"/>
          <w:sz w:val="24"/>
          <w:highlight w:val="none"/>
          <w14:textFill>
            <w14:solidFill>
              <w14:schemeClr w14:val="tx1"/>
            </w14:solidFill>
          </w14:textFill>
        </w:rPr>
      </w:pPr>
    </w:p>
    <w:p w14:paraId="24C0F5D6">
      <w:pPr>
        <w:spacing w:line="360" w:lineRule="auto"/>
        <w:ind w:firstLine="480"/>
        <w:rPr>
          <w:rFonts w:ascii="宋体" w:hAnsi="宋体" w:cs="宋体"/>
          <w:b/>
          <w:color w:val="000000" w:themeColor="text1"/>
          <w:spacing w:val="20"/>
          <w:sz w:val="28"/>
          <w:szCs w:val="28"/>
          <w:highlight w:val="none"/>
          <w14:textFill>
            <w14:solidFill>
              <w14:schemeClr w14:val="tx1"/>
            </w14:solidFill>
          </w14:textFill>
        </w:rPr>
      </w:pPr>
    </w:p>
    <w:p w14:paraId="5641876C">
      <w:pPr>
        <w:rPr>
          <w:rFonts w:ascii="宋体" w:hAnsi="宋体" w:cs="宋体"/>
          <w:iCs/>
          <w:color w:val="000000" w:themeColor="text1"/>
          <w:spacing w:val="20"/>
          <w:sz w:val="22"/>
          <w:szCs w:val="22"/>
          <w:highlight w:val="none"/>
          <w14:textFill>
            <w14:solidFill>
              <w14:schemeClr w14:val="tx1"/>
            </w14:solidFill>
          </w14:textFill>
        </w:rPr>
      </w:pPr>
      <w:r>
        <w:rPr>
          <w:rFonts w:hint="eastAsia" w:ascii="宋体" w:hAnsi="宋体" w:cs="宋体"/>
          <w:iCs/>
          <w:color w:val="000000" w:themeColor="text1"/>
          <w:spacing w:val="20"/>
          <w:sz w:val="22"/>
          <w:szCs w:val="22"/>
          <w:highlight w:val="none"/>
          <w14:textFill>
            <w14:solidFill>
              <w14:schemeClr w14:val="tx1"/>
            </w14:solidFill>
          </w14:textFill>
        </w:rPr>
        <w:br w:type="page"/>
      </w:r>
    </w:p>
    <w:p w14:paraId="10221862">
      <w:pPr>
        <w:numPr>
          <w:ilvl w:val="0"/>
          <w:numId w:val="4"/>
        </w:numPr>
        <w:spacing w:line="360" w:lineRule="auto"/>
        <w:jc w:val="center"/>
        <w:rPr>
          <w:rFonts w:hint="eastAsia" w:ascii="宋体" w:hAnsi="宋体" w:cs="宋体"/>
          <w:b/>
          <w:bCs/>
          <w:iCs/>
          <w:color w:val="000000" w:themeColor="text1"/>
          <w:spacing w:val="20"/>
          <w:sz w:val="28"/>
          <w:szCs w:val="28"/>
          <w:highlight w:val="none"/>
          <w14:textFill>
            <w14:solidFill>
              <w14:schemeClr w14:val="tx1"/>
            </w14:solidFill>
          </w14:textFill>
        </w:rPr>
      </w:pPr>
      <w:r>
        <w:rPr>
          <w:rFonts w:hint="eastAsia" w:ascii="宋体" w:hAnsi="宋体" w:cs="宋体"/>
          <w:b/>
          <w:bCs/>
          <w:iCs/>
          <w:color w:val="000000" w:themeColor="text1"/>
          <w:spacing w:val="20"/>
          <w:sz w:val="28"/>
          <w:szCs w:val="28"/>
          <w:highlight w:val="none"/>
          <w14:textFill>
            <w14:solidFill>
              <w14:schemeClr w14:val="tx1"/>
            </w14:solidFill>
          </w14:textFill>
        </w:rPr>
        <w:t>分项报价表</w:t>
      </w:r>
    </w:p>
    <w:p w14:paraId="421DA8C2">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14:paraId="2CD2E569">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14:paraId="74A762D9">
      <w:pPr>
        <w:spacing w:line="440" w:lineRule="exact"/>
        <w:ind w:firstLine="6300" w:firstLineChars="2250"/>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47"/>
        <w:gridCol w:w="1482"/>
        <w:gridCol w:w="1891"/>
        <w:gridCol w:w="1199"/>
        <w:gridCol w:w="1373"/>
        <w:gridCol w:w="1375"/>
      </w:tblGrid>
      <w:tr w14:paraId="53C7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4694A21D">
            <w:pPr>
              <w:jc w:val="center"/>
              <w:rPr>
                <w:rFonts w:hint="eastAsia" w:ascii="宋体" w:hAnsi="宋体" w:eastAsia="宋体" w:cs="宋体"/>
                <w:spacing w:val="20"/>
                <w:sz w:val="24"/>
              </w:rPr>
            </w:pPr>
            <w:r>
              <w:rPr>
                <w:rFonts w:hint="eastAsia" w:ascii="宋体" w:hAnsi="宋体" w:eastAsia="宋体" w:cs="宋体"/>
                <w:spacing w:val="20"/>
                <w:sz w:val="24"/>
              </w:rPr>
              <w:t>序号</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8A11B43">
            <w:pPr>
              <w:jc w:val="center"/>
              <w:rPr>
                <w:rFonts w:hint="eastAsia" w:ascii="宋体" w:hAnsi="宋体" w:eastAsia="宋体" w:cs="宋体"/>
                <w:spacing w:val="20"/>
                <w:sz w:val="24"/>
                <w:lang w:eastAsia="zh-CN"/>
              </w:rPr>
            </w:pPr>
            <w:r>
              <w:rPr>
                <w:rFonts w:hint="eastAsia" w:ascii="宋体" w:hAnsi="宋体" w:eastAsia="宋体" w:cs="宋体"/>
                <w:spacing w:val="20"/>
                <w:sz w:val="24"/>
              </w:rPr>
              <w:t>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5E73116">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品牌、</w:t>
            </w:r>
            <w:r>
              <w:rPr>
                <w:rFonts w:hint="eastAsia" w:ascii="宋体" w:hAnsi="宋体" w:eastAsia="宋体" w:cs="宋体"/>
                <w:spacing w:val="20"/>
                <w:sz w:val="24"/>
              </w:rPr>
              <w:t>技术参数、配置</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A2E1026">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3236C">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数量</w:t>
            </w:r>
          </w:p>
        </w:tc>
        <w:tc>
          <w:tcPr>
            <w:tcW w:w="689" w:type="pct"/>
            <w:tcBorders>
              <w:top w:val="single" w:color="auto" w:sz="4" w:space="0"/>
              <w:left w:val="single" w:color="auto" w:sz="4" w:space="0"/>
              <w:bottom w:val="single" w:color="auto" w:sz="4" w:space="0"/>
              <w:right w:val="single" w:color="auto" w:sz="4" w:space="0"/>
            </w:tcBorders>
            <w:noWrap w:val="0"/>
            <w:vAlign w:val="center"/>
          </w:tcPr>
          <w:p w14:paraId="7D4ABD57">
            <w:pPr>
              <w:jc w:val="center"/>
              <w:rPr>
                <w:rFonts w:hint="eastAsia" w:ascii="宋体" w:hAnsi="宋体" w:eastAsia="宋体" w:cs="宋体"/>
                <w:spacing w:val="20"/>
                <w:sz w:val="24"/>
              </w:rPr>
            </w:pPr>
            <w:r>
              <w:rPr>
                <w:rFonts w:hint="eastAsia" w:ascii="宋体" w:hAnsi="宋体" w:eastAsia="宋体" w:cs="宋体"/>
                <w:spacing w:val="20"/>
                <w:sz w:val="24"/>
              </w:rPr>
              <w:t>单价（元）</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01EF77C4">
            <w:pPr>
              <w:jc w:val="center"/>
              <w:rPr>
                <w:rFonts w:hint="eastAsia" w:ascii="宋体" w:hAnsi="宋体" w:eastAsia="宋体" w:cs="宋体"/>
                <w:spacing w:val="20"/>
                <w:sz w:val="24"/>
              </w:rPr>
            </w:pPr>
            <w:r>
              <w:rPr>
                <w:rFonts w:hint="eastAsia" w:ascii="宋体" w:hAnsi="宋体" w:eastAsia="宋体" w:cs="宋体"/>
                <w:spacing w:val="20"/>
                <w:sz w:val="24"/>
              </w:rPr>
              <w:t>合计（元）</w:t>
            </w:r>
          </w:p>
        </w:tc>
      </w:tr>
      <w:tr w14:paraId="38F2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right w:val="single" w:color="auto" w:sz="4" w:space="0"/>
            </w:tcBorders>
            <w:noWrap w:val="0"/>
            <w:vAlign w:val="center"/>
          </w:tcPr>
          <w:p w14:paraId="5E15B03E">
            <w:pPr>
              <w:jc w:val="center"/>
              <w:rPr>
                <w:rFonts w:hint="eastAsia" w:ascii="宋体" w:hAnsi="宋体" w:eastAsia="宋体" w:cs="宋体"/>
                <w:spacing w:val="20"/>
                <w:sz w:val="24"/>
              </w:rPr>
            </w:pPr>
          </w:p>
        </w:tc>
        <w:tc>
          <w:tcPr>
            <w:tcW w:w="877" w:type="pct"/>
            <w:tcBorders>
              <w:top w:val="single" w:color="auto" w:sz="4" w:space="0"/>
              <w:left w:val="single" w:color="auto" w:sz="4" w:space="0"/>
              <w:right w:val="single" w:color="auto" w:sz="4" w:space="0"/>
            </w:tcBorders>
            <w:noWrap w:val="0"/>
            <w:vAlign w:val="center"/>
          </w:tcPr>
          <w:p w14:paraId="5A8467E1">
            <w:pPr>
              <w:jc w:val="center"/>
              <w:rPr>
                <w:rFonts w:hint="eastAsia" w:ascii="宋体" w:hAnsi="宋体" w:eastAsia="宋体" w:cs="宋体"/>
                <w:spacing w:val="20"/>
                <w:sz w:val="24"/>
              </w:rPr>
            </w:pPr>
          </w:p>
        </w:tc>
        <w:tc>
          <w:tcPr>
            <w:tcW w:w="744" w:type="pct"/>
            <w:tcBorders>
              <w:top w:val="single" w:color="auto" w:sz="4" w:space="0"/>
              <w:left w:val="single" w:color="auto" w:sz="4" w:space="0"/>
              <w:right w:val="single" w:color="auto" w:sz="4" w:space="0"/>
            </w:tcBorders>
            <w:noWrap w:val="0"/>
            <w:vAlign w:val="center"/>
          </w:tcPr>
          <w:p w14:paraId="39B03598">
            <w:pPr>
              <w:jc w:val="center"/>
              <w:rPr>
                <w:rFonts w:hint="eastAsia" w:ascii="宋体" w:hAnsi="宋体" w:eastAsia="宋体" w:cs="宋体"/>
                <w:spacing w:val="20"/>
                <w:sz w:val="24"/>
              </w:rPr>
            </w:pPr>
          </w:p>
        </w:tc>
        <w:tc>
          <w:tcPr>
            <w:tcW w:w="949" w:type="pct"/>
            <w:tcBorders>
              <w:top w:val="single" w:color="auto" w:sz="4" w:space="0"/>
              <w:left w:val="single" w:color="auto" w:sz="4" w:space="0"/>
              <w:right w:val="single" w:color="auto" w:sz="4" w:space="0"/>
            </w:tcBorders>
            <w:noWrap w:val="0"/>
            <w:vAlign w:val="center"/>
          </w:tcPr>
          <w:p w14:paraId="026EC3BC">
            <w:pPr>
              <w:jc w:val="center"/>
              <w:rPr>
                <w:rFonts w:hint="eastAsia" w:ascii="宋体" w:hAnsi="宋体" w:eastAsia="宋体" w:cs="宋体"/>
                <w:spacing w:val="20"/>
                <w:sz w:val="24"/>
              </w:rPr>
            </w:pPr>
          </w:p>
        </w:tc>
        <w:tc>
          <w:tcPr>
            <w:tcW w:w="600" w:type="pct"/>
            <w:tcBorders>
              <w:top w:val="single" w:color="auto" w:sz="4" w:space="0"/>
              <w:left w:val="single" w:color="auto" w:sz="4" w:space="0"/>
              <w:right w:val="single" w:color="auto" w:sz="4" w:space="0"/>
            </w:tcBorders>
            <w:noWrap w:val="0"/>
            <w:vAlign w:val="center"/>
          </w:tcPr>
          <w:p w14:paraId="64708199">
            <w:pPr>
              <w:jc w:val="center"/>
              <w:rPr>
                <w:rFonts w:hint="eastAsia" w:ascii="宋体" w:hAnsi="宋体" w:eastAsia="宋体" w:cs="宋体"/>
                <w:spacing w:val="20"/>
                <w:sz w:val="24"/>
              </w:rPr>
            </w:pPr>
          </w:p>
        </w:tc>
        <w:tc>
          <w:tcPr>
            <w:tcW w:w="689" w:type="pct"/>
            <w:tcBorders>
              <w:top w:val="single" w:color="auto" w:sz="4" w:space="0"/>
              <w:left w:val="single" w:color="auto" w:sz="4" w:space="0"/>
              <w:right w:val="single" w:color="auto" w:sz="4" w:space="0"/>
            </w:tcBorders>
            <w:noWrap w:val="0"/>
            <w:vAlign w:val="center"/>
          </w:tcPr>
          <w:p w14:paraId="0334152C">
            <w:pPr>
              <w:jc w:val="center"/>
              <w:rPr>
                <w:rFonts w:hint="eastAsia" w:ascii="宋体" w:hAnsi="宋体" w:eastAsia="宋体" w:cs="宋体"/>
                <w:sz w:val="24"/>
              </w:rPr>
            </w:pPr>
          </w:p>
        </w:tc>
        <w:tc>
          <w:tcPr>
            <w:tcW w:w="690" w:type="pct"/>
            <w:tcBorders>
              <w:top w:val="single" w:color="auto" w:sz="4" w:space="0"/>
              <w:left w:val="single" w:color="auto" w:sz="4" w:space="0"/>
              <w:right w:val="single" w:color="auto" w:sz="4" w:space="0"/>
            </w:tcBorders>
            <w:noWrap w:val="0"/>
            <w:vAlign w:val="center"/>
          </w:tcPr>
          <w:p w14:paraId="0B3B9B58">
            <w:pPr>
              <w:jc w:val="center"/>
              <w:rPr>
                <w:rFonts w:hint="eastAsia" w:ascii="宋体" w:hAnsi="宋体" w:eastAsia="宋体" w:cs="宋体"/>
                <w:sz w:val="24"/>
              </w:rPr>
            </w:pPr>
          </w:p>
        </w:tc>
      </w:tr>
      <w:tr w14:paraId="5291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68F81932">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0FE46DF6">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6584FE1">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60B8BE5A">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8ED36B1">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437C5C25">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3E4F334">
            <w:pPr>
              <w:jc w:val="center"/>
              <w:rPr>
                <w:rFonts w:hint="eastAsia" w:ascii="宋体" w:hAnsi="宋体" w:eastAsia="宋体" w:cs="宋体"/>
                <w:sz w:val="24"/>
              </w:rPr>
            </w:pPr>
          </w:p>
        </w:tc>
      </w:tr>
      <w:tr w14:paraId="72A8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55765E7F">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757022FC">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39AD368">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4696F53B">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58CFDE7">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05D42081">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2FB1DE2">
            <w:pPr>
              <w:jc w:val="center"/>
              <w:rPr>
                <w:rFonts w:hint="eastAsia" w:ascii="宋体" w:hAnsi="宋体" w:eastAsia="宋体" w:cs="宋体"/>
                <w:sz w:val="24"/>
              </w:rPr>
            </w:pPr>
          </w:p>
        </w:tc>
      </w:tr>
      <w:tr w14:paraId="7814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1D14FB53">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C2B1542">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AE21838">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01CED97C">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AB24310">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20189459">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C8828BD">
            <w:pPr>
              <w:jc w:val="center"/>
              <w:rPr>
                <w:rFonts w:hint="eastAsia" w:ascii="宋体" w:hAnsi="宋体" w:eastAsia="宋体" w:cs="宋体"/>
                <w:sz w:val="24"/>
              </w:rPr>
            </w:pPr>
          </w:p>
        </w:tc>
      </w:tr>
      <w:tr w14:paraId="41D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047DDABA">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598B3F07">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16794F6">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C4E10C1">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CDD137D">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42ECA279">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CACB08B">
            <w:pPr>
              <w:jc w:val="center"/>
              <w:rPr>
                <w:rFonts w:hint="eastAsia" w:ascii="宋体" w:hAnsi="宋体" w:eastAsia="宋体" w:cs="宋体"/>
                <w:sz w:val="24"/>
              </w:rPr>
            </w:pPr>
          </w:p>
        </w:tc>
      </w:tr>
      <w:tr w14:paraId="039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2CE2FC85">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3487C308">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B26FC87">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B8DAD3B">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8CF26BF">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0FA81A1B">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6CACF56E">
            <w:pPr>
              <w:jc w:val="center"/>
              <w:rPr>
                <w:rFonts w:hint="eastAsia" w:ascii="宋体" w:hAnsi="宋体" w:eastAsia="宋体" w:cs="宋体"/>
                <w:sz w:val="24"/>
              </w:rPr>
            </w:pPr>
          </w:p>
        </w:tc>
      </w:tr>
      <w:tr w14:paraId="30B7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3484F7D4">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7111CFF9">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0667A69E">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4BD1EC01">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24B02155">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89" w:type="pct"/>
            <w:tcBorders>
              <w:top w:val="single" w:color="auto" w:sz="4" w:space="0"/>
              <w:left w:val="single" w:color="auto" w:sz="4" w:space="0"/>
              <w:bottom w:val="single" w:color="auto" w:sz="4" w:space="0"/>
              <w:right w:val="single" w:color="auto" w:sz="4" w:space="0"/>
            </w:tcBorders>
            <w:noWrap w:val="0"/>
            <w:vAlign w:val="center"/>
          </w:tcPr>
          <w:p w14:paraId="33890636">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48EF9E50">
            <w:pPr>
              <w:jc w:val="center"/>
              <w:rPr>
                <w:rFonts w:hint="eastAsia" w:ascii="宋体" w:hAnsi="宋体" w:eastAsia="宋体" w:cs="宋体"/>
                <w:sz w:val="24"/>
              </w:rPr>
            </w:pPr>
          </w:p>
        </w:tc>
      </w:tr>
      <w:tr w14:paraId="79B5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620" w:type="pct"/>
            <w:gridSpan w:val="5"/>
            <w:tcBorders>
              <w:top w:val="single" w:color="auto" w:sz="4" w:space="0"/>
              <w:left w:val="single" w:color="auto" w:sz="4" w:space="0"/>
              <w:bottom w:val="single" w:color="auto" w:sz="4" w:space="0"/>
              <w:right w:val="single" w:color="auto" w:sz="4" w:space="0"/>
            </w:tcBorders>
            <w:noWrap w:val="0"/>
            <w:vAlign w:val="center"/>
          </w:tcPr>
          <w:p w14:paraId="699741B0">
            <w:pPr>
              <w:jc w:val="center"/>
              <w:rPr>
                <w:rFonts w:hint="eastAsia" w:ascii="宋体" w:hAnsi="宋体" w:eastAsia="宋体" w:cs="宋体"/>
                <w:sz w:val="24"/>
              </w:rPr>
            </w:pPr>
            <w:r>
              <w:rPr>
                <w:rFonts w:hint="eastAsia" w:ascii="宋体" w:hAnsi="宋体" w:eastAsia="宋体" w:cs="宋体"/>
                <w:sz w:val="24"/>
              </w:rPr>
              <w:t>总价合计（元）</w:t>
            </w:r>
          </w:p>
        </w:tc>
        <w:tc>
          <w:tcPr>
            <w:tcW w:w="1379" w:type="pct"/>
            <w:gridSpan w:val="2"/>
            <w:tcBorders>
              <w:top w:val="single" w:color="auto" w:sz="4" w:space="0"/>
              <w:left w:val="single" w:color="auto" w:sz="4" w:space="0"/>
              <w:bottom w:val="single" w:color="auto" w:sz="4" w:space="0"/>
              <w:right w:val="single" w:color="auto" w:sz="4" w:space="0"/>
            </w:tcBorders>
            <w:noWrap w:val="0"/>
            <w:vAlign w:val="center"/>
          </w:tcPr>
          <w:p w14:paraId="7AB8D47B">
            <w:pPr>
              <w:jc w:val="center"/>
              <w:rPr>
                <w:rFonts w:hint="eastAsia" w:ascii="宋体" w:hAnsi="宋体" w:eastAsia="宋体" w:cs="宋体"/>
                <w:sz w:val="24"/>
              </w:rPr>
            </w:pPr>
            <w:r>
              <w:rPr>
                <w:rFonts w:hint="eastAsia" w:ascii="宋体" w:hAnsi="宋体" w:eastAsia="宋体" w:cs="宋体"/>
                <w:spacing w:val="20"/>
                <w:sz w:val="24"/>
                <w:lang w:val="en-US" w:eastAsia="zh-CN"/>
              </w:rPr>
              <w:t>...</w:t>
            </w:r>
          </w:p>
        </w:tc>
      </w:tr>
    </w:tbl>
    <w:p w14:paraId="0122045D">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cs="宋体"/>
          <w:iCs/>
          <w:color w:val="auto"/>
          <w:spacing w:val="20"/>
          <w:sz w:val="24"/>
          <w:highlight w:val="none"/>
        </w:rPr>
        <w:t>注：1、投标人需按“</w:t>
      </w:r>
      <w:r>
        <w:rPr>
          <w:rFonts w:hint="eastAsia" w:ascii="宋体" w:hAnsi="宋体" w:cs="宋体"/>
          <w:iCs/>
          <w:color w:val="auto"/>
          <w:spacing w:val="20"/>
          <w:sz w:val="24"/>
          <w:highlight w:val="none"/>
          <w:lang w:val="en-US" w:eastAsia="zh-CN"/>
        </w:rPr>
        <w:t>报价书（开标一览表）</w:t>
      </w:r>
      <w:r>
        <w:rPr>
          <w:rFonts w:hint="eastAsia" w:ascii="宋体" w:hAnsi="宋体" w:cs="宋体"/>
          <w:iCs/>
          <w:color w:val="auto"/>
          <w:spacing w:val="20"/>
          <w:sz w:val="24"/>
          <w:highlight w:val="none"/>
        </w:rPr>
        <w:t>”的报价</w:t>
      </w:r>
      <w:r>
        <w:rPr>
          <w:rFonts w:hint="eastAsia" w:ascii="宋体" w:hAnsi="宋体" w:eastAsia="宋体" w:cs="宋体"/>
          <w:iCs/>
          <w:color w:val="auto"/>
          <w:spacing w:val="20"/>
          <w:sz w:val="24"/>
          <w:highlight w:val="none"/>
        </w:rPr>
        <w:t>，对“</w:t>
      </w: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eastAsia="宋体" w:cs="宋体"/>
          <w:iCs/>
          <w:color w:val="auto"/>
          <w:spacing w:val="20"/>
          <w:sz w:val="24"/>
          <w:highlight w:val="none"/>
          <w:lang w:val="en-US" w:eastAsia="zh-CN"/>
        </w:rPr>
        <w:t>”的分项报价分别进行详细列表说明。</w:t>
      </w:r>
    </w:p>
    <w:p w14:paraId="6C49861B">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2、本报价书包含但不限于采购需求提及的所有内容。</w:t>
      </w:r>
    </w:p>
    <w:p w14:paraId="1F09ADDC">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3、可根据具体情况自行调整分项报价表格式。</w:t>
      </w:r>
    </w:p>
    <w:p w14:paraId="3E53A6BE">
      <w:pPr>
        <w:spacing w:line="360" w:lineRule="auto"/>
        <w:ind w:firstLine="280" w:firstLineChars="100"/>
        <w:rPr>
          <w:rFonts w:ascii="宋体" w:hAnsi="宋体" w:cs="宋体"/>
          <w:iCs/>
          <w:color w:val="0000FF"/>
          <w:spacing w:val="20"/>
          <w:sz w:val="24"/>
          <w:highlight w:val="none"/>
        </w:rPr>
      </w:pPr>
    </w:p>
    <w:p w14:paraId="2CD687DB">
      <w:pPr>
        <w:spacing w:line="360" w:lineRule="auto"/>
        <w:ind w:firstLine="280" w:firstLineChars="100"/>
        <w:rPr>
          <w:rFonts w:ascii="宋体" w:hAnsi="宋体" w:cs="宋体"/>
          <w:color w:val="000000" w:themeColor="text1"/>
          <w:spacing w:val="20"/>
          <w:sz w:val="24"/>
          <w:highlight w:val="none"/>
          <w14:textFill>
            <w14:solidFill>
              <w14:schemeClr w14:val="tx1"/>
            </w14:solidFill>
          </w14:textFill>
        </w:rPr>
      </w:pPr>
    </w:p>
    <w:p w14:paraId="34275268">
      <w:pPr>
        <w:rPr>
          <w:rFonts w:ascii="宋体" w:hAnsi="宋体" w:cs="宋体"/>
          <w:b/>
          <w:color w:val="000000" w:themeColor="text1"/>
          <w:sz w:val="24"/>
          <w:highlight w:val="none"/>
          <w14:textFill>
            <w14:solidFill>
              <w14:schemeClr w14:val="tx1"/>
            </w14:solidFill>
          </w14:textFill>
        </w:rPr>
      </w:pPr>
    </w:p>
    <w:p w14:paraId="73C65535">
      <w:pPr>
        <w:rPr>
          <w:rFonts w:ascii="宋体" w:hAnsi="宋体" w:cs="宋体"/>
          <w:b/>
          <w:color w:val="000000" w:themeColor="text1"/>
          <w:sz w:val="24"/>
          <w:highlight w:val="none"/>
          <w14:textFill>
            <w14:solidFill>
              <w14:schemeClr w14:val="tx1"/>
            </w14:solidFill>
          </w14:textFill>
        </w:rPr>
      </w:pPr>
      <w:bookmarkStart w:id="178" w:name="_Toc119229667"/>
    </w:p>
    <w:p w14:paraId="437D5312">
      <w:pPr>
        <w:rPr>
          <w:rFonts w:ascii="宋体" w:hAnsi="宋体" w:cs="宋体"/>
          <w:b/>
          <w:color w:val="000000" w:themeColor="text1"/>
          <w:sz w:val="24"/>
          <w:highlight w:val="none"/>
          <w14:textFill>
            <w14:solidFill>
              <w14:schemeClr w14:val="tx1"/>
            </w14:solidFill>
          </w14:textFill>
        </w:rPr>
      </w:pPr>
    </w:p>
    <w:p w14:paraId="2B426711">
      <w:pPr>
        <w:rPr>
          <w:rFonts w:ascii="宋体" w:hAnsi="宋体" w:cs="宋体"/>
          <w:b/>
          <w:color w:val="000000" w:themeColor="text1"/>
          <w:sz w:val="24"/>
          <w:highlight w:val="none"/>
          <w14:textFill>
            <w14:solidFill>
              <w14:schemeClr w14:val="tx1"/>
            </w14:solidFill>
          </w14:textFill>
        </w:rPr>
      </w:pPr>
    </w:p>
    <w:p w14:paraId="0BB60314">
      <w:pPr>
        <w:rPr>
          <w:rFonts w:ascii="宋体" w:hAnsi="宋体" w:cs="宋体"/>
          <w:b/>
          <w:color w:val="000000" w:themeColor="text1"/>
          <w:sz w:val="24"/>
          <w:highlight w:val="none"/>
          <w14:textFill>
            <w14:solidFill>
              <w14:schemeClr w14:val="tx1"/>
            </w14:solidFill>
          </w14:textFill>
        </w:rPr>
      </w:pPr>
    </w:p>
    <w:p w14:paraId="63C9E477">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6113E6DA">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1968786C">
      <w:pPr>
        <w:jc w:val="center"/>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bookmarkEnd w:id="178"/>
    </w:p>
    <w:p w14:paraId="130E02A5">
      <w:pPr>
        <w:jc w:val="center"/>
        <w:rPr>
          <w:rFonts w:ascii="宋体" w:hAnsi="宋体" w:cs="宋体"/>
          <w:color w:val="000000" w:themeColor="text1"/>
          <w:spacing w:val="20"/>
          <w:sz w:val="24"/>
          <w:highlight w:val="none"/>
          <w:u w:val="single" w:color="000000"/>
          <w14:textFill>
            <w14:solidFill>
              <w14:schemeClr w14:val="tx1"/>
            </w14:solidFill>
          </w14:textFill>
        </w:rPr>
      </w:pPr>
    </w:p>
    <w:p w14:paraId="0EFCC6E7">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2271E3B4">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4769BE51">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1FA697CB">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633588A0">
      <w:pPr>
        <w:rPr>
          <w:rFonts w:ascii="宋体" w:hAnsi="宋体" w:cs="宋体"/>
          <w:b/>
          <w:color w:val="000000" w:themeColor="text1"/>
          <w:sz w:val="32"/>
          <w:szCs w:val="32"/>
          <w:highlight w:val="none"/>
          <w14:textFill>
            <w14:solidFill>
              <w14:schemeClr w14:val="tx1"/>
            </w14:solidFill>
          </w14:textFill>
        </w:rPr>
      </w:pPr>
      <w:bookmarkStart w:id="179" w:name="_Toc19258"/>
      <w:bookmarkStart w:id="180" w:name="_Toc18018_WPSOffice_Level1"/>
      <w:r>
        <w:rPr>
          <w:rFonts w:hint="eastAsia" w:ascii="宋体" w:hAnsi="宋体" w:cs="宋体"/>
          <w:b/>
          <w:color w:val="000000" w:themeColor="text1"/>
          <w:sz w:val="32"/>
          <w:szCs w:val="32"/>
          <w:highlight w:val="none"/>
          <w14:textFill>
            <w14:solidFill>
              <w14:schemeClr w14:val="tx1"/>
            </w14:solidFill>
          </w14:textFill>
        </w:rPr>
        <w:br w:type="page"/>
      </w:r>
    </w:p>
    <w:p w14:paraId="0FEDA7EB">
      <w:pPr>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投标人认为有必要提供的其他资料</w:t>
      </w:r>
    </w:p>
    <w:p w14:paraId="24ABB150">
      <w:pPr>
        <w:jc w:val="center"/>
        <w:rPr>
          <w:rFonts w:ascii="宋体" w:hAnsi="宋体" w:cs="宋体"/>
          <w:color w:val="000000" w:themeColor="text1"/>
          <w:sz w:val="22"/>
          <w:szCs w:val="28"/>
          <w:highlight w:val="none"/>
          <w14:textFill>
            <w14:solidFill>
              <w14:schemeClr w14:val="tx1"/>
            </w14:solidFill>
          </w14:textFill>
        </w:rPr>
      </w:pPr>
    </w:p>
    <w:p w14:paraId="49764B31">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（格式自拟）</w:t>
      </w:r>
    </w:p>
    <w:p w14:paraId="383E8DE2">
      <w:pPr>
        <w:rPr>
          <w:color w:val="000000" w:themeColor="text1"/>
          <w:highlight w:val="none"/>
          <w14:textFill>
            <w14:solidFill>
              <w14:schemeClr w14:val="tx1"/>
            </w14:solidFill>
          </w14:textFill>
        </w:rPr>
      </w:pPr>
      <w:bookmarkStart w:id="181" w:name="_Toc13063"/>
    </w:p>
    <w:p w14:paraId="427DCD95">
      <w:pPr>
        <w:rPr>
          <w:color w:val="000000" w:themeColor="text1"/>
          <w:highlight w:val="none"/>
          <w14:textFill>
            <w14:solidFill>
              <w14:schemeClr w14:val="tx1"/>
            </w14:solidFill>
          </w14:textFill>
        </w:rPr>
      </w:pPr>
    </w:p>
    <w:p w14:paraId="53B4AB52">
      <w:pPr>
        <w:rPr>
          <w:color w:val="000000" w:themeColor="text1"/>
          <w:highlight w:val="none"/>
          <w14:textFill>
            <w14:solidFill>
              <w14:schemeClr w14:val="tx1"/>
            </w14:solidFill>
          </w14:textFill>
        </w:rPr>
      </w:pPr>
    </w:p>
    <w:p w14:paraId="4E76419A">
      <w:pPr>
        <w:rPr>
          <w:color w:val="000000" w:themeColor="text1"/>
          <w:highlight w:val="none"/>
          <w14:textFill>
            <w14:solidFill>
              <w14:schemeClr w14:val="tx1"/>
            </w14:solidFill>
          </w14:textFill>
        </w:rPr>
      </w:pPr>
    </w:p>
    <w:p w14:paraId="4FA9095D">
      <w:pPr>
        <w:rPr>
          <w:color w:val="000000" w:themeColor="text1"/>
          <w:highlight w:val="none"/>
          <w14:textFill>
            <w14:solidFill>
              <w14:schemeClr w14:val="tx1"/>
            </w14:solidFill>
          </w14:textFill>
        </w:rPr>
      </w:pPr>
    </w:p>
    <w:p w14:paraId="77715CAD">
      <w:pPr>
        <w:rPr>
          <w:color w:val="000000" w:themeColor="text1"/>
          <w:highlight w:val="none"/>
          <w14:textFill>
            <w14:solidFill>
              <w14:schemeClr w14:val="tx1"/>
            </w14:solidFill>
          </w14:textFill>
        </w:rPr>
      </w:pPr>
    </w:p>
    <w:p w14:paraId="3EEB6290">
      <w:pPr>
        <w:rPr>
          <w:color w:val="000000" w:themeColor="text1"/>
          <w:highlight w:val="none"/>
          <w14:textFill>
            <w14:solidFill>
              <w14:schemeClr w14:val="tx1"/>
            </w14:solidFill>
          </w14:textFill>
        </w:rPr>
      </w:pPr>
    </w:p>
    <w:p w14:paraId="66E26605">
      <w:pPr>
        <w:rPr>
          <w:color w:val="000000" w:themeColor="text1"/>
          <w:highlight w:val="none"/>
          <w14:textFill>
            <w14:solidFill>
              <w14:schemeClr w14:val="tx1"/>
            </w14:solidFill>
          </w14:textFill>
        </w:rPr>
      </w:pPr>
    </w:p>
    <w:p w14:paraId="65972685">
      <w:pPr>
        <w:rPr>
          <w:color w:val="000000" w:themeColor="text1"/>
          <w:highlight w:val="none"/>
          <w14:textFill>
            <w14:solidFill>
              <w14:schemeClr w14:val="tx1"/>
            </w14:solidFill>
          </w14:textFill>
        </w:rPr>
      </w:pPr>
    </w:p>
    <w:p w14:paraId="15EC007E">
      <w:pPr>
        <w:rPr>
          <w:color w:val="000000" w:themeColor="text1"/>
          <w:highlight w:val="none"/>
          <w14:textFill>
            <w14:solidFill>
              <w14:schemeClr w14:val="tx1"/>
            </w14:solidFill>
          </w14:textFill>
        </w:rPr>
      </w:pPr>
    </w:p>
    <w:p w14:paraId="22930526">
      <w:pPr>
        <w:rPr>
          <w:color w:val="000000" w:themeColor="text1"/>
          <w:highlight w:val="none"/>
          <w14:textFill>
            <w14:solidFill>
              <w14:schemeClr w14:val="tx1"/>
            </w14:solidFill>
          </w14:textFill>
        </w:rPr>
      </w:pPr>
    </w:p>
    <w:p w14:paraId="55144CE2">
      <w:pPr>
        <w:rPr>
          <w:color w:val="000000" w:themeColor="text1"/>
          <w:highlight w:val="none"/>
          <w14:textFill>
            <w14:solidFill>
              <w14:schemeClr w14:val="tx1"/>
            </w14:solidFill>
          </w14:textFill>
        </w:rPr>
      </w:pPr>
    </w:p>
    <w:p w14:paraId="5E22C33F">
      <w:pPr>
        <w:rPr>
          <w:color w:val="000000" w:themeColor="text1"/>
          <w:highlight w:val="none"/>
          <w14:textFill>
            <w14:solidFill>
              <w14:schemeClr w14:val="tx1"/>
            </w14:solidFill>
          </w14:textFill>
        </w:rPr>
      </w:pPr>
    </w:p>
    <w:p w14:paraId="467C8ADC">
      <w:pPr>
        <w:rPr>
          <w:color w:val="000000" w:themeColor="text1"/>
          <w:highlight w:val="none"/>
          <w14:textFill>
            <w14:solidFill>
              <w14:schemeClr w14:val="tx1"/>
            </w14:solidFill>
          </w14:textFill>
        </w:rPr>
      </w:pPr>
    </w:p>
    <w:p w14:paraId="72D72DF9">
      <w:pPr>
        <w:rPr>
          <w:color w:val="000000" w:themeColor="text1"/>
          <w:highlight w:val="none"/>
          <w14:textFill>
            <w14:solidFill>
              <w14:schemeClr w14:val="tx1"/>
            </w14:solidFill>
          </w14:textFill>
        </w:rPr>
      </w:pPr>
    </w:p>
    <w:p w14:paraId="5768DB3D">
      <w:pPr>
        <w:rPr>
          <w:color w:val="000000" w:themeColor="text1"/>
          <w:highlight w:val="none"/>
          <w14:textFill>
            <w14:solidFill>
              <w14:schemeClr w14:val="tx1"/>
            </w14:solidFill>
          </w14:textFill>
        </w:rPr>
      </w:pPr>
    </w:p>
    <w:p w14:paraId="656D5547">
      <w:pPr>
        <w:rPr>
          <w:color w:val="000000" w:themeColor="text1"/>
          <w:highlight w:val="none"/>
          <w14:textFill>
            <w14:solidFill>
              <w14:schemeClr w14:val="tx1"/>
            </w14:solidFill>
          </w14:textFill>
        </w:rPr>
      </w:pPr>
    </w:p>
    <w:p w14:paraId="77B1A920">
      <w:pPr>
        <w:rPr>
          <w:color w:val="000000" w:themeColor="text1"/>
          <w:highlight w:val="none"/>
          <w14:textFill>
            <w14:solidFill>
              <w14:schemeClr w14:val="tx1"/>
            </w14:solidFill>
          </w14:textFill>
        </w:rPr>
      </w:pPr>
    </w:p>
    <w:p w14:paraId="08061CDE">
      <w:pPr>
        <w:rPr>
          <w:color w:val="000000" w:themeColor="text1"/>
          <w:highlight w:val="none"/>
          <w14:textFill>
            <w14:solidFill>
              <w14:schemeClr w14:val="tx1"/>
            </w14:solidFill>
          </w14:textFill>
        </w:rPr>
      </w:pPr>
    </w:p>
    <w:p w14:paraId="67F6DC6A">
      <w:pPr>
        <w:rPr>
          <w:rFonts w:ascii="宋体" w:hAnsi="宋体" w:cs="宋体"/>
          <w:color w:val="000000" w:themeColor="text1"/>
          <w:sz w:val="36"/>
          <w:szCs w:val="36"/>
          <w:highlight w:val="none"/>
          <w14:textFill>
            <w14:solidFill>
              <w14:schemeClr w14:val="tx1"/>
            </w14:solidFill>
          </w14:textFill>
        </w:rPr>
      </w:pPr>
    </w:p>
    <w:p w14:paraId="6BE6BD0E">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7ADAF0D7">
      <w:pPr>
        <w:pStyle w:val="3"/>
        <w:spacing w:line="56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第六章  评标办法和细则</w:t>
      </w:r>
      <w:bookmarkEnd w:id="179"/>
      <w:bookmarkEnd w:id="180"/>
      <w:bookmarkEnd w:id="181"/>
    </w:p>
    <w:p w14:paraId="02044EAA">
      <w:pPr>
        <w:pStyle w:val="15"/>
        <w:snapToGrid/>
        <w:spacing w:line="360" w:lineRule="auto"/>
        <w:ind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根据《中华人民共和国政府采购法》等有关法律法规的规定，并结合本项目的实际，按照公正、公平、科学、择优的原则选择</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，特制定本办法。</w:t>
      </w:r>
    </w:p>
    <w:p w14:paraId="56C34BD8">
      <w:pPr>
        <w:pStyle w:val="5"/>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2" w:name="_Toc18586"/>
      <w:r>
        <w:rPr>
          <w:rFonts w:hint="eastAsia" w:ascii="宋体" w:hAnsi="宋体" w:eastAsia="宋体" w:cs="宋体"/>
          <w:color w:val="000000" w:themeColor="text1"/>
          <w:sz w:val="24"/>
          <w:szCs w:val="24"/>
          <w:highlight w:val="none"/>
          <w14:textFill>
            <w14:solidFill>
              <w14:schemeClr w14:val="tx1"/>
            </w14:solidFill>
          </w14:textFill>
        </w:rPr>
        <w:t>一   总则</w:t>
      </w:r>
      <w:bookmarkEnd w:id="182"/>
    </w:p>
    <w:p w14:paraId="20672E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进行综合分析评价并编制评标报告。评审专家必须严格遵守保密规定，不得泄漏评标有关的情况，不得索贿受贿，不得参加影响评标的任何活动。</w:t>
      </w:r>
    </w:p>
    <w:p w14:paraId="4AB07C76">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1.2</w:t>
      </w:r>
      <w:r>
        <w:rPr>
          <w:rFonts w:hint="eastAsia" w:ascii="宋体" w:hAnsi="宋体"/>
          <w:b w:val="0"/>
          <w:bCs/>
          <w:color w:val="000000" w:themeColor="text1"/>
          <w:sz w:val="24"/>
          <w14:textFill>
            <w14:solidFill>
              <w14:schemeClr w14:val="tx1"/>
            </w14:solidFill>
          </w14:textFill>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w:t>
      </w:r>
      <w:r>
        <w:rPr>
          <w:rFonts w:hint="eastAsia" w:ascii="宋体" w:hAnsi="宋体"/>
          <w:b w:val="0"/>
          <w:bCs/>
          <w:color w:val="000000" w:themeColor="text1"/>
          <w:sz w:val="24"/>
          <w:lang w:val="en-US" w:eastAsia="zh-CN"/>
          <w14:textFill>
            <w14:solidFill>
              <w14:schemeClr w14:val="tx1"/>
            </w14:solidFill>
          </w14:textFill>
        </w:rPr>
        <w:t>一名</w:t>
      </w:r>
      <w:r>
        <w:rPr>
          <w:rFonts w:hint="eastAsia" w:ascii="宋体" w:hAnsi="宋体"/>
          <w:b w:val="0"/>
          <w:bCs/>
          <w:color w:val="000000" w:themeColor="text1"/>
          <w:sz w:val="24"/>
          <w14:textFill>
            <w14:solidFill>
              <w14:schemeClr w14:val="tx1"/>
            </w14:solidFill>
          </w14:textFill>
        </w:rPr>
        <w:t>中标候选人，由采购人确定本项目</w:t>
      </w:r>
      <w:r>
        <w:rPr>
          <w:rFonts w:hint="eastAsia" w:ascii="宋体" w:hAnsi="宋体"/>
          <w:b w:val="0"/>
          <w:bCs/>
          <w:color w:val="000000" w:themeColor="text1"/>
          <w:sz w:val="24"/>
          <w:lang w:eastAsia="zh-CN"/>
          <w14:textFill>
            <w14:solidFill>
              <w14:schemeClr w14:val="tx1"/>
            </w14:solidFill>
          </w14:textFill>
        </w:rPr>
        <w:t>成交供应商</w:t>
      </w:r>
      <w:r>
        <w:rPr>
          <w:rFonts w:hint="eastAsia" w:ascii="宋体" w:hAnsi="宋体"/>
          <w:b w:val="0"/>
          <w:bCs/>
          <w:color w:val="000000" w:themeColor="text1"/>
          <w:sz w:val="24"/>
          <w14:textFill>
            <w14:solidFill>
              <w14:schemeClr w14:val="tx1"/>
            </w14:solidFill>
          </w14:textFill>
        </w:rPr>
        <w:t>。</w:t>
      </w:r>
    </w:p>
    <w:p w14:paraId="5AB70F7F">
      <w:pPr>
        <w:pStyle w:val="5"/>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3" w:name="_Toc8737"/>
      <w:r>
        <w:rPr>
          <w:rFonts w:hint="eastAsia" w:ascii="宋体" w:hAnsi="宋体" w:eastAsia="宋体" w:cs="宋体"/>
          <w:color w:val="000000" w:themeColor="text1"/>
          <w:sz w:val="24"/>
          <w:szCs w:val="24"/>
          <w:highlight w:val="none"/>
          <w14:textFill>
            <w14:solidFill>
              <w14:schemeClr w14:val="tx1"/>
            </w14:solidFill>
          </w14:textFill>
        </w:rPr>
        <w:t>二   评审委员会</w:t>
      </w:r>
      <w:bookmarkEnd w:id="183"/>
    </w:p>
    <w:p w14:paraId="246A83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2.1评审委员会</w:t>
      </w:r>
    </w:p>
    <w:p w14:paraId="2D97BB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highlight w:val="none"/>
          <w14:textFill>
            <w14:solidFill>
              <w14:schemeClr w14:val="tx1"/>
            </w14:solidFill>
          </w14:textFill>
        </w:rPr>
        <w:t>对投标文件进行符合性审查、询标、评价和推荐中标候选人。</w:t>
      </w:r>
    </w:p>
    <w:p w14:paraId="10F133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14:paraId="279C4F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43BD2E04">
      <w:pPr>
        <w:pStyle w:val="5"/>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4" w:name="_Toc7115"/>
      <w:r>
        <w:rPr>
          <w:rFonts w:hint="eastAsia" w:ascii="宋体" w:hAnsi="宋体" w:eastAsia="宋体" w:cs="宋体"/>
          <w:color w:val="000000" w:themeColor="text1"/>
          <w:sz w:val="24"/>
          <w:szCs w:val="24"/>
          <w:highlight w:val="none"/>
          <w14:textFill>
            <w14:solidFill>
              <w14:schemeClr w14:val="tx1"/>
            </w14:solidFill>
          </w14:textFill>
        </w:rPr>
        <w:t>三   评标程序</w:t>
      </w:r>
      <w:bookmarkEnd w:id="184"/>
    </w:p>
    <w:p w14:paraId="1037C63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符合性审查</w:t>
      </w:r>
    </w:p>
    <w:p w14:paraId="4C1E88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146EBA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资信商务及技术文件评审</w:t>
      </w:r>
    </w:p>
    <w:p w14:paraId="1EC93B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资信商务部分进行评审，对客观分应统一意见后统一给分。</w:t>
      </w:r>
    </w:p>
    <w:p w14:paraId="6947B4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技术部分进行独立评审，对各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进行比较和必要的澄清，并根据审查、澄清等情况结合评审办法进行独立打分；</w:t>
      </w:r>
    </w:p>
    <w:p w14:paraId="56AEB2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3.2.3各投标人的资信商务及技术得分，为各评审专家对该投标人的评分汇总后的算术平均数。</w:t>
      </w:r>
    </w:p>
    <w:p w14:paraId="3AF7CEB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3.4通过政采云平台公布各投标人的资信商务及技术得分，开启有效投标人的报价文件。</w:t>
      </w:r>
    </w:p>
    <w:p w14:paraId="7D3D57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 报价文件评审</w:t>
      </w:r>
    </w:p>
    <w:p w14:paraId="4701CE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评审委员会依据招标文件的规定，对各投标人的报价的符合性进行审查，必要时可要求投标人对其报价做出澄清、说明；</w:t>
      </w:r>
    </w:p>
    <w:p w14:paraId="3160EA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3.5.2报价修正；</w:t>
      </w:r>
    </w:p>
    <w:p w14:paraId="362544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3.5.3政府采购政策价格扣除；</w:t>
      </w:r>
    </w:p>
    <w:p w14:paraId="14C872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3.5.4评审委员会根据投标人的报价和评审标准，计算各投标人的报价得分。</w:t>
      </w:r>
    </w:p>
    <w:p w14:paraId="0A36B9D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 评标结果</w:t>
      </w:r>
    </w:p>
    <w:p w14:paraId="3734CD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评审结果汇总，投标人结果排序；</w:t>
      </w:r>
    </w:p>
    <w:p w14:paraId="39F9C6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起草评标报告，确定中标候选人；</w:t>
      </w:r>
    </w:p>
    <w:p w14:paraId="387B77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3.6.2.1 评标报告包括以下内容：</w:t>
      </w:r>
    </w:p>
    <w:p w14:paraId="6C480D9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（1）招标公告刊登的媒体名称、开标日期和地点；</w:t>
      </w:r>
    </w:p>
    <w:p w14:paraId="2578D9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（2）投标人名单和评审委员会成员名单；</w:t>
      </w:r>
    </w:p>
    <w:p w14:paraId="799EDA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（3）评审方法和标准；</w:t>
      </w:r>
    </w:p>
    <w:p w14:paraId="40AB44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（4）资格审查记录；</w:t>
      </w:r>
    </w:p>
    <w:p w14:paraId="009224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（5）开标记录和评审情况及说明，包括无效投标人名单及原因；</w:t>
      </w:r>
    </w:p>
    <w:p w14:paraId="1BF34D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（6）评审结果，确定的中标候选人名单；</w:t>
      </w:r>
    </w:p>
    <w:p w14:paraId="590496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（7）其他需要说明的情况，包括评审过程中投标人根据评审委员会要求进行的澄清、说明或者补正，评审委员会成员的更换等。</w:t>
      </w:r>
    </w:p>
    <w:p w14:paraId="2E9B40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评标报告由全体评审委员会成员确认后提交。</w:t>
      </w:r>
    </w:p>
    <w:p w14:paraId="1C1043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评审结束后，由电子交易平台自动生成评审结果，采购人确定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后2个工作日内，发出中标通知书，并在相关媒体上公告中标结果。</w:t>
      </w:r>
    </w:p>
    <w:p w14:paraId="2A58E1B3">
      <w:pPr>
        <w:pStyle w:val="5"/>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5" w:name="_Toc27258"/>
      <w:r>
        <w:rPr>
          <w:rFonts w:hint="eastAsia" w:ascii="宋体" w:hAnsi="宋体" w:eastAsia="宋体" w:cs="宋体"/>
          <w:color w:val="000000" w:themeColor="text1"/>
          <w:sz w:val="24"/>
          <w:szCs w:val="24"/>
          <w:highlight w:val="none"/>
          <w14:textFill>
            <w14:solidFill>
              <w14:schemeClr w14:val="tx1"/>
            </w14:solidFill>
          </w14:textFill>
        </w:rPr>
        <w:t>四   评标一般规定</w:t>
      </w:r>
      <w:bookmarkEnd w:id="185"/>
    </w:p>
    <w:p w14:paraId="0CDC0A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4.本评标办法采用综合评分法,总分100分。</w:t>
      </w:r>
    </w:p>
    <w:p w14:paraId="1A06851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4.1资信商务及技术权重为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评委对各投标文件经充分审核后，在规定的分值内由评委单独评定打分。如果某个单项的打分超过所规定的分值范围，则该张打分表无效。</w:t>
      </w:r>
    </w:p>
    <w:p w14:paraId="162493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4.2报价权重为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%，分值为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分，由评委按各投标人的报价统一计算。</w:t>
      </w:r>
    </w:p>
    <w:p w14:paraId="1853B4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4.3评审专家在规定的分值范围内独立打分，评分保留两位小数，如某分项评分要素为2分，则评审专家在0.01〜2分内打分。</w:t>
      </w:r>
      <w:bookmarkStart w:id="186" w:name="_Toc8214"/>
    </w:p>
    <w:p w14:paraId="72519B1D">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   评标办法和细则</w:t>
      </w:r>
      <w:bookmarkEnd w:id="186"/>
    </w:p>
    <w:p w14:paraId="7406230E">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5.1.资信商务及技术分值为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w:t>
      </w:r>
    </w:p>
    <w:tbl>
      <w:tblPr>
        <w:tblStyle w:val="29"/>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7"/>
        <w:gridCol w:w="7065"/>
        <w:gridCol w:w="687"/>
        <w:gridCol w:w="652"/>
      </w:tblGrid>
      <w:tr w14:paraId="5B22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5" w:type="dxa"/>
            <w:noWrap/>
            <w:vAlign w:val="center"/>
          </w:tcPr>
          <w:p w14:paraId="69CE0FED">
            <w:pPr>
              <w:spacing w:line="288" w:lineRule="auto"/>
              <w:jc w:val="center"/>
              <w:rPr>
                <w:rFonts w:ascii="宋体" w:hAnsi="宋体"/>
                <w:bCs/>
                <w:color w:val="auto"/>
                <w:szCs w:val="21"/>
              </w:rPr>
            </w:pPr>
            <w:bookmarkStart w:id="187" w:name="_Toc335664301"/>
            <w:bookmarkStart w:id="188" w:name="_Toc494555896"/>
            <w:bookmarkStart w:id="189" w:name="_Toc493956082"/>
            <w:r>
              <w:rPr>
                <w:rFonts w:ascii="宋体" w:hAnsi="宋体"/>
                <w:bCs/>
                <w:color w:val="auto"/>
                <w:szCs w:val="21"/>
              </w:rPr>
              <w:t>序号</w:t>
            </w:r>
          </w:p>
        </w:tc>
        <w:tc>
          <w:tcPr>
            <w:tcW w:w="1157" w:type="dxa"/>
            <w:noWrap/>
            <w:vAlign w:val="center"/>
          </w:tcPr>
          <w:p w14:paraId="638F2BA1">
            <w:pPr>
              <w:spacing w:line="288" w:lineRule="auto"/>
              <w:jc w:val="center"/>
              <w:rPr>
                <w:rFonts w:ascii="宋体" w:hAnsi="宋体"/>
                <w:bCs/>
                <w:color w:val="auto"/>
                <w:szCs w:val="21"/>
              </w:rPr>
            </w:pPr>
            <w:r>
              <w:rPr>
                <w:rFonts w:ascii="宋体" w:hAnsi="宋体"/>
                <w:bCs/>
                <w:color w:val="auto"/>
                <w:szCs w:val="21"/>
              </w:rPr>
              <w:t>评分内容</w:t>
            </w:r>
          </w:p>
        </w:tc>
        <w:tc>
          <w:tcPr>
            <w:tcW w:w="7065" w:type="dxa"/>
            <w:noWrap/>
            <w:vAlign w:val="center"/>
          </w:tcPr>
          <w:p w14:paraId="1A79B198">
            <w:pPr>
              <w:spacing w:line="288" w:lineRule="auto"/>
              <w:jc w:val="center"/>
              <w:rPr>
                <w:rFonts w:ascii="宋体" w:hAnsi="宋体"/>
                <w:bCs/>
                <w:color w:val="auto"/>
                <w:szCs w:val="21"/>
              </w:rPr>
            </w:pPr>
            <w:r>
              <w:rPr>
                <w:rFonts w:ascii="宋体" w:hAnsi="宋体"/>
                <w:bCs/>
                <w:color w:val="auto"/>
                <w:szCs w:val="21"/>
              </w:rPr>
              <w:t>评分细则</w:t>
            </w:r>
          </w:p>
        </w:tc>
        <w:tc>
          <w:tcPr>
            <w:tcW w:w="687" w:type="dxa"/>
            <w:noWrap/>
            <w:vAlign w:val="center"/>
          </w:tcPr>
          <w:p w14:paraId="427CE1B6">
            <w:pPr>
              <w:spacing w:line="288" w:lineRule="auto"/>
              <w:jc w:val="center"/>
              <w:rPr>
                <w:rFonts w:ascii="宋体" w:hAnsi="宋体"/>
                <w:bCs/>
                <w:color w:val="auto"/>
                <w:szCs w:val="21"/>
              </w:rPr>
            </w:pPr>
            <w:r>
              <w:rPr>
                <w:rFonts w:ascii="宋体" w:hAnsi="宋体"/>
                <w:bCs/>
                <w:color w:val="auto"/>
                <w:szCs w:val="21"/>
              </w:rPr>
              <w:t>分值</w:t>
            </w:r>
          </w:p>
        </w:tc>
        <w:tc>
          <w:tcPr>
            <w:tcW w:w="652" w:type="dxa"/>
            <w:noWrap/>
            <w:vAlign w:val="center"/>
          </w:tcPr>
          <w:p w14:paraId="72894C8C">
            <w:pPr>
              <w:spacing w:line="288" w:lineRule="auto"/>
              <w:jc w:val="center"/>
              <w:rPr>
                <w:rFonts w:ascii="宋体" w:hAnsi="宋体"/>
                <w:bCs/>
                <w:color w:val="auto"/>
                <w:szCs w:val="21"/>
              </w:rPr>
            </w:pPr>
            <w:r>
              <w:rPr>
                <w:rFonts w:ascii="宋体" w:hAnsi="宋体"/>
                <w:bCs/>
                <w:color w:val="auto"/>
                <w:szCs w:val="21"/>
              </w:rPr>
              <w:t>备注</w:t>
            </w:r>
          </w:p>
        </w:tc>
      </w:tr>
      <w:tr w14:paraId="1F6A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5" w:type="dxa"/>
            <w:noWrap/>
            <w:vAlign w:val="center"/>
          </w:tcPr>
          <w:p w14:paraId="645307E1">
            <w:pPr>
              <w:snapToGrid w:val="0"/>
              <w:spacing w:before="156" w:line="288" w:lineRule="auto"/>
              <w:jc w:val="center"/>
              <w:rPr>
                <w:rFonts w:ascii="宋体" w:hAnsi="宋体"/>
                <w:bCs/>
                <w:color w:val="auto"/>
                <w:szCs w:val="21"/>
              </w:rPr>
            </w:pPr>
            <w:r>
              <w:rPr>
                <w:rFonts w:ascii="宋体" w:hAnsi="宋体"/>
                <w:bCs/>
                <w:color w:val="auto"/>
                <w:szCs w:val="21"/>
              </w:rPr>
              <w:t>1</w:t>
            </w:r>
          </w:p>
        </w:tc>
        <w:tc>
          <w:tcPr>
            <w:tcW w:w="1157" w:type="dxa"/>
            <w:noWrap/>
            <w:vAlign w:val="center"/>
          </w:tcPr>
          <w:p w14:paraId="74D81F6C">
            <w:pPr>
              <w:snapToGrid w:val="0"/>
              <w:spacing w:before="156" w:line="288" w:lineRule="auto"/>
              <w:jc w:val="center"/>
              <w:rPr>
                <w:rFonts w:ascii="宋体" w:hAnsi="宋体"/>
                <w:color w:val="auto"/>
                <w:szCs w:val="21"/>
              </w:rPr>
            </w:pPr>
            <w:r>
              <w:rPr>
                <w:rFonts w:hint="eastAsia" w:ascii="宋体" w:hAnsi="宋体"/>
                <w:color w:val="auto"/>
                <w:kern w:val="2"/>
                <w:szCs w:val="21"/>
              </w:rPr>
              <w:t>供应商</w:t>
            </w:r>
            <w:r>
              <w:rPr>
                <w:rFonts w:ascii="宋体" w:hAnsi="宋体"/>
                <w:color w:val="auto"/>
                <w:kern w:val="2"/>
                <w:szCs w:val="21"/>
              </w:rPr>
              <w:t>业绩</w:t>
            </w:r>
          </w:p>
        </w:tc>
        <w:tc>
          <w:tcPr>
            <w:tcW w:w="7065" w:type="dxa"/>
            <w:noWrap/>
            <w:vAlign w:val="center"/>
          </w:tcPr>
          <w:p w14:paraId="3F4ABA80">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具有2022年1月1日以来（以合同签订日期为准）承担过类似项目业绩，每提供一个得1分，最高得3分。</w:t>
            </w:r>
          </w:p>
          <w:p w14:paraId="71FE7662">
            <w:pPr>
              <w:spacing w:line="288" w:lineRule="auto"/>
              <w:rPr>
                <w:rFonts w:hint="eastAsia" w:ascii="宋体" w:hAnsi="宋体" w:eastAsia="宋体"/>
                <w:bCs/>
                <w:color w:val="auto"/>
                <w:szCs w:val="21"/>
                <w:lang w:eastAsia="zh-CN"/>
              </w:rPr>
            </w:pPr>
            <w:r>
              <w:rPr>
                <w:rFonts w:hint="eastAsia" w:ascii="宋体" w:hAnsi="宋体" w:eastAsia="宋体" w:cs="宋体"/>
                <w:b/>
                <w:bCs/>
                <w:sz w:val="21"/>
                <w:szCs w:val="21"/>
                <w:lang w:val="en-US" w:eastAsia="zh-CN"/>
              </w:rPr>
              <w:t>证明材料：</w:t>
            </w:r>
            <w:r>
              <w:rPr>
                <w:rFonts w:hint="eastAsia" w:ascii="宋体" w:hAnsi="宋体" w:eastAsia="宋体" w:cs="宋体"/>
                <w:b/>
                <w:bCs/>
                <w:sz w:val="21"/>
                <w:szCs w:val="21"/>
              </w:rPr>
              <w:t>提供合同加盖投标人公章，否则不得分</w:t>
            </w:r>
            <w:r>
              <w:rPr>
                <w:rFonts w:hint="eastAsia" w:ascii="宋体" w:hAnsi="宋体" w:eastAsia="宋体" w:cs="宋体"/>
                <w:b/>
                <w:bCs/>
                <w:sz w:val="21"/>
                <w:szCs w:val="21"/>
                <w:lang w:eastAsia="zh-CN"/>
              </w:rPr>
              <w:t>；</w:t>
            </w:r>
            <w:r>
              <w:rPr>
                <w:rFonts w:hint="eastAsia" w:ascii="宋体" w:hAnsi="宋体" w:eastAsia="宋体" w:cs="宋体"/>
                <w:b/>
                <w:bCs/>
                <w:sz w:val="21"/>
                <w:szCs w:val="21"/>
              </w:rPr>
              <w:t>类似项目由评审小组根据项目特点认定</w:t>
            </w:r>
            <w:r>
              <w:rPr>
                <w:rFonts w:hint="eastAsia" w:ascii="宋体" w:hAnsi="宋体" w:eastAsia="宋体" w:cs="宋体"/>
                <w:b/>
                <w:bCs/>
                <w:sz w:val="21"/>
                <w:szCs w:val="21"/>
                <w:lang w:eastAsia="zh-CN"/>
              </w:rPr>
              <w:t>。</w:t>
            </w:r>
          </w:p>
        </w:tc>
        <w:tc>
          <w:tcPr>
            <w:tcW w:w="687" w:type="dxa"/>
            <w:noWrap/>
            <w:vAlign w:val="center"/>
          </w:tcPr>
          <w:p w14:paraId="73B124DE">
            <w:pPr>
              <w:snapToGrid w:val="0"/>
              <w:spacing w:before="156"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3</w:t>
            </w:r>
          </w:p>
        </w:tc>
        <w:tc>
          <w:tcPr>
            <w:tcW w:w="652" w:type="dxa"/>
            <w:noWrap/>
            <w:vAlign w:val="center"/>
          </w:tcPr>
          <w:p w14:paraId="3B60B60C">
            <w:pPr>
              <w:spacing w:line="288" w:lineRule="auto"/>
              <w:jc w:val="center"/>
              <w:rPr>
                <w:rFonts w:ascii="宋体" w:hAnsi="宋体"/>
                <w:bCs/>
                <w:color w:val="auto"/>
                <w:szCs w:val="21"/>
              </w:rPr>
            </w:pPr>
            <w:r>
              <w:rPr>
                <w:rFonts w:hint="eastAsia" w:ascii="宋体" w:hAnsi="宋体"/>
                <w:color w:val="auto"/>
                <w:szCs w:val="21"/>
              </w:rPr>
              <w:t>客观分</w:t>
            </w:r>
          </w:p>
        </w:tc>
      </w:tr>
      <w:tr w14:paraId="5A35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705" w:type="dxa"/>
            <w:noWrap/>
            <w:vAlign w:val="center"/>
          </w:tcPr>
          <w:p w14:paraId="27D3B039">
            <w:pPr>
              <w:snapToGrid w:val="0"/>
              <w:spacing w:before="156" w:line="288" w:lineRule="auto"/>
              <w:jc w:val="center"/>
              <w:rPr>
                <w:rFonts w:ascii="宋体" w:hAnsi="宋体"/>
                <w:bCs/>
                <w:color w:val="auto"/>
                <w:szCs w:val="21"/>
              </w:rPr>
            </w:pPr>
            <w:r>
              <w:rPr>
                <w:rFonts w:hint="eastAsia" w:ascii="宋体" w:hAnsi="宋体"/>
                <w:bCs/>
                <w:color w:val="auto"/>
                <w:szCs w:val="21"/>
              </w:rPr>
              <w:t>2</w:t>
            </w:r>
          </w:p>
        </w:tc>
        <w:tc>
          <w:tcPr>
            <w:tcW w:w="1157" w:type="dxa"/>
            <w:noWrap/>
            <w:vAlign w:val="center"/>
          </w:tcPr>
          <w:p w14:paraId="0B333102">
            <w:pPr>
              <w:snapToGrid w:val="0"/>
              <w:spacing w:before="156" w:line="288" w:lineRule="auto"/>
              <w:jc w:val="center"/>
              <w:rPr>
                <w:rFonts w:ascii="宋体" w:hAnsi="宋体"/>
                <w:color w:val="auto"/>
                <w:kern w:val="2"/>
                <w:szCs w:val="21"/>
              </w:rPr>
            </w:pPr>
            <w:r>
              <w:rPr>
                <w:rFonts w:hint="eastAsia" w:ascii="宋体" w:hAnsi="宋体" w:eastAsia="宋体" w:cs="Times New Roman"/>
                <w:color w:val="auto"/>
                <w:kern w:val="2"/>
                <w:szCs w:val="21"/>
              </w:rPr>
              <w:t>项目总体理解</w:t>
            </w:r>
          </w:p>
        </w:tc>
        <w:tc>
          <w:tcPr>
            <w:tcW w:w="7065" w:type="dxa"/>
            <w:noWrap/>
            <w:vAlign w:val="center"/>
          </w:tcPr>
          <w:p w14:paraId="4FE31F8F">
            <w:pPr>
              <w:pStyle w:val="15"/>
              <w:snapToGrid/>
              <w:spacing w:line="240" w:lineRule="auto"/>
              <w:ind w:firstLine="0"/>
              <w:rPr>
                <w:rFonts w:hint="eastAsia" w:ascii="宋体" w:hAnsi="宋体" w:eastAsia="宋体" w:cs="宋体"/>
                <w:sz w:val="21"/>
                <w:szCs w:val="21"/>
                <w:lang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供应商针对本项目的总体理解，</w:t>
            </w:r>
            <w:r>
              <w:rPr>
                <w:rFonts w:hint="eastAsia" w:ascii="宋体" w:hAnsi="宋体" w:eastAsia="宋体" w:cs="宋体"/>
                <w:sz w:val="21"/>
                <w:szCs w:val="21"/>
                <w:lang w:val="en-US"/>
              </w:rPr>
              <w:t>包含</w:t>
            </w:r>
            <w:r>
              <w:rPr>
                <w:rFonts w:hint="eastAsia" w:ascii="宋体" w:hAnsi="宋体" w:eastAsia="宋体" w:cs="宋体"/>
                <w:sz w:val="21"/>
                <w:szCs w:val="21"/>
                <w:lang w:val="en-US" w:eastAsia="zh-CN"/>
              </w:rPr>
              <w:t>（</w:t>
            </w:r>
            <w:r>
              <w:rPr>
                <w:rFonts w:hint="eastAsia" w:ascii="宋体" w:hAnsi="宋体" w:eastAsia="宋体" w:cs="宋体"/>
                <w:sz w:val="21"/>
                <w:szCs w:val="21"/>
              </w:rPr>
              <w:t>货物功能说明</w:t>
            </w:r>
            <w:r>
              <w:rPr>
                <w:rFonts w:hint="eastAsia" w:ascii="宋体" w:hAnsi="宋体" w:eastAsia="宋体" w:cs="宋体"/>
                <w:sz w:val="21"/>
                <w:szCs w:val="21"/>
                <w:lang w:val="en-US" w:eastAsia="zh-CN"/>
              </w:rPr>
              <w:t>、</w:t>
            </w:r>
            <w:r>
              <w:rPr>
                <w:rFonts w:hint="eastAsia" w:ascii="宋体" w:hAnsi="宋体" w:eastAsia="宋体" w:cs="宋体"/>
                <w:sz w:val="21"/>
                <w:szCs w:val="21"/>
              </w:rPr>
              <w:t>性能技术指标及说明</w:t>
            </w:r>
            <w:r>
              <w:rPr>
                <w:rFonts w:hint="eastAsia" w:ascii="宋体" w:hAnsi="宋体" w:eastAsia="宋体" w:cs="宋体"/>
                <w:sz w:val="21"/>
                <w:szCs w:val="21"/>
                <w:lang w:val="en-US" w:eastAsia="zh-CN"/>
              </w:rPr>
              <w:t>、</w:t>
            </w:r>
            <w:r>
              <w:rPr>
                <w:rFonts w:hint="eastAsia" w:ascii="宋体" w:hAnsi="宋体" w:eastAsia="宋体" w:cs="宋体"/>
                <w:sz w:val="21"/>
                <w:szCs w:val="21"/>
              </w:rPr>
              <w:t>质量性能</w:t>
            </w:r>
            <w:r>
              <w:rPr>
                <w:rFonts w:hint="eastAsia" w:ascii="宋体" w:hAnsi="宋体" w:eastAsia="宋体" w:cs="宋体"/>
                <w:sz w:val="21"/>
                <w:szCs w:val="21"/>
                <w:lang w:eastAsia="zh-CN"/>
              </w:rPr>
              <w:t>）</w:t>
            </w:r>
            <w:r>
              <w:rPr>
                <w:rFonts w:hint="eastAsia" w:ascii="宋体" w:hAnsi="宋体" w:eastAsia="宋体" w:cs="宋体"/>
                <w:sz w:val="21"/>
                <w:szCs w:val="21"/>
              </w:rPr>
              <w:t>进行</w:t>
            </w:r>
            <w:r>
              <w:rPr>
                <w:rFonts w:hint="eastAsia" w:ascii="宋体" w:hAnsi="宋体" w:eastAsia="宋体" w:cs="宋体"/>
                <w:sz w:val="21"/>
                <w:szCs w:val="21"/>
                <w:lang w:val="en-US"/>
              </w:rPr>
              <w:t>综合</w:t>
            </w:r>
            <w:r>
              <w:rPr>
                <w:rFonts w:hint="eastAsia" w:ascii="宋体" w:hAnsi="宋体" w:eastAsia="宋体" w:cs="宋体"/>
                <w:sz w:val="21"/>
                <w:szCs w:val="21"/>
              </w:rPr>
              <w:t>评分</w:t>
            </w:r>
            <w:r>
              <w:rPr>
                <w:rFonts w:hint="eastAsia" w:ascii="宋体" w:hAnsi="宋体" w:eastAsia="宋体" w:cs="宋体"/>
                <w:sz w:val="21"/>
                <w:szCs w:val="21"/>
                <w:lang w:eastAsia="zh-CN"/>
              </w:rPr>
              <w:t>：</w:t>
            </w:r>
          </w:p>
          <w:p w14:paraId="52849D6D">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rPr>
              <w:t>货物功能说明</w:t>
            </w:r>
            <w:r>
              <w:rPr>
                <w:rFonts w:hint="eastAsia" w:ascii="宋体" w:hAnsi="宋体" w:eastAsia="宋体" w:cs="宋体"/>
                <w:sz w:val="21"/>
                <w:szCs w:val="21"/>
                <w:lang w:val="en-US"/>
              </w:rPr>
              <w:t>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全面、</w:t>
            </w:r>
            <w:r>
              <w:rPr>
                <w:rFonts w:hint="eastAsia" w:ascii="宋体" w:hAnsi="宋体" w:eastAsia="宋体" w:cs="宋体"/>
                <w:sz w:val="21"/>
                <w:szCs w:val="21"/>
              </w:rPr>
              <w:t>质量性能</w:t>
            </w:r>
            <w:r>
              <w:rPr>
                <w:rFonts w:hint="eastAsia" w:ascii="宋体" w:hAnsi="宋体" w:eastAsia="宋体" w:cs="宋体"/>
                <w:sz w:val="21"/>
                <w:szCs w:val="21"/>
                <w:lang w:val="en-US"/>
              </w:rPr>
              <w:t>全面可行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14:paraId="10979482">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rPr>
              <w:t>货物功能说明</w:t>
            </w:r>
            <w:r>
              <w:rPr>
                <w:rFonts w:hint="eastAsia" w:ascii="宋体" w:hAnsi="宋体" w:eastAsia="宋体" w:cs="宋体"/>
                <w:sz w:val="21"/>
                <w:szCs w:val="21"/>
                <w:lang w:val="en-US"/>
              </w:rPr>
              <w:t>较详细清晰、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较全面、</w:t>
            </w:r>
            <w:r>
              <w:rPr>
                <w:rFonts w:hint="eastAsia" w:ascii="宋体" w:hAnsi="宋体" w:eastAsia="宋体" w:cs="宋体"/>
                <w:sz w:val="21"/>
                <w:szCs w:val="21"/>
              </w:rPr>
              <w:t>质量性能</w:t>
            </w:r>
            <w:r>
              <w:rPr>
                <w:rFonts w:hint="eastAsia" w:ascii="宋体" w:hAnsi="宋体" w:eastAsia="宋体" w:cs="宋体"/>
                <w:sz w:val="21"/>
                <w:szCs w:val="21"/>
                <w:lang w:val="en-US"/>
              </w:rPr>
              <w:t>较可行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14:paraId="13CA0C04">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货物功能说明</w:t>
            </w:r>
            <w:r>
              <w:rPr>
                <w:rFonts w:hint="eastAsia" w:ascii="宋体" w:hAnsi="宋体" w:eastAsia="宋体" w:cs="宋体"/>
                <w:sz w:val="21"/>
                <w:szCs w:val="21"/>
                <w:lang w:val="en-US"/>
              </w:rPr>
              <w:t>基本详细清晰、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基本全面、</w:t>
            </w:r>
            <w:r>
              <w:rPr>
                <w:rFonts w:hint="eastAsia" w:ascii="宋体" w:hAnsi="宋体" w:eastAsia="宋体" w:cs="宋体"/>
                <w:sz w:val="21"/>
                <w:szCs w:val="21"/>
              </w:rPr>
              <w:t>质量性能</w:t>
            </w:r>
            <w:r>
              <w:rPr>
                <w:rFonts w:hint="eastAsia" w:ascii="宋体" w:hAnsi="宋体" w:eastAsia="宋体" w:cs="宋体"/>
                <w:sz w:val="21"/>
                <w:szCs w:val="21"/>
                <w:lang w:val="en-US"/>
              </w:rPr>
              <w:t>基本可行</w:t>
            </w:r>
            <w:r>
              <w:rPr>
                <w:rFonts w:hint="eastAsia" w:ascii="宋体" w:hAnsi="宋体" w:eastAsia="宋体" w:cs="宋体"/>
                <w:sz w:val="21"/>
                <w:szCs w:val="21"/>
                <w:lang w:val="zh-TW"/>
              </w:rPr>
              <w:t>的</w:t>
            </w:r>
            <w:r>
              <w:rPr>
                <w:rFonts w:hint="eastAsia" w:ascii="宋体" w:hAnsi="宋体" w:eastAsia="宋体" w:cs="宋体"/>
                <w:sz w:val="21"/>
                <w:szCs w:val="21"/>
              </w:rPr>
              <w:t>得</w:t>
            </w:r>
            <w:r>
              <w:rPr>
                <w:rFonts w:hint="eastAsia" w:ascii="宋体" w:hAnsi="宋体" w:eastAsia="宋体" w:cs="宋体"/>
                <w:sz w:val="21"/>
                <w:szCs w:val="21"/>
                <w:lang w:val="en-US"/>
              </w:rPr>
              <w:t>2</w:t>
            </w:r>
            <w:r>
              <w:rPr>
                <w:rFonts w:hint="eastAsia" w:ascii="宋体" w:hAnsi="宋体" w:eastAsia="宋体" w:cs="宋体"/>
                <w:sz w:val="21"/>
                <w:szCs w:val="21"/>
              </w:rPr>
              <w:t>分；</w:t>
            </w:r>
          </w:p>
          <w:p w14:paraId="0998493E">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货物功能说明</w:t>
            </w:r>
            <w:r>
              <w:rPr>
                <w:rFonts w:hint="eastAsia" w:ascii="宋体" w:hAnsi="宋体" w:eastAsia="宋体" w:cs="宋体"/>
                <w:sz w:val="21"/>
                <w:szCs w:val="21"/>
                <w:lang w:val="en-US"/>
              </w:rPr>
              <w:t>不详细、</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不全面、</w:t>
            </w:r>
            <w:r>
              <w:rPr>
                <w:rFonts w:hint="eastAsia" w:ascii="宋体" w:hAnsi="宋体" w:eastAsia="宋体" w:cs="宋体"/>
                <w:sz w:val="21"/>
                <w:szCs w:val="21"/>
              </w:rPr>
              <w:t>质量性能</w:t>
            </w:r>
            <w:r>
              <w:rPr>
                <w:rFonts w:hint="eastAsia" w:ascii="宋体" w:hAnsi="宋体" w:eastAsia="宋体" w:cs="宋体"/>
                <w:sz w:val="21"/>
                <w:szCs w:val="21"/>
                <w:lang w:val="en-US"/>
              </w:rPr>
              <w:t>欠可行</w:t>
            </w:r>
            <w:r>
              <w:rPr>
                <w:rFonts w:hint="eastAsia" w:ascii="宋体" w:hAnsi="宋体" w:eastAsia="宋体" w:cs="宋体"/>
                <w:sz w:val="21"/>
                <w:szCs w:val="21"/>
              </w:rPr>
              <w:t>得1分；</w:t>
            </w:r>
          </w:p>
          <w:p w14:paraId="5981998A">
            <w:pPr>
              <w:pStyle w:val="15"/>
              <w:snapToGrid/>
              <w:spacing w:line="240" w:lineRule="auto"/>
              <w:ind w:firstLine="0"/>
              <w:rPr>
                <w:rFonts w:ascii="宋体" w:hAnsi="宋体"/>
                <w:color w:val="auto"/>
                <w:szCs w:val="21"/>
              </w:rPr>
            </w:pPr>
            <w:r>
              <w:rPr>
                <w:rFonts w:hint="eastAsia" w:ascii="宋体" w:hAnsi="宋体" w:eastAsia="宋体" w:cs="宋体"/>
                <w:b/>
                <w:bCs/>
                <w:sz w:val="21"/>
                <w:szCs w:val="21"/>
              </w:rPr>
              <w:t>未提供不得分。</w:t>
            </w:r>
          </w:p>
        </w:tc>
        <w:tc>
          <w:tcPr>
            <w:tcW w:w="687" w:type="dxa"/>
            <w:noWrap/>
            <w:vAlign w:val="center"/>
          </w:tcPr>
          <w:p w14:paraId="20451A30">
            <w:pPr>
              <w:snapToGrid w:val="0"/>
              <w:spacing w:before="156" w:line="288" w:lineRule="auto"/>
              <w:jc w:val="center"/>
              <w:rPr>
                <w:rFonts w:hint="default" w:ascii="宋体" w:hAnsi="宋体" w:eastAsia="宋体"/>
                <w:bCs/>
                <w:color w:val="auto"/>
                <w:szCs w:val="21"/>
                <w:lang w:val="en-US" w:eastAsia="zh-CN"/>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14:paraId="7C97FFA4">
            <w:pPr>
              <w:spacing w:line="288" w:lineRule="auto"/>
              <w:jc w:val="center"/>
              <w:rPr>
                <w:rFonts w:hint="eastAsia"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174E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05" w:type="dxa"/>
            <w:noWrap/>
            <w:vAlign w:val="center"/>
          </w:tcPr>
          <w:p w14:paraId="49F2CDB4">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3</w:t>
            </w:r>
          </w:p>
        </w:tc>
        <w:tc>
          <w:tcPr>
            <w:tcW w:w="1157" w:type="dxa"/>
            <w:noWrap/>
            <w:vAlign w:val="center"/>
          </w:tcPr>
          <w:p w14:paraId="77B3621F">
            <w:pPr>
              <w:pStyle w:val="15"/>
              <w:snapToGrid/>
              <w:spacing w:line="240" w:lineRule="auto"/>
              <w:ind w:firstLine="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项目实施方案</w:t>
            </w:r>
          </w:p>
        </w:tc>
        <w:tc>
          <w:tcPr>
            <w:tcW w:w="7065" w:type="dxa"/>
            <w:noWrap/>
            <w:vAlign w:val="center"/>
          </w:tcPr>
          <w:p w14:paraId="7DF95268">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w:t>
            </w:r>
            <w:r>
              <w:rPr>
                <w:rFonts w:hint="eastAsia" w:ascii="宋体" w:hAnsi="宋体" w:eastAsia="宋体" w:cs="宋体"/>
                <w:sz w:val="21"/>
                <w:szCs w:val="21"/>
                <w:lang w:val="zh-TW"/>
              </w:rPr>
              <w:t>针对本次采购项目制定的详细实施方案，组织方案、供货方案、验收方案进行</w:t>
            </w:r>
            <w:r>
              <w:rPr>
                <w:rFonts w:hint="eastAsia" w:ascii="宋体" w:hAnsi="宋体" w:eastAsia="宋体" w:cs="宋体"/>
                <w:sz w:val="21"/>
                <w:szCs w:val="21"/>
                <w:lang w:val="en-US"/>
              </w:rPr>
              <w:t>综合</w:t>
            </w:r>
            <w:r>
              <w:rPr>
                <w:rFonts w:hint="eastAsia" w:ascii="宋体" w:hAnsi="宋体" w:eastAsia="宋体" w:cs="宋体"/>
                <w:sz w:val="21"/>
                <w:szCs w:val="21"/>
                <w:lang w:val="zh-TW"/>
              </w:rPr>
              <w:t>评分</w:t>
            </w:r>
            <w:r>
              <w:rPr>
                <w:rFonts w:hint="eastAsia" w:ascii="宋体" w:hAnsi="宋体" w:eastAsia="宋体" w:cs="宋体"/>
                <w:sz w:val="21"/>
                <w:szCs w:val="21"/>
                <w:lang w:val="zh-TW" w:eastAsia="zh-CN"/>
              </w:rPr>
              <w:t>：</w:t>
            </w:r>
          </w:p>
          <w:p w14:paraId="0F531C80">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严密、合理、针对性和操作性</w:t>
            </w:r>
            <w:r>
              <w:rPr>
                <w:rFonts w:hint="eastAsia" w:ascii="宋体" w:hAnsi="宋体" w:eastAsia="宋体" w:cs="宋体"/>
                <w:sz w:val="21"/>
                <w:szCs w:val="21"/>
                <w:lang w:val="en-US"/>
              </w:rPr>
              <w:t>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14:paraId="193656E4">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合理</w:t>
            </w:r>
            <w:r>
              <w:rPr>
                <w:rFonts w:hint="eastAsia" w:ascii="宋体" w:hAnsi="宋体" w:eastAsia="宋体" w:cs="宋体"/>
                <w:sz w:val="21"/>
                <w:szCs w:val="21"/>
                <w:lang w:val="zh-TW"/>
              </w:rPr>
              <w:t>、针对性和操作性</w:t>
            </w:r>
            <w:r>
              <w:rPr>
                <w:rFonts w:hint="eastAsia" w:ascii="宋体" w:hAnsi="宋体" w:eastAsia="宋体" w:cs="宋体"/>
                <w:sz w:val="21"/>
                <w:szCs w:val="21"/>
                <w:lang w:val="en-US"/>
              </w:rPr>
              <w:t>较全面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14:paraId="759BB265">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基本合理</w:t>
            </w:r>
            <w:r>
              <w:rPr>
                <w:rFonts w:hint="eastAsia" w:ascii="宋体" w:hAnsi="宋体" w:eastAsia="宋体" w:cs="宋体"/>
                <w:sz w:val="21"/>
                <w:szCs w:val="21"/>
                <w:lang w:val="zh-TW"/>
              </w:rPr>
              <w:t>、针对性和操作</w:t>
            </w:r>
            <w:r>
              <w:rPr>
                <w:rFonts w:hint="eastAsia" w:ascii="宋体" w:hAnsi="宋体" w:eastAsia="宋体" w:cs="宋体"/>
                <w:sz w:val="21"/>
                <w:szCs w:val="21"/>
                <w:lang w:val="en-US"/>
              </w:rPr>
              <w:t>欠缺的</w:t>
            </w:r>
            <w:r>
              <w:rPr>
                <w:rFonts w:hint="eastAsia" w:ascii="宋体" w:hAnsi="宋体" w:eastAsia="宋体" w:cs="宋体"/>
                <w:sz w:val="21"/>
                <w:szCs w:val="21"/>
                <w:lang w:val="zh-TW"/>
              </w:rPr>
              <w:t>得</w:t>
            </w:r>
            <w:r>
              <w:rPr>
                <w:rFonts w:hint="eastAsia" w:ascii="宋体" w:hAnsi="宋体" w:eastAsia="宋体" w:cs="宋体"/>
                <w:sz w:val="21"/>
                <w:szCs w:val="21"/>
                <w:lang w:val="en-US"/>
              </w:rPr>
              <w:t>2</w:t>
            </w:r>
            <w:r>
              <w:rPr>
                <w:rFonts w:hint="eastAsia" w:ascii="宋体" w:hAnsi="宋体" w:eastAsia="宋体" w:cs="宋体"/>
                <w:sz w:val="21"/>
                <w:szCs w:val="21"/>
                <w:lang w:val="zh-TW"/>
              </w:rPr>
              <w:t>分；</w:t>
            </w:r>
          </w:p>
          <w:p w14:paraId="24E378E6">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4.</w:t>
            </w:r>
            <w:r>
              <w:rPr>
                <w:rFonts w:hint="eastAsia" w:ascii="宋体" w:hAnsi="宋体" w:eastAsia="宋体" w:cs="宋体"/>
                <w:sz w:val="21"/>
                <w:szCs w:val="21"/>
                <w:lang w:val="zh-TW"/>
              </w:rPr>
              <w:t>方案</w:t>
            </w:r>
            <w:r>
              <w:rPr>
                <w:rFonts w:hint="eastAsia" w:ascii="宋体" w:hAnsi="宋体" w:eastAsia="宋体" w:cs="宋体"/>
                <w:sz w:val="21"/>
                <w:szCs w:val="21"/>
                <w:lang w:val="en-US"/>
              </w:rPr>
              <w:t>符合实际需求但</w:t>
            </w:r>
            <w:r>
              <w:rPr>
                <w:rFonts w:hint="eastAsia" w:ascii="宋体" w:hAnsi="宋体" w:eastAsia="宋体" w:cs="宋体"/>
                <w:sz w:val="21"/>
                <w:szCs w:val="21"/>
                <w:lang w:val="zh-TW"/>
              </w:rPr>
              <w:t>存在不合理的得1分；</w:t>
            </w:r>
          </w:p>
          <w:p w14:paraId="1FBBBE60">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b/>
                <w:bCs/>
                <w:sz w:val="21"/>
                <w:szCs w:val="21"/>
                <w:lang w:val="zh-TW"/>
              </w:rPr>
              <w:t>未提供不得分。</w:t>
            </w:r>
          </w:p>
        </w:tc>
        <w:tc>
          <w:tcPr>
            <w:tcW w:w="687" w:type="dxa"/>
            <w:noWrap/>
            <w:vAlign w:val="center"/>
          </w:tcPr>
          <w:p w14:paraId="6013BA46">
            <w:pPr>
              <w:spacing w:line="288" w:lineRule="auto"/>
              <w:jc w:val="center"/>
              <w:rPr>
                <w:rFonts w:ascii="宋体" w:hAnsi="宋体"/>
                <w:bCs/>
                <w:color w:val="auto"/>
                <w:szCs w:val="21"/>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14:paraId="394A5932">
            <w:pPr>
              <w:spacing w:line="288" w:lineRule="auto"/>
              <w:jc w:val="both"/>
              <w:rPr>
                <w:rFonts w:hint="eastAsia" w:ascii="宋体" w:hAnsi="宋体"/>
                <w:bCs/>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2708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5" w:type="dxa"/>
            <w:noWrap/>
            <w:vAlign w:val="center"/>
          </w:tcPr>
          <w:p w14:paraId="0587340C">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1157" w:type="dxa"/>
            <w:noWrap/>
            <w:vAlign w:val="center"/>
          </w:tcPr>
          <w:p w14:paraId="1D68FB72">
            <w:pPr>
              <w:spacing w:line="288" w:lineRule="auto"/>
              <w:jc w:val="center"/>
              <w:rPr>
                <w:rFonts w:hint="default" w:ascii="宋体" w:hAnsi="宋体" w:eastAsia="宋体"/>
                <w:bCs/>
                <w:color w:val="auto"/>
                <w:kern w:val="2"/>
                <w:szCs w:val="21"/>
                <w:lang w:val="en-US" w:eastAsia="zh-CN"/>
              </w:rPr>
            </w:pPr>
            <w:r>
              <w:rPr>
                <w:rFonts w:hint="eastAsia" w:ascii="宋体" w:hAnsi="宋体"/>
                <w:szCs w:val="21"/>
                <w:lang w:val="en-US" w:eastAsia="zh-CN"/>
              </w:rPr>
              <w:t>质量保证措施</w:t>
            </w:r>
          </w:p>
        </w:tc>
        <w:tc>
          <w:tcPr>
            <w:tcW w:w="7065" w:type="dxa"/>
            <w:noWrap/>
            <w:vAlign w:val="center"/>
          </w:tcPr>
          <w:p w14:paraId="0FC080D1">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根据供应商提供针对本项目质量保证的措施、证明资料以及对采购需求响应情况进行综合评分：</w:t>
            </w:r>
          </w:p>
          <w:p w14:paraId="0A520CA2">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CN"/>
              </w:rPr>
              <w:t>措施严密、证明资料齐全、采购需求完全响应的得4分；</w:t>
            </w:r>
          </w:p>
          <w:p w14:paraId="5767371E">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eastAsia="zh-CN"/>
              </w:rPr>
              <w:t>措施合理、证明资料较齐全、采购需求响应的得2分；</w:t>
            </w:r>
          </w:p>
          <w:p w14:paraId="2F42D6EB">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eastAsia="zh-CN"/>
              </w:rPr>
              <w:t>措施简单、证明资料不齐全、采购需求响应的得1分；</w:t>
            </w:r>
          </w:p>
          <w:p w14:paraId="2B2D6A29">
            <w:pPr>
              <w:pStyle w:val="15"/>
              <w:snapToGrid/>
              <w:spacing w:line="240" w:lineRule="auto"/>
              <w:ind w:firstLine="0"/>
              <w:rPr>
                <w:rFonts w:hint="eastAsia" w:ascii="宋体" w:hAnsi="宋体" w:cs="宋体"/>
                <w:szCs w:val="21"/>
              </w:rPr>
            </w:pPr>
            <w:r>
              <w:rPr>
                <w:rFonts w:hint="eastAsia" w:ascii="宋体" w:hAnsi="宋体" w:eastAsia="宋体" w:cs="宋体"/>
                <w:b/>
                <w:bCs/>
                <w:sz w:val="21"/>
                <w:szCs w:val="21"/>
                <w:lang w:val="zh-TW" w:eastAsia="zh-CN"/>
              </w:rPr>
              <w:t>未提供不得分。</w:t>
            </w:r>
          </w:p>
        </w:tc>
        <w:tc>
          <w:tcPr>
            <w:tcW w:w="687" w:type="dxa"/>
            <w:noWrap/>
            <w:vAlign w:val="center"/>
          </w:tcPr>
          <w:p w14:paraId="4828836C">
            <w:pPr>
              <w:spacing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4</w:t>
            </w:r>
          </w:p>
        </w:tc>
        <w:tc>
          <w:tcPr>
            <w:tcW w:w="652" w:type="dxa"/>
            <w:noWrap/>
            <w:vAlign w:val="center"/>
          </w:tcPr>
          <w:p w14:paraId="553995DA">
            <w:pPr>
              <w:spacing w:line="288" w:lineRule="auto"/>
              <w:jc w:val="center"/>
              <w:rPr>
                <w:rFonts w:hint="eastAsia" w:ascii="宋体" w:hAnsi="宋体"/>
                <w:bCs/>
                <w:color w:val="auto"/>
                <w:szCs w:val="21"/>
              </w:rPr>
            </w:pPr>
            <w:r>
              <w:rPr>
                <w:rFonts w:hint="eastAsia" w:ascii="宋体" w:hAnsi="宋体"/>
                <w:bCs/>
                <w:color w:val="auto"/>
                <w:szCs w:val="21"/>
              </w:rPr>
              <w:t>主观分</w:t>
            </w:r>
          </w:p>
        </w:tc>
      </w:tr>
      <w:tr w14:paraId="104C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05" w:type="dxa"/>
            <w:noWrap/>
            <w:vAlign w:val="center"/>
          </w:tcPr>
          <w:p w14:paraId="61D820E0">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5</w:t>
            </w:r>
          </w:p>
        </w:tc>
        <w:tc>
          <w:tcPr>
            <w:tcW w:w="1157" w:type="dxa"/>
            <w:noWrap/>
            <w:vAlign w:val="center"/>
          </w:tcPr>
          <w:p w14:paraId="1D991C9B">
            <w:pPr>
              <w:spacing w:line="288" w:lineRule="auto"/>
              <w:jc w:val="center"/>
              <w:rPr>
                <w:rFonts w:ascii="宋体" w:hAnsi="宋体"/>
                <w:bCs/>
                <w:color w:val="auto"/>
                <w:szCs w:val="21"/>
              </w:rPr>
            </w:pPr>
            <w:r>
              <w:rPr>
                <w:rFonts w:hint="eastAsia" w:ascii="宋体" w:hAnsi="宋体" w:eastAsia="宋体" w:cs="Times New Roman"/>
                <w:szCs w:val="21"/>
                <w:lang w:val="en-US" w:eastAsia="zh-CN"/>
              </w:rPr>
              <w:t>技术指标响应情况</w:t>
            </w:r>
          </w:p>
        </w:tc>
        <w:tc>
          <w:tcPr>
            <w:tcW w:w="7065" w:type="dxa"/>
            <w:noWrap/>
            <w:vAlign w:val="center"/>
          </w:tcPr>
          <w:p w14:paraId="793AE8C6">
            <w:pPr>
              <w:pStyle w:val="15"/>
              <w:snapToGrid/>
              <w:spacing w:line="240" w:lineRule="auto"/>
              <w:ind w:firstLine="0"/>
              <w:rPr>
                <w:rFonts w:hint="eastAsia" w:ascii="宋体" w:hAnsi="宋体" w:eastAsia="宋体" w:cs="宋体"/>
                <w:sz w:val="21"/>
                <w:szCs w:val="21"/>
                <w:lang w:val="en-GB"/>
              </w:rPr>
            </w:pPr>
            <w:r>
              <w:rPr>
                <w:rFonts w:hint="eastAsia" w:ascii="宋体" w:hAnsi="宋体" w:eastAsia="宋体" w:cs="宋体"/>
                <w:sz w:val="21"/>
                <w:szCs w:val="21"/>
                <w:lang w:val="en-GB"/>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GB"/>
              </w:rPr>
              <w:t>提供的技术参数偏离表及提供的证明材料，对照招标文件的技术参数要求进行评分：完全满足采购需求的得21分。负偏离带★的每项扣3分，不带★的每项扣1分。</w:t>
            </w:r>
          </w:p>
          <w:p w14:paraId="2189FA0C">
            <w:pPr>
              <w:pStyle w:val="15"/>
              <w:snapToGrid/>
              <w:spacing w:line="240" w:lineRule="auto"/>
              <w:ind w:firstLine="0"/>
              <w:rPr>
                <w:rFonts w:hint="eastAsia" w:ascii="宋体" w:hAnsi="宋体"/>
                <w:bCs/>
                <w:color w:val="auto"/>
                <w:szCs w:val="21"/>
              </w:rPr>
            </w:pPr>
            <w:r>
              <w:rPr>
                <w:rFonts w:hint="eastAsia" w:ascii="宋体" w:hAnsi="宋体" w:eastAsia="宋体" w:cs="宋体"/>
                <w:b/>
                <w:bCs/>
                <w:sz w:val="21"/>
                <w:szCs w:val="21"/>
                <w:lang w:val="en-GB"/>
              </w:rPr>
              <w:t>注：按要求提供证明材料给予佐证，未按要求提供证明材料的视为未响应，予以相应扣分；投标人提供的证明材料内容须清晰可辨认，若因字迹模糊无法判定参数的作负偏离扣分。</w:t>
            </w:r>
          </w:p>
        </w:tc>
        <w:tc>
          <w:tcPr>
            <w:tcW w:w="687" w:type="dxa"/>
            <w:noWrap/>
            <w:vAlign w:val="center"/>
          </w:tcPr>
          <w:p w14:paraId="76051FC6">
            <w:pPr>
              <w:spacing w:line="288"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0-21</w:t>
            </w:r>
          </w:p>
        </w:tc>
        <w:tc>
          <w:tcPr>
            <w:tcW w:w="652" w:type="dxa"/>
            <w:noWrap/>
            <w:vAlign w:val="center"/>
          </w:tcPr>
          <w:p w14:paraId="372D228C">
            <w:pPr>
              <w:spacing w:line="288" w:lineRule="auto"/>
              <w:jc w:val="center"/>
              <w:rPr>
                <w:rFonts w:hint="eastAsia" w:ascii="宋体" w:hAnsi="宋体"/>
                <w:bCs/>
                <w:color w:val="auto"/>
                <w:szCs w:val="21"/>
              </w:rPr>
            </w:pPr>
            <w:r>
              <w:rPr>
                <w:rFonts w:hint="eastAsia" w:ascii="宋体" w:hAnsi="宋体"/>
                <w:color w:val="auto"/>
                <w:szCs w:val="21"/>
              </w:rPr>
              <w:t>客观分</w:t>
            </w:r>
          </w:p>
        </w:tc>
      </w:tr>
      <w:tr w14:paraId="0AE9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44C2FC1E">
            <w:pPr>
              <w:snapToGrid w:val="0"/>
              <w:spacing w:before="156" w:line="288" w:lineRule="auto"/>
              <w:jc w:val="center"/>
              <w:rPr>
                <w:rFonts w:hint="eastAsia" w:ascii="宋体" w:hAnsi="宋体" w:eastAsia="宋体"/>
                <w:color w:val="auto"/>
                <w:szCs w:val="21"/>
                <w:lang w:eastAsia="zh-CN"/>
              </w:rPr>
            </w:pPr>
            <w:r>
              <w:rPr>
                <w:rFonts w:hint="eastAsia" w:ascii="宋体" w:hAnsi="宋体"/>
                <w:bCs/>
                <w:color w:val="auto"/>
                <w:szCs w:val="21"/>
                <w:lang w:val="en-US" w:eastAsia="zh-CN"/>
              </w:rPr>
              <w:t>6</w:t>
            </w:r>
          </w:p>
        </w:tc>
        <w:tc>
          <w:tcPr>
            <w:tcW w:w="1157" w:type="dxa"/>
            <w:noWrap/>
            <w:vAlign w:val="center"/>
          </w:tcPr>
          <w:p w14:paraId="18F53AEC">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拟投入人员情况</w:t>
            </w:r>
          </w:p>
        </w:tc>
        <w:tc>
          <w:tcPr>
            <w:tcW w:w="7065" w:type="dxa"/>
            <w:noWrap/>
            <w:vAlign w:val="center"/>
          </w:tcPr>
          <w:p w14:paraId="489267D5">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rPr>
              <w:t>拟投入本项目的人员的专业技术能力、工作经验、团队结构、人员数量等结构评审</w:t>
            </w:r>
            <w:r>
              <w:rPr>
                <w:rFonts w:hint="eastAsia" w:ascii="宋体" w:hAnsi="宋体" w:eastAsia="宋体" w:cs="宋体"/>
                <w:sz w:val="21"/>
                <w:szCs w:val="21"/>
                <w:lang w:val="en-US" w:eastAsia="zh-CN"/>
              </w:rPr>
              <w:t>：</w:t>
            </w:r>
          </w:p>
          <w:p w14:paraId="40FD0B7A">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人员结构专业技术能力强、工作经验丰富、团队结构合理、人员数量安排合理的得6分。</w:t>
            </w:r>
          </w:p>
          <w:p w14:paraId="1957EF6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人员结构专业技术能力较强、工作经验较丰富、团队结构较合理、人员数量安排较合理的</w:t>
            </w:r>
            <w:r>
              <w:rPr>
                <w:rFonts w:hint="eastAsia" w:ascii="宋体" w:hAnsi="宋体" w:eastAsia="宋体" w:cs="宋体"/>
                <w:sz w:val="21"/>
                <w:szCs w:val="21"/>
                <w:lang w:val="zh-TW"/>
              </w:rPr>
              <w:t>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52A40AE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人员结构专业技术能力欠佳、工作经验欠丰富、团队结构欠合理、人员数量安排欠合理的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75E7DC6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人员结构专业技术能力差、工作经验差、团队结构差、人员数量安排差的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0489F26B">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人员须与本项目有关，即必须为投标单位或产品生产厂家的人员（须提供证明材料）。无关人员不得分。</w:t>
            </w:r>
          </w:p>
        </w:tc>
        <w:tc>
          <w:tcPr>
            <w:tcW w:w="687" w:type="dxa"/>
            <w:noWrap/>
            <w:vAlign w:val="center"/>
          </w:tcPr>
          <w:p w14:paraId="5A32C7D5">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14:paraId="3530E7D7">
            <w:pPr>
              <w:snapToGrid w:val="0"/>
              <w:spacing w:line="288" w:lineRule="auto"/>
              <w:jc w:val="center"/>
              <w:rPr>
                <w:rFonts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1326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7E729C4C">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157" w:type="dxa"/>
            <w:noWrap/>
            <w:vAlign w:val="center"/>
          </w:tcPr>
          <w:p w14:paraId="3CC66487">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安装调试验收方案</w:t>
            </w:r>
          </w:p>
        </w:tc>
        <w:tc>
          <w:tcPr>
            <w:tcW w:w="7065" w:type="dxa"/>
            <w:noWrap/>
            <w:vAlign w:val="center"/>
          </w:tcPr>
          <w:p w14:paraId="0B7A71ED">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结合本项目特点，对供应商的安装调试方案等进行综合评审，主要包括：</w:t>
            </w:r>
          </w:p>
          <w:p w14:paraId="3FC020FA">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安装时间计划，最高得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5946FDFE">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设备调试安排，最高得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0746969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人员调配，最高得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68ACDFA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安装调试的重点难点，最高得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045F767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安装调试结果保障措施，最高得1分；</w:t>
            </w:r>
          </w:p>
          <w:p w14:paraId="67C26B4E">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zh-CN"/>
              </w:rPr>
              <w:t>描述细致且完全满足本项目需求的得</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分；每有一项缺失或内容与本项目无关的扣1分；每有一处内容无法满足本项目需求或有缺陷的扣0.</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w:t>
            </w:r>
            <w:r>
              <w:rPr>
                <w:rFonts w:hint="eastAsia" w:ascii="宋体" w:hAnsi="宋体" w:eastAsia="宋体" w:cs="宋体"/>
                <w:b/>
                <w:bCs/>
                <w:sz w:val="21"/>
                <w:szCs w:val="21"/>
                <w:lang w:val="en-US"/>
              </w:rPr>
              <w:t>。</w:t>
            </w:r>
          </w:p>
        </w:tc>
        <w:tc>
          <w:tcPr>
            <w:tcW w:w="687" w:type="dxa"/>
            <w:noWrap/>
            <w:vAlign w:val="center"/>
          </w:tcPr>
          <w:p w14:paraId="4B65A207">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0-5</w:t>
            </w:r>
          </w:p>
        </w:tc>
        <w:tc>
          <w:tcPr>
            <w:tcW w:w="652" w:type="dxa"/>
            <w:noWrap/>
            <w:vAlign w:val="center"/>
          </w:tcPr>
          <w:p w14:paraId="07EF7449">
            <w:pPr>
              <w:snapToGrid w:val="0"/>
              <w:spacing w:line="288" w:lineRule="auto"/>
              <w:jc w:val="center"/>
              <w:rPr>
                <w:rFonts w:ascii="宋体" w:hAnsi="宋体"/>
                <w:color w:val="auto"/>
                <w:szCs w:val="21"/>
              </w:rPr>
            </w:pPr>
            <w:r>
              <w:rPr>
                <w:rFonts w:ascii="宋体" w:hAnsi="宋体"/>
                <w:color w:val="auto"/>
                <w:szCs w:val="21"/>
              </w:rPr>
              <w:t>主观分</w:t>
            </w:r>
          </w:p>
        </w:tc>
      </w:tr>
      <w:tr w14:paraId="5318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41FDA840">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1157" w:type="dxa"/>
            <w:noWrap/>
            <w:vAlign w:val="center"/>
          </w:tcPr>
          <w:p w14:paraId="710466F4">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售后服务</w:t>
            </w:r>
          </w:p>
        </w:tc>
        <w:tc>
          <w:tcPr>
            <w:tcW w:w="7065" w:type="dxa"/>
            <w:noWrap/>
            <w:vAlign w:val="center"/>
          </w:tcPr>
          <w:p w14:paraId="31E848F0">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结合本项目特点，对供应商提供的运维保障及措施进行综合评分，包含但不限于：</w:t>
            </w:r>
          </w:p>
          <w:p w14:paraId="3BEF6CFE">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质保期服务内容承诺，最高得1分；</w:t>
            </w:r>
          </w:p>
          <w:p w14:paraId="70702144">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响应方式、响应时间，最高得1分；</w:t>
            </w:r>
          </w:p>
          <w:p w14:paraId="1F0467B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根据零部件、备品备件的完整性、合理性，最高得1分；</w:t>
            </w:r>
          </w:p>
          <w:p w14:paraId="016E5BB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售后服务点设置情况，最高得1分；</w:t>
            </w:r>
          </w:p>
          <w:p w14:paraId="08911D0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rPr>
              <w:t>保修期外服务承诺，最高得1分；</w:t>
            </w:r>
          </w:p>
          <w:p w14:paraId="2B65937C">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rPr>
              <w:t>质保期外易损件的收费情况最高得1分；</w:t>
            </w:r>
          </w:p>
          <w:p w14:paraId="5DFF2325">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b/>
                <w:bCs/>
                <w:sz w:val="21"/>
                <w:szCs w:val="21"/>
                <w:lang w:val="en-US"/>
              </w:rPr>
              <w:t>运维保障及措施合理、可行，内容全面，制度完整，能够确保服务质效的，最高得6分。存在缺陷或不完善、不可行的每处扣1分。</w:t>
            </w:r>
          </w:p>
        </w:tc>
        <w:tc>
          <w:tcPr>
            <w:tcW w:w="687" w:type="dxa"/>
            <w:noWrap/>
            <w:vAlign w:val="center"/>
          </w:tcPr>
          <w:p w14:paraId="74143225">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14:paraId="4D977244">
            <w:pPr>
              <w:snapToGrid w:val="0"/>
              <w:spacing w:line="288" w:lineRule="auto"/>
              <w:jc w:val="center"/>
              <w:rPr>
                <w:rFonts w:hint="eastAsia" w:ascii="宋体" w:hAnsi="宋体"/>
                <w:color w:val="auto"/>
                <w:szCs w:val="21"/>
              </w:rPr>
            </w:pPr>
            <w:r>
              <w:rPr>
                <w:rFonts w:ascii="宋体" w:hAnsi="宋体"/>
                <w:color w:val="auto"/>
                <w:szCs w:val="21"/>
              </w:rPr>
              <w:t>主观分</w:t>
            </w:r>
          </w:p>
        </w:tc>
      </w:tr>
      <w:tr w14:paraId="127E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3A31739B">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1157" w:type="dxa"/>
            <w:noWrap/>
            <w:vAlign w:val="center"/>
          </w:tcPr>
          <w:p w14:paraId="03974011">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样品</w:t>
            </w:r>
          </w:p>
        </w:tc>
        <w:tc>
          <w:tcPr>
            <w:tcW w:w="7065" w:type="dxa"/>
            <w:noWrap/>
            <w:vAlign w:val="center"/>
          </w:tcPr>
          <w:p w14:paraId="7EA44A1C">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高扬程消防水泵样品（9分）：</w:t>
            </w:r>
          </w:p>
          <w:p w14:paraId="203D566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根据样品外观、设计合理性（包括所用材料、焊接工艺、设备紧凑、轻巧、便捷性进行综合评比，外观精良、设计合理性强的得3分；一般的得1分；欠缺的得0.5分。</w:t>
            </w:r>
          </w:p>
          <w:p w14:paraId="4F9C4E6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控制面板及遥控器上具有出水压力、发动机转速、工作时长显示。每项得1分，共6分，缺项不得分。</w:t>
            </w:r>
          </w:p>
          <w:p w14:paraId="1E3DA0A5">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提水桶（4分）：桶体、提手等的材质、样品直径、高度及重量是否符合招标文件要求进行综合评分，完全符合的得2分，不符合的每项扣0.5分。</w:t>
            </w:r>
          </w:p>
          <w:p w14:paraId="639C767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提供样品外观与采购需求的符合性：根据样品外观结构是否完整、线条清晰、无毛刺，制造工艺等进行综合评分,外观精良、工艺精湛的得2分；一般的得1分；欠缺的得0.5分。</w:t>
            </w:r>
          </w:p>
          <w:p w14:paraId="09FA5AC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注：未提供样品或提供样品不符合采购需求的不得分。</w:t>
            </w:r>
          </w:p>
        </w:tc>
        <w:tc>
          <w:tcPr>
            <w:tcW w:w="687" w:type="dxa"/>
            <w:noWrap/>
            <w:vAlign w:val="center"/>
          </w:tcPr>
          <w:p w14:paraId="5BAF106F">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0-13</w:t>
            </w:r>
          </w:p>
        </w:tc>
        <w:tc>
          <w:tcPr>
            <w:tcW w:w="652" w:type="dxa"/>
            <w:noWrap/>
            <w:vAlign w:val="center"/>
          </w:tcPr>
          <w:p w14:paraId="4D209A18">
            <w:pPr>
              <w:snapToGrid w:val="0"/>
              <w:spacing w:line="288" w:lineRule="auto"/>
              <w:jc w:val="center"/>
              <w:rPr>
                <w:rFonts w:hint="eastAsia" w:ascii="宋体" w:hAnsi="宋体"/>
                <w:color w:val="auto"/>
                <w:szCs w:val="21"/>
              </w:rPr>
            </w:pPr>
            <w:r>
              <w:rPr>
                <w:rFonts w:ascii="宋体" w:hAnsi="宋体"/>
                <w:color w:val="auto"/>
                <w:szCs w:val="21"/>
              </w:rPr>
              <w:t>主观分</w:t>
            </w:r>
          </w:p>
        </w:tc>
      </w:tr>
    </w:tbl>
    <w:p w14:paraId="53C4DA2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5.2.报价分值</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w:t>
      </w:r>
      <w:bookmarkStart w:id="190" w:name="EB217c00f118724f6bb5745c5cec252819"/>
    </w:p>
    <w:bookmarkEnd w:id="190"/>
    <w:p w14:paraId="551D35DB">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191" w:name="_Toc23610"/>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评标基准价=投标报价中的最低报价；</w:t>
      </w:r>
    </w:p>
    <w:p w14:paraId="7B375A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投标报价等于评标基准价的得</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分，其他投标人的报价得分按下列公式计算：</w:t>
      </w:r>
    </w:p>
    <w:p w14:paraId="670849A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投标报价得分=（评定基准价/投标报价）×报价权重×100。 </w:t>
      </w:r>
    </w:p>
    <w:p w14:paraId="253783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满足招标文件要求且报价最低的为评审基准价，其余投标人报价与该基准价对比，计算出报价评分值（小数点后按四舍五入保留2位）：</w:t>
      </w:r>
    </w:p>
    <w:p w14:paraId="3539E68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   评审纪律和要求</w:t>
      </w:r>
      <w:bookmarkEnd w:id="187"/>
      <w:bookmarkEnd w:id="188"/>
      <w:bookmarkEnd w:id="189"/>
      <w:bookmarkEnd w:id="191"/>
    </w:p>
    <w:p w14:paraId="5C1674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评审专家必须公平、公正评审，遵纪守法，客观、</w:t>
      </w:r>
      <w:r>
        <w:rPr>
          <w:rFonts w:hint="eastAsia" w:ascii="宋体" w:hAnsi="宋体" w:cs="宋体"/>
          <w:iCs/>
          <w:color w:val="000000" w:themeColor="text1"/>
          <w:spacing w:val="20"/>
          <w:sz w:val="24"/>
          <w:highlight w:val="none"/>
          <w14:textFill>
            <w14:solidFill>
              <w14:schemeClr w14:val="tx1"/>
            </w14:solidFill>
          </w14:textFill>
        </w:rPr>
        <w:t>廉洁</w:t>
      </w:r>
      <w:r>
        <w:rPr>
          <w:rFonts w:hint="eastAsia" w:ascii="宋体" w:hAnsi="宋体" w:cs="宋体"/>
          <w:color w:val="000000" w:themeColor="text1"/>
          <w:sz w:val="24"/>
          <w:highlight w:val="none"/>
          <w14:textFill>
            <w14:solidFill>
              <w14:schemeClr w14:val="tx1"/>
            </w14:solidFill>
          </w14:textFill>
        </w:rPr>
        <w:t>地履行职责。</w:t>
      </w:r>
    </w:p>
    <w:p w14:paraId="4E6B98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评审专家在评审开始前，应关闭并上交随身携带的各种通信工具。</w:t>
      </w:r>
    </w:p>
    <w:p w14:paraId="3641AA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评审专家在评审过程中，未经许可不得中途离开评审现场，不得迟到早退。</w:t>
      </w:r>
    </w:p>
    <w:p w14:paraId="36701C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 评审专家和工作人员不得透露评审过程中的讨论情况和评审结果。</w:t>
      </w:r>
    </w:p>
    <w:p w14:paraId="30DAE16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3BEB2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 采购人、采购代理机构不得向评审委员会的评审专家作倾向性、误导性的解释或者说明。</w:t>
      </w:r>
    </w:p>
    <w:p w14:paraId="4A56A6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B78A78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 评审专家在评审过程中不得将自己的观点强加给其他评审专家，评审专家应自主发表见解，对评审意见承担个人责任。</w:t>
      </w:r>
    </w:p>
    <w:p w14:paraId="22575E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 评审结束后，评审委员会应向采购代理机构提交项目评审报告。评审报告是采购人确定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D71E5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14:paraId="42DCCF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评审专家应当遵守评审工作纪律，不得泄露评审文件、评审情况和评审中获悉的商业秘密。</w:t>
      </w:r>
    </w:p>
    <w:p w14:paraId="47C885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299EF9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招标文件内容违反国家有关强制性规定的，评审委员会应当停止评审并向采购代理机构说明情况。</w:t>
      </w:r>
    </w:p>
    <w:p w14:paraId="427933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评审专家应当配合采购代理机构答复投标人提出的质疑。</w:t>
      </w:r>
    </w:p>
    <w:p w14:paraId="4170F4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评审专家应当配合财政部门的投诉处理工作。</w:t>
      </w:r>
    </w:p>
    <w:p w14:paraId="78F850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6.15评审专家有如下行为之一的，责令改正，给予警告，可以并处一千元以下的罚款：</w:t>
      </w:r>
    </w:p>
    <w:p w14:paraId="4282D0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6.15.1 明知应当回避而未主动回避的；</w:t>
      </w:r>
    </w:p>
    <w:p w14:paraId="762920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6.15.2 在知道自己为评审专家身份后至评审结束前的时段内私下接触投标人的；</w:t>
      </w:r>
    </w:p>
    <w:p w14:paraId="03A877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6.15.3 在评审过程中擅离职守，影响评审程序正常进行的；</w:t>
      </w:r>
    </w:p>
    <w:p w14:paraId="56B09F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6.15.4 在评审过程有明显不合理或者不正当倾向性的；</w:t>
      </w:r>
    </w:p>
    <w:p w14:paraId="58258C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6.15.5 未按招标文件规定的评审方法和标准进行评审的。</w:t>
      </w:r>
    </w:p>
    <w:p w14:paraId="6CA1F3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6.15.6 上述6.15.1至6.15.5行为影响中标结果的，中标结果无效。</w:t>
      </w:r>
    </w:p>
    <w:p w14:paraId="1A7BB0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14:paraId="6B6C3B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3AE4C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2F9921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3D7C89DC">
      <w:pPr>
        <w:spacing w:line="360" w:lineRule="auto"/>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7D85B3D6">
      <w:pPr>
        <w:pStyle w:val="35"/>
        <w:rPr>
          <w:rFonts w:ascii="宋体" w:hAnsi="宋体" w:eastAsia="宋体" w:cs="宋体"/>
          <w:color w:val="000000" w:themeColor="text1"/>
          <w:highlight w:val="none"/>
          <w14:textFill>
            <w14:solidFill>
              <w14:schemeClr w14:val="tx1"/>
            </w14:solidFill>
          </w14:textFill>
        </w:rPr>
      </w:pP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A7A5">
    <w:pPr>
      <w:pStyle w:val="16"/>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7B02">
    <w:pPr>
      <w:pStyle w:val="16"/>
      <w:tabs>
        <w:tab w:val="left" w:pos="38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F0EA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1F0EA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F223">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136E2">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C136E2">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F404">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23462">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523462">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4924">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7CD3">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1DB0"/>
    <w:multiLevelType w:val="singleLevel"/>
    <w:tmpl w:val="84B21DB0"/>
    <w:lvl w:ilvl="0" w:tentative="0">
      <w:start w:val="1"/>
      <w:numFmt w:val="decimal"/>
      <w:suff w:val="nothing"/>
      <w:lvlText w:val="（%1）"/>
      <w:lvlJc w:val="left"/>
    </w:lvl>
  </w:abstractNum>
  <w:abstractNum w:abstractNumId="1">
    <w:nsid w:val="975A2BAA"/>
    <w:multiLevelType w:val="multilevel"/>
    <w:tmpl w:val="975A2BAA"/>
    <w:lvl w:ilvl="0" w:tentative="0">
      <w:start w:val="1"/>
      <w:numFmt w:val="decimal"/>
      <w:suff w:val="nothing"/>
      <w:lvlText w:val="%1、"/>
      <w:lvlJc w:val="left"/>
      <w:pPr>
        <w:tabs>
          <w:tab w:val="left" w:pos="0"/>
        </w:tabs>
        <w:ind w:left="3828" w:firstLine="0"/>
      </w:pPr>
      <w:rPr>
        <w:rFonts w:hint="default" w:ascii="宋体" w:hAnsi="宋体" w:eastAsia="宋体" w:cs="Times New Roman"/>
        <w:b/>
        <w:i w:val="0"/>
        <w:caps w:val="0"/>
        <w:strike w:val="0"/>
        <w:dstrike w:val="0"/>
        <w:snapToGrid w:val="0"/>
        <w:vanish w:val="0"/>
        <w:spacing w:val="0"/>
        <w:w w:val="100"/>
        <w:kern w:val="0"/>
        <w:position w:val="0"/>
        <w:sz w:val="24"/>
        <w:vertAlign w:val="baseline"/>
      </w:rPr>
    </w:lvl>
    <w:lvl w:ilvl="1" w:tentative="0">
      <w:start w:val="1"/>
      <w:numFmt w:val="decimal"/>
      <w:pStyle w:val="138"/>
      <w:isLgl/>
      <w:suff w:val="space"/>
      <w:lvlText w:val="%1.%2"/>
      <w:lvlJc w:val="left"/>
      <w:pPr>
        <w:ind w:left="0" w:firstLine="0"/>
      </w:pPr>
      <w:rPr>
        <w:rFonts w:hint="eastAsia"/>
        <w:b/>
        <w:i w:val="0"/>
      </w:rPr>
    </w:lvl>
    <w:lvl w:ilvl="2" w:tentative="0">
      <w:start w:val="1"/>
      <w:numFmt w:val="decimal"/>
      <w:pStyle w:val="137"/>
      <w:isLgl/>
      <w:suff w:val="space"/>
      <w:lvlText w:val="%1.%2.%3"/>
      <w:lvlJc w:val="left"/>
      <w:pPr>
        <w:ind w:left="0" w:firstLine="0"/>
      </w:pPr>
      <w:rPr>
        <w:rFonts w:hint="eastAsia"/>
        <w:b/>
        <w:i w:val="0"/>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6E78FBA"/>
    <w:multiLevelType w:val="singleLevel"/>
    <w:tmpl w:val="36E78FBA"/>
    <w:lvl w:ilvl="0" w:tentative="0">
      <w:start w:val="3"/>
      <w:numFmt w:val="decimal"/>
      <w:lvlText w:val="%1."/>
      <w:lvlJc w:val="left"/>
      <w:pPr>
        <w:tabs>
          <w:tab w:val="left" w:pos="312"/>
        </w:tabs>
      </w:pPr>
    </w:lvl>
  </w:abstractNum>
  <w:abstractNum w:abstractNumId="3">
    <w:nsid w:val="41D233D9"/>
    <w:multiLevelType w:val="singleLevel"/>
    <w:tmpl w:val="41D233D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14658C"/>
    <w:rsid w:val="00172A27"/>
    <w:rsid w:val="001A4D3C"/>
    <w:rsid w:val="001F02E5"/>
    <w:rsid w:val="00267877"/>
    <w:rsid w:val="002C1A78"/>
    <w:rsid w:val="003B6343"/>
    <w:rsid w:val="003B6E2E"/>
    <w:rsid w:val="004A4F7D"/>
    <w:rsid w:val="004E0E17"/>
    <w:rsid w:val="005C5FB7"/>
    <w:rsid w:val="005D2854"/>
    <w:rsid w:val="006D286B"/>
    <w:rsid w:val="00712769"/>
    <w:rsid w:val="00721900"/>
    <w:rsid w:val="00721B93"/>
    <w:rsid w:val="00906786"/>
    <w:rsid w:val="00933398"/>
    <w:rsid w:val="00A91EA4"/>
    <w:rsid w:val="00B05016"/>
    <w:rsid w:val="00C92C6B"/>
    <w:rsid w:val="00D8493D"/>
    <w:rsid w:val="00E33012"/>
    <w:rsid w:val="00E36778"/>
    <w:rsid w:val="00EB24BC"/>
    <w:rsid w:val="016D0EAA"/>
    <w:rsid w:val="01764A52"/>
    <w:rsid w:val="024B63AD"/>
    <w:rsid w:val="02724997"/>
    <w:rsid w:val="02897931"/>
    <w:rsid w:val="028C10EB"/>
    <w:rsid w:val="02E042DD"/>
    <w:rsid w:val="02E17401"/>
    <w:rsid w:val="03046193"/>
    <w:rsid w:val="03063E06"/>
    <w:rsid w:val="03222494"/>
    <w:rsid w:val="03393105"/>
    <w:rsid w:val="03905945"/>
    <w:rsid w:val="03AB179F"/>
    <w:rsid w:val="03B51EBC"/>
    <w:rsid w:val="03F3644D"/>
    <w:rsid w:val="040770F3"/>
    <w:rsid w:val="04117BDE"/>
    <w:rsid w:val="041D0429"/>
    <w:rsid w:val="042506E3"/>
    <w:rsid w:val="047A36B0"/>
    <w:rsid w:val="04AC2ECF"/>
    <w:rsid w:val="050F07EE"/>
    <w:rsid w:val="053238B0"/>
    <w:rsid w:val="0541376E"/>
    <w:rsid w:val="0542197B"/>
    <w:rsid w:val="05467D77"/>
    <w:rsid w:val="05485AD4"/>
    <w:rsid w:val="054E687D"/>
    <w:rsid w:val="05915426"/>
    <w:rsid w:val="05AC4D3B"/>
    <w:rsid w:val="05B52FF1"/>
    <w:rsid w:val="05E01F5E"/>
    <w:rsid w:val="0613352B"/>
    <w:rsid w:val="066D777B"/>
    <w:rsid w:val="06A42F8B"/>
    <w:rsid w:val="06B03B3A"/>
    <w:rsid w:val="06C91D6F"/>
    <w:rsid w:val="070036FD"/>
    <w:rsid w:val="07395C5C"/>
    <w:rsid w:val="074B7B2B"/>
    <w:rsid w:val="074E7817"/>
    <w:rsid w:val="07993228"/>
    <w:rsid w:val="07B6220C"/>
    <w:rsid w:val="07C9201E"/>
    <w:rsid w:val="07C949B8"/>
    <w:rsid w:val="07F47604"/>
    <w:rsid w:val="085926D0"/>
    <w:rsid w:val="08632F5F"/>
    <w:rsid w:val="086F1381"/>
    <w:rsid w:val="08843074"/>
    <w:rsid w:val="08BC0A60"/>
    <w:rsid w:val="090F72CE"/>
    <w:rsid w:val="096B7CBF"/>
    <w:rsid w:val="099010F5"/>
    <w:rsid w:val="09CB5BBC"/>
    <w:rsid w:val="09FF03C8"/>
    <w:rsid w:val="0A58650F"/>
    <w:rsid w:val="0A774519"/>
    <w:rsid w:val="0A8F3F52"/>
    <w:rsid w:val="0AF71F8B"/>
    <w:rsid w:val="0B06544F"/>
    <w:rsid w:val="0B1571D5"/>
    <w:rsid w:val="0B510739"/>
    <w:rsid w:val="0B857656"/>
    <w:rsid w:val="0B8A5162"/>
    <w:rsid w:val="0BD43C6E"/>
    <w:rsid w:val="0C460F23"/>
    <w:rsid w:val="0C4C20FB"/>
    <w:rsid w:val="0C6558FB"/>
    <w:rsid w:val="0C673C5C"/>
    <w:rsid w:val="0CBA5A78"/>
    <w:rsid w:val="0CE335F9"/>
    <w:rsid w:val="0D244747"/>
    <w:rsid w:val="0D363A05"/>
    <w:rsid w:val="0D747519"/>
    <w:rsid w:val="0D8E470D"/>
    <w:rsid w:val="0DB15F6D"/>
    <w:rsid w:val="0E261344"/>
    <w:rsid w:val="0E3270CE"/>
    <w:rsid w:val="0E491511"/>
    <w:rsid w:val="0E7A12E5"/>
    <w:rsid w:val="0E84178A"/>
    <w:rsid w:val="0E932937"/>
    <w:rsid w:val="0EEF76D1"/>
    <w:rsid w:val="0F3A26DF"/>
    <w:rsid w:val="0F7D25CB"/>
    <w:rsid w:val="0F9852C0"/>
    <w:rsid w:val="0FBA31FE"/>
    <w:rsid w:val="0FD07503"/>
    <w:rsid w:val="0FE95EB3"/>
    <w:rsid w:val="10233B99"/>
    <w:rsid w:val="10280789"/>
    <w:rsid w:val="10345380"/>
    <w:rsid w:val="103C5FE2"/>
    <w:rsid w:val="10D1009C"/>
    <w:rsid w:val="10D62C55"/>
    <w:rsid w:val="10E4718F"/>
    <w:rsid w:val="10F800ED"/>
    <w:rsid w:val="10FC608E"/>
    <w:rsid w:val="1113155C"/>
    <w:rsid w:val="11B91861"/>
    <w:rsid w:val="12046EFB"/>
    <w:rsid w:val="122B3718"/>
    <w:rsid w:val="122E0AB9"/>
    <w:rsid w:val="124A1526"/>
    <w:rsid w:val="12705F2F"/>
    <w:rsid w:val="12862692"/>
    <w:rsid w:val="128A1884"/>
    <w:rsid w:val="13BA7068"/>
    <w:rsid w:val="13BD5C40"/>
    <w:rsid w:val="13BE3E71"/>
    <w:rsid w:val="13E92C40"/>
    <w:rsid w:val="1404150D"/>
    <w:rsid w:val="14176C38"/>
    <w:rsid w:val="141F00F5"/>
    <w:rsid w:val="147B23C2"/>
    <w:rsid w:val="149071D2"/>
    <w:rsid w:val="14992136"/>
    <w:rsid w:val="14A92287"/>
    <w:rsid w:val="14BC3B96"/>
    <w:rsid w:val="14FC218C"/>
    <w:rsid w:val="15516BA1"/>
    <w:rsid w:val="157658E8"/>
    <w:rsid w:val="15766302"/>
    <w:rsid w:val="15780ACA"/>
    <w:rsid w:val="15A72E39"/>
    <w:rsid w:val="15AA3FD7"/>
    <w:rsid w:val="15AD7024"/>
    <w:rsid w:val="16186ACE"/>
    <w:rsid w:val="161B13E4"/>
    <w:rsid w:val="162F7AA5"/>
    <w:rsid w:val="16302619"/>
    <w:rsid w:val="16466B98"/>
    <w:rsid w:val="167A536A"/>
    <w:rsid w:val="167B5B8D"/>
    <w:rsid w:val="1683496B"/>
    <w:rsid w:val="16BD0666"/>
    <w:rsid w:val="16F067C0"/>
    <w:rsid w:val="173236C6"/>
    <w:rsid w:val="174425FB"/>
    <w:rsid w:val="174A3651"/>
    <w:rsid w:val="1773448D"/>
    <w:rsid w:val="179254F0"/>
    <w:rsid w:val="17C2315E"/>
    <w:rsid w:val="18595B81"/>
    <w:rsid w:val="18770A9F"/>
    <w:rsid w:val="189270E7"/>
    <w:rsid w:val="18B544FF"/>
    <w:rsid w:val="18DE13E4"/>
    <w:rsid w:val="19151AC7"/>
    <w:rsid w:val="19276313"/>
    <w:rsid w:val="194128BC"/>
    <w:rsid w:val="19885D92"/>
    <w:rsid w:val="19AB0D99"/>
    <w:rsid w:val="19B861A9"/>
    <w:rsid w:val="1A043D0F"/>
    <w:rsid w:val="1A4B50AA"/>
    <w:rsid w:val="1A6130B1"/>
    <w:rsid w:val="1A7A4EC0"/>
    <w:rsid w:val="1A9376DC"/>
    <w:rsid w:val="1ABD5EAB"/>
    <w:rsid w:val="1AD30E37"/>
    <w:rsid w:val="1AD85520"/>
    <w:rsid w:val="1AE30F1C"/>
    <w:rsid w:val="1B2213A0"/>
    <w:rsid w:val="1B727E84"/>
    <w:rsid w:val="1BA6220F"/>
    <w:rsid w:val="1BE70C00"/>
    <w:rsid w:val="1BF173F3"/>
    <w:rsid w:val="1C031EA9"/>
    <w:rsid w:val="1C683BF4"/>
    <w:rsid w:val="1CAC0220"/>
    <w:rsid w:val="1CDC19F9"/>
    <w:rsid w:val="1CF62BF1"/>
    <w:rsid w:val="1D0F6092"/>
    <w:rsid w:val="1D171EF9"/>
    <w:rsid w:val="1D2E677C"/>
    <w:rsid w:val="1D500C19"/>
    <w:rsid w:val="1D6B6159"/>
    <w:rsid w:val="1D9B5F40"/>
    <w:rsid w:val="1DA11B98"/>
    <w:rsid w:val="1DAB4E53"/>
    <w:rsid w:val="1DF31E95"/>
    <w:rsid w:val="1E0A3AC5"/>
    <w:rsid w:val="1E437AD2"/>
    <w:rsid w:val="1E562914"/>
    <w:rsid w:val="1E723DCB"/>
    <w:rsid w:val="1E760AF4"/>
    <w:rsid w:val="1EBB720E"/>
    <w:rsid w:val="1EC7171D"/>
    <w:rsid w:val="1EF022D3"/>
    <w:rsid w:val="1EF459C9"/>
    <w:rsid w:val="1F79024A"/>
    <w:rsid w:val="1F8F4381"/>
    <w:rsid w:val="1FB3668E"/>
    <w:rsid w:val="1FD91577"/>
    <w:rsid w:val="200A51EE"/>
    <w:rsid w:val="201E3957"/>
    <w:rsid w:val="20206087"/>
    <w:rsid w:val="203D2EA6"/>
    <w:rsid w:val="209029D8"/>
    <w:rsid w:val="20B22DCF"/>
    <w:rsid w:val="20D50C2E"/>
    <w:rsid w:val="20DE6949"/>
    <w:rsid w:val="20F84A0D"/>
    <w:rsid w:val="211E6D66"/>
    <w:rsid w:val="211E74DE"/>
    <w:rsid w:val="211F25A7"/>
    <w:rsid w:val="21224D81"/>
    <w:rsid w:val="212B724B"/>
    <w:rsid w:val="21336F8E"/>
    <w:rsid w:val="2141407C"/>
    <w:rsid w:val="215C607F"/>
    <w:rsid w:val="218815F3"/>
    <w:rsid w:val="21B75C14"/>
    <w:rsid w:val="22084068"/>
    <w:rsid w:val="221A4B12"/>
    <w:rsid w:val="2225131A"/>
    <w:rsid w:val="224654D8"/>
    <w:rsid w:val="22751D75"/>
    <w:rsid w:val="228E4FC7"/>
    <w:rsid w:val="22BB7089"/>
    <w:rsid w:val="22E86BD0"/>
    <w:rsid w:val="22FA4BFB"/>
    <w:rsid w:val="22FE0FD0"/>
    <w:rsid w:val="234C1E36"/>
    <w:rsid w:val="235073EC"/>
    <w:rsid w:val="2351577F"/>
    <w:rsid w:val="235268D1"/>
    <w:rsid w:val="23B067A6"/>
    <w:rsid w:val="23EF29AE"/>
    <w:rsid w:val="247C7EAE"/>
    <w:rsid w:val="247D3A55"/>
    <w:rsid w:val="24BA21D1"/>
    <w:rsid w:val="24CA4589"/>
    <w:rsid w:val="24E8234A"/>
    <w:rsid w:val="25375190"/>
    <w:rsid w:val="255319AC"/>
    <w:rsid w:val="256C2A6E"/>
    <w:rsid w:val="25873D4C"/>
    <w:rsid w:val="25F972D3"/>
    <w:rsid w:val="26210F30"/>
    <w:rsid w:val="262A4ECE"/>
    <w:rsid w:val="26325A66"/>
    <w:rsid w:val="26404E35"/>
    <w:rsid w:val="26442768"/>
    <w:rsid w:val="2658763F"/>
    <w:rsid w:val="269D5B1D"/>
    <w:rsid w:val="27161F43"/>
    <w:rsid w:val="272D447F"/>
    <w:rsid w:val="278A18D2"/>
    <w:rsid w:val="27FF7BCA"/>
    <w:rsid w:val="2821014A"/>
    <w:rsid w:val="288342CD"/>
    <w:rsid w:val="289D107F"/>
    <w:rsid w:val="28A57972"/>
    <w:rsid w:val="28BA1D43"/>
    <w:rsid w:val="28CE5F50"/>
    <w:rsid w:val="28EB02E8"/>
    <w:rsid w:val="29286CCD"/>
    <w:rsid w:val="294237A4"/>
    <w:rsid w:val="295B1445"/>
    <w:rsid w:val="29B242F6"/>
    <w:rsid w:val="29B6331C"/>
    <w:rsid w:val="2A354715"/>
    <w:rsid w:val="2AAC4C35"/>
    <w:rsid w:val="2AC10ADC"/>
    <w:rsid w:val="2ACA7212"/>
    <w:rsid w:val="2ACF0873"/>
    <w:rsid w:val="2ADA0744"/>
    <w:rsid w:val="2B1441A7"/>
    <w:rsid w:val="2B6F47FF"/>
    <w:rsid w:val="2BAA498E"/>
    <w:rsid w:val="2BE06C60"/>
    <w:rsid w:val="2BE85576"/>
    <w:rsid w:val="2C5D68DF"/>
    <w:rsid w:val="2C797AC3"/>
    <w:rsid w:val="2C8835CB"/>
    <w:rsid w:val="2C9516D3"/>
    <w:rsid w:val="2CD020EF"/>
    <w:rsid w:val="2CFB5D3D"/>
    <w:rsid w:val="2D3B1791"/>
    <w:rsid w:val="2D7A0381"/>
    <w:rsid w:val="2DA41A22"/>
    <w:rsid w:val="2DD937C1"/>
    <w:rsid w:val="2DE71514"/>
    <w:rsid w:val="2DF77671"/>
    <w:rsid w:val="2E2C0556"/>
    <w:rsid w:val="2E575E3A"/>
    <w:rsid w:val="2E6A32E4"/>
    <w:rsid w:val="2E746C44"/>
    <w:rsid w:val="2E7E01C3"/>
    <w:rsid w:val="2E9C2C53"/>
    <w:rsid w:val="2EE67D35"/>
    <w:rsid w:val="2EF02962"/>
    <w:rsid w:val="2F027AF9"/>
    <w:rsid w:val="2FBA6E32"/>
    <w:rsid w:val="30101167"/>
    <w:rsid w:val="301343BA"/>
    <w:rsid w:val="30156509"/>
    <w:rsid w:val="305F1B4D"/>
    <w:rsid w:val="30851764"/>
    <w:rsid w:val="30D20571"/>
    <w:rsid w:val="30E12F2E"/>
    <w:rsid w:val="30F050BA"/>
    <w:rsid w:val="31330378"/>
    <w:rsid w:val="317B29B7"/>
    <w:rsid w:val="31A41A56"/>
    <w:rsid w:val="31A63CF2"/>
    <w:rsid w:val="31DF0DFF"/>
    <w:rsid w:val="31F1548D"/>
    <w:rsid w:val="32355D6E"/>
    <w:rsid w:val="323C3A1F"/>
    <w:rsid w:val="32416789"/>
    <w:rsid w:val="324533B4"/>
    <w:rsid w:val="32537A1E"/>
    <w:rsid w:val="32555022"/>
    <w:rsid w:val="328A6A0C"/>
    <w:rsid w:val="328C2084"/>
    <w:rsid w:val="32A7617F"/>
    <w:rsid w:val="32D337F9"/>
    <w:rsid w:val="33163CB5"/>
    <w:rsid w:val="33294C03"/>
    <w:rsid w:val="332B4269"/>
    <w:rsid w:val="333B3D69"/>
    <w:rsid w:val="335A65FC"/>
    <w:rsid w:val="33B10912"/>
    <w:rsid w:val="33B87A8E"/>
    <w:rsid w:val="343C450B"/>
    <w:rsid w:val="34D36666"/>
    <w:rsid w:val="3503127C"/>
    <w:rsid w:val="350E3B42"/>
    <w:rsid w:val="35106C8E"/>
    <w:rsid w:val="353A4937"/>
    <w:rsid w:val="353E103A"/>
    <w:rsid w:val="35527208"/>
    <w:rsid w:val="35A70D5A"/>
    <w:rsid w:val="36221DBF"/>
    <w:rsid w:val="364D3465"/>
    <w:rsid w:val="36AF2F1F"/>
    <w:rsid w:val="36D00F89"/>
    <w:rsid w:val="37686ABF"/>
    <w:rsid w:val="377C1E86"/>
    <w:rsid w:val="37D71529"/>
    <w:rsid w:val="37F45271"/>
    <w:rsid w:val="37F57DF2"/>
    <w:rsid w:val="384735C5"/>
    <w:rsid w:val="384F258A"/>
    <w:rsid w:val="38FD0155"/>
    <w:rsid w:val="390600CD"/>
    <w:rsid w:val="390A287E"/>
    <w:rsid w:val="39200C06"/>
    <w:rsid w:val="3976413E"/>
    <w:rsid w:val="398C396F"/>
    <w:rsid w:val="39A14A8C"/>
    <w:rsid w:val="39F87D5C"/>
    <w:rsid w:val="3A0A06DD"/>
    <w:rsid w:val="3A2E433E"/>
    <w:rsid w:val="3A8075E8"/>
    <w:rsid w:val="3A861CC2"/>
    <w:rsid w:val="3A8B0E3D"/>
    <w:rsid w:val="3A900B55"/>
    <w:rsid w:val="3A9F5C6C"/>
    <w:rsid w:val="3AFE43ED"/>
    <w:rsid w:val="3B1867C8"/>
    <w:rsid w:val="3B7431B5"/>
    <w:rsid w:val="3B7633AB"/>
    <w:rsid w:val="3B7856A1"/>
    <w:rsid w:val="3BA81567"/>
    <w:rsid w:val="3BC61723"/>
    <w:rsid w:val="3BE1180F"/>
    <w:rsid w:val="3BF16211"/>
    <w:rsid w:val="3C461E13"/>
    <w:rsid w:val="3C6165D6"/>
    <w:rsid w:val="3CBD2F46"/>
    <w:rsid w:val="3CBD5566"/>
    <w:rsid w:val="3CBE31DE"/>
    <w:rsid w:val="3CBF12B5"/>
    <w:rsid w:val="3CD2663F"/>
    <w:rsid w:val="3CDD4175"/>
    <w:rsid w:val="3CF767B5"/>
    <w:rsid w:val="3D620826"/>
    <w:rsid w:val="3D801945"/>
    <w:rsid w:val="3DB80AEF"/>
    <w:rsid w:val="3DBA4E66"/>
    <w:rsid w:val="3E1C2E2C"/>
    <w:rsid w:val="3E3C0D70"/>
    <w:rsid w:val="3E3F0267"/>
    <w:rsid w:val="3E555A65"/>
    <w:rsid w:val="3E597D6C"/>
    <w:rsid w:val="3E864D20"/>
    <w:rsid w:val="3EC62D97"/>
    <w:rsid w:val="3EDD59A7"/>
    <w:rsid w:val="3F0118B9"/>
    <w:rsid w:val="3F38167B"/>
    <w:rsid w:val="3F71792A"/>
    <w:rsid w:val="3F8A4DF2"/>
    <w:rsid w:val="3F8E2A19"/>
    <w:rsid w:val="3F901730"/>
    <w:rsid w:val="3FA4227B"/>
    <w:rsid w:val="4016460A"/>
    <w:rsid w:val="401C3DA2"/>
    <w:rsid w:val="4021065B"/>
    <w:rsid w:val="404228F2"/>
    <w:rsid w:val="40490124"/>
    <w:rsid w:val="406960D0"/>
    <w:rsid w:val="407B4F1E"/>
    <w:rsid w:val="40F030CF"/>
    <w:rsid w:val="419E65CF"/>
    <w:rsid w:val="41AA11C0"/>
    <w:rsid w:val="41F929CD"/>
    <w:rsid w:val="42051F5E"/>
    <w:rsid w:val="427B7AFE"/>
    <w:rsid w:val="42A75956"/>
    <w:rsid w:val="42C85063"/>
    <w:rsid w:val="43003087"/>
    <w:rsid w:val="433C7ACC"/>
    <w:rsid w:val="435560A3"/>
    <w:rsid w:val="4374370A"/>
    <w:rsid w:val="43BA72C3"/>
    <w:rsid w:val="43D216F1"/>
    <w:rsid w:val="43E50164"/>
    <w:rsid w:val="441417C6"/>
    <w:rsid w:val="444421EF"/>
    <w:rsid w:val="44671D2E"/>
    <w:rsid w:val="449F2A80"/>
    <w:rsid w:val="44BC0935"/>
    <w:rsid w:val="44CB2A89"/>
    <w:rsid w:val="44D858AE"/>
    <w:rsid w:val="456F110E"/>
    <w:rsid w:val="458A3B55"/>
    <w:rsid w:val="459C3512"/>
    <w:rsid w:val="46581B31"/>
    <w:rsid w:val="467C2E05"/>
    <w:rsid w:val="4681708D"/>
    <w:rsid w:val="4691185D"/>
    <w:rsid w:val="47274CDA"/>
    <w:rsid w:val="473E5BD3"/>
    <w:rsid w:val="476301A6"/>
    <w:rsid w:val="4797089B"/>
    <w:rsid w:val="47AD6981"/>
    <w:rsid w:val="485055CC"/>
    <w:rsid w:val="48DB17B0"/>
    <w:rsid w:val="48ED630F"/>
    <w:rsid w:val="491D5CAA"/>
    <w:rsid w:val="4938475C"/>
    <w:rsid w:val="49A45995"/>
    <w:rsid w:val="49F96717"/>
    <w:rsid w:val="4A08695A"/>
    <w:rsid w:val="4A592024"/>
    <w:rsid w:val="4A751303"/>
    <w:rsid w:val="4A9A2B71"/>
    <w:rsid w:val="4A9F72BE"/>
    <w:rsid w:val="4AC54B6D"/>
    <w:rsid w:val="4ACB784D"/>
    <w:rsid w:val="4BB94701"/>
    <w:rsid w:val="4BE7226F"/>
    <w:rsid w:val="4C1415E6"/>
    <w:rsid w:val="4C3C40AA"/>
    <w:rsid w:val="4C800246"/>
    <w:rsid w:val="4CA45D71"/>
    <w:rsid w:val="4CB0193B"/>
    <w:rsid w:val="4D106251"/>
    <w:rsid w:val="4D2A07C4"/>
    <w:rsid w:val="4D526DBA"/>
    <w:rsid w:val="4D6055F8"/>
    <w:rsid w:val="4D611E71"/>
    <w:rsid w:val="4D654D87"/>
    <w:rsid w:val="4D805701"/>
    <w:rsid w:val="4D8120EF"/>
    <w:rsid w:val="4D926C66"/>
    <w:rsid w:val="4D9E2E8C"/>
    <w:rsid w:val="4DC21C05"/>
    <w:rsid w:val="4DC67854"/>
    <w:rsid w:val="4DDB52B6"/>
    <w:rsid w:val="4DFB5750"/>
    <w:rsid w:val="4E6B14BD"/>
    <w:rsid w:val="4E70082B"/>
    <w:rsid w:val="4E8046EB"/>
    <w:rsid w:val="4E844A51"/>
    <w:rsid w:val="4E8639E6"/>
    <w:rsid w:val="4F016EB3"/>
    <w:rsid w:val="4F3654C6"/>
    <w:rsid w:val="4F385108"/>
    <w:rsid w:val="4F4323BD"/>
    <w:rsid w:val="4F560E36"/>
    <w:rsid w:val="4F5D1E0D"/>
    <w:rsid w:val="4FAD3C3C"/>
    <w:rsid w:val="4FB1493B"/>
    <w:rsid w:val="4FC346FE"/>
    <w:rsid w:val="4FCC168E"/>
    <w:rsid w:val="4FD17771"/>
    <w:rsid w:val="501429D6"/>
    <w:rsid w:val="505D661C"/>
    <w:rsid w:val="50706600"/>
    <w:rsid w:val="50805ED4"/>
    <w:rsid w:val="509773A7"/>
    <w:rsid w:val="50C6038C"/>
    <w:rsid w:val="510449E0"/>
    <w:rsid w:val="515517B2"/>
    <w:rsid w:val="517174DB"/>
    <w:rsid w:val="51C336DA"/>
    <w:rsid w:val="51EC3A38"/>
    <w:rsid w:val="520D5BFF"/>
    <w:rsid w:val="52313617"/>
    <w:rsid w:val="529161DE"/>
    <w:rsid w:val="52B94C95"/>
    <w:rsid w:val="52FC33B5"/>
    <w:rsid w:val="53443366"/>
    <w:rsid w:val="53595144"/>
    <w:rsid w:val="53692325"/>
    <w:rsid w:val="53C75190"/>
    <w:rsid w:val="53F3051A"/>
    <w:rsid w:val="53F543A3"/>
    <w:rsid w:val="54145A91"/>
    <w:rsid w:val="5416087B"/>
    <w:rsid w:val="54293B80"/>
    <w:rsid w:val="542D593B"/>
    <w:rsid w:val="54A00C6B"/>
    <w:rsid w:val="54E27213"/>
    <w:rsid w:val="55203C63"/>
    <w:rsid w:val="55283D2B"/>
    <w:rsid w:val="554D5B69"/>
    <w:rsid w:val="557D234A"/>
    <w:rsid w:val="55D65B5E"/>
    <w:rsid w:val="55E53FF3"/>
    <w:rsid w:val="56311EEC"/>
    <w:rsid w:val="5651145D"/>
    <w:rsid w:val="565E4C16"/>
    <w:rsid w:val="566A4C99"/>
    <w:rsid w:val="568451E8"/>
    <w:rsid w:val="56917487"/>
    <w:rsid w:val="56C65968"/>
    <w:rsid w:val="56CA2358"/>
    <w:rsid w:val="56ED5073"/>
    <w:rsid w:val="56F279EC"/>
    <w:rsid w:val="5714172F"/>
    <w:rsid w:val="572877DB"/>
    <w:rsid w:val="57471CB6"/>
    <w:rsid w:val="574C73A9"/>
    <w:rsid w:val="5761241C"/>
    <w:rsid w:val="57B009A0"/>
    <w:rsid w:val="57B1258E"/>
    <w:rsid w:val="57CB5D5A"/>
    <w:rsid w:val="57E30C41"/>
    <w:rsid w:val="57ED150F"/>
    <w:rsid w:val="58160494"/>
    <w:rsid w:val="58480464"/>
    <w:rsid w:val="58625FE6"/>
    <w:rsid w:val="58711DA6"/>
    <w:rsid w:val="58B32CFF"/>
    <w:rsid w:val="58B84B4A"/>
    <w:rsid w:val="58D66907"/>
    <w:rsid w:val="58EC0277"/>
    <w:rsid w:val="59183F9B"/>
    <w:rsid w:val="59305CC5"/>
    <w:rsid w:val="59360ECA"/>
    <w:rsid w:val="598C1496"/>
    <w:rsid w:val="59926473"/>
    <w:rsid w:val="59C4775F"/>
    <w:rsid w:val="59F55B79"/>
    <w:rsid w:val="5A6E50F7"/>
    <w:rsid w:val="5AFF7905"/>
    <w:rsid w:val="5B084825"/>
    <w:rsid w:val="5B631C42"/>
    <w:rsid w:val="5B956153"/>
    <w:rsid w:val="5BCB5E61"/>
    <w:rsid w:val="5C1F20BF"/>
    <w:rsid w:val="5C327567"/>
    <w:rsid w:val="5C493A11"/>
    <w:rsid w:val="5C6B15E9"/>
    <w:rsid w:val="5CA70CCA"/>
    <w:rsid w:val="5CC523C4"/>
    <w:rsid w:val="5CEA600A"/>
    <w:rsid w:val="5CEB7876"/>
    <w:rsid w:val="5CF54B1C"/>
    <w:rsid w:val="5D5418FE"/>
    <w:rsid w:val="5D566E45"/>
    <w:rsid w:val="5D641CA2"/>
    <w:rsid w:val="5DC4375B"/>
    <w:rsid w:val="5DF9112D"/>
    <w:rsid w:val="5E0947A2"/>
    <w:rsid w:val="5E19056E"/>
    <w:rsid w:val="5E36363E"/>
    <w:rsid w:val="5E954808"/>
    <w:rsid w:val="5EB47819"/>
    <w:rsid w:val="5F286A4D"/>
    <w:rsid w:val="5F4B03E2"/>
    <w:rsid w:val="5F576703"/>
    <w:rsid w:val="5F585526"/>
    <w:rsid w:val="5F7D2BD7"/>
    <w:rsid w:val="5F8D1984"/>
    <w:rsid w:val="5FF015E1"/>
    <w:rsid w:val="60665E63"/>
    <w:rsid w:val="609A65F6"/>
    <w:rsid w:val="60B103E5"/>
    <w:rsid w:val="60CD36E9"/>
    <w:rsid w:val="60F4748F"/>
    <w:rsid w:val="60F92651"/>
    <w:rsid w:val="611B2826"/>
    <w:rsid w:val="615C40D5"/>
    <w:rsid w:val="615C7739"/>
    <w:rsid w:val="617536ED"/>
    <w:rsid w:val="61852ADA"/>
    <w:rsid w:val="61AE106F"/>
    <w:rsid w:val="61B054B5"/>
    <w:rsid w:val="622A51F0"/>
    <w:rsid w:val="62325914"/>
    <w:rsid w:val="62397BA1"/>
    <w:rsid w:val="623E51B7"/>
    <w:rsid w:val="6261228B"/>
    <w:rsid w:val="6269349E"/>
    <w:rsid w:val="626C32D2"/>
    <w:rsid w:val="627E6A7F"/>
    <w:rsid w:val="629B74F7"/>
    <w:rsid w:val="62C1074B"/>
    <w:rsid w:val="62FE4897"/>
    <w:rsid w:val="63016A5A"/>
    <w:rsid w:val="631C586D"/>
    <w:rsid w:val="6341732B"/>
    <w:rsid w:val="63617466"/>
    <w:rsid w:val="636C0A8D"/>
    <w:rsid w:val="63872C1F"/>
    <w:rsid w:val="639E4473"/>
    <w:rsid w:val="63AE3C76"/>
    <w:rsid w:val="63B405DA"/>
    <w:rsid w:val="63CB42E2"/>
    <w:rsid w:val="63CF1424"/>
    <w:rsid w:val="64065A07"/>
    <w:rsid w:val="642E7C43"/>
    <w:rsid w:val="645C7B76"/>
    <w:rsid w:val="645E0CBF"/>
    <w:rsid w:val="64CF5A89"/>
    <w:rsid w:val="65261B3D"/>
    <w:rsid w:val="6532658B"/>
    <w:rsid w:val="65337E1C"/>
    <w:rsid w:val="6584009F"/>
    <w:rsid w:val="65D75F2A"/>
    <w:rsid w:val="6640736E"/>
    <w:rsid w:val="66AB3362"/>
    <w:rsid w:val="66C543F1"/>
    <w:rsid w:val="67430D50"/>
    <w:rsid w:val="674332D8"/>
    <w:rsid w:val="6744501E"/>
    <w:rsid w:val="67572291"/>
    <w:rsid w:val="67C0446D"/>
    <w:rsid w:val="67C24670"/>
    <w:rsid w:val="68012F0F"/>
    <w:rsid w:val="68336E40"/>
    <w:rsid w:val="687A27CC"/>
    <w:rsid w:val="68DA57C7"/>
    <w:rsid w:val="68EF44E9"/>
    <w:rsid w:val="68FC4769"/>
    <w:rsid w:val="691E3ACF"/>
    <w:rsid w:val="692D0546"/>
    <w:rsid w:val="69424C47"/>
    <w:rsid w:val="69614434"/>
    <w:rsid w:val="69856900"/>
    <w:rsid w:val="69AD1E55"/>
    <w:rsid w:val="69CF4AB1"/>
    <w:rsid w:val="69EE74C3"/>
    <w:rsid w:val="6A086843"/>
    <w:rsid w:val="6A0D22AD"/>
    <w:rsid w:val="6A1C4030"/>
    <w:rsid w:val="6A403FAE"/>
    <w:rsid w:val="6A4746A0"/>
    <w:rsid w:val="6A527606"/>
    <w:rsid w:val="6A657064"/>
    <w:rsid w:val="6A7259FE"/>
    <w:rsid w:val="6ADA35A3"/>
    <w:rsid w:val="6B2917FD"/>
    <w:rsid w:val="6B4D3A7A"/>
    <w:rsid w:val="6BD56C5B"/>
    <w:rsid w:val="6BDA1B01"/>
    <w:rsid w:val="6C0807E8"/>
    <w:rsid w:val="6C147CCC"/>
    <w:rsid w:val="6D070402"/>
    <w:rsid w:val="6D075ADD"/>
    <w:rsid w:val="6D0C07E6"/>
    <w:rsid w:val="6D526965"/>
    <w:rsid w:val="6D8200C7"/>
    <w:rsid w:val="6D8B167C"/>
    <w:rsid w:val="6D986A55"/>
    <w:rsid w:val="6D9E6722"/>
    <w:rsid w:val="6DA32C10"/>
    <w:rsid w:val="6DAB2C8A"/>
    <w:rsid w:val="6DAF7546"/>
    <w:rsid w:val="6DD3778F"/>
    <w:rsid w:val="6DE9247B"/>
    <w:rsid w:val="6E051EFD"/>
    <w:rsid w:val="6E0F63FE"/>
    <w:rsid w:val="6E232E10"/>
    <w:rsid w:val="6E4075F6"/>
    <w:rsid w:val="6E706934"/>
    <w:rsid w:val="6EB1360D"/>
    <w:rsid w:val="6F0A3C88"/>
    <w:rsid w:val="6F151965"/>
    <w:rsid w:val="6F2F024F"/>
    <w:rsid w:val="6F6515F7"/>
    <w:rsid w:val="6F871259"/>
    <w:rsid w:val="6F975F07"/>
    <w:rsid w:val="6F9A3F5E"/>
    <w:rsid w:val="6FCE7C36"/>
    <w:rsid w:val="70140E66"/>
    <w:rsid w:val="704C0A9F"/>
    <w:rsid w:val="70735A4B"/>
    <w:rsid w:val="70A25CD9"/>
    <w:rsid w:val="70D773FF"/>
    <w:rsid w:val="70EE0855"/>
    <w:rsid w:val="715017E0"/>
    <w:rsid w:val="71603B41"/>
    <w:rsid w:val="722D759C"/>
    <w:rsid w:val="724334B1"/>
    <w:rsid w:val="727062C8"/>
    <w:rsid w:val="729A3D44"/>
    <w:rsid w:val="73B32F2C"/>
    <w:rsid w:val="740E32F6"/>
    <w:rsid w:val="7435511E"/>
    <w:rsid w:val="7435737E"/>
    <w:rsid w:val="743F0B85"/>
    <w:rsid w:val="745F397D"/>
    <w:rsid w:val="7481070F"/>
    <w:rsid w:val="74E10D62"/>
    <w:rsid w:val="75294087"/>
    <w:rsid w:val="7530517A"/>
    <w:rsid w:val="7563554E"/>
    <w:rsid w:val="75842A89"/>
    <w:rsid w:val="75B34E3A"/>
    <w:rsid w:val="76005A2E"/>
    <w:rsid w:val="76723E5C"/>
    <w:rsid w:val="7673645B"/>
    <w:rsid w:val="76944F4E"/>
    <w:rsid w:val="769D2054"/>
    <w:rsid w:val="769D585C"/>
    <w:rsid w:val="76CD04E1"/>
    <w:rsid w:val="772F4DF8"/>
    <w:rsid w:val="773D7013"/>
    <w:rsid w:val="77B92815"/>
    <w:rsid w:val="77E11A54"/>
    <w:rsid w:val="77EB5BDE"/>
    <w:rsid w:val="77EF6E59"/>
    <w:rsid w:val="77FD5013"/>
    <w:rsid w:val="78104FAE"/>
    <w:rsid w:val="78185285"/>
    <w:rsid w:val="78290CE6"/>
    <w:rsid w:val="785C1A9B"/>
    <w:rsid w:val="7860333A"/>
    <w:rsid w:val="78623556"/>
    <w:rsid w:val="788C05D2"/>
    <w:rsid w:val="78957FFD"/>
    <w:rsid w:val="789F7973"/>
    <w:rsid w:val="78B54629"/>
    <w:rsid w:val="78C064CE"/>
    <w:rsid w:val="78CC6C21"/>
    <w:rsid w:val="78E7663D"/>
    <w:rsid w:val="78F743F5"/>
    <w:rsid w:val="791F69AF"/>
    <w:rsid w:val="79AD2739"/>
    <w:rsid w:val="79D230AD"/>
    <w:rsid w:val="7A0D0FEA"/>
    <w:rsid w:val="7A4746D9"/>
    <w:rsid w:val="7AA5257E"/>
    <w:rsid w:val="7AC22487"/>
    <w:rsid w:val="7ACA0268"/>
    <w:rsid w:val="7ADC073C"/>
    <w:rsid w:val="7ADE6C32"/>
    <w:rsid w:val="7AFF61ED"/>
    <w:rsid w:val="7B46521F"/>
    <w:rsid w:val="7B5212AA"/>
    <w:rsid w:val="7B575736"/>
    <w:rsid w:val="7B6A44CF"/>
    <w:rsid w:val="7B85220B"/>
    <w:rsid w:val="7BE1201B"/>
    <w:rsid w:val="7BE35CBC"/>
    <w:rsid w:val="7C0478E4"/>
    <w:rsid w:val="7C495B25"/>
    <w:rsid w:val="7C830D91"/>
    <w:rsid w:val="7C9B336A"/>
    <w:rsid w:val="7CCA32A1"/>
    <w:rsid w:val="7D083C19"/>
    <w:rsid w:val="7D0E48E7"/>
    <w:rsid w:val="7D1B5B99"/>
    <w:rsid w:val="7D3A7600"/>
    <w:rsid w:val="7D537F48"/>
    <w:rsid w:val="7D551A71"/>
    <w:rsid w:val="7D910387"/>
    <w:rsid w:val="7D95502D"/>
    <w:rsid w:val="7DAB14EA"/>
    <w:rsid w:val="7DB02570"/>
    <w:rsid w:val="7DB0572E"/>
    <w:rsid w:val="7DD23BB4"/>
    <w:rsid w:val="7DE40569"/>
    <w:rsid w:val="7DE875CB"/>
    <w:rsid w:val="7DF804B8"/>
    <w:rsid w:val="7E014D45"/>
    <w:rsid w:val="7E1404F1"/>
    <w:rsid w:val="7E171EEC"/>
    <w:rsid w:val="7E3037AE"/>
    <w:rsid w:val="7E3639BF"/>
    <w:rsid w:val="7E606457"/>
    <w:rsid w:val="7E871B42"/>
    <w:rsid w:val="7EAA745B"/>
    <w:rsid w:val="7EBE6941"/>
    <w:rsid w:val="7EF317E1"/>
    <w:rsid w:val="7EFE38AC"/>
    <w:rsid w:val="7F1B2123"/>
    <w:rsid w:val="7F430F9C"/>
    <w:rsid w:val="7F43783F"/>
    <w:rsid w:val="7F44541A"/>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link w:val="114"/>
    <w:autoRedefine/>
    <w:qFormat/>
    <w:uiPriority w:val="0"/>
    <w:pPr>
      <w:tabs>
        <w:tab w:val="left" w:pos="208"/>
      </w:tabs>
      <w:spacing w:line="432" w:lineRule="auto"/>
    </w:pPr>
    <w:rPr>
      <w:rFonts w:ascii="仿宋_GB2312" w:eastAsia="仿宋_GB2312"/>
      <w:sz w:val="28"/>
    </w:rPr>
  </w:style>
  <w:style w:type="paragraph" w:styleId="8">
    <w:name w:val="toc 4"/>
    <w:basedOn w:val="1"/>
    <w:next w:val="1"/>
    <w:qFormat/>
    <w:uiPriority w:val="0"/>
    <w:pPr>
      <w:ind w:left="1260" w:leftChars="600"/>
    </w:pPr>
    <w:rPr>
      <w:rFonts w:ascii="Calibri" w:hAnsi="Calibri"/>
      <w:szCs w:val="22"/>
    </w:rPr>
  </w:style>
  <w:style w:type="paragraph" w:styleId="9">
    <w:name w:val="Body Text Indent"/>
    <w:basedOn w:val="1"/>
    <w:next w:val="1"/>
    <w:autoRedefine/>
    <w:qFormat/>
    <w:uiPriority w:val="0"/>
    <w:pPr>
      <w:ind w:firstLine="540"/>
    </w:pPr>
    <w:rPr>
      <w:sz w:val="28"/>
      <w:szCs w:val="20"/>
    </w:rPr>
  </w:style>
  <w:style w:type="paragraph" w:styleId="10">
    <w:name w:val="Block Text"/>
    <w:basedOn w:val="1"/>
    <w:semiHidden/>
    <w:qFormat/>
    <w:uiPriority w:val="0"/>
    <w:pPr>
      <w:spacing w:after="120"/>
      <w:ind w:left="1440" w:leftChars="700" w:right="1440" w:rightChars="700"/>
    </w:pPr>
  </w:style>
  <w:style w:type="paragraph" w:styleId="11">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2">
    <w:name w:val="Plain Text"/>
    <w:basedOn w:val="1"/>
    <w:next w:val="13"/>
    <w:autoRedefine/>
    <w:qFormat/>
    <w:uiPriority w:val="0"/>
    <w:rPr>
      <w:rFonts w:ascii="宋体" w:hAnsi="Courier New" w:eastAsiaTheme="minorEastAsia"/>
    </w:rPr>
  </w:style>
  <w:style w:type="paragraph" w:styleId="13">
    <w:name w:val="toc 2"/>
    <w:basedOn w:val="1"/>
    <w:next w:val="1"/>
    <w:autoRedefine/>
    <w:qFormat/>
    <w:uiPriority w:val="39"/>
    <w:pPr>
      <w:tabs>
        <w:tab w:val="right" w:leader="dot" w:pos="9060"/>
      </w:tabs>
      <w:ind w:left="525" w:leftChars="250"/>
      <w:jc w:val="center"/>
    </w:pPr>
    <w:rPr>
      <w:rFonts w:ascii="宋体" w:hAnsi="宋体" w:eastAsia="仿宋_GB2312"/>
      <w:b/>
      <w:bCs/>
      <w:sz w:val="30"/>
      <w:szCs w:val="30"/>
    </w:rPr>
  </w:style>
  <w:style w:type="paragraph" w:styleId="14">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5">
    <w:name w:val="Body Text Indent 2"/>
    <w:basedOn w:val="1"/>
    <w:autoRedefine/>
    <w:qFormat/>
    <w:uiPriority w:val="0"/>
    <w:pPr>
      <w:snapToGrid w:val="0"/>
      <w:spacing w:line="400" w:lineRule="exact"/>
      <w:ind w:firstLine="480"/>
    </w:pPr>
    <w:rPr>
      <w:rFonts w:eastAsia="仿宋_GB2312"/>
      <w:sz w:val="24"/>
    </w:rPr>
  </w:style>
  <w:style w:type="paragraph" w:styleId="16">
    <w:name w:val="footer"/>
    <w:basedOn w:val="1"/>
    <w:link w:val="130"/>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link w:val="129"/>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9">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20">
    <w:name w:val="List"/>
    <w:basedOn w:val="1"/>
    <w:autoRedefine/>
    <w:qFormat/>
    <w:uiPriority w:val="0"/>
    <w:pPr>
      <w:ind w:left="200" w:hanging="200" w:hangingChars="200"/>
    </w:pPr>
  </w:style>
  <w:style w:type="paragraph" w:styleId="21">
    <w:name w:val="footnote text"/>
    <w:basedOn w:val="1"/>
    <w:autoRedefine/>
    <w:qFormat/>
    <w:uiPriority w:val="0"/>
    <w:pPr>
      <w:snapToGrid w:val="0"/>
      <w:jc w:val="left"/>
    </w:pPr>
    <w:rPr>
      <w:sz w:val="18"/>
    </w:rPr>
  </w:style>
  <w:style w:type="paragraph" w:styleId="22">
    <w:name w:val="toc 6"/>
    <w:basedOn w:val="1"/>
    <w:next w:val="1"/>
    <w:autoRedefine/>
    <w:qFormat/>
    <w:uiPriority w:val="0"/>
    <w:pPr>
      <w:ind w:left="2100" w:leftChars="1000"/>
    </w:pPr>
    <w:rPr>
      <w:rFonts w:ascii="Calibri" w:hAnsi="Calibri"/>
      <w:szCs w:val="22"/>
    </w:rPr>
  </w:style>
  <w:style w:type="paragraph" w:styleId="23">
    <w:name w:val="index 7"/>
    <w:basedOn w:val="1"/>
    <w:next w:val="1"/>
    <w:autoRedefine/>
    <w:semiHidden/>
    <w:qFormat/>
    <w:uiPriority w:val="0"/>
    <w:pPr>
      <w:ind w:left="1200" w:leftChars="1200"/>
    </w:pPr>
  </w:style>
  <w:style w:type="paragraph" w:styleId="24">
    <w:name w:val="toc 9"/>
    <w:basedOn w:val="1"/>
    <w:next w:val="1"/>
    <w:qFormat/>
    <w:uiPriority w:val="0"/>
    <w:pPr>
      <w:ind w:left="3360" w:leftChars="1600"/>
    </w:pPr>
  </w:style>
  <w:style w:type="paragraph" w:styleId="25">
    <w:name w:val="Normal (Web)"/>
    <w:basedOn w:val="1"/>
    <w:autoRedefine/>
    <w:qFormat/>
    <w:uiPriority w:val="0"/>
    <w:pPr>
      <w:widowControl/>
      <w:jc w:val="left"/>
    </w:pPr>
    <w:rPr>
      <w:rFonts w:ascii="宋体" w:hAnsi="宋体"/>
      <w:kern w:val="0"/>
      <w:sz w:val="24"/>
    </w:rPr>
  </w:style>
  <w:style w:type="paragraph" w:styleId="26">
    <w:name w:val="Title"/>
    <w:basedOn w:val="1"/>
    <w:next w:val="1"/>
    <w:autoRedefine/>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Body Text First Indent"/>
    <w:basedOn w:val="7"/>
    <w:next w:val="22"/>
    <w:autoRedefine/>
    <w:qFormat/>
    <w:uiPriority w:val="0"/>
    <w:pPr>
      <w:spacing w:after="120" w:line="240" w:lineRule="auto"/>
      <w:ind w:firstLine="420"/>
    </w:pPr>
    <w:rPr>
      <w:lang w:val="zh-CN"/>
    </w:rPr>
  </w:style>
  <w:style w:type="paragraph" w:styleId="28">
    <w:name w:val="Body Text First Indent 2"/>
    <w:basedOn w:val="9"/>
    <w:next w:val="1"/>
    <w:autoRedefine/>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autoRedefine/>
    <w:qFormat/>
    <w:uiPriority w:val="99"/>
  </w:style>
  <w:style w:type="character" w:styleId="33">
    <w:name w:val="Hyperlink"/>
    <w:autoRedefine/>
    <w:qFormat/>
    <w:uiPriority w:val="99"/>
    <w:rPr>
      <w:color w:val="000000"/>
      <w:u w:val="none"/>
    </w:rPr>
  </w:style>
  <w:style w:type="character" w:styleId="34">
    <w:name w:val="footnote reference"/>
    <w:basedOn w:val="31"/>
    <w:autoRedefine/>
    <w:qFormat/>
    <w:uiPriority w:val="0"/>
    <w:rPr>
      <w:vertAlign w:val="superscript"/>
    </w:rPr>
  </w:style>
  <w:style w:type="paragraph" w:customStyle="1" w:styleId="35">
    <w:name w:val="Default"/>
    <w:next w:val="36"/>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7">
    <w:name w:val="List Paragraph"/>
    <w:basedOn w:val="1"/>
    <w:autoRedefine/>
    <w:qFormat/>
    <w:uiPriority w:val="34"/>
    <w:pPr>
      <w:ind w:firstLine="420" w:firstLineChars="200"/>
    </w:pPr>
    <w:rPr>
      <w:rFonts w:ascii="Verdana" w:hAnsi="Verdana" w:eastAsia="微软雅黑"/>
    </w:rPr>
  </w:style>
  <w:style w:type="paragraph" w:customStyle="1" w:styleId="38">
    <w:name w:val="样式 正文文本缩进 + 首行缩进:  2 字符 行距: 1.5 倍行距"/>
    <w:basedOn w:val="9"/>
    <w:autoRedefine/>
    <w:qFormat/>
    <w:uiPriority w:val="0"/>
    <w:pPr>
      <w:spacing w:before="156" w:after="120"/>
      <w:ind w:firstLine="645"/>
    </w:pPr>
    <w:rPr>
      <w:rFonts w:ascii="Calibri" w:hAnsi="Calibri" w:cs="宋体"/>
      <w:kern w:val="0"/>
    </w:rPr>
  </w:style>
  <w:style w:type="paragraph" w:customStyle="1" w:styleId="39">
    <w:name w:val="Other|1"/>
    <w:basedOn w:val="1"/>
    <w:autoRedefine/>
    <w:qFormat/>
    <w:uiPriority w:val="0"/>
    <w:rPr>
      <w:rFonts w:ascii="宋体" w:hAnsi="宋体" w:cs="宋体"/>
      <w:sz w:val="22"/>
      <w:szCs w:val="22"/>
      <w:lang w:val="zh-TW" w:eastAsia="zh-TW" w:bidi="zh-TW"/>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Char"/>
    <w:basedOn w:val="1"/>
    <w:autoRedefine/>
    <w:qFormat/>
    <w:uiPriority w:val="0"/>
    <w:rPr>
      <w:rFonts w:ascii="Tahoma" w:hAnsi="Tahoma"/>
      <w:sz w:val="24"/>
      <w:szCs w:val="20"/>
    </w:rPr>
  </w:style>
  <w:style w:type="paragraph" w:customStyle="1" w:styleId="42">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3">
    <w:name w:val="纯文本_3"/>
    <w:basedOn w:val="44"/>
    <w:autoRedefine/>
    <w:qFormat/>
    <w:uiPriority w:val="0"/>
    <w:rPr>
      <w:rFonts w:ascii="宋体" w:hAnsi="Courier New"/>
      <w:szCs w:val="20"/>
    </w:rPr>
  </w:style>
  <w:style w:type="paragraph" w:customStyle="1" w:styleId="44">
    <w:name w:val="正文_5"/>
    <w:basedOn w:val="45"/>
    <w:next w:val="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3"/>
    <w:next w:val="46"/>
    <w:qFormat/>
    <w:uiPriority w:val="1"/>
    <w:pPr>
      <w:jc w:val="both"/>
    </w:pPr>
    <w:rPr>
      <w:rFonts w:ascii="Times New Roman" w:hAnsi="Times New Roman" w:eastAsia="宋体" w:cs="Times New Roman"/>
      <w:sz w:val="21"/>
      <w:szCs w:val="21"/>
      <w:lang w:val="en-US" w:eastAsia="zh-CN" w:bidi="ar-SA"/>
    </w:rPr>
  </w:style>
  <w:style w:type="paragraph" w:customStyle="1" w:styleId="46">
    <w:name w:val="标题 1_2_0"/>
    <w:basedOn w:val="47"/>
    <w:next w:val="45"/>
    <w:qFormat/>
    <w:uiPriority w:val="7"/>
    <w:pPr>
      <w:keepNext/>
      <w:keepLines/>
      <w:outlineLvl w:val="0"/>
    </w:pPr>
    <w:rPr>
      <w:b/>
      <w:sz w:val="32"/>
      <w:szCs w:val="32"/>
    </w:rPr>
  </w:style>
  <w:style w:type="paragraph" w:customStyle="1" w:styleId="47">
    <w:name w:val="正文_4_1"/>
    <w:basedOn w:val="48"/>
    <w:next w:val="46"/>
    <w:qFormat/>
    <w:uiPriority w:val="1"/>
    <w:pPr>
      <w:jc w:val="both"/>
    </w:pPr>
    <w:rPr>
      <w:rFonts w:ascii="Times New Roman" w:hAnsi="Times New Roman" w:eastAsia="宋体" w:cs="Times New Roman"/>
      <w:kern w:val="0"/>
      <w:sz w:val="21"/>
      <w:szCs w:val="21"/>
      <w:lang w:val="en-US" w:eastAsia="zh-CN" w:bidi="ar-SA"/>
    </w:rPr>
  </w:style>
  <w:style w:type="paragraph" w:customStyle="1" w:styleId="48">
    <w:name w:val="正文_3_0_1"/>
    <w:basedOn w:val="49"/>
    <w:qFormat/>
    <w:uiPriority w:val="1"/>
    <w:pPr>
      <w:jc w:val="both"/>
    </w:pPr>
    <w:rPr>
      <w:sz w:val="21"/>
      <w:szCs w:val="21"/>
    </w:rPr>
  </w:style>
  <w:style w:type="paragraph" w:customStyle="1" w:styleId="49">
    <w:name w:val="Normal_1_2"/>
    <w:next w:val="50"/>
    <w:qFormat/>
    <w:uiPriority w:val="0"/>
    <w:rPr>
      <w:rFonts w:ascii="Times New Roman" w:hAnsi="Times New Roman" w:eastAsia="Times New Roman" w:cs="Times New Roman"/>
      <w:sz w:val="24"/>
      <w:szCs w:val="24"/>
      <w:lang w:val="en-US" w:eastAsia="zh-CN" w:bidi="ar-SA"/>
    </w:rPr>
  </w:style>
  <w:style w:type="paragraph" w:customStyle="1" w:styleId="50">
    <w:name w:val="正文_3"/>
    <w:next w:val="51"/>
    <w:qFormat/>
    <w:uiPriority w:val="1"/>
    <w:pPr>
      <w:jc w:val="both"/>
    </w:pPr>
    <w:rPr>
      <w:rFonts w:ascii="Times New Roman" w:hAnsi="Times New Roman" w:eastAsia="宋体" w:cs="Times New Roman"/>
      <w:sz w:val="21"/>
      <w:szCs w:val="21"/>
      <w:lang w:val="en-US" w:eastAsia="zh-CN" w:bidi="ar-SA"/>
    </w:rPr>
  </w:style>
  <w:style w:type="paragraph" w:customStyle="1" w:styleId="51">
    <w:name w:val="标题 1_1"/>
    <w:basedOn w:val="52"/>
    <w:next w:val="50"/>
    <w:qFormat/>
    <w:uiPriority w:val="7"/>
    <w:pPr>
      <w:keepNext/>
      <w:keepLines/>
      <w:outlineLvl w:val="0"/>
    </w:pPr>
    <w:rPr>
      <w:b/>
      <w:sz w:val="32"/>
      <w:szCs w:val="32"/>
    </w:rPr>
  </w:style>
  <w:style w:type="paragraph" w:customStyle="1" w:styleId="52">
    <w:name w:val="正文_3_3"/>
    <w:next w:val="44"/>
    <w:qFormat/>
    <w:uiPriority w:val="1"/>
    <w:pPr>
      <w:jc w:val="both"/>
    </w:pPr>
    <w:rPr>
      <w:rFonts w:ascii="Times New Roman" w:hAnsi="Times New Roman" w:eastAsia="宋体" w:cs="Times New Roman"/>
      <w:sz w:val="21"/>
      <w:szCs w:val="21"/>
      <w:lang w:val="en-US" w:eastAsia="zh-CN" w:bidi="ar-SA"/>
    </w:rPr>
  </w:style>
  <w:style w:type="paragraph" w:customStyle="1" w:styleId="53">
    <w:name w:val="标题 2_2"/>
    <w:basedOn w:val="54"/>
    <w:next w:val="44"/>
    <w:qFormat/>
    <w:uiPriority w:val="8"/>
    <w:pPr>
      <w:keepNext/>
      <w:keepLines/>
      <w:outlineLvl w:val="1"/>
    </w:pPr>
    <w:rPr>
      <w:rFonts w:ascii="Arial" w:hAnsi="Arial" w:eastAsia="Arial"/>
      <w:b/>
      <w:sz w:val="24"/>
      <w:szCs w:val="24"/>
    </w:rPr>
  </w:style>
  <w:style w:type="paragraph" w:customStyle="1" w:styleId="54">
    <w:name w:val="正文_3_2"/>
    <w:next w:val="55"/>
    <w:qFormat/>
    <w:uiPriority w:val="1"/>
    <w:pPr>
      <w:jc w:val="both"/>
    </w:pPr>
    <w:rPr>
      <w:rFonts w:ascii="Times New Roman" w:hAnsi="Times New Roman" w:eastAsia="宋体" w:cs="Times New Roman"/>
      <w:sz w:val="21"/>
      <w:szCs w:val="21"/>
      <w:lang w:val="en-US" w:eastAsia="zh-CN" w:bidi="ar-SA"/>
    </w:rPr>
  </w:style>
  <w:style w:type="paragraph" w:customStyle="1" w:styleId="55">
    <w:name w:val="标题 1_1_1"/>
    <w:basedOn w:val="56"/>
    <w:next w:val="79"/>
    <w:qFormat/>
    <w:uiPriority w:val="7"/>
    <w:pPr>
      <w:keepNext/>
      <w:keepLines/>
      <w:outlineLvl w:val="0"/>
    </w:pPr>
    <w:rPr>
      <w:b/>
      <w:sz w:val="32"/>
      <w:szCs w:val="32"/>
    </w:rPr>
  </w:style>
  <w:style w:type="paragraph" w:customStyle="1" w:styleId="56">
    <w:name w:val="正文_3_3_1"/>
    <w:next w:val="57"/>
    <w:qFormat/>
    <w:uiPriority w:val="1"/>
    <w:pPr>
      <w:jc w:val="both"/>
    </w:pPr>
    <w:rPr>
      <w:rFonts w:ascii="Times New Roman" w:hAnsi="Times New Roman" w:eastAsia="宋体" w:cs="Times New Roman"/>
      <w:sz w:val="21"/>
      <w:szCs w:val="21"/>
      <w:lang w:val="en-US" w:eastAsia="zh-CN" w:bidi="ar-SA"/>
    </w:rPr>
  </w:style>
  <w:style w:type="paragraph" w:customStyle="1" w:styleId="57">
    <w:name w:val="正文_5_1"/>
    <w:basedOn w:val="58"/>
    <w:next w:val="76"/>
    <w:qFormat/>
    <w:uiPriority w:val="1"/>
    <w:pPr>
      <w:jc w:val="both"/>
    </w:pPr>
    <w:rPr>
      <w:rFonts w:ascii="Times New Roman" w:hAnsi="Times New Roman"/>
      <w:sz w:val="21"/>
      <w:szCs w:val="21"/>
      <w:lang w:val="en-US" w:eastAsia="zh-CN" w:bidi="ar-SA"/>
    </w:rPr>
  </w:style>
  <w:style w:type="paragraph" w:customStyle="1" w:styleId="58">
    <w:name w:val="正文_2_3_1"/>
    <w:next w:val="59"/>
    <w:qFormat/>
    <w:uiPriority w:val="1"/>
    <w:pPr>
      <w:jc w:val="both"/>
    </w:pPr>
    <w:rPr>
      <w:rFonts w:ascii="Times New Roman" w:hAnsi="Times New Roman" w:eastAsia="宋体" w:cs="Times New Roman"/>
      <w:sz w:val="21"/>
      <w:szCs w:val="21"/>
      <w:lang w:val="en-US" w:eastAsia="zh-CN" w:bidi="ar-SA"/>
    </w:rPr>
  </w:style>
  <w:style w:type="paragraph" w:customStyle="1" w:styleId="59">
    <w:name w:val="标题 1_2_0_0_1"/>
    <w:basedOn w:val="60"/>
    <w:next w:val="58"/>
    <w:qFormat/>
    <w:uiPriority w:val="7"/>
    <w:pPr>
      <w:keepNext/>
      <w:keepLines/>
      <w:outlineLvl w:val="0"/>
    </w:pPr>
    <w:rPr>
      <w:b/>
      <w:sz w:val="32"/>
      <w:szCs w:val="32"/>
    </w:rPr>
  </w:style>
  <w:style w:type="paragraph" w:customStyle="1" w:styleId="60">
    <w:name w:val="正文_4_1_0_1"/>
    <w:basedOn w:val="61"/>
    <w:next w:val="59"/>
    <w:qFormat/>
    <w:uiPriority w:val="0"/>
    <w:pPr>
      <w:widowControl w:val="0"/>
      <w:jc w:val="both"/>
    </w:pPr>
    <w:rPr>
      <w:rFonts w:ascii="Calibri" w:hAnsi="Calibri"/>
      <w:kern w:val="2"/>
      <w:sz w:val="21"/>
      <w:szCs w:val="22"/>
      <w:lang w:val="en-US" w:eastAsia="zh-CN" w:bidi="ar-SA"/>
    </w:rPr>
  </w:style>
  <w:style w:type="paragraph" w:customStyle="1" w:styleId="61">
    <w:name w:val="正文_3_0_1_0_1"/>
    <w:basedOn w:val="62"/>
    <w:next w:val="72"/>
    <w:qFormat/>
    <w:uiPriority w:val="1"/>
    <w:pPr>
      <w:jc w:val="both"/>
    </w:pPr>
    <w:rPr>
      <w:sz w:val="21"/>
      <w:szCs w:val="21"/>
      <w:lang w:val="en-US" w:eastAsia="zh-CN" w:bidi="ar-SA"/>
    </w:rPr>
  </w:style>
  <w:style w:type="paragraph" w:customStyle="1" w:styleId="62">
    <w:name w:val="Normal_1_2_1"/>
    <w:next w:val="63"/>
    <w:qFormat/>
    <w:uiPriority w:val="0"/>
    <w:rPr>
      <w:rFonts w:ascii="Times New Roman" w:hAnsi="Times New Roman" w:eastAsia="Times New Roman" w:cs="Times New Roman"/>
      <w:sz w:val="24"/>
      <w:szCs w:val="24"/>
      <w:lang w:val="en-US" w:eastAsia="zh-CN" w:bidi="ar-SA"/>
    </w:rPr>
  </w:style>
  <w:style w:type="paragraph" w:customStyle="1" w:styleId="63">
    <w:name w:val="正文_3_2_1_1"/>
    <w:next w:val="64"/>
    <w:qFormat/>
    <w:uiPriority w:val="1"/>
    <w:pPr>
      <w:jc w:val="both"/>
    </w:pPr>
    <w:rPr>
      <w:rFonts w:ascii="Times New Roman" w:hAnsi="Times New Roman" w:eastAsia="宋体" w:cs="Times New Roman"/>
      <w:sz w:val="21"/>
      <w:szCs w:val="21"/>
      <w:lang w:val="en-US" w:eastAsia="zh-CN" w:bidi="ar-SA"/>
    </w:rPr>
  </w:style>
  <w:style w:type="paragraph" w:customStyle="1" w:styleId="64">
    <w:name w:val="正文首行缩进 2_1_0_1_1"/>
    <w:basedOn w:val="65"/>
    <w:qFormat/>
    <w:uiPriority w:val="0"/>
    <w:pPr>
      <w:spacing w:after="120"/>
      <w:ind w:left="200" w:leftChars="200" w:firstLine="420" w:firstLineChars="200"/>
    </w:pPr>
    <w:rPr>
      <w:sz w:val="21"/>
    </w:rPr>
  </w:style>
  <w:style w:type="paragraph" w:customStyle="1" w:styleId="65">
    <w:name w:val="正文文本缩进_2_0_1_1"/>
    <w:basedOn w:val="66"/>
    <w:next w:val="63"/>
    <w:qFormat/>
    <w:uiPriority w:val="0"/>
    <w:pPr>
      <w:ind w:left="420"/>
    </w:pPr>
    <w:rPr>
      <w:sz w:val="20"/>
      <w:szCs w:val="20"/>
    </w:rPr>
  </w:style>
  <w:style w:type="paragraph" w:customStyle="1" w:styleId="66">
    <w:name w:val="正文_4_0_0_1_1"/>
    <w:basedOn w:val="67"/>
    <w:next w:val="64"/>
    <w:qFormat/>
    <w:uiPriority w:val="1"/>
  </w:style>
  <w:style w:type="paragraph" w:customStyle="1" w:styleId="67">
    <w:name w:val="正文_3_1_1_1"/>
    <w:next w:val="68"/>
    <w:qFormat/>
    <w:uiPriority w:val="1"/>
    <w:pPr>
      <w:jc w:val="both"/>
    </w:pPr>
    <w:rPr>
      <w:rFonts w:ascii="Times New Roman" w:hAnsi="Times New Roman" w:eastAsia="宋体" w:cs="Times New Roman"/>
      <w:sz w:val="21"/>
      <w:szCs w:val="21"/>
      <w:lang w:val="en-US" w:eastAsia="zh-CN" w:bidi="ar-SA"/>
    </w:rPr>
  </w:style>
  <w:style w:type="paragraph" w:customStyle="1" w:styleId="68">
    <w:name w:val="正文首行缩进 2_0_0_1_1"/>
    <w:basedOn w:val="69"/>
    <w:qFormat/>
    <w:uiPriority w:val="0"/>
    <w:pPr>
      <w:spacing w:after="120"/>
      <w:ind w:left="200" w:leftChars="200" w:firstLine="420" w:firstLineChars="200"/>
    </w:pPr>
    <w:rPr>
      <w:sz w:val="21"/>
    </w:rPr>
  </w:style>
  <w:style w:type="paragraph" w:customStyle="1" w:styleId="69">
    <w:name w:val="正文文本缩进_0_0_1_1"/>
    <w:basedOn w:val="70"/>
    <w:next w:val="71"/>
    <w:qFormat/>
    <w:uiPriority w:val="0"/>
    <w:pPr>
      <w:ind w:left="420"/>
    </w:pPr>
    <w:rPr>
      <w:sz w:val="20"/>
      <w:szCs w:val="20"/>
    </w:rPr>
  </w:style>
  <w:style w:type="paragraph" w:customStyle="1" w:styleId="70">
    <w:name w:val="正文_10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1">
    <w:name w:val="正文_13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2">
    <w:name w:val="正文首行缩进 2_1_0_0_0_1"/>
    <w:basedOn w:val="73"/>
    <w:qFormat/>
    <w:uiPriority w:val="0"/>
    <w:pPr>
      <w:spacing w:after="120"/>
      <w:ind w:left="200" w:leftChars="200" w:firstLine="420" w:firstLineChars="200"/>
    </w:pPr>
    <w:rPr>
      <w:sz w:val="21"/>
    </w:rPr>
  </w:style>
  <w:style w:type="paragraph" w:customStyle="1" w:styleId="73">
    <w:name w:val="正文文本缩进_2_0_0_0_1"/>
    <w:basedOn w:val="74"/>
    <w:next w:val="75"/>
    <w:qFormat/>
    <w:uiPriority w:val="0"/>
    <w:pPr>
      <w:ind w:left="420"/>
    </w:pPr>
    <w:rPr>
      <w:sz w:val="20"/>
      <w:szCs w:val="20"/>
    </w:rPr>
  </w:style>
  <w:style w:type="paragraph" w:customStyle="1" w:styleId="74">
    <w:name w:val="正文_4_0_0_0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5">
    <w:name w:val="正文_3_0_2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6">
    <w:name w:val="正文首行缩进 2_2_1"/>
    <w:basedOn w:val="77"/>
    <w:unhideWhenUsed/>
    <w:qFormat/>
    <w:uiPriority w:val="0"/>
    <w:pPr>
      <w:spacing w:after="120"/>
      <w:ind w:left="200" w:leftChars="200" w:firstLine="420" w:firstLineChars="200"/>
    </w:pPr>
    <w:rPr>
      <w:sz w:val="21"/>
      <w:szCs w:val="21"/>
    </w:rPr>
  </w:style>
  <w:style w:type="paragraph" w:customStyle="1" w:styleId="77">
    <w:name w:val="正文文本缩进_3_1"/>
    <w:basedOn w:val="78"/>
    <w:next w:val="57"/>
    <w:qFormat/>
    <w:uiPriority w:val="0"/>
    <w:pPr>
      <w:ind w:left="420"/>
    </w:pPr>
    <w:rPr>
      <w:sz w:val="20"/>
      <w:szCs w:val="20"/>
    </w:rPr>
  </w:style>
  <w:style w:type="paragraph" w:customStyle="1" w:styleId="78">
    <w:name w:val="正文_8_1"/>
    <w:next w:val="76"/>
    <w:qFormat/>
    <w:uiPriority w:val="1"/>
    <w:pPr>
      <w:jc w:val="both"/>
    </w:pPr>
    <w:rPr>
      <w:rFonts w:ascii="Times New Roman" w:hAnsi="Times New Roman" w:eastAsia="宋体" w:cs="Times New Roman"/>
      <w:sz w:val="21"/>
      <w:szCs w:val="21"/>
      <w:lang w:val="en-US" w:eastAsia="zh-CN" w:bidi="ar-SA"/>
    </w:rPr>
  </w:style>
  <w:style w:type="paragraph" w:customStyle="1" w:styleId="79">
    <w:name w:val="正文_3_2_2"/>
    <w:next w:val="55"/>
    <w:qFormat/>
    <w:uiPriority w:val="1"/>
    <w:pPr>
      <w:jc w:val="both"/>
    </w:pPr>
    <w:rPr>
      <w:rFonts w:ascii="Times New Roman" w:hAnsi="Times New Roman" w:eastAsia="宋体" w:cs="Times New Roman"/>
      <w:sz w:val="21"/>
      <w:szCs w:val="21"/>
      <w:lang w:val="en-US" w:eastAsia="zh-CN" w:bidi="ar-SA"/>
    </w:rPr>
  </w:style>
  <w:style w:type="paragraph" w:customStyle="1" w:styleId="80">
    <w:name w:val="普通(网站)_0"/>
    <w:basedOn w:val="8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缩进1"/>
    <w:basedOn w:val="1"/>
    <w:autoRedefine/>
    <w:qFormat/>
    <w:uiPriority w:val="0"/>
    <w:pPr>
      <w:spacing w:line="300" w:lineRule="auto"/>
      <w:ind w:firstLine="425"/>
    </w:pPr>
    <w:rPr>
      <w:szCs w:val="20"/>
    </w:rPr>
  </w:style>
  <w:style w:type="paragraph" w:customStyle="1" w:styleId="83">
    <w:name w:val="索引 11"/>
    <w:basedOn w:val="1"/>
    <w:next w:val="1"/>
    <w:autoRedefine/>
    <w:qFormat/>
    <w:uiPriority w:val="0"/>
    <w:pPr>
      <w:spacing w:line="360" w:lineRule="auto"/>
    </w:pPr>
    <w:rPr>
      <w:rFonts w:ascii="仿宋_GB2312" w:eastAsia="仿宋_GB2312"/>
      <w:sz w:val="24"/>
      <w:szCs w:val="20"/>
    </w:rPr>
  </w:style>
  <w:style w:type="character" w:customStyle="1" w:styleId="84">
    <w:name w:val="ca-11"/>
    <w:autoRedefine/>
    <w:qFormat/>
    <w:uiPriority w:val="99"/>
    <w:rPr>
      <w:rFonts w:ascii="仿宋_GB2312" w:eastAsia="仿宋_GB2312" w:cs="Times New Roman"/>
      <w:sz w:val="28"/>
      <w:szCs w:val="28"/>
    </w:rPr>
  </w:style>
  <w:style w:type="paragraph" w:customStyle="1" w:styleId="85">
    <w:name w:val="pa-2"/>
    <w:basedOn w:val="1"/>
    <w:autoRedefine/>
    <w:qFormat/>
    <w:uiPriority w:val="99"/>
    <w:pPr>
      <w:widowControl/>
      <w:spacing w:line="360" w:lineRule="atLeast"/>
      <w:ind w:firstLine="560"/>
      <w:jc w:val="left"/>
    </w:pPr>
    <w:rPr>
      <w:rFonts w:ascii="宋体" w:hAnsi="宋体" w:cs="宋体"/>
      <w:kern w:val="0"/>
      <w:sz w:val="24"/>
    </w:rPr>
  </w:style>
  <w:style w:type="character" w:customStyle="1" w:styleId="86">
    <w:name w:val="ca-31"/>
    <w:autoRedefine/>
    <w:qFormat/>
    <w:uiPriority w:val="99"/>
    <w:rPr>
      <w:rFonts w:ascii="仿宋_GB2312" w:eastAsia="仿宋_GB2312" w:cs="Times New Roman"/>
      <w:b/>
      <w:bCs/>
      <w:spacing w:val="-20"/>
      <w:sz w:val="28"/>
      <w:szCs w:val="28"/>
    </w:rPr>
  </w:style>
  <w:style w:type="paragraph" w:customStyle="1" w:styleId="87">
    <w:name w:val="pa-4"/>
    <w:basedOn w:val="1"/>
    <w:autoRedefine/>
    <w:qFormat/>
    <w:uiPriority w:val="99"/>
    <w:pPr>
      <w:widowControl/>
      <w:spacing w:line="360" w:lineRule="atLeast"/>
      <w:jc w:val="left"/>
    </w:pPr>
    <w:rPr>
      <w:rFonts w:ascii="宋体" w:hAnsi="宋体" w:cs="宋体"/>
      <w:kern w:val="0"/>
      <w:sz w:val="24"/>
    </w:rPr>
  </w:style>
  <w:style w:type="paragraph" w:customStyle="1" w:styleId="88">
    <w:name w:val="pa-5"/>
    <w:basedOn w:val="1"/>
    <w:autoRedefine/>
    <w:qFormat/>
    <w:uiPriority w:val="99"/>
    <w:pPr>
      <w:widowControl/>
      <w:spacing w:line="360" w:lineRule="atLeast"/>
      <w:ind w:firstLine="560"/>
      <w:jc w:val="left"/>
    </w:pPr>
    <w:rPr>
      <w:rFonts w:ascii="宋体" w:hAnsi="宋体" w:cs="宋体"/>
      <w:kern w:val="0"/>
      <w:sz w:val="24"/>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0_0"/>
    <w:basedOn w:val="89"/>
    <w:autoRedefine/>
    <w:qFormat/>
    <w:uiPriority w:val="0"/>
    <w:rPr>
      <w:rFonts w:ascii="宋体" w:hAnsi="Courier New"/>
      <w:szCs w:val="21"/>
    </w:rPr>
  </w:style>
  <w:style w:type="paragraph" w:customStyle="1" w:styleId="91">
    <w:name w:val="纯文本_0"/>
    <w:basedOn w:val="1"/>
    <w:autoRedefine/>
    <w:unhideWhenUsed/>
    <w:qFormat/>
    <w:uiPriority w:val="0"/>
    <w:rPr>
      <w:rFonts w:ascii="宋体" w:hAnsi="Courier New"/>
      <w:kern w:val="0"/>
      <w:sz w:val="20"/>
      <w:szCs w:val="20"/>
    </w:rPr>
  </w:style>
  <w:style w:type="paragraph" w:customStyle="1" w:styleId="92">
    <w:name w:val="纯文本_1"/>
    <w:basedOn w:val="1"/>
    <w:autoRedefine/>
    <w:qFormat/>
    <w:uiPriority w:val="0"/>
    <w:rPr>
      <w:rFonts w:ascii="宋体" w:hAnsi="Courier New"/>
      <w:szCs w:val="20"/>
    </w:rPr>
  </w:style>
  <w:style w:type="paragraph" w:customStyle="1" w:styleId="93">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纯文本_5_0"/>
    <w:basedOn w:val="1"/>
    <w:autoRedefine/>
    <w:qFormat/>
    <w:uiPriority w:val="0"/>
    <w:rPr>
      <w:rFonts w:ascii="宋体" w:hAnsi="Courier New"/>
      <w:szCs w:val="20"/>
    </w:rPr>
  </w:style>
  <w:style w:type="paragraph" w:customStyle="1" w:styleId="96">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Char_0"/>
    <w:basedOn w:val="81"/>
    <w:autoRedefine/>
    <w:qFormat/>
    <w:uiPriority w:val="0"/>
    <w:rPr>
      <w:rFonts w:ascii="Tahoma" w:hAnsi="Tahoma"/>
      <w:sz w:val="24"/>
      <w:szCs w:val="20"/>
    </w:rPr>
  </w:style>
  <w:style w:type="paragraph" w:customStyle="1" w:styleId="101">
    <w:name w:val="列出段落1"/>
    <w:basedOn w:val="1"/>
    <w:autoRedefine/>
    <w:qFormat/>
    <w:uiPriority w:val="34"/>
    <w:pPr>
      <w:ind w:firstLine="420" w:firstLineChars="200"/>
    </w:pPr>
    <w:rPr>
      <w:rFonts w:ascii="Calibri" w:hAnsi="Calibri"/>
      <w:szCs w:val="22"/>
    </w:rPr>
  </w:style>
  <w:style w:type="paragraph" w:customStyle="1" w:styleId="102">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普通文字"/>
    <w:basedOn w:val="1"/>
    <w:next w:val="1"/>
    <w:autoRedefine/>
    <w:qFormat/>
    <w:uiPriority w:val="0"/>
    <w:rPr>
      <w:rFonts w:ascii="宋体"/>
    </w:rPr>
  </w:style>
  <w:style w:type="paragraph" w:customStyle="1" w:styleId="105">
    <w:name w:val="Table Paragraph"/>
    <w:basedOn w:val="1"/>
    <w:autoRedefine/>
    <w:unhideWhenUsed/>
    <w:qFormat/>
    <w:uiPriority w:val="1"/>
    <w:pPr>
      <w:spacing w:before="120"/>
      <w:jc w:val="center"/>
    </w:pPr>
    <w:rPr>
      <w:rFonts w:hint="eastAsia"/>
      <w:sz w:val="24"/>
    </w:rPr>
  </w:style>
  <w:style w:type="character" w:customStyle="1" w:styleId="106">
    <w:name w:val="标题 1 Char1"/>
    <w:autoRedefine/>
    <w:qFormat/>
    <w:uiPriority w:val="0"/>
    <w:rPr>
      <w:rFonts w:ascii="Times New Roman" w:hAnsi="Times New Roman" w:eastAsia="宋体" w:cs="Times New Roman"/>
      <w:b/>
      <w:bCs/>
      <w:kern w:val="44"/>
      <w:sz w:val="32"/>
      <w:lang w:val="en-US" w:eastAsia="zh-CN" w:bidi="ar-SA"/>
    </w:rPr>
  </w:style>
  <w:style w:type="paragraph" w:customStyle="1" w:styleId="10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1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表格文字"/>
    <w:basedOn w:val="12"/>
    <w:next w:val="7"/>
    <w:autoRedefine/>
    <w:qFormat/>
    <w:uiPriority w:val="0"/>
    <w:pPr>
      <w:adjustRightInd w:val="0"/>
      <w:spacing w:line="420" w:lineRule="atLeast"/>
      <w:textAlignment w:val="baseline"/>
    </w:pPr>
  </w:style>
  <w:style w:type="paragraph" w:customStyle="1" w:styleId="110">
    <w:name w:val="表格"/>
    <w:basedOn w:val="1"/>
    <w:autoRedefine/>
    <w:qFormat/>
    <w:uiPriority w:val="99"/>
    <w:pPr>
      <w:snapToGrid w:val="0"/>
      <w:ind w:firstLine="42" w:firstLineChars="21"/>
    </w:pPr>
    <w:rPr>
      <w:rFonts w:ascii="宋体" w:hAnsi="宋体"/>
      <w:kern w:val="0"/>
      <w:sz w:val="20"/>
      <w:szCs w:val="20"/>
    </w:rPr>
  </w:style>
  <w:style w:type="paragraph" w:customStyle="1" w:styleId="111">
    <w:name w:val="_Style 3"/>
    <w:basedOn w:val="1"/>
    <w:autoRedefine/>
    <w:qFormat/>
    <w:uiPriority w:val="34"/>
    <w:pPr>
      <w:ind w:firstLine="420" w:firstLineChars="200"/>
    </w:pPr>
    <w:rPr>
      <w:rFonts w:eastAsia="仿宋_GB2312"/>
      <w:sz w:val="28"/>
    </w:rPr>
  </w:style>
  <w:style w:type="paragraph" w:customStyle="1" w:styleId="112">
    <w:name w:val="Table Text"/>
    <w:basedOn w:val="1"/>
    <w:autoRedefine/>
    <w:semiHidden/>
    <w:qFormat/>
    <w:uiPriority w:val="0"/>
    <w:rPr>
      <w:rFonts w:ascii="宋体" w:hAnsi="宋体" w:cs="宋体"/>
      <w:sz w:val="20"/>
      <w:szCs w:val="20"/>
      <w:lang w:eastAsia="en-US"/>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character" w:customStyle="1" w:styleId="114">
    <w:name w:val="正文文本 字符"/>
    <w:basedOn w:val="31"/>
    <w:link w:val="7"/>
    <w:autoRedefine/>
    <w:qFormat/>
    <w:uiPriority w:val="0"/>
    <w:rPr>
      <w:rFonts w:hint="default" w:ascii="Times New Roman" w:hAnsi="Times New Roman" w:eastAsia="宋体" w:cs="Times New Roman"/>
      <w:kern w:val="2"/>
      <w:sz w:val="21"/>
      <w:szCs w:val="24"/>
    </w:rPr>
  </w:style>
  <w:style w:type="character" w:customStyle="1" w:styleId="115">
    <w:name w:val="正文文本首行缩进 字符"/>
    <w:basedOn w:val="114"/>
    <w:autoRedefine/>
    <w:qFormat/>
    <w:uiPriority w:val="0"/>
    <w:rPr>
      <w:rFonts w:hint="default" w:ascii="Times New Roman" w:hAnsi="Times New Roman" w:eastAsia="宋体" w:cs="Times New Roman"/>
      <w:kern w:val="2"/>
      <w:sz w:val="21"/>
      <w:szCs w:val="24"/>
    </w:rPr>
  </w:style>
  <w:style w:type="character" w:customStyle="1" w:styleId="116">
    <w:name w:val="font111"/>
    <w:basedOn w:val="31"/>
    <w:autoRedefine/>
    <w:qFormat/>
    <w:uiPriority w:val="0"/>
    <w:rPr>
      <w:rFonts w:hint="eastAsia" w:ascii="宋体" w:hAnsi="宋体" w:eastAsia="宋体" w:cs="宋体"/>
      <w:color w:val="000000"/>
      <w:sz w:val="20"/>
      <w:szCs w:val="20"/>
      <w:u w:val="none"/>
    </w:rPr>
  </w:style>
  <w:style w:type="character" w:customStyle="1" w:styleId="117">
    <w:name w:val="font91"/>
    <w:basedOn w:val="31"/>
    <w:autoRedefine/>
    <w:qFormat/>
    <w:uiPriority w:val="0"/>
    <w:rPr>
      <w:rFonts w:hint="eastAsia" w:ascii="宋体" w:hAnsi="宋体" w:eastAsia="宋体" w:cs="宋体"/>
      <w:color w:val="000000"/>
      <w:sz w:val="20"/>
      <w:szCs w:val="20"/>
      <w:u w:val="none"/>
      <w:vertAlign w:val="superscript"/>
    </w:rPr>
  </w:style>
  <w:style w:type="character" w:customStyle="1" w:styleId="118">
    <w:name w:val="font41"/>
    <w:basedOn w:val="31"/>
    <w:autoRedefine/>
    <w:qFormat/>
    <w:uiPriority w:val="0"/>
    <w:rPr>
      <w:rFonts w:hint="eastAsia" w:ascii="宋体" w:hAnsi="宋体" w:eastAsia="宋体" w:cs="宋体"/>
      <w:color w:val="000000"/>
      <w:sz w:val="20"/>
      <w:szCs w:val="20"/>
      <w:u w:val="none"/>
    </w:rPr>
  </w:style>
  <w:style w:type="character" w:customStyle="1" w:styleId="119">
    <w:name w:val="font112"/>
    <w:basedOn w:val="31"/>
    <w:autoRedefine/>
    <w:qFormat/>
    <w:uiPriority w:val="0"/>
    <w:rPr>
      <w:rFonts w:hint="eastAsia" w:ascii="宋体" w:hAnsi="宋体" w:eastAsia="宋体" w:cs="宋体"/>
      <w:color w:val="000000"/>
      <w:sz w:val="20"/>
      <w:szCs w:val="20"/>
      <w:u w:val="none"/>
      <w:vertAlign w:val="superscript"/>
    </w:rPr>
  </w:style>
  <w:style w:type="paragraph" w:customStyle="1" w:styleId="120">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1">
    <w:name w:val="首行缩进"/>
    <w:basedOn w:val="1"/>
    <w:autoRedefine/>
    <w:qFormat/>
    <w:uiPriority w:val="0"/>
    <w:pPr>
      <w:ind w:firstLine="480" w:firstLineChars="200"/>
    </w:pPr>
    <w:rPr>
      <w:szCs w:val="20"/>
      <w:lang w:val="zh-CN"/>
    </w:rPr>
  </w:style>
  <w:style w:type="character" w:customStyle="1" w:styleId="122">
    <w:name w:val="NormalCharacter"/>
    <w:autoRedefine/>
    <w:qFormat/>
    <w:uiPriority w:val="0"/>
    <w:rPr>
      <w:rFonts w:ascii="Calibri" w:hAnsi="Calibri" w:eastAsia="宋体" w:cs="Times New Roman"/>
      <w:kern w:val="2"/>
      <w:sz w:val="21"/>
      <w:szCs w:val="24"/>
      <w:lang w:val="en-US" w:eastAsia="zh-CN" w:bidi="ar-SA"/>
    </w:rPr>
  </w:style>
  <w:style w:type="character" w:customStyle="1" w:styleId="123">
    <w:name w:val="font61"/>
    <w:basedOn w:val="31"/>
    <w:autoRedefine/>
    <w:qFormat/>
    <w:uiPriority w:val="0"/>
    <w:rPr>
      <w:rFonts w:ascii="宋体" w:hAnsi="宋体" w:eastAsia="宋体" w:cs="宋体"/>
      <w:color w:val="000000"/>
      <w:sz w:val="20"/>
      <w:szCs w:val="20"/>
      <w:u w:val="none"/>
    </w:rPr>
  </w:style>
  <w:style w:type="character" w:customStyle="1" w:styleId="124">
    <w:name w:val="font81"/>
    <w:basedOn w:val="31"/>
    <w:autoRedefine/>
    <w:qFormat/>
    <w:uiPriority w:val="0"/>
    <w:rPr>
      <w:rFonts w:ascii="宋体" w:hAnsi="宋体" w:eastAsia="宋体" w:cs="宋体"/>
      <w:color w:val="000000"/>
      <w:sz w:val="20"/>
      <w:szCs w:val="20"/>
      <w:u w:val="none"/>
      <w:vertAlign w:val="superscript"/>
    </w:rPr>
  </w:style>
  <w:style w:type="character" w:customStyle="1" w:styleId="125">
    <w:name w:val="font21"/>
    <w:basedOn w:val="31"/>
    <w:autoRedefine/>
    <w:qFormat/>
    <w:uiPriority w:val="0"/>
    <w:rPr>
      <w:rFonts w:hint="eastAsia" w:ascii="宋体" w:hAnsi="宋体" w:eastAsia="宋体" w:cs="宋体"/>
      <w:color w:val="000000"/>
      <w:sz w:val="20"/>
      <w:szCs w:val="20"/>
      <w:u w:val="none"/>
    </w:rPr>
  </w:style>
  <w:style w:type="character" w:customStyle="1" w:styleId="126">
    <w:name w:val="font11"/>
    <w:basedOn w:val="31"/>
    <w:autoRedefine/>
    <w:qFormat/>
    <w:uiPriority w:val="0"/>
    <w:rPr>
      <w:rFonts w:hint="eastAsia" w:ascii="宋体" w:hAnsi="宋体" w:eastAsia="宋体" w:cs="宋体"/>
      <w:color w:val="000000"/>
      <w:sz w:val="20"/>
      <w:szCs w:val="20"/>
      <w:u w:val="none"/>
    </w:rPr>
  </w:style>
  <w:style w:type="character" w:customStyle="1" w:styleId="127">
    <w:name w:val="font51"/>
    <w:basedOn w:val="31"/>
    <w:autoRedefine/>
    <w:qFormat/>
    <w:uiPriority w:val="0"/>
    <w:rPr>
      <w:rFonts w:ascii="宋体" w:hAnsi="宋体" w:eastAsia="宋体" w:cs="宋体"/>
      <w:color w:val="000000"/>
      <w:sz w:val="20"/>
      <w:szCs w:val="20"/>
      <w:u w:val="none"/>
    </w:rPr>
  </w:style>
  <w:style w:type="character" w:customStyle="1" w:styleId="128">
    <w:name w:val="font31"/>
    <w:basedOn w:val="31"/>
    <w:autoRedefine/>
    <w:qFormat/>
    <w:uiPriority w:val="0"/>
    <w:rPr>
      <w:rFonts w:hint="eastAsia" w:ascii="宋体" w:hAnsi="宋体" w:eastAsia="宋体" w:cs="宋体"/>
      <w:b/>
      <w:bCs/>
      <w:color w:val="000000"/>
      <w:sz w:val="20"/>
      <w:szCs w:val="20"/>
      <w:u w:val="none"/>
    </w:rPr>
  </w:style>
  <w:style w:type="character" w:customStyle="1" w:styleId="129">
    <w:name w:val="页眉 字符"/>
    <w:basedOn w:val="31"/>
    <w:link w:val="18"/>
    <w:autoRedefine/>
    <w:qFormat/>
    <w:uiPriority w:val="0"/>
    <w:rPr>
      <w:sz w:val="18"/>
    </w:rPr>
  </w:style>
  <w:style w:type="character" w:customStyle="1" w:styleId="130">
    <w:name w:val="页脚 字符"/>
    <w:basedOn w:val="31"/>
    <w:link w:val="16"/>
    <w:autoRedefine/>
    <w:qFormat/>
    <w:uiPriority w:val="0"/>
    <w:rPr>
      <w:kern w:val="2"/>
      <w:sz w:val="18"/>
      <w:szCs w:val="18"/>
    </w:rPr>
  </w:style>
  <w:style w:type="paragraph" w:customStyle="1" w:styleId="131">
    <w:name w:val="BodyText"/>
    <w:basedOn w:val="1"/>
    <w:autoRedefine/>
    <w:qFormat/>
    <w:uiPriority w:val="0"/>
    <w:pPr>
      <w:spacing w:line="360" w:lineRule="auto"/>
    </w:pPr>
    <w:rPr>
      <w:rFonts w:ascii="宋体"/>
      <w:sz w:val="24"/>
      <w:szCs w:val="21"/>
      <w:lang w:val="zh-CN"/>
    </w:rPr>
  </w:style>
  <w:style w:type="paragraph" w:customStyle="1" w:styleId="1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00"/>
    <w:autoRedefine/>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 w:type="paragraph" w:customStyle="1" w:styleId="134">
    <w:name w:val="正文首行缩进1"/>
    <w:basedOn w:val="7"/>
    <w:qFormat/>
    <w:uiPriority w:val="0"/>
    <w:pPr>
      <w:autoSpaceDN w:val="0"/>
      <w:adjustRightInd w:val="0"/>
      <w:ind w:firstLine="420" w:firstLineChars="100"/>
      <w:jc w:val="left"/>
    </w:pPr>
    <w:rPr>
      <w:kern w:val="0"/>
      <w:sz w:val="20"/>
      <w:szCs w:val="20"/>
    </w:rPr>
  </w:style>
  <w:style w:type="paragraph" w:customStyle="1" w:styleId="135">
    <w:name w:val="列出段落2"/>
    <w:basedOn w:val="1"/>
    <w:semiHidden/>
    <w:qFormat/>
    <w:uiPriority w:val="0"/>
    <w:pPr>
      <w:ind w:firstLine="420" w:firstLineChars="200"/>
    </w:pPr>
  </w:style>
  <w:style w:type="paragraph" w:customStyle="1" w:styleId="136">
    <w:name w:val="列表段落1"/>
    <w:basedOn w:val="1"/>
    <w:next w:val="1"/>
    <w:qFormat/>
    <w:uiPriority w:val="0"/>
    <w:pPr>
      <w:autoSpaceDE w:val="0"/>
      <w:ind w:firstLine="420"/>
    </w:pPr>
    <w:rPr>
      <w:sz w:val="28"/>
      <w:szCs w:val="28"/>
    </w:rPr>
  </w:style>
  <w:style w:type="paragraph" w:customStyle="1" w:styleId="137">
    <w:name w:val="三级标题"/>
    <w:basedOn w:val="138"/>
    <w:next w:val="1"/>
    <w:qFormat/>
    <w:uiPriority w:val="0"/>
    <w:pPr>
      <w:numPr>
        <w:ilvl w:val="2"/>
      </w:numPr>
      <w:spacing w:before="360" w:after="240"/>
      <w:outlineLvl w:val="2"/>
    </w:pPr>
  </w:style>
  <w:style w:type="paragraph" w:customStyle="1" w:styleId="138">
    <w:name w:val="二级标题"/>
    <w:basedOn w:val="1"/>
    <w:next w:val="1"/>
    <w:qFormat/>
    <w:uiPriority w:val="0"/>
    <w:pPr>
      <w:numPr>
        <w:ilvl w:val="1"/>
        <w:numId w:val="1"/>
      </w:numPr>
    </w:pPr>
    <w:rPr>
      <w:rFonts w:asciiTheme="minorHAnsi" w:hAnsiTheme="minorHAnsi" w:eastAsiaTheme="minorEastAsia" w:cstheme="minorBidi"/>
      <w:szCs w:val="22"/>
    </w:rPr>
  </w:style>
  <w:style w:type="paragraph" w:customStyle="1" w:styleId="139">
    <w:name w:val="正文首行缩进 21"/>
    <w:basedOn w:val="9"/>
    <w:next w:val="1"/>
    <w:qFormat/>
    <w:uiPriority w:val="0"/>
    <w:pPr>
      <w:autoSpaceDE w:val="0"/>
      <w:spacing w:after="0" w:line="240" w:lineRule="atLeast"/>
      <w:ind w:left="0" w:leftChars="0" w:firstLine="420"/>
    </w:pPr>
    <w:rPr>
      <w:rFonts w:ascii="宋体"/>
      <w:sz w:val="18"/>
      <w:szCs w:val="18"/>
    </w:rPr>
  </w:style>
  <w:style w:type="paragraph" w:customStyle="1" w:styleId="140">
    <w:name w:val="样式1"/>
    <w:basedOn w:val="1"/>
    <w:qFormat/>
    <w:uiPriority w:val="0"/>
    <w:pPr>
      <w:spacing w:line="360" w:lineRule="auto"/>
    </w:pPr>
    <w:rPr>
      <w:rFonts w:ascii="Times New Roman" w:hAnsi="Times New Roman"/>
      <w:sz w:val="24"/>
    </w:rPr>
  </w:style>
  <w:style w:type="paragraph" w:customStyle="1" w:styleId="141">
    <w:name w:val="正文_3_2_0"/>
    <w:next w:val="142"/>
    <w:qFormat/>
    <w:uiPriority w:val="1"/>
    <w:pPr>
      <w:jc w:val="both"/>
    </w:pPr>
    <w:rPr>
      <w:rFonts w:ascii="Times New Roman" w:hAnsi="Times New Roman" w:eastAsia="宋体" w:cs="Times New Roman"/>
      <w:sz w:val="21"/>
      <w:szCs w:val="21"/>
      <w:lang w:val="en-US" w:eastAsia="zh-CN" w:bidi="ar-SA"/>
    </w:rPr>
  </w:style>
  <w:style w:type="paragraph" w:customStyle="1" w:styleId="142">
    <w:name w:val="正文首行缩进 2_1_0_0"/>
    <w:basedOn w:val="143"/>
    <w:qFormat/>
    <w:uiPriority w:val="0"/>
    <w:pPr>
      <w:spacing w:after="120"/>
      <w:ind w:left="200" w:leftChars="200" w:firstLine="420" w:firstLineChars="200"/>
    </w:pPr>
    <w:rPr>
      <w:sz w:val="21"/>
    </w:rPr>
  </w:style>
  <w:style w:type="paragraph" w:customStyle="1" w:styleId="143">
    <w:name w:val="正文文本缩进_2_0_0"/>
    <w:basedOn w:val="144"/>
    <w:next w:val="150"/>
    <w:qFormat/>
    <w:uiPriority w:val="0"/>
    <w:pPr>
      <w:ind w:left="420"/>
    </w:pPr>
    <w:rPr>
      <w:sz w:val="20"/>
      <w:szCs w:val="20"/>
    </w:rPr>
  </w:style>
  <w:style w:type="paragraph" w:customStyle="1" w:styleId="144">
    <w:name w:val="正文_4_0_0_0"/>
    <w:basedOn w:val="145"/>
    <w:next w:val="142"/>
    <w:qFormat/>
    <w:uiPriority w:val="1"/>
  </w:style>
  <w:style w:type="paragraph" w:customStyle="1" w:styleId="145">
    <w:name w:val="正文_3_1_1_0"/>
    <w:next w:val="146"/>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 2_0_0_1_0"/>
    <w:basedOn w:val="147"/>
    <w:qFormat/>
    <w:uiPriority w:val="0"/>
    <w:pPr>
      <w:spacing w:after="120"/>
      <w:ind w:left="200" w:leftChars="200" w:firstLine="420" w:firstLineChars="200"/>
    </w:pPr>
    <w:rPr>
      <w:sz w:val="21"/>
    </w:rPr>
  </w:style>
  <w:style w:type="paragraph" w:customStyle="1" w:styleId="147">
    <w:name w:val="正文文本缩进_1_0_1_0"/>
    <w:basedOn w:val="148"/>
    <w:next w:val="145"/>
    <w:qFormat/>
    <w:uiPriority w:val="0"/>
    <w:pPr>
      <w:ind w:left="420"/>
    </w:pPr>
    <w:rPr>
      <w:sz w:val="20"/>
      <w:szCs w:val="20"/>
    </w:rPr>
  </w:style>
  <w:style w:type="paragraph" w:customStyle="1" w:styleId="148">
    <w:name w:val="正文_1_2_1_0"/>
    <w:next w:val="149"/>
    <w:qFormat/>
    <w:uiPriority w:val="1"/>
    <w:pPr>
      <w:jc w:val="both"/>
    </w:pPr>
    <w:rPr>
      <w:rFonts w:ascii="Times New Roman" w:hAnsi="Times New Roman" w:eastAsia="宋体" w:cs="Times New Roman"/>
      <w:sz w:val="21"/>
      <w:szCs w:val="21"/>
      <w:lang w:val="en-US" w:eastAsia="zh-CN" w:bidi="ar-SA"/>
    </w:rPr>
  </w:style>
  <w:style w:type="paragraph" w:customStyle="1" w:styleId="149">
    <w:name w:val="正文首行缩进 2_0_0_2_0"/>
    <w:basedOn w:val="147"/>
    <w:qFormat/>
    <w:uiPriority w:val="0"/>
    <w:pPr>
      <w:spacing w:after="120"/>
      <w:ind w:left="200" w:leftChars="200" w:firstLine="420" w:firstLineChars="200"/>
    </w:pPr>
    <w:rPr>
      <w:sz w:val="21"/>
    </w:rPr>
  </w:style>
  <w:style w:type="paragraph" w:customStyle="1" w:styleId="150">
    <w:name w:val="正文_3_0_2"/>
    <w:basedOn w:val="151"/>
    <w:next w:val="142"/>
    <w:qFormat/>
    <w:uiPriority w:val="1"/>
    <w:pPr>
      <w:jc w:val="both"/>
    </w:pPr>
    <w:rPr>
      <w:rFonts w:ascii="Times New Roman" w:hAnsi="Times New Roman" w:eastAsia="宋体" w:cs="Times New Roman"/>
      <w:sz w:val="21"/>
      <w:szCs w:val="21"/>
      <w:lang w:val="en-US" w:eastAsia="zh-CN" w:bidi="ar-SA"/>
    </w:rPr>
  </w:style>
  <w:style w:type="paragraph" w:customStyle="1" w:styleId="151">
    <w:name w:val="Normal_1_0"/>
    <w:next w:val="152"/>
    <w:qFormat/>
    <w:uiPriority w:val="1"/>
    <w:pPr>
      <w:jc w:val="both"/>
    </w:pPr>
    <w:rPr>
      <w:rFonts w:ascii="Times New Roman" w:hAnsi="Times New Roman" w:eastAsia="宋体" w:cs="Times New Roman"/>
      <w:szCs w:val="21"/>
      <w:lang w:val="en-US" w:eastAsia="zh-CN" w:bidi="ar-SA"/>
    </w:rPr>
  </w:style>
  <w:style w:type="paragraph" w:customStyle="1" w:styleId="152">
    <w:name w:val="Normal_2_0"/>
    <w:qFormat/>
    <w:uiPriority w:val="0"/>
    <w:rPr>
      <w:rFonts w:ascii="Times New Roman" w:hAnsi="Times New Roman" w:eastAsia="Times New Roman" w:cs="Times New Roman"/>
      <w:sz w:val="24"/>
      <w:szCs w:val="24"/>
      <w:lang w:bidi="ar-SA"/>
    </w:rPr>
  </w:style>
  <w:style w:type="paragraph" w:customStyle="1" w:styleId="153">
    <w:name w:val="正文1"/>
    <w:basedOn w:val="11"/>
    <w:next w:val="1"/>
    <w:qFormat/>
    <w:uiPriority w:val="0"/>
    <w:pPr>
      <w:adjustRightInd w:val="0"/>
      <w:spacing w:line="360" w:lineRule="atLeast"/>
      <w:jc w:val="left"/>
      <w:textAlignment w:val="baseline"/>
    </w:pPr>
    <w:rPr>
      <w:rFonts w:ascii="宋体"/>
      <w:kern w:val="0"/>
      <w:sz w:val="24"/>
      <w:szCs w:val="20"/>
    </w:rPr>
  </w:style>
  <w:style w:type="paragraph" w:customStyle="1" w:styleId="154">
    <w:name w:val="Fließtext"/>
    <w:basedOn w:val="1"/>
    <w:qFormat/>
    <w:uiPriority w:val="0"/>
    <w:pPr>
      <w:overflowPunct w:val="0"/>
      <w:autoSpaceDE w:val="0"/>
      <w:autoSpaceDN w:val="0"/>
      <w:adjustRightInd w:val="0"/>
      <w:textAlignment w:val="baseline"/>
    </w:pPr>
    <w:rPr>
      <w:rFonts w:ascii="仿宋" w:hAnsi="仿宋" w:cs="宋体"/>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23909</Words>
  <Characters>26838</Characters>
  <Lines>408</Lines>
  <Paragraphs>115</Paragraphs>
  <TotalTime>2</TotalTime>
  <ScaleCrop>false</ScaleCrop>
  <LinksUpToDate>false</LinksUpToDate>
  <CharactersWithSpaces>28317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藤原拓海</cp:lastModifiedBy>
  <cp:lastPrinted>2025-06-25T01:13:00Z</cp:lastPrinted>
  <dcterms:modified xsi:type="dcterms:W3CDTF">2025-07-01T01:21:00Z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556B3B33C49B4EE596BC47799D6B44D6_13</vt:lpwstr>
  </property>
  <property fmtid="{D5CDD505-2E9C-101B-9397-08002B2CF9AE}" pid="4" name="KSOTemplateDocerSaveRecord">
    <vt:lpwstr>eyJoZGlkIjoiYmQzNWY5YTdlZGYwNDRmZmFmNThkOTdhNmMwNzk2NjkiLCJ1c2VySWQiOiIxMTUyNDc1Mjk3In0=</vt:lpwstr>
  </property>
</Properties>
</file>