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C688">
      <w:r>
        <w:rPr>
          <w:rFonts w:hint="eastAsia"/>
        </w:rPr>
        <w:t xml:space="preserve">   </w:t>
      </w:r>
    </w:p>
    <w:p w14:paraId="5D9E1DC8">
      <w:pPr>
        <w:rPr>
          <w:rFonts w:hint="eastAsia" w:ascii="宋体" w:hAnsi="宋体"/>
          <w:b/>
          <w:sz w:val="72"/>
          <w:szCs w:val="72"/>
        </w:rPr>
      </w:pPr>
    </w:p>
    <w:p w14:paraId="15E95B59">
      <w:pPr>
        <w:autoSpaceDE w:val="0"/>
        <w:autoSpaceDN w:val="0"/>
        <w:spacing w:line="360" w:lineRule="auto"/>
        <w:jc w:val="center"/>
        <w:textAlignment w:val="bottom"/>
        <w:outlineLvl w:val="0"/>
        <w:rPr>
          <w:rFonts w:hint="eastAsia" w:ascii="宋体" w:hAnsi="宋体"/>
          <w:b/>
          <w:sz w:val="36"/>
        </w:rPr>
      </w:pPr>
      <w:r>
        <w:rPr>
          <w:rFonts w:hint="eastAsia" w:ascii="宋体" w:hAnsi="宋体"/>
          <w:b/>
          <w:sz w:val="84"/>
        </w:rPr>
        <w:t xml:space="preserve"> </w:t>
      </w:r>
      <w:bookmarkStart w:id="0" w:name="_Toc25558"/>
      <w:bookmarkStart w:id="1" w:name="_Toc5170"/>
      <w:bookmarkStart w:id="2" w:name="_Toc25564"/>
      <w:bookmarkStart w:id="3" w:name="_Toc2773"/>
      <w:bookmarkStart w:id="4" w:name="_Toc12611"/>
      <w:bookmarkStart w:id="5" w:name="_Toc4345"/>
      <w:bookmarkStart w:id="6" w:name="_Toc18012"/>
      <w:bookmarkStart w:id="7" w:name="_Toc9238"/>
      <w:bookmarkStart w:id="8" w:name="_Toc15076"/>
      <w:bookmarkStart w:id="9" w:name="_Toc20127"/>
      <w:bookmarkStart w:id="10" w:name="_Toc30886"/>
      <w:bookmarkStart w:id="11" w:name="_Toc6350"/>
      <w:bookmarkStart w:id="12" w:name="_Toc8775"/>
      <w:bookmarkStart w:id="13" w:name="_Toc15230"/>
      <w:bookmarkStart w:id="14" w:name="_Toc8344"/>
      <w:bookmarkStart w:id="15" w:name="_Toc15310"/>
      <w:bookmarkStart w:id="16" w:name="_Toc7627"/>
      <w:bookmarkStart w:id="17" w:name="_Toc21995"/>
      <w:bookmarkStart w:id="18" w:name="_Toc29765"/>
      <w:bookmarkStart w:id="19" w:name="_Toc21289"/>
      <w:r>
        <w:rPr>
          <w:rFonts w:hint="eastAsia" w:ascii="宋体" w:hAnsi="宋体"/>
          <w:b/>
          <w:sz w:val="84"/>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4622911">
      <w:pPr>
        <w:autoSpaceDE w:val="0"/>
        <w:autoSpaceDN w:val="0"/>
        <w:spacing w:line="360" w:lineRule="auto"/>
        <w:textAlignment w:val="bottom"/>
        <w:outlineLvl w:val="0"/>
        <w:rPr>
          <w:rFonts w:hint="eastAsia" w:ascii="宋体" w:hAnsi="宋体"/>
          <w:b/>
          <w:sz w:val="36"/>
        </w:rPr>
      </w:pPr>
    </w:p>
    <w:p w14:paraId="34CE52CF">
      <w:pPr>
        <w:autoSpaceDE w:val="0"/>
        <w:autoSpaceDN w:val="0"/>
        <w:spacing w:line="360" w:lineRule="auto"/>
        <w:textAlignment w:val="bottom"/>
        <w:outlineLvl w:val="0"/>
        <w:rPr>
          <w:rFonts w:hint="eastAsia" w:ascii="宋体" w:hAnsi="宋体"/>
          <w:b/>
          <w:sz w:val="36"/>
        </w:rPr>
      </w:pPr>
    </w:p>
    <w:tbl>
      <w:tblPr>
        <w:tblStyle w:val="32"/>
        <w:tblpPr w:leftFromText="180" w:rightFromText="180" w:vertAnchor="text" w:horzAnchor="page" w:tblpX="1877"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92"/>
      </w:tblGrid>
      <w:tr w14:paraId="641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871" w:type="dxa"/>
            <w:tcBorders>
              <w:top w:val="nil"/>
              <w:left w:val="nil"/>
              <w:bottom w:val="nil"/>
              <w:right w:val="nil"/>
            </w:tcBorders>
            <w:vAlign w:val="center"/>
          </w:tcPr>
          <w:p w14:paraId="6A4B9CAC">
            <w:pPr>
              <w:autoSpaceDE w:val="0"/>
              <w:autoSpaceDN w:val="0"/>
              <w:spacing w:line="360" w:lineRule="auto"/>
              <w:textAlignment w:val="bottom"/>
              <w:outlineLvl w:val="0"/>
              <w:rPr>
                <w:rFonts w:hint="eastAsia" w:ascii="宋体" w:hAnsi="宋体"/>
                <w:b/>
                <w:sz w:val="36"/>
              </w:rPr>
            </w:pPr>
            <w:bookmarkStart w:id="20" w:name="_Toc14974"/>
            <w:bookmarkStart w:id="21" w:name="_Toc8253"/>
            <w:bookmarkStart w:id="22" w:name="_Toc6673"/>
            <w:bookmarkStart w:id="23" w:name="_Toc18701"/>
            <w:bookmarkStart w:id="24" w:name="_Toc21553"/>
            <w:bookmarkStart w:id="25" w:name="_Toc14818"/>
            <w:bookmarkStart w:id="26" w:name="_Toc8872"/>
            <w:bookmarkStart w:id="27" w:name="_Toc32484"/>
            <w:bookmarkStart w:id="28" w:name="_Toc4151"/>
            <w:bookmarkStart w:id="29" w:name="_Toc3870"/>
            <w:bookmarkStart w:id="30" w:name="_Toc5307"/>
            <w:bookmarkStart w:id="31" w:name="_Toc27048"/>
            <w:bookmarkStart w:id="32" w:name="_Toc14192"/>
            <w:bookmarkStart w:id="33" w:name="_Toc1832"/>
            <w:bookmarkStart w:id="34" w:name="_Toc14502"/>
            <w:bookmarkStart w:id="35" w:name="_Toc4220"/>
            <w:bookmarkStart w:id="36" w:name="_Toc17554"/>
            <w:bookmarkStart w:id="37" w:name="_Toc12430"/>
            <w:bookmarkStart w:id="38" w:name="_Toc30240"/>
            <w:bookmarkStart w:id="39" w:name="_Toc3652"/>
            <w:r>
              <w:rPr>
                <w:rFonts w:hint="eastAsia" w:ascii="宋体" w:hAnsi="宋体"/>
                <w:b/>
                <w:sz w:val="36"/>
              </w:rPr>
              <w:t>采购编号：</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c>
          <w:tcPr>
            <w:tcW w:w="7292" w:type="dxa"/>
            <w:tcBorders>
              <w:top w:val="nil"/>
              <w:left w:val="nil"/>
              <w:bottom w:val="nil"/>
              <w:right w:val="nil"/>
            </w:tcBorders>
            <w:vAlign w:val="center"/>
          </w:tcPr>
          <w:p w14:paraId="71C66BA4">
            <w:pPr>
              <w:autoSpaceDE w:val="0"/>
              <w:autoSpaceDN w:val="0"/>
              <w:spacing w:line="360" w:lineRule="auto"/>
              <w:textAlignment w:val="bottom"/>
              <w:outlineLvl w:val="0"/>
              <w:rPr>
                <w:rFonts w:hint="eastAsia" w:ascii="宋体" w:hAnsi="宋体" w:eastAsia="宋体" w:cs="仿宋"/>
                <w:b/>
                <w:sz w:val="36"/>
                <w:lang w:eastAsia="zh-CN"/>
              </w:rPr>
            </w:pPr>
            <w:bookmarkStart w:id="40" w:name="_Toc12678"/>
            <w:r>
              <w:rPr>
                <w:rFonts w:hint="eastAsia" w:ascii="宋体" w:hAnsi="宋体" w:cs="仿宋"/>
                <w:b/>
                <w:sz w:val="36"/>
                <w:lang w:eastAsia="zh-CN"/>
              </w:rPr>
              <w:t>卓正丽磋商2025-1087号</w:t>
            </w:r>
            <w:bookmarkEnd w:id="40"/>
          </w:p>
        </w:tc>
      </w:tr>
      <w:tr w14:paraId="1A6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871" w:type="dxa"/>
            <w:tcBorders>
              <w:top w:val="nil"/>
              <w:left w:val="nil"/>
              <w:bottom w:val="nil"/>
              <w:right w:val="nil"/>
            </w:tcBorders>
            <w:vAlign w:val="center"/>
          </w:tcPr>
          <w:p w14:paraId="30C5A757">
            <w:pPr>
              <w:autoSpaceDE w:val="0"/>
              <w:autoSpaceDN w:val="0"/>
              <w:spacing w:line="360" w:lineRule="auto"/>
              <w:textAlignment w:val="bottom"/>
              <w:outlineLvl w:val="0"/>
              <w:rPr>
                <w:rFonts w:hint="eastAsia" w:ascii="宋体" w:hAnsi="宋体" w:cs="仿宋"/>
                <w:b/>
                <w:sz w:val="36"/>
              </w:rPr>
            </w:pPr>
            <w:bookmarkStart w:id="41" w:name="_Toc21169"/>
            <w:bookmarkStart w:id="42" w:name="_Toc26724"/>
            <w:bookmarkStart w:id="43" w:name="_Toc27899"/>
            <w:bookmarkStart w:id="44" w:name="_Toc16238"/>
            <w:bookmarkStart w:id="45" w:name="_Toc23291"/>
            <w:bookmarkStart w:id="46" w:name="_Toc2841"/>
            <w:bookmarkStart w:id="47" w:name="_Toc27718"/>
            <w:bookmarkStart w:id="48" w:name="_Toc4025"/>
            <w:bookmarkStart w:id="49" w:name="_Toc8714"/>
            <w:bookmarkStart w:id="50" w:name="_Toc22243"/>
            <w:bookmarkStart w:id="51" w:name="_Toc7101"/>
            <w:bookmarkStart w:id="52" w:name="_Toc29362"/>
            <w:bookmarkStart w:id="53" w:name="_Toc26219"/>
            <w:bookmarkStart w:id="54" w:name="_Toc12623"/>
            <w:bookmarkStart w:id="55" w:name="_Toc6533"/>
            <w:bookmarkStart w:id="56" w:name="_Toc5880"/>
            <w:bookmarkStart w:id="57" w:name="_Toc25718"/>
            <w:bookmarkStart w:id="58" w:name="_Toc30189"/>
            <w:bookmarkStart w:id="59" w:name="_Toc27554"/>
            <w:bookmarkStart w:id="60" w:name="_Toc23534"/>
            <w:r>
              <w:rPr>
                <w:rFonts w:hint="eastAsia" w:ascii="宋体" w:hAnsi="宋体" w:cs="仿宋"/>
                <w:b/>
                <w:sz w:val="36"/>
              </w:rPr>
              <w:t>项目名称：</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tc>
        <w:tc>
          <w:tcPr>
            <w:tcW w:w="7292" w:type="dxa"/>
            <w:tcBorders>
              <w:top w:val="nil"/>
              <w:left w:val="nil"/>
              <w:bottom w:val="nil"/>
              <w:right w:val="nil"/>
            </w:tcBorders>
            <w:vAlign w:val="center"/>
          </w:tcPr>
          <w:p w14:paraId="29B185FB">
            <w:pPr>
              <w:autoSpaceDE w:val="0"/>
              <w:autoSpaceDN w:val="0"/>
              <w:spacing w:line="360" w:lineRule="auto"/>
              <w:textAlignment w:val="bottom"/>
              <w:outlineLvl w:val="0"/>
              <w:rPr>
                <w:rFonts w:hint="eastAsia" w:ascii="宋体" w:hAnsi="宋体" w:eastAsia="宋体" w:cs="仿宋"/>
                <w:b/>
                <w:sz w:val="36"/>
                <w:lang w:eastAsia="zh-CN"/>
              </w:rPr>
            </w:pPr>
            <w:bookmarkStart w:id="61" w:name="_Toc28480"/>
            <w:r>
              <w:rPr>
                <w:rFonts w:hint="eastAsia" w:ascii="宋体" w:hAnsi="宋体"/>
                <w:b/>
                <w:sz w:val="36"/>
                <w:lang w:eastAsia="zh-CN"/>
              </w:rPr>
              <w:t>2025年省青少年学生阳光体育运动会航海模型、建筑模型竞赛项目</w:t>
            </w:r>
            <w:bookmarkEnd w:id="61"/>
          </w:p>
        </w:tc>
      </w:tr>
      <w:tr w14:paraId="64D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71" w:type="dxa"/>
            <w:tcBorders>
              <w:top w:val="nil"/>
              <w:left w:val="nil"/>
              <w:bottom w:val="nil"/>
              <w:right w:val="nil"/>
            </w:tcBorders>
            <w:vAlign w:val="center"/>
          </w:tcPr>
          <w:p w14:paraId="7C60D0BC">
            <w:pPr>
              <w:autoSpaceDE w:val="0"/>
              <w:autoSpaceDN w:val="0"/>
              <w:spacing w:line="360" w:lineRule="auto"/>
              <w:textAlignment w:val="bottom"/>
              <w:outlineLvl w:val="0"/>
              <w:rPr>
                <w:rFonts w:hint="eastAsia" w:ascii="宋体" w:hAnsi="宋体"/>
                <w:b/>
                <w:sz w:val="36"/>
              </w:rPr>
            </w:pPr>
            <w:bookmarkStart w:id="62" w:name="_Toc11126"/>
            <w:bookmarkStart w:id="63" w:name="_Toc6459"/>
            <w:bookmarkStart w:id="64" w:name="_Toc7683"/>
            <w:bookmarkStart w:id="65" w:name="_Toc32005"/>
            <w:bookmarkStart w:id="66" w:name="_Toc27522"/>
            <w:bookmarkStart w:id="67" w:name="_Toc9261"/>
            <w:bookmarkStart w:id="68" w:name="_Toc647"/>
            <w:bookmarkStart w:id="69" w:name="_Toc20220"/>
            <w:bookmarkStart w:id="70" w:name="_Toc29694"/>
            <w:bookmarkStart w:id="71" w:name="_Toc30305"/>
            <w:bookmarkStart w:id="72" w:name="_Toc13976"/>
            <w:bookmarkStart w:id="73" w:name="_Toc9297"/>
            <w:bookmarkStart w:id="74" w:name="_Toc17873"/>
            <w:bookmarkStart w:id="75" w:name="_Toc26308"/>
            <w:bookmarkStart w:id="76" w:name="_Toc4605"/>
            <w:bookmarkStart w:id="77" w:name="_Toc5034"/>
            <w:bookmarkStart w:id="78" w:name="_Toc30938"/>
            <w:bookmarkStart w:id="79" w:name="_Toc31154"/>
            <w:bookmarkStart w:id="80" w:name="_Toc2477"/>
            <w:bookmarkStart w:id="81" w:name="_Toc16489"/>
            <w:r>
              <w:rPr>
                <w:rFonts w:hint="eastAsia" w:ascii="宋体" w:hAnsi="宋体"/>
                <w:b/>
                <w:sz w:val="36"/>
              </w:rPr>
              <w:t>采 购 人：</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c>
          <w:tcPr>
            <w:tcW w:w="7292" w:type="dxa"/>
            <w:tcBorders>
              <w:top w:val="nil"/>
              <w:left w:val="nil"/>
              <w:bottom w:val="nil"/>
              <w:right w:val="nil"/>
            </w:tcBorders>
            <w:vAlign w:val="center"/>
          </w:tcPr>
          <w:p w14:paraId="2934ACEA">
            <w:pPr>
              <w:autoSpaceDE w:val="0"/>
              <w:autoSpaceDN w:val="0"/>
              <w:spacing w:line="360" w:lineRule="auto"/>
              <w:textAlignment w:val="bottom"/>
              <w:outlineLvl w:val="0"/>
              <w:rPr>
                <w:rFonts w:hint="eastAsia" w:ascii="宋体" w:hAnsi="宋体"/>
                <w:b/>
                <w:sz w:val="36"/>
              </w:rPr>
            </w:pPr>
            <w:bookmarkStart w:id="82" w:name="_Toc19086"/>
            <w:r>
              <w:rPr>
                <w:rFonts w:hint="eastAsia" w:ascii="宋体" w:hAnsi="宋体" w:cs="Times New Roman"/>
                <w:b/>
                <w:sz w:val="36"/>
                <w:lang w:eastAsia="zh-CN"/>
              </w:rPr>
              <w:t>丽水市体育发展服务中心</w:t>
            </w:r>
            <w:bookmarkEnd w:id="82"/>
          </w:p>
        </w:tc>
      </w:tr>
    </w:tbl>
    <w:p w14:paraId="29B3E3FD">
      <w:pPr>
        <w:autoSpaceDE w:val="0"/>
        <w:autoSpaceDN w:val="0"/>
        <w:spacing w:line="360" w:lineRule="auto"/>
        <w:ind w:left="1428" w:leftChars="680"/>
        <w:textAlignment w:val="bottom"/>
        <w:outlineLvl w:val="0"/>
        <w:rPr>
          <w:rFonts w:hint="eastAsia" w:ascii="宋体" w:hAnsi="宋体"/>
          <w:b/>
          <w:sz w:val="36"/>
        </w:rPr>
      </w:pPr>
    </w:p>
    <w:p w14:paraId="753E29D0">
      <w:pPr>
        <w:spacing w:line="360" w:lineRule="auto"/>
        <w:rPr>
          <w:rFonts w:hint="eastAsia" w:ascii="宋体" w:hAnsi="宋体"/>
          <w:b/>
          <w:sz w:val="36"/>
        </w:rPr>
      </w:pPr>
    </w:p>
    <w:p w14:paraId="6CD706A6">
      <w:pPr>
        <w:autoSpaceDE w:val="0"/>
        <w:autoSpaceDN w:val="0"/>
        <w:spacing w:line="360" w:lineRule="auto"/>
        <w:textAlignment w:val="bottom"/>
        <w:rPr>
          <w:rFonts w:hint="eastAsia" w:ascii="宋体" w:hAnsi="宋体"/>
          <w:b/>
          <w:sz w:val="36"/>
        </w:rPr>
      </w:pPr>
    </w:p>
    <w:p w14:paraId="1026F256">
      <w:pPr>
        <w:autoSpaceDE w:val="0"/>
        <w:autoSpaceDN w:val="0"/>
        <w:spacing w:line="360" w:lineRule="auto"/>
        <w:ind w:firstLine="1428" w:firstLineChars="395"/>
        <w:textAlignment w:val="bottom"/>
        <w:rPr>
          <w:rFonts w:hint="eastAsia" w:ascii="宋体" w:hAnsi="宋体"/>
          <w:b/>
          <w:sz w:val="36"/>
        </w:rPr>
      </w:pPr>
    </w:p>
    <w:p w14:paraId="412B939A">
      <w:pPr>
        <w:autoSpaceDE w:val="0"/>
        <w:autoSpaceDN w:val="0"/>
        <w:spacing w:line="360" w:lineRule="auto"/>
        <w:ind w:firstLine="723" w:firstLineChars="200"/>
        <w:textAlignment w:val="bottom"/>
        <w:rPr>
          <w:rFonts w:hint="eastAsia" w:ascii="宋体" w:hAnsi="宋体"/>
          <w:b/>
          <w:sz w:val="36"/>
        </w:rPr>
      </w:pPr>
      <w:r>
        <w:rPr>
          <w:rFonts w:hint="eastAsia" w:ascii="宋体" w:hAnsi="宋体"/>
          <w:b/>
          <w:sz w:val="36"/>
        </w:rPr>
        <w:t>采购代理机构：卓正招标咨询（丽水）有限公司</w:t>
      </w:r>
    </w:p>
    <w:p w14:paraId="3FCA43ED">
      <w:pPr>
        <w:jc w:val="center"/>
        <w:rPr>
          <w:rFonts w:hint="eastAsia" w:ascii="宋体" w:hAnsi="宋体"/>
          <w:b/>
          <w:szCs w:val="28"/>
        </w:rPr>
      </w:pPr>
      <w:r>
        <w:rPr>
          <w:rFonts w:hint="eastAsia" w:ascii="宋体" w:hAnsi="宋体"/>
          <w:b/>
          <w:sz w:val="36"/>
        </w:rPr>
        <w:t xml:space="preserve">    二〇二五年</w:t>
      </w:r>
      <w:r>
        <w:rPr>
          <w:rFonts w:hint="eastAsia" w:ascii="宋体" w:hAnsi="宋体"/>
          <w:b/>
          <w:sz w:val="36"/>
          <w:lang w:val="en-US" w:eastAsia="zh-CN"/>
        </w:rPr>
        <w:t>六</w:t>
      </w:r>
      <w:r>
        <w:rPr>
          <w:rFonts w:hint="eastAsia" w:ascii="宋体" w:hAnsi="宋体"/>
          <w:b/>
          <w:sz w:val="36"/>
        </w:rPr>
        <w:t>月</w:t>
      </w:r>
    </w:p>
    <w:p w14:paraId="4D9CB1CA">
      <w:pPr>
        <w:pStyle w:val="18"/>
        <w:tabs>
          <w:tab w:val="left" w:pos="2934"/>
          <w:tab w:val="center" w:pos="4535"/>
        </w:tabs>
        <w:spacing w:line="276" w:lineRule="auto"/>
        <w:jc w:val="center"/>
        <w:rPr>
          <w:rFonts w:hint="eastAsia" w:ascii="宋体" w:hAnsi="宋体" w:eastAsia="宋体"/>
          <w:b/>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Borders>
            <w:top w:val="none" w:sz="0" w:space="0"/>
            <w:left w:val="none" w:sz="0" w:space="0"/>
            <w:bottom w:val="none" w:sz="0" w:space="0"/>
            <w:right w:val="none" w:sz="0" w:space="0"/>
          </w:pgBorders>
          <w:cols w:space="720" w:num="1"/>
          <w:titlePg/>
        </w:sectPr>
      </w:pPr>
    </w:p>
    <w:p w14:paraId="0F5D724B">
      <w:pPr>
        <w:jc w:val="center"/>
        <w:rPr>
          <w:rFonts w:hint="eastAsia" w:ascii="宋体" w:hAnsi="宋体"/>
          <w:b/>
          <w:sz w:val="28"/>
          <w:szCs w:val="28"/>
        </w:rPr>
      </w:pPr>
      <w:r>
        <w:rPr>
          <w:rFonts w:ascii="宋体" w:hAnsi="宋体"/>
          <w:b/>
          <w:sz w:val="28"/>
          <w:szCs w:val="28"/>
        </w:rPr>
        <w:t>目  录</w:t>
      </w:r>
    </w:p>
    <w:p w14:paraId="2F899A6C">
      <w:pPr>
        <w:pStyle w:val="24"/>
        <w:tabs>
          <w:tab w:val="right" w:leader="dot" w:pos="9241"/>
        </w:tabs>
      </w:pPr>
      <w:r>
        <w:fldChar w:fldCharType="begin"/>
      </w:r>
      <w:r>
        <w:instrText xml:space="preserve">TOC \o "1-3" \h \u </w:instrText>
      </w:r>
      <w:r>
        <w:fldChar w:fldCharType="separate"/>
      </w:r>
    </w:p>
    <w:p w14:paraId="21EC3AA3">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_Toc29917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第一章  综合说明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_Toc29917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41269F7">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_Toc10500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第二章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_Toc10500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E076BA0">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_Toc15126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_Toc15126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FB7682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_Toc22616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_Toc22616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96C5112">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_Toc15452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_Toc15452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64204B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_Toc31336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_Toc31336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B7675F7">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_Toc27057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响应文件的加密、提交、修改和撤回</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_Toc27057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FC77C41">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_Toc10365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磋商会议和磋商评审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_Toc10365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B95FC2D">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_Toc27473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   磋商无效的情形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_Toc27473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AEFC751">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_Toc30105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   法律责任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_Toc30105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B0543FA">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_Toc11559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   澄清、修改发布媒体</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D3910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_Toc22336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   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_Toc22336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439304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_Toc10969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   投诉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_Toc10969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33F777">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_Toc11724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十一  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_Toc11724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C6683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十二  验收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_Toc4460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F61F7B9">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_Toc12311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十三  政府采购政策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_Toc12311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61554C">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十四  其他事项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0AF6C59">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_Toc24000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第三章  采购需求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_Toc24000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28C27C1">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_Toc26834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lang w:val="en-US" w:eastAsia="zh-CN"/>
        </w:rPr>
        <w:t>、采购内容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_Toc26834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D038E8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_Toc29788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具体服务需求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_Toc29788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431FD79">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_Toc23986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三、其他要求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_Toc23986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B51924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四、项目服务期限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_Toc1860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BF5421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_Toc32125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五、付款方式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_Toc32125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A6602AB">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_Toc5874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highlight w:val="none"/>
        </w:rPr>
        <w:t>第四章  政府采购合同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_Toc5874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AA51183">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_Toc30487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第五章　磋商相关文件格式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_Toc30487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9B4A5E0">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_Toc23339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资格文件格式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_Toc23339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6E049D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_Toc32481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商务技术文件格式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_Toc32481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8EF42A0">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报价文件格式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_Toc860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90339AA">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_Toc18630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四  成交人公告内容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_Toc18630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B48D3D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_Toc23273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五  政府采购活动现场确认声明书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_Toc23273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486EB73">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_Toc11401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第六章  磋商办法和细则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_Toc11401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CDF864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_Toc20988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_Toc20988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CEC1C1C">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_Toc15195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_Toc15195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DFEF0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_Toc14340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_Toc14340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5D830CD">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_Toc1512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磋商内容及规定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_Toc1512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41DE35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_Toc17936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评标办法和细则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_Toc17936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E7C8002">
      <w:pPr>
        <w:pStyle w:val="16"/>
        <w:tabs>
          <w:tab w:val="right" w:leader="dot" w:pos="9241"/>
          <w:tab w:val="clear" w:pos="9060"/>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_Toc26573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   磋商纪律和要求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_Toc26573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722226">
      <w:pPr>
        <w:pStyle w:val="31"/>
        <w:ind w:left="0" w:leftChars="0" w:firstLine="0"/>
      </w:pPr>
      <w:r>
        <w:fldChar w:fldCharType="end"/>
      </w:r>
    </w:p>
    <w:p w14:paraId="6586AFA6">
      <w:pPr>
        <w:rPr>
          <w:rFonts w:ascii="宋体" w:hAnsi="宋体"/>
        </w:rPr>
      </w:pPr>
      <w:bookmarkStart w:id="83" w:name="_Toc4026"/>
      <w:bookmarkStart w:id="84" w:name="_Toc17378"/>
      <w:bookmarkStart w:id="85" w:name="_Toc145493459"/>
      <w:bookmarkStart w:id="86" w:name="_Toc391969406"/>
      <w:bookmarkStart w:id="87" w:name="_Toc662"/>
      <w:bookmarkStart w:id="88" w:name="_Toc14149"/>
      <w:bookmarkStart w:id="89" w:name="_Toc29917"/>
      <w:bookmarkStart w:id="90" w:name="_Toc94277236"/>
      <w:r>
        <w:rPr>
          <w:rFonts w:ascii="宋体" w:hAnsi="宋体"/>
        </w:rPr>
        <w:br w:type="page"/>
      </w:r>
    </w:p>
    <w:p w14:paraId="06029C41">
      <w:pPr>
        <w:pStyle w:val="2"/>
        <w:keepNext w:val="0"/>
        <w:spacing w:line="240" w:lineRule="auto"/>
        <w:jc w:val="center"/>
        <w:rPr>
          <w:rFonts w:hint="eastAsia" w:ascii="宋体" w:hAnsi="宋体"/>
        </w:rPr>
      </w:pPr>
      <w:r>
        <w:rPr>
          <w:rFonts w:ascii="宋体" w:hAnsi="宋体"/>
          <w:sz w:val="32"/>
          <w:szCs w:val="32"/>
        </w:rPr>
        <w:t>第一章  综合说明</w:t>
      </w:r>
      <w:bookmarkEnd w:id="83"/>
      <w:bookmarkEnd w:id="84"/>
      <w:bookmarkEnd w:id="85"/>
      <w:bookmarkEnd w:id="86"/>
      <w:bookmarkEnd w:id="87"/>
      <w:bookmarkEnd w:id="88"/>
      <w:bookmarkEnd w:id="89"/>
      <w:bookmarkEnd w:id="90"/>
    </w:p>
    <w:p w14:paraId="2D311FB7">
      <w:pPr>
        <w:pStyle w:val="4"/>
        <w:ind w:firstLine="600"/>
        <w:jc w:val="center"/>
        <w:rPr>
          <w:rFonts w:hint="eastAsia" w:ascii="宋体" w:hAnsi="宋体" w:cs="宋体"/>
          <w:b w:val="0"/>
        </w:rPr>
      </w:pPr>
      <w:bookmarkStart w:id="91" w:name="_Toc391969407"/>
      <w:bookmarkStart w:id="92" w:name="_Toc145493460"/>
      <w:bookmarkStart w:id="93" w:name="_Toc5681"/>
      <w:bookmarkStart w:id="94" w:name="_Toc10647"/>
      <w:bookmarkStart w:id="95" w:name="_Toc26264"/>
      <w:bookmarkStart w:id="96" w:name="_Toc24161"/>
      <w:bookmarkStart w:id="97" w:name="_Toc12870"/>
      <w:bookmarkStart w:id="98" w:name="_Toc25161"/>
      <w:bookmarkStart w:id="99" w:name="_Toc27881"/>
      <w:bookmarkStart w:id="100" w:name="_Toc32427"/>
      <w:bookmarkStart w:id="101" w:name="_Toc26089"/>
      <w:bookmarkStart w:id="102" w:name="_Toc1353"/>
      <w:bookmarkStart w:id="103" w:name="_Toc18244"/>
      <w:bookmarkStart w:id="104" w:name="_Toc27134"/>
      <w:bookmarkStart w:id="105" w:name="_Toc17918"/>
      <w:bookmarkStart w:id="106" w:name="_Toc19447"/>
      <w:bookmarkStart w:id="107" w:name="_Toc25140"/>
      <w:bookmarkStart w:id="108" w:name="_Toc5828"/>
      <w:bookmarkStart w:id="109" w:name="_Toc24541"/>
      <w:bookmarkStart w:id="110" w:name="_Toc14740"/>
      <w:r>
        <w:rPr>
          <w:rFonts w:hint="eastAsia" w:ascii="宋体" w:hAnsi="宋体" w:cs="宋体"/>
          <w:b w:val="0"/>
        </w:rPr>
        <w:t>一  竞争性磋商</w:t>
      </w:r>
      <w:bookmarkEnd w:id="91"/>
      <w:bookmarkEnd w:id="92"/>
      <w:r>
        <w:rPr>
          <w:rFonts w:hint="eastAsia" w:ascii="宋体" w:hAnsi="宋体" w:cs="宋体"/>
          <w:b w:val="0"/>
        </w:rPr>
        <w:t>公告</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09A6880">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sz w:val="24"/>
        </w:rPr>
      </w:pPr>
      <w:bookmarkStart w:id="111" w:name="_Toc35393790"/>
      <w:bookmarkStart w:id="112" w:name="_Toc28359079"/>
      <w:bookmarkStart w:id="113" w:name="_Toc35393621"/>
      <w:bookmarkStart w:id="114" w:name="_Toc28359002"/>
      <w:bookmarkStart w:id="115" w:name="_Hlk24379207"/>
      <w:r>
        <w:rPr>
          <w:rFonts w:hint="eastAsia" w:ascii="宋体" w:hAnsi="宋体" w:cs="仿宋_GB2312"/>
          <w:sz w:val="24"/>
        </w:rPr>
        <w:t>项目概况：</w:t>
      </w:r>
    </w:p>
    <w:p w14:paraId="4EA7D91B">
      <w:pPr>
        <w:pBdr>
          <w:top w:val="single" w:color="auto" w:sz="4" w:space="1"/>
          <w:left w:val="single" w:color="auto" w:sz="4" w:space="4"/>
          <w:bottom w:val="single" w:color="auto" w:sz="4" w:space="0"/>
          <w:right w:val="single" w:color="auto" w:sz="4" w:space="2"/>
        </w:pBdr>
        <w:spacing w:line="360" w:lineRule="auto"/>
        <w:ind w:firstLine="482" w:firstLineChars="200"/>
        <w:rPr>
          <w:rFonts w:hint="eastAsia" w:ascii="宋体" w:hAnsi="宋体" w:cs="仿宋_GB2312"/>
          <w:sz w:val="24"/>
        </w:rPr>
      </w:pPr>
      <w:r>
        <w:rPr>
          <w:rFonts w:hint="eastAsia" w:ascii="宋体" w:hAnsi="宋体"/>
          <w:b/>
          <w:sz w:val="24"/>
          <w:u w:val="single"/>
          <w:lang w:eastAsia="zh-CN"/>
        </w:rPr>
        <w:t>2025年省青少年学生阳光体育运动会航海模型、建筑模型竞赛项目</w:t>
      </w:r>
      <w:r>
        <w:rPr>
          <w:rFonts w:hint="eastAsia" w:ascii="宋体" w:hAnsi="宋体" w:cs="仿宋_GB2312"/>
          <w:sz w:val="24"/>
        </w:rPr>
        <w:t>的潜在供应商应</w:t>
      </w:r>
      <w:r>
        <w:rPr>
          <w:rFonts w:ascii="宋体" w:hAnsi="宋体" w:cs="仿宋_GB2312"/>
          <w:sz w:val="24"/>
        </w:rPr>
        <w:t>在浙江政府采购网（网址：</w:t>
      </w:r>
      <w:r>
        <w:fldChar w:fldCharType="begin"/>
      </w:r>
      <w:r>
        <w:instrText xml:space="preserve"> HYPERLINK "http://zfcg.czt.zj.gov.cn）、丽水市公共资源交易网（http://lssggzy.lishui.gov.cn/lsweb/）采购公告附件中自行获取（下载）采购文件，并于2022年" </w:instrText>
      </w:r>
      <w:r>
        <w:fldChar w:fldCharType="separate"/>
      </w:r>
      <w:r>
        <w:rPr>
          <w:rStyle w:val="38"/>
          <w:rFonts w:ascii="宋体" w:hAnsi="宋体" w:cs="仿宋_GB2312"/>
          <w:color w:val="auto"/>
          <w:sz w:val="24"/>
          <w:u w:val="none"/>
        </w:rPr>
        <w:t>http://zfcg.czt.zj.gov.cn）</w:t>
      </w:r>
      <w:r>
        <w:rPr>
          <w:rStyle w:val="38"/>
          <w:rFonts w:hint="eastAsia" w:ascii="宋体" w:hAnsi="宋体" w:cs="仿宋_GB2312"/>
          <w:color w:val="auto"/>
          <w:sz w:val="24"/>
          <w:u w:val="none"/>
        </w:rPr>
        <w:t>、</w:t>
      </w:r>
      <w:r>
        <w:rPr>
          <w:rFonts w:hint="eastAsia" w:ascii="宋体" w:hAnsi="宋体" w:cs="仿宋_GB2312"/>
          <w:sz w:val="24"/>
        </w:rPr>
        <w:t>丽水市公共资源交易网（http://lssggzy.lishui.gov.cn/）</w:t>
      </w:r>
      <w:r>
        <w:rPr>
          <w:rStyle w:val="38"/>
          <w:rFonts w:hint="eastAsia" w:ascii="宋体" w:hAnsi="宋体" w:cs="仿宋_GB2312"/>
          <w:color w:val="auto"/>
          <w:sz w:val="24"/>
          <w:u w:val="none"/>
        </w:rPr>
        <w:t>采购公告附件中自行</w:t>
      </w:r>
      <w:r>
        <w:rPr>
          <w:rStyle w:val="38"/>
          <w:rFonts w:ascii="宋体" w:hAnsi="宋体" w:cs="仿宋_GB2312"/>
          <w:color w:val="auto"/>
          <w:sz w:val="24"/>
          <w:u w:val="none"/>
        </w:rPr>
        <w:t>获取（下载）采购文件，并于202</w:t>
      </w:r>
      <w:r>
        <w:rPr>
          <w:rStyle w:val="38"/>
          <w:rFonts w:hint="eastAsia" w:ascii="宋体" w:hAnsi="宋体" w:cs="仿宋_GB2312"/>
          <w:color w:val="auto"/>
          <w:sz w:val="24"/>
          <w:u w:val="none"/>
        </w:rPr>
        <w:t>5</w:t>
      </w:r>
      <w:r>
        <w:rPr>
          <w:rStyle w:val="38"/>
          <w:rFonts w:ascii="宋体" w:hAnsi="宋体" w:cs="仿宋_GB2312"/>
          <w:color w:val="auto"/>
          <w:sz w:val="24"/>
          <w:u w:val="none"/>
        </w:rPr>
        <w:t>年</w:t>
      </w:r>
      <w:r>
        <w:rPr>
          <w:rStyle w:val="38"/>
          <w:rFonts w:ascii="宋体" w:hAnsi="宋体" w:cs="仿宋_GB2312"/>
          <w:color w:val="auto"/>
          <w:sz w:val="24"/>
          <w:u w:val="none"/>
        </w:rPr>
        <w:fldChar w:fldCharType="end"/>
      </w:r>
      <w:r>
        <w:rPr>
          <w:rFonts w:hint="eastAsia" w:ascii="宋体" w:hAnsi="宋体" w:cs="仿宋_GB2312"/>
          <w:sz w:val="24"/>
          <w:lang w:val="en-US" w:eastAsia="zh-CN"/>
        </w:rPr>
        <w:t>7</w:t>
      </w:r>
      <w:r>
        <w:rPr>
          <w:rFonts w:ascii="宋体" w:hAnsi="宋体" w:cs="仿宋_GB2312"/>
          <w:sz w:val="24"/>
        </w:rPr>
        <w:t>月</w:t>
      </w:r>
      <w:r>
        <w:rPr>
          <w:rFonts w:hint="eastAsia" w:ascii="宋体" w:hAnsi="宋体" w:cs="仿宋_GB2312"/>
          <w:sz w:val="24"/>
          <w:lang w:val="en-US" w:eastAsia="zh-CN"/>
        </w:rPr>
        <w:t>1</w:t>
      </w:r>
      <w:r>
        <w:rPr>
          <w:rFonts w:ascii="宋体" w:hAnsi="宋体" w:cs="仿宋_GB2312"/>
          <w:sz w:val="24"/>
        </w:rPr>
        <w:t>日</w:t>
      </w:r>
      <w:r>
        <w:rPr>
          <w:rFonts w:hint="eastAsia" w:ascii="宋体" w:hAnsi="宋体" w:cs="仿宋_GB2312"/>
          <w:sz w:val="24"/>
        </w:rPr>
        <w:t>9</w:t>
      </w:r>
      <w:r>
        <w:rPr>
          <w:rFonts w:ascii="宋体" w:hAnsi="宋体" w:cs="仿宋_GB2312"/>
          <w:sz w:val="24"/>
        </w:rPr>
        <w:t>:</w:t>
      </w:r>
      <w:r>
        <w:rPr>
          <w:rFonts w:hint="eastAsia" w:ascii="宋体" w:hAnsi="宋体" w:cs="仿宋_GB2312"/>
          <w:sz w:val="24"/>
        </w:rPr>
        <w:t>00</w:t>
      </w:r>
      <w:r>
        <w:rPr>
          <w:rFonts w:ascii="宋体" w:hAnsi="宋体" w:cs="仿宋_GB2312"/>
          <w:sz w:val="24"/>
        </w:rPr>
        <w:t>（北京时间）前提交（上传）响应文件。</w:t>
      </w:r>
    </w:p>
    <w:p w14:paraId="1840BC26">
      <w:pPr>
        <w:spacing w:line="360" w:lineRule="auto"/>
        <w:jc w:val="left"/>
        <w:rPr>
          <w:rFonts w:hint="eastAsia" w:ascii="宋体" w:hAnsi="宋体" w:cs="仿宋_GB2312"/>
          <w:b/>
          <w:sz w:val="24"/>
        </w:rPr>
      </w:pPr>
      <w:r>
        <w:rPr>
          <w:rFonts w:hint="eastAsia" w:ascii="宋体" w:hAnsi="宋体" w:cs="仿宋_GB2312"/>
          <w:b/>
          <w:sz w:val="24"/>
        </w:rPr>
        <w:t>一、项目基本情况</w:t>
      </w:r>
      <w:bookmarkEnd w:id="111"/>
      <w:bookmarkEnd w:id="112"/>
      <w:bookmarkEnd w:id="113"/>
      <w:bookmarkEnd w:id="114"/>
    </w:p>
    <w:bookmarkEnd w:id="115"/>
    <w:p w14:paraId="067EC16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卓正丽磋商2025-1087号</w:t>
      </w:r>
    </w:p>
    <w:p w14:paraId="47CDED06">
      <w:pPr>
        <w:spacing w:line="360" w:lineRule="auto"/>
        <w:ind w:left="1679" w:leftChars="228" w:hanging="1200" w:hangingChars="5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2025年省青少年学生阳光体育运动会航海模型、建筑模型竞赛项目</w:t>
      </w:r>
    </w:p>
    <w:p w14:paraId="420AD4E6">
      <w:pPr>
        <w:spacing w:line="360" w:lineRule="auto"/>
        <w:ind w:firstLine="480" w:firstLineChars="200"/>
        <w:rPr>
          <w:rFonts w:hint="eastAsia" w:ascii="宋体" w:hAnsi="宋体" w:cs="仿宋_GB2312"/>
          <w:sz w:val="24"/>
        </w:rPr>
      </w:pPr>
      <w:r>
        <w:rPr>
          <w:rFonts w:ascii="宋体" w:hAnsi="宋体" w:cs="仿宋_GB2312"/>
          <w:sz w:val="24"/>
        </w:rPr>
        <w:t>采购方式：竞争性磋商</w:t>
      </w:r>
    </w:p>
    <w:p w14:paraId="34964D9A">
      <w:pPr>
        <w:spacing w:line="360" w:lineRule="auto"/>
        <w:ind w:firstLine="480" w:firstLineChars="200"/>
        <w:rPr>
          <w:rFonts w:hint="eastAsia" w:ascii="宋体" w:hAnsi="宋体"/>
          <w:sz w:val="24"/>
        </w:rPr>
      </w:pPr>
      <w:r>
        <w:rPr>
          <w:rFonts w:hint="eastAsia" w:ascii="宋体" w:hAnsi="宋体"/>
          <w:sz w:val="24"/>
        </w:rPr>
        <w:t>组织形式：分散采购</w:t>
      </w:r>
    </w:p>
    <w:p w14:paraId="4B83C27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预算</w:t>
      </w:r>
      <w:r>
        <w:rPr>
          <w:rFonts w:ascii="宋体" w:hAnsi="宋体" w:cs="仿宋_GB2312"/>
          <w:color w:val="auto"/>
          <w:sz w:val="24"/>
          <w:highlight w:val="none"/>
        </w:rPr>
        <w:t>金额</w:t>
      </w:r>
      <w:r>
        <w:rPr>
          <w:rFonts w:hint="eastAsia" w:ascii="宋体" w:hAnsi="宋体" w:cs="仿宋_GB2312"/>
          <w:color w:val="auto"/>
          <w:sz w:val="24"/>
          <w:highlight w:val="none"/>
        </w:rPr>
        <w:t>（元）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297100</w:t>
      </w:r>
      <w:r>
        <w:rPr>
          <w:rFonts w:hint="eastAsia" w:ascii="宋体" w:hAnsi="宋体" w:cs="仿宋_GB2312"/>
          <w:color w:val="auto"/>
          <w:sz w:val="24"/>
          <w:highlight w:val="none"/>
        </w:rPr>
        <w:t xml:space="preserve">  </w:t>
      </w:r>
    </w:p>
    <w:p w14:paraId="709D8991">
      <w:pPr>
        <w:spacing w:line="360" w:lineRule="auto"/>
        <w:ind w:firstLine="480" w:firstLineChars="200"/>
        <w:rPr>
          <w:rFonts w:hint="default" w:ascii="宋体" w:hAnsi="宋体" w:eastAsia="宋体"/>
          <w:bCs/>
          <w:snapToGrid w:val="0"/>
          <w:color w:val="auto"/>
          <w:sz w:val="24"/>
          <w:highlight w:val="none"/>
          <w:lang w:val="en-US" w:eastAsia="zh-CN"/>
        </w:rPr>
      </w:pPr>
      <w:r>
        <w:rPr>
          <w:rFonts w:hint="eastAsia" w:ascii="宋体" w:hAnsi="宋体" w:cs="仿宋_GB2312"/>
          <w:color w:val="auto"/>
          <w:sz w:val="24"/>
          <w:highlight w:val="none"/>
        </w:rPr>
        <w:t>最高限价（元）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297100</w:t>
      </w:r>
      <w:r>
        <w:rPr>
          <w:rFonts w:hint="eastAsia" w:ascii="宋体" w:hAnsi="宋体" w:cs="仿宋_GB2312"/>
          <w:color w:val="auto"/>
          <w:sz w:val="24"/>
          <w:highlight w:val="none"/>
        </w:rPr>
        <w:t xml:space="preserve"> </w:t>
      </w:r>
    </w:p>
    <w:p w14:paraId="5A68293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数量</w:t>
      </w:r>
      <w:r>
        <w:rPr>
          <w:rFonts w:ascii="宋体" w:hAnsi="宋体" w:cs="仿宋_GB2312"/>
          <w:color w:val="auto"/>
          <w:sz w:val="24"/>
          <w:highlight w:val="none"/>
        </w:rPr>
        <w:t>：</w:t>
      </w:r>
      <w:r>
        <w:rPr>
          <w:rFonts w:hint="eastAsia" w:ascii="宋体" w:hAnsi="宋体" w:cs="仿宋_GB2312"/>
          <w:color w:val="auto"/>
          <w:sz w:val="24"/>
          <w:highlight w:val="none"/>
        </w:rPr>
        <w:t>1</w:t>
      </w:r>
    </w:p>
    <w:p w14:paraId="64A4970A">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项</w:t>
      </w:r>
    </w:p>
    <w:p w14:paraId="4ADF7FD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简要规格描述：见第三章采购需求</w:t>
      </w:r>
    </w:p>
    <w:p w14:paraId="40A4F9A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733C326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合同履行期限：见</w:t>
      </w:r>
      <w:r>
        <w:rPr>
          <w:rFonts w:hint="eastAsia" w:ascii="宋体" w:hAnsi="宋体" w:cs="仿宋_GB2312"/>
          <w:color w:val="auto"/>
          <w:sz w:val="24"/>
          <w:highlight w:val="none"/>
          <w:lang w:val="en-US" w:eastAsia="zh-CN"/>
        </w:rPr>
        <w:t>磋商</w:t>
      </w:r>
      <w:r>
        <w:rPr>
          <w:rFonts w:ascii="宋体" w:hAnsi="宋体" w:cs="仿宋_GB2312"/>
          <w:color w:val="auto"/>
          <w:sz w:val="24"/>
          <w:highlight w:val="none"/>
        </w:rPr>
        <w:t>文件第</w:t>
      </w:r>
      <w:r>
        <w:rPr>
          <w:rFonts w:hint="eastAsia" w:ascii="宋体" w:hAnsi="宋体" w:cs="仿宋_GB2312"/>
          <w:color w:val="auto"/>
          <w:sz w:val="24"/>
          <w:highlight w:val="none"/>
        </w:rPr>
        <w:t>三</w:t>
      </w:r>
      <w:r>
        <w:rPr>
          <w:rFonts w:ascii="宋体" w:hAnsi="宋体" w:cs="仿宋_GB2312"/>
          <w:color w:val="auto"/>
          <w:sz w:val="24"/>
          <w:highlight w:val="none"/>
        </w:rPr>
        <w:t>章</w:t>
      </w:r>
    </w:p>
    <w:p w14:paraId="78FAA580">
      <w:pPr>
        <w:spacing w:line="360" w:lineRule="auto"/>
        <w:ind w:firstLine="480"/>
        <w:rPr>
          <w:rFonts w:hint="eastAsia" w:ascii="宋体" w:hAnsi="宋体" w:eastAsia="宋体"/>
          <w:b/>
          <w:bCs/>
          <w:sz w:val="24"/>
          <w:lang w:eastAsia="zh-CN"/>
        </w:rPr>
      </w:pPr>
      <w:r>
        <w:rPr>
          <w:rFonts w:hint="eastAsia" w:ascii="宋体" w:hAnsi="宋体" w:cs="仿宋_GB2312"/>
          <w:color w:val="auto"/>
          <w:sz w:val="24"/>
          <w:highlight w:val="none"/>
        </w:rPr>
        <w:t>本项目</w:t>
      </w:r>
      <w:r>
        <w:rPr>
          <w:rFonts w:hint="eastAsia" w:ascii="宋体" w:hAnsi="宋体" w:cs="仿宋_GB2312"/>
          <w:color w:val="auto"/>
          <w:sz w:val="24"/>
          <w:highlight w:val="none"/>
          <w:lang w:val="en-US" w:eastAsia="zh-CN"/>
        </w:rPr>
        <w:t>不</w:t>
      </w:r>
      <w:r>
        <w:rPr>
          <w:rFonts w:hint="eastAsia" w:ascii="宋体" w:hAnsi="宋体" w:cs="仿宋_GB2312"/>
          <w:color w:val="auto"/>
          <w:sz w:val="24"/>
          <w:highlight w:val="none"/>
        </w:rPr>
        <w:t>接受联合体</w:t>
      </w:r>
      <w:r>
        <w:rPr>
          <w:rFonts w:hint="eastAsia" w:ascii="宋体" w:hAnsi="宋体" w:cs="仿宋_GB2312"/>
          <w:color w:val="auto"/>
          <w:sz w:val="24"/>
          <w:highlight w:val="none"/>
          <w:lang w:val="en-US" w:eastAsia="zh-CN"/>
        </w:rPr>
        <w:t>磋商</w:t>
      </w:r>
    </w:p>
    <w:p w14:paraId="42AC112B">
      <w:pPr>
        <w:spacing w:line="360" w:lineRule="auto"/>
        <w:jc w:val="left"/>
        <w:rPr>
          <w:rFonts w:hint="eastAsia" w:ascii="宋体" w:hAnsi="宋体" w:cs="仿宋_GB2312"/>
          <w:b/>
          <w:sz w:val="24"/>
        </w:rPr>
      </w:pPr>
      <w:r>
        <w:rPr>
          <w:rFonts w:hint="eastAsia" w:ascii="宋体" w:hAnsi="宋体" w:cs="仿宋_GB2312"/>
          <w:b/>
          <w:sz w:val="24"/>
        </w:rPr>
        <w:t>二、申请人的资格要求</w:t>
      </w:r>
    </w:p>
    <w:p w14:paraId="5E1B673A">
      <w:pPr>
        <w:spacing w:line="360" w:lineRule="auto"/>
        <w:ind w:firstLine="480" w:firstLineChars="200"/>
        <w:rPr>
          <w:rFonts w:hint="eastAsia" w:ascii="宋体" w:hAnsi="宋体" w:cs="仿宋_GB2312"/>
          <w:sz w:val="24"/>
        </w:rPr>
      </w:pPr>
      <w:bookmarkStart w:id="116" w:name="_Toc35393623"/>
      <w:bookmarkStart w:id="117" w:name="_Toc35393792"/>
      <w:bookmarkStart w:id="118" w:name="_Toc28359004"/>
      <w:bookmarkStart w:id="119" w:name="_Toc28359081"/>
      <w:r>
        <w:rPr>
          <w:rFonts w:hint="eastAsia" w:ascii="宋体" w:hAnsi="宋体" w:cs="仿宋_GB2312"/>
          <w:sz w:val="24"/>
        </w:rPr>
        <w:t>1.基本资格要求：</w:t>
      </w:r>
    </w:p>
    <w:p w14:paraId="5C53F648">
      <w:pPr>
        <w:spacing w:line="360" w:lineRule="auto"/>
        <w:ind w:firstLine="480" w:firstLineChars="200"/>
        <w:rPr>
          <w:rFonts w:hint="eastAsia" w:ascii="宋体" w:hAnsi="宋体" w:cs="仿宋_GB2312"/>
          <w:sz w:val="24"/>
        </w:rPr>
      </w:pPr>
      <w:r>
        <w:rPr>
          <w:rFonts w:hint="eastAsia" w:ascii="宋体" w:hAnsi="宋体" w:cs="仿宋_GB2312"/>
          <w:sz w:val="24"/>
        </w:rPr>
        <w:t>（1）满足《中华人民共和国政府采购法》第二十二条规定；</w:t>
      </w:r>
    </w:p>
    <w:p w14:paraId="1C1C1CAC">
      <w:pPr>
        <w:spacing w:line="360" w:lineRule="auto"/>
        <w:ind w:firstLine="480" w:firstLineChars="200"/>
        <w:rPr>
          <w:rFonts w:hint="eastAsia" w:ascii="宋体" w:hAnsi="宋体" w:cs="仿宋_GB2312"/>
          <w:b/>
          <w:sz w:val="24"/>
        </w:rPr>
      </w:pPr>
      <w:r>
        <w:rPr>
          <w:rFonts w:hint="eastAsia" w:ascii="宋体" w:hAnsi="宋体" w:cs="仿宋_GB2312"/>
          <w:sz w:val="24"/>
        </w:rPr>
        <w:t>（2）投标截止时间前未被“信用中国”网站（www.creditchina.gov.cn）、中国政府采购网（www.ccgp.gov.cn）列入失信被执行人、重大税收违法黑名单、政府采购严重违法失信行为记录名单；</w:t>
      </w:r>
      <w:r>
        <w:rPr>
          <w:rFonts w:hint="eastAsia" w:ascii="宋体" w:hAnsi="宋体" w:cs="仿宋_GB2312"/>
          <w:b/>
          <w:sz w:val="24"/>
        </w:rPr>
        <w:t>（注：本项内容由代理机构在资格审查现场完成查询）</w:t>
      </w:r>
    </w:p>
    <w:bookmarkEnd w:id="116"/>
    <w:bookmarkEnd w:id="117"/>
    <w:bookmarkEnd w:id="118"/>
    <w:bookmarkEnd w:id="119"/>
    <w:p w14:paraId="6777A22A">
      <w:pPr>
        <w:spacing w:line="360" w:lineRule="auto"/>
        <w:ind w:firstLine="480" w:firstLineChars="200"/>
        <w:rPr>
          <w:rFonts w:hint="eastAsia" w:ascii="宋体" w:hAnsi="宋体" w:cs="仿宋_GB2312"/>
          <w:b/>
          <w:sz w:val="24"/>
        </w:rPr>
      </w:pPr>
      <w:r>
        <w:rPr>
          <w:rFonts w:ascii="宋体" w:hAnsi="宋体" w:cs="仿宋_GB2312"/>
          <w:sz w:val="24"/>
        </w:rPr>
        <w:t>2.落实政府采购政策需满足的资格要求：</w:t>
      </w:r>
      <w:r>
        <w:rPr>
          <w:rFonts w:hint="eastAsia" w:ascii="宋体" w:hAnsi="宋体" w:cs="仿宋_GB2312"/>
          <w:b/>
          <w:sz w:val="24"/>
        </w:rPr>
        <w:t>供应商为中小企业/小微企业。</w:t>
      </w:r>
    </w:p>
    <w:p w14:paraId="739505D6">
      <w:pPr>
        <w:spacing w:line="360" w:lineRule="auto"/>
        <w:ind w:firstLine="480" w:firstLineChars="200"/>
        <w:rPr>
          <w:rFonts w:hint="eastAsia" w:ascii="宋体" w:hAnsi="宋体" w:cs="仿宋_GB2312"/>
          <w:sz w:val="24"/>
        </w:rPr>
      </w:pPr>
      <w:r>
        <w:rPr>
          <w:rFonts w:ascii="宋体" w:hAnsi="宋体" w:cs="仿宋_GB2312"/>
          <w:sz w:val="24"/>
        </w:rPr>
        <w:t>3.本项目的特定资格要求：</w:t>
      </w:r>
      <w:r>
        <w:rPr>
          <w:rFonts w:hint="eastAsia" w:ascii="宋体" w:hAnsi="宋体" w:cs="仿宋_GB2312"/>
          <w:b/>
          <w:bCs/>
          <w:sz w:val="24"/>
        </w:rPr>
        <w:t>无</w:t>
      </w:r>
    </w:p>
    <w:p w14:paraId="370DE81E">
      <w:pPr>
        <w:spacing w:line="360" w:lineRule="auto"/>
        <w:jc w:val="left"/>
        <w:rPr>
          <w:rFonts w:hint="eastAsia" w:ascii="宋体" w:hAnsi="宋体" w:cs="仿宋_GB2312"/>
          <w:b/>
          <w:sz w:val="24"/>
        </w:rPr>
      </w:pPr>
      <w:r>
        <w:rPr>
          <w:rFonts w:hint="eastAsia" w:ascii="宋体" w:hAnsi="宋体" w:cs="仿宋_GB2312"/>
          <w:b/>
          <w:sz w:val="24"/>
        </w:rPr>
        <w:t>三、获取（下载）采购文件</w:t>
      </w:r>
    </w:p>
    <w:p w14:paraId="2B8E86AA">
      <w:pPr>
        <w:spacing w:line="360" w:lineRule="auto"/>
        <w:ind w:firstLine="480" w:firstLineChars="200"/>
        <w:rPr>
          <w:rFonts w:hint="eastAsia"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b/>
          <w:sz w:val="24"/>
        </w:rPr>
        <w:t>时间：</w:t>
      </w:r>
      <w:r>
        <w:rPr>
          <w:rFonts w:hint="eastAsia" w:ascii="宋体" w:hAnsi="宋体" w:cs="仿宋_GB2312"/>
          <w:sz w:val="24"/>
        </w:rPr>
        <w:t>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1</w:t>
      </w:r>
      <w:r>
        <w:rPr>
          <w:rFonts w:ascii="宋体" w:hAnsi="宋体"/>
          <w:bCs/>
          <w:snapToGrid w:val="0"/>
          <w:sz w:val="24"/>
          <w:u w:val="single"/>
        </w:rPr>
        <w:t>日</w:t>
      </w:r>
      <w:r>
        <w:rPr>
          <w:rFonts w:hint="eastAsia" w:ascii="宋体" w:hAnsi="宋体"/>
          <w:bCs/>
          <w:snapToGrid w:val="0"/>
          <w:sz w:val="24"/>
          <w:u w:val="single"/>
        </w:rPr>
        <w:t>9</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sz w:val="24"/>
        </w:rPr>
        <w:t>，每天上午00:00至12:00，下午12:00至23:59（北京时间，线上获取法定节假日均可，线下获取文件法定节假日除外）</w:t>
      </w:r>
    </w:p>
    <w:p w14:paraId="15D0F157">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b/>
          <w:sz w:val="24"/>
        </w:rPr>
        <w:t>地点（网址）</w:t>
      </w:r>
      <w:r>
        <w:rPr>
          <w:rFonts w:hint="eastAsia" w:ascii="宋体" w:hAnsi="宋体" w:cs="仿宋_GB2312"/>
          <w:sz w:val="24"/>
        </w:rPr>
        <w:t>：浙江政府采购网（</w:t>
      </w:r>
      <w:r>
        <w:fldChar w:fldCharType="begin"/>
      </w:r>
      <w:r>
        <w:instrText xml:space="preserve"> HYPERLINK "http://zfcg.czt.zj.gov.cn" </w:instrText>
      </w:r>
      <w:r>
        <w:fldChar w:fldCharType="separate"/>
      </w:r>
      <w:r>
        <w:rPr>
          <w:rStyle w:val="38"/>
          <w:rFonts w:ascii="宋体" w:hAnsi="宋体"/>
          <w:color w:val="auto"/>
          <w:sz w:val="24"/>
        </w:rPr>
        <w:t>http://</w:t>
      </w:r>
      <w:r>
        <w:rPr>
          <w:rStyle w:val="38"/>
          <w:rFonts w:hint="eastAsia" w:ascii="宋体" w:hAnsi="宋体"/>
          <w:color w:val="auto"/>
          <w:sz w:val="24"/>
        </w:rPr>
        <w:t>zfcg.czt.zj.gov.cn</w:t>
      </w:r>
      <w:r>
        <w:rPr>
          <w:rStyle w:val="38"/>
          <w:rFonts w:hint="eastAsia" w:ascii="宋体" w:hAnsi="宋体"/>
          <w:color w:val="auto"/>
          <w:sz w:val="24"/>
        </w:rPr>
        <w:fldChar w:fldCharType="end"/>
      </w:r>
      <w:r>
        <w:rPr>
          <w:rFonts w:hint="eastAsia" w:ascii="宋体" w:hAnsi="宋体" w:cs="仿宋_GB2312"/>
          <w:sz w:val="24"/>
        </w:rPr>
        <w:t>）,丽水市公共资源交易网（http://lssggzy.lishui.gov.cn/）公告附件</w:t>
      </w:r>
    </w:p>
    <w:p w14:paraId="0BC75852">
      <w:pPr>
        <w:spacing w:line="360" w:lineRule="auto"/>
        <w:ind w:firstLine="480" w:firstLineChars="200"/>
        <w:rPr>
          <w:rFonts w:hint="eastAsia" w:ascii="宋体" w:hAnsi="宋体" w:cs="仿宋_GB2312"/>
          <w:bCs/>
          <w:sz w:val="24"/>
        </w:rPr>
      </w:pPr>
      <w:r>
        <w:rPr>
          <w:rFonts w:hint="eastAsia" w:ascii="宋体" w:hAnsi="宋体" w:cs="仿宋_GB2312"/>
          <w:bCs/>
          <w:sz w:val="24"/>
        </w:rPr>
        <w:t>3.</w:t>
      </w:r>
      <w:r>
        <w:rPr>
          <w:rFonts w:hint="eastAsia" w:ascii="宋体" w:hAnsi="宋体" w:cs="仿宋_GB2312"/>
          <w:b/>
          <w:bCs/>
          <w:sz w:val="24"/>
        </w:rPr>
        <w:t>方式</w:t>
      </w:r>
      <w:r>
        <w:rPr>
          <w:rFonts w:hint="eastAsia" w:ascii="宋体" w:hAnsi="宋体" w:cs="仿宋_GB2312"/>
          <w:bCs/>
          <w:sz w:val="24"/>
        </w:rPr>
        <w:t>：线上获取；</w:t>
      </w:r>
    </w:p>
    <w:p w14:paraId="799400BA">
      <w:pPr>
        <w:spacing w:line="360" w:lineRule="auto"/>
        <w:ind w:firstLine="480" w:firstLineChars="200"/>
        <w:rPr>
          <w:rFonts w:hint="eastAsia" w:ascii="宋体" w:hAnsi="宋体" w:cs="仿宋_GB2312"/>
          <w:bCs/>
          <w:sz w:val="24"/>
        </w:rPr>
      </w:pPr>
      <w:r>
        <w:rPr>
          <w:rFonts w:hint="eastAsia" w:ascii="宋体" w:hAnsi="宋体" w:cs="仿宋_GB2312"/>
          <w:bCs/>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DECCF97">
      <w:pPr>
        <w:spacing w:line="360" w:lineRule="auto"/>
        <w:ind w:firstLine="480" w:firstLineChars="200"/>
        <w:rPr>
          <w:rFonts w:hint="eastAsia" w:ascii="宋体" w:hAnsi="宋体" w:cs="仿宋_GB2312"/>
          <w:b/>
          <w:bCs/>
          <w:sz w:val="24"/>
        </w:rPr>
      </w:pPr>
      <w:r>
        <w:rPr>
          <w:rFonts w:hint="eastAsia" w:ascii="宋体" w:hAnsi="宋体" w:cs="仿宋_GB2312"/>
          <w:bCs/>
          <w:sz w:val="24"/>
        </w:rPr>
        <w:t>（2）浙江政府采购网采购公告下方“游客浏览采购文件”内公告的采购文件仅供社会公众查阅使用，</w:t>
      </w:r>
      <w:r>
        <w:rPr>
          <w:rFonts w:hint="eastAsia" w:ascii="宋体" w:hAnsi="宋体" w:cs="仿宋_GB2312"/>
          <w:b/>
          <w:bCs/>
          <w:sz w:val="24"/>
        </w:rPr>
        <w:t>潜在供应商只有通过“政府采购云平台”在线登记并获取了采购文件后才被视作“获取采购文件”</w:t>
      </w:r>
      <w:r>
        <w:rPr>
          <w:rFonts w:hint="eastAsia" w:ascii="宋体" w:hAnsi="宋体" w:cs="仿宋_GB2312"/>
          <w:bCs/>
          <w:sz w:val="24"/>
        </w:rPr>
        <w:t>。法律法规所指的供应商获取采购文件时间以供应商通过“政府采购云平台”在线下载获取采购文件的时间为准。</w:t>
      </w:r>
      <w:r>
        <w:rPr>
          <w:rFonts w:hint="eastAsia" w:ascii="宋体" w:hAnsi="宋体" w:cs="仿宋_GB2312"/>
          <w:b/>
          <w:bCs/>
          <w:sz w:val="24"/>
        </w:rPr>
        <w:t>未按规定获取采购文件的供应商，对采购文件提起的质疑、投诉将不予受理。</w:t>
      </w:r>
    </w:p>
    <w:p w14:paraId="40E49C9C">
      <w:pPr>
        <w:spacing w:line="360" w:lineRule="auto"/>
        <w:ind w:firstLine="480" w:firstLineChars="200"/>
        <w:rPr>
          <w:rFonts w:hint="eastAsia"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b/>
          <w:sz w:val="24"/>
        </w:rPr>
        <w:t>售价</w:t>
      </w:r>
      <w:r>
        <w:rPr>
          <w:rFonts w:hint="eastAsia" w:ascii="宋体" w:hAnsi="宋体" w:cs="仿宋_GB2312"/>
          <w:sz w:val="24"/>
        </w:rPr>
        <w:t>：0元</w:t>
      </w:r>
    </w:p>
    <w:p w14:paraId="1D58F4D3">
      <w:pPr>
        <w:spacing w:line="360" w:lineRule="auto"/>
        <w:rPr>
          <w:rFonts w:hint="eastAsia" w:ascii="宋体" w:hAnsi="宋体" w:cs="仿宋_GB2312"/>
          <w:b/>
          <w:sz w:val="24"/>
        </w:rPr>
      </w:pPr>
      <w:bookmarkStart w:id="120" w:name="_Toc28359007"/>
      <w:bookmarkStart w:id="121" w:name="_Toc35393625"/>
      <w:bookmarkStart w:id="122" w:name="_Toc28359084"/>
      <w:bookmarkStart w:id="123" w:name="_Toc35393794"/>
      <w:r>
        <w:rPr>
          <w:rFonts w:hint="eastAsia" w:ascii="宋体" w:hAnsi="宋体" w:cs="仿宋_GB2312"/>
          <w:b/>
          <w:sz w:val="24"/>
        </w:rPr>
        <w:t>四、响应文件提交（上传）</w:t>
      </w:r>
    </w:p>
    <w:p w14:paraId="78B5088F">
      <w:pPr>
        <w:spacing w:line="360" w:lineRule="auto"/>
        <w:ind w:firstLine="480" w:firstLineChars="200"/>
        <w:rPr>
          <w:rFonts w:hint="eastAsia"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hint="eastAsia" w:ascii="宋体" w:hAnsi="宋体" w:cs="仿宋_GB2312"/>
          <w:bCs/>
          <w:sz w:val="24"/>
        </w:rPr>
        <w:t>截止时间：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1</w:t>
      </w:r>
      <w:r>
        <w:rPr>
          <w:rFonts w:ascii="宋体" w:hAnsi="宋体"/>
          <w:bCs/>
          <w:snapToGrid w:val="0"/>
          <w:sz w:val="24"/>
          <w:u w:val="single"/>
        </w:rPr>
        <w:t>日</w:t>
      </w:r>
      <w:r>
        <w:rPr>
          <w:rFonts w:hint="eastAsia" w:ascii="宋体" w:hAnsi="宋体"/>
          <w:bCs/>
          <w:snapToGrid w:val="0"/>
          <w:sz w:val="24"/>
          <w:u w:val="single"/>
        </w:rPr>
        <w:t>9</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bCs/>
          <w:sz w:val="24"/>
        </w:rPr>
        <w:t>（北京时间）</w:t>
      </w:r>
    </w:p>
    <w:p w14:paraId="541641D8">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w:t>
      </w:r>
    </w:p>
    <w:p w14:paraId="74E8EAE2">
      <w:pPr>
        <w:spacing w:line="360" w:lineRule="auto"/>
        <w:ind w:firstLine="480" w:firstLineChars="200"/>
        <w:rPr>
          <w:rFonts w:hint="eastAsia"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电子加密响应文件：在“政府采购云平台”上传提交，“电子加密响应文件”成功上传提交后，供应商自行打印响应文件接收回执；</w:t>
      </w:r>
    </w:p>
    <w:p w14:paraId="2687E421">
      <w:pPr>
        <w:pStyle w:val="17"/>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备份响应文件：</w:t>
      </w:r>
    </w:p>
    <w:p w14:paraId="46477B90">
      <w:pPr>
        <w:pStyle w:val="17"/>
        <w:adjustRightInd w:val="0"/>
        <w:snapToGrid w:val="0"/>
        <w:spacing w:line="360" w:lineRule="auto"/>
        <w:ind w:firstLine="480" w:firstLineChars="200"/>
        <w:rPr>
          <w:rFonts w:hint="eastAsia" w:ascii="新宋体" w:hAnsi="新宋体" w:eastAsia="新宋体"/>
          <w:bCs/>
          <w:sz w:val="24"/>
          <w:szCs w:val="24"/>
        </w:rPr>
      </w:pPr>
      <w:r>
        <w:rPr>
          <w:rFonts w:hint="eastAsia" w:hAnsi="宋体"/>
          <w:bCs/>
          <w:sz w:val="24"/>
        </w:rPr>
        <w:t>备份响应文件是否提交由供应商自行决定，如不提交的，当电子响应文件无法解密时，将导致无备份响应文件而失去投标资格。</w:t>
      </w:r>
      <w:r>
        <w:rPr>
          <w:rFonts w:hint="eastAsia" w:ascii="新宋体" w:hAnsi="新宋体" w:eastAsia="新宋体"/>
          <w:bCs/>
          <w:sz w:val="24"/>
          <w:szCs w:val="24"/>
        </w:rPr>
        <w:t>如提交备份</w:t>
      </w:r>
      <w:r>
        <w:rPr>
          <w:rFonts w:hint="eastAsia" w:hAnsi="宋体"/>
          <w:bCs/>
          <w:sz w:val="24"/>
        </w:rPr>
        <w:t>响应文件</w:t>
      </w:r>
      <w:r>
        <w:rPr>
          <w:rFonts w:hint="eastAsia" w:ascii="新宋体" w:hAnsi="新宋体" w:eastAsia="新宋体"/>
          <w:bCs/>
          <w:sz w:val="24"/>
          <w:szCs w:val="24"/>
        </w:rPr>
        <w:t>的，应在</w:t>
      </w:r>
      <w:r>
        <w:rPr>
          <w:rFonts w:hint="eastAsia" w:hAnsi="宋体"/>
          <w:bCs/>
          <w:sz w:val="24"/>
        </w:rPr>
        <w:t>投标</w:t>
      </w:r>
      <w:r>
        <w:rPr>
          <w:rFonts w:hint="eastAsia" w:ascii="新宋体" w:hAnsi="新宋体" w:eastAsia="新宋体"/>
          <w:bCs/>
          <w:sz w:val="24"/>
          <w:szCs w:val="24"/>
        </w:rPr>
        <w:t>截止时间前将最后生成的具有电子签章的备份</w:t>
      </w:r>
      <w:r>
        <w:rPr>
          <w:rFonts w:hint="eastAsia" w:hAnsi="宋体"/>
          <w:bCs/>
          <w:sz w:val="24"/>
        </w:rPr>
        <w:t>响应文件</w:t>
      </w:r>
      <w:r>
        <w:rPr>
          <w:rFonts w:hint="eastAsia" w:ascii="新宋体" w:hAnsi="新宋体" w:eastAsia="新宋体"/>
          <w:bCs/>
          <w:sz w:val="24"/>
          <w:szCs w:val="24"/>
        </w:rPr>
        <w:t>通过电子邮件方式传送至代理机构邮箱</w:t>
      </w:r>
      <w:r>
        <w:rPr>
          <w:rFonts w:hint="eastAsia" w:ascii="新宋体" w:hAnsi="新宋体" w:eastAsia="新宋体"/>
          <w:b/>
          <w:sz w:val="24"/>
          <w:szCs w:val="24"/>
        </w:rPr>
        <w:t>（lszzzbzx@126.com）</w:t>
      </w:r>
      <w:r>
        <w:rPr>
          <w:rFonts w:hint="eastAsia" w:ascii="新宋体" w:hAnsi="新宋体" w:eastAsia="新宋体"/>
          <w:bCs/>
          <w:sz w:val="24"/>
          <w:szCs w:val="24"/>
        </w:rPr>
        <w:t>，传送的备份</w:t>
      </w:r>
      <w:r>
        <w:rPr>
          <w:rFonts w:hint="eastAsia" w:hAnsi="宋体"/>
          <w:bCs/>
          <w:sz w:val="24"/>
        </w:rPr>
        <w:t>响应文件</w:t>
      </w:r>
      <w:r>
        <w:rPr>
          <w:rFonts w:hint="eastAsia" w:ascii="新宋体" w:hAnsi="新宋体" w:eastAsia="新宋体"/>
          <w:bCs/>
          <w:sz w:val="24"/>
          <w:szCs w:val="24"/>
        </w:rPr>
        <w:t>须打包压缩并加密，</w:t>
      </w:r>
      <w:r>
        <w:rPr>
          <w:rFonts w:hint="eastAsia" w:ascii="新宋体" w:hAnsi="新宋体" w:eastAsia="新宋体"/>
          <w:sz w:val="24"/>
          <w:szCs w:val="24"/>
        </w:rPr>
        <w:t>密码由供应商自行保管，</w:t>
      </w:r>
      <w:r>
        <w:rPr>
          <w:rFonts w:hint="eastAsia" w:ascii="新宋体" w:hAnsi="新宋体" w:eastAsia="新宋体"/>
          <w:b/>
          <w:sz w:val="24"/>
          <w:szCs w:val="24"/>
        </w:rPr>
        <w:t>压缩包命名为“备份</w:t>
      </w:r>
      <w:r>
        <w:rPr>
          <w:rFonts w:hint="eastAsia" w:hAnsi="宋体"/>
          <w:b/>
          <w:sz w:val="24"/>
        </w:rPr>
        <w:t>响应文件</w:t>
      </w:r>
      <w:r>
        <w:rPr>
          <w:rFonts w:hint="eastAsia" w:ascii="新宋体" w:hAnsi="新宋体" w:eastAsia="新宋体"/>
          <w:b/>
          <w:sz w:val="24"/>
          <w:szCs w:val="24"/>
        </w:rPr>
        <w:t>”</w:t>
      </w:r>
      <w:r>
        <w:rPr>
          <w:rFonts w:hint="eastAsia" w:ascii="新宋体" w:hAnsi="新宋体" w:eastAsia="新宋体"/>
          <w:sz w:val="24"/>
          <w:szCs w:val="24"/>
        </w:rPr>
        <w:t>，并在邮件中注明项</w:t>
      </w:r>
      <w:bookmarkStart w:id="485" w:name="_GoBack"/>
      <w:bookmarkEnd w:id="485"/>
      <w:r>
        <w:rPr>
          <w:rFonts w:hint="eastAsia" w:ascii="新宋体" w:hAnsi="新宋体" w:eastAsia="新宋体"/>
          <w:sz w:val="24"/>
          <w:szCs w:val="24"/>
        </w:rPr>
        <w:t>目名称及供应商名称。</w:t>
      </w:r>
    </w:p>
    <w:p w14:paraId="3F5C1848">
      <w:pPr>
        <w:spacing w:line="360" w:lineRule="auto"/>
        <w:rPr>
          <w:rFonts w:hint="eastAsia" w:ascii="宋体" w:hAnsi="宋体" w:cs="仿宋_GB2312"/>
          <w:b/>
          <w:sz w:val="24"/>
        </w:rPr>
      </w:pPr>
      <w:r>
        <w:rPr>
          <w:rFonts w:hint="eastAsia" w:ascii="宋体" w:hAnsi="宋体" w:cs="仿宋_GB2312"/>
          <w:b/>
          <w:sz w:val="24"/>
        </w:rPr>
        <w:t>五、响应文件开启</w:t>
      </w:r>
    </w:p>
    <w:p w14:paraId="4B1C5B3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1.</w:t>
      </w:r>
      <w:r>
        <w:rPr>
          <w:rFonts w:ascii="宋体" w:hAnsi="宋体" w:cs="仿宋_GB2312"/>
          <w:kern w:val="0"/>
          <w:sz w:val="24"/>
        </w:rPr>
        <w:t>开启时间：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1</w:t>
      </w:r>
      <w:r>
        <w:rPr>
          <w:rFonts w:ascii="宋体" w:hAnsi="宋体"/>
          <w:bCs/>
          <w:snapToGrid w:val="0"/>
          <w:sz w:val="24"/>
          <w:u w:val="single"/>
        </w:rPr>
        <w:t>日</w:t>
      </w:r>
      <w:r>
        <w:rPr>
          <w:rFonts w:hint="eastAsia" w:ascii="宋体" w:hAnsi="宋体" w:cs="仿宋_GB2312"/>
          <w:sz w:val="24"/>
          <w:u w:val="single"/>
        </w:rPr>
        <w:t>9</w:t>
      </w:r>
      <w:r>
        <w:rPr>
          <w:rFonts w:ascii="宋体" w:hAnsi="宋体" w:cs="仿宋_GB2312"/>
          <w:sz w:val="24"/>
          <w:u w:val="single"/>
        </w:rPr>
        <w:t>:</w:t>
      </w:r>
      <w:r>
        <w:rPr>
          <w:rFonts w:hint="eastAsia" w:ascii="宋体" w:hAnsi="宋体" w:cs="仿宋_GB2312"/>
          <w:sz w:val="24"/>
          <w:u w:val="single"/>
        </w:rPr>
        <w:t>00</w:t>
      </w:r>
      <w:r>
        <w:rPr>
          <w:rFonts w:ascii="宋体" w:hAnsi="宋体" w:cs="仿宋_GB2312"/>
          <w:sz w:val="24"/>
        </w:rPr>
        <w:t>（北京时间）</w:t>
      </w:r>
    </w:p>
    <w:p w14:paraId="19E5589B">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2.开启地点：“政府采购云平台（</w:t>
      </w:r>
      <w:r>
        <w:rPr>
          <w:rFonts w:hint="eastAsia"/>
        </w:rPr>
        <w:fldChar w:fldCharType="begin"/>
      </w:r>
      <w:r>
        <w:instrText xml:space="preserve"> HYPERLINK "http://www.zcygov.cn/" \h </w:instrText>
      </w:r>
      <w:r>
        <w:rPr>
          <w:rFonts w:hint="eastAsia"/>
        </w:rPr>
        <w:fldChar w:fldCharType="separate"/>
      </w:r>
      <w:r>
        <w:rPr>
          <w:rFonts w:hint="eastAsia" w:ascii="宋体" w:hAnsi="宋体" w:cs="仿宋_GB2312"/>
          <w:kern w:val="0"/>
          <w:sz w:val="24"/>
        </w:rPr>
        <w:t>www.zcygov.cn</w:t>
      </w:r>
      <w:r>
        <w:rPr>
          <w:rFonts w:hint="eastAsia" w:ascii="宋体" w:hAnsi="宋体" w:cs="仿宋_GB2312"/>
          <w:kern w:val="0"/>
          <w:sz w:val="24"/>
        </w:rPr>
        <w:fldChar w:fldCharType="end"/>
      </w:r>
      <w:r>
        <w:rPr>
          <w:rFonts w:hint="eastAsia" w:ascii="宋体" w:hAnsi="宋体" w:cs="仿宋_GB2312"/>
          <w:kern w:val="0"/>
          <w:sz w:val="24"/>
        </w:rPr>
        <w:t>）”在线开标，</w:t>
      </w:r>
      <w:r>
        <w:rPr>
          <w:rFonts w:hint="eastAsia" w:ascii="宋体" w:hAnsi="宋体" w:cs="仿宋_GB2312"/>
          <w:sz w:val="24"/>
        </w:rPr>
        <w:t>浙江政府采购网—用户入驻/登录—用户登录—项目采购—开标评标—进入开标大厅</w:t>
      </w:r>
    </w:p>
    <w:p w14:paraId="0E84E82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3.现场开标地点：</w:t>
      </w:r>
      <w:r>
        <w:rPr>
          <w:rFonts w:hint="eastAsia" w:ascii="宋体" w:hAnsi="宋体" w:cs="宋体"/>
          <w:sz w:val="24"/>
        </w:rPr>
        <w:t>卓正招标咨询（丽水）有限公司（和平路78号艾莱依工业园区2号楼7楼）</w:t>
      </w:r>
    </w:p>
    <w:p w14:paraId="1BCC1D8E">
      <w:pPr>
        <w:spacing w:line="360" w:lineRule="auto"/>
        <w:ind w:firstLine="482" w:firstLineChars="200"/>
        <w:rPr>
          <w:rFonts w:hint="eastAsia" w:ascii="宋体" w:hAnsi="宋体" w:cs="仿宋_GB2312"/>
          <w:b/>
          <w:kern w:val="0"/>
          <w:sz w:val="24"/>
        </w:rPr>
      </w:pPr>
      <w:r>
        <w:rPr>
          <w:rFonts w:hint="eastAsia" w:ascii="宋体" w:hAnsi="宋体" w:cs="仿宋_GB2312"/>
          <w:b/>
          <w:kern w:val="0"/>
          <w:sz w:val="24"/>
        </w:rPr>
        <w:t>注：供应商应按磋商文件规定的方式和时间在线解密。</w:t>
      </w:r>
    </w:p>
    <w:p w14:paraId="00969932">
      <w:pPr>
        <w:spacing w:line="360" w:lineRule="auto"/>
        <w:jc w:val="left"/>
        <w:rPr>
          <w:rFonts w:hint="eastAsia" w:ascii="宋体" w:hAnsi="宋体" w:cs="仿宋_GB2312"/>
          <w:b/>
          <w:sz w:val="24"/>
        </w:rPr>
      </w:pPr>
      <w:r>
        <w:rPr>
          <w:rFonts w:hint="eastAsia" w:ascii="宋体" w:hAnsi="宋体" w:cs="仿宋_GB2312"/>
          <w:b/>
          <w:sz w:val="24"/>
        </w:rPr>
        <w:t>六、公告期限</w:t>
      </w:r>
      <w:bookmarkEnd w:id="120"/>
      <w:bookmarkEnd w:id="121"/>
      <w:bookmarkEnd w:id="122"/>
      <w:bookmarkEnd w:id="123"/>
    </w:p>
    <w:p w14:paraId="2C7FC704">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自本公告发布之日起3个工作日。</w:t>
      </w:r>
    </w:p>
    <w:p w14:paraId="3D02B29B">
      <w:pPr>
        <w:numPr>
          <w:ilvl w:val="0"/>
          <w:numId w:val="1"/>
        </w:numPr>
        <w:spacing w:line="360" w:lineRule="auto"/>
        <w:jc w:val="left"/>
        <w:rPr>
          <w:rFonts w:hint="eastAsia" w:ascii="宋体" w:hAnsi="宋体" w:cs="仿宋_GB2312"/>
          <w:b/>
          <w:sz w:val="24"/>
        </w:rPr>
      </w:pPr>
      <w:bookmarkStart w:id="124" w:name="_Toc35393795"/>
      <w:bookmarkStart w:id="125" w:name="_Toc35393626"/>
      <w:r>
        <w:rPr>
          <w:rFonts w:hint="eastAsia" w:ascii="宋体" w:hAnsi="宋体" w:cs="仿宋_GB2312"/>
          <w:b/>
          <w:sz w:val="24"/>
        </w:rPr>
        <w:t>其他补充事宜</w:t>
      </w:r>
      <w:bookmarkEnd w:id="124"/>
      <w:bookmarkEnd w:id="125"/>
    </w:p>
    <w:p w14:paraId="2B8AB499">
      <w:pPr>
        <w:wordWrap w:val="0"/>
        <w:snapToGrid w:val="0"/>
        <w:spacing w:line="360" w:lineRule="auto"/>
        <w:ind w:firstLine="510"/>
        <w:rPr>
          <w:rFonts w:hint="eastAsia"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3F09EF">
      <w:pPr>
        <w:wordWrap w:val="0"/>
        <w:snapToGrid w:val="0"/>
        <w:spacing w:line="360" w:lineRule="auto"/>
        <w:ind w:firstLine="51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6CB9B8">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rPr>
        <w:t>一次性</w:t>
      </w:r>
      <w:r>
        <w:rPr>
          <w:rFonts w:ascii="宋体" w:hAnsi="宋体"/>
          <w:sz w:val="24"/>
        </w:rPr>
        <w:t>向采购人</w:t>
      </w:r>
      <w:r>
        <w:rPr>
          <w:rFonts w:hint="eastAsia"/>
          <w:sz w:val="24"/>
        </w:rPr>
        <w:t>、采购代理机构</w:t>
      </w:r>
      <w:r>
        <w:rPr>
          <w:sz w:val="24"/>
        </w:rPr>
        <w:t>提出质疑</w:t>
      </w:r>
      <w:r>
        <w:rPr>
          <w:rFonts w:hint="eastAsia"/>
          <w:sz w:val="24"/>
        </w:rPr>
        <w:t>（未按规定获取采购文件的供应商对采购文件提起的质疑将不予受理）</w:t>
      </w:r>
      <w:r>
        <w:rPr>
          <w:sz w:val="24"/>
        </w:rPr>
        <w:t>。质疑供应商对</w:t>
      </w:r>
      <w:r>
        <w:rPr>
          <w:rFonts w:ascii="宋体" w:hAnsi="宋体"/>
          <w:sz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D7B8B">
      <w:pPr>
        <w:spacing w:line="360" w:lineRule="auto"/>
        <w:ind w:firstLine="482" w:firstLineChars="200"/>
        <w:rPr>
          <w:rFonts w:hint="eastAsia" w:ascii="宋体" w:hAnsi="宋体" w:cs="仿宋_GB2312"/>
          <w:b/>
          <w:kern w:val="0"/>
          <w:sz w:val="24"/>
        </w:rPr>
      </w:pPr>
      <w:r>
        <w:rPr>
          <w:rFonts w:ascii="宋体" w:hAnsi="宋体" w:cs="仿宋_GB2312"/>
          <w:b/>
          <w:kern w:val="0"/>
          <w:sz w:val="24"/>
        </w:rPr>
        <w:t>4</w:t>
      </w:r>
      <w:r>
        <w:rPr>
          <w:rFonts w:hint="eastAsia" w:ascii="宋体" w:hAnsi="宋体" w:cs="仿宋_GB2312"/>
          <w:b/>
          <w:kern w:val="0"/>
          <w:sz w:val="24"/>
        </w:rPr>
        <w:t>.其他注意事项</w:t>
      </w:r>
    </w:p>
    <w:p w14:paraId="58198113">
      <w:pPr>
        <w:spacing w:line="360" w:lineRule="auto"/>
        <w:ind w:firstLine="482" w:firstLineChars="200"/>
        <w:jc w:val="left"/>
        <w:rPr>
          <w:rFonts w:hint="eastAsia" w:ascii="宋体" w:hAnsi="宋体"/>
          <w:b/>
          <w:sz w:val="24"/>
        </w:rPr>
      </w:pPr>
      <w:r>
        <w:rPr>
          <w:rFonts w:ascii="宋体" w:hAnsi="宋体"/>
          <w:b/>
          <w:sz w:val="24"/>
        </w:rPr>
        <w:t>4</w:t>
      </w:r>
      <w:r>
        <w:rPr>
          <w:rFonts w:hint="eastAsia" w:ascii="宋体" w:hAnsi="宋体"/>
          <w:b/>
          <w:sz w:val="24"/>
        </w:rPr>
        <w:t>.1本项目全程电子招投标，相关的操作规程务必关注《政府采购项目电子交易管理操作指南-供应商》（网址：https://service.zcygov.cn/#/knowledges/CW1EtGwBFdiHxlNd6I3m/6IMVAG0BFdiHxlNdQ8Na），供应商自行决定是否安排人员赴现场参与磋商。</w:t>
      </w:r>
    </w:p>
    <w:p w14:paraId="6579A039">
      <w:pPr>
        <w:spacing w:line="360" w:lineRule="auto"/>
        <w:ind w:firstLine="472" w:firstLineChars="196"/>
        <w:rPr>
          <w:rFonts w:hint="eastAsia" w:ascii="宋体" w:hAnsi="宋体"/>
          <w:b/>
          <w:sz w:val="24"/>
        </w:rPr>
      </w:pPr>
      <w:r>
        <w:rPr>
          <w:rFonts w:ascii="宋体" w:hAnsi="宋体"/>
          <w:b/>
          <w:sz w:val="24"/>
        </w:rPr>
        <w:t>4</w:t>
      </w:r>
      <w:r>
        <w:rPr>
          <w:rFonts w:hint="eastAsia" w:ascii="宋体" w:hAnsi="宋体"/>
          <w:b/>
          <w:sz w:val="24"/>
        </w:rPr>
        <w:t>.2政采云平台注册注意事项：</w:t>
      </w:r>
    </w:p>
    <w:p w14:paraId="0604A13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.2.1供应商未在浙江政府采购网（http://zfcg.czt.zj.gov.cn/）注册成为正式供应商，需前往注册；</w:t>
      </w:r>
    </w:p>
    <w:p w14:paraId="7AAAAEF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.2.2本项目成交供应商未注册成为浙江政府采购网“正式供应商”的，将无法实现该项目合同备案及付款，由此造成的不利影响由供应商自行承担；</w:t>
      </w:r>
    </w:p>
    <w:p w14:paraId="010866ED">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.2.3营业执照注册地为浙江省内的供应商请咨询注册地公共资源交易中心（或采购中心），营业执照注册地为浙江省外的供应商请咨询浙江省政府采购中心。</w:t>
      </w:r>
    </w:p>
    <w:p w14:paraId="3A612FFF">
      <w:pPr>
        <w:spacing w:line="360" w:lineRule="auto"/>
        <w:jc w:val="left"/>
        <w:rPr>
          <w:rFonts w:hint="eastAsia" w:ascii="宋体" w:hAnsi="宋体" w:cs="仿宋_GB2312"/>
          <w:b/>
          <w:sz w:val="24"/>
        </w:rPr>
      </w:pPr>
      <w:bookmarkStart w:id="126" w:name="_Toc28359008"/>
      <w:bookmarkStart w:id="127" w:name="_Toc35393796"/>
      <w:bookmarkStart w:id="128" w:name="_Toc35393627"/>
      <w:bookmarkStart w:id="129" w:name="_Toc28359085"/>
      <w:r>
        <w:rPr>
          <w:rFonts w:hint="eastAsia" w:ascii="宋体" w:hAnsi="宋体" w:cs="仿宋_GB2312"/>
          <w:b/>
          <w:sz w:val="24"/>
        </w:rPr>
        <w:t>八、</w:t>
      </w:r>
      <w:bookmarkEnd w:id="126"/>
      <w:bookmarkEnd w:id="127"/>
      <w:bookmarkEnd w:id="128"/>
      <w:bookmarkEnd w:id="129"/>
      <w:r>
        <w:rPr>
          <w:rFonts w:hint="eastAsia" w:ascii="宋体" w:hAnsi="宋体" w:cs="仿宋_GB2312"/>
          <w:b/>
          <w:bCs/>
          <w:sz w:val="24"/>
        </w:rPr>
        <w:t>凡对本次采购提出询问、质疑、投诉，请按以下方式联系</w:t>
      </w:r>
    </w:p>
    <w:p w14:paraId="3D7B0F52">
      <w:pPr>
        <w:pStyle w:val="17"/>
        <w:adjustRightInd w:val="0"/>
        <w:snapToGrid w:val="0"/>
        <w:spacing w:line="360" w:lineRule="auto"/>
        <w:ind w:firstLine="480" w:firstLineChars="200"/>
        <w:rPr>
          <w:rFonts w:hint="eastAsia" w:hAnsi="宋体"/>
          <w:sz w:val="24"/>
        </w:rPr>
      </w:pPr>
      <w:r>
        <w:rPr>
          <w:rFonts w:hAnsi="宋体"/>
          <w:bCs/>
          <w:sz w:val="24"/>
        </w:rPr>
        <w:t xml:space="preserve">1. </w:t>
      </w:r>
      <w:r>
        <w:rPr>
          <w:rFonts w:hint="eastAsia" w:hAnsi="宋体"/>
          <w:sz w:val="24"/>
        </w:rPr>
        <w:t>采购人名称：</w:t>
      </w:r>
      <w:r>
        <w:rPr>
          <w:rFonts w:hint="eastAsia" w:hAnsi="宋体"/>
          <w:sz w:val="24"/>
          <w:lang w:eastAsia="zh-CN"/>
        </w:rPr>
        <w:t>丽水市体育发展服务中心</w:t>
      </w:r>
    </w:p>
    <w:p w14:paraId="27997E19">
      <w:pPr>
        <w:spacing w:line="360" w:lineRule="auto"/>
        <w:ind w:firstLine="840" w:firstLineChars="350"/>
        <w:rPr>
          <w:rFonts w:hint="eastAsia" w:ascii="宋体" w:hAnsi="宋体"/>
          <w:sz w:val="24"/>
        </w:rPr>
      </w:pPr>
      <w:r>
        <w:rPr>
          <w:rFonts w:hint="eastAsia" w:ascii="宋体" w:hAnsi="宋体"/>
          <w:sz w:val="24"/>
        </w:rPr>
        <w:t>项目联系人：张老师    联系电话：0578-2091347</w:t>
      </w:r>
    </w:p>
    <w:p w14:paraId="04B81419">
      <w:pPr>
        <w:spacing w:line="360" w:lineRule="auto"/>
        <w:ind w:firstLine="840" w:firstLineChars="350"/>
        <w:rPr>
          <w:rFonts w:hint="eastAsia" w:ascii="宋体" w:hAnsi="宋体"/>
          <w:sz w:val="24"/>
        </w:rPr>
      </w:pPr>
      <w:r>
        <w:rPr>
          <w:rFonts w:hint="eastAsia" w:ascii="宋体" w:hAnsi="宋体"/>
          <w:sz w:val="24"/>
        </w:rPr>
        <w:t>质疑联系人：周女士    联系电话：0578-2090786</w:t>
      </w:r>
    </w:p>
    <w:p w14:paraId="5AD399B3">
      <w:pPr>
        <w:spacing w:line="360" w:lineRule="auto"/>
        <w:ind w:firstLine="840" w:firstLineChars="350"/>
        <w:rPr>
          <w:rFonts w:hint="eastAsia" w:ascii="宋体" w:hAnsi="宋体"/>
          <w:sz w:val="24"/>
        </w:rPr>
      </w:pPr>
      <w:r>
        <w:rPr>
          <w:rFonts w:hint="eastAsia" w:ascii="宋体" w:hAnsi="宋体"/>
          <w:sz w:val="24"/>
        </w:rPr>
        <w:t>地址：丽水市紫金北路85号</w:t>
      </w:r>
    </w:p>
    <w:p w14:paraId="7AFBFC10">
      <w:pPr>
        <w:pStyle w:val="17"/>
        <w:adjustRightInd w:val="0"/>
        <w:snapToGrid w:val="0"/>
        <w:spacing w:line="360" w:lineRule="auto"/>
        <w:ind w:firstLine="480" w:firstLineChars="200"/>
        <w:rPr>
          <w:rFonts w:hint="eastAsia" w:hAnsi="宋体"/>
          <w:sz w:val="24"/>
        </w:rPr>
      </w:pPr>
      <w:r>
        <w:rPr>
          <w:rFonts w:hAnsi="宋体"/>
          <w:bCs/>
          <w:sz w:val="24"/>
        </w:rPr>
        <w:t xml:space="preserve">2. </w:t>
      </w:r>
      <w:r>
        <w:rPr>
          <w:rFonts w:hint="eastAsia" w:hAnsi="宋体"/>
          <w:sz w:val="24"/>
        </w:rPr>
        <w:t>采购代理机构名称：</w:t>
      </w:r>
      <w:r>
        <w:rPr>
          <w:rFonts w:hint="eastAsia" w:hAnsi="宋体" w:cs="仿宋_GB2312"/>
          <w:kern w:val="0"/>
          <w:sz w:val="24"/>
        </w:rPr>
        <w:t>卓正招标咨询（丽水）有限公司</w:t>
      </w:r>
    </w:p>
    <w:p w14:paraId="496A9BE0">
      <w:pPr>
        <w:spacing w:line="360" w:lineRule="auto"/>
        <w:ind w:firstLine="840" w:firstLineChars="350"/>
        <w:rPr>
          <w:rFonts w:hint="eastAsia" w:ascii="宋体" w:hAnsi="宋体"/>
          <w:sz w:val="24"/>
        </w:rPr>
      </w:pPr>
      <w:r>
        <w:rPr>
          <w:rFonts w:hint="eastAsia" w:ascii="宋体" w:hAnsi="宋体"/>
          <w:sz w:val="24"/>
        </w:rPr>
        <w:t>项目负责人：刘培珍    联系电话：0578-2062916   传真：0578-2062917</w:t>
      </w:r>
    </w:p>
    <w:p w14:paraId="46DFB1D3">
      <w:pPr>
        <w:spacing w:line="360" w:lineRule="auto"/>
        <w:ind w:firstLine="840" w:firstLineChars="350"/>
        <w:rPr>
          <w:rFonts w:hint="eastAsia" w:ascii="宋体" w:hAnsi="宋体"/>
          <w:sz w:val="24"/>
        </w:rPr>
      </w:pPr>
      <w:r>
        <w:rPr>
          <w:rFonts w:hint="eastAsia" w:ascii="宋体" w:hAnsi="宋体"/>
          <w:sz w:val="24"/>
        </w:rPr>
        <w:t>质疑联系人：赵钦川    联系电话：0578-2062913   传真：0578-2062917</w:t>
      </w:r>
    </w:p>
    <w:p w14:paraId="7B24CDE1">
      <w:pPr>
        <w:spacing w:line="360" w:lineRule="auto"/>
        <w:ind w:firstLine="840" w:firstLineChars="350"/>
        <w:rPr>
          <w:rFonts w:hint="eastAsia" w:ascii="宋体" w:hAnsi="宋体"/>
          <w:sz w:val="24"/>
        </w:rPr>
      </w:pPr>
      <w:r>
        <w:rPr>
          <w:rFonts w:hint="eastAsia" w:ascii="宋体" w:hAnsi="宋体"/>
          <w:sz w:val="24"/>
        </w:rPr>
        <w:t>地址：丽水市和平路78号艾莱依工业园区2号楼7楼</w:t>
      </w:r>
    </w:p>
    <w:p w14:paraId="4DFB31D7">
      <w:pPr>
        <w:pStyle w:val="17"/>
        <w:adjustRightInd w:val="0"/>
        <w:snapToGrid w:val="0"/>
        <w:spacing w:line="360" w:lineRule="auto"/>
        <w:ind w:firstLine="480" w:firstLineChars="200"/>
        <w:rPr>
          <w:rFonts w:hint="eastAsia" w:hAnsi="宋体"/>
          <w:bCs/>
          <w:sz w:val="24"/>
        </w:rPr>
      </w:pPr>
      <w:r>
        <w:rPr>
          <w:rFonts w:hAnsi="宋体"/>
          <w:bCs/>
          <w:sz w:val="24"/>
        </w:rPr>
        <w:t>3. 同级政府采购监督管理部门</w:t>
      </w:r>
      <w:r>
        <w:rPr>
          <w:rFonts w:hint="eastAsia" w:hAnsi="宋体"/>
          <w:bCs/>
          <w:sz w:val="24"/>
        </w:rPr>
        <w:t>名称：丽水市财政局政府采购监管处</w:t>
      </w:r>
    </w:p>
    <w:p w14:paraId="38B3DDBF">
      <w:pPr>
        <w:tabs>
          <w:tab w:val="left" w:pos="540"/>
        </w:tabs>
        <w:snapToGrid w:val="0"/>
        <w:spacing w:line="360" w:lineRule="auto"/>
        <w:ind w:firstLine="868" w:firstLineChars="362"/>
        <w:rPr>
          <w:rFonts w:hint="eastAsia" w:ascii="宋体" w:hAnsi="宋体"/>
          <w:sz w:val="24"/>
        </w:rPr>
      </w:pPr>
      <w:r>
        <w:rPr>
          <w:rFonts w:hint="eastAsia" w:ascii="宋体" w:hAnsi="宋体"/>
          <w:sz w:val="24"/>
        </w:rPr>
        <w:t>联系人：</w:t>
      </w:r>
      <w:r>
        <w:rPr>
          <w:rFonts w:hint="eastAsia" w:ascii="宋体" w:hAnsi="宋体" w:cs="宋体"/>
          <w:sz w:val="24"/>
        </w:rPr>
        <w:t>吴先生、叶先生</w:t>
      </w:r>
      <w:r>
        <w:rPr>
          <w:rFonts w:hint="eastAsia" w:ascii="宋体" w:hAnsi="宋体"/>
          <w:sz w:val="24"/>
        </w:rPr>
        <w:t xml:space="preserve">      </w:t>
      </w:r>
    </w:p>
    <w:p w14:paraId="674EBDA7">
      <w:pPr>
        <w:tabs>
          <w:tab w:val="left" w:pos="540"/>
        </w:tabs>
        <w:snapToGrid w:val="0"/>
        <w:spacing w:line="360" w:lineRule="auto"/>
        <w:ind w:firstLine="840" w:firstLineChars="350"/>
        <w:rPr>
          <w:rFonts w:hint="eastAsia" w:ascii="宋体" w:hAnsi="宋体" w:cs="宋体"/>
          <w:sz w:val="24"/>
        </w:rPr>
      </w:pPr>
      <w:r>
        <w:rPr>
          <w:rFonts w:hint="eastAsia" w:ascii="宋体" w:hAnsi="宋体" w:cs="宋体"/>
          <w:sz w:val="24"/>
        </w:rPr>
        <w:t>监督投诉电话：0578-2669165   传真：0578-2669165</w:t>
      </w:r>
    </w:p>
    <w:p w14:paraId="52CEA4A1">
      <w:pPr>
        <w:tabs>
          <w:tab w:val="left" w:pos="540"/>
        </w:tabs>
        <w:snapToGrid w:val="0"/>
        <w:spacing w:line="360" w:lineRule="auto"/>
        <w:ind w:firstLine="840" w:firstLineChars="350"/>
        <w:rPr>
          <w:rFonts w:hint="eastAsia" w:ascii="宋体" w:hAnsi="宋体"/>
          <w:sz w:val="24"/>
        </w:rPr>
      </w:pPr>
      <w:r>
        <w:rPr>
          <w:rFonts w:hint="eastAsia" w:ascii="宋体" w:hAnsi="宋体" w:cs="宋体"/>
          <w:sz w:val="24"/>
        </w:rPr>
        <w:t>地 址：丽水市北苑路190号</w:t>
      </w:r>
    </w:p>
    <w:p w14:paraId="5C8EA315">
      <w:pPr>
        <w:pStyle w:val="17"/>
        <w:adjustRightInd w:val="0"/>
        <w:snapToGrid w:val="0"/>
        <w:spacing w:line="360" w:lineRule="auto"/>
        <w:ind w:firstLine="480" w:firstLineChars="200"/>
        <w:rPr>
          <w:rFonts w:hint="eastAsia" w:hAnsi="宋体"/>
          <w:sz w:val="24"/>
        </w:rPr>
      </w:pPr>
      <w:r>
        <w:rPr>
          <w:rFonts w:hint="eastAsia" w:hAnsi="宋体"/>
          <w:sz w:val="24"/>
        </w:rPr>
        <w:t>若对项目采购电子交易系统操作有疑问，可登录政采云（https://www.zcygov.cn/），点击右侧咨询小采，获取采小蜜智能服务管家帮助，或拨打政采云服务热线95763获取热线服务帮助。</w:t>
      </w:r>
    </w:p>
    <w:p w14:paraId="67133A5D">
      <w:pPr>
        <w:pStyle w:val="103"/>
        <w:spacing w:line="360" w:lineRule="auto"/>
        <w:ind w:left="0" w:right="480" w:firstLine="0"/>
        <w:rPr>
          <w:rFonts w:hint="eastAsia" w:hAnsi="宋体"/>
          <w:bCs/>
          <w:color w:val="auto"/>
          <w:sz w:val="24"/>
        </w:rPr>
      </w:pPr>
      <w:r>
        <w:rPr>
          <w:rFonts w:hint="eastAsia" w:hAnsi="宋体"/>
          <w:sz w:val="24"/>
        </w:rPr>
        <w:t>CA问题联系电话（人工）：汇信CA 400-888-4636；天谷CA 400-087-8198。</w:t>
      </w:r>
    </w:p>
    <w:p w14:paraId="67B2E48A">
      <w:pPr>
        <w:spacing w:line="500" w:lineRule="exact"/>
      </w:pPr>
      <w:r>
        <w:rPr>
          <w:rFonts w:hint="eastAsia" w:hAnsi="宋体"/>
          <w:bCs/>
          <w:sz w:val="24"/>
        </w:rPr>
        <w:t xml:space="preserve">        </w:t>
      </w:r>
    </w:p>
    <w:p w14:paraId="54F66B68">
      <w:pPr>
        <w:pStyle w:val="103"/>
        <w:spacing w:line="500" w:lineRule="exact"/>
        <w:ind w:left="0" w:right="480" w:firstLine="0"/>
        <w:jc w:val="right"/>
        <w:rPr>
          <w:rFonts w:hint="eastAsia" w:hAnsi="宋体"/>
          <w:sz w:val="24"/>
        </w:rPr>
      </w:pPr>
      <w:r>
        <w:rPr>
          <w:rFonts w:hint="eastAsia" w:hAnsi="宋体"/>
          <w:bCs/>
          <w:color w:val="auto"/>
          <w:sz w:val="24"/>
        </w:rPr>
        <w:t xml:space="preserve">                               </w:t>
      </w:r>
      <w:r>
        <w:rPr>
          <w:rFonts w:hint="eastAsia"/>
          <w:bCs/>
        </w:rPr>
        <w:t xml:space="preserve">             </w:t>
      </w:r>
      <w:r>
        <w:rPr>
          <w:rFonts w:hint="eastAsia" w:hAnsi="宋体"/>
          <w:sz w:val="24"/>
        </w:rPr>
        <w:t>采购人：</w:t>
      </w:r>
      <w:r>
        <w:rPr>
          <w:rFonts w:hint="eastAsia" w:hAnsi="宋体"/>
          <w:sz w:val="24"/>
          <w:lang w:eastAsia="zh-CN"/>
        </w:rPr>
        <w:t>丽水市体育发展服务中心</w:t>
      </w:r>
    </w:p>
    <w:p w14:paraId="0C83567E">
      <w:pPr>
        <w:spacing w:line="500" w:lineRule="exact"/>
        <w:jc w:val="right"/>
        <w:rPr>
          <w:rFonts w:hint="eastAsia" w:ascii="宋体" w:hAnsi="宋体"/>
          <w:sz w:val="24"/>
        </w:rPr>
      </w:pPr>
      <w:r>
        <w:rPr>
          <w:rFonts w:hint="eastAsia" w:ascii="宋体" w:hAnsi="宋体"/>
          <w:sz w:val="24"/>
        </w:rPr>
        <w:t xml:space="preserve">                             采购代理机构：卓正招标咨询（丽水）有限公司 </w:t>
      </w:r>
    </w:p>
    <w:p w14:paraId="2599CDDB">
      <w:pPr>
        <w:wordWrap w:val="0"/>
        <w:spacing w:line="500" w:lineRule="exact"/>
        <w:jc w:val="right"/>
        <w:rPr>
          <w:rFonts w:hint="eastAsia" w:ascii="宋体" w:hAnsi="宋体"/>
          <w:sz w:val="24"/>
        </w:rPr>
      </w:pPr>
      <w:r>
        <w:rPr>
          <w:rFonts w:hint="eastAsia" w:ascii="宋体" w:hAnsi="宋体"/>
          <w:sz w:val="24"/>
        </w:rPr>
        <w:t xml:space="preserve">   日期：2025年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20</w:t>
      </w:r>
      <w:r>
        <w:rPr>
          <w:rFonts w:hint="eastAsia" w:ascii="宋体" w:hAnsi="宋体"/>
          <w:sz w:val="24"/>
        </w:rPr>
        <w:t xml:space="preserve">日 </w:t>
      </w:r>
      <w:bookmarkStart w:id="130" w:name="_Toc391969408"/>
    </w:p>
    <w:p w14:paraId="187B193C">
      <w:pPr>
        <w:spacing w:line="360" w:lineRule="auto"/>
        <w:jc w:val="right"/>
        <w:rPr>
          <w:rFonts w:hint="eastAsia" w:ascii="宋体" w:hAnsi="宋体"/>
          <w:sz w:val="24"/>
        </w:rPr>
      </w:pPr>
    </w:p>
    <w:p w14:paraId="4583E1FF">
      <w:pPr>
        <w:spacing w:line="360" w:lineRule="auto"/>
        <w:jc w:val="center"/>
        <w:outlineLvl w:val="0"/>
        <w:rPr>
          <w:rFonts w:hint="eastAsia" w:ascii="宋体" w:hAnsi="宋体"/>
          <w:b/>
          <w:bCs/>
          <w:sz w:val="32"/>
          <w:szCs w:val="32"/>
        </w:rPr>
      </w:pPr>
      <w:bookmarkStart w:id="131" w:name="_Toc10250"/>
      <w:bookmarkStart w:id="132" w:name="_Toc94277238"/>
    </w:p>
    <w:p w14:paraId="55090881">
      <w:pPr>
        <w:rPr>
          <w:rFonts w:hint="eastAsia" w:ascii="宋体" w:hAnsi="宋体"/>
          <w:b/>
          <w:bCs/>
          <w:sz w:val="32"/>
          <w:szCs w:val="32"/>
        </w:rPr>
      </w:pPr>
      <w:bookmarkStart w:id="133" w:name="_Toc16055"/>
      <w:r>
        <w:rPr>
          <w:rFonts w:hint="eastAsia" w:ascii="宋体" w:hAnsi="宋体"/>
          <w:b/>
          <w:bCs/>
          <w:sz w:val="32"/>
          <w:szCs w:val="32"/>
        </w:rPr>
        <w:br w:type="page"/>
      </w:r>
    </w:p>
    <w:p w14:paraId="6F81CD40">
      <w:pPr>
        <w:spacing w:line="360" w:lineRule="auto"/>
        <w:jc w:val="center"/>
        <w:outlineLvl w:val="0"/>
        <w:rPr>
          <w:rFonts w:hint="eastAsia" w:ascii="宋体" w:hAnsi="宋体"/>
          <w:b/>
          <w:bCs/>
          <w:sz w:val="32"/>
          <w:szCs w:val="32"/>
        </w:rPr>
      </w:pPr>
      <w:bookmarkStart w:id="134" w:name="_Toc12235"/>
      <w:bookmarkStart w:id="135" w:name="_Toc8178"/>
      <w:bookmarkStart w:id="136" w:name="_Toc10500"/>
      <w:r>
        <w:rPr>
          <w:rFonts w:hint="eastAsia" w:ascii="宋体" w:hAnsi="宋体"/>
          <w:b/>
          <w:bCs/>
          <w:sz w:val="32"/>
          <w:szCs w:val="32"/>
        </w:rPr>
        <w:t>第二章</w:t>
      </w:r>
      <w:r>
        <w:rPr>
          <w:rFonts w:ascii="宋体" w:hAnsi="宋体"/>
          <w:b/>
          <w:bCs/>
          <w:sz w:val="32"/>
          <w:szCs w:val="32"/>
        </w:rPr>
        <w:t xml:space="preserve">  </w:t>
      </w:r>
      <w:r>
        <w:rPr>
          <w:rFonts w:hint="eastAsia" w:ascii="宋体" w:hAnsi="宋体"/>
          <w:b/>
          <w:bCs/>
          <w:sz w:val="32"/>
          <w:szCs w:val="32"/>
        </w:rPr>
        <w:t>供应商须知</w:t>
      </w:r>
      <w:bookmarkEnd w:id="130"/>
      <w:bookmarkEnd w:id="131"/>
      <w:bookmarkEnd w:id="132"/>
      <w:bookmarkEnd w:id="133"/>
      <w:bookmarkEnd w:id="134"/>
      <w:bookmarkEnd w:id="135"/>
      <w:bookmarkEnd w:id="136"/>
      <w:bookmarkStart w:id="137" w:name="_Toc94277239"/>
    </w:p>
    <w:p w14:paraId="61ABF361">
      <w:pPr>
        <w:pStyle w:val="4"/>
        <w:tabs>
          <w:tab w:val="left" w:pos="1080"/>
        </w:tabs>
        <w:spacing w:before="0" w:after="120" w:afterLines="50" w:line="240" w:lineRule="auto"/>
        <w:ind w:firstLine="0" w:firstLineChars="0"/>
        <w:jc w:val="center"/>
        <w:rPr>
          <w:rFonts w:hint="eastAsia" w:ascii="宋体" w:hAnsi="宋体"/>
        </w:rPr>
      </w:pPr>
      <w:bookmarkStart w:id="138" w:name="_Toc26981"/>
      <w:bookmarkStart w:id="139" w:name="_Toc7815"/>
      <w:bookmarkStart w:id="140" w:name="_Toc15126"/>
      <w:bookmarkStart w:id="141" w:name="_Toc3146"/>
      <w:bookmarkStart w:id="142" w:name="_Toc13307"/>
      <w:r>
        <w:rPr>
          <w:rFonts w:hint="eastAsia" w:ascii="宋体" w:hAnsi="宋体"/>
        </w:rPr>
        <w:t>前附表</w:t>
      </w:r>
      <w:bookmarkEnd w:id="137"/>
      <w:bookmarkEnd w:id="138"/>
      <w:bookmarkEnd w:id="139"/>
      <w:bookmarkEnd w:id="140"/>
      <w:bookmarkEnd w:id="141"/>
      <w:bookmarkEnd w:id="142"/>
    </w:p>
    <w:tbl>
      <w:tblPr>
        <w:tblStyle w:val="32"/>
        <w:tblW w:w="102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7"/>
        <w:gridCol w:w="2176"/>
        <w:gridCol w:w="1263"/>
        <w:gridCol w:w="4204"/>
      </w:tblGrid>
      <w:tr w14:paraId="38724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5" w:type="dxa"/>
            <w:tcBorders>
              <w:top w:val="double" w:color="auto" w:sz="4" w:space="0"/>
              <w:left w:val="double" w:color="auto" w:sz="4" w:space="0"/>
              <w:bottom w:val="single" w:color="auto" w:sz="4" w:space="0"/>
              <w:right w:val="single" w:color="auto" w:sz="4" w:space="0"/>
            </w:tcBorders>
            <w:vAlign w:val="center"/>
          </w:tcPr>
          <w:p w14:paraId="1CA4B611">
            <w:pPr>
              <w:jc w:val="center"/>
              <w:rPr>
                <w:rFonts w:hint="eastAsia" w:ascii="宋体" w:hAnsi="宋体"/>
                <w:b/>
                <w:bCs/>
                <w:snapToGrid w:val="0"/>
                <w:sz w:val="24"/>
              </w:rPr>
            </w:pPr>
            <w:bookmarkStart w:id="143" w:name="_Toc391969409"/>
            <w:bookmarkStart w:id="144" w:name="_Toc172608433"/>
            <w:r>
              <w:rPr>
                <w:rFonts w:hint="eastAsia" w:ascii="宋体" w:hAnsi="宋体"/>
                <w:b/>
                <w:bCs/>
                <w:snapToGrid w:val="0"/>
                <w:sz w:val="24"/>
              </w:rPr>
              <w:t>序号</w:t>
            </w:r>
          </w:p>
        </w:tc>
        <w:tc>
          <w:tcPr>
            <w:tcW w:w="1987" w:type="dxa"/>
            <w:tcBorders>
              <w:top w:val="double" w:color="auto" w:sz="4" w:space="0"/>
              <w:left w:val="single" w:color="auto" w:sz="4" w:space="0"/>
              <w:bottom w:val="single" w:color="auto" w:sz="4" w:space="0"/>
              <w:right w:val="single" w:color="auto" w:sz="4" w:space="0"/>
            </w:tcBorders>
            <w:vAlign w:val="center"/>
          </w:tcPr>
          <w:p w14:paraId="75E97E3E">
            <w:pPr>
              <w:jc w:val="center"/>
              <w:rPr>
                <w:rFonts w:hint="eastAsia" w:ascii="宋体" w:hAnsi="宋体"/>
                <w:b/>
                <w:bCs/>
                <w:sz w:val="24"/>
              </w:rPr>
            </w:pPr>
            <w:r>
              <w:rPr>
                <w:rFonts w:hint="eastAsia" w:ascii="宋体" w:hAnsi="宋体"/>
                <w:b/>
                <w:bCs/>
                <w:sz w:val="24"/>
              </w:rPr>
              <w:t>须知项目</w:t>
            </w:r>
          </w:p>
        </w:tc>
        <w:tc>
          <w:tcPr>
            <w:tcW w:w="7643" w:type="dxa"/>
            <w:gridSpan w:val="3"/>
            <w:tcBorders>
              <w:top w:val="double" w:color="auto" w:sz="4" w:space="0"/>
              <w:left w:val="single" w:color="auto" w:sz="4" w:space="0"/>
              <w:bottom w:val="single" w:color="auto" w:sz="4" w:space="0"/>
              <w:right w:val="double" w:color="auto" w:sz="4" w:space="0"/>
            </w:tcBorders>
            <w:vAlign w:val="center"/>
          </w:tcPr>
          <w:p w14:paraId="199D0916">
            <w:pPr>
              <w:jc w:val="center"/>
              <w:rPr>
                <w:rFonts w:hint="eastAsia" w:ascii="宋体" w:hAnsi="宋体"/>
                <w:b/>
                <w:bCs/>
                <w:sz w:val="24"/>
              </w:rPr>
            </w:pPr>
            <w:r>
              <w:rPr>
                <w:rFonts w:hint="eastAsia" w:ascii="宋体" w:hAnsi="宋体"/>
                <w:b/>
                <w:bCs/>
                <w:sz w:val="24"/>
              </w:rPr>
              <w:t>内容、要求和时间</w:t>
            </w:r>
          </w:p>
        </w:tc>
      </w:tr>
      <w:tr w14:paraId="325B3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3AAFF0">
            <w:pPr>
              <w:jc w:val="center"/>
              <w:rPr>
                <w:rFonts w:hint="eastAsia" w:ascii="宋体" w:hAnsi="宋体"/>
                <w:bCs/>
                <w:snapToGrid w:val="0"/>
                <w:sz w:val="24"/>
              </w:rPr>
            </w:pPr>
            <w:r>
              <w:rPr>
                <w:rFonts w:hint="eastAsia" w:ascii="宋体" w:hAnsi="宋体"/>
                <w:bCs/>
                <w:snapToGrid w:val="0"/>
                <w:sz w:val="24"/>
              </w:rPr>
              <w:t>1</w:t>
            </w:r>
          </w:p>
        </w:tc>
        <w:tc>
          <w:tcPr>
            <w:tcW w:w="1987" w:type="dxa"/>
            <w:tcBorders>
              <w:top w:val="single" w:color="auto" w:sz="4" w:space="0"/>
              <w:left w:val="single" w:color="auto" w:sz="4" w:space="0"/>
              <w:bottom w:val="single" w:color="auto" w:sz="4" w:space="0"/>
              <w:right w:val="single" w:color="auto" w:sz="4" w:space="0"/>
            </w:tcBorders>
            <w:vAlign w:val="center"/>
          </w:tcPr>
          <w:p w14:paraId="2A7C5471">
            <w:pPr>
              <w:jc w:val="center"/>
              <w:rPr>
                <w:rFonts w:hint="eastAsia" w:ascii="宋体" w:hAnsi="宋体"/>
                <w:bCs/>
                <w:snapToGrid w:val="0"/>
                <w:sz w:val="24"/>
              </w:rPr>
            </w:pPr>
            <w:r>
              <w:rPr>
                <w:rFonts w:hint="eastAsia" w:ascii="宋体" w:hAnsi="宋体"/>
                <w:bCs/>
                <w:snapToGrid w:val="0"/>
                <w:sz w:val="24"/>
              </w:rPr>
              <w:t>项目名称</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EC04D1C">
            <w:pPr>
              <w:rPr>
                <w:rFonts w:hint="eastAsia" w:ascii="宋体" w:hAnsi="宋体" w:eastAsia="宋体"/>
                <w:bCs/>
                <w:snapToGrid w:val="0"/>
                <w:sz w:val="24"/>
                <w:lang w:eastAsia="zh-CN"/>
              </w:rPr>
            </w:pPr>
            <w:r>
              <w:rPr>
                <w:rFonts w:hint="eastAsia" w:ascii="宋体" w:hAnsi="宋体"/>
                <w:sz w:val="24"/>
                <w:lang w:eastAsia="zh-CN"/>
              </w:rPr>
              <w:t>2025年省青少年学生阳光体育运动会航海模型、建筑模型竞赛项目</w:t>
            </w:r>
          </w:p>
        </w:tc>
      </w:tr>
      <w:tr w14:paraId="7151A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70847DA2">
            <w:pPr>
              <w:jc w:val="center"/>
              <w:rPr>
                <w:rFonts w:hint="eastAsia" w:ascii="宋体" w:hAnsi="宋体"/>
                <w:bCs/>
                <w:snapToGrid w:val="0"/>
                <w:sz w:val="24"/>
              </w:rPr>
            </w:pPr>
            <w:r>
              <w:rPr>
                <w:rFonts w:hint="eastAsia" w:ascii="宋体" w:hAnsi="宋体"/>
                <w:bCs/>
                <w:snapToGrid w:val="0"/>
                <w:sz w:val="24"/>
              </w:rPr>
              <w:t>2</w:t>
            </w:r>
          </w:p>
        </w:tc>
        <w:tc>
          <w:tcPr>
            <w:tcW w:w="1987" w:type="dxa"/>
            <w:tcBorders>
              <w:top w:val="single" w:color="auto" w:sz="4" w:space="0"/>
              <w:left w:val="single" w:color="auto" w:sz="4" w:space="0"/>
              <w:bottom w:val="single" w:color="auto" w:sz="4" w:space="0"/>
              <w:right w:val="single" w:color="auto" w:sz="4" w:space="0"/>
            </w:tcBorders>
            <w:vAlign w:val="center"/>
          </w:tcPr>
          <w:p w14:paraId="25D4AC89">
            <w:pPr>
              <w:jc w:val="center"/>
              <w:rPr>
                <w:rFonts w:hint="eastAsia" w:ascii="宋体" w:hAnsi="宋体"/>
                <w:sz w:val="24"/>
              </w:rPr>
            </w:pPr>
            <w:r>
              <w:rPr>
                <w:rFonts w:hint="eastAsia" w:ascii="宋体" w:hAnsi="宋体"/>
                <w:sz w:val="24"/>
              </w:rPr>
              <w:t>采购人</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AEBC0D5">
            <w:pPr>
              <w:rPr>
                <w:rFonts w:hint="eastAsia" w:ascii="宋体" w:hAnsi="宋体"/>
                <w:sz w:val="24"/>
              </w:rPr>
            </w:pPr>
            <w:r>
              <w:rPr>
                <w:rFonts w:hint="eastAsia" w:hAnsi="宋体"/>
                <w:sz w:val="24"/>
                <w:lang w:eastAsia="zh-CN"/>
              </w:rPr>
              <w:t>丽水市体育发展服务中心</w:t>
            </w:r>
          </w:p>
        </w:tc>
      </w:tr>
      <w:tr w14:paraId="27F95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6566E27E">
            <w:pPr>
              <w:jc w:val="center"/>
              <w:rPr>
                <w:rFonts w:hint="eastAsia" w:ascii="宋体" w:hAnsi="宋体"/>
                <w:bCs/>
                <w:snapToGrid w:val="0"/>
                <w:sz w:val="24"/>
              </w:rPr>
            </w:pPr>
            <w:r>
              <w:rPr>
                <w:rFonts w:hint="eastAsia" w:ascii="宋体" w:hAnsi="宋体"/>
                <w:bCs/>
                <w:snapToGrid w:val="0"/>
                <w:sz w:val="24"/>
              </w:rPr>
              <w:t>3</w:t>
            </w:r>
          </w:p>
        </w:tc>
        <w:tc>
          <w:tcPr>
            <w:tcW w:w="1987" w:type="dxa"/>
            <w:tcBorders>
              <w:top w:val="single" w:color="auto" w:sz="4" w:space="0"/>
              <w:left w:val="single" w:color="auto" w:sz="4" w:space="0"/>
              <w:bottom w:val="single" w:color="auto" w:sz="4" w:space="0"/>
              <w:right w:val="single" w:color="auto" w:sz="4" w:space="0"/>
            </w:tcBorders>
            <w:vAlign w:val="center"/>
          </w:tcPr>
          <w:p w14:paraId="370BE19A">
            <w:pPr>
              <w:jc w:val="center"/>
              <w:rPr>
                <w:rFonts w:hint="eastAsia" w:ascii="宋体" w:hAnsi="宋体"/>
                <w:bCs/>
                <w:snapToGrid w:val="0"/>
                <w:sz w:val="24"/>
              </w:rPr>
            </w:pPr>
            <w:r>
              <w:rPr>
                <w:rFonts w:hint="eastAsia" w:ascii="宋体" w:hAnsi="宋体"/>
                <w:bCs/>
                <w:snapToGrid w:val="0"/>
                <w:sz w:val="24"/>
              </w:rPr>
              <w:t>采购代理机构</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DDAA503">
            <w:pPr>
              <w:rPr>
                <w:rFonts w:hint="eastAsia" w:ascii="宋体" w:hAnsi="宋体"/>
                <w:bCs/>
                <w:snapToGrid w:val="0"/>
                <w:sz w:val="24"/>
              </w:rPr>
            </w:pPr>
            <w:r>
              <w:rPr>
                <w:rFonts w:hint="eastAsia" w:ascii="宋体" w:hAnsi="宋体"/>
                <w:bCs/>
                <w:snapToGrid w:val="0"/>
                <w:sz w:val="24"/>
              </w:rPr>
              <w:t>卓正招标咨询（丽水）有限公司</w:t>
            </w:r>
          </w:p>
        </w:tc>
      </w:tr>
      <w:tr w14:paraId="095D3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464301C">
            <w:pPr>
              <w:jc w:val="center"/>
              <w:rPr>
                <w:rFonts w:hint="eastAsia" w:ascii="宋体" w:hAnsi="宋体"/>
                <w:bCs/>
                <w:snapToGrid w:val="0"/>
                <w:sz w:val="24"/>
              </w:rPr>
            </w:pPr>
            <w:r>
              <w:rPr>
                <w:rFonts w:hint="eastAsia" w:ascii="宋体" w:hAnsi="宋体"/>
                <w:bCs/>
                <w:snapToGrid w:val="0"/>
                <w:sz w:val="24"/>
              </w:rPr>
              <w:t>4</w:t>
            </w:r>
          </w:p>
        </w:tc>
        <w:tc>
          <w:tcPr>
            <w:tcW w:w="1987" w:type="dxa"/>
            <w:tcBorders>
              <w:top w:val="single" w:color="auto" w:sz="4" w:space="0"/>
              <w:left w:val="single" w:color="auto" w:sz="4" w:space="0"/>
              <w:bottom w:val="single" w:color="auto" w:sz="4" w:space="0"/>
              <w:right w:val="single" w:color="auto" w:sz="4" w:space="0"/>
            </w:tcBorders>
            <w:vAlign w:val="center"/>
          </w:tcPr>
          <w:p w14:paraId="329679EA">
            <w:pPr>
              <w:jc w:val="center"/>
              <w:rPr>
                <w:rFonts w:hint="eastAsia" w:ascii="宋体" w:hAnsi="宋体"/>
                <w:bCs/>
                <w:snapToGrid w:val="0"/>
                <w:sz w:val="24"/>
              </w:rPr>
            </w:pPr>
            <w:r>
              <w:rPr>
                <w:rFonts w:hint="eastAsia" w:ascii="宋体" w:hAnsi="宋体"/>
                <w:bCs/>
                <w:snapToGrid w:val="0"/>
                <w:sz w:val="24"/>
              </w:rPr>
              <w:t>采购方式</w:t>
            </w:r>
          </w:p>
        </w:tc>
        <w:tc>
          <w:tcPr>
            <w:tcW w:w="2176" w:type="dxa"/>
            <w:tcBorders>
              <w:top w:val="single" w:color="auto" w:sz="4" w:space="0"/>
              <w:left w:val="single" w:color="auto" w:sz="4" w:space="0"/>
              <w:bottom w:val="single" w:color="auto" w:sz="4" w:space="0"/>
              <w:right w:val="single" w:color="auto" w:sz="4" w:space="0"/>
            </w:tcBorders>
            <w:vAlign w:val="center"/>
          </w:tcPr>
          <w:p w14:paraId="51CFD462">
            <w:pPr>
              <w:rPr>
                <w:rFonts w:hint="eastAsia" w:ascii="宋体" w:hAnsi="宋体"/>
                <w:bCs/>
                <w:sz w:val="24"/>
              </w:rPr>
            </w:pPr>
            <w:r>
              <w:rPr>
                <w:rFonts w:hint="eastAsia" w:ascii="宋体" w:hAnsi="宋体"/>
                <w:bCs/>
                <w:sz w:val="24"/>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14:paraId="2D138D4B">
            <w:pPr>
              <w:rPr>
                <w:rFonts w:hint="eastAsia" w:ascii="宋体" w:hAnsi="宋体"/>
                <w:bCs/>
                <w:sz w:val="24"/>
              </w:rPr>
            </w:pPr>
            <w:r>
              <w:rPr>
                <w:rFonts w:hint="eastAsia" w:ascii="宋体" w:hAnsi="宋体"/>
                <w:bCs/>
                <w:sz w:val="24"/>
              </w:rPr>
              <w:t>组织方式</w:t>
            </w:r>
          </w:p>
        </w:tc>
        <w:tc>
          <w:tcPr>
            <w:tcW w:w="4204" w:type="dxa"/>
            <w:tcBorders>
              <w:top w:val="single" w:color="auto" w:sz="4" w:space="0"/>
              <w:left w:val="single" w:color="auto" w:sz="4" w:space="0"/>
              <w:bottom w:val="single" w:color="auto" w:sz="4" w:space="0"/>
              <w:right w:val="double" w:color="auto" w:sz="4" w:space="0"/>
            </w:tcBorders>
            <w:vAlign w:val="center"/>
          </w:tcPr>
          <w:p w14:paraId="622039FB">
            <w:pPr>
              <w:rPr>
                <w:rFonts w:hint="eastAsia" w:ascii="宋体" w:hAnsi="宋体"/>
                <w:bCs/>
                <w:sz w:val="24"/>
              </w:rPr>
            </w:pPr>
            <w:r>
              <w:rPr>
                <w:rFonts w:hint="eastAsia" w:ascii="宋体" w:hAnsi="宋体"/>
                <w:bCs/>
                <w:sz w:val="24"/>
              </w:rPr>
              <w:t>分散采购</w:t>
            </w:r>
          </w:p>
        </w:tc>
      </w:tr>
      <w:tr w14:paraId="07332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799A667">
            <w:pPr>
              <w:jc w:val="center"/>
              <w:rPr>
                <w:rFonts w:hint="eastAsia" w:ascii="宋体" w:hAnsi="宋体"/>
                <w:bCs/>
                <w:snapToGrid w:val="0"/>
                <w:sz w:val="24"/>
              </w:rPr>
            </w:pPr>
            <w:r>
              <w:rPr>
                <w:rFonts w:hint="eastAsia" w:ascii="宋体" w:hAnsi="宋体"/>
                <w:bCs/>
                <w:snapToGrid w:val="0"/>
                <w:sz w:val="24"/>
              </w:rPr>
              <w:t>5</w:t>
            </w:r>
          </w:p>
        </w:tc>
        <w:tc>
          <w:tcPr>
            <w:tcW w:w="1987" w:type="dxa"/>
            <w:tcBorders>
              <w:top w:val="single" w:color="auto" w:sz="4" w:space="0"/>
              <w:left w:val="single" w:color="auto" w:sz="4" w:space="0"/>
              <w:bottom w:val="single" w:color="auto" w:sz="4" w:space="0"/>
              <w:right w:val="single" w:color="auto" w:sz="4" w:space="0"/>
            </w:tcBorders>
            <w:vAlign w:val="center"/>
          </w:tcPr>
          <w:p w14:paraId="3C919037">
            <w:pPr>
              <w:jc w:val="center"/>
              <w:rPr>
                <w:rFonts w:hint="eastAsia" w:ascii="宋体" w:hAnsi="宋体"/>
                <w:bCs/>
                <w:snapToGrid w:val="0"/>
                <w:sz w:val="24"/>
              </w:rPr>
            </w:pPr>
            <w:r>
              <w:rPr>
                <w:rFonts w:hint="eastAsia" w:ascii="宋体" w:hAnsi="宋体"/>
                <w:bCs/>
                <w:snapToGrid w:val="0"/>
                <w:sz w:val="24"/>
              </w:rPr>
              <w:t>资格审查方式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7565CCE">
            <w:pPr>
              <w:rPr>
                <w:rFonts w:hint="eastAsia" w:ascii="宋体" w:hAnsi="宋体"/>
                <w:bCs/>
                <w:snapToGrid w:val="0"/>
                <w:sz w:val="24"/>
              </w:rPr>
            </w:pPr>
            <w:r>
              <w:rPr>
                <w:rFonts w:hint="eastAsia" w:ascii="宋体" w:hAnsi="宋体"/>
                <w:bCs/>
                <w:snapToGrid w:val="0"/>
                <w:sz w:val="24"/>
              </w:rPr>
              <w:t>采用资格后审，供应商获取竞争性磋商文件或提交响应文件不表明已获取磋商资格，磋商会上通过资格审查的供应商才具有磋商资格。</w:t>
            </w:r>
          </w:p>
        </w:tc>
      </w:tr>
      <w:tr w14:paraId="5C9BD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0914CD4">
            <w:pPr>
              <w:jc w:val="center"/>
              <w:rPr>
                <w:rFonts w:hint="eastAsia" w:ascii="宋体" w:hAnsi="宋体"/>
                <w:bCs/>
                <w:snapToGrid w:val="0"/>
                <w:sz w:val="24"/>
              </w:rPr>
            </w:pPr>
            <w:r>
              <w:rPr>
                <w:rFonts w:hint="eastAsia" w:ascii="宋体" w:hAnsi="宋体"/>
                <w:bCs/>
                <w:snapToGrid w:val="0"/>
                <w:sz w:val="24"/>
              </w:rPr>
              <w:t>6</w:t>
            </w:r>
          </w:p>
        </w:tc>
        <w:tc>
          <w:tcPr>
            <w:tcW w:w="1987" w:type="dxa"/>
            <w:tcBorders>
              <w:top w:val="single" w:color="auto" w:sz="4" w:space="0"/>
              <w:left w:val="single" w:color="auto" w:sz="4" w:space="0"/>
              <w:bottom w:val="single" w:color="auto" w:sz="4" w:space="0"/>
              <w:right w:val="single" w:color="auto" w:sz="4" w:space="0"/>
            </w:tcBorders>
            <w:vAlign w:val="center"/>
          </w:tcPr>
          <w:p w14:paraId="713D44E4">
            <w:pPr>
              <w:jc w:val="center"/>
              <w:rPr>
                <w:rFonts w:hint="eastAsia" w:ascii="宋体" w:hAnsi="宋体"/>
                <w:bCs/>
                <w:snapToGrid w:val="0"/>
                <w:sz w:val="24"/>
              </w:rPr>
            </w:pPr>
            <w:r>
              <w:rPr>
                <w:rFonts w:hint="eastAsia" w:ascii="宋体" w:hAnsi="宋体"/>
                <w:bCs/>
                <w:snapToGrid w:val="0"/>
                <w:sz w:val="24"/>
              </w:rPr>
              <w:t>磋商有效期</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688E3E6">
            <w:pPr>
              <w:rPr>
                <w:rFonts w:hint="eastAsia" w:ascii="宋体" w:hAnsi="宋体"/>
                <w:bCs/>
                <w:snapToGrid w:val="0"/>
                <w:sz w:val="24"/>
              </w:rPr>
            </w:pPr>
            <w:r>
              <w:rPr>
                <w:rFonts w:hint="eastAsia" w:ascii="宋体" w:hAnsi="宋体"/>
                <w:sz w:val="24"/>
              </w:rPr>
              <w:t>响应文件提交截止</w:t>
            </w:r>
            <w:r>
              <w:rPr>
                <w:rFonts w:hint="eastAsia" w:ascii="宋体" w:hAnsi="宋体"/>
                <w:bCs/>
                <w:snapToGrid w:val="0"/>
                <w:sz w:val="24"/>
              </w:rPr>
              <w:t>之日起90天内有效</w:t>
            </w:r>
          </w:p>
        </w:tc>
      </w:tr>
      <w:tr w14:paraId="53D41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2CD750C">
            <w:pPr>
              <w:jc w:val="center"/>
              <w:rPr>
                <w:rFonts w:hint="eastAsia" w:ascii="宋体" w:hAnsi="宋体"/>
                <w:bCs/>
                <w:snapToGrid w:val="0"/>
                <w:sz w:val="24"/>
              </w:rPr>
            </w:pPr>
            <w:r>
              <w:rPr>
                <w:rFonts w:hint="eastAsia" w:ascii="宋体" w:hAnsi="宋体"/>
                <w:bCs/>
                <w:snapToGrid w:val="0"/>
                <w:sz w:val="24"/>
              </w:rPr>
              <w:t>7</w:t>
            </w:r>
          </w:p>
        </w:tc>
        <w:tc>
          <w:tcPr>
            <w:tcW w:w="1987" w:type="dxa"/>
            <w:tcBorders>
              <w:top w:val="single" w:color="auto" w:sz="4" w:space="0"/>
              <w:left w:val="single" w:color="auto" w:sz="4" w:space="0"/>
              <w:bottom w:val="single" w:color="auto" w:sz="4" w:space="0"/>
              <w:right w:val="single" w:color="auto" w:sz="4" w:space="0"/>
            </w:tcBorders>
            <w:vAlign w:val="center"/>
          </w:tcPr>
          <w:p w14:paraId="7F1033EF">
            <w:pPr>
              <w:jc w:val="center"/>
              <w:rPr>
                <w:rFonts w:hint="eastAsia" w:ascii="宋体" w:hAnsi="宋体"/>
                <w:bCs/>
                <w:sz w:val="24"/>
              </w:rPr>
            </w:pPr>
            <w:r>
              <w:rPr>
                <w:rFonts w:hint="eastAsia" w:ascii="宋体" w:hAnsi="宋体"/>
                <w:bCs/>
                <w:sz w:val="24"/>
              </w:rPr>
              <w:t>磋商文件质疑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BA54B37">
            <w:pPr>
              <w:rPr>
                <w:rFonts w:hint="eastAsia" w:ascii="宋体" w:hAnsi="宋体"/>
                <w:sz w:val="24"/>
              </w:rPr>
            </w:pPr>
            <w:r>
              <w:rPr>
                <w:rFonts w:hint="eastAsia" w:ascii="宋体" w:hAnsi="宋体"/>
                <w:sz w:val="24"/>
              </w:rPr>
              <w:t>1、只有通过电子交易平台“潜在供应商”栏获取竞争性磋商文件的供应商才能对竞争性磋商文件提出质疑（质疑时间详见前附表），否则不予受理。</w:t>
            </w:r>
          </w:p>
          <w:p w14:paraId="7F434C53">
            <w:pPr>
              <w:rPr>
                <w:rFonts w:hint="eastAsia" w:ascii="宋体" w:hAnsi="宋体"/>
                <w:bCs/>
                <w:sz w:val="24"/>
              </w:rPr>
            </w:pPr>
            <w:r>
              <w:rPr>
                <w:rFonts w:hint="eastAsia" w:ascii="宋体" w:hAnsi="宋体"/>
                <w:sz w:val="24"/>
              </w:rPr>
              <w:t>2、质疑期限为自磋商公告期限届满之日（磋商公告届满日为公告发布后的第4个工作日）起7个工作日内，以书面形式向采购人和采购代理机构一次性提出质疑。</w:t>
            </w:r>
          </w:p>
        </w:tc>
      </w:tr>
      <w:tr w14:paraId="65DD9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AF8D938">
            <w:pPr>
              <w:jc w:val="center"/>
              <w:rPr>
                <w:rFonts w:hint="eastAsia" w:ascii="宋体" w:hAnsi="宋体"/>
                <w:bCs/>
                <w:snapToGrid w:val="0"/>
                <w:sz w:val="24"/>
              </w:rPr>
            </w:pPr>
            <w:r>
              <w:rPr>
                <w:rFonts w:hint="eastAsia" w:ascii="宋体" w:hAnsi="宋体"/>
                <w:bCs/>
                <w:snapToGrid w:val="0"/>
                <w:sz w:val="24"/>
              </w:rPr>
              <w:t>8</w:t>
            </w:r>
          </w:p>
        </w:tc>
        <w:tc>
          <w:tcPr>
            <w:tcW w:w="1987" w:type="dxa"/>
            <w:tcBorders>
              <w:top w:val="single" w:color="auto" w:sz="4" w:space="0"/>
              <w:left w:val="single" w:color="auto" w:sz="4" w:space="0"/>
              <w:bottom w:val="single" w:color="auto" w:sz="4" w:space="0"/>
              <w:right w:val="single" w:color="auto" w:sz="4" w:space="0"/>
            </w:tcBorders>
            <w:vAlign w:val="center"/>
          </w:tcPr>
          <w:p w14:paraId="07B1E10F">
            <w:pPr>
              <w:jc w:val="center"/>
              <w:rPr>
                <w:rFonts w:hint="eastAsia" w:ascii="宋体" w:hAnsi="宋体"/>
                <w:bCs/>
                <w:snapToGrid w:val="0"/>
                <w:sz w:val="24"/>
              </w:rPr>
            </w:pPr>
            <w:r>
              <w:rPr>
                <w:rFonts w:hint="eastAsia" w:ascii="宋体" w:hAnsi="宋体"/>
                <w:bCs/>
                <w:snapToGrid w:val="0"/>
                <w:sz w:val="24"/>
              </w:rPr>
              <w:t>磋商文件澄清或修改时间</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E13BA44">
            <w:pPr>
              <w:rPr>
                <w:rFonts w:hint="eastAsia" w:ascii="宋体" w:hAnsi="宋体"/>
                <w:bCs/>
                <w:snapToGrid w:val="0"/>
                <w:sz w:val="24"/>
              </w:rPr>
            </w:pPr>
            <w:r>
              <w:rPr>
                <w:rFonts w:hint="eastAsia" w:ascii="宋体" w:hAnsi="宋体"/>
                <w:bCs/>
                <w:sz w:val="24"/>
              </w:rPr>
              <w:t>提交响应文件截止时间</w:t>
            </w:r>
            <w:r>
              <w:rPr>
                <w:rFonts w:ascii="宋体" w:hAnsi="宋体"/>
                <w:bCs/>
                <w:sz w:val="24"/>
              </w:rPr>
              <w:t>5</w:t>
            </w:r>
            <w:r>
              <w:rPr>
                <w:rFonts w:hint="eastAsia" w:ascii="宋体" w:hAnsi="宋体"/>
                <w:bCs/>
                <w:sz w:val="24"/>
              </w:rPr>
              <w:t>日前，</w:t>
            </w:r>
            <w:r>
              <w:rPr>
                <w:rFonts w:hint="eastAsia" w:ascii="宋体" w:hAnsi="宋体"/>
                <w:sz w:val="24"/>
              </w:rPr>
              <w:t>发布网址同磋商公告发布网址。</w:t>
            </w:r>
          </w:p>
        </w:tc>
      </w:tr>
      <w:tr w14:paraId="23DF0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00F3BBDF">
            <w:pPr>
              <w:jc w:val="center"/>
              <w:rPr>
                <w:rFonts w:hint="eastAsia" w:ascii="宋体" w:hAnsi="宋体"/>
                <w:bCs/>
                <w:snapToGrid w:val="0"/>
                <w:sz w:val="24"/>
              </w:rPr>
            </w:pPr>
            <w:r>
              <w:rPr>
                <w:rFonts w:hint="eastAsia" w:ascii="宋体" w:hAnsi="宋体"/>
                <w:bCs/>
                <w:snapToGrid w:val="0"/>
                <w:sz w:val="24"/>
              </w:rPr>
              <w:t>9</w:t>
            </w:r>
          </w:p>
        </w:tc>
        <w:tc>
          <w:tcPr>
            <w:tcW w:w="1987" w:type="dxa"/>
            <w:tcBorders>
              <w:top w:val="single" w:color="auto" w:sz="4" w:space="0"/>
              <w:left w:val="single" w:color="auto" w:sz="4" w:space="0"/>
              <w:bottom w:val="single" w:color="auto" w:sz="4" w:space="0"/>
              <w:right w:val="single" w:color="auto" w:sz="4" w:space="0"/>
            </w:tcBorders>
            <w:vAlign w:val="center"/>
          </w:tcPr>
          <w:p w14:paraId="217B0F37">
            <w:pPr>
              <w:jc w:val="center"/>
              <w:rPr>
                <w:rFonts w:hint="eastAsia" w:ascii="宋体" w:hAnsi="宋体"/>
                <w:bCs/>
                <w:snapToGrid w:val="0"/>
                <w:sz w:val="24"/>
              </w:rPr>
            </w:pPr>
            <w:r>
              <w:rPr>
                <w:rFonts w:hint="eastAsia" w:ascii="宋体" w:hAnsi="宋体"/>
                <w:bCs/>
                <w:snapToGrid w:val="0"/>
                <w:sz w:val="24"/>
              </w:rPr>
              <w:t>响应文件</w:t>
            </w:r>
          </w:p>
          <w:p w14:paraId="0903631D">
            <w:pPr>
              <w:jc w:val="center"/>
              <w:rPr>
                <w:rFonts w:hint="eastAsia" w:ascii="宋体" w:hAnsi="宋体"/>
                <w:bCs/>
                <w:snapToGrid w:val="0"/>
                <w:sz w:val="24"/>
              </w:rPr>
            </w:pPr>
            <w:r>
              <w:rPr>
                <w:rFonts w:hint="eastAsia" w:ascii="宋体" w:hAnsi="宋体"/>
                <w:bCs/>
                <w:snapToGrid w:val="0"/>
                <w:sz w:val="24"/>
              </w:rPr>
              <w:t>提交方式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1FDFC01">
            <w:pPr>
              <w:pStyle w:val="92"/>
              <w:rPr>
                <w:rFonts w:hint="eastAsia" w:ascii="宋体" w:hAnsi="宋体" w:cs="Tahoma"/>
                <w:szCs w:val="24"/>
              </w:rPr>
            </w:pPr>
            <w:r>
              <w:rPr>
                <w:rFonts w:hint="eastAsia" w:ascii="宋体" w:hAnsi="宋体" w:cs="Tahoma"/>
                <w:szCs w:val="24"/>
              </w:rPr>
              <w:t xml:space="preserve">接收人：卓正招标咨询（丽水）有限公司  </w:t>
            </w:r>
          </w:p>
          <w:p w14:paraId="67B997DA">
            <w:pPr>
              <w:ind w:left="118" w:hanging="118" w:hangingChars="49"/>
              <w:rPr>
                <w:rFonts w:hint="eastAsia" w:ascii="宋体" w:hAnsi="宋体"/>
                <w:sz w:val="24"/>
              </w:rPr>
            </w:pPr>
            <w:r>
              <w:rPr>
                <w:rFonts w:hint="eastAsia" w:ascii="宋体" w:hAnsi="宋体" w:cs="仿宋_GB2312"/>
                <w:b/>
                <w:sz w:val="24"/>
              </w:rPr>
              <w:t>提交响应文件截止时间（即磋商截止时间）</w:t>
            </w:r>
            <w:r>
              <w:rPr>
                <w:rFonts w:hint="eastAsia" w:ascii="宋体" w:hAnsi="宋体"/>
                <w:sz w:val="24"/>
              </w:rPr>
              <w:t>：</w:t>
            </w:r>
            <w:r>
              <w:rPr>
                <w:rFonts w:hint="eastAsia" w:ascii="宋体" w:hAnsi="宋体"/>
                <w:b/>
                <w:sz w:val="24"/>
                <w:u w:val="single"/>
              </w:rPr>
              <w:t>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1</w:t>
            </w:r>
            <w:r>
              <w:rPr>
                <w:rFonts w:hint="eastAsia" w:ascii="宋体" w:hAnsi="宋体"/>
                <w:b/>
                <w:sz w:val="24"/>
                <w:u w:val="single"/>
              </w:rPr>
              <w:t>日9时00分</w:t>
            </w:r>
          </w:p>
          <w:p w14:paraId="5603747D">
            <w:pPr>
              <w:tabs>
                <w:tab w:val="left" w:pos="0"/>
                <w:tab w:val="left" w:pos="1134"/>
              </w:tabs>
              <w:adjustRightInd w:val="0"/>
              <w:snapToGrid w:val="0"/>
              <w:rPr>
                <w:rFonts w:hint="eastAsia" w:ascii="宋体" w:hAnsi="宋体"/>
                <w:b/>
                <w:bCs/>
                <w:sz w:val="24"/>
              </w:rPr>
            </w:pPr>
            <w:r>
              <w:rPr>
                <w:rFonts w:hint="eastAsia" w:ascii="宋体" w:hAnsi="宋体"/>
                <w:b/>
                <w:bCs/>
                <w:sz w:val="24"/>
              </w:rPr>
              <w:t>提交响应文件地点：</w:t>
            </w:r>
          </w:p>
          <w:p w14:paraId="5D98C7A2">
            <w:pPr>
              <w:pStyle w:val="17"/>
              <w:adjustRightInd w:val="0"/>
              <w:snapToGrid w:val="0"/>
              <w:ind w:firstLine="480" w:firstLineChars="200"/>
              <w:rPr>
                <w:rFonts w:hint="eastAsia" w:hAnsi="宋体"/>
                <w:sz w:val="24"/>
                <w:szCs w:val="24"/>
              </w:rPr>
            </w:pPr>
            <w:r>
              <w:rPr>
                <w:rFonts w:hint="eastAsia" w:hAnsi="宋体"/>
                <w:sz w:val="24"/>
                <w:szCs w:val="24"/>
              </w:rPr>
              <w:t>（1）电子响应文件：磋商截止时间前在政采云平台完成电子响应文件的传输提交；</w:t>
            </w:r>
          </w:p>
          <w:p w14:paraId="492F8517">
            <w:pPr>
              <w:pStyle w:val="17"/>
              <w:adjustRightInd w:val="0"/>
              <w:snapToGrid w:val="0"/>
              <w:ind w:firstLine="480" w:firstLineChars="200"/>
              <w:rPr>
                <w:rFonts w:hint="eastAsia" w:hAnsi="宋体"/>
                <w:sz w:val="24"/>
                <w:szCs w:val="24"/>
              </w:rPr>
            </w:pPr>
            <w:r>
              <w:rPr>
                <w:rFonts w:hint="eastAsia" w:hAnsi="宋体"/>
                <w:sz w:val="24"/>
                <w:szCs w:val="24"/>
              </w:rPr>
              <w:t>（2）备份响应文件：</w:t>
            </w:r>
          </w:p>
          <w:p w14:paraId="3F11AB22">
            <w:pPr>
              <w:pStyle w:val="17"/>
              <w:adjustRightInd w:val="0"/>
              <w:snapToGrid w:val="0"/>
              <w:ind w:firstLine="480" w:firstLineChars="200"/>
              <w:rPr>
                <w:rFonts w:hint="eastAsia" w:ascii="新宋体" w:hAnsi="新宋体" w:eastAsia="新宋体"/>
                <w:sz w:val="24"/>
                <w:szCs w:val="24"/>
              </w:rPr>
            </w:pPr>
            <w:r>
              <w:rPr>
                <w:rFonts w:hint="eastAsia" w:hAnsi="宋体"/>
                <w:sz w:val="24"/>
              </w:rPr>
              <w:t>备份响应文件是否提交由供应商自行决定，如不提交的，当电子响应文件无法解密时，将导致无备份响应文件而失去磋商资格。</w:t>
            </w:r>
            <w:r>
              <w:rPr>
                <w:rFonts w:hint="eastAsia" w:ascii="新宋体" w:hAnsi="新宋体" w:eastAsia="新宋体"/>
                <w:sz w:val="24"/>
                <w:szCs w:val="24"/>
              </w:rPr>
              <w:t>如提交备份响应文件的，应在磋商截止时间前将最后生成的具有电子签章的备份响应文件通过电子邮件方式传送至代理机构邮箱</w:t>
            </w:r>
            <w:r>
              <w:rPr>
                <w:rFonts w:hint="eastAsia" w:ascii="新宋体" w:hAnsi="新宋体" w:eastAsia="新宋体"/>
                <w:b/>
                <w:bCs/>
                <w:sz w:val="24"/>
                <w:szCs w:val="24"/>
              </w:rPr>
              <w:t>（lszzzbzx@126.com）</w:t>
            </w:r>
            <w:r>
              <w:rPr>
                <w:rFonts w:hint="eastAsia" w:ascii="新宋体" w:hAnsi="新宋体" w:eastAsia="新宋体"/>
                <w:sz w:val="24"/>
                <w:szCs w:val="24"/>
              </w:rPr>
              <w:t>，传送的备份响应文件须打包压缩并加密，密码由供应商自行保管。压缩包命名为“</w:t>
            </w:r>
            <w:r>
              <w:rPr>
                <w:rFonts w:hint="eastAsia" w:ascii="新宋体" w:hAnsi="新宋体" w:eastAsia="新宋体"/>
                <w:b/>
                <w:sz w:val="24"/>
                <w:szCs w:val="24"/>
              </w:rPr>
              <w:t>备份响应文件</w:t>
            </w:r>
            <w:r>
              <w:rPr>
                <w:rFonts w:hint="eastAsia" w:ascii="新宋体" w:hAnsi="新宋体" w:eastAsia="新宋体"/>
                <w:sz w:val="24"/>
                <w:szCs w:val="24"/>
              </w:rPr>
              <w:t>”，并在邮件中注明项目名称及供应商名称。</w:t>
            </w:r>
          </w:p>
        </w:tc>
      </w:tr>
      <w:tr w14:paraId="5463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3D2DD2CC">
            <w:pPr>
              <w:jc w:val="center"/>
              <w:rPr>
                <w:rFonts w:hint="eastAsia" w:ascii="宋体" w:hAnsi="宋体"/>
                <w:bCs/>
                <w:snapToGrid w:val="0"/>
                <w:sz w:val="24"/>
              </w:rPr>
            </w:pPr>
            <w:r>
              <w:rPr>
                <w:rFonts w:hint="eastAsia" w:ascii="宋体" w:hAnsi="宋体"/>
                <w:bCs/>
                <w:snapToGrid w:val="0"/>
                <w:sz w:val="24"/>
              </w:rPr>
              <w:t>10</w:t>
            </w:r>
          </w:p>
        </w:tc>
        <w:tc>
          <w:tcPr>
            <w:tcW w:w="1987" w:type="dxa"/>
            <w:tcBorders>
              <w:top w:val="single" w:color="auto" w:sz="4" w:space="0"/>
              <w:left w:val="single" w:color="auto" w:sz="4" w:space="0"/>
              <w:bottom w:val="single" w:color="auto" w:sz="4" w:space="0"/>
              <w:right w:val="single" w:color="auto" w:sz="4" w:space="0"/>
            </w:tcBorders>
            <w:vAlign w:val="center"/>
          </w:tcPr>
          <w:p w14:paraId="21FCA34B">
            <w:pPr>
              <w:jc w:val="center"/>
              <w:rPr>
                <w:rFonts w:hint="eastAsia" w:ascii="宋体" w:hAnsi="宋体"/>
                <w:bCs/>
                <w:snapToGrid w:val="0"/>
                <w:sz w:val="24"/>
              </w:rPr>
            </w:pPr>
            <w:r>
              <w:rPr>
                <w:rFonts w:hint="eastAsia" w:ascii="宋体" w:hAnsi="宋体"/>
                <w:bCs/>
                <w:sz w:val="24"/>
              </w:rPr>
              <w:t>履约保证金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4113D26">
            <w:pPr>
              <w:pStyle w:val="92"/>
              <w:rPr>
                <w:rFonts w:hint="eastAsia" w:ascii="宋体" w:hAnsi="宋体" w:cs="Tahoma"/>
                <w:szCs w:val="24"/>
              </w:rPr>
            </w:pPr>
            <w:r>
              <w:rPr>
                <w:rFonts w:hint="eastAsia" w:ascii="宋体" w:hAnsi="宋体" w:cs="Tahoma"/>
                <w:szCs w:val="24"/>
              </w:rPr>
              <w:t>无</w:t>
            </w:r>
          </w:p>
        </w:tc>
      </w:tr>
      <w:tr w14:paraId="039DB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519EDC">
            <w:pPr>
              <w:rPr>
                <w:rFonts w:hint="eastAsia" w:ascii="宋体" w:hAnsi="宋体"/>
                <w:bCs/>
                <w:snapToGrid w:val="0"/>
                <w:sz w:val="24"/>
              </w:rPr>
            </w:pPr>
            <w:r>
              <w:rPr>
                <w:rFonts w:hint="eastAsia" w:ascii="宋体" w:hAnsi="宋体"/>
                <w:bCs/>
                <w:snapToGrid w:val="0"/>
                <w:sz w:val="24"/>
              </w:rPr>
              <w:t>11</w:t>
            </w:r>
          </w:p>
        </w:tc>
        <w:tc>
          <w:tcPr>
            <w:tcW w:w="1987" w:type="dxa"/>
            <w:tcBorders>
              <w:top w:val="single" w:color="auto" w:sz="4" w:space="0"/>
              <w:left w:val="single" w:color="auto" w:sz="4" w:space="0"/>
              <w:bottom w:val="single" w:color="auto" w:sz="4" w:space="0"/>
              <w:right w:val="single" w:color="auto" w:sz="4" w:space="0"/>
            </w:tcBorders>
            <w:vAlign w:val="center"/>
          </w:tcPr>
          <w:p w14:paraId="1A482435">
            <w:pPr>
              <w:jc w:val="center"/>
              <w:rPr>
                <w:rFonts w:hint="eastAsia" w:ascii="宋体" w:hAnsi="宋体"/>
                <w:bCs/>
                <w:snapToGrid w:val="0"/>
                <w:sz w:val="24"/>
              </w:rPr>
            </w:pPr>
            <w:r>
              <w:rPr>
                <w:rFonts w:hint="eastAsia" w:ascii="宋体" w:hAnsi="宋体"/>
                <w:bCs/>
                <w:snapToGrid w:val="0"/>
                <w:sz w:val="24"/>
              </w:rPr>
              <w:t>磋商时间</w:t>
            </w:r>
          </w:p>
          <w:p w14:paraId="5CA1C744">
            <w:pPr>
              <w:jc w:val="center"/>
              <w:rPr>
                <w:rFonts w:hint="eastAsia" w:ascii="宋体" w:hAnsi="宋体"/>
                <w:bCs/>
                <w:snapToGrid w:val="0"/>
                <w:sz w:val="24"/>
              </w:rPr>
            </w:pPr>
            <w:r>
              <w:rPr>
                <w:rFonts w:hint="eastAsia" w:ascii="宋体" w:hAnsi="宋体"/>
                <w:bCs/>
                <w:snapToGrid w:val="0"/>
                <w:sz w:val="24"/>
              </w:rPr>
              <w:t>及地点</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5665684">
            <w:pPr>
              <w:spacing w:line="360" w:lineRule="auto"/>
              <w:rPr>
                <w:rFonts w:hint="eastAsia" w:ascii="宋体" w:hAnsi="宋体"/>
                <w:b/>
                <w:sz w:val="24"/>
                <w:u w:val="single"/>
              </w:rPr>
            </w:pPr>
            <w:r>
              <w:rPr>
                <w:rFonts w:hint="eastAsia" w:ascii="宋体" w:hAnsi="宋体"/>
                <w:b/>
                <w:sz w:val="24"/>
                <w:u w:val="single"/>
              </w:rPr>
              <w:t>时间：2025年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1</w:t>
            </w:r>
            <w:r>
              <w:rPr>
                <w:rFonts w:hint="eastAsia" w:ascii="宋体" w:hAnsi="宋体"/>
                <w:b/>
                <w:sz w:val="24"/>
                <w:u w:val="single"/>
              </w:rPr>
              <w:t>日9时00 分开始</w:t>
            </w:r>
          </w:p>
          <w:p w14:paraId="0211E57E">
            <w:pPr>
              <w:rPr>
                <w:rFonts w:hint="eastAsia" w:ascii="宋体" w:hAnsi="宋体"/>
                <w:bCs/>
                <w:sz w:val="24"/>
              </w:rPr>
            </w:pPr>
            <w:r>
              <w:rPr>
                <w:rFonts w:hint="eastAsia" w:ascii="宋体" w:hAnsi="宋体"/>
                <w:bCs/>
                <w:kern w:val="0"/>
                <w:sz w:val="24"/>
              </w:rPr>
              <w:t>开标地点（网址）：政府采购云平台（</w:t>
            </w:r>
            <w:r>
              <w:rPr>
                <w:rFonts w:hint="eastAsia"/>
              </w:rPr>
              <w:fldChar w:fldCharType="begin"/>
            </w:r>
            <w:r>
              <w:instrText xml:space="preserve"> HYPERLINK "http://www.zcygov.cn/" </w:instrText>
            </w:r>
            <w:r>
              <w:rPr>
                <w:rFonts w:hint="eastAsia"/>
              </w:rPr>
              <w:fldChar w:fldCharType="separate"/>
            </w:r>
            <w:r>
              <w:rPr>
                <w:rFonts w:hint="eastAsia" w:ascii="宋体" w:hAnsi="宋体"/>
                <w:bCs/>
                <w:kern w:val="0"/>
                <w:sz w:val="24"/>
              </w:rPr>
              <w:t>www.zcygov.cn</w:t>
            </w:r>
            <w:r>
              <w:rPr>
                <w:rFonts w:hint="eastAsia" w:ascii="宋体" w:hAnsi="宋体"/>
                <w:bCs/>
                <w:kern w:val="0"/>
                <w:sz w:val="24"/>
              </w:rPr>
              <w:fldChar w:fldCharType="end"/>
            </w:r>
            <w:r>
              <w:rPr>
                <w:rFonts w:hint="eastAsia" w:ascii="宋体" w:hAnsi="宋体"/>
                <w:bCs/>
                <w:kern w:val="0"/>
                <w:sz w:val="24"/>
              </w:rPr>
              <w:t>），</w:t>
            </w:r>
            <w:r>
              <w:rPr>
                <w:rFonts w:hint="eastAsia" w:ascii="宋体" w:hAnsi="宋体" w:cs="宋体"/>
                <w:sz w:val="24"/>
              </w:rPr>
              <w:t>卓正招标咨询（丽水）有限公司（和平路78号艾莱依工业园区2号楼7楼）</w:t>
            </w:r>
            <w:r>
              <w:rPr>
                <w:rFonts w:hint="eastAsia" w:ascii="宋体" w:hAnsi="宋体"/>
                <w:sz w:val="24"/>
              </w:rPr>
              <w:t xml:space="preserve"> </w:t>
            </w:r>
          </w:p>
        </w:tc>
      </w:tr>
      <w:tr w14:paraId="3E3E3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1"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47291F4">
            <w:pPr>
              <w:rPr>
                <w:rFonts w:hint="eastAsia" w:ascii="宋体" w:hAnsi="宋体"/>
                <w:bCs/>
                <w:snapToGrid w:val="0"/>
                <w:sz w:val="24"/>
              </w:rPr>
            </w:pPr>
            <w:r>
              <w:rPr>
                <w:rFonts w:hint="eastAsia" w:ascii="宋体" w:hAnsi="宋体"/>
                <w:bCs/>
                <w:snapToGrid w:val="0"/>
                <w:sz w:val="24"/>
              </w:rPr>
              <w:t>12</w:t>
            </w:r>
          </w:p>
        </w:tc>
        <w:tc>
          <w:tcPr>
            <w:tcW w:w="1987" w:type="dxa"/>
            <w:tcBorders>
              <w:top w:val="single" w:color="auto" w:sz="4" w:space="0"/>
              <w:left w:val="single" w:color="auto" w:sz="4" w:space="0"/>
              <w:bottom w:val="single" w:color="auto" w:sz="4" w:space="0"/>
              <w:right w:val="single" w:color="auto" w:sz="4" w:space="0"/>
            </w:tcBorders>
            <w:vAlign w:val="center"/>
          </w:tcPr>
          <w:p w14:paraId="4A5618F8">
            <w:pPr>
              <w:jc w:val="center"/>
              <w:rPr>
                <w:rFonts w:hint="eastAsia" w:ascii="宋体" w:hAnsi="宋体"/>
                <w:bCs/>
                <w:sz w:val="24"/>
              </w:rPr>
            </w:pPr>
            <w:r>
              <w:rPr>
                <w:rFonts w:hint="eastAsia" w:ascii="宋体" w:hAnsi="宋体"/>
                <w:bCs/>
                <w:sz w:val="24"/>
              </w:rPr>
              <w:t>成交结果公告及成交通知书</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408BCC1">
            <w:pPr>
              <w:rPr>
                <w:rFonts w:hint="eastAsia" w:ascii="宋体" w:hAnsi="宋体"/>
                <w:bCs/>
                <w:sz w:val="24"/>
              </w:rPr>
            </w:pPr>
            <w:r>
              <w:rPr>
                <w:rFonts w:hint="eastAsia" w:ascii="宋体" w:hAnsi="宋体"/>
                <w:bCs/>
                <w:kern w:val="0"/>
                <w:sz w:val="24"/>
              </w:rPr>
              <w:t>评审报告经采购人确认后2个工作日内，成交公告在浙江政府采购网</w:t>
            </w:r>
            <w:r>
              <w:rPr>
                <w:rFonts w:ascii="宋体" w:hAnsi="宋体"/>
                <w:bCs/>
                <w:kern w:val="0"/>
                <w:sz w:val="24"/>
              </w:rPr>
              <w:t>http://zfcg.czt.zj.gov.cn</w:t>
            </w:r>
            <w:r>
              <w:rPr>
                <w:rFonts w:hint="eastAsia" w:ascii="宋体" w:hAnsi="宋体"/>
                <w:bCs/>
                <w:kern w:val="0"/>
                <w:sz w:val="24"/>
              </w:rPr>
              <w:t>/、丽水市公共资源交易网（http://lssggzy.lishui.gov.cn/lsweb/）等媒体上发布，并同时发出成交通知书。</w:t>
            </w:r>
          </w:p>
        </w:tc>
      </w:tr>
      <w:tr w14:paraId="6B4F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72C71B52">
            <w:pPr>
              <w:rPr>
                <w:rFonts w:hint="eastAsia" w:ascii="宋体" w:hAnsi="宋体"/>
                <w:bCs/>
                <w:snapToGrid w:val="0"/>
                <w:sz w:val="24"/>
              </w:rPr>
            </w:pPr>
            <w:r>
              <w:rPr>
                <w:rFonts w:hint="eastAsia" w:ascii="宋体" w:hAnsi="宋体"/>
                <w:bCs/>
                <w:snapToGrid w:val="0"/>
                <w:sz w:val="24"/>
              </w:rPr>
              <w:t>13</w:t>
            </w:r>
          </w:p>
        </w:tc>
        <w:tc>
          <w:tcPr>
            <w:tcW w:w="1987" w:type="dxa"/>
            <w:tcBorders>
              <w:top w:val="single" w:color="auto" w:sz="4" w:space="0"/>
              <w:left w:val="single" w:color="auto" w:sz="4" w:space="0"/>
              <w:bottom w:val="single" w:color="auto" w:sz="4" w:space="0"/>
              <w:right w:val="single" w:color="auto" w:sz="4" w:space="0"/>
            </w:tcBorders>
            <w:vAlign w:val="center"/>
          </w:tcPr>
          <w:p w14:paraId="5B70117F">
            <w:pPr>
              <w:jc w:val="center"/>
              <w:rPr>
                <w:rFonts w:hint="eastAsia" w:ascii="宋体" w:hAnsi="宋体"/>
                <w:bCs/>
                <w:snapToGrid w:val="0"/>
                <w:sz w:val="24"/>
              </w:rPr>
            </w:pPr>
            <w:r>
              <w:rPr>
                <w:rFonts w:hint="eastAsia" w:ascii="宋体" w:hAnsi="宋体"/>
                <w:bCs/>
                <w:snapToGrid w:val="0"/>
                <w:sz w:val="24"/>
              </w:rPr>
              <w:t xml:space="preserve">  评审办法和细则</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55C26F3">
            <w:pPr>
              <w:rPr>
                <w:rFonts w:hint="eastAsia" w:ascii="宋体" w:hAnsi="宋体"/>
                <w:bCs/>
                <w:sz w:val="24"/>
              </w:rPr>
            </w:pPr>
            <w:r>
              <w:rPr>
                <w:rFonts w:hint="eastAsia" w:ascii="宋体" w:hAnsi="宋体"/>
                <w:bCs/>
                <w:sz w:val="24"/>
              </w:rPr>
              <w:t>详见本磋商文件第六章</w:t>
            </w:r>
          </w:p>
        </w:tc>
      </w:tr>
      <w:tr w14:paraId="3B341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B53E53">
            <w:pPr>
              <w:rPr>
                <w:rFonts w:hint="eastAsia" w:ascii="宋体" w:hAnsi="宋体"/>
                <w:bCs/>
                <w:snapToGrid w:val="0"/>
                <w:sz w:val="24"/>
              </w:rPr>
            </w:pPr>
            <w:r>
              <w:rPr>
                <w:rFonts w:hint="eastAsia" w:ascii="宋体" w:hAnsi="宋体"/>
                <w:bCs/>
                <w:snapToGrid w:val="0"/>
                <w:sz w:val="24"/>
              </w:rPr>
              <w:t>14</w:t>
            </w:r>
          </w:p>
        </w:tc>
        <w:tc>
          <w:tcPr>
            <w:tcW w:w="1987" w:type="dxa"/>
            <w:tcBorders>
              <w:top w:val="single" w:color="auto" w:sz="4" w:space="0"/>
              <w:left w:val="single" w:color="auto" w:sz="4" w:space="0"/>
              <w:bottom w:val="single" w:color="auto" w:sz="4" w:space="0"/>
              <w:right w:val="single" w:color="auto" w:sz="4" w:space="0"/>
            </w:tcBorders>
            <w:vAlign w:val="center"/>
          </w:tcPr>
          <w:p w14:paraId="3C24D72F">
            <w:pPr>
              <w:jc w:val="center"/>
              <w:rPr>
                <w:rFonts w:hint="eastAsia" w:ascii="宋体" w:hAnsi="宋体"/>
                <w:bCs/>
                <w:sz w:val="24"/>
              </w:rPr>
            </w:pPr>
            <w:r>
              <w:rPr>
                <w:rFonts w:hint="eastAsia" w:ascii="宋体" w:hAnsi="宋体"/>
                <w:bCs/>
                <w:sz w:val="24"/>
              </w:rPr>
              <w:t>签订合同</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C600887">
            <w:pPr>
              <w:rPr>
                <w:rFonts w:hint="eastAsia" w:ascii="宋体" w:hAnsi="宋体"/>
                <w:bCs/>
                <w:sz w:val="24"/>
              </w:rPr>
            </w:pPr>
            <w:r>
              <w:rPr>
                <w:rFonts w:hint="eastAsia" w:ascii="宋体" w:hAnsi="宋体"/>
                <w:bCs/>
                <w:sz w:val="24"/>
              </w:rPr>
              <w:t>成交通知书发出之日起30个工作日内，按照磋商文件确定的事项签订政府采购合同</w:t>
            </w:r>
          </w:p>
        </w:tc>
      </w:tr>
      <w:tr w14:paraId="7EA64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5BCF1A">
            <w:pPr>
              <w:rPr>
                <w:rFonts w:hint="eastAsia" w:ascii="宋体" w:hAnsi="宋体"/>
                <w:bCs/>
                <w:snapToGrid w:val="0"/>
                <w:sz w:val="24"/>
              </w:rPr>
            </w:pPr>
            <w:r>
              <w:rPr>
                <w:rFonts w:hint="eastAsia" w:ascii="宋体" w:hAnsi="宋体"/>
                <w:bCs/>
                <w:snapToGrid w:val="0"/>
                <w:sz w:val="24"/>
              </w:rPr>
              <w:t>15</w:t>
            </w:r>
          </w:p>
        </w:tc>
        <w:tc>
          <w:tcPr>
            <w:tcW w:w="1987" w:type="dxa"/>
            <w:tcBorders>
              <w:top w:val="single" w:color="auto" w:sz="4" w:space="0"/>
              <w:left w:val="single" w:color="auto" w:sz="4" w:space="0"/>
              <w:bottom w:val="single" w:color="auto" w:sz="4" w:space="0"/>
              <w:right w:val="single" w:color="auto" w:sz="4" w:space="0"/>
            </w:tcBorders>
            <w:vAlign w:val="center"/>
          </w:tcPr>
          <w:p w14:paraId="5524F25C">
            <w:pPr>
              <w:jc w:val="center"/>
              <w:rPr>
                <w:rFonts w:hint="eastAsia" w:ascii="宋体" w:hAnsi="宋体"/>
                <w:bCs/>
                <w:sz w:val="24"/>
              </w:rPr>
            </w:pPr>
            <w:r>
              <w:rPr>
                <w:rFonts w:hint="eastAsia" w:ascii="宋体" w:hAnsi="宋体"/>
                <w:bCs/>
                <w:sz w:val="24"/>
              </w:rPr>
              <w:t>是否专门面向</w:t>
            </w:r>
          </w:p>
          <w:p w14:paraId="05728C11">
            <w:pPr>
              <w:jc w:val="center"/>
              <w:rPr>
                <w:rFonts w:hint="eastAsia" w:ascii="宋体" w:hAnsi="宋体"/>
                <w:bCs/>
                <w:sz w:val="24"/>
              </w:rPr>
            </w:pPr>
            <w:r>
              <w:rPr>
                <w:rFonts w:hint="eastAsia" w:ascii="宋体" w:hAnsi="宋体"/>
                <w:bCs/>
                <w:sz w:val="24"/>
              </w:rPr>
              <w:t>中小企业采购</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6741715">
            <w:pPr>
              <w:jc w:val="left"/>
              <w:rPr>
                <w:rFonts w:hint="eastAsia" w:ascii="宋体" w:hAnsi="宋体"/>
                <w:bCs/>
                <w:sz w:val="24"/>
              </w:rPr>
            </w:pPr>
            <w:r>
              <w:rPr>
                <w:rFonts w:hint="eastAsia" w:ascii="宋体" w:hAnsi="宋体"/>
                <w:bCs/>
                <w:sz w:val="24"/>
              </w:rPr>
              <w:t>是</w:t>
            </w:r>
          </w:p>
        </w:tc>
      </w:tr>
      <w:tr w14:paraId="5D4C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4D3A52AA">
            <w:pPr>
              <w:rPr>
                <w:rFonts w:hint="eastAsia" w:ascii="宋体" w:hAnsi="宋体"/>
                <w:bCs/>
                <w:snapToGrid w:val="0"/>
                <w:sz w:val="24"/>
              </w:rPr>
            </w:pPr>
            <w:r>
              <w:rPr>
                <w:rFonts w:hint="eastAsia" w:ascii="宋体" w:hAnsi="宋体"/>
                <w:bCs/>
                <w:snapToGrid w:val="0"/>
                <w:sz w:val="24"/>
              </w:rPr>
              <w:t>16</w:t>
            </w:r>
          </w:p>
        </w:tc>
        <w:tc>
          <w:tcPr>
            <w:tcW w:w="1987" w:type="dxa"/>
            <w:tcBorders>
              <w:top w:val="single" w:color="auto" w:sz="4" w:space="0"/>
              <w:left w:val="single" w:color="auto" w:sz="4" w:space="0"/>
              <w:bottom w:val="single" w:color="auto" w:sz="4" w:space="0"/>
              <w:right w:val="single" w:color="auto" w:sz="4" w:space="0"/>
            </w:tcBorders>
            <w:vAlign w:val="center"/>
          </w:tcPr>
          <w:p w14:paraId="5182217E">
            <w:pPr>
              <w:jc w:val="center"/>
              <w:rPr>
                <w:rFonts w:hint="eastAsia" w:ascii="宋体" w:hAnsi="宋体"/>
                <w:bCs/>
                <w:sz w:val="24"/>
              </w:rPr>
            </w:pPr>
            <w:r>
              <w:rPr>
                <w:rFonts w:hint="eastAsia" w:ascii="宋体" w:hAnsi="宋体"/>
                <w:bCs/>
                <w:sz w:val="24"/>
              </w:rPr>
              <w:t>本项目所属行业</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84BC188">
            <w:pPr>
              <w:snapToGrid w:val="0"/>
              <w:jc w:val="left"/>
              <w:rPr>
                <w:rFonts w:hint="eastAsia" w:ascii="宋体" w:hAnsi="宋体"/>
                <w:bCs/>
                <w:sz w:val="24"/>
              </w:rPr>
            </w:pPr>
            <w:r>
              <w:rPr>
                <w:rFonts w:hint="eastAsia" w:ascii="宋体" w:hAnsi="宋体"/>
                <w:bCs/>
                <w:sz w:val="24"/>
              </w:rPr>
              <w:t>其他未列明行业</w:t>
            </w:r>
          </w:p>
        </w:tc>
      </w:tr>
      <w:tr w14:paraId="35056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172A222">
            <w:pPr>
              <w:rPr>
                <w:rFonts w:hint="eastAsia" w:ascii="宋体" w:hAnsi="宋体"/>
                <w:bCs/>
                <w:snapToGrid w:val="0"/>
                <w:sz w:val="24"/>
              </w:rPr>
            </w:pPr>
            <w:r>
              <w:rPr>
                <w:rFonts w:hint="eastAsia" w:ascii="宋体" w:hAnsi="宋体"/>
                <w:bCs/>
                <w:snapToGrid w:val="0"/>
                <w:sz w:val="24"/>
              </w:rPr>
              <w:t>17</w:t>
            </w:r>
          </w:p>
        </w:tc>
        <w:tc>
          <w:tcPr>
            <w:tcW w:w="1987" w:type="dxa"/>
            <w:tcBorders>
              <w:top w:val="single" w:color="auto" w:sz="4" w:space="0"/>
              <w:left w:val="single" w:color="auto" w:sz="4" w:space="0"/>
              <w:bottom w:val="single" w:color="auto" w:sz="4" w:space="0"/>
              <w:right w:val="single" w:color="auto" w:sz="4" w:space="0"/>
            </w:tcBorders>
            <w:vAlign w:val="center"/>
          </w:tcPr>
          <w:p w14:paraId="35C2C6CC">
            <w:pPr>
              <w:jc w:val="center"/>
              <w:rPr>
                <w:rFonts w:hint="eastAsia" w:ascii="宋体" w:hAnsi="宋体"/>
                <w:bCs/>
                <w:sz w:val="24"/>
              </w:rPr>
            </w:pPr>
            <w:r>
              <w:rPr>
                <w:rFonts w:hint="eastAsia" w:ascii="宋体" w:hAnsi="宋体"/>
                <w:bCs/>
                <w:sz w:val="24"/>
              </w:rPr>
              <w:t>供应商信用信息 查询、存档与使用</w:t>
            </w:r>
          </w:p>
          <w:p w14:paraId="0C514ECA">
            <w:pPr>
              <w:jc w:val="center"/>
              <w:rPr>
                <w:rFonts w:hint="eastAsia" w:ascii="宋体" w:hAnsi="宋体"/>
                <w:bCs/>
                <w:sz w:val="24"/>
              </w:rPr>
            </w:pP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6484438">
            <w:pPr>
              <w:jc w:val="left"/>
              <w:rPr>
                <w:rFonts w:hint="eastAsia" w:ascii="宋体" w:hAnsi="宋体"/>
                <w:bCs/>
                <w:sz w:val="24"/>
              </w:rPr>
            </w:pPr>
            <w:r>
              <w:rPr>
                <w:rFonts w:hint="eastAsia" w:ascii="宋体" w:hAnsi="宋体"/>
                <w:bCs/>
                <w:sz w:val="24"/>
              </w:rPr>
              <w:t xml:space="preserve">信用记录：根据财库[2016]125号《关于在政府采购活动中查询及使用信用记录有关问题的通知》要求，采购代理机构会对供应商信用记录进行查询并甄别。 </w:t>
            </w:r>
          </w:p>
          <w:p w14:paraId="3D6DF1F5">
            <w:pPr>
              <w:jc w:val="left"/>
              <w:rPr>
                <w:rFonts w:hint="eastAsia" w:ascii="宋体" w:hAnsi="宋体"/>
                <w:bCs/>
                <w:sz w:val="24"/>
              </w:rPr>
            </w:pPr>
            <w:r>
              <w:rPr>
                <w:rFonts w:hint="eastAsia" w:ascii="宋体" w:hAnsi="宋体"/>
                <w:bCs/>
                <w:sz w:val="24"/>
              </w:rPr>
              <w:t xml:space="preserve">（1）信用信息查询的截止时点：从本项目投标截止日往前追溯三年，期间被列入失信被执行人名单、税收违法黑名单、政府采购严重违法失信行为记录名单等供应商信用信息均将用于本项目； </w:t>
            </w:r>
          </w:p>
          <w:p w14:paraId="3DE82722">
            <w:pPr>
              <w:jc w:val="left"/>
              <w:rPr>
                <w:rFonts w:hint="eastAsia" w:ascii="宋体" w:hAnsi="宋体"/>
                <w:bCs/>
                <w:sz w:val="24"/>
              </w:rPr>
            </w:pPr>
            <w:r>
              <w:rPr>
                <w:rFonts w:hint="eastAsia" w:ascii="宋体" w:hAnsi="宋体"/>
                <w:bCs/>
                <w:sz w:val="24"/>
              </w:rPr>
              <w:t xml:space="preserve">（2）查询渠道：“信用中国”（www.creditchina.gov.cn）、“中国政府采购网”； </w:t>
            </w:r>
          </w:p>
          <w:p w14:paraId="0E32291C">
            <w:pPr>
              <w:jc w:val="left"/>
              <w:rPr>
                <w:rFonts w:hint="eastAsia" w:ascii="宋体" w:hAnsi="宋体"/>
                <w:bCs/>
                <w:sz w:val="24"/>
              </w:rPr>
            </w:pPr>
            <w:r>
              <w:rPr>
                <w:rFonts w:hint="eastAsia" w:ascii="宋体" w:hAnsi="宋体"/>
                <w:bCs/>
                <w:sz w:val="24"/>
              </w:rPr>
              <w:t xml:space="preserve">（3）信用信息查询记录和证据留存具体方式：以网页截图等方式留存； </w:t>
            </w:r>
          </w:p>
          <w:p w14:paraId="355FBDE9">
            <w:pPr>
              <w:jc w:val="left"/>
              <w:rPr>
                <w:rFonts w:hint="eastAsia" w:ascii="宋体" w:hAnsi="宋体"/>
                <w:bCs/>
                <w:sz w:val="24"/>
              </w:rPr>
            </w:pPr>
            <w:r>
              <w:rPr>
                <w:rFonts w:hint="eastAsia" w:ascii="宋体" w:hAnsi="宋体"/>
                <w:bCs/>
                <w:sz w:val="24"/>
              </w:rPr>
              <w:t xml:space="preserve">（4）信用信息的使用规则：供应商存在不良信用记录的，其投标将被作为无效投标被拒绝。不良信用记录指：被列入失信被执行人、税收违法黑名单、政府采购严重违法失信行为记录名单。 </w:t>
            </w:r>
          </w:p>
        </w:tc>
      </w:tr>
      <w:tr w14:paraId="6EC80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BBEE5CC">
            <w:pPr>
              <w:rPr>
                <w:rFonts w:hint="eastAsia" w:ascii="宋体" w:hAnsi="宋体"/>
                <w:bCs/>
                <w:snapToGrid w:val="0"/>
                <w:sz w:val="24"/>
              </w:rPr>
            </w:pPr>
            <w:r>
              <w:rPr>
                <w:rFonts w:hint="eastAsia" w:ascii="宋体" w:hAnsi="宋体"/>
                <w:bCs/>
                <w:snapToGrid w:val="0"/>
                <w:sz w:val="24"/>
              </w:rPr>
              <w:t>18</w:t>
            </w:r>
          </w:p>
        </w:tc>
        <w:tc>
          <w:tcPr>
            <w:tcW w:w="1987" w:type="dxa"/>
            <w:tcBorders>
              <w:top w:val="single" w:color="auto" w:sz="4" w:space="0"/>
              <w:left w:val="single" w:color="auto" w:sz="4" w:space="0"/>
              <w:bottom w:val="single" w:color="auto" w:sz="4" w:space="0"/>
              <w:right w:val="single" w:color="auto" w:sz="4" w:space="0"/>
            </w:tcBorders>
            <w:vAlign w:val="center"/>
          </w:tcPr>
          <w:p w14:paraId="55829E5F">
            <w:pPr>
              <w:jc w:val="center"/>
              <w:rPr>
                <w:rFonts w:hint="eastAsia" w:ascii="宋体" w:hAnsi="宋体"/>
                <w:bCs/>
                <w:snapToGrid w:val="0"/>
                <w:sz w:val="24"/>
              </w:rPr>
            </w:pPr>
            <w:r>
              <w:rPr>
                <w:rFonts w:hint="eastAsia" w:ascii="宋体" w:hAnsi="宋体"/>
                <w:bCs/>
                <w:snapToGrid w:val="0"/>
                <w:sz w:val="24"/>
              </w:rPr>
              <w:t>发布媒体</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F02857F">
            <w:pPr>
              <w:rPr>
                <w:rFonts w:hint="eastAsia" w:ascii="宋体" w:hAnsi="宋体"/>
                <w:bCs/>
                <w:sz w:val="24"/>
              </w:rPr>
            </w:pPr>
            <w:r>
              <w:rPr>
                <w:rFonts w:hint="eastAsia" w:ascii="宋体" w:hAnsi="宋体"/>
                <w:bCs/>
                <w:sz w:val="24"/>
              </w:rPr>
              <w:t>浙江政府采购网（</w:t>
            </w:r>
            <w:r>
              <w:fldChar w:fldCharType="begin"/>
            </w:r>
            <w:r>
              <w:instrText xml:space="preserve"> HYPERLINK "http://zfcg.czt.zj.gov.cn/" </w:instrText>
            </w:r>
            <w:r>
              <w:fldChar w:fldCharType="separate"/>
            </w:r>
            <w:r>
              <w:rPr>
                <w:rFonts w:ascii="宋体" w:hAnsi="宋体"/>
                <w:bCs/>
                <w:sz w:val="24"/>
              </w:rPr>
              <w:t>http://zfcg.czt.zj.gov.cn</w:t>
            </w:r>
            <w:r>
              <w:rPr>
                <w:rFonts w:hint="eastAsia" w:ascii="宋体" w:hAnsi="宋体"/>
                <w:bCs/>
                <w:sz w:val="24"/>
              </w:rPr>
              <w:t>/</w:t>
            </w:r>
            <w:r>
              <w:rPr>
                <w:rFonts w:hint="eastAsia" w:ascii="宋体" w:hAnsi="宋体"/>
                <w:bCs/>
                <w:sz w:val="24"/>
              </w:rPr>
              <w:fldChar w:fldCharType="end"/>
            </w:r>
            <w:r>
              <w:rPr>
                <w:rFonts w:hint="eastAsia" w:ascii="宋体" w:hAnsi="宋体"/>
                <w:bCs/>
                <w:sz w:val="24"/>
              </w:rPr>
              <w:t>）</w:t>
            </w:r>
            <w:r>
              <w:rPr>
                <w:rFonts w:hint="eastAsia" w:ascii="宋体" w:hAnsi="宋体"/>
                <w:bCs/>
                <w:kern w:val="0"/>
                <w:sz w:val="24"/>
              </w:rPr>
              <w:t>、丽水市公共资源交易网（http://lssggzy.lishui.gov.cn/lsweb/）</w:t>
            </w:r>
          </w:p>
        </w:tc>
      </w:tr>
      <w:tr w14:paraId="64297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B4B1834">
            <w:pPr>
              <w:rPr>
                <w:rFonts w:hint="eastAsia" w:ascii="宋体" w:hAnsi="宋体"/>
                <w:bCs/>
                <w:snapToGrid w:val="0"/>
                <w:sz w:val="24"/>
              </w:rPr>
            </w:pPr>
            <w:r>
              <w:rPr>
                <w:rFonts w:hint="eastAsia" w:ascii="宋体" w:hAnsi="宋体"/>
                <w:bCs/>
                <w:snapToGrid w:val="0"/>
                <w:sz w:val="24"/>
              </w:rPr>
              <w:t>19</w:t>
            </w:r>
          </w:p>
        </w:tc>
        <w:tc>
          <w:tcPr>
            <w:tcW w:w="1987" w:type="dxa"/>
            <w:tcBorders>
              <w:top w:val="single" w:color="auto" w:sz="4" w:space="0"/>
              <w:left w:val="single" w:color="auto" w:sz="4" w:space="0"/>
              <w:bottom w:val="single" w:color="auto" w:sz="4" w:space="0"/>
              <w:right w:val="single" w:color="auto" w:sz="4" w:space="0"/>
            </w:tcBorders>
            <w:vAlign w:val="center"/>
          </w:tcPr>
          <w:p w14:paraId="5AEC322B">
            <w:pPr>
              <w:jc w:val="center"/>
              <w:rPr>
                <w:rFonts w:hint="eastAsia" w:ascii="宋体" w:hAnsi="宋体"/>
                <w:bCs/>
                <w:snapToGrid w:val="0"/>
                <w:sz w:val="24"/>
              </w:rPr>
            </w:pPr>
            <w:r>
              <w:rPr>
                <w:rFonts w:hint="eastAsia" w:ascii="宋体" w:hAnsi="宋体"/>
                <w:bCs/>
                <w:snapToGrid w:val="0"/>
                <w:sz w:val="24"/>
              </w:rPr>
              <w:t>纸质响应文件</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24D8D10">
            <w:pPr>
              <w:rPr>
                <w:rFonts w:hint="eastAsia" w:ascii="宋体" w:hAnsi="宋体"/>
                <w:bCs/>
                <w:sz w:val="24"/>
              </w:rPr>
            </w:pPr>
            <w:r>
              <w:rPr>
                <w:rFonts w:hint="eastAsia" w:ascii="宋体" w:hAnsi="宋体"/>
                <w:sz w:val="24"/>
              </w:rPr>
              <w:t>成交供应商在领取成交通知书的同时，向采购代理机构递交纸质版响应文件：资格文件、商务技术文件、报价文件三部分各2份</w:t>
            </w:r>
          </w:p>
        </w:tc>
      </w:tr>
      <w:tr w14:paraId="335C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60C3015">
            <w:pPr>
              <w:rPr>
                <w:rFonts w:hint="eastAsia" w:ascii="宋体" w:hAnsi="宋体"/>
                <w:bCs/>
                <w:snapToGrid w:val="0"/>
                <w:sz w:val="24"/>
              </w:rPr>
            </w:pPr>
            <w:r>
              <w:rPr>
                <w:rFonts w:hint="eastAsia" w:ascii="宋体" w:hAnsi="宋体"/>
                <w:bCs/>
                <w:snapToGrid w:val="0"/>
                <w:sz w:val="24"/>
              </w:rPr>
              <w:t>20</w:t>
            </w:r>
          </w:p>
        </w:tc>
        <w:tc>
          <w:tcPr>
            <w:tcW w:w="1987" w:type="dxa"/>
            <w:tcBorders>
              <w:top w:val="single" w:color="auto" w:sz="4" w:space="0"/>
              <w:left w:val="single" w:color="auto" w:sz="4" w:space="0"/>
              <w:bottom w:val="single" w:color="auto" w:sz="4" w:space="0"/>
              <w:right w:val="single" w:color="auto" w:sz="4" w:space="0"/>
            </w:tcBorders>
            <w:vAlign w:val="center"/>
          </w:tcPr>
          <w:p w14:paraId="3C9D66C7">
            <w:pPr>
              <w:jc w:val="center"/>
              <w:rPr>
                <w:rFonts w:hint="eastAsia" w:ascii="宋体" w:hAnsi="宋体"/>
                <w:bCs/>
                <w:snapToGrid w:val="0"/>
                <w:sz w:val="24"/>
              </w:rPr>
            </w:pPr>
            <w:r>
              <w:rPr>
                <w:rFonts w:hint="eastAsia" w:ascii="宋体" w:hAnsi="宋体"/>
                <w:bCs/>
                <w:sz w:val="24"/>
              </w:rPr>
              <w:t>竞争性磋商文件</w:t>
            </w:r>
            <w:r>
              <w:rPr>
                <w:rFonts w:hint="eastAsia" w:ascii="宋体" w:hAnsi="宋体"/>
                <w:bCs/>
                <w:snapToGrid w:val="0"/>
                <w:sz w:val="24"/>
              </w:rPr>
              <w:t>解释</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D7CAF44">
            <w:pPr>
              <w:rPr>
                <w:rFonts w:hint="eastAsia" w:ascii="宋体" w:hAnsi="宋体"/>
                <w:bCs/>
                <w:sz w:val="24"/>
              </w:rPr>
            </w:pPr>
            <w:r>
              <w:rPr>
                <w:rFonts w:hint="eastAsia" w:ascii="宋体" w:hAnsi="宋体"/>
                <w:bCs/>
                <w:sz w:val="24"/>
              </w:rPr>
              <w:t>本项目竞争性磋商文件的解释权属于卓正招标咨询（丽水）有限公司</w:t>
            </w:r>
          </w:p>
        </w:tc>
      </w:tr>
      <w:tr w14:paraId="5FC6D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635" w:type="dxa"/>
            <w:tcBorders>
              <w:top w:val="single" w:color="auto" w:sz="4" w:space="0"/>
              <w:left w:val="double" w:color="auto" w:sz="4" w:space="0"/>
              <w:bottom w:val="double" w:color="auto" w:sz="4" w:space="0"/>
              <w:right w:val="single" w:color="auto" w:sz="4" w:space="0"/>
            </w:tcBorders>
            <w:vAlign w:val="center"/>
          </w:tcPr>
          <w:p w14:paraId="05A9D180">
            <w:pPr>
              <w:rPr>
                <w:rFonts w:hint="eastAsia" w:ascii="宋体" w:hAnsi="宋体"/>
                <w:b/>
                <w:bCs/>
                <w:snapToGrid w:val="0"/>
                <w:sz w:val="24"/>
              </w:rPr>
            </w:pPr>
            <w:r>
              <w:rPr>
                <w:rFonts w:hint="eastAsia" w:ascii="宋体" w:hAnsi="宋体"/>
                <w:b/>
                <w:bCs/>
                <w:snapToGrid w:val="0"/>
                <w:sz w:val="24"/>
              </w:rPr>
              <w:t>21</w:t>
            </w:r>
          </w:p>
        </w:tc>
        <w:tc>
          <w:tcPr>
            <w:tcW w:w="1987" w:type="dxa"/>
            <w:tcBorders>
              <w:top w:val="single" w:color="auto" w:sz="4" w:space="0"/>
              <w:left w:val="single" w:color="auto" w:sz="4" w:space="0"/>
              <w:bottom w:val="double" w:color="auto" w:sz="4" w:space="0"/>
              <w:right w:val="single" w:color="auto" w:sz="4" w:space="0"/>
            </w:tcBorders>
            <w:vAlign w:val="center"/>
          </w:tcPr>
          <w:p w14:paraId="5ED6E0BB">
            <w:pPr>
              <w:jc w:val="center"/>
              <w:rPr>
                <w:rFonts w:hint="eastAsia" w:ascii="宋体" w:hAnsi="宋体"/>
                <w:b/>
                <w:bCs/>
                <w:sz w:val="24"/>
              </w:rPr>
            </w:pPr>
            <w:r>
              <w:rPr>
                <w:rFonts w:hint="eastAsia" w:ascii="宋体" w:hAnsi="宋体"/>
                <w:b/>
                <w:bCs/>
                <w:sz w:val="24"/>
              </w:rPr>
              <w:t>供应商解密硬件准备</w:t>
            </w:r>
          </w:p>
        </w:tc>
        <w:tc>
          <w:tcPr>
            <w:tcW w:w="7643" w:type="dxa"/>
            <w:gridSpan w:val="3"/>
            <w:tcBorders>
              <w:top w:val="single" w:color="auto" w:sz="4" w:space="0"/>
              <w:left w:val="single" w:color="auto" w:sz="4" w:space="0"/>
              <w:bottom w:val="double" w:color="auto" w:sz="4" w:space="0"/>
              <w:right w:val="double" w:color="auto" w:sz="4" w:space="0"/>
            </w:tcBorders>
            <w:vAlign w:val="center"/>
          </w:tcPr>
          <w:p w14:paraId="74785FD7">
            <w:pPr>
              <w:rPr>
                <w:rFonts w:hint="eastAsia" w:ascii="宋体" w:hAnsi="宋体"/>
                <w:b/>
                <w:bCs/>
                <w:sz w:val="24"/>
              </w:rPr>
            </w:pPr>
            <w:r>
              <w:rPr>
                <w:rFonts w:hint="eastAsia" w:ascii="宋体" w:hAnsi="宋体"/>
                <w:b/>
                <w:bCs/>
                <w:sz w:val="24"/>
              </w:rPr>
              <w:t>1.电脑、网络（供电子响应文件解密和澄清答疑使用）；</w:t>
            </w:r>
          </w:p>
          <w:p w14:paraId="4901A940">
            <w:pPr>
              <w:rPr>
                <w:rFonts w:hint="eastAsia" w:ascii="宋体" w:hAnsi="宋体"/>
                <w:b/>
                <w:bCs/>
                <w:sz w:val="24"/>
              </w:rPr>
            </w:pPr>
            <w:r>
              <w:rPr>
                <w:rFonts w:hint="eastAsia" w:ascii="宋体" w:hAnsi="宋体"/>
                <w:b/>
                <w:bCs/>
                <w:sz w:val="24"/>
              </w:rPr>
              <w:t>2.电子响应文件解密CA锁(即原编制电子响应文件加密的CA锁)。</w:t>
            </w:r>
          </w:p>
        </w:tc>
      </w:tr>
      <w:bookmarkEnd w:id="143"/>
      <w:bookmarkEnd w:id="144"/>
    </w:tbl>
    <w:p w14:paraId="6A2700FE">
      <w:pPr>
        <w:pStyle w:val="4"/>
        <w:ind w:firstLine="0" w:firstLineChars="0"/>
        <w:rPr>
          <w:rFonts w:hint="eastAsia" w:ascii="宋体" w:hAnsi="宋体"/>
        </w:rPr>
      </w:pPr>
      <w:bookmarkStart w:id="145" w:name="_Toc390938575"/>
      <w:bookmarkStart w:id="146" w:name="_Toc94277240"/>
      <w:bookmarkStart w:id="147" w:name="_Toc24641"/>
      <w:bookmarkStart w:id="148" w:name="_Toc22616"/>
      <w:bookmarkStart w:id="149" w:name="_Toc13678"/>
      <w:bookmarkStart w:id="150" w:name="_Toc10824"/>
      <w:bookmarkStart w:id="151" w:name="_Toc5453"/>
      <w:r>
        <w:rPr>
          <w:rFonts w:hint="eastAsia" w:ascii="宋体" w:hAnsi="宋体"/>
        </w:rPr>
        <w:t xml:space="preserve">一   </w:t>
      </w:r>
      <w:bookmarkEnd w:id="145"/>
      <w:r>
        <w:rPr>
          <w:rFonts w:hint="eastAsia" w:ascii="宋体" w:hAnsi="宋体"/>
        </w:rPr>
        <w:t>总则</w:t>
      </w:r>
      <w:bookmarkEnd w:id="146"/>
      <w:bookmarkEnd w:id="147"/>
      <w:bookmarkEnd w:id="148"/>
      <w:bookmarkEnd w:id="149"/>
      <w:bookmarkEnd w:id="150"/>
      <w:bookmarkEnd w:id="151"/>
    </w:p>
    <w:p w14:paraId="755DEF0E">
      <w:pPr>
        <w:spacing w:line="360" w:lineRule="auto"/>
        <w:ind w:firstLine="482" w:firstLineChars="200"/>
        <w:rPr>
          <w:rFonts w:hint="eastAsia" w:ascii="宋体" w:hAnsi="宋体"/>
          <w:b/>
          <w:sz w:val="24"/>
        </w:rPr>
      </w:pPr>
      <w:r>
        <w:rPr>
          <w:rFonts w:ascii="宋体" w:hAnsi="宋体"/>
          <w:b/>
          <w:sz w:val="24"/>
        </w:rPr>
        <w:t xml:space="preserve">1. </w:t>
      </w:r>
      <w:r>
        <w:rPr>
          <w:rFonts w:hint="eastAsia" w:ascii="宋体" w:hAnsi="宋体"/>
          <w:b/>
          <w:sz w:val="24"/>
        </w:rPr>
        <w:t>适用范围</w:t>
      </w:r>
    </w:p>
    <w:p w14:paraId="2FA8E3A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磋商文件适用于本次所述项目的采购行为（法律、法规另有规定的，从其规定）。</w:t>
      </w:r>
    </w:p>
    <w:p w14:paraId="7D33136C">
      <w:pPr>
        <w:spacing w:line="360" w:lineRule="auto"/>
        <w:ind w:firstLine="482" w:firstLineChars="200"/>
        <w:rPr>
          <w:rFonts w:hint="eastAsia" w:ascii="宋体" w:hAnsi="宋体"/>
          <w:b/>
          <w:sz w:val="24"/>
        </w:rPr>
      </w:pPr>
      <w:r>
        <w:rPr>
          <w:rFonts w:ascii="宋体" w:hAnsi="宋体"/>
          <w:b/>
          <w:sz w:val="24"/>
        </w:rPr>
        <w:t xml:space="preserve">2. </w:t>
      </w:r>
      <w:r>
        <w:rPr>
          <w:rFonts w:hint="eastAsia" w:ascii="宋体" w:hAnsi="宋体"/>
          <w:b/>
          <w:sz w:val="24"/>
        </w:rPr>
        <w:t>定义</w:t>
      </w:r>
    </w:p>
    <w:p w14:paraId="2B7D238D">
      <w:pPr>
        <w:spacing w:line="360" w:lineRule="auto"/>
        <w:ind w:firstLine="480" w:firstLineChars="200"/>
        <w:rPr>
          <w:rFonts w:hint="eastAsia" w:ascii="宋体" w:hAnsi="宋体"/>
          <w:sz w:val="24"/>
        </w:rPr>
      </w:pPr>
      <w:r>
        <w:rPr>
          <w:rFonts w:ascii="宋体" w:hAnsi="宋体"/>
          <w:sz w:val="24"/>
        </w:rPr>
        <w:t xml:space="preserve">2. 1 </w:t>
      </w:r>
      <w:r>
        <w:rPr>
          <w:rFonts w:hint="eastAsia" w:ascii="宋体" w:hAnsi="宋体"/>
          <w:sz w:val="24"/>
        </w:rPr>
        <w:t>“采购人”系指</w:t>
      </w:r>
      <w:r>
        <w:rPr>
          <w:rFonts w:hint="eastAsia" w:hAnsi="宋体"/>
          <w:sz w:val="24"/>
          <w:lang w:eastAsia="zh-CN"/>
        </w:rPr>
        <w:t>丽水市体育发展服务中心</w:t>
      </w:r>
      <w:r>
        <w:rPr>
          <w:rFonts w:hint="eastAsia" w:ascii="宋体" w:hAnsi="宋体"/>
          <w:sz w:val="24"/>
        </w:rPr>
        <w:t>。</w:t>
      </w:r>
    </w:p>
    <w:p w14:paraId="7AC9A1E0">
      <w:pPr>
        <w:spacing w:line="360" w:lineRule="auto"/>
        <w:ind w:firstLine="480" w:firstLineChars="200"/>
        <w:rPr>
          <w:rFonts w:hint="eastAsia" w:ascii="宋体" w:hAnsi="宋体"/>
          <w:sz w:val="24"/>
        </w:rPr>
      </w:pPr>
      <w:r>
        <w:rPr>
          <w:rFonts w:hint="eastAsia" w:ascii="宋体" w:hAnsi="宋体"/>
          <w:sz w:val="24"/>
        </w:rPr>
        <w:t>2.2</w:t>
      </w:r>
      <w:r>
        <w:rPr>
          <w:rFonts w:ascii="宋体" w:hAnsi="宋体"/>
          <w:sz w:val="24"/>
        </w:rPr>
        <w:t xml:space="preserve"> </w:t>
      </w:r>
      <w:r>
        <w:rPr>
          <w:rFonts w:hint="eastAsia" w:ascii="宋体" w:hAnsi="宋体"/>
          <w:sz w:val="24"/>
        </w:rPr>
        <w:t>“采购代理机构”系指卓正招标咨询（丽水）有限公司 。</w:t>
      </w:r>
    </w:p>
    <w:p w14:paraId="2453FD6C">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 xml:space="preserve"> </w:t>
      </w:r>
      <w:r>
        <w:rPr>
          <w:rFonts w:hint="eastAsia" w:ascii="宋体" w:hAnsi="宋体"/>
          <w:sz w:val="24"/>
        </w:rPr>
        <w:t>“供应商”系指符合本项目资格要求，依法获取竞争性磋商文件并参与项目磋商的供应商。“供应商代表”系指响应文件中的负责人或其授权的委托代理人。</w:t>
      </w:r>
    </w:p>
    <w:p w14:paraId="452DD334">
      <w:pPr>
        <w:spacing w:line="360" w:lineRule="auto"/>
        <w:ind w:firstLine="480" w:firstLineChars="200"/>
        <w:rPr>
          <w:rFonts w:hint="eastAsia" w:ascii="宋体" w:hAnsi="宋体"/>
          <w:sz w:val="24"/>
        </w:rPr>
      </w:pPr>
      <w:r>
        <w:rPr>
          <w:rFonts w:hint="eastAsia" w:ascii="宋体" w:hAnsi="宋体"/>
          <w:sz w:val="24"/>
        </w:rPr>
        <w:t>2.4</w:t>
      </w:r>
      <w:r>
        <w:rPr>
          <w:rFonts w:ascii="宋体" w:hAnsi="宋体"/>
          <w:sz w:val="24"/>
        </w:rPr>
        <w:t xml:space="preserve"> </w:t>
      </w:r>
      <w:r>
        <w:rPr>
          <w:rFonts w:hint="eastAsia" w:ascii="宋体" w:hAnsi="宋体"/>
          <w:sz w:val="24"/>
        </w:rPr>
        <w:t>“负责人”系指法人企业的法定代表人，或其他组织为</w:t>
      </w:r>
      <w:r>
        <w:rPr>
          <w:rFonts w:ascii="宋体" w:hAnsi="宋体"/>
          <w:sz w:val="24"/>
        </w:rPr>
        <w:t>法律、行政法规规定代表单位行使职权的主要负责人</w:t>
      </w:r>
      <w:r>
        <w:rPr>
          <w:rFonts w:hint="eastAsia" w:ascii="宋体" w:hAnsi="宋体"/>
          <w:sz w:val="24"/>
        </w:rPr>
        <w:t>。</w:t>
      </w:r>
    </w:p>
    <w:p w14:paraId="0A0C49DC">
      <w:pPr>
        <w:spacing w:line="360" w:lineRule="auto"/>
        <w:ind w:firstLine="480" w:firstLineChars="200"/>
        <w:rPr>
          <w:rFonts w:hint="eastAsia" w:ascii="宋体" w:hAnsi="宋体"/>
          <w:sz w:val="24"/>
        </w:rPr>
      </w:pPr>
      <w:r>
        <w:rPr>
          <w:rFonts w:hint="eastAsia" w:ascii="宋体" w:hAnsi="宋体"/>
          <w:sz w:val="24"/>
        </w:rPr>
        <w:t>2.5“联合体”系指两个以上供应商组成联合体，以一个供应商的身份参加投标。</w:t>
      </w:r>
    </w:p>
    <w:p w14:paraId="147A39D7">
      <w:pPr>
        <w:spacing w:line="360" w:lineRule="auto"/>
        <w:ind w:firstLine="480" w:firstLineChars="200"/>
        <w:rPr>
          <w:rFonts w:hint="eastAsia" w:ascii="宋体" w:hAnsi="宋体"/>
          <w:sz w:val="24"/>
        </w:rPr>
      </w:pPr>
      <w:r>
        <w:rPr>
          <w:rFonts w:hint="eastAsia" w:ascii="宋体" w:hAnsi="宋体"/>
          <w:sz w:val="24"/>
        </w:rPr>
        <w:t>2.6“中小企业（含中型、小型、微型）”系指符合国家统计局关于印发《统计上大中小微型企业划分办法（2017）》的通知的企业。</w:t>
      </w:r>
    </w:p>
    <w:p w14:paraId="3009BA6F">
      <w:pPr>
        <w:spacing w:line="360" w:lineRule="auto"/>
        <w:ind w:firstLine="480" w:firstLineChars="200"/>
        <w:rPr>
          <w:rFonts w:hint="eastAsia" w:ascii="宋体" w:hAnsi="宋体"/>
          <w:sz w:val="24"/>
        </w:rPr>
      </w:pPr>
      <w:r>
        <w:rPr>
          <w:rFonts w:hint="eastAsia" w:ascii="宋体" w:hAnsi="宋体"/>
          <w:sz w:val="24"/>
        </w:rPr>
        <w:t>2. 7 “监狱企业” 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41F930">
      <w:pPr>
        <w:spacing w:line="360" w:lineRule="auto"/>
        <w:ind w:firstLine="480" w:firstLineChars="200"/>
        <w:rPr>
          <w:rFonts w:hint="eastAsia" w:ascii="宋体" w:hAnsi="宋体"/>
          <w:sz w:val="24"/>
        </w:rPr>
      </w:pPr>
      <w:r>
        <w:rPr>
          <w:rFonts w:hint="eastAsia" w:ascii="宋体" w:hAnsi="宋体"/>
          <w:sz w:val="24"/>
        </w:rPr>
        <w:t>2. 8“残疾人福利性单位” 系指符合《财政部 民政部 中国残疾人联合会关于促进残疾人就业政府采购政策的通知》（财库〔2017〕141 号）的规定单位。</w:t>
      </w:r>
    </w:p>
    <w:p w14:paraId="7E015723">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“合同”系指采购人与成交人双方签署的规定双方权利与义务的协议，以及所有附件、附录、磋商文件和响应文件所提到的构成合同的所有文件。</w:t>
      </w:r>
    </w:p>
    <w:p w14:paraId="1478DC78">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10</w:t>
      </w:r>
      <w:r>
        <w:rPr>
          <w:rFonts w:ascii="宋体" w:hAnsi="宋体"/>
          <w:sz w:val="24"/>
        </w:rPr>
        <w:t xml:space="preserve"> </w:t>
      </w:r>
      <w:r>
        <w:rPr>
          <w:rFonts w:hint="eastAsia" w:ascii="宋体" w:hAnsi="宋体"/>
          <w:sz w:val="24"/>
        </w:rPr>
        <w:t>“产品”系指供应商按磋商文件规定，须向采购人提供的一切产品（包括：虚拟产品），以及产品相关的保险、税金、备品备件、附件、耗材、工具、手册及其它有关技术资料和材料等。</w:t>
      </w:r>
    </w:p>
    <w:p w14:paraId="7BAEA81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11</w:t>
      </w:r>
      <w:r>
        <w:rPr>
          <w:rFonts w:ascii="宋体" w:hAnsi="宋体"/>
          <w:sz w:val="24"/>
        </w:rPr>
        <w:t xml:space="preserve"> </w:t>
      </w:r>
      <w:r>
        <w:rPr>
          <w:rFonts w:hint="eastAsia" w:ascii="宋体" w:hAnsi="宋体"/>
          <w:sz w:val="24"/>
        </w:rPr>
        <w:t>“服务”系指供应商按磋商文件规定应承担的送货上门、安装、调试、技术协助、校准、培训、技术指导以及其他类似的附随义务。</w:t>
      </w:r>
    </w:p>
    <w:p w14:paraId="7673FCB5">
      <w:pPr>
        <w:spacing w:line="360" w:lineRule="auto"/>
        <w:ind w:firstLine="480" w:firstLineChars="200"/>
        <w:rPr>
          <w:rFonts w:hint="eastAsia" w:ascii="宋体" w:hAnsi="宋体"/>
          <w:sz w:val="24"/>
        </w:rPr>
      </w:pPr>
      <w:r>
        <w:rPr>
          <w:rFonts w:hint="eastAsia" w:ascii="宋体" w:hAnsi="宋体"/>
          <w:sz w:val="24"/>
        </w:rPr>
        <w:t>2.12 “重大偏离”或“保留” 系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AB290FB">
      <w:pPr>
        <w:spacing w:line="360" w:lineRule="auto"/>
        <w:ind w:firstLine="480" w:firstLineChars="200"/>
        <w:rPr>
          <w:rFonts w:hint="eastAsia" w:ascii="宋体" w:hAnsi="宋体"/>
          <w:sz w:val="24"/>
        </w:rPr>
      </w:pPr>
      <w:r>
        <w:rPr>
          <w:rFonts w:hint="eastAsia" w:ascii="宋体" w:hAnsi="宋体"/>
          <w:sz w:val="24"/>
        </w:rPr>
        <w:t>2.13“细微偏离” 系指投标文件对采购文件的非实质性内容存在不完全响应或不响</w:t>
      </w:r>
      <w:r>
        <w:rPr>
          <w:rFonts w:ascii="宋体" w:hAnsi="宋体"/>
          <w:sz w:val="24"/>
        </w:rPr>
        <w:t>应。</w:t>
      </w:r>
    </w:p>
    <w:p w14:paraId="0F70D650">
      <w:pPr>
        <w:spacing w:line="360" w:lineRule="auto"/>
        <w:ind w:firstLine="480" w:firstLineChars="200"/>
        <w:rPr>
          <w:rFonts w:hint="eastAsia" w:ascii="宋体" w:hAnsi="宋体"/>
          <w:sz w:val="24"/>
          <w:highlight w:val="yellow"/>
        </w:rPr>
      </w:pPr>
      <w:r>
        <w:rPr>
          <w:rFonts w:hint="eastAsia" w:ascii="宋体" w:hAnsi="宋体"/>
          <w:sz w:val="24"/>
        </w:rPr>
        <w:t>2.14 “▲” 系指实质性要求条款。供应商投标时应对所有“实质性条款（或要求）”作出实质性响应，且不得出现负偏离，否则磋商无效。</w:t>
      </w:r>
    </w:p>
    <w:p w14:paraId="76DA6877">
      <w:pPr>
        <w:spacing w:line="360" w:lineRule="auto"/>
        <w:ind w:firstLine="480" w:firstLineChars="200"/>
        <w:rPr>
          <w:rFonts w:hint="eastAsia" w:ascii="宋体" w:hAnsi="宋体"/>
          <w:b/>
          <w:bCs/>
          <w:sz w:val="24"/>
        </w:rPr>
      </w:pPr>
      <w:r>
        <w:rPr>
          <w:rFonts w:hint="eastAsia" w:ascii="宋体" w:hAnsi="宋体"/>
          <w:bCs/>
          <w:sz w:val="24"/>
        </w:rPr>
        <w:t>2.15  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p>
    <w:p w14:paraId="33E6A048">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供应商基本要求</w:t>
      </w:r>
    </w:p>
    <w:p w14:paraId="319FB828">
      <w:pPr>
        <w:spacing w:line="360" w:lineRule="auto"/>
        <w:ind w:firstLine="480" w:firstLineChars="200"/>
        <w:rPr>
          <w:rFonts w:hint="eastAsia" w:ascii="宋体" w:hAnsi="宋体"/>
          <w:sz w:val="24"/>
        </w:rPr>
      </w:pPr>
      <w:r>
        <w:rPr>
          <w:rFonts w:ascii="宋体" w:hAnsi="宋体"/>
          <w:sz w:val="24"/>
        </w:rPr>
        <w:t xml:space="preserve">3.1 </w:t>
      </w:r>
      <w:r>
        <w:rPr>
          <w:rFonts w:hint="eastAsia" w:ascii="宋体" w:hAnsi="宋体"/>
          <w:sz w:val="24"/>
        </w:rPr>
        <w:t>符合本文件第一章 采购公告第“二”条的规定；</w:t>
      </w:r>
    </w:p>
    <w:p w14:paraId="5768B3BE">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供应商应遵守有关的法律、法规和规章条例。</w:t>
      </w:r>
    </w:p>
    <w:p w14:paraId="66C4585D">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14:paraId="157EC78C">
      <w:pPr>
        <w:spacing w:line="360" w:lineRule="auto"/>
        <w:ind w:firstLine="480" w:firstLineChars="200"/>
        <w:rPr>
          <w:rFonts w:hint="eastAsia" w:ascii="宋体" w:hAnsi="宋体"/>
          <w:sz w:val="24"/>
        </w:rPr>
      </w:pPr>
      <w:r>
        <w:rPr>
          <w:rFonts w:ascii="宋体" w:hAnsi="宋体"/>
          <w:sz w:val="24"/>
        </w:rPr>
        <w:t>本项目</w:t>
      </w:r>
      <w:r>
        <w:rPr>
          <w:rFonts w:hint="eastAsia" w:ascii="宋体" w:hAnsi="宋体"/>
          <w:sz w:val="24"/>
        </w:rPr>
        <w:t>不</w:t>
      </w:r>
      <w:r>
        <w:rPr>
          <w:rFonts w:ascii="宋体" w:hAnsi="宋体"/>
          <w:sz w:val="24"/>
        </w:rPr>
        <w:t>接受联合体</w:t>
      </w:r>
      <w:r>
        <w:rPr>
          <w:rFonts w:hint="eastAsia" w:ascii="宋体" w:hAnsi="宋体"/>
          <w:sz w:val="24"/>
        </w:rPr>
        <w:t>参加磋商</w:t>
      </w:r>
      <w:r>
        <w:rPr>
          <w:rFonts w:ascii="宋体" w:hAnsi="宋体"/>
          <w:sz w:val="24"/>
        </w:rPr>
        <w:t>。</w:t>
      </w:r>
    </w:p>
    <w:p w14:paraId="3BB9FE95">
      <w:pPr>
        <w:spacing w:line="360" w:lineRule="auto"/>
        <w:ind w:firstLine="482" w:firstLineChars="200"/>
        <w:rPr>
          <w:rFonts w:hint="eastAsia"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特别说明</w:t>
      </w:r>
    </w:p>
    <w:p w14:paraId="696860DC">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5.1</w:t>
      </w:r>
      <w:r>
        <w:rPr>
          <w:rFonts w:ascii="宋体" w:hAnsi="宋体"/>
          <w:bCs/>
          <w:sz w:val="24"/>
        </w:rPr>
        <w:t>单位</w:t>
      </w:r>
      <w:r>
        <w:rPr>
          <w:rFonts w:ascii="宋体" w:hAnsi="宋体" w:cs="宋体"/>
          <w:kern w:val="0"/>
          <w:sz w:val="24"/>
        </w:rPr>
        <w:t>负责人为同一人或者存在直接控股、管理关系的不同供应商，不得参加同一合同项下的政府采购活动。</w:t>
      </w:r>
    </w:p>
    <w:p w14:paraId="6458C3BE">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为采购项目提供整体设计、规范编制或者项目管理、监理、检测等服务的供应商，不得再参加该采购项目的其他采购活动。</w:t>
      </w:r>
    </w:p>
    <w:p w14:paraId="3C5A3879">
      <w:pPr>
        <w:spacing w:line="360" w:lineRule="auto"/>
        <w:ind w:firstLine="480" w:firstLineChars="200"/>
        <w:rPr>
          <w:rFonts w:hint="eastAsia" w:ascii="宋体" w:hAnsi="宋体"/>
          <w:bCs/>
          <w:sz w:val="24"/>
        </w:rPr>
      </w:pPr>
      <w:r>
        <w:rPr>
          <w:rFonts w:hint="eastAsia" w:ascii="宋体" w:hAnsi="宋体"/>
          <w:bCs/>
          <w:sz w:val="24"/>
        </w:rPr>
        <w:t>▲5.3 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上述单位参加本项目投标并由单位负责人签署的相关投标资料与本采购文件规定由法定代表人签署的文件材料具有同等效力。</w:t>
      </w:r>
    </w:p>
    <w:p w14:paraId="6C355BBC">
      <w:pPr>
        <w:spacing w:line="360" w:lineRule="auto"/>
        <w:ind w:firstLine="480" w:firstLineChars="200"/>
        <w:rPr>
          <w:rFonts w:hint="eastAsia" w:ascii="宋体" w:hAnsi="宋体"/>
          <w:bCs/>
          <w:sz w:val="24"/>
        </w:rPr>
      </w:pPr>
      <w:r>
        <w:rPr>
          <w:rFonts w:hint="eastAsia" w:ascii="宋体" w:hAnsi="宋体"/>
          <w:bCs/>
          <w:sz w:val="24"/>
        </w:rPr>
        <w:t>▲5.4公益一类事业单位不属于政府购买服务的承接主体，不得参与承接购买服务。</w:t>
      </w:r>
    </w:p>
    <w:p w14:paraId="560D3D12">
      <w:pPr>
        <w:spacing w:line="360" w:lineRule="auto"/>
        <w:ind w:firstLine="480" w:firstLineChars="200"/>
        <w:rPr>
          <w:rFonts w:hint="eastAsia" w:ascii="宋体" w:hAnsi="宋体"/>
          <w:bCs/>
          <w:sz w:val="24"/>
        </w:rPr>
      </w:pPr>
      <w:r>
        <w:rPr>
          <w:rFonts w:hint="eastAsia" w:ascii="宋体" w:hAnsi="宋体"/>
          <w:bCs/>
          <w:sz w:val="24"/>
        </w:rPr>
        <w:t>5.5供应商自行承担所有与磋商有关的全部费用。</w:t>
      </w:r>
    </w:p>
    <w:p w14:paraId="54ECCC74">
      <w:pPr>
        <w:spacing w:line="360" w:lineRule="auto"/>
        <w:ind w:firstLine="480" w:firstLineChars="200"/>
        <w:rPr>
          <w:rFonts w:hint="eastAsia" w:ascii="宋体" w:hAnsi="宋体"/>
          <w:bCs/>
          <w:sz w:val="24"/>
        </w:rPr>
      </w:pPr>
      <w:r>
        <w:rPr>
          <w:rFonts w:hint="eastAsia" w:ascii="宋体" w:hAnsi="宋体"/>
          <w:bCs/>
          <w:sz w:val="24"/>
        </w:rPr>
        <w:t>5.6参与招投标活动的各方应对采购文件和投标文件中的商业和技术等秘密保密，违者应对此造成的后果承担法律责任。</w:t>
      </w:r>
    </w:p>
    <w:p w14:paraId="1B6C7415">
      <w:pPr>
        <w:pStyle w:val="4"/>
        <w:ind w:firstLine="517" w:firstLineChars="161"/>
        <w:rPr>
          <w:rFonts w:hint="eastAsia" w:ascii="宋体" w:hAnsi="宋体"/>
          <w:sz w:val="32"/>
        </w:rPr>
      </w:pPr>
      <w:bookmarkStart w:id="152" w:name="_Toc94277241"/>
      <w:bookmarkStart w:id="153" w:name="_Toc495479093"/>
      <w:bookmarkStart w:id="154" w:name="_Toc29205"/>
      <w:bookmarkStart w:id="155" w:name="_Toc15452"/>
      <w:bookmarkStart w:id="156" w:name="_Toc390938576"/>
      <w:bookmarkStart w:id="157" w:name="_Toc18727"/>
      <w:bookmarkStart w:id="158" w:name="_Toc5005"/>
      <w:bookmarkStart w:id="159" w:name="_Toc11962"/>
      <w:r>
        <w:rPr>
          <w:rFonts w:hint="eastAsia" w:ascii="宋体" w:hAnsi="宋体"/>
          <w:sz w:val="32"/>
        </w:rPr>
        <w:t>二</w:t>
      </w:r>
      <w:r>
        <w:rPr>
          <w:rFonts w:ascii="宋体" w:hAnsi="宋体"/>
          <w:sz w:val="32"/>
        </w:rPr>
        <w:t xml:space="preserve">  </w:t>
      </w:r>
      <w:r>
        <w:rPr>
          <w:rFonts w:hint="eastAsia" w:ascii="宋体" w:hAnsi="宋体"/>
          <w:sz w:val="32"/>
        </w:rPr>
        <w:t xml:space="preserve"> 磋商文件说明</w:t>
      </w:r>
      <w:bookmarkEnd w:id="152"/>
      <w:bookmarkEnd w:id="153"/>
      <w:bookmarkEnd w:id="154"/>
      <w:bookmarkEnd w:id="155"/>
      <w:bookmarkEnd w:id="156"/>
      <w:bookmarkEnd w:id="157"/>
      <w:bookmarkEnd w:id="158"/>
      <w:bookmarkEnd w:id="159"/>
    </w:p>
    <w:p w14:paraId="2AADF95C">
      <w:pPr>
        <w:spacing w:line="360" w:lineRule="auto"/>
        <w:ind w:firstLine="482" w:firstLineChars="200"/>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sz w:val="24"/>
        </w:rPr>
        <w:t xml:space="preserve"> </w:t>
      </w:r>
      <w:r>
        <w:rPr>
          <w:rFonts w:hint="eastAsia" w:ascii="宋体" w:hAnsi="宋体"/>
          <w:b/>
          <w:sz w:val="24"/>
        </w:rPr>
        <w:t>磋商文件的构成</w:t>
      </w:r>
    </w:p>
    <w:p w14:paraId="6F440CF2">
      <w:pPr>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.1</w:t>
      </w:r>
      <w:r>
        <w:rPr>
          <w:rFonts w:hint="eastAsia" w:ascii="宋体" w:hAnsi="宋体"/>
          <w:sz w:val="24"/>
        </w:rPr>
        <w:t>磋商文件用以阐明所需货物及服务、磋商、磋商程序和合同条款等。本磋商文件由下述部分组成：</w:t>
      </w:r>
    </w:p>
    <w:p w14:paraId="20B1878B">
      <w:pPr>
        <w:tabs>
          <w:tab w:val="left" w:pos="6585"/>
        </w:tabs>
        <w:spacing w:line="360" w:lineRule="auto"/>
        <w:ind w:firstLine="480" w:firstLineChars="200"/>
        <w:rPr>
          <w:rFonts w:hint="eastAsia" w:ascii="宋体" w:hAnsi="宋体"/>
          <w:sz w:val="24"/>
        </w:rPr>
      </w:pPr>
      <w:r>
        <w:rPr>
          <w:rFonts w:hint="eastAsia" w:ascii="宋体" w:hAnsi="宋体"/>
          <w:sz w:val="24"/>
        </w:rPr>
        <w:t>6.1.1竞争性</w:t>
      </w:r>
      <w:r>
        <w:rPr>
          <w:rFonts w:ascii="宋体" w:hAnsi="宋体"/>
          <w:sz w:val="24"/>
        </w:rPr>
        <w:t>磋商</w:t>
      </w:r>
      <w:r>
        <w:rPr>
          <w:rFonts w:hint="eastAsia" w:ascii="宋体" w:hAnsi="宋体"/>
          <w:sz w:val="24"/>
        </w:rPr>
        <w:t>公告</w:t>
      </w:r>
    </w:p>
    <w:p w14:paraId="55A99B10">
      <w:pPr>
        <w:spacing w:line="360" w:lineRule="auto"/>
        <w:ind w:firstLine="480" w:firstLineChars="200"/>
        <w:rPr>
          <w:rFonts w:hint="eastAsia" w:ascii="宋体" w:hAnsi="宋体"/>
          <w:sz w:val="24"/>
        </w:rPr>
      </w:pPr>
      <w:r>
        <w:rPr>
          <w:rFonts w:hint="eastAsia" w:ascii="宋体" w:hAnsi="宋体"/>
          <w:sz w:val="24"/>
        </w:rPr>
        <w:t>6.1.2供应商须知</w:t>
      </w:r>
    </w:p>
    <w:p w14:paraId="66AE9E29">
      <w:pPr>
        <w:spacing w:line="360" w:lineRule="auto"/>
        <w:ind w:firstLine="480" w:firstLineChars="200"/>
        <w:rPr>
          <w:rFonts w:hint="eastAsia" w:ascii="宋体" w:hAnsi="宋体"/>
          <w:sz w:val="24"/>
        </w:rPr>
      </w:pPr>
      <w:r>
        <w:rPr>
          <w:rFonts w:hint="eastAsia" w:ascii="宋体" w:hAnsi="宋体"/>
          <w:sz w:val="24"/>
        </w:rPr>
        <w:t>6.1.3采购需求</w:t>
      </w:r>
    </w:p>
    <w:p w14:paraId="53F67392">
      <w:pPr>
        <w:spacing w:line="360" w:lineRule="auto"/>
        <w:ind w:firstLine="480" w:firstLineChars="200"/>
        <w:rPr>
          <w:rFonts w:hint="eastAsia" w:ascii="宋体" w:hAnsi="宋体"/>
          <w:sz w:val="24"/>
        </w:rPr>
      </w:pPr>
      <w:r>
        <w:rPr>
          <w:rFonts w:hint="eastAsia" w:ascii="宋体" w:hAnsi="宋体"/>
          <w:sz w:val="24"/>
        </w:rPr>
        <w:t>6.1.4政府采购合同</w:t>
      </w:r>
    </w:p>
    <w:p w14:paraId="30BC785D">
      <w:pPr>
        <w:spacing w:line="360" w:lineRule="auto"/>
        <w:ind w:firstLine="480" w:firstLineChars="200"/>
        <w:rPr>
          <w:rFonts w:hint="eastAsia" w:ascii="宋体" w:hAnsi="宋体"/>
          <w:sz w:val="24"/>
        </w:rPr>
      </w:pPr>
      <w:r>
        <w:rPr>
          <w:rFonts w:hint="eastAsia" w:ascii="宋体" w:hAnsi="宋体"/>
          <w:sz w:val="24"/>
        </w:rPr>
        <w:t>6.1.5磋商相关文件格式</w:t>
      </w:r>
    </w:p>
    <w:p w14:paraId="496256D6">
      <w:pPr>
        <w:spacing w:line="360" w:lineRule="auto"/>
        <w:ind w:firstLine="480" w:firstLineChars="200"/>
        <w:rPr>
          <w:rFonts w:hint="eastAsia" w:ascii="宋体" w:hAnsi="宋体"/>
          <w:sz w:val="24"/>
        </w:rPr>
      </w:pPr>
      <w:r>
        <w:rPr>
          <w:rFonts w:hint="eastAsia" w:ascii="宋体" w:hAnsi="宋体"/>
          <w:sz w:val="24"/>
        </w:rPr>
        <w:t>6.1.6磋商办法和细则</w:t>
      </w:r>
    </w:p>
    <w:p w14:paraId="5CAA1B6B">
      <w:pPr>
        <w:spacing w:line="360" w:lineRule="auto"/>
        <w:ind w:firstLine="480" w:firstLineChars="200"/>
        <w:rPr>
          <w:rFonts w:hint="eastAsia" w:ascii="宋体" w:hAnsi="宋体"/>
          <w:sz w:val="24"/>
        </w:rPr>
      </w:pPr>
      <w:r>
        <w:rPr>
          <w:rFonts w:hint="eastAsia" w:ascii="宋体" w:hAnsi="宋体"/>
          <w:sz w:val="24"/>
        </w:rPr>
        <w:t>6.1.7与本项目有关的磋商文件澄清、答复、更正、补充的内容</w:t>
      </w:r>
    </w:p>
    <w:p w14:paraId="04EAC33F">
      <w:pPr>
        <w:spacing w:line="360" w:lineRule="auto"/>
        <w:ind w:firstLine="482" w:firstLineChars="200"/>
        <w:rPr>
          <w:rFonts w:hint="eastAsia" w:ascii="宋体" w:hAnsi="宋体"/>
          <w:b/>
          <w:sz w:val="24"/>
        </w:rPr>
      </w:pPr>
      <w:r>
        <w:rPr>
          <w:rFonts w:hint="eastAsia" w:ascii="宋体" w:hAnsi="宋体"/>
          <w:b/>
          <w:sz w:val="24"/>
        </w:rPr>
        <w:t>7.供应商的风险</w:t>
      </w:r>
    </w:p>
    <w:p w14:paraId="3D510687">
      <w:pPr>
        <w:spacing w:line="360" w:lineRule="auto"/>
        <w:ind w:firstLine="480" w:firstLineChars="200"/>
        <w:rPr>
          <w:rFonts w:hint="eastAsia" w:ascii="宋体" w:hAnsi="宋体"/>
          <w:sz w:val="24"/>
        </w:rPr>
      </w:pPr>
      <w:r>
        <w:rPr>
          <w:rFonts w:hint="eastAsia" w:ascii="宋体" w:hAnsi="宋体"/>
          <w:sz w:val="24"/>
        </w:rPr>
        <w:t>7.1</w:t>
      </w:r>
      <w:r>
        <w:rPr>
          <w:rFonts w:ascii="宋体" w:hAnsi="宋体"/>
          <w:sz w:val="24"/>
        </w:rPr>
        <w:t xml:space="preserve"> </w:t>
      </w:r>
      <w:r>
        <w:rPr>
          <w:rFonts w:hint="eastAsia" w:ascii="宋体" w:hAnsi="宋体"/>
          <w:sz w:val="24"/>
        </w:rPr>
        <w:t>供应商应认真阅读磋商文件中的所有条款。供应商没有按照磋商文件的要求提供全部资料，或者供应商没有对磋商文件在各方面作出实质性响应是供应商的风险，并可能导致其磋商被拒绝。</w:t>
      </w:r>
    </w:p>
    <w:p w14:paraId="68743D2F">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sz w:val="24"/>
        </w:rPr>
        <w:t xml:space="preserve"> </w:t>
      </w:r>
      <w:r>
        <w:rPr>
          <w:rFonts w:hint="eastAsia" w:ascii="宋体" w:hAnsi="宋体"/>
          <w:b/>
          <w:sz w:val="24"/>
        </w:rPr>
        <w:t>磋商文件的澄清和修改</w:t>
      </w:r>
    </w:p>
    <w:p w14:paraId="4E5C339A">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磋商文件澄清、答复、修改、补充的内容为磋商文件的组成部分。</w:t>
      </w:r>
    </w:p>
    <w:p w14:paraId="42347AA1">
      <w:pPr>
        <w:snapToGrid w:val="0"/>
        <w:spacing w:line="360" w:lineRule="auto"/>
        <w:ind w:firstLine="480" w:firstLineChars="200"/>
        <w:rPr>
          <w:rFonts w:hint="eastAsia" w:ascii="宋体" w:hAnsi="宋体"/>
          <w:sz w:val="24"/>
        </w:rPr>
      </w:pPr>
      <w:r>
        <w:rPr>
          <w:rFonts w:hint="eastAsia" w:ascii="宋体" w:hAnsi="宋体"/>
          <w:sz w:val="24"/>
        </w:rPr>
        <w:t>8.2依法获取竞争性磋商文件的</w:t>
      </w:r>
      <w:r>
        <w:rPr>
          <w:rFonts w:hint="eastAsia" w:ascii="宋体" w:hAnsi="宋体"/>
          <w:bCs/>
          <w:sz w:val="24"/>
        </w:rPr>
        <w:t>供应商认真阅读</w:t>
      </w:r>
      <w:r>
        <w:rPr>
          <w:rFonts w:hint="eastAsia" w:ascii="宋体" w:hAnsi="宋体"/>
          <w:sz w:val="24"/>
        </w:rPr>
        <w:t>磋商</w:t>
      </w:r>
      <w:r>
        <w:rPr>
          <w:rFonts w:hint="eastAsia" w:ascii="宋体" w:hAnsi="宋体"/>
          <w:bCs/>
          <w:sz w:val="24"/>
        </w:rPr>
        <w:t>文件，如有疑问应于</w:t>
      </w:r>
      <w:r>
        <w:rPr>
          <w:rFonts w:hint="eastAsia" w:ascii="宋体" w:hAnsi="宋体"/>
          <w:b/>
          <w:snapToGrid w:val="0"/>
          <w:sz w:val="24"/>
          <w:u w:val="single"/>
        </w:rPr>
        <w:t>提交响应文件的截止时间5日前</w:t>
      </w:r>
      <w:r>
        <w:rPr>
          <w:rFonts w:hint="eastAsia" w:ascii="宋体" w:hAnsi="宋体"/>
          <w:bCs/>
          <w:sz w:val="24"/>
        </w:rPr>
        <w:t>向采购代理机构（可传真）提出澄清申请。采购代理机构对已发出的竞争性磋商文件进行必要澄清或修改，</w:t>
      </w:r>
      <w:r>
        <w:rPr>
          <w:rFonts w:hint="eastAsia" w:ascii="宋体" w:hAnsi="宋体"/>
          <w:sz w:val="24"/>
        </w:rPr>
        <w:t>澄清或者修改内容可能影响响应文件编制的，采购代理机构在磋商截止时间5日前,在“浙江政府采购网</w:t>
      </w:r>
      <w:r>
        <w:rPr>
          <w:rFonts w:hint="eastAsia"/>
        </w:rPr>
        <w:fldChar w:fldCharType="begin"/>
      </w:r>
      <w:r>
        <w:instrText xml:space="preserve"> HYPERLINK "http://60.190.126.3:8080/wcm/WCMV6/editor/editor/招标文件（新版）.doc" </w:instrText>
      </w:r>
      <w:r>
        <w:rPr>
          <w:rFonts w:hint="eastAsia"/>
        </w:rP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bCs/>
          <w:kern w:val="0"/>
          <w:sz w:val="24"/>
        </w:rPr>
        <w:t>、丽水市公共资源交易网（http://lssggzy.lishui.gov.cn/lsweb/）</w:t>
      </w:r>
      <w:r>
        <w:rPr>
          <w:rFonts w:hint="eastAsia" w:ascii="宋体" w:hAnsi="宋体"/>
          <w:sz w:val="24"/>
        </w:rPr>
        <w:t>”发布更正公告，并对其具有约束力。不足5日的，采购代理机构有权顺延提交响应文件的截止时间。</w:t>
      </w:r>
    </w:p>
    <w:p w14:paraId="72514A9A">
      <w:pPr>
        <w:pStyle w:val="4"/>
        <w:ind w:firstLine="517" w:firstLineChars="161"/>
        <w:rPr>
          <w:rFonts w:hint="eastAsia" w:ascii="宋体" w:hAnsi="宋体"/>
          <w:sz w:val="32"/>
        </w:rPr>
      </w:pPr>
      <w:bookmarkStart w:id="160" w:name="_Toc13559"/>
      <w:bookmarkStart w:id="161" w:name="_Toc495479094"/>
      <w:bookmarkStart w:id="162" w:name="_Toc20339"/>
      <w:bookmarkStart w:id="163" w:name="_Toc94277242"/>
      <w:bookmarkStart w:id="164" w:name="_Toc26868"/>
      <w:bookmarkStart w:id="165" w:name="_Toc26367"/>
      <w:bookmarkStart w:id="166" w:name="_Toc31336"/>
      <w:bookmarkStart w:id="167" w:name="_Toc390938577"/>
      <w:r>
        <w:rPr>
          <w:rFonts w:hint="eastAsia" w:ascii="宋体" w:hAnsi="宋体"/>
          <w:sz w:val="32"/>
        </w:rPr>
        <w:t>三</w:t>
      </w:r>
      <w:r>
        <w:rPr>
          <w:rFonts w:ascii="宋体" w:hAnsi="宋体"/>
          <w:sz w:val="32"/>
        </w:rPr>
        <w:t xml:space="preserve">   </w:t>
      </w:r>
      <w:r>
        <w:rPr>
          <w:rFonts w:hint="eastAsia" w:ascii="宋体" w:hAnsi="宋体"/>
          <w:sz w:val="32"/>
        </w:rPr>
        <w:t>响应文件的编制</w:t>
      </w:r>
      <w:bookmarkEnd w:id="160"/>
      <w:bookmarkEnd w:id="161"/>
      <w:bookmarkEnd w:id="162"/>
      <w:bookmarkEnd w:id="163"/>
      <w:bookmarkEnd w:id="164"/>
      <w:bookmarkEnd w:id="165"/>
      <w:bookmarkEnd w:id="166"/>
      <w:bookmarkEnd w:id="167"/>
    </w:p>
    <w:p w14:paraId="33A7E72A">
      <w:pPr>
        <w:spacing w:line="360" w:lineRule="auto"/>
        <w:ind w:firstLine="482" w:firstLineChars="200"/>
        <w:rPr>
          <w:rFonts w:hint="eastAsia"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14:paraId="4B5BFB6B">
      <w:pPr>
        <w:spacing w:line="360" w:lineRule="auto"/>
        <w:ind w:firstLine="480" w:firstLineChars="200"/>
        <w:rPr>
          <w:rFonts w:hint="eastAsia"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供应商应仔细阅读磋商文件的所有内容，按照磋商文件的要求提交响应文件，并对所提供的全部资料的真实性承担法律责任。</w:t>
      </w:r>
    </w:p>
    <w:p w14:paraId="22C90473">
      <w:pPr>
        <w:spacing w:line="360" w:lineRule="auto"/>
        <w:ind w:firstLine="480" w:firstLineChars="200"/>
        <w:rPr>
          <w:rFonts w:hint="eastAsia" w:ascii="宋体" w:hAnsi="宋体"/>
          <w:sz w:val="24"/>
        </w:rPr>
      </w:pPr>
      <w:r>
        <w:rPr>
          <w:rFonts w:hint="eastAsia" w:ascii="宋体" w:hAnsi="宋体"/>
          <w:sz w:val="24"/>
        </w:rPr>
        <w:t>9.2响应文件、供应商与采购有关的往来通知、函件和文件均应使用中文。如涉及非中文内容的，供应商有义务将其内容翻译成中文，一切对非中文内容的误解，都将由供应商承担。</w:t>
      </w:r>
    </w:p>
    <w:p w14:paraId="14BC7BAF">
      <w:pPr>
        <w:spacing w:line="360" w:lineRule="auto"/>
        <w:ind w:firstLine="482" w:firstLineChars="200"/>
        <w:rPr>
          <w:rFonts w:hint="eastAsia" w:ascii="宋体" w:hAnsi="宋体"/>
          <w:b/>
          <w:sz w:val="24"/>
        </w:rPr>
      </w:pPr>
      <w:r>
        <w:rPr>
          <w:rFonts w:hint="eastAsia" w:ascii="宋体" w:hAnsi="宋体"/>
          <w:b/>
          <w:sz w:val="24"/>
        </w:rPr>
        <w:t>9.3响应文件的形式和效力</w:t>
      </w:r>
    </w:p>
    <w:p w14:paraId="1DE19C21">
      <w:pPr>
        <w:snapToGrid w:val="0"/>
        <w:spacing w:line="360" w:lineRule="auto"/>
        <w:ind w:firstLine="482" w:firstLineChars="200"/>
        <w:rPr>
          <w:rFonts w:hint="eastAsia" w:ascii="宋体" w:hAnsi="宋体"/>
          <w:b/>
          <w:sz w:val="24"/>
        </w:rPr>
      </w:pPr>
      <w:r>
        <w:rPr>
          <w:rFonts w:hint="eastAsia" w:ascii="宋体" w:hAnsi="宋体"/>
          <w:b/>
          <w:sz w:val="24"/>
        </w:rPr>
        <w:t>9.3.1 响应文件的形式：响应文件分为电子响应文件、备份响应文件。</w:t>
      </w:r>
    </w:p>
    <w:p w14:paraId="732F5043">
      <w:pPr>
        <w:snapToGrid w:val="0"/>
        <w:spacing w:line="360" w:lineRule="auto"/>
        <w:ind w:firstLine="482" w:firstLineChars="200"/>
        <w:rPr>
          <w:rFonts w:hint="eastAsia" w:ascii="宋体" w:hAnsi="宋体"/>
          <w:b/>
          <w:sz w:val="24"/>
        </w:rPr>
      </w:pPr>
      <w:r>
        <w:rPr>
          <w:rFonts w:hint="eastAsia" w:ascii="宋体" w:hAnsi="宋体"/>
          <w:b/>
          <w:sz w:val="24"/>
        </w:rPr>
        <w:t>9.3.2 响应文件的效力</w:t>
      </w:r>
    </w:p>
    <w:p w14:paraId="792715F8">
      <w:pPr>
        <w:snapToGrid w:val="0"/>
        <w:spacing w:line="360" w:lineRule="auto"/>
        <w:ind w:firstLine="482" w:firstLineChars="200"/>
        <w:rPr>
          <w:rFonts w:hint="eastAsia" w:ascii="宋体" w:hAnsi="宋体"/>
          <w:b/>
          <w:sz w:val="24"/>
        </w:rPr>
      </w:pPr>
      <w:r>
        <w:rPr>
          <w:rFonts w:hint="eastAsia" w:ascii="宋体" w:hAnsi="宋体"/>
          <w:b/>
          <w:sz w:val="24"/>
        </w:rPr>
        <w:t>响应文件的启用，按先后顺位分别为电子响应文件、备份响应文件。</w:t>
      </w:r>
    </w:p>
    <w:p w14:paraId="6B82C034">
      <w:pPr>
        <w:spacing w:line="360" w:lineRule="auto"/>
        <w:ind w:firstLine="482" w:firstLineChars="200"/>
        <w:rPr>
          <w:rFonts w:hint="eastAsia" w:ascii="宋体" w:hAnsi="宋体"/>
          <w:sz w:val="24"/>
        </w:rPr>
      </w:pPr>
      <w:r>
        <w:rPr>
          <w:rFonts w:hint="eastAsia" w:ascii="宋体" w:hAnsi="宋体"/>
          <w:b/>
          <w:sz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ascii="宋体" w:hAnsi="宋体"/>
          <w:sz w:val="24"/>
        </w:rPr>
        <w:t xml:space="preserve"> </w:t>
      </w:r>
    </w:p>
    <w:p w14:paraId="12148780">
      <w:pPr>
        <w:spacing w:line="360" w:lineRule="auto"/>
        <w:ind w:firstLine="482" w:firstLineChars="200"/>
        <w:rPr>
          <w:rFonts w:hint="eastAsia"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响应文件的组成</w:t>
      </w:r>
    </w:p>
    <w:p w14:paraId="389EEFAD">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1提交的响应文件应分为</w:t>
      </w:r>
      <w:r>
        <w:rPr>
          <w:rFonts w:hint="eastAsia" w:ascii="宋体" w:hAnsi="宋体"/>
          <w:b/>
          <w:kern w:val="0"/>
          <w:sz w:val="24"/>
        </w:rPr>
        <w:t>资格文件、</w:t>
      </w:r>
      <w:r>
        <w:rPr>
          <w:rFonts w:hint="eastAsia" w:ascii="宋体" w:hAnsi="宋体"/>
          <w:b/>
          <w:sz w:val="24"/>
        </w:rPr>
        <w:t>商务技术文件、报价文件</w:t>
      </w:r>
      <w:r>
        <w:rPr>
          <w:rFonts w:hint="eastAsia" w:ascii="宋体" w:hAnsi="宋体"/>
          <w:sz w:val="24"/>
        </w:rPr>
        <w:t>三部分，报价文件如有商务技术文件内容, 其商务技术文件内容在评审时将作为无效内容。</w:t>
      </w:r>
    </w:p>
    <w:p w14:paraId="445D7FD6">
      <w:pPr>
        <w:spacing w:line="360" w:lineRule="auto"/>
        <w:ind w:firstLine="482" w:firstLineChars="200"/>
        <w:rPr>
          <w:rFonts w:hint="eastAsia" w:ascii="宋体" w:hAnsi="宋体"/>
          <w:b/>
          <w:sz w:val="24"/>
        </w:rPr>
      </w:pPr>
      <w:r>
        <w:rPr>
          <w:rFonts w:hint="eastAsia" w:ascii="宋体" w:hAnsi="宋体"/>
          <w:b/>
          <w:sz w:val="24"/>
        </w:rPr>
        <w:t>11.响应文件编制的内容和要求。</w:t>
      </w:r>
    </w:p>
    <w:p w14:paraId="51FE133A">
      <w:pPr>
        <w:spacing w:line="360" w:lineRule="auto"/>
        <w:ind w:firstLine="482" w:firstLineChars="200"/>
        <w:rPr>
          <w:rFonts w:hint="eastAsia" w:ascii="宋体" w:hAnsi="宋体"/>
          <w:b/>
          <w:sz w:val="24"/>
        </w:rPr>
      </w:pPr>
      <w:r>
        <w:rPr>
          <w:rFonts w:hint="eastAsia" w:ascii="宋体" w:hAnsi="宋体"/>
          <w:b/>
          <w:sz w:val="24"/>
        </w:rPr>
        <w:t>11.1资格文件编制的内容和要求：详见第五章格式</w:t>
      </w:r>
    </w:p>
    <w:p w14:paraId="1B3473C9">
      <w:pPr>
        <w:spacing w:line="360" w:lineRule="auto"/>
        <w:ind w:firstLine="482" w:firstLineChars="200"/>
        <w:rPr>
          <w:rFonts w:hint="eastAsia" w:ascii="宋体" w:hAnsi="宋体"/>
          <w:b/>
          <w:sz w:val="24"/>
        </w:rPr>
      </w:pPr>
      <w:r>
        <w:rPr>
          <w:rFonts w:hint="eastAsia" w:ascii="宋体" w:hAnsi="宋体"/>
          <w:b/>
          <w:sz w:val="24"/>
        </w:rPr>
        <w:t>11.2商务技术文件编制内容和要求：</w:t>
      </w:r>
    </w:p>
    <w:p w14:paraId="464AA615">
      <w:pPr>
        <w:spacing w:line="360" w:lineRule="auto"/>
        <w:ind w:firstLine="482" w:firstLineChars="200"/>
        <w:rPr>
          <w:rFonts w:hint="eastAsia" w:ascii="宋体" w:hAnsi="宋体"/>
          <w:b/>
          <w:sz w:val="24"/>
        </w:rPr>
      </w:pPr>
      <w:r>
        <w:rPr>
          <w:rFonts w:hint="eastAsia" w:ascii="宋体" w:hAnsi="宋体"/>
          <w:b/>
          <w:sz w:val="24"/>
        </w:rPr>
        <w:t>11.2.1资信商务部分详见第五章格式。</w:t>
      </w:r>
    </w:p>
    <w:p w14:paraId="38D25915">
      <w:pPr>
        <w:spacing w:line="360" w:lineRule="auto"/>
        <w:ind w:firstLine="482" w:firstLineChars="200"/>
        <w:rPr>
          <w:rFonts w:hint="eastAsia" w:ascii="宋体" w:hAnsi="宋体"/>
          <w:b/>
          <w:sz w:val="24"/>
        </w:rPr>
      </w:pPr>
      <w:r>
        <w:rPr>
          <w:rFonts w:hint="eastAsia" w:ascii="宋体" w:hAnsi="宋体"/>
          <w:b/>
          <w:sz w:val="24"/>
        </w:rPr>
        <w:t>11.2.2技术部分编制内容和要求（包含但不限于）：</w:t>
      </w:r>
    </w:p>
    <w:p w14:paraId="78B05238">
      <w:pPr>
        <w:spacing w:line="360" w:lineRule="auto"/>
        <w:ind w:firstLine="480" w:firstLineChars="200"/>
        <w:rPr>
          <w:rFonts w:hint="eastAsia" w:ascii="宋体" w:hAnsi="宋体"/>
          <w:sz w:val="24"/>
        </w:rPr>
      </w:pPr>
      <w:r>
        <w:rPr>
          <w:rFonts w:hint="eastAsia" w:ascii="宋体" w:hAnsi="宋体"/>
          <w:sz w:val="24"/>
        </w:rPr>
        <w:t>11.2.2.1按磋商文件“第五章 磋商相关文件格式”所列的内容和格式。</w:t>
      </w:r>
    </w:p>
    <w:p w14:paraId="1F4F1526">
      <w:pPr>
        <w:spacing w:line="360" w:lineRule="auto"/>
        <w:ind w:firstLine="480" w:firstLineChars="200"/>
        <w:rPr>
          <w:rFonts w:hint="eastAsia" w:ascii="宋体" w:hAnsi="宋体"/>
          <w:sz w:val="24"/>
        </w:rPr>
      </w:pPr>
      <w:r>
        <w:rPr>
          <w:rFonts w:hint="eastAsia" w:ascii="宋体" w:hAnsi="宋体"/>
          <w:sz w:val="24"/>
        </w:rPr>
        <w:t>11.2.2.2供应商应对照磋商文件 “第三章 采购需求”所列的内容提供完整产品、服务、技术指标等。</w:t>
      </w:r>
    </w:p>
    <w:p w14:paraId="37EB0E60">
      <w:pPr>
        <w:spacing w:line="360" w:lineRule="auto"/>
        <w:ind w:firstLine="480" w:firstLineChars="200"/>
        <w:rPr>
          <w:rFonts w:hint="eastAsia" w:ascii="宋体" w:hAnsi="宋体"/>
          <w:sz w:val="24"/>
        </w:rPr>
      </w:pPr>
      <w:r>
        <w:rPr>
          <w:rFonts w:hint="eastAsia" w:ascii="宋体" w:hAnsi="宋体"/>
          <w:sz w:val="24"/>
        </w:rPr>
        <w:t>11.2.2.3项目承诺：磋商文件规定的要求仅为基本要求，供应商可以作出优于或高于磋商文件中所要求的承诺。</w:t>
      </w:r>
    </w:p>
    <w:p w14:paraId="4F933BDC">
      <w:pPr>
        <w:spacing w:line="360" w:lineRule="auto"/>
        <w:ind w:firstLine="480" w:firstLineChars="200"/>
        <w:rPr>
          <w:rFonts w:hint="eastAsia" w:ascii="宋体" w:hAnsi="宋体"/>
          <w:sz w:val="24"/>
        </w:rPr>
      </w:pPr>
      <w:r>
        <w:rPr>
          <w:rFonts w:hint="eastAsia" w:ascii="宋体" w:hAnsi="宋体"/>
          <w:sz w:val="24"/>
        </w:rPr>
        <w:t>11.2.2.</w:t>
      </w:r>
      <w:r>
        <w:rPr>
          <w:rFonts w:ascii="宋体" w:hAnsi="宋体"/>
          <w:sz w:val="24"/>
        </w:rPr>
        <w:t xml:space="preserve">4 </w:t>
      </w:r>
      <w:r>
        <w:rPr>
          <w:rFonts w:hint="eastAsia" w:ascii="宋体" w:hAnsi="宋体"/>
          <w:sz w:val="24"/>
        </w:rPr>
        <w:t>供应商认为有必要提交的其他技术证明资料。</w:t>
      </w:r>
    </w:p>
    <w:p w14:paraId="5E6C4F98">
      <w:pPr>
        <w:spacing w:line="360" w:lineRule="auto"/>
        <w:ind w:firstLine="482" w:firstLineChars="200"/>
        <w:rPr>
          <w:rFonts w:hint="eastAsia" w:ascii="宋体" w:hAnsi="宋体"/>
          <w:b/>
          <w:sz w:val="24"/>
        </w:rPr>
      </w:pPr>
      <w:r>
        <w:rPr>
          <w:rFonts w:hint="eastAsia" w:ascii="宋体" w:hAnsi="宋体"/>
          <w:b/>
          <w:sz w:val="24"/>
        </w:rPr>
        <w:t>11.2.3报价文件的编制内容和要求详见第五章格式</w:t>
      </w:r>
    </w:p>
    <w:p w14:paraId="7C3670E7">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1.3磋商报价</w:t>
      </w:r>
    </w:p>
    <w:p w14:paraId="4F964354">
      <w:pPr>
        <w:spacing w:line="360" w:lineRule="auto"/>
        <w:ind w:firstLine="482" w:firstLineChars="200"/>
        <w:rPr>
          <w:rFonts w:hint="eastAsia" w:ascii="宋体" w:hAnsi="宋体"/>
          <w:bCs/>
          <w:sz w:val="24"/>
        </w:rPr>
      </w:pPr>
      <w:r>
        <w:rPr>
          <w:rFonts w:hint="eastAsia" w:ascii="宋体" w:hAnsi="宋体"/>
          <w:b/>
          <w:bCs/>
          <w:sz w:val="24"/>
        </w:rPr>
        <w:t>▲</w:t>
      </w:r>
      <w:r>
        <w:rPr>
          <w:rFonts w:ascii="宋体" w:hAnsi="宋体"/>
          <w:sz w:val="24"/>
        </w:rPr>
        <w:t>1</w:t>
      </w:r>
      <w:r>
        <w:rPr>
          <w:rFonts w:hint="eastAsia" w:ascii="宋体" w:hAnsi="宋体"/>
          <w:sz w:val="24"/>
        </w:rPr>
        <w:t>1.3</w:t>
      </w:r>
      <w:r>
        <w:rPr>
          <w:rFonts w:ascii="宋体" w:hAnsi="宋体"/>
          <w:bCs/>
          <w:sz w:val="24"/>
        </w:rPr>
        <w:t>.1</w:t>
      </w:r>
      <w:r>
        <w:rPr>
          <w:rFonts w:hint="eastAsia" w:ascii="宋体" w:hAnsi="宋体"/>
          <w:b/>
          <w:bCs/>
          <w:sz w:val="24"/>
        </w:rPr>
        <w:t>供应商应在磋商文件所附的报价书上写明磋商报价，只允许有一个报价,采购人不接受任何选择性的报价。最终报价高于最高限价的作无效标处理。</w:t>
      </w:r>
    </w:p>
    <w:p w14:paraId="52A1DFA1">
      <w:pPr>
        <w:spacing w:line="360" w:lineRule="auto"/>
        <w:ind w:firstLine="480"/>
        <w:rPr>
          <w:rFonts w:hint="eastAsia" w:ascii="宋体" w:hAnsi="宋体"/>
          <w:sz w:val="24"/>
          <w:highlight w:val="yellow"/>
        </w:rPr>
      </w:pPr>
      <w:r>
        <w:rPr>
          <w:rFonts w:hint="eastAsia" w:ascii="宋体" w:hAnsi="宋体"/>
          <w:sz w:val="24"/>
        </w:rPr>
        <w:t>11.3.2</w:t>
      </w:r>
      <w:r>
        <w:rPr>
          <w:rFonts w:ascii="宋体" w:hAnsi="宋体"/>
          <w:sz w:val="24"/>
        </w:rPr>
        <w:t xml:space="preserve"> </w:t>
      </w:r>
      <w:r>
        <w:rPr>
          <w:rFonts w:hint="eastAsia" w:ascii="宋体" w:hAnsi="宋体"/>
          <w:sz w:val="24"/>
        </w:rPr>
        <w:t>最终报价是履行合同的最终价格，除磋商文件特殊说明外，</w:t>
      </w:r>
      <w:r>
        <w:rPr>
          <w:rFonts w:hint="eastAsia" w:ascii="宋体" w:hAnsi="宋体" w:cs="Times New Roman"/>
          <w:sz w:val="24"/>
        </w:rPr>
        <w:t>应包含人工费，服务费、物料费、利润、税费等各项费用及不可预见费等所需的一切费用。</w:t>
      </w:r>
    </w:p>
    <w:p w14:paraId="270D15D5">
      <w:pPr>
        <w:spacing w:line="360" w:lineRule="auto"/>
        <w:ind w:firstLine="482" w:firstLineChars="200"/>
        <w:rPr>
          <w:rFonts w:hint="eastAsia" w:ascii="宋体" w:hAnsi="宋体"/>
          <w:sz w:val="24"/>
        </w:rPr>
      </w:pPr>
      <w:r>
        <w:rPr>
          <w:rFonts w:hint="eastAsia" w:ascii="宋体" w:hAnsi="宋体"/>
          <w:b/>
          <w:sz w:val="24"/>
        </w:rPr>
        <w:t>11.4</w:t>
      </w:r>
      <w:r>
        <w:rPr>
          <w:rFonts w:ascii="宋体" w:hAnsi="宋体"/>
          <w:b/>
          <w:sz w:val="24"/>
        </w:rPr>
        <w:t>排版</w:t>
      </w:r>
      <w:r>
        <w:rPr>
          <w:rFonts w:ascii="宋体" w:hAnsi="宋体"/>
          <w:sz w:val="24"/>
        </w:rPr>
        <w:t>：</w:t>
      </w:r>
      <w:r>
        <w:rPr>
          <w:rFonts w:hint="eastAsia" w:ascii="宋体" w:hAnsi="宋体"/>
          <w:kern w:val="0"/>
          <w:sz w:val="24"/>
        </w:rPr>
        <w:t>所有文字及表格建议采用黑色，正文字体采用宋体小四号字体，标题字体采用宋体小二号字体，页码应逐页连续编注。</w:t>
      </w:r>
    </w:p>
    <w:p w14:paraId="3C0B46E6">
      <w:pPr>
        <w:spacing w:line="360" w:lineRule="auto"/>
        <w:ind w:firstLine="480"/>
        <w:rPr>
          <w:rFonts w:hint="eastAsia" w:ascii="宋体" w:hAnsi="宋体"/>
          <w:sz w:val="24"/>
        </w:rPr>
      </w:pPr>
      <w:r>
        <w:rPr>
          <w:rFonts w:hint="eastAsia" w:ascii="宋体" w:hAnsi="宋体"/>
          <w:b/>
          <w:sz w:val="24"/>
        </w:rPr>
        <w:t>11.5封面</w:t>
      </w:r>
      <w:r>
        <w:rPr>
          <w:rFonts w:hint="eastAsia" w:ascii="宋体" w:hAnsi="宋体"/>
          <w:sz w:val="24"/>
        </w:rPr>
        <w:t>：按照</w:t>
      </w:r>
      <w:r>
        <w:rPr>
          <w:rFonts w:ascii="宋体" w:hAnsi="宋体"/>
          <w:sz w:val="24"/>
        </w:rPr>
        <w:t>磋商文件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14:paraId="17ABBA14">
      <w:pPr>
        <w:spacing w:line="360" w:lineRule="auto"/>
        <w:ind w:firstLine="482" w:firstLineChars="200"/>
        <w:rPr>
          <w:rFonts w:hint="eastAsia"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响应文件格式</w:t>
      </w:r>
    </w:p>
    <w:p w14:paraId="320E408C">
      <w:pPr>
        <w:spacing w:line="360" w:lineRule="auto"/>
        <w:ind w:firstLine="480" w:firstLineChars="200"/>
        <w:rPr>
          <w:rFonts w:hint="eastAsia" w:ascii="宋体" w:hAnsi="宋体"/>
          <w:sz w:val="24"/>
        </w:rPr>
      </w:pPr>
      <w:r>
        <w:rPr>
          <w:rFonts w:hint="eastAsia" w:ascii="宋体" w:hAnsi="宋体"/>
          <w:sz w:val="24"/>
        </w:rPr>
        <w:t>12.1供应商应按竞争性磋商文件规定的文件格式、内容和要求制作响应文件。</w:t>
      </w:r>
    </w:p>
    <w:p w14:paraId="67CF05EF">
      <w:pPr>
        <w:spacing w:line="360" w:lineRule="auto"/>
        <w:ind w:firstLine="482" w:firstLineChars="200"/>
        <w:rPr>
          <w:rFonts w:hint="eastAsia"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竞争性磋商有效期</w:t>
      </w:r>
    </w:p>
    <w:p w14:paraId="0C23A22E">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sz w:val="24"/>
        </w:rPr>
        <w:t>响应文件提交截止</w:t>
      </w:r>
      <w:r>
        <w:rPr>
          <w:rFonts w:hint="eastAsia" w:ascii="宋体" w:hAnsi="宋体"/>
          <w:bCs/>
          <w:snapToGrid w:val="0"/>
          <w:sz w:val="24"/>
        </w:rPr>
        <w:t>之日起90天内有效</w:t>
      </w:r>
      <w:r>
        <w:rPr>
          <w:rFonts w:hint="eastAsia" w:ascii="宋体" w:hAnsi="宋体"/>
          <w:sz w:val="24"/>
        </w:rPr>
        <w:t>。</w:t>
      </w:r>
    </w:p>
    <w:p w14:paraId="4E1177F5">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响应文件的签署及规定</w:t>
      </w:r>
    </w:p>
    <w:p w14:paraId="0F33C328">
      <w:pPr>
        <w:spacing w:line="360" w:lineRule="auto"/>
        <w:ind w:firstLine="480" w:firstLineChars="200"/>
        <w:rPr>
          <w:rFonts w:hint="eastAsia" w:ascii="宋体" w:hAnsi="宋体"/>
          <w:sz w:val="24"/>
        </w:rPr>
      </w:pPr>
      <w:bookmarkStart w:id="168" w:name="_Toc390938578"/>
      <w:r>
        <w:rPr>
          <w:rFonts w:ascii="宋体" w:hAnsi="宋体"/>
          <w:sz w:val="24"/>
        </w:rPr>
        <w:t>1</w:t>
      </w:r>
      <w:r>
        <w:rPr>
          <w:rFonts w:hint="eastAsia" w:ascii="宋体" w:hAnsi="宋体"/>
          <w:sz w:val="24"/>
        </w:rPr>
        <w:t>4</w:t>
      </w:r>
      <w:r>
        <w:rPr>
          <w:rFonts w:ascii="宋体" w:hAnsi="宋体"/>
          <w:sz w:val="24"/>
        </w:rPr>
        <w:t xml:space="preserve">.1 </w:t>
      </w:r>
      <w:r>
        <w:rPr>
          <w:rFonts w:hint="eastAsia" w:ascii="宋体" w:hAnsi="宋体"/>
          <w:sz w:val="24"/>
        </w:rPr>
        <w:t>供应商应按磋商文件规定的内容和要求编制响应文件，响应文件须清楚的标明“</w:t>
      </w:r>
      <w:r>
        <w:rPr>
          <w:rFonts w:hint="eastAsia" w:ascii="宋体" w:hAnsi="宋体"/>
          <w:kern w:val="0"/>
          <w:sz w:val="24"/>
        </w:rPr>
        <w:t>资格文件”、“</w:t>
      </w:r>
      <w:r>
        <w:rPr>
          <w:rFonts w:hint="eastAsia" w:ascii="宋体" w:hAnsi="宋体"/>
          <w:sz w:val="24"/>
        </w:rPr>
        <w:t>商务技术文件”、“报价文件”。</w:t>
      </w:r>
    </w:p>
    <w:p w14:paraId="4FD27E24">
      <w:pPr>
        <w:spacing w:line="360" w:lineRule="auto"/>
        <w:ind w:firstLine="480" w:firstLineChars="200"/>
        <w:rPr>
          <w:rFonts w:hint="eastAsia"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签章（格式另有要求的除外）。</w:t>
      </w:r>
    </w:p>
    <w:p w14:paraId="593E1626">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电报、电话、传真形式的磋商概不接受。</w:t>
      </w:r>
    </w:p>
    <w:bookmarkEnd w:id="168"/>
    <w:p w14:paraId="3DE49F4C">
      <w:pPr>
        <w:pStyle w:val="4"/>
        <w:ind w:firstLine="643"/>
        <w:rPr>
          <w:rFonts w:hint="eastAsia" w:ascii="宋体" w:hAnsi="宋体"/>
          <w:sz w:val="32"/>
        </w:rPr>
      </w:pPr>
      <w:bookmarkStart w:id="169" w:name="_Toc56928685"/>
      <w:bookmarkStart w:id="170" w:name="_Toc107820049"/>
      <w:bookmarkStart w:id="171" w:name="_Toc30496"/>
      <w:bookmarkStart w:id="172" w:name="_Toc1085"/>
      <w:bookmarkStart w:id="173" w:name="_Toc27057"/>
      <w:bookmarkStart w:id="174" w:name="_Toc94277243"/>
      <w:bookmarkStart w:id="175" w:name="_Toc15689"/>
      <w:bookmarkStart w:id="176" w:name="_Toc390938579"/>
      <w:bookmarkStart w:id="177" w:name="_Toc495479096"/>
      <w:bookmarkStart w:id="178" w:name="_Toc28255"/>
      <w:r>
        <w:rPr>
          <w:rFonts w:hint="eastAsia" w:ascii="宋体" w:hAnsi="宋体"/>
          <w:sz w:val="32"/>
        </w:rPr>
        <w:t>四</w:t>
      </w:r>
      <w:r>
        <w:rPr>
          <w:rFonts w:ascii="宋体" w:hAnsi="宋体"/>
          <w:sz w:val="32"/>
        </w:rPr>
        <w:t xml:space="preserve">  </w:t>
      </w:r>
      <w:r>
        <w:rPr>
          <w:rFonts w:hint="eastAsia" w:ascii="宋体" w:hAnsi="宋体"/>
          <w:sz w:val="32"/>
        </w:rPr>
        <w:t xml:space="preserve"> 响应文件的加密、提交</w:t>
      </w:r>
      <w:bookmarkEnd w:id="169"/>
      <w:bookmarkEnd w:id="170"/>
      <w:r>
        <w:rPr>
          <w:rFonts w:hint="eastAsia" w:ascii="宋体" w:hAnsi="宋体"/>
          <w:sz w:val="32"/>
        </w:rPr>
        <w:t>、修改和撤回</w:t>
      </w:r>
      <w:bookmarkEnd w:id="171"/>
      <w:bookmarkEnd w:id="172"/>
      <w:bookmarkEnd w:id="173"/>
      <w:bookmarkEnd w:id="174"/>
      <w:bookmarkEnd w:id="175"/>
      <w:bookmarkEnd w:id="176"/>
      <w:bookmarkEnd w:id="177"/>
      <w:bookmarkEnd w:id="178"/>
    </w:p>
    <w:p w14:paraId="06C00B3E">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w:t>
      </w:r>
      <w:r>
        <w:rPr>
          <w:rFonts w:hint="eastAsia" w:ascii="宋体" w:hAnsi="宋体"/>
          <w:b/>
          <w:sz w:val="24"/>
        </w:rPr>
        <w:t>响应文件的加密</w:t>
      </w:r>
    </w:p>
    <w:p w14:paraId="107BFAD4">
      <w:pPr>
        <w:spacing w:line="360" w:lineRule="auto"/>
        <w:ind w:firstLine="480" w:firstLineChars="200"/>
        <w:rPr>
          <w:rFonts w:hint="eastAsia" w:ascii="宋体" w:hAnsi="宋体"/>
          <w:sz w:val="24"/>
        </w:rPr>
      </w:pPr>
      <w:r>
        <w:rPr>
          <w:rFonts w:hint="eastAsia" w:ascii="宋体" w:hAnsi="宋体"/>
          <w:sz w:val="24"/>
        </w:rPr>
        <w:t>15.1供应商应当将资格文件、商务技术文件和报价文件三部分分别导入相应位置，各文件之间不得混装；</w:t>
      </w:r>
    </w:p>
    <w:p w14:paraId="7F525E6B">
      <w:pPr>
        <w:spacing w:line="360" w:lineRule="auto"/>
        <w:ind w:firstLine="480" w:firstLineChars="200"/>
        <w:rPr>
          <w:rFonts w:hint="eastAsia" w:ascii="宋体" w:hAnsi="宋体"/>
          <w:b/>
          <w:sz w:val="24"/>
        </w:rPr>
      </w:pPr>
      <w:r>
        <w:rPr>
          <w:rFonts w:hint="eastAsia" w:ascii="宋体" w:hAnsi="宋体"/>
          <w:sz w:val="24"/>
        </w:rPr>
        <w:t>15.2</w:t>
      </w:r>
      <w:r>
        <w:rPr>
          <w:rFonts w:hint="eastAsia" w:ascii="宋体" w:hAnsi="宋体"/>
          <w:b/>
          <w:sz w:val="24"/>
        </w:rPr>
        <w:t>电子响应文件按政采云平台供应商项目采购-电子招投标操作指南进行加密；</w:t>
      </w:r>
      <w:r>
        <w:rPr>
          <w:rFonts w:hint="eastAsia" w:ascii="新宋体" w:hAnsi="新宋体" w:eastAsia="新宋体"/>
          <w:sz w:val="24"/>
        </w:rPr>
        <w:t>将最后生成的具有电子签章的备份响应文件进行压缩并加密。</w:t>
      </w:r>
    </w:p>
    <w:p w14:paraId="15FD330C">
      <w:pPr>
        <w:spacing w:line="360" w:lineRule="auto"/>
        <w:ind w:firstLine="482" w:firstLineChars="200"/>
        <w:rPr>
          <w:rFonts w:hint="eastAsia" w:ascii="宋体" w:hAnsi="宋体"/>
          <w:b/>
          <w:sz w:val="24"/>
        </w:rPr>
      </w:pPr>
      <w:r>
        <w:rPr>
          <w:rFonts w:hint="eastAsia" w:ascii="宋体" w:hAnsi="宋体"/>
          <w:b/>
          <w:sz w:val="24"/>
        </w:rPr>
        <w:t>16</w:t>
      </w:r>
      <w:r>
        <w:rPr>
          <w:rFonts w:ascii="宋体" w:hAnsi="宋体"/>
          <w:b/>
          <w:sz w:val="24"/>
        </w:rPr>
        <w:t>.</w:t>
      </w:r>
      <w:r>
        <w:rPr>
          <w:rFonts w:hint="eastAsia" w:ascii="宋体" w:hAnsi="宋体"/>
          <w:b/>
          <w:sz w:val="24"/>
        </w:rPr>
        <w:t>响应文件的提交</w:t>
      </w:r>
    </w:p>
    <w:p w14:paraId="2D9C16B9">
      <w:pPr>
        <w:spacing w:line="360" w:lineRule="auto"/>
        <w:ind w:firstLine="240" w:firstLineChars="100"/>
        <w:rPr>
          <w:rFonts w:hint="eastAsia" w:ascii="宋体" w:hAnsi="宋体"/>
          <w:sz w:val="24"/>
        </w:rPr>
      </w:pPr>
      <w:r>
        <w:rPr>
          <w:rFonts w:hint="eastAsia" w:ascii="宋体" w:hAnsi="宋体"/>
          <w:bCs/>
          <w:sz w:val="24"/>
        </w:rPr>
        <w:t>▲</w:t>
      </w:r>
      <w:r>
        <w:rPr>
          <w:rFonts w:hint="eastAsia" w:ascii="宋体" w:hAnsi="宋体"/>
          <w:sz w:val="24"/>
        </w:rPr>
        <w:t>16.1响应文件提交截止时间和提交地点详见本章前附表。</w:t>
      </w:r>
    </w:p>
    <w:p w14:paraId="582075FF">
      <w:pPr>
        <w:spacing w:line="360" w:lineRule="auto"/>
        <w:ind w:firstLine="480" w:firstLineChars="200"/>
        <w:rPr>
          <w:rFonts w:hint="eastAsia"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的电子响应</w:t>
      </w:r>
      <w:r>
        <w:rPr>
          <w:rFonts w:ascii="宋体" w:hAnsi="宋体"/>
          <w:sz w:val="24"/>
        </w:rPr>
        <w:t>文件</w:t>
      </w:r>
      <w:r>
        <w:rPr>
          <w:rFonts w:hint="eastAsia" w:ascii="宋体" w:hAnsi="宋体"/>
          <w:sz w:val="24"/>
        </w:rPr>
        <w:t>情形：</w:t>
      </w:r>
    </w:p>
    <w:p w14:paraId="705B99B7">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磋商截止时间前未完成传输的电子响应文件；</w:t>
      </w:r>
    </w:p>
    <w:p w14:paraId="0524F8C5">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未生成加密的电子响应文件；</w:t>
      </w:r>
    </w:p>
    <w:p w14:paraId="766857A2">
      <w:pPr>
        <w:spacing w:line="360" w:lineRule="auto"/>
        <w:ind w:firstLine="480" w:firstLineChars="200"/>
        <w:rPr>
          <w:rFonts w:hint="eastAsia" w:ascii="宋体" w:hAnsi="宋体"/>
          <w:sz w:val="24"/>
        </w:rPr>
      </w:pPr>
      <w:r>
        <w:rPr>
          <w:rFonts w:hint="eastAsia" w:ascii="宋体" w:hAnsi="宋体"/>
          <w:sz w:val="24"/>
        </w:rPr>
        <w:t>⑶在规定时间内未解密的电子响应文件或者解密不成功又未在规定时间内提交备份响应文件的。</w:t>
      </w:r>
    </w:p>
    <w:p w14:paraId="1BF6D94A">
      <w:pPr>
        <w:spacing w:line="360" w:lineRule="auto"/>
        <w:ind w:firstLine="482" w:firstLineChars="200"/>
        <w:rPr>
          <w:rFonts w:hint="eastAsia" w:ascii="宋体" w:hAnsi="宋体"/>
          <w:b/>
          <w:sz w:val="24"/>
        </w:rPr>
      </w:pPr>
      <w:r>
        <w:rPr>
          <w:rFonts w:hint="eastAsia" w:ascii="宋体" w:hAnsi="宋体"/>
          <w:b/>
          <w:sz w:val="24"/>
        </w:rPr>
        <w:t>17</w:t>
      </w:r>
      <w:r>
        <w:rPr>
          <w:rFonts w:ascii="宋体" w:hAnsi="宋体"/>
          <w:b/>
          <w:sz w:val="24"/>
        </w:rPr>
        <w:t>.</w:t>
      </w:r>
      <w:r>
        <w:rPr>
          <w:rFonts w:hint="eastAsia" w:ascii="宋体" w:hAnsi="宋体"/>
          <w:b/>
          <w:sz w:val="24"/>
        </w:rPr>
        <w:t>响应文件的修改和撤回</w:t>
      </w:r>
    </w:p>
    <w:p w14:paraId="67FAB409">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.1</w:t>
      </w:r>
      <w:r>
        <w:rPr>
          <w:rFonts w:hint="eastAsia" w:ascii="宋体" w:hAnsi="宋体"/>
          <w:sz w:val="24"/>
        </w:rPr>
        <w:t>在提交响应文件截止时间前，可以修改或撤回其响应文件：</w:t>
      </w:r>
      <w:r>
        <w:rPr>
          <w:rFonts w:hint="eastAsia" w:ascii="宋体" w:hAnsi="宋体"/>
          <w:b/>
          <w:sz w:val="24"/>
        </w:rPr>
        <w:t>（1）电子响应文件补充、修改或撤回的，应当先行撤回原文件，补充、修改后重新传输提交；（2）备份响应文件补充、修改或撤回的应以书面形式通知采购代理机构。</w:t>
      </w:r>
    </w:p>
    <w:p w14:paraId="17D9BA67">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.2</w:t>
      </w:r>
      <w:r>
        <w:rPr>
          <w:rFonts w:hint="eastAsia" w:ascii="宋体" w:hAnsi="宋体"/>
          <w:sz w:val="24"/>
        </w:rPr>
        <w:t>修改后重新提交的响应文件应按磋商文件的规定编制、标记和提交。</w:t>
      </w:r>
    </w:p>
    <w:p w14:paraId="16D0C1EF">
      <w:pPr>
        <w:spacing w:line="360" w:lineRule="auto"/>
        <w:ind w:firstLine="236" w:firstLineChars="98"/>
        <w:rPr>
          <w:rFonts w:hint="eastAsia" w:ascii="宋体" w:hAnsi="宋体"/>
          <w:sz w:val="24"/>
        </w:rPr>
      </w:pPr>
      <w:r>
        <w:rPr>
          <w:rFonts w:hint="eastAsia" w:ascii="宋体" w:hAnsi="宋体"/>
          <w:b/>
          <w:bCs/>
          <w:sz w:val="24"/>
        </w:rPr>
        <w:t>▲</w:t>
      </w:r>
      <w:r>
        <w:rPr>
          <w:rFonts w:hint="eastAsia" w:ascii="宋体" w:hAnsi="宋体"/>
          <w:sz w:val="24"/>
        </w:rPr>
        <w:t>17</w:t>
      </w:r>
      <w:r>
        <w:rPr>
          <w:rFonts w:ascii="宋体" w:hAnsi="宋体"/>
          <w:sz w:val="24"/>
        </w:rPr>
        <w:t>.3</w:t>
      </w:r>
      <w:r>
        <w:rPr>
          <w:rFonts w:hint="eastAsia" w:ascii="宋体" w:hAnsi="宋体"/>
          <w:sz w:val="24"/>
        </w:rPr>
        <w:t>在提交响应文件截止时间后,供应商不得修改、撤回已提交的响应文件。</w:t>
      </w:r>
    </w:p>
    <w:p w14:paraId="61ACB05C">
      <w:pPr>
        <w:spacing w:line="360" w:lineRule="auto"/>
        <w:ind w:firstLine="236" w:firstLineChars="98"/>
        <w:rPr>
          <w:rFonts w:hint="eastAsia" w:ascii="宋体" w:hAnsi="宋体"/>
        </w:rPr>
      </w:pPr>
      <w:r>
        <w:rPr>
          <w:rFonts w:hint="eastAsia" w:ascii="宋体" w:hAnsi="宋体"/>
          <w:b/>
          <w:sz w:val="24"/>
        </w:rPr>
        <w:t>▲17.4补充、修改后的电子响应文件、备份响应文件内容均应相同。</w:t>
      </w:r>
    </w:p>
    <w:p w14:paraId="38F69EA7">
      <w:pPr>
        <w:pStyle w:val="4"/>
        <w:ind w:firstLine="643"/>
        <w:rPr>
          <w:rFonts w:hint="eastAsia" w:ascii="宋体" w:hAnsi="宋体"/>
          <w:sz w:val="32"/>
        </w:rPr>
      </w:pPr>
      <w:bookmarkStart w:id="179" w:name="_Toc107820050"/>
      <w:bookmarkStart w:id="180" w:name="_Toc390938580"/>
      <w:bookmarkStart w:id="181" w:name="_Toc495479097"/>
      <w:bookmarkStart w:id="182" w:name="_Toc10365"/>
      <w:bookmarkStart w:id="183" w:name="_Toc23114"/>
      <w:bookmarkStart w:id="184" w:name="_Toc94277244"/>
      <w:bookmarkStart w:id="185" w:name="_Toc11005"/>
      <w:bookmarkStart w:id="186" w:name="_Toc26253"/>
      <w:bookmarkStart w:id="187" w:name="_Toc27550"/>
      <w:r>
        <w:rPr>
          <w:rFonts w:hint="eastAsia" w:ascii="宋体" w:hAnsi="宋体"/>
          <w:sz w:val="32"/>
        </w:rPr>
        <w:t>五</w:t>
      </w:r>
      <w:r>
        <w:rPr>
          <w:rFonts w:ascii="宋体" w:hAnsi="宋体"/>
          <w:sz w:val="32"/>
        </w:rPr>
        <w:t xml:space="preserve">  </w:t>
      </w:r>
      <w:r>
        <w:rPr>
          <w:rFonts w:hint="eastAsia" w:ascii="宋体" w:hAnsi="宋体"/>
          <w:sz w:val="32"/>
        </w:rPr>
        <w:t xml:space="preserve"> </w:t>
      </w:r>
      <w:bookmarkEnd w:id="179"/>
      <w:r>
        <w:rPr>
          <w:rFonts w:hint="eastAsia" w:ascii="宋体" w:hAnsi="宋体"/>
          <w:sz w:val="32"/>
        </w:rPr>
        <w:t>磋商会议和磋商</w:t>
      </w:r>
      <w:bookmarkEnd w:id="180"/>
      <w:bookmarkEnd w:id="181"/>
      <w:r>
        <w:rPr>
          <w:rFonts w:hint="eastAsia" w:ascii="宋体" w:hAnsi="宋体"/>
          <w:sz w:val="32"/>
        </w:rPr>
        <w:t>评审</w:t>
      </w:r>
      <w:bookmarkEnd w:id="182"/>
      <w:bookmarkEnd w:id="183"/>
      <w:bookmarkEnd w:id="184"/>
      <w:bookmarkEnd w:id="185"/>
      <w:bookmarkEnd w:id="186"/>
      <w:bookmarkEnd w:id="187"/>
    </w:p>
    <w:p w14:paraId="68312F5A">
      <w:pPr>
        <w:spacing w:line="360" w:lineRule="auto"/>
        <w:ind w:firstLine="482" w:firstLineChars="200"/>
        <w:rPr>
          <w:rFonts w:hint="eastAsia" w:ascii="宋体" w:hAnsi="宋体"/>
          <w:b/>
          <w:sz w:val="24"/>
        </w:rPr>
      </w:pPr>
      <w:r>
        <w:rPr>
          <w:rFonts w:hint="eastAsia" w:ascii="宋体" w:hAnsi="宋体"/>
          <w:b/>
          <w:sz w:val="24"/>
        </w:rPr>
        <w:t>18．磋商会议</w:t>
      </w:r>
    </w:p>
    <w:p w14:paraId="41F282DC">
      <w:pPr>
        <w:spacing w:line="360" w:lineRule="auto"/>
        <w:ind w:firstLine="482" w:firstLineChars="200"/>
        <w:rPr>
          <w:rFonts w:hint="eastAsia" w:ascii="宋体" w:hAnsi="宋体"/>
          <w:b/>
          <w:sz w:val="24"/>
        </w:rPr>
      </w:pPr>
      <w:r>
        <w:rPr>
          <w:rFonts w:hint="eastAsia" w:ascii="宋体" w:hAnsi="宋体"/>
          <w:b/>
          <w:sz w:val="24"/>
        </w:rPr>
        <w:t>18.1优先采用电子响应文件进行磋商、评审，电子响应文件未按时解密的，采用备份响应文件磋商、评审。</w:t>
      </w:r>
    </w:p>
    <w:p w14:paraId="0F9312BC">
      <w:pPr>
        <w:snapToGrid w:val="0"/>
        <w:spacing w:line="360" w:lineRule="auto"/>
        <w:ind w:firstLine="480" w:firstLineChars="200"/>
        <w:jc w:val="left"/>
        <w:rPr>
          <w:rFonts w:hint="eastAsia" w:ascii="宋体" w:hAnsi="宋体" w:cs="Arial"/>
          <w:b/>
          <w:kern w:val="0"/>
          <w:szCs w:val="21"/>
        </w:rPr>
      </w:pPr>
      <w:r>
        <w:rPr>
          <w:rFonts w:hint="eastAsia" w:ascii="宋体" w:hAnsi="宋体"/>
          <w:sz w:val="24"/>
        </w:rPr>
        <w:t>18</w:t>
      </w:r>
      <w:r>
        <w:rPr>
          <w:rFonts w:ascii="宋体" w:hAnsi="宋体"/>
          <w:sz w:val="24"/>
        </w:rPr>
        <w:t>.</w:t>
      </w:r>
      <w:r>
        <w:rPr>
          <w:rFonts w:hint="eastAsia" w:ascii="宋体" w:hAnsi="宋体"/>
          <w:sz w:val="24"/>
        </w:rPr>
        <w:t>2采购代理机构在磋商文件规定的时间和地点组织磋商会议，建议</w:t>
      </w:r>
      <w:r>
        <w:rPr>
          <w:rFonts w:hint="eastAsia" w:ascii="新宋体" w:hAnsi="新宋体" w:eastAsia="新宋体"/>
          <w:sz w:val="24"/>
        </w:rPr>
        <w:t>供应商安排授权代表前往磋商会议现场，供应商若不安排人员到场的须准时在线参加，否则产生的风险由供应商自行承担。</w:t>
      </w:r>
    </w:p>
    <w:p w14:paraId="18425D7D">
      <w:pPr>
        <w:spacing w:line="360" w:lineRule="auto"/>
        <w:ind w:firstLine="480" w:firstLineChars="200"/>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磋商会议由采购代理机构主持，主持人介绍项目前期基本情况，宣布评审期间的有关事项。</w:t>
      </w:r>
      <w:r>
        <w:rPr>
          <w:rFonts w:hint="eastAsia" w:ascii="宋体" w:hAnsi="宋体" w:cs="仿宋_GB2312"/>
          <w:bCs/>
          <w:sz w:val="24"/>
        </w:rPr>
        <w:t>由代理机构工作人员开启</w:t>
      </w:r>
      <w:r>
        <w:rPr>
          <w:rFonts w:hint="eastAsia" w:ascii="宋体" w:hAnsi="宋体"/>
          <w:bCs/>
          <w:sz w:val="24"/>
        </w:rPr>
        <w:t>电子响应文件解密通道，解密时限以政采云电子交易平台为准</w:t>
      </w:r>
      <w:r>
        <w:rPr>
          <w:rFonts w:hint="eastAsia" w:ascii="宋体" w:hAnsi="宋体"/>
          <w:sz w:val="24"/>
        </w:rPr>
        <w:t>。</w:t>
      </w:r>
    </w:p>
    <w:p w14:paraId="450937D0">
      <w:pPr>
        <w:spacing w:line="360" w:lineRule="auto"/>
        <w:ind w:firstLine="480" w:firstLineChars="200"/>
        <w:rPr>
          <w:rFonts w:hint="eastAsia" w:ascii="宋体" w:hAnsi="宋体"/>
          <w:bCs/>
          <w:sz w:val="24"/>
        </w:rPr>
      </w:pPr>
      <w:r>
        <w:rPr>
          <w:rFonts w:hint="eastAsia" w:ascii="宋体" w:hAnsi="宋体" w:cs="仿宋_GB2312"/>
          <w:bCs/>
          <w:sz w:val="24"/>
        </w:rPr>
        <w:t>18.4电子响应文件无法解密的，代理机构</w:t>
      </w:r>
      <w:r>
        <w:rPr>
          <w:rFonts w:hint="eastAsia" w:ascii="宋体" w:hAnsi="宋体"/>
          <w:bCs/>
          <w:sz w:val="24"/>
        </w:rPr>
        <w:t>通过电子交易平台“异常处理”通道上传备份响应文件，上传之前须由供应商代表提供备份响应文件密码进行解密。</w:t>
      </w:r>
    </w:p>
    <w:p w14:paraId="0DAEF145">
      <w:pPr>
        <w:spacing w:line="360" w:lineRule="auto"/>
        <w:ind w:firstLine="480" w:firstLineChars="200"/>
        <w:rPr>
          <w:rFonts w:hint="eastAsia" w:ascii="宋体" w:hAnsi="宋体"/>
          <w:sz w:val="24"/>
        </w:rPr>
      </w:pPr>
      <w:r>
        <w:rPr>
          <w:rFonts w:hint="eastAsia" w:ascii="宋体" w:hAnsi="宋体" w:cs="仿宋_GB2312"/>
          <w:sz w:val="24"/>
        </w:rPr>
        <w:t>18.5</w:t>
      </w:r>
      <w:r>
        <w:rPr>
          <w:rFonts w:hint="eastAsia" w:ascii="宋体" w:hAnsi="宋体" w:cs="仿宋_GB2312"/>
          <w:kern w:val="0"/>
          <w:sz w:val="24"/>
        </w:rPr>
        <w:t>解密成功的供应商不足三家的，按相关规定重新组织采购。</w:t>
      </w:r>
    </w:p>
    <w:p w14:paraId="0B6A9B38">
      <w:pPr>
        <w:spacing w:line="360" w:lineRule="auto"/>
        <w:ind w:firstLine="480" w:firstLineChars="200"/>
        <w:rPr>
          <w:rFonts w:hint="eastAsia" w:ascii="宋体" w:hAnsi="宋体"/>
          <w:sz w:val="24"/>
        </w:rPr>
      </w:pPr>
      <w:r>
        <w:rPr>
          <w:rFonts w:hint="eastAsia" w:ascii="宋体" w:hAnsi="宋体"/>
          <w:sz w:val="24"/>
        </w:rPr>
        <w:t>18.6供应商根据解密后交易平台公布的供应商名单及信息，通过现场或邮件方式提交《政府采购活动现场确认声明书》（详见第五章格式），提交时间在名单公布后的20分钟内。</w:t>
      </w:r>
    </w:p>
    <w:p w14:paraId="13D15AD6">
      <w:pPr>
        <w:spacing w:line="360" w:lineRule="auto"/>
        <w:ind w:firstLine="480" w:firstLineChars="200"/>
        <w:rPr>
          <w:rFonts w:hint="eastAsia" w:ascii="宋体" w:hAnsi="宋体"/>
          <w:sz w:val="24"/>
        </w:rPr>
      </w:pPr>
      <w:r>
        <w:rPr>
          <w:rFonts w:hint="eastAsia" w:ascii="宋体" w:hAnsi="宋体"/>
          <w:sz w:val="24"/>
        </w:rPr>
        <w:t>18.7供应商认为采购人员及相关人员与其他供应商有利害关系的，可通过现场或邮件方式向采购代理机构提出回避申请，并说明理由，申请须由供应商代表签字或盖章。</w:t>
      </w:r>
    </w:p>
    <w:p w14:paraId="61966CA7">
      <w:pPr>
        <w:spacing w:line="360" w:lineRule="auto"/>
        <w:ind w:firstLine="480" w:firstLineChars="200"/>
        <w:jc w:val="left"/>
        <w:rPr>
          <w:rFonts w:hint="eastAsia" w:ascii="宋体" w:hAnsi="宋体"/>
          <w:kern w:val="0"/>
          <w:sz w:val="24"/>
        </w:rPr>
      </w:pPr>
      <w:r>
        <w:rPr>
          <w:rFonts w:hint="eastAsia" w:ascii="宋体" w:hAnsi="宋体"/>
          <w:kern w:val="0"/>
          <w:sz w:val="24"/>
        </w:rPr>
        <w:t>18</w:t>
      </w:r>
      <w:r>
        <w:rPr>
          <w:rFonts w:ascii="宋体" w:hAnsi="宋体"/>
          <w:kern w:val="0"/>
          <w:sz w:val="24"/>
        </w:rPr>
        <w:t>.</w:t>
      </w:r>
      <w:r>
        <w:rPr>
          <w:rFonts w:hint="eastAsia" w:ascii="宋体" w:hAnsi="宋体"/>
          <w:kern w:val="0"/>
          <w:sz w:val="24"/>
        </w:rPr>
        <w:t>8采购</w:t>
      </w:r>
      <w:r>
        <w:rPr>
          <w:rFonts w:ascii="宋体" w:hAnsi="宋体"/>
          <w:kern w:val="0"/>
          <w:sz w:val="24"/>
        </w:rPr>
        <w:t>代理机构做好</w:t>
      </w:r>
      <w:r>
        <w:rPr>
          <w:rFonts w:hint="eastAsia" w:ascii="宋体" w:hAnsi="宋体"/>
          <w:kern w:val="0"/>
          <w:sz w:val="24"/>
        </w:rPr>
        <w:t>会议记录，供应商在解密完成后可查看供应商名单。</w:t>
      </w:r>
    </w:p>
    <w:p w14:paraId="62D32340">
      <w:pPr>
        <w:spacing w:line="360" w:lineRule="auto"/>
        <w:ind w:firstLine="480" w:firstLineChars="200"/>
        <w:rPr>
          <w:rFonts w:hint="eastAsia" w:ascii="宋体" w:hAnsi="宋体"/>
          <w:kern w:val="0"/>
          <w:sz w:val="24"/>
        </w:rPr>
      </w:pPr>
      <w:r>
        <w:rPr>
          <w:rFonts w:hint="eastAsia" w:ascii="宋体" w:hAnsi="宋体"/>
          <w:kern w:val="0"/>
          <w:sz w:val="24"/>
        </w:rPr>
        <w:t>18.9供应商对记录表有疑义的，</w:t>
      </w:r>
      <w:r>
        <w:rPr>
          <w:rFonts w:hint="eastAsia" w:ascii="宋体" w:hAnsi="宋体"/>
          <w:sz w:val="24"/>
        </w:rPr>
        <w:t>供应商代表在磋商会议结束前可以向采购代理机构通过现场或邮件方式</w:t>
      </w:r>
      <w:r>
        <w:rPr>
          <w:rFonts w:hint="eastAsia" w:ascii="宋体" w:hAnsi="宋体"/>
          <w:b/>
          <w:bCs/>
          <w:sz w:val="24"/>
        </w:rPr>
        <w:t>（lszzzbzx@126.com）</w:t>
      </w:r>
      <w:r>
        <w:rPr>
          <w:rFonts w:hint="eastAsia" w:ascii="宋体" w:hAnsi="宋体"/>
          <w:sz w:val="24"/>
        </w:rPr>
        <w:t>提出申请，并说明理由，申请须由供应商代表签字或盖章。</w:t>
      </w:r>
    </w:p>
    <w:p w14:paraId="58FC2D42">
      <w:pPr>
        <w:spacing w:line="360" w:lineRule="auto"/>
        <w:ind w:firstLine="480" w:firstLineChars="200"/>
        <w:rPr>
          <w:rFonts w:hint="eastAsia" w:ascii="宋体" w:hAnsi="宋体"/>
          <w:kern w:val="0"/>
          <w:sz w:val="24"/>
        </w:rPr>
      </w:pPr>
      <w:r>
        <w:rPr>
          <w:rFonts w:hint="eastAsia" w:ascii="宋体" w:hAnsi="宋体"/>
          <w:kern w:val="0"/>
          <w:sz w:val="24"/>
        </w:rPr>
        <w:t>18.10 磋商</w:t>
      </w:r>
      <w:r>
        <w:rPr>
          <w:rFonts w:ascii="宋体" w:hAnsi="宋体"/>
          <w:kern w:val="0"/>
          <w:sz w:val="24"/>
        </w:rPr>
        <w:t>会议结束。</w:t>
      </w:r>
    </w:p>
    <w:p w14:paraId="5D61231A">
      <w:pPr>
        <w:spacing w:line="360" w:lineRule="auto"/>
        <w:ind w:firstLine="482" w:firstLineChars="200"/>
        <w:rPr>
          <w:rFonts w:hint="eastAsia" w:ascii="宋体" w:hAnsi="宋体"/>
          <w:b/>
          <w:sz w:val="24"/>
        </w:rPr>
      </w:pPr>
      <w:r>
        <w:rPr>
          <w:rFonts w:hint="eastAsia" w:ascii="宋体" w:hAnsi="宋体"/>
          <w:b/>
          <w:sz w:val="24"/>
        </w:rPr>
        <w:t>19</w:t>
      </w:r>
      <w:r>
        <w:rPr>
          <w:rFonts w:ascii="宋体" w:hAnsi="宋体"/>
          <w:b/>
          <w:sz w:val="24"/>
        </w:rPr>
        <w:t xml:space="preserve">. </w:t>
      </w:r>
      <w:r>
        <w:rPr>
          <w:rFonts w:hint="eastAsia" w:ascii="宋体" w:hAnsi="宋体"/>
          <w:b/>
          <w:sz w:val="24"/>
        </w:rPr>
        <w:t>资格审查</w:t>
      </w:r>
    </w:p>
    <w:p w14:paraId="728C8C63">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按资格</w:t>
      </w:r>
      <w:r>
        <w:rPr>
          <w:rFonts w:ascii="宋体" w:hAnsi="宋体"/>
          <w:sz w:val="24"/>
        </w:rPr>
        <w:t>要求对</w:t>
      </w:r>
      <w:r>
        <w:rPr>
          <w:rFonts w:hint="eastAsia" w:ascii="宋体" w:hAnsi="宋体"/>
          <w:sz w:val="24"/>
        </w:rPr>
        <w:t>供应商</w:t>
      </w:r>
      <w:r>
        <w:rPr>
          <w:rFonts w:ascii="宋体" w:hAnsi="宋体"/>
          <w:sz w:val="24"/>
        </w:rPr>
        <w:t>进行资格</w:t>
      </w:r>
      <w:r>
        <w:rPr>
          <w:rFonts w:hint="eastAsia" w:ascii="宋体" w:hAnsi="宋体"/>
          <w:sz w:val="24"/>
        </w:rPr>
        <w:t>审查及记录，资格审查顺序为电子交易平台解密后自动生成的“投标（响应）文件签收登记表”名单顺序。</w:t>
      </w:r>
    </w:p>
    <w:p w14:paraId="14F29A0B">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.2 </w:t>
      </w:r>
      <w:r>
        <w:rPr>
          <w:rFonts w:hint="eastAsia" w:ascii="宋体" w:hAnsi="宋体"/>
          <w:sz w:val="24"/>
        </w:rPr>
        <w:t>经资格审查合格</w:t>
      </w:r>
      <w:r>
        <w:rPr>
          <w:rFonts w:ascii="宋体" w:hAnsi="宋体"/>
          <w:sz w:val="24"/>
        </w:rPr>
        <w:t>的</w:t>
      </w:r>
      <w:r>
        <w:rPr>
          <w:rFonts w:hint="eastAsia" w:ascii="宋体" w:hAnsi="宋体"/>
          <w:sz w:val="24"/>
        </w:rPr>
        <w:t>供应商</w:t>
      </w:r>
      <w:r>
        <w:rPr>
          <w:rFonts w:ascii="宋体" w:hAnsi="宋体"/>
          <w:sz w:val="24"/>
        </w:rPr>
        <w:t>不足</w:t>
      </w:r>
      <w:r>
        <w:rPr>
          <w:rFonts w:hint="eastAsia" w:ascii="宋体" w:hAnsi="宋体"/>
          <w:sz w:val="24"/>
        </w:rPr>
        <w:t>三家</w:t>
      </w:r>
      <w:r>
        <w:rPr>
          <w:rFonts w:ascii="宋体" w:hAnsi="宋体"/>
          <w:sz w:val="24"/>
        </w:rPr>
        <w:t>的，</w:t>
      </w:r>
      <w:r>
        <w:rPr>
          <w:rFonts w:hint="eastAsia" w:ascii="宋体" w:hAnsi="宋体" w:cs="宋体"/>
          <w:sz w:val="24"/>
        </w:rPr>
        <w:t>按相关规定重新组织采购。</w:t>
      </w:r>
    </w:p>
    <w:p w14:paraId="3A0C5703">
      <w:pPr>
        <w:spacing w:line="360" w:lineRule="auto"/>
        <w:ind w:firstLine="482" w:firstLineChars="200"/>
        <w:rPr>
          <w:rFonts w:hint="eastAsia"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磋商流程：详见第六章。</w:t>
      </w:r>
    </w:p>
    <w:p w14:paraId="0672DEB7">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w:t>
      </w:r>
      <w:r>
        <w:rPr>
          <w:rFonts w:ascii="宋体" w:hAnsi="宋体"/>
          <w:b/>
          <w:sz w:val="24"/>
        </w:rPr>
        <w:t>.</w:t>
      </w:r>
      <w:r>
        <w:rPr>
          <w:rFonts w:hint="eastAsia" w:ascii="宋体" w:hAnsi="宋体"/>
          <w:b/>
          <w:sz w:val="24"/>
        </w:rPr>
        <w:t>响应文件的澄清</w:t>
      </w:r>
    </w:p>
    <w:p w14:paraId="7FD6D709">
      <w:pPr>
        <w:spacing w:line="360" w:lineRule="auto"/>
        <w:ind w:firstLine="480" w:firstLineChars="200"/>
        <w:rPr>
          <w:rFonts w:hint="eastAsia" w:ascii="宋体" w:hAnsi="宋体"/>
          <w:sz w:val="24"/>
        </w:rPr>
      </w:pPr>
      <w:r>
        <w:rPr>
          <w:rFonts w:hint="eastAsia" w:ascii="宋体" w:hAnsi="宋体"/>
          <w:sz w:val="24"/>
          <w:szCs w:val="22"/>
        </w:rPr>
        <w:t>21.1</w:t>
      </w:r>
      <w:r>
        <w:rPr>
          <w:rFonts w:ascii="宋体" w:hAnsi="宋体"/>
          <w:sz w:val="24"/>
          <w:szCs w:val="22"/>
        </w:rPr>
        <w:t xml:space="preserve"> </w:t>
      </w:r>
      <w:r>
        <w:rPr>
          <w:rFonts w:hint="eastAsia" w:ascii="宋体" w:hAnsi="宋体"/>
          <w:sz w:val="24"/>
          <w:szCs w:val="22"/>
        </w:rPr>
        <w:t>对响应文件中含义不明确、同类问题表述不一致或者有明显文字和计算错误的内容，</w:t>
      </w:r>
      <w:r>
        <w:rPr>
          <w:rFonts w:hint="eastAsia" w:ascii="宋体" w:hAnsi="宋体"/>
          <w:sz w:val="24"/>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70047C30">
      <w:pPr>
        <w:spacing w:line="360" w:lineRule="auto"/>
        <w:ind w:firstLine="480" w:firstLineChars="200"/>
        <w:rPr>
          <w:rFonts w:hint="eastAsia" w:ascii="宋体" w:hAnsi="宋体"/>
          <w:sz w:val="24"/>
        </w:rPr>
      </w:pPr>
      <w:r>
        <w:rPr>
          <w:rFonts w:hint="eastAsia" w:ascii="宋体" w:hAnsi="宋体"/>
          <w:sz w:val="24"/>
        </w:rPr>
        <w:t>21.2</w:t>
      </w:r>
      <w:r>
        <w:rPr>
          <w:rFonts w:ascii="宋体" w:hAnsi="宋体"/>
          <w:sz w:val="24"/>
        </w:rPr>
        <w:t xml:space="preserve"> </w:t>
      </w:r>
      <w:r>
        <w:rPr>
          <w:rFonts w:hint="eastAsia" w:ascii="宋体" w:hAnsi="宋体"/>
          <w:sz w:val="24"/>
        </w:rPr>
        <w:t>磋商过程</w:t>
      </w:r>
      <w:r>
        <w:rPr>
          <w:rFonts w:ascii="宋体" w:hAnsi="宋体"/>
          <w:sz w:val="24"/>
        </w:rPr>
        <w:t>中，实</w:t>
      </w:r>
      <w:r>
        <w:rPr>
          <w:rFonts w:hint="eastAsia" w:ascii="宋体" w:hAnsi="宋体"/>
          <w:sz w:val="24"/>
        </w:rPr>
        <w:t>质</w:t>
      </w:r>
      <w:r>
        <w:rPr>
          <w:rFonts w:ascii="宋体" w:hAnsi="宋体"/>
          <w:sz w:val="24"/>
        </w:rPr>
        <w:t>性变动的</w:t>
      </w:r>
      <w:r>
        <w:rPr>
          <w:rFonts w:hint="eastAsia" w:ascii="宋体" w:hAnsi="宋体"/>
          <w:sz w:val="24"/>
        </w:rPr>
        <w:t>内容</w:t>
      </w:r>
      <w:r>
        <w:rPr>
          <w:rFonts w:ascii="宋体" w:hAnsi="宋体"/>
          <w:sz w:val="24"/>
        </w:rPr>
        <w:t>，经采购人</w:t>
      </w:r>
      <w:r>
        <w:rPr>
          <w:rFonts w:hint="eastAsia" w:ascii="宋体" w:hAnsi="宋体"/>
          <w:sz w:val="24"/>
        </w:rPr>
        <w:t>代表确认后，</w:t>
      </w:r>
      <w:r>
        <w:rPr>
          <w:rFonts w:ascii="宋体" w:hAnsi="宋体"/>
          <w:sz w:val="24"/>
        </w:rPr>
        <w:t>磋商小组可以根据磋商文件和磋商情况</w:t>
      </w:r>
      <w:r>
        <w:rPr>
          <w:rFonts w:hint="eastAsia" w:ascii="宋体" w:hAnsi="宋体"/>
          <w:sz w:val="24"/>
        </w:rPr>
        <w:t>实质性</w:t>
      </w:r>
      <w:r>
        <w:rPr>
          <w:rFonts w:ascii="宋体" w:hAnsi="宋体"/>
          <w:sz w:val="24"/>
        </w:rPr>
        <w:t>变动</w:t>
      </w:r>
      <w:r>
        <w:rPr>
          <w:rFonts w:hint="eastAsia" w:ascii="宋体" w:hAnsi="宋体"/>
          <w:sz w:val="24"/>
        </w:rPr>
        <w:t>采购</w:t>
      </w:r>
      <w:r>
        <w:rPr>
          <w:rFonts w:ascii="宋体" w:hAnsi="宋体"/>
          <w:sz w:val="24"/>
        </w:rPr>
        <w:t>需求中的技术、服务要求以及合同草案条款，但不得变动磋商文件中其他内容</w:t>
      </w:r>
      <w:r>
        <w:rPr>
          <w:rFonts w:hint="eastAsia" w:ascii="宋体" w:hAnsi="宋体"/>
          <w:sz w:val="24"/>
        </w:rPr>
        <w:t>，</w:t>
      </w:r>
      <w:r>
        <w:rPr>
          <w:rFonts w:ascii="宋体" w:hAnsi="宋体"/>
          <w:sz w:val="24"/>
        </w:rPr>
        <w:t>否则</w:t>
      </w:r>
      <w:r>
        <w:rPr>
          <w:rFonts w:hint="eastAsia" w:ascii="宋体" w:hAnsi="宋体"/>
          <w:sz w:val="24"/>
        </w:rPr>
        <w:t>磋商</w:t>
      </w:r>
      <w:r>
        <w:rPr>
          <w:rFonts w:ascii="宋体" w:hAnsi="宋体"/>
          <w:sz w:val="24"/>
        </w:rPr>
        <w:t>小组不得变动</w:t>
      </w:r>
      <w:r>
        <w:rPr>
          <w:rFonts w:hint="eastAsia" w:ascii="宋体" w:hAnsi="宋体"/>
          <w:sz w:val="24"/>
        </w:rPr>
        <w:t>磋商</w:t>
      </w:r>
      <w:r>
        <w:rPr>
          <w:rFonts w:ascii="宋体" w:hAnsi="宋体"/>
          <w:sz w:val="24"/>
        </w:rPr>
        <w:t>文件中的实质性内容。</w:t>
      </w:r>
      <w:r>
        <w:rPr>
          <w:rFonts w:hint="eastAsia" w:ascii="宋体" w:hAnsi="宋体"/>
          <w:sz w:val="24"/>
        </w:rPr>
        <w:t>供应商应当</w:t>
      </w:r>
      <w:r>
        <w:rPr>
          <w:rFonts w:ascii="宋体" w:hAnsi="宋体"/>
          <w:sz w:val="24"/>
        </w:rPr>
        <w:t>根据</w:t>
      </w:r>
      <w:r>
        <w:rPr>
          <w:rFonts w:hint="eastAsia" w:ascii="宋体" w:hAnsi="宋体"/>
          <w:sz w:val="24"/>
        </w:rPr>
        <w:t>磋商</w:t>
      </w:r>
      <w:r>
        <w:rPr>
          <w:rFonts w:ascii="宋体" w:hAnsi="宋体"/>
          <w:sz w:val="24"/>
        </w:rPr>
        <w:t>变动</w:t>
      </w:r>
      <w:r>
        <w:rPr>
          <w:rFonts w:hint="eastAsia" w:ascii="宋体" w:hAnsi="宋体"/>
          <w:sz w:val="24"/>
        </w:rPr>
        <w:t>情况</w:t>
      </w:r>
      <w:r>
        <w:rPr>
          <w:rFonts w:ascii="宋体" w:hAnsi="宋体"/>
          <w:sz w:val="24"/>
        </w:rPr>
        <w:t>和</w:t>
      </w:r>
      <w:r>
        <w:rPr>
          <w:rFonts w:hint="eastAsia" w:ascii="宋体" w:hAnsi="宋体"/>
          <w:sz w:val="24"/>
        </w:rPr>
        <w:t>磋商</w:t>
      </w:r>
      <w:r>
        <w:rPr>
          <w:rFonts w:ascii="宋体" w:hAnsi="宋体"/>
          <w:sz w:val="24"/>
        </w:rPr>
        <w:t>小组的要求重新提交</w:t>
      </w:r>
      <w:r>
        <w:rPr>
          <w:rFonts w:hint="eastAsia" w:ascii="宋体" w:hAnsi="宋体"/>
          <w:sz w:val="24"/>
        </w:rPr>
        <w:t>响应</w:t>
      </w:r>
      <w:r>
        <w:rPr>
          <w:rFonts w:ascii="宋体" w:hAnsi="宋体"/>
          <w:sz w:val="24"/>
        </w:rPr>
        <w:t>内容，响应内容</w:t>
      </w:r>
      <w:r>
        <w:rPr>
          <w:rFonts w:hint="eastAsia" w:ascii="宋体" w:hAnsi="宋体"/>
          <w:sz w:val="24"/>
        </w:rPr>
        <w:t>应当通过电子交易平台交换数据电文的形式提交。</w:t>
      </w:r>
    </w:p>
    <w:p w14:paraId="771D2A75">
      <w:pPr>
        <w:spacing w:line="460" w:lineRule="exact"/>
        <w:ind w:firstLine="480" w:firstLineChars="200"/>
        <w:rPr>
          <w:rFonts w:hint="eastAsia" w:ascii="宋体" w:hAnsi="宋体"/>
          <w:sz w:val="24"/>
        </w:rPr>
      </w:pPr>
      <w:r>
        <w:rPr>
          <w:rFonts w:hint="eastAsia" w:ascii="宋体" w:hAnsi="宋体"/>
          <w:sz w:val="24"/>
        </w:rPr>
        <w:t>21.</w:t>
      </w:r>
      <w:r>
        <w:rPr>
          <w:rFonts w:ascii="宋体" w:hAnsi="宋体"/>
          <w:sz w:val="24"/>
        </w:rPr>
        <w:t xml:space="preserve">3 </w:t>
      </w:r>
      <w:r>
        <w:rPr>
          <w:rFonts w:hint="eastAsia" w:ascii="宋体" w:hAnsi="宋体"/>
          <w:sz w:val="24"/>
        </w:rPr>
        <w:t>报价算术错误将按以下方法修正：</w:t>
      </w:r>
    </w:p>
    <w:p w14:paraId="34F2AF6F">
      <w:pPr>
        <w:spacing w:line="460" w:lineRule="exact"/>
        <w:ind w:firstLine="480" w:firstLineChars="200"/>
        <w:rPr>
          <w:rFonts w:hint="eastAsia" w:ascii="宋体" w:hAnsi="宋体"/>
          <w:sz w:val="24"/>
        </w:rPr>
      </w:pPr>
      <w:r>
        <w:rPr>
          <w:rFonts w:hint="eastAsia" w:ascii="宋体" w:hAnsi="宋体"/>
          <w:sz w:val="24"/>
        </w:rPr>
        <w:t>（1）政采云系统填写的首轮报价和上传的报价不一致的，以上传的报价文件为准；</w:t>
      </w:r>
    </w:p>
    <w:p w14:paraId="5D410293">
      <w:pPr>
        <w:spacing w:line="460" w:lineRule="exact"/>
        <w:ind w:firstLine="436" w:firstLineChars="182"/>
        <w:rPr>
          <w:rFonts w:hint="eastAsia" w:ascii="宋体" w:hAnsi="宋体"/>
          <w:bCs/>
          <w:sz w:val="24"/>
        </w:rPr>
      </w:pPr>
      <w:r>
        <w:rPr>
          <w:rFonts w:hint="eastAsia" w:ascii="宋体" w:hAnsi="宋体"/>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报价文件</w:t>
      </w:r>
      <w:r>
        <w:rPr>
          <w:rFonts w:hint="eastAsia" w:ascii="宋体" w:hAnsi="宋体"/>
          <w:bCs/>
          <w:sz w:val="24"/>
        </w:rPr>
        <w:t>中明细表相应内容不一致的，以开标一览表（报价表）为准；</w:t>
      </w:r>
    </w:p>
    <w:p w14:paraId="220CA5A9">
      <w:pPr>
        <w:spacing w:line="460" w:lineRule="exact"/>
        <w:ind w:firstLine="436" w:firstLineChars="182"/>
        <w:rPr>
          <w:rFonts w:hint="eastAsia" w:ascii="宋体" w:hAnsi="宋体"/>
          <w:bCs/>
          <w:sz w:val="24"/>
        </w:rPr>
      </w:pPr>
      <w:r>
        <w:rPr>
          <w:rFonts w:hint="eastAsia" w:ascii="宋体" w:hAnsi="宋体"/>
          <w:bCs/>
          <w:sz w:val="24"/>
        </w:rPr>
        <w:t>（3）报价文件的大写金额和小写金额不一致的，以大写金额为准；</w:t>
      </w:r>
    </w:p>
    <w:p w14:paraId="5A3BF938">
      <w:pPr>
        <w:spacing w:line="460" w:lineRule="exact"/>
        <w:ind w:firstLine="436" w:firstLineChars="182"/>
        <w:rPr>
          <w:rFonts w:hint="eastAsia"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14:paraId="49D4B55B">
      <w:pPr>
        <w:spacing w:line="460" w:lineRule="exact"/>
        <w:ind w:firstLine="436" w:firstLineChars="182"/>
        <w:rPr>
          <w:rFonts w:hint="eastAsia"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14:paraId="003E4000">
      <w:pPr>
        <w:spacing w:line="460" w:lineRule="exact"/>
        <w:ind w:firstLine="436" w:firstLineChars="182"/>
        <w:rPr>
          <w:rFonts w:hint="eastAsia"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14:paraId="6F29EE9A">
      <w:pPr>
        <w:spacing w:line="460" w:lineRule="exact"/>
        <w:ind w:firstLine="436" w:firstLineChars="182"/>
        <w:rPr>
          <w:rFonts w:hint="eastAsia" w:ascii="宋体" w:hAnsi="宋体"/>
          <w:sz w:val="24"/>
        </w:rPr>
      </w:pPr>
      <w:r>
        <w:rPr>
          <w:rFonts w:hint="eastAsia" w:ascii="宋体" w:hAnsi="宋体"/>
          <w:bCs/>
          <w:sz w:val="24"/>
        </w:rPr>
        <w:t>（7）对不同文字文本</w:t>
      </w:r>
      <w:r>
        <w:rPr>
          <w:rFonts w:hint="eastAsia" w:ascii="宋体" w:hAnsi="宋体"/>
          <w:kern w:val="0"/>
          <w:sz w:val="24"/>
        </w:rPr>
        <w:t>响应文件</w:t>
      </w:r>
      <w:r>
        <w:rPr>
          <w:rFonts w:hint="eastAsia" w:ascii="宋体" w:hAnsi="宋体"/>
          <w:bCs/>
          <w:sz w:val="24"/>
        </w:rPr>
        <w:t>的解释发生异议的，以中文文本为准</w:t>
      </w:r>
      <w:r>
        <w:rPr>
          <w:rFonts w:ascii="宋体" w:hAnsi="宋体"/>
          <w:bCs/>
          <w:sz w:val="24"/>
        </w:rPr>
        <w:t>。</w:t>
      </w:r>
    </w:p>
    <w:p w14:paraId="36B38967">
      <w:pPr>
        <w:spacing w:line="460" w:lineRule="exact"/>
        <w:ind w:firstLine="480" w:firstLineChars="200"/>
        <w:rPr>
          <w:rFonts w:hint="eastAsia" w:ascii="宋体" w:hAnsi="宋体"/>
          <w:sz w:val="24"/>
        </w:rPr>
      </w:pPr>
      <w:r>
        <w:rPr>
          <w:rFonts w:hint="eastAsia" w:ascii="宋体" w:hAnsi="宋体"/>
          <w:sz w:val="24"/>
        </w:rPr>
        <w:t>（8）修正错误的磋商最终报价，供应商应当通过电子交易平台交换数据电文的形式提交，调整后的磋商最终报价对供应商具有约束作用。若供应商不接受修正后的磋商最终报价，则其响应</w:t>
      </w:r>
      <w:r>
        <w:rPr>
          <w:rFonts w:ascii="宋体" w:hAnsi="宋体"/>
          <w:sz w:val="24"/>
        </w:rPr>
        <w:t>文件</w:t>
      </w:r>
      <w:r>
        <w:rPr>
          <w:rFonts w:hint="eastAsia" w:ascii="宋体" w:hAnsi="宋体"/>
          <w:sz w:val="24"/>
        </w:rPr>
        <w:t>将作为无效响应处理。</w:t>
      </w:r>
    </w:p>
    <w:p w14:paraId="20AAF53C">
      <w:pPr>
        <w:spacing w:line="360" w:lineRule="auto"/>
        <w:ind w:firstLine="361" w:firstLineChars="150"/>
        <w:rPr>
          <w:rFonts w:hint="eastAsia" w:ascii="宋体" w:hAnsi="宋体"/>
          <w:b/>
          <w:sz w:val="24"/>
        </w:rPr>
      </w:pPr>
      <w:r>
        <w:rPr>
          <w:rFonts w:ascii="宋体" w:hAnsi="宋体"/>
          <w:b/>
          <w:sz w:val="24"/>
        </w:rPr>
        <w:t xml:space="preserve"> </w:t>
      </w:r>
      <w:r>
        <w:rPr>
          <w:rFonts w:hint="eastAsia" w:ascii="宋体" w:hAnsi="宋体"/>
          <w:b/>
          <w:sz w:val="24"/>
        </w:rPr>
        <w:t>22</w:t>
      </w:r>
      <w:r>
        <w:rPr>
          <w:rFonts w:ascii="宋体" w:hAnsi="宋体"/>
          <w:b/>
          <w:sz w:val="24"/>
        </w:rPr>
        <w:t>.</w:t>
      </w:r>
      <w:r>
        <w:rPr>
          <w:rFonts w:hint="eastAsia" w:ascii="宋体" w:hAnsi="宋体"/>
          <w:b/>
          <w:sz w:val="24"/>
        </w:rPr>
        <w:t>对响应文件的比较和评估</w:t>
      </w:r>
    </w:p>
    <w:p w14:paraId="598EB6D8">
      <w:pPr>
        <w:spacing w:line="360" w:lineRule="auto"/>
        <w:ind w:firstLine="480" w:firstLineChars="200"/>
        <w:rPr>
          <w:rFonts w:hint="eastAsia" w:ascii="宋体" w:hAnsi="宋体"/>
          <w:sz w:val="24"/>
        </w:rPr>
      </w:pPr>
      <w:r>
        <w:rPr>
          <w:rFonts w:hint="eastAsia" w:ascii="宋体" w:hAnsi="宋体"/>
          <w:sz w:val="24"/>
        </w:rPr>
        <w:t>磋商小组根据磋商文件</w:t>
      </w:r>
      <w:r>
        <w:rPr>
          <w:rFonts w:ascii="宋体" w:hAnsi="宋体"/>
          <w:sz w:val="24"/>
        </w:rPr>
        <w:t>规定的评审办法和标准、对符合性审查</w:t>
      </w:r>
      <w:r>
        <w:rPr>
          <w:rFonts w:hint="eastAsia" w:ascii="宋体" w:hAnsi="宋体"/>
          <w:sz w:val="24"/>
        </w:rPr>
        <w:t>合格供应商</w:t>
      </w:r>
      <w:r>
        <w:rPr>
          <w:rFonts w:ascii="宋体" w:hAnsi="宋体"/>
          <w:sz w:val="24"/>
        </w:rPr>
        <w:t>的</w:t>
      </w:r>
      <w:r>
        <w:rPr>
          <w:rFonts w:hint="eastAsia" w:ascii="宋体" w:hAnsi="宋体"/>
          <w:sz w:val="24"/>
        </w:rPr>
        <w:t>响应文件、</w:t>
      </w:r>
      <w:r>
        <w:rPr>
          <w:rFonts w:ascii="宋体" w:hAnsi="宋体"/>
          <w:sz w:val="24"/>
        </w:rPr>
        <w:t>澄清答复内容</w:t>
      </w:r>
      <w:r>
        <w:rPr>
          <w:rFonts w:hint="eastAsia" w:ascii="宋体" w:hAnsi="宋体"/>
          <w:sz w:val="24"/>
        </w:rPr>
        <w:t>及</w:t>
      </w:r>
      <w:r>
        <w:rPr>
          <w:rFonts w:ascii="宋体" w:hAnsi="宋体"/>
          <w:sz w:val="24"/>
        </w:rPr>
        <w:t>重新承诺情况进行商务和技术评估，综合比较与评价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公正的原则对响应文件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14:paraId="53095136">
      <w:pPr>
        <w:spacing w:line="360" w:lineRule="auto"/>
        <w:ind w:firstLine="482" w:firstLineChars="200"/>
        <w:rPr>
          <w:rFonts w:hint="eastAsia" w:ascii="宋体" w:hAnsi="宋体"/>
          <w:b/>
          <w:sz w:val="24"/>
        </w:rPr>
      </w:pPr>
      <w:r>
        <w:rPr>
          <w:rFonts w:hint="eastAsia" w:ascii="宋体" w:hAnsi="宋体"/>
          <w:b/>
          <w:sz w:val="24"/>
        </w:rPr>
        <w:t>23．评审报告</w:t>
      </w:r>
    </w:p>
    <w:p w14:paraId="277D6F2B">
      <w:pPr>
        <w:spacing w:line="360" w:lineRule="auto"/>
        <w:ind w:firstLine="480" w:firstLineChars="200"/>
        <w:rPr>
          <w:rFonts w:hint="eastAsia" w:ascii="宋体" w:hAnsi="宋体"/>
          <w:sz w:val="24"/>
        </w:rPr>
      </w:pPr>
      <w:r>
        <w:rPr>
          <w:rFonts w:hint="eastAsia" w:ascii="宋体" w:hAnsi="宋体"/>
          <w:sz w:val="24"/>
        </w:rPr>
        <w:t>磋商小组</w:t>
      </w:r>
      <w:r>
        <w:rPr>
          <w:rFonts w:ascii="宋体" w:hAnsi="宋体"/>
          <w:sz w:val="24"/>
        </w:rPr>
        <w:t>根据</w:t>
      </w:r>
      <w:r>
        <w:rPr>
          <w:rFonts w:hint="eastAsia" w:ascii="宋体" w:hAnsi="宋体"/>
          <w:sz w:val="24"/>
        </w:rPr>
        <w:t>磋商</w:t>
      </w:r>
      <w:r>
        <w:rPr>
          <w:rFonts w:ascii="宋体" w:hAnsi="宋体"/>
          <w:sz w:val="24"/>
        </w:rPr>
        <w:t>记录</w:t>
      </w:r>
      <w:r>
        <w:rPr>
          <w:rFonts w:hint="eastAsia" w:ascii="宋体" w:hAnsi="宋体"/>
          <w:sz w:val="24"/>
        </w:rPr>
        <w:t>、</w:t>
      </w:r>
      <w:r>
        <w:rPr>
          <w:rFonts w:ascii="宋体" w:hAnsi="宋体"/>
          <w:sz w:val="24"/>
        </w:rPr>
        <w:t>全体</w:t>
      </w:r>
      <w:r>
        <w:rPr>
          <w:rFonts w:hint="eastAsia" w:ascii="宋体" w:hAnsi="宋体"/>
          <w:sz w:val="24"/>
        </w:rPr>
        <w:t>磋商小组</w:t>
      </w:r>
      <w:r>
        <w:rPr>
          <w:rFonts w:ascii="宋体" w:hAnsi="宋体"/>
          <w:sz w:val="24"/>
        </w:rPr>
        <w:t>成员签字的原始</w:t>
      </w:r>
      <w:r>
        <w:rPr>
          <w:rFonts w:hint="eastAsia" w:ascii="宋体" w:hAnsi="宋体"/>
          <w:sz w:val="24"/>
        </w:rPr>
        <w:t>评审</w:t>
      </w:r>
      <w:r>
        <w:rPr>
          <w:rFonts w:ascii="宋体" w:hAnsi="宋体"/>
          <w:sz w:val="24"/>
        </w:rPr>
        <w:t>记录</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结果</w:t>
      </w:r>
      <w:r>
        <w:rPr>
          <w:rFonts w:hint="eastAsia" w:ascii="宋体" w:hAnsi="宋体"/>
          <w:sz w:val="24"/>
        </w:rPr>
        <w:t>编写评审</w:t>
      </w:r>
      <w:r>
        <w:rPr>
          <w:rFonts w:ascii="宋体" w:hAnsi="宋体"/>
          <w:sz w:val="24"/>
        </w:rPr>
        <w:t>报告</w:t>
      </w:r>
      <w:r>
        <w:rPr>
          <w:rFonts w:hint="eastAsia" w:ascii="宋体" w:hAnsi="宋体"/>
          <w:sz w:val="24"/>
        </w:rPr>
        <w:t>，</w:t>
      </w:r>
      <w:r>
        <w:rPr>
          <w:rFonts w:ascii="宋体" w:hAnsi="宋体"/>
          <w:sz w:val="24"/>
        </w:rPr>
        <w:t>并</w:t>
      </w:r>
      <w:r>
        <w:rPr>
          <w:rFonts w:hint="eastAsia" w:ascii="宋体" w:hAnsi="宋体"/>
          <w:sz w:val="24"/>
        </w:rPr>
        <w:t>推荐成交</w:t>
      </w:r>
      <w:r>
        <w:rPr>
          <w:rFonts w:ascii="宋体" w:hAnsi="宋体"/>
          <w:sz w:val="24"/>
        </w:rPr>
        <w:t>候选人</w:t>
      </w:r>
      <w:r>
        <w:rPr>
          <w:rFonts w:hint="eastAsia" w:ascii="宋体" w:hAnsi="宋体"/>
          <w:sz w:val="24"/>
        </w:rPr>
        <w:t>，评审</w:t>
      </w:r>
      <w:r>
        <w:rPr>
          <w:rFonts w:ascii="宋体" w:hAnsi="宋体"/>
          <w:sz w:val="24"/>
        </w:rPr>
        <w:t>报告由磋商小组成员签字</w:t>
      </w:r>
      <w:r>
        <w:rPr>
          <w:rFonts w:hint="eastAsia" w:ascii="宋体" w:hAnsi="宋体"/>
          <w:sz w:val="24"/>
        </w:rPr>
        <w:t>确认后</w:t>
      </w:r>
      <w:r>
        <w:rPr>
          <w:rFonts w:ascii="宋体" w:hAnsi="宋体"/>
          <w:sz w:val="24"/>
        </w:rPr>
        <w:t>提交。</w:t>
      </w:r>
    </w:p>
    <w:p w14:paraId="121E8357">
      <w:pPr>
        <w:spacing w:line="360" w:lineRule="auto"/>
        <w:ind w:firstLine="482" w:firstLineChars="200"/>
        <w:rPr>
          <w:rFonts w:hint="eastAsia"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7A1555B">
      <w:pPr>
        <w:spacing w:line="360" w:lineRule="auto"/>
        <w:ind w:firstLine="240" w:firstLineChars="100"/>
        <w:rPr>
          <w:rFonts w:hint="eastAsia" w:ascii="宋体" w:hAnsi="宋体"/>
          <w:sz w:val="24"/>
        </w:rPr>
      </w:pPr>
      <w:r>
        <w:rPr>
          <w:rFonts w:hint="eastAsia" w:ascii="宋体" w:hAnsi="宋体"/>
          <w:sz w:val="24"/>
        </w:rPr>
        <w:t>（一）电子交易平台发生故障而无法登录访问的； </w:t>
      </w:r>
    </w:p>
    <w:p w14:paraId="4354591A">
      <w:pPr>
        <w:spacing w:line="360" w:lineRule="auto"/>
        <w:ind w:firstLine="240" w:firstLineChars="100"/>
        <w:rPr>
          <w:rFonts w:hint="eastAsia" w:ascii="宋体" w:hAnsi="宋体"/>
          <w:sz w:val="24"/>
        </w:rPr>
      </w:pPr>
      <w:r>
        <w:rPr>
          <w:rFonts w:hint="eastAsia" w:ascii="宋体" w:hAnsi="宋体"/>
          <w:sz w:val="24"/>
        </w:rPr>
        <w:t>（二）电子交易平台应用或数据库出现错误，不能进行正常操作的；</w:t>
      </w:r>
    </w:p>
    <w:p w14:paraId="15EB1A82">
      <w:pPr>
        <w:spacing w:line="360" w:lineRule="auto"/>
        <w:ind w:firstLine="240" w:firstLineChars="100"/>
        <w:rPr>
          <w:rFonts w:hint="eastAsia" w:ascii="宋体" w:hAnsi="宋体"/>
          <w:sz w:val="24"/>
        </w:rPr>
      </w:pPr>
      <w:r>
        <w:rPr>
          <w:rFonts w:hint="eastAsia" w:ascii="宋体" w:hAnsi="宋体"/>
          <w:sz w:val="24"/>
        </w:rPr>
        <w:t>（三）电子交易平台发现严重安全漏洞，有潜在泄密危险的；</w:t>
      </w:r>
    </w:p>
    <w:p w14:paraId="77649B74">
      <w:pPr>
        <w:spacing w:line="360" w:lineRule="auto"/>
        <w:ind w:firstLine="240" w:firstLineChars="100"/>
        <w:rPr>
          <w:rFonts w:hint="eastAsia" w:ascii="宋体" w:hAnsi="宋体"/>
          <w:sz w:val="24"/>
        </w:rPr>
      </w:pPr>
      <w:r>
        <w:rPr>
          <w:rFonts w:hint="eastAsia" w:ascii="宋体" w:hAnsi="宋体"/>
          <w:sz w:val="24"/>
        </w:rPr>
        <w:t>（四）病毒发作导致不能进行正常操作的； </w:t>
      </w:r>
    </w:p>
    <w:p w14:paraId="69ACB41D">
      <w:pPr>
        <w:spacing w:line="360" w:lineRule="auto"/>
        <w:ind w:firstLine="240" w:firstLineChars="100"/>
        <w:rPr>
          <w:rFonts w:hint="eastAsia" w:ascii="宋体" w:hAnsi="宋体"/>
          <w:sz w:val="24"/>
        </w:rPr>
      </w:pPr>
      <w:r>
        <w:rPr>
          <w:rFonts w:hint="eastAsia" w:ascii="宋体" w:hAnsi="宋体"/>
          <w:sz w:val="24"/>
        </w:rPr>
        <w:t>（五）其他无法保证电子交易的公平、公正和安全的情况。</w:t>
      </w:r>
    </w:p>
    <w:p w14:paraId="2186A9DC">
      <w:pPr>
        <w:spacing w:line="360" w:lineRule="auto"/>
        <w:ind w:firstLine="480" w:firstLineChars="200"/>
        <w:rPr>
          <w:rFonts w:hint="eastAsia" w:ascii="宋体" w:hAnsi="宋体"/>
          <w:sz w:val="24"/>
        </w:rPr>
      </w:pPr>
      <w:r>
        <w:rPr>
          <w:rFonts w:hint="eastAsia" w:ascii="宋体" w:hAnsi="宋体"/>
          <w:sz w:val="24"/>
        </w:rPr>
        <w:t>出现前款规定情形，不影响采购公平、公正性的，采购代理机构可以待上述情形消除后继续组织电子交易活动；影响或可能影响采购公平、公正性的，重新组织采购。</w:t>
      </w:r>
    </w:p>
    <w:p w14:paraId="462F10EC">
      <w:pPr>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25.</w:t>
      </w:r>
      <w:r>
        <w:rPr>
          <w:rFonts w:ascii="宋体" w:hAnsi="宋体"/>
          <w:sz w:val="24"/>
        </w:rPr>
        <w:t xml:space="preserve"> </w:t>
      </w:r>
      <w:r>
        <w:rPr>
          <w:rFonts w:hint="eastAsia" w:ascii="宋体" w:hAnsi="宋体"/>
          <w:sz w:val="24"/>
        </w:rPr>
        <w:t>采购代理机构或评审小组因不可抗力（不可抗力包括但不限于自然灾害、断电、传播疫病等）原因造成电子交易活动无法正常运行的，将采取以下措施：</w:t>
      </w:r>
    </w:p>
    <w:p w14:paraId="16A909D3">
      <w:pPr>
        <w:spacing w:line="360" w:lineRule="auto"/>
        <w:ind w:firstLine="360" w:firstLineChars="150"/>
        <w:rPr>
          <w:rFonts w:hint="eastAsia" w:ascii="宋体" w:hAnsi="宋体"/>
          <w:sz w:val="24"/>
        </w:rPr>
      </w:pPr>
      <w:r>
        <w:rPr>
          <w:rFonts w:hint="eastAsia" w:ascii="宋体" w:hAnsi="宋体"/>
          <w:sz w:val="24"/>
        </w:rPr>
        <w:t>⑴短时间内能消除不可抗力因素的，采购代理机构或评审小组在消除不可抗力因素后继续组织电子交易活动。</w:t>
      </w:r>
    </w:p>
    <w:p w14:paraId="6DEAA031">
      <w:pPr>
        <w:spacing w:line="360" w:lineRule="auto"/>
        <w:ind w:firstLine="360" w:firstLineChars="150"/>
        <w:rPr>
          <w:rFonts w:hint="eastAsia" w:ascii="宋体" w:hAnsi="宋体"/>
          <w:sz w:val="24"/>
        </w:rPr>
      </w:pPr>
      <w:r>
        <w:rPr>
          <w:rFonts w:hint="eastAsia" w:ascii="宋体" w:hAnsi="宋体"/>
          <w:sz w:val="24"/>
        </w:rPr>
        <w:t>⑵长时间内无法消除不可抗力因素的，采购代理机构或评审小组将中止电子交易活动。中止电子交易活动的，采购人应当重新组织政府采购活动。</w:t>
      </w:r>
    </w:p>
    <w:p w14:paraId="5D106F03">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6</w:t>
      </w:r>
      <w:r>
        <w:rPr>
          <w:rFonts w:ascii="宋体" w:hAnsi="宋体"/>
          <w:b/>
          <w:sz w:val="24"/>
        </w:rPr>
        <w:t>.</w:t>
      </w:r>
      <w:r>
        <w:rPr>
          <w:rFonts w:hint="eastAsia" w:ascii="宋体" w:hAnsi="宋体"/>
          <w:b/>
          <w:sz w:val="24"/>
        </w:rPr>
        <w:t>保密和磋商过程的监控</w:t>
      </w:r>
    </w:p>
    <w:p w14:paraId="5A7F9FA1">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6</w:t>
      </w:r>
      <w:r>
        <w:rPr>
          <w:rFonts w:ascii="宋体" w:hAnsi="宋体"/>
          <w:bCs/>
          <w:sz w:val="24"/>
        </w:rPr>
        <w:t>.1</w:t>
      </w:r>
      <w:r>
        <w:rPr>
          <w:rFonts w:hint="eastAsia" w:ascii="宋体" w:hAnsi="宋体"/>
          <w:bCs/>
          <w:sz w:val="24"/>
        </w:rPr>
        <w:t>自</w:t>
      </w:r>
      <w:r>
        <w:rPr>
          <w:rFonts w:hint="eastAsia" w:ascii="宋体" w:hAnsi="宋体"/>
          <w:sz w:val="24"/>
        </w:rPr>
        <w:t>磋商</w:t>
      </w:r>
      <w:r>
        <w:rPr>
          <w:rFonts w:hint="eastAsia" w:ascii="宋体" w:hAnsi="宋体"/>
          <w:bCs/>
          <w:sz w:val="24"/>
        </w:rPr>
        <w:t>时间起至成交公告发布时间止,凡属于审查、澄清、评估和比较</w:t>
      </w:r>
      <w:r>
        <w:rPr>
          <w:rFonts w:hint="eastAsia" w:ascii="宋体" w:hAnsi="宋体"/>
          <w:sz w:val="24"/>
        </w:rPr>
        <w:t>磋商</w:t>
      </w:r>
      <w:r>
        <w:rPr>
          <w:rFonts w:hint="eastAsia" w:ascii="宋体" w:hAnsi="宋体"/>
          <w:bCs/>
          <w:sz w:val="24"/>
        </w:rPr>
        <w:t>的有关资料，且与授予合同有关的信息都不得向任何供应商或与上述评审过程无关的人员透露。</w:t>
      </w:r>
    </w:p>
    <w:p w14:paraId="6D1BBFA6">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6</w:t>
      </w:r>
      <w:r>
        <w:rPr>
          <w:rFonts w:ascii="宋体" w:hAnsi="宋体"/>
          <w:sz w:val="24"/>
        </w:rPr>
        <w:t>.2</w:t>
      </w:r>
      <w:r>
        <w:rPr>
          <w:rFonts w:hint="eastAsia" w:ascii="宋体" w:hAnsi="宋体"/>
          <w:sz w:val="24"/>
        </w:rPr>
        <w:t>本项目磋商过程实行全程录音、录像监控，供应商在磋商过程中所进行的试图影响评审结果的不公正行为或授予合同决定的过程施加影响的企图和行为，可能导致其磋商被拒绝。</w:t>
      </w:r>
    </w:p>
    <w:p w14:paraId="5C942D2D">
      <w:pPr>
        <w:pStyle w:val="4"/>
        <w:ind w:firstLine="301" w:firstLineChars="100"/>
        <w:rPr>
          <w:rFonts w:hint="eastAsia" w:ascii="宋体" w:hAnsi="宋体"/>
        </w:rPr>
      </w:pPr>
      <w:bookmarkStart w:id="188" w:name="_Toc12591"/>
      <w:bookmarkStart w:id="189" w:name="_Toc28788"/>
      <w:bookmarkStart w:id="190" w:name="_Toc390938581"/>
      <w:bookmarkStart w:id="191" w:name="_Toc29596"/>
      <w:bookmarkStart w:id="192" w:name="_Toc11704"/>
      <w:bookmarkStart w:id="193" w:name="_Toc495479098"/>
      <w:bookmarkStart w:id="194" w:name="_Toc94277245"/>
      <w:bookmarkStart w:id="195" w:name="_Toc27473"/>
      <w:r>
        <w:rPr>
          <w:rFonts w:hint="eastAsia" w:ascii="宋体" w:hAnsi="宋体"/>
        </w:rPr>
        <w:t>六   磋商无效的情形</w:t>
      </w:r>
      <w:bookmarkEnd w:id="188"/>
      <w:bookmarkEnd w:id="189"/>
      <w:bookmarkEnd w:id="190"/>
      <w:bookmarkEnd w:id="191"/>
      <w:bookmarkEnd w:id="192"/>
      <w:bookmarkEnd w:id="193"/>
      <w:bookmarkEnd w:id="194"/>
      <w:bookmarkEnd w:id="195"/>
    </w:p>
    <w:p w14:paraId="365CF893">
      <w:pPr>
        <w:spacing w:line="360" w:lineRule="auto"/>
        <w:ind w:firstLine="480" w:firstLineChars="200"/>
        <w:rPr>
          <w:rFonts w:ascii="宋体" w:hAnsi="宋体"/>
          <w:color w:val="auto"/>
          <w:sz w:val="24"/>
          <w:highlight w:val="none"/>
        </w:rPr>
      </w:pPr>
      <w:bookmarkStart w:id="196" w:name="_Toc390938582"/>
      <w:bookmarkStart w:id="197" w:name="_Toc29518"/>
      <w:bookmarkStart w:id="198" w:name="_Toc20042"/>
      <w:bookmarkStart w:id="199" w:name="_Toc495479099"/>
      <w:bookmarkStart w:id="200" w:name="_Toc94277246"/>
      <w:bookmarkStart w:id="201" w:name="_Toc24116"/>
      <w:r>
        <w:rPr>
          <w:rFonts w:hint="eastAsia" w:ascii="宋体" w:hAnsi="宋体"/>
          <w:color w:val="auto"/>
          <w:sz w:val="24"/>
          <w:highlight w:val="none"/>
        </w:rPr>
        <w:t>27. 实质上没有响应磋商文件要求的响应文件将被视为无效。供应商如有下列情形之一的，其磋商将被拒绝，响应文件无效：</w:t>
      </w:r>
    </w:p>
    <w:p w14:paraId="6377A1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电报、电话、传真形式提交响应文件的；</w:t>
      </w:r>
    </w:p>
    <w:p w14:paraId="3C75E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 供应商没有按磋商文件规定的时间和地点提交电子响应文件的；</w:t>
      </w:r>
    </w:p>
    <w:p w14:paraId="2EF369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27.3未按竞争性磋商文件规定要求签署、盖章的；</w:t>
      </w:r>
    </w:p>
    <w:p w14:paraId="0074F8A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4不具备竞争性磋商文件规定的资格要求的；</w:t>
      </w:r>
    </w:p>
    <w:p w14:paraId="0672DE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27.5磋商有效期不足的；</w:t>
      </w:r>
    </w:p>
    <w:p w14:paraId="7219DC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27.6资格审查中（适用于专门面向中小企业项目），发现《中小企业声明函》填写的企业类型错误的；填写行业明显错误（错填为“采购文件确定的行业”的除外）或者未填写行业的；本年度新成立的公司，未对企业类型以及是否与大企业的负责人为同一人，或者是否与大企业存在直接控股、管理关系进行声明的；制造厂商在声明函中表示使用他人授权品牌或者授权他人实际生产的。</w:t>
      </w:r>
    </w:p>
    <w:p w14:paraId="02E5B0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27.7磋商小组在符合性审查中，发现与磋商文件有重大偏离、未满足“▲”实质性要求的，经采购人代表确认后不作变动的；</w:t>
      </w:r>
    </w:p>
    <w:p w14:paraId="6E9D16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27.8</w:t>
      </w:r>
      <w:r>
        <w:rPr>
          <w:rFonts w:hint="eastAsia" w:ascii="宋体" w:hAnsi="宋体" w:cs="宋体"/>
          <w:color w:val="auto"/>
          <w:sz w:val="24"/>
          <w:highlight w:val="none"/>
        </w:rPr>
        <w:t>响应文件出现两个或两个以上投标方案的；</w:t>
      </w:r>
    </w:p>
    <w:p w14:paraId="26660450">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9响应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20883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27.10最终报价高于磋商文件中规定的预算金额或者最高限价的；</w:t>
      </w:r>
    </w:p>
    <w:p w14:paraId="291A488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27.11磋商文件中未要求，但供应商给予赠品、回扣或与采购无关的其他商品、服务的。</w:t>
      </w:r>
    </w:p>
    <w:p w14:paraId="45591B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1</w:t>
      </w:r>
      <w:r>
        <w:rPr>
          <w:rFonts w:hint="eastAsia" w:ascii="宋体" w:hAnsi="宋体"/>
          <w:color w:val="auto"/>
          <w:sz w:val="24"/>
          <w:highlight w:val="none"/>
        </w:rPr>
        <w:t>2磋商报价存在漏项或报价数量少于采购要求的；</w:t>
      </w:r>
    </w:p>
    <w:p w14:paraId="78C618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27.13</w:t>
      </w:r>
      <w:r>
        <w:rPr>
          <w:rFonts w:hint="eastAsia" w:ascii="宋体" w:hAnsi="宋体" w:cs="宋体"/>
          <w:color w:val="auto"/>
          <w:sz w:val="24"/>
          <w:highlight w:val="none"/>
        </w:rPr>
        <w:t>报价文件中出现 “0元”或“免费赠送”等形式的无偿报价的；</w:t>
      </w:r>
    </w:p>
    <w:p w14:paraId="2096500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27.14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000D0A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27.15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4B8C20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27.16</w:t>
      </w:r>
      <w:r>
        <w:rPr>
          <w:rFonts w:hint="eastAsia" w:ascii="宋体" w:hAnsi="宋体"/>
          <w:color w:val="auto"/>
          <w:sz w:val="24"/>
          <w:highlight w:val="none"/>
        </w:rPr>
        <w:t>提供虚假材料谋取成交的；</w:t>
      </w:r>
    </w:p>
    <w:p w14:paraId="5AB780D3">
      <w:pPr>
        <w:spacing w:line="360" w:lineRule="auto"/>
        <w:ind w:firstLine="480" w:firstLineChars="200"/>
        <w:rPr>
          <w:rFonts w:hint="eastAsia" w:ascii="宋体" w:hAnsi="宋体"/>
          <w:b/>
          <w:color w:val="auto"/>
          <w:sz w:val="24"/>
          <w:highlight w:val="none"/>
          <w:shd w:val="pct15" w:color="auto" w:fill="FFFFFF"/>
        </w:rPr>
      </w:pPr>
      <w:r>
        <w:rPr>
          <w:rFonts w:hint="eastAsia" w:ascii="宋体" w:hAnsi="宋体"/>
          <w:color w:val="auto"/>
          <w:sz w:val="24"/>
          <w:highlight w:val="none"/>
        </w:rPr>
        <w:t>27.17不按磋商文件和成交人的响应文件订立合同，或者与采购人另行订立背离合同实质性内容的协议的；</w:t>
      </w:r>
    </w:p>
    <w:p w14:paraId="46CC121B">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27.18不同供应商IP地址相同的，且无法合理解释的；</w:t>
      </w:r>
    </w:p>
    <w:p w14:paraId="367ED37C">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27.19不同供应商的电子响应文件上传计算机的网卡MAC地址或硬盘序列号等硬件信息相同，且无法合理解释的；</w:t>
      </w:r>
    </w:p>
    <w:p w14:paraId="7DC851D7">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27.20上传的电子响应文件若出现使用本项目其他供应商的数字证书加密，或者加盖本项目其他供应商的电子印章，且无法合理解释的；</w:t>
      </w:r>
    </w:p>
    <w:p w14:paraId="632CDF31">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27.21不同供应商的响应文件的内容存在3处（含）以上错误一致，且无法合理解释的；</w:t>
      </w:r>
    </w:p>
    <w:p w14:paraId="08F88BC2">
      <w:pPr>
        <w:spacing w:line="360" w:lineRule="auto"/>
        <w:ind w:firstLine="482" w:firstLineChars="200"/>
        <w:rPr>
          <w:rFonts w:hint="eastAsia" w:ascii="宋体" w:hAnsi="宋体" w:eastAsia="宋体"/>
          <w:b/>
          <w:color w:val="auto"/>
          <w:sz w:val="24"/>
          <w:highlight w:val="none"/>
          <w:shd w:val="pct15" w:color="auto" w:fill="FFFFFF"/>
          <w:lang w:eastAsia="zh-CN"/>
        </w:rPr>
      </w:pPr>
      <w:r>
        <w:rPr>
          <w:rFonts w:hint="eastAsia" w:ascii="宋体" w:hAnsi="宋体"/>
          <w:b/>
          <w:color w:val="auto"/>
          <w:sz w:val="24"/>
          <w:highlight w:val="none"/>
          <w:shd w:val="pct15" w:color="auto" w:fill="FFFFFF"/>
        </w:rPr>
        <w:t>27.22 不同供应商的联系人为同一人或不同联系人的联系电话一致，且无法合理解释的</w:t>
      </w:r>
      <w:r>
        <w:rPr>
          <w:rFonts w:hint="eastAsia" w:ascii="宋体" w:hAnsi="宋体"/>
          <w:b/>
          <w:color w:val="auto"/>
          <w:sz w:val="24"/>
          <w:highlight w:val="none"/>
          <w:shd w:val="pct15" w:color="auto" w:fill="FFFFFF"/>
          <w:lang w:eastAsia="zh-CN"/>
        </w:rPr>
        <w:t>；</w:t>
      </w:r>
    </w:p>
    <w:p w14:paraId="167B22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27.23 磋商文件规定的其他响应文件无效情形。</w:t>
      </w:r>
    </w:p>
    <w:p w14:paraId="1CB04C95">
      <w:pPr>
        <w:pStyle w:val="4"/>
        <w:ind w:firstLine="643"/>
        <w:rPr>
          <w:rFonts w:hint="eastAsia" w:ascii="宋体" w:hAnsi="宋体"/>
          <w:b w:val="0"/>
          <w:bCs w:val="0"/>
          <w:sz w:val="32"/>
        </w:rPr>
      </w:pPr>
      <w:bookmarkStart w:id="202" w:name="_Toc30105"/>
      <w:bookmarkStart w:id="203" w:name="_Toc2093"/>
      <w:r>
        <w:rPr>
          <w:rFonts w:hint="eastAsia" w:ascii="宋体" w:hAnsi="宋体"/>
          <w:sz w:val="32"/>
        </w:rPr>
        <w:t>七   法律责任</w:t>
      </w:r>
      <w:bookmarkEnd w:id="196"/>
      <w:bookmarkEnd w:id="197"/>
      <w:bookmarkEnd w:id="198"/>
      <w:bookmarkEnd w:id="199"/>
      <w:bookmarkEnd w:id="200"/>
      <w:bookmarkEnd w:id="201"/>
      <w:bookmarkEnd w:id="202"/>
      <w:bookmarkEnd w:id="203"/>
    </w:p>
    <w:p w14:paraId="3276BCB5">
      <w:pPr>
        <w:spacing w:line="360" w:lineRule="auto"/>
        <w:ind w:firstLine="480" w:firstLineChars="200"/>
        <w:rPr>
          <w:rFonts w:hint="eastAsia" w:ascii="宋体" w:hAnsi="宋体"/>
          <w:sz w:val="24"/>
        </w:rPr>
      </w:pPr>
      <w:bookmarkStart w:id="204" w:name="_Toc390938583"/>
      <w:r>
        <w:rPr>
          <w:rFonts w:hint="eastAsia" w:ascii="宋体" w:hAnsi="宋体"/>
          <w:sz w:val="24"/>
        </w:rPr>
        <w:t>28.</w:t>
      </w:r>
      <w:r>
        <w:rPr>
          <w:rFonts w:ascii="宋体" w:hAnsi="宋体"/>
          <w:sz w:val="24"/>
        </w:rPr>
        <w:t xml:space="preserve"> </w:t>
      </w:r>
      <w:r>
        <w:rPr>
          <w:rFonts w:hint="eastAsia" w:ascii="宋体" w:hAnsi="宋体"/>
          <w:sz w:val="24"/>
        </w:rPr>
        <w:t>供应商有下列情形之一的，处以政府采购项目成交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14:paraId="103237A9">
      <w:pPr>
        <w:spacing w:line="360" w:lineRule="auto"/>
        <w:ind w:firstLine="480" w:firstLineChars="200"/>
        <w:rPr>
          <w:rFonts w:hint="eastAsia"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提供虚假材料谋取成交的；</w:t>
      </w:r>
    </w:p>
    <w:p w14:paraId="718E01F1">
      <w:pPr>
        <w:spacing w:line="360" w:lineRule="auto"/>
        <w:ind w:firstLine="480" w:firstLineChars="200"/>
        <w:rPr>
          <w:rFonts w:hint="eastAsia"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采取不正当手段诋毁、排挤其他供应商的；</w:t>
      </w:r>
    </w:p>
    <w:p w14:paraId="6FED798D">
      <w:pPr>
        <w:spacing w:line="360" w:lineRule="auto"/>
        <w:ind w:firstLine="480" w:firstLineChars="200"/>
        <w:rPr>
          <w:rFonts w:hint="eastAsia"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与采购人、其他供应商或者采购代理机构恶意串通的；</w:t>
      </w:r>
    </w:p>
    <w:p w14:paraId="045D11EF">
      <w:pPr>
        <w:spacing w:line="360" w:lineRule="auto"/>
        <w:ind w:firstLine="480" w:firstLineChars="200"/>
        <w:rPr>
          <w:rFonts w:hint="eastAsia"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0185AD1C">
      <w:pPr>
        <w:spacing w:line="360" w:lineRule="auto"/>
        <w:ind w:firstLine="480" w:firstLineChars="200"/>
        <w:rPr>
          <w:rFonts w:hint="eastAsia"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在采购过程中与采购人进行协商谈判的；</w:t>
      </w:r>
    </w:p>
    <w:p w14:paraId="004EAFE4">
      <w:pPr>
        <w:spacing w:line="360" w:lineRule="auto"/>
        <w:ind w:firstLine="480" w:firstLineChars="200"/>
        <w:rPr>
          <w:rFonts w:hint="eastAsia"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65BE7174">
      <w:pPr>
        <w:spacing w:line="360" w:lineRule="auto"/>
        <w:ind w:firstLine="480" w:firstLineChars="200"/>
        <w:rPr>
          <w:rFonts w:hint="eastAsia" w:ascii="宋体" w:hAnsi="宋体"/>
          <w:sz w:val="24"/>
        </w:rPr>
      </w:pPr>
      <w:r>
        <w:rPr>
          <w:rFonts w:hint="eastAsia" w:ascii="宋体" w:hAnsi="宋体"/>
          <w:sz w:val="24"/>
        </w:rPr>
        <w:t>供应商有前款28.1至28.5项情形之一的，成交无效。</w:t>
      </w:r>
    </w:p>
    <w:p w14:paraId="56135A3F">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供应商有下列情形之一的，依照政府采购法第七十七条第一款的规定追究法律责任：</w:t>
      </w:r>
    </w:p>
    <w:p w14:paraId="3F7A14EE">
      <w:pPr>
        <w:spacing w:line="360" w:lineRule="auto"/>
        <w:ind w:firstLine="480" w:firstLineChars="200"/>
        <w:rPr>
          <w:rFonts w:hint="eastAsia"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向磋商小组或者磋商小组成员行贿或者提供其他不正当利益；</w:t>
      </w:r>
    </w:p>
    <w:p w14:paraId="4981B378">
      <w:pPr>
        <w:spacing w:line="360" w:lineRule="auto"/>
        <w:ind w:firstLine="480" w:firstLineChars="200"/>
        <w:rPr>
          <w:rFonts w:hint="eastAsia"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成交或者成交后无正当理由拒不与采购人签订政府采购合同；</w:t>
      </w:r>
    </w:p>
    <w:p w14:paraId="0FCEE79A">
      <w:pPr>
        <w:spacing w:line="360" w:lineRule="auto"/>
        <w:ind w:firstLine="480" w:firstLineChars="200"/>
        <w:rPr>
          <w:rFonts w:hint="eastAsia"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未按照磋商文件确定的事项签订政府采购合同；</w:t>
      </w:r>
    </w:p>
    <w:p w14:paraId="0F97ACBB">
      <w:pPr>
        <w:spacing w:line="360" w:lineRule="auto"/>
        <w:ind w:firstLine="480" w:firstLineChars="200"/>
        <w:rPr>
          <w:rFonts w:hint="eastAsia"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48CA34BC">
      <w:pPr>
        <w:spacing w:line="360" w:lineRule="auto"/>
        <w:ind w:firstLine="480" w:firstLineChars="200"/>
        <w:rPr>
          <w:rFonts w:hint="eastAsia"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1055EFFC">
      <w:pPr>
        <w:spacing w:line="360" w:lineRule="auto"/>
        <w:ind w:firstLine="480" w:firstLineChars="200"/>
        <w:rPr>
          <w:rFonts w:hint="eastAsia"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BE4484D">
      <w:pPr>
        <w:spacing w:line="360" w:lineRule="auto"/>
        <w:ind w:firstLine="480" w:firstLineChars="200"/>
        <w:rPr>
          <w:rFonts w:hint="eastAsia" w:ascii="宋体" w:hAnsi="宋体"/>
          <w:sz w:val="24"/>
        </w:rPr>
      </w:pPr>
      <w:r>
        <w:rPr>
          <w:rFonts w:hint="eastAsia" w:ascii="宋体" w:hAnsi="宋体"/>
          <w:sz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0FB67CD4">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 </w:t>
      </w:r>
      <w:r>
        <w:rPr>
          <w:rFonts w:hint="eastAsia" w:ascii="宋体" w:hAnsi="宋体"/>
          <w:sz w:val="24"/>
        </w:rPr>
        <w:t>供应商捏造事实、提供虚假材料或者以非法手段取得证明材料进行投诉的，由财政部门列入不良行为记录名单，禁止其1至3年内参加政府采购活动。</w:t>
      </w:r>
    </w:p>
    <w:p w14:paraId="66DF9619">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 xml:space="preserve"> </w:t>
      </w:r>
      <w:r>
        <w:rPr>
          <w:rFonts w:hint="eastAsia" w:ascii="宋体" w:hAnsi="宋体"/>
          <w:sz w:val="24"/>
        </w:rPr>
        <w:t>有下列情形之一的，属于恶意串通，对供应商依照政府采购法第七十七条第一款的规定追究法律责任，对采购人、采购代理机构及其工作人员依照政府采购法第七十二条的规定追究法律责任：</w:t>
      </w:r>
    </w:p>
    <w:p w14:paraId="2A8E290E">
      <w:pPr>
        <w:spacing w:line="360" w:lineRule="auto"/>
        <w:ind w:firstLine="480" w:firstLineChars="200"/>
        <w:rPr>
          <w:rFonts w:hint="eastAsia" w:ascii="宋体" w:hAnsi="宋体"/>
          <w:sz w:val="24"/>
        </w:rPr>
      </w:pPr>
      <w:r>
        <w:rPr>
          <w:rFonts w:hint="eastAsia" w:ascii="宋体" w:hAnsi="宋体"/>
          <w:sz w:val="24"/>
        </w:rPr>
        <w:t>31.1</w:t>
      </w:r>
      <w:r>
        <w:rPr>
          <w:rFonts w:ascii="宋体" w:hAnsi="宋体"/>
          <w:sz w:val="24"/>
        </w:rPr>
        <w:t xml:space="preserve"> </w:t>
      </w:r>
      <w:r>
        <w:rPr>
          <w:rFonts w:hint="eastAsia" w:ascii="宋体" w:hAnsi="宋体"/>
          <w:sz w:val="24"/>
        </w:rPr>
        <w:t>供应商直接或者间接从采购人或者采购代理机构处获得其他供应商的相关情况并修改其响应文件；</w:t>
      </w:r>
    </w:p>
    <w:p w14:paraId="2AC9CE1C">
      <w:pPr>
        <w:spacing w:line="360" w:lineRule="auto"/>
        <w:ind w:firstLine="480" w:firstLineChars="200"/>
        <w:rPr>
          <w:rFonts w:hint="eastAsia" w:ascii="宋体" w:hAnsi="宋体"/>
          <w:sz w:val="24"/>
        </w:rPr>
      </w:pPr>
      <w:r>
        <w:rPr>
          <w:rFonts w:hint="eastAsia" w:ascii="宋体" w:hAnsi="宋体"/>
          <w:sz w:val="24"/>
        </w:rPr>
        <w:t>31.2</w:t>
      </w:r>
      <w:r>
        <w:rPr>
          <w:rFonts w:ascii="宋体" w:hAnsi="宋体"/>
          <w:sz w:val="24"/>
        </w:rPr>
        <w:t xml:space="preserve"> </w:t>
      </w:r>
      <w:r>
        <w:rPr>
          <w:rFonts w:hint="eastAsia" w:ascii="宋体" w:hAnsi="宋体"/>
          <w:sz w:val="24"/>
        </w:rPr>
        <w:t>供应商按照采购人或者采购代理机构的授意撤换、修改响应文件；</w:t>
      </w:r>
    </w:p>
    <w:p w14:paraId="1AF4E1B7">
      <w:pPr>
        <w:spacing w:line="360" w:lineRule="auto"/>
        <w:ind w:firstLine="480" w:firstLineChars="200"/>
        <w:rPr>
          <w:rFonts w:hint="eastAsia"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供应商之间协商报价、技术方案等响应文件或者响应文件的实质性内容；</w:t>
      </w:r>
    </w:p>
    <w:p w14:paraId="3F83DF48">
      <w:pPr>
        <w:spacing w:line="360" w:lineRule="auto"/>
        <w:ind w:firstLine="480" w:firstLineChars="200"/>
        <w:rPr>
          <w:rFonts w:hint="eastAsia" w:ascii="宋体" w:hAnsi="宋体"/>
          <w:sz w:val="24"/>
        </w:rPr>
      </w:pPr>
      <w:r>
        <w:rPr>
          <w:rFonts w:hint="eastAsia" w:ascii="宋体" w:hAnsi="宋体"/>
          <w:sz w:val="24"/>
        </w:rPr>
        <w:t>31.4</w:t>
      </w:r>
      <w:r>
        <w:rPr>
          <w:rFonts w:ascii="宋体" w:hAnsi="宋体"/>
          <w:sz w:val="24"/>
        </w:rPr>
        <w:t xml:space="preserve"> </w:t>
      </w:r>
      <w:r>
        <w:rPr>
          <w:rFonts w:hint="eastAsia" w:ascii="宋体" w:hAnsi="宋体"/>
          <w:sz w:val="24"/>
        </w:rPr>
        <w:t>属于同一集团、协会、商会等组织成员的供应商按照该组织要求协同参加政府采购活动；</w:t>
      </w:r>
    </w:p>
    <w:p w14:paraId="411990AB">
      <w:pPr>
        <w:spacing w:line="360" w:lineRule="auto"/>
        <w:ind w:firstLine="480" w:firstLineChars="200"/>
        <w:rPr>
          <w:rFonts w:hint="eastAsia" w:ascii="宋体" w:hAnsi="宋体"/>
          <w:sz w:val="24"/>
        </w:rPr>
      </w:pPr>
      <w:r>
        <w:rPr>
          <w:rFonts w:hint="eastAsia" w:ascii="宋体" w:hAnsi="宋体"/>
          <w:sz w:val="24"/>
        </w:rPr>
        <w:t>31.5</w:t>
      </w:r>
      <w:r>
        <w:rPr>
          <w:rFonts w:ascii="宋体" w:hAnsi="宋体"/>
          <w:sz w:val="24"/>
        </w:rPr>
        <w:t xml:space="preserve"> </w:t>
      </w:r>
      <w:r>
        <w:rPr>
          <w:rFonts w:hint="eastAsia" w:ascii="宋体" w:hAnsi="宋体"/>
          <w:sz w:val="24"/>
        </w:rPr>
        <w:t>供应商之间事先约定由某一特定供应商成交；</w:t>
      </w:r>
    </w:p>
    <w:p w14:paraId="0CCFBCDA">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1.6</w:t>
      </w:r>
      <w:r>
        <w:rPr>
          <w:rFonts w:ascii="宋体" w:hAnsi="宋体"/>
          <w:sz w:val="24"/>
        </w:rPr>
        <w:t xml:space="preserve"> </w:t>
      </w:r>
      <w:r>
        <w:rPr>
          <w:rFonts w:hint="eastAsia" w:ascii="宋体" w:hAnsi="宋体"/>
          <w:sz w:val="24"/>
        </w:rPr>
        <w:t>供应商之间商定部分供应商放弃参加政府采购活动或者放弃成交；</w:t>
      </w:r>
    </w:p>
    <w:p w14:paraId="188CAAAC">
      <w:pPr>
        <w:spacing w:line="360" w:lineRule="auto"/>
        <w:ind w:firstLine="480" w:firstLineChars="200"/>
        <w:rPr>
          <w:rFonts w:hint="eastAsia" w:ascii="宋体" w:hAnsi="宋体"/>
          <w:sz w:val="24"/>
        </w:rPr>
      </w:pPr>
      <w:r>
        <w:rPr>
          <w:rFonts w:hint="eastAsia" w:ascii="宋体" w:hAnsi="宋体"/>
          <w:sz w:val="24"/>
        </w:rPr>
        <w:t>31.7</w:t>
      </w:r>
      <w:r>
        <w:rPr>
          <w:rFonts w:ascii="宋体" w:hAnsi="宋体"/>
          <w:sz w:val="24"/>
        </w:rPr>
        <w:t xml:space="preserve"> </w:t>
      </w:r>
      <w:r>
        <w:rPr>
          <w:rFonts w:hint="eastAsia" w:ascii="宋体" w:hAnsi="宋体"/>
          <w:sz w:val="24"/>
        </w:rPr>
        <w:t>供应商与采购人或者采购代理机构之间、供应商相互之间，为谋求特定供应商成交或者排斥其他供应商的其他串通行为；</w:t>
      </w:r>
    </w:p>
    <w:p w14:paraId="677C5A27">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8 </w:t>
      </w:r>
      <w:r>
        <w:rPr>
          <w:rFonts w:hint="eastAsia" w:ascii="宋体" w:hAnsi="宋体"/>
          <w:sz w:val="24"/>
        </w:rPr>
        <w:t>不同供应商的响应文件由同一单位或者个人编制；</w:t>
      </w:r>
    </w:p>
    <w:p w14:paraId="289B89EC">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9 </w:t>
      </w:r>
      <w:r>
        <w:rPr>
          <w:rFonts w:hint="eastAsia" w:ascii="宋体" w:hAnsi="宋体"/>
          <w:sz w:val="24"/>
        </w:rPr>
        <w:t>不同供应商委托同一单位或者个人办理磋商事宜；</w:t>
      </w:r>
    </w:p>
    <w:p w14:paraId="7206F0F5">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10 </w:t>
      </w:r>
      <w:r>
        <w:rPr>
          <w:rFonts w:hint="eastAsia" w:ascii="宋体" w:hAnsi="宋体"/>
          <w:sz w:val="24"/>
        </w:rPr>
        <w:t>不同供应商的响应文件载明的项目管理成员或者联系人员为同一人；</w:t>
      </w:r>
    </w:p>
    <w:p w14:paraId="0F56D91F">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11 </w:t>
      </w:r>
      <w:r>
        <w:rPr>
          <w:rFonts w:hint="eastAsia" w:ascii="宋体" w:hAnsi="宋体"/>
          <w:sz w:val="24"/>
        </w:rPr>
        <w:t>不同供应商的响应文件异常一致或者磋商报价呈规律性差异；</w:t>
      </w:r>
    </w:p>
    <w:p w14:paraId="11D44651">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12 </w:t>
      </w:r>
      <w:r>
        <w:rPr>
          <w:rFonts w:hint="eastAsia" w:ascii="宋体" w:hAnsi="宋体"/>
          <w:sz w:val="24"/>
        </w:rPr>
        <w:t>不同供应商的响应文件相互混装。</w:t>
      </w:r>
    </w:p>
    <w:p w14:paraId="179A52EA">
      <w:pPr>
        <w:pStyle w:val="4"/>
        <w:rPr>
          <w:rFonts w:hint="eastAsia" w:ascii="宋体" w:hAnsi="宋体"/>
        </w:rPr>
      </w:pPr>
      <w:bookmarkStart w:id="205" w:name="_Toc495479100"/>
      <w:bookmarkStart w:id="206" w:name="_Toc9055"/>
      <w:bookmarkStart w:id="207" w:name="_Toc94277247"/>
      <w:bookmarkStart w:id="208" w:name="_Toc11559"/>
      <w:bookmarkStart w:id="209" w:name="_Toc15206"/>
      <w:bookmarkStart w:id="210" w:name="_Toc8892"/>
      <w:bookmarkStart w:id="211" w:name="_Toc9921"/>
      <w:r>
        <w:rPr>
          <w:rFonts w:hint="eastAsia" w:ascii="宋体" w:hAnsi="宋体"/>
        </w:rPr>
        <w:t xml:space="preserve">八   </w:t>
      </w:r>
      <w:bookmarkEnd w:id="204"/>
      <w:bookmarkEnd w:id="205"/>
      <w:r>
        <w:rPr>
          <w:rFonts w:hint="eastAsia" w:ascii="宋体" w:hAnsi="宋体"/>
        </w:rPr>
        <w:t>澄清、修改发布媒体</w:t>
      </w:r>
      <w:bookmarkEnd w:id="206"/>
      <w:bookmarkEnd w:id="207"/>
      <w:bookmarkEnd w:id="208"/>
      <w:bookmarkEnd w:id="209"/>
      <w:bookmarkEnd w:id="210"/>
      <w:bookmarkEnd w:id="211"/>
    </w:p>
    <w:p w14:paraId="166BAB69">
      <w:pPr>
        <w:snapToGrid w:val="0"/>
        <w:spacing w:line="360" w:lineRule="auto"/>
        <w:ind w:firstLine="480" w:firstLineChars="200"/>
        <w:rPr>
          <w:rFonts w:ascii="仿宋_GB2312" w:eastAsia="仿宋_GB2312"/>
          <w:kern w:val="0"/>
          <w:sz w:val="24"/>
        </w:rPr>
      </w:pPr>
      <w:bookmarkStart w:id="212" w:name="_Toc334087237"/>
      <w:bookmarkStart w:id="213" w:name="_Toc335664279"/>
      <w:bookmarkStart w:id="214" w:name="_Toc176659672"/>
      <w:bookmarkStart w:id="215" w:name="_Toc495479101"/>
      <w:bookmarkStart w:id="216" w:name="_Toc390938584"/>
      <w:bookmarkStart w:id="217" w:name="_Toc107820051"/>
      <w:r>
        <w:rPr>
          <w:rFonts w:hint="eastAsia" w:ascii="宋体" w:hAnsi="宋体"/>
          <w:sz w:val="24"/>
        </w:rPr>
        <w:t>32.1针对潜在供应商提出的询问，采购代理机构一般在3个工作日内作出答复，如需澄清或</w:t>
      </w:r>
      <w:r>
        <w:rPr>
          <w:rFonts w:hint="eastAsia" w:ascii="宋体" w:hAnsi="宋体"/>
          <w:bCs/>
          <w:kern w:val="0"/>
          <w:sz w:val="24"/>
        </w:rPr>
        <w:t>修改的，采购代理机构将在磋商截止</w:t>
      </w:r>
      <w:r>
        <w:rPr>
          <w:rFonts w:hint="eastAsia" w:ascii="宋体" w:hAnsi="宋体"/>
          <w:sz w:val="24"/>
        </w:rPr>
        <w:t>时间五日前将澄清或修改内容在浙江政府采购网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、丽水市公共资源交易网（http://lssggzy.lishui.gov.cn/lsweb/）上予以公布</w:t>
      </w:r>
      <w:r>
        <w:rPr>
          <w:rFonts w:hint="eastAsia" w:ascii="宋体" w:hAnsi="宋体"/>
          <w:bCs/>
          <w:kern w:val="0"/>
          <w:sz w:val="24"/>
        </w:rPr>
        <w:t>，潜在供应商应自行关注网站更正公告等内容，采购代理机构不再一一通知。</w:t>
      </w:r>
    </w:p>
    <w:p w14:paraId="3B9B8ACD">
      <w:pPr>
        <w:snapToGrid w:val="0"/>
        <w:spacing w:line="360" w:lineRule="auto"/>
        <w:ind w:firstLine="480" w:firstLineChars="200"/>
        <w:rPr>
          <w:rFonts w:hint="eastAsia" w:ascii="宋体" w:hAnsi="宋体"/>
          <w:sz w:val="24"/>
        </w:rPr>
      </w:pPr>
      <w:r>
        <w:rPr>
          <w:rFonts w:hint="eastAsia" w:ascii="宋体" w:hAnsi="宋体"/>
          <w:sz w:val="24"/>
        </w:rPr>
        <w:t>32.2潜在供应商提出的询问超出采购人对采购代理机构委托授权范围的，供应商应向采购人提出。</w:t>
      </w:r>
    </w:p>
    <w:p w14:paraId="5928A207">
      <w:pPr>
        <w:pStyle w:val="4"/>
        <w:ind w:firstLine="446" w:firstLineChars="148"/>
        <w:rPr>
          <w:rFonts w:hint="eastAsia" w:ascii="宋体" w:hAnsi="宋体"/>
        </w:rPr>
      </w:pPr>
      <w:bookmarkStart w:id="218" w:name="_Toc29873"/>
      <w:bookmarkStart w:id="219" w:name="_Toc19921"/>
      <w:bookmarkStart w:id="220" w:name="_Toc5251"/>
      <w:bookmarkStart w:id="221" w:name="_Toc22336"/>
      <w:bookmarkStart w:id="222" w:name="_Toc20603"/>
      <w:bookmarkStart w:id="223" w:name="_Toc94277248"/>
      <w:r>
        <w:rPr>
          <w:rFonts w:hint="eastAsia" w:ascii="宋体" w:hAnsi="宋体"/>
        </w:rPr>
        <w:t>九   质疑</w:t>
      </w:r>
      <w:bookmarkEnd w:id="212"/>
      <w:bookmarkEnd w:id="213"/>
      <w:bookmarkEnd w:id="214"/>
      <w:bookmarkEnd w:id="215"/>
      <w:bookmarkEnd w:id="216"/>
      <w:bookmarkEnd w:id="218"/>
      <w:bookmarkEnd w:id="219"/>
      <w:bookmarkEnd w:id="220"/>
      <w:bookmarkEnd w:id="221"/>
      <w:bookmarkEnd w:id="222"/>
      <w:bookmarkEnd w:id="223"/>
    </w:p>
    <w:p w14:paraId="06DCD24B">
      <w:pPr>
        <w:pStyle w:val="17"/>
        <w:spacing w:line="360" w:lineRule="auto"/>
        <w:ind w:firstLine="480" w:firstLineChars="200"/>
        <w:rPr>
          <w:rFonts w:hint="eastAsia" w:hAnsi="宋体"/>
          <w:sz w:val="24"/>
          <w:szCs w:val="21"/>
        </w:rPr>
      </w:pPr>
      <w:bookmarkStart w:id="224" w:name="_Toc334087238"/>
      <w:bookmarkStart w:id="225" w:name="_Toc390938585"/>
      <w:bookmarkStart w:id="226" w:name="_Toc335664280"/>
      <w:r>
        <w:rPr>
          <w:rFonts w:hint="eastAsia" w:hAnsi="宋体"/>
          <w:sz w:val="24"/>
          <w:szCs w:val="21"/>
        </w:rPr>
        <w:t>33.1</w:t>
      </w:r>
      <w:r>
        <w:rPr>
          <w:rFonts w:hAnsi="宋体"/>
          <w:sz w:val="24"/>
          <w:szCs w:val="21"/>
        </w:rPr>
        <w:t xml:space="preserve"> </w:t>
      </w:r>
      <w:r>
        <w:rPr>
          <w:rFonts w:hint="eastAsia" w:hAnsi="宋体"/>
          <w:sz w:val="24"/>
          <w:szCs w:val="21"/>
        </w:rPr>
        <w:t>供应商认为磋商文件、采购过程和成交结果使自己的权益受到损害的，可以在知道或者应知其权益受到损害之日起七个工作日内，以书面形式向采购代理机构提出质疑。</w:t>
      </w:r>
    </w:p>
    <w:p w14:paraId="607C425D">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2 </w:t>
      </w:r>
      <w:r>
        <w:rPr>
          <w:rFonts w:hint="eastAsia" w:hAnsi="宋体"/>
          <w:sz w:val="24"/>
          <w:szCs w:val="21"/>
        </w:rPr>
        <w:t>质疑的主要内容应符合相关法律法规以及浙江省和丽水市相关文件的规定。质疑内容涉及保密事项，质疑供应商应提供有效的信息来源或有效证据。</w:t>
      </w:r>
    </w:p>
    <w:p w14:paraId="1A0ACFB1">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3 </w:t>
      </w:r>
      <w:r>
        <w:rPr>
          <w:rFonts w:hint="eastAsia" w:hAnsi="宋体"/>
          <w:sz w:val="24"/>
          <w:szCs w:val="21"/>
        </w:rPr>
        <w:t>质疑供应商可直接提交、传真或邮寄方式提交质疑书（一式三份以上）。以其他方式提出的质疑，采购代理机构</w:t>
      </w:r>
      <w:r>
        <w:rPr>
          <w:rFonts w:hAnsi="宋体"/>
          <w:sz w:val="24"/>
          <w:szCs w:val="21"/>
        </w:rPr>
        <w:t>可不予接受、答复。</w:t>
      </w:r>
    </w:p>
    <w:p w14:paraId="2BCE6DFA">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.1</w:t>
      </w:r>
      <w:r>
        <w:rPr>
          <w:rFonts w:hAnsi="宋体"/>
          <w:sz w:val="24"/>
          <w:szCs w:val="21"/>
        </w:rPr>
        <w:t xml:space="preserve"> 邮寄方式送达质疑书的，以</w:t>
      </w:r>
      <w:r>
        <w:rPr>
          <w:rFonts w:hint="eastAsia" w:hAnsi="宋体"/>
          <w:sz w:val="24"/>
          <w:szCs w:val="21"/>
        </w:rPr>
        <w:t>采购代理机构</w:t>
      </w:r>
      <w:r>
        <w:rPr>
          <w:rFonts w:hAnsi="宋体"/>
          <w:sz w:val="24"/>
          <w:szCs w:val="21"/>
        </w:rPr>
        <w:t>实际收到邮件之日作为收到质疑的日期。</w:t>
      </w:r>
    </w:p>
    <w:p w14:paraId="295DDDE6">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.2</w:t>
      </w:r>
      <w:r>
        <w:rPr>
          <w:rFonts w:hAnsi="宋体"/>
          <w:sz w:val="24"/>
          <w:szCs w:val="21"/>
        </w:rPr>
        <w:t xml:space="preserve"> 传真方式送达质疑书的，质疑供应商应当取得</w:t>
      </w:r>
      <w:r>
        <w:rPr>
          <w:rFonts w:hint="eastAsia" w:hAnsi="宋体"/>
          <w:sz w:val="24"/>
          <w:szCs w:val="21"/>
        </w:rPr>
        <w:t>采购代理机构</w:t>
      </w:r>
      <w:r>
        <w:rPr>
          <w:rFonts w:hAnsi="宋体"/>
          <w:sz w:val="24"/>
          <w:szCs w:val="21"/>
        </w:rPr>
        <w:t>确认收到传真的意见，并及时将质疑书原件送达</w:t>
      </w:r>
      <w:r>
        <w:rPr>
          <w:rFonts w:hint="eastAsia" w:hAnsi="宋体"/>
          <w:sz w:val="24"/>
          <w:szCs w:val="21"/>
        </w:rPr>
        <w:t>采购代理机构</w:t>
      </w:r>
      <w:r>
        <w:rPr>
          <w:rFonts w:hAnsi="宋体"/>
          <w:sz w:val="24"/>
          <w:szCs w:val="21"/>
        </w:rPr>
        <w:t>。</w:t>
      </w:r>
      <w:r>
        <w:rPr>
          <w:rFonts w:hint="eastAsia" w:hAnsi="宋体"/>
          <w:sz w:val="24"/>
          <w:szCs w:val="21"/>
        </w:rPr>
        <w:t>采购代理机构</w:t>
      </w:r>
      <w:r>
        <w:rPr>
          <w:rFonts w:hAnsi="宋体"/>
          <w:sz w:val="24"/>
          <w:szCs w:val="21"/>
        </w:rPr>
        <w:t>以实际收到原件之日作为收到质疑的日期。</w:t>
      </w:r>
    </w:p>
    <w:p w14:paraId="11167E60">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.3</w:t>
      </w:r>
      <w:r>
        <w:rPr>
          <w:rFonts w:hAnsi="宋体"/>
          <w:sz w:val="24"/>
          <w:szCs w:val="21"/>
        </w:rPr>
        <w:t xml:space="preserve"> 在质疑期限届满前，质疑书已经邮寄或传真成功的，质疑不视为过期。</w:t>
      </w:r>
    </w:p>
    <w:p w14:paraId="26FAD6BC">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4 </w:t>
      </w:r>
      <w:r>
        <w:rPr>
          <w:rFonts w:hint="eastAsia" w:hAnsi="宋体"/>
          <w:sz w:val="24"/>
          <w:szCs w:val="21"/>
        </w:rPr>
        <w:t>质疑供应商提供的相关材料中有外文资料的，应将与质疑相关的外文资料完整、客观、真实地翻译为中文，并注明翻译人员姓名、工作单位、联系方式等信息。</w:t>
      </w:r>
    </w:p>
    <w:p w14:paraId="000CA412">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5 </w:t>
      </w:r>
      <w:r>
        <w:rPr>
          <w:rFonts w:hint="eastAsia" w:hAnsi="宋体"/>
          <w:sz w:val="24"/>
          <w:szCs w:val="21"/>
        </w:rPr>
        <w:t>采购代理机构在收到质疑供应商的书面质疑后7个工作日内作出答复，并以书面形式答复质疑供应商</w:t>
      </w:r>
      <w:r>
        <w:rPr>
          <w:rFonts w:hAnsi="宋体"/>
          <w:sz w:val="24"/>
          <w:szCs w:val="21"/>
        </w:rPr>
        <w:t>。</w:t>
      </w:r>
    </w:p>
    <w:p w14:paraId="7FFEFBBC">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6 </w:t>
      </w:r>
      <w:r>
        <w:rPr>
          <w:rFonts w:hint="eastAsia" w:hAnsi="宋体"/>
          <w:sz w:val="24"/>
          <w:szCs w:val="21"/>
        </w:rPr>
        <w:t>质疑供应商捏造事实、提供虚假材料进行质疑的，采购代理机构报告同级财政部门，由同级财政部门审查，情况属实的，应列入不良行为记录，并在指定的媒体上公告。</w:t>
      </w:r>
    </w:p>
    <w:p w14:paraId="740C5A26">
      <w:pPr>
        <w:pStyle w:val="4"/>
        <w:ind w:firstLine="321" w:firstLineChars="100"/>
        <w:rPr>
          <w:rFonts w:hint="eastAsia" w:ascii="宋体" w:hAnsi="宋体"/>
          <w:sz w:val="32"/>
        </w:rPr>
      </w:pPr>
      <w:bookmarkStart w:id="227" w:name="_Toc23205"/>
      <w:bookmarkStart w:id="228" w:name="_Toc495479102"/>
      <w:bookmarkStart w:id="229" w:name="_Toc10969"/>
      <w:bookmarkStart w:id="230" w:name="_Toc94277249"/>
      <w:bookmarkStart w:id="231" w:name="_Toc30394"/>
      <w:bookmarkStart w:id="232" w:name="_Toc24282"/>
      <w:bookmarkStart w:id="233" w:name="_Toc20277"/>
      <w:r>
        <w:rPr>
          <w:rFonts w:hint="eastAsia" w:ascii="宋体" w:hAnsi="宋体"/>
          <w:sz w:val="32"/>
        </w:rPr>
        <w:t>十   投诉</w:t>
      </w:r>
      <w:bookmarkEnd w:id="224"/>
      <w:bookmarkEnd w:id="225"/>
      <w:bookmarkEnd w:id="226"/>
      <w:bookmarkEnd w:id="227"/>
      <w:bookmarkEnd w:id="228"/>
      <w:bookmarkEnd w:id="229"/>
      <w:bookmarkEnd w:id="230"/>
      <w:bookmarkEnd w:id="231"/>
      <w:bookmarkEnd w:id="232"/>
      <w:bookmarkEnd w:id="233"/>
    </w:p>
    <w:p w14:paraId="18EB5F37">
      <w:pPr>
        <w:spacing w:line="360" w:lineRule="auto"/>
        <w:ind w:firstLine="480" w:firstLineChars="200"/>
        <w:rPr>
          <w:rFonts w:hint="eastAsia" w:ascii="宋体" w:hAnsi="宋体"/>
          <w:sz w:val="24"/>
        </w:rPr>
      </w:pPr>
      <w:bookmarkStart w:id="234" w:name="_Toc334087239"/>
      <w:bookmarkStart w:id="235" w:name="_Toc390938586"/>
      <w:bookmarkStart w:id="236" w:name="_Toc335664281"/>
      <w:r>
        <w:rPr>
          <w:rFonts w:hint="eastAsia" w:ascii="宋体" w:hAnsi="宋体"/>
          <w:sz w:val="24"/>
        </w:rPr>
        <w:t>34.质疑供应商对采购代理机构的答复不满意或者采购代理机构未在规定时间内答复的，可以在答复期满后十五个工作日内按有关规定，以书面形式向同级监督管理部门投诉。</w:t>
      </w:r>
    </w:p>
    <w:p w14:paraId="18B07AC1">
      <w:pPr>
        <w:pStyle w:val="4"/>
        <w:ind w:firstLine="321" w:firstLineChars="100"/>
        <w:rPr>
          <w:rFonts w:hint="eastAsia" w:ascii="宋体" w:hAnsi="宋体"/>
          <w:sz w:val="32"/>
        </w:rPr>
      </w:pPr>
      <w:bookmarkStart w:id="237" w:name="_Toc11724"/>
      <w:bookmarkStart w:id="238" w:name="_Toc21422"/>
      <w:bookmarkStart w:id="239" w:name="_Toc241"/>
      <w:bookmarkStart w:id="240" w:name="_Toc94277250"/>
      <w:bookmarkStart w:id="241" w:name="_Toc495479103"/>
      <w:bookmarkStart w:id="242" w:name="_Toc8909"/>
      <w:bookmarkStart w:id="243" w:name="_Toc32069"/>
      <w:r>
        <w:rPr>
          <w:rFonts w:hint="eastAsia" w:ascii="宋体" w:hAnsi="宋体"/>
          <w:sz w:val="32"/>
        </w:rPr>
        <w:t>十一  授予合同</w:t>
      </w:r>
      <w:bookmarkEnd w:id="217"/>
      <w:bookmarkEnd w:id="234"/>
      <w:bookmarkEnd w:id="235"/>
      <w:bookmarkEnd w:id="236"/>
      <w:bookmarkEnd w:id="237"/>
      <w:bookmarkEnd w:id="238"/>
      <w:bookmarkEnd w:id="239"/>
      <w:bookmarkEnd w:id="240"/>
      <w:bookmarkEnd w:id="241"/>
      <w:bookmarkEnd w:id="242"/>
      <w:bookmarkEnd w:id="243"/>
    </w:p>
    <w:p w14:paraId="4561F350">
      <w:pPr>
        <w:spacing w:line="360" w:lineRule="auto"/>
        <w:ind w:firstLine="480" w:firstLineChars="200"/>
        <w:rPr>
          <w:rFonts w:hint="eastAsia" w:ascii="宋体" w:hAnsi="宋体"/>
          <w:sz w:val="24"/>
        </w:rPr>
      </w:pPr>
      <w:bookmarkStart w:id="244" w:name="_Toc107820052"/>
      <w:bookmarkStart w:id="245" w:name="_Toc15813254"/>
      <w:bookmarkStart w:id="246" w:name="_Toc15805937"/>
      <w:bookmarkStart w:id="247" w:name="_Toc45506731"/>
      <w:bookmarkStart w:id="248" w:name="_Toc335664282"/>
      <w:bookmarkStart w:id="249" w:name="_Toc47756031"/>
      <w:bookmarkStart w:id="250" w:name="_Toc390938587"/>
      <w:bookmarkStart w:id="251" w:name="_Toc334087240"/>
      <w:r>
        <w:rPr>
          <w:rFonts w:ascii="宋体" w:hAnsi="宋体"/>
          <w:sz w:val="24"/>
        </w:rPr>
        <w:t>3</w:t>
      </w:r>
      <w:r>
        <w:rPr>
          <w:rFonts w:hint="eastAsia" w:ascii="宋体" w:hAnsi="宋体"/>
          <w:sz w:val="24"/>
        </w:rPr>
        <w:t>5.</w:t>
      </w:r>
      <w:r>
        <w:rPr>
          <w:rFonts w:ascii="宋体" w:hAnsi="宋体"/>
          <w:sz w:val="24"/>
        </w:rPr>
        <w:t xml:space="preserve"> </w:t>
      </w:r>
      <w:r>
        <w:rPr>
          <w:rFonts w:hint="eastAsia" w:ascii="宋体" w:hAnsi="宋体"/>
          <w:sz w:val="24"/>
        </w:rPr>
        <w:t>成交结果公告及成交通知书</w:t>
      </w:r>
    </w:p>
    <w:p w14:paraId="59C01C8D">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5.1</w:t>
      </w:r>
      <w:r>
        <w:rPr>
          <w:rFonts w:ascii="宋体" w:hAnsi="宋体"/>
          <w:sz w:val="24"/>
        </w:rPr>
        <w:t xml:space="preserve"> </w:t>
      </w:r>
      <w:r>
        <w:rPr>
          <w:rFonts w:hint="eastAsia" w:ascii="宋体" w:hAnsi="宋体"/>
          <w:sz w:val="24"/>
        </w:rPr>
        <w:t>采购代理机构将在“浙江政府采购网、丽水市公共资源交易网”上发布成交结果公告，同时向成交供应商发出成交通知书。</w:t>
      </w:r>
    </w:p>
    <w:p w14:paraId="3A143AEB">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 </w:t>
      </w:r>
      <w:r>
        <w:rPr>
          <w:rFonts w:hint="eastAsia" w:ascii="宋体" w:hAnsi="宋体"/>
          <w:sz w:val="24"/>
        </w:rPr>
        <w:t>授予合同时变更数量的权力</w:t>
      </w:r>
    </w:p>
    <w:p w14:paraId="35252037">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.1 </w:t>
      </w:r>
      <w:r>
        <w:rPr>
          <w:rFonts w:hint="eastAsia" w:ascii="宋体" w:hAnsi="宋体"/>
          <w:sz w:val="24"/>
        </w:rPr>
        <w:t>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14:paraId="6C51A576">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 </w:t>
      </w:r>
      <w:r>
        <w:rPr>
          <w:rFonts w:hint="eastAsia" w:ascii="宋体" w:hAnsi="宋体"/>
          <w:sz w:val="24"/>
        </w:rPr>
        <w:t>签订合同</w:t>
      </w:r>
    </w:p>
    <w:bookmarkEnd w:id="244"/>
    <w:bookmarkEnd w:id="245"/>
    <w:bookmarkEnd w:id="246"/>
    <w:bookmarkEnd w:id="247"/>
    <w:bookmarkEnd w:id="248"/>
    <w:bookmarkEnd w:id="249"/>
    <w:bookmarkEnd w:id="250"/>
    <w:bookmarkEnd w:id="251"/>
    <w:p w14:paraId="134584A6">
      <w:pPr>
        <w:spacing w:line="460" w:lineRule="exact"/>
        <w:ind w:left="479" w:leftChars="228"/>
        <w:rPr>
          <w:rFonts w:hint="eastAsia" w:ascii="宋体" w:hAnsi="宋体"/>
          <w:sz w:val="24"/>
        </w:rPr>
      </w:pPr>
      <w:bookmarkStart w:id="252" w:name="_Toc494558365"/>
      <w:bookmarkStart w:id="253" w:name="_Toc94277251"/>
      <w:bookmarkStart w:id="254" w:name="_Toc495479104"/>
      <w:bookmarkStart w:id="255" w:name="_Toc493955970"/>
      <w:bookmarkStart w:id="256" w:name="_Toc9002"/>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成交人自成交通知书发出之日起30日内与采购人签订合同。</w:t>
      </w:r>
    </w:p>
    <w:p w14:paraId="6CFE939E">
      <w:pPr>
        <w:spacing w:line="460" w:lineRule="exact"/>
        <w:ind w:left="479" w:leftChars="228"/>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.2 </w:t>
      </w:r>
      <w:r>
        <w:rPr>
          <w:rFonts w:hint="eastAsia" w:ascii="宋体" w:hAnsi="宋体"/>
          <w:sz w:val="24"/>
        </w:rPr>
        <w:t>磋商文件、成交人的响应文件及其澄清文件等，均为签订合同的依据。</w:t>
      </w:r>
    </w:p>
    <w:p w14:paraId="7D7200E4">
      <w:pPr>
        <w:spacing w:line="460" w:lineRule="exact"/>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.3 </w:t>
      </w:r>
      <w:r>
        <w:rPr>
          <w:rFonts w:hint="eastAsia" w:ascii="宋体" w:hAnsi="宋体"/>
          <w:sz w:val="24"/>
        </w:rPr>
        <w:t>成交人不遵守磋商文件和响应文件的要约条款及所作的承诺，擅自修改报价或在成交通知书发出之日起30日内，无故拖延、拒签合同者，采购代理机构和采购人有权取消供应商的成交资格。</w:t>
      </w:r>
    </w:p>
    <w:p w14:paraId="19992BA2">
      <w:pPr>
        <w:spacing w:line="460" w:lineRule="exact"/>
        <w:ind w:firstLine="480" w:firstLineChars="200"/>
        <w:rPr>
          <w:rFonts w:hint="eastAsia" w:ascii="宋体" w:hAnsi="宋体"/>
          <w:sz w:val="24"/>
        </w:rPr>
      </w:pPr>
      <w:r>
        <w:rPr>
          <w:rFonts w:hint="eastAsia" w:ascii="宋体" w:hAnsi="宋体"/>
          <w:sz w:val="24"/>
        </w:rPr>
        <w:t>按有关法律法规成交人拒绝与采购人签订合同的，采购人可以按照评审报告推荐的成交候选人名单排序，确定下一候选人为成交人，也可以重新开展政府采购活动。</w:t>
      </w:r>
    </w:p>
    <w:p w14:paraId="242BA29F">
      <w:pPr>
        <w:spacing w:line="460" w:lineRule="exact"/>
        <w:ind w:firstLine="480" w:firstLineChars="200"/>
        <w:rPr>
          <w:rFonts w:hint="eastAsia" w:ascii="宋体" w:hAnsi="宋体"/>
          <w:sz w:val="24"/>
        </w:rPr>
      </w:pPr>
      <w:r>
        <w:rPr>
          <w:rFonts w:hint="eastAsia" w:ascii="宋体" w:hAnsi="宋体"/>
          <w:sz w:val="24"/>
        </w:rPr>
        <w:t>37.4</w:t>
      </w:r>
      <w:r>
        <w:rPr>
          <w:rFonts w:ascii="宋体" w:hAnsi="宋体"/>
          <w:sz w:val="24"/>
        </w:rPr>
        <w:t xml:space="preserve"> </w:t>
      </w:r>
      <w:r>
        <w:rPr>
          <w:rFonts w:hint="eastAsia" w:ascii="宋体" w:hAnsi="宋体"/>
          <w:sz w:val="24"/>
        </w:rPr>
        <w:t>询问或者质疑事项可能影响成交结果的，采购人应当暂停签订合同，已经签订合同的，应当中止履行合同。（成交结果的质疑期为成交结果公告期限届满之日起七个工作日）。</w:t>
      </w:r>
    </w:p>
    <w:p w14:paraId="390A6D27">
      <w:pPr>
        <w:spacing w:line="460" w:lineRule="exact"/>
        <w:ind w:firstLine="480" w:firstLineChars="200"/>
        <w:rPr>
          <w:rFonts w:hint="eastAsia" w:ascii="宋体" w:hAnsi="宋体"/>
          <w:sz w:val="24"/>
        </w:rPr>
      </w:pPr>
      <w:r>
        <w:rPr>
          <w:rFonts w:hint="eastAsia" w:ascii="宋体" w:hAnsi="宋体"/>
          <w:sz w:val="24"/>
        </w:rPr>
        <w:t>37.5采购人自政府采购合同签订之日起2个工作日内，将政府采购合同在省级以上人民政府财政部门指定的媒体上公告，但政府采购合同中涉及国家秘密、商业秘密的内容除外。</w:t>
      </w:r>
    </w:p>
    <w:p w14:paraId="600A3E44">
      <w:pPr>
        <w:pStyle w:val="4"/>
        <w:spacing w:after="0"/>
        <w:ind w:firstLine="321" w:firstLineChars="100"/>
        <w:rPr>
          <w:rFonts w:hint="eastAsia" w:ascii="宋体" w:hAnsi="宋体"/>
          <w:sz w:val="32"/>
        </w:rPr>
      </w:pPr>
      <w:bookmarkStart w:id="257" w:name="_Toc19430"/>
      <w:bookmarkStart w:id="258" w:name="_Toc16605"/>
      <w:bookmarkStart w:id="259" w:name="_Toc29661"/>
      <w:bookmarkStart w:id="260" w:name="_Toc4460"/>
      <w:r>
        <w:rPr>
          <w:rFonts w:hint="eastAsia" w:ascii="宋体" w:hAnsi="宋体"/>
          <w:sz w:val="32"/>
        </w:rPr>
        <w:t>十二  验收</w:t>
      </w:r>
      <w:bookmarkEnd w:id="252"/>
      <w:bookmarkEnd w:id="253"/>
      <w:bookmarkEnd w:id="254"/>
      <w:bookmarkEnd w:id="255"/>
      <w:bookmarkEnd w:id="256"/>
      <w:bookmarkEnd w:id="257"/>
      <w:bookmarkEnd w:id="258"/>
      <w:bookmarkEnd w:id="259"/>
      <w:bookmarkEnd w:id="260"/>
    </w:p>
    <w:p w14:paraId="0403B363">
      <w:pPr>
        <w:spacing w:line="360" w:lineRule="auto"/>
        <w:ind w:firstLine="480" w:firstLineChars="200"/>
        <w:rPr>
          <w:rFonts w:hint="eastAsia" w:ascii="宋体" w:hAnsi="宋体"/>
          <w:sz w:val="24"/>
        </w:rPr>
      </w:pPr>
      <w:r>
        <w:rPr>
          <w:rFonts w:hint="eastAsia" w:ascii="宋体" w:hAnsi="宋体"/>
          <w:sz w:val="24"/>
        </w:rPr>
        <w:t>38.</w:t>
      </w:r>
      <w:r>
        <w:rPr>
          <w:rFonts w:ascii="宋体" w:hAnsi="宋体"/>
          <w:sz w:val="24"/>
        </w:rPr>
        <w:t xml:space="preserve"> </w:t>
      </w:r>
      <w:r>
        <w:rPr>
          <w:rFonts w:hint="eastAsia" w:ascii="宋体" w:hAnsi="宋体"/>
          <w:sz w:val="24"/>
        </w:rPr>
        <w:t>采购人应当按照政府采购合同规定的技术、服务、安全标准组织对供应商履约情况进行验收（考核），并出具验收书（考核结果确认表）。验收书（考核结果确认表）应当包括每一项技术、服务、安全标准的履约情况。</w:t>
      </w:r>
    </w:p>
    <w:p w14:paraId="1D059A09">
      <w:pPr>
        <w:pStyle w:val="27"/>
        <w:snapToGrid w:val="0"/>
        <w:spacing w:before="0" w:beforeAutospacing="0" w:after="0" w:afterAutospacing="0" w:line="360" w:lineRule="auto"/>
        <w:ind w:firstLine="480" w:firstLineChars="200"/>
        <w:rPr>
          <w:rFonts w:hint="eastAsia"/>
          <w:kern w:val="2"/>
        </w:rPr>
      </w:pPr>
      <w:r>
        <w:rPr>
          <w:rFonts w:hint="eastAsia"/>
          <w:kern w:val="2"/>
        </w:rPr>
        <w:t>38.1</w:t>
      </w:r>
      <w:r>
        <w:rPr>
          <w:kern w:val="2"/>
        </w:rPr>
        <w:t xml:space="preserve"> </w:t>
      </w:r>
      <w:r>
        <w:rPr>
          <w:rFonts w:hint="eastAsia"/>
          <w:kern w:val="2"/>
        </w:rPr>
        <w:t>如本项目采购人将邀请其他供应商</w:t>
      </w:r>
      <w:r>
        <w:rPr>
          <w:kern w:val="2"/>
        </w:rPr>
        <w:t>或者第三</w:t>
      </w:r>
      <w:r>
        <w:rPr>
          <w:rFonts w:hint="eastAsia"/>
          <w:kern w:val="2"/>
        </w:rPr>
        <w:t>方</w:t>
      </w:r>
      <w:r>
        <w:rPr>
          <w:kern w:val="2"/>
        </w:rPr>
        <w:t>机构</w:t>
      </w:r>
      <w:r>
        <w:rPr>
          <w:rFonts w:hint="eastAsia"/>
          <w:kern w:val="2"/>
        </w:rPr>
        <w:t>参与验收、核对成交标的的技术指标、承诺等内容，是否和磋商文件、成交人响应文件的内容相符合。</w:t>
      </w:r>
    </w:p>
    <w:p w14:paraId="7AF3002A">
      <w:pPr>
        <w:pStyle w:val="27"/>
        <w:snapToGrid w:val="0"/>
        <w:spacing w:before="0" w:beforeAutospacing="0" w:after="0" w:afterAutospacing="0" w:line="360" w:lineRule="auto"/>
        <w:ind w:firstLine="480" w:firstLineChars="200"/>
        <w:rPr>
          <w:rFonts w:hint="eastAsia"/>
          <w:kern w:val="2"/>
        </w:rPr>
      </w:pPr>
      <w:r>
        <w:rPr>
          <w:rFonts w:hint="eastAsia"/>
          <w:kern w:val="2"/>
        </w:rPr>
        <w:t>38</w:t>
      </w:r>
      <w:r>
        <w:rPr>
          <w:kern w:val="2"/>
        </w:rPr>
        <w:t>.</w:t>
      </w:r>
      <w:r>
        <w:rPr>
          <w:rFonts w:hint="eastAsia"/>
          <w:kern w:val="2"/>
        </w:rPr>
        <w:t>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575A549A">
      <w:pPr>
        <w:spacing w:line="360" w:lineRule="auto"/>
        <w:ind w:firstLine="480" w:firstLineChars="200"/>
        <w:rPr>
          <w:rFonts w:hint="eastAsia" w:ascii="宋体" w:hAnsi="宋体"/>
          <w:sz w:val="24"/>
        </w:rPr>
      </w:pPr>
      <w:r>
        <w:rPr>
          <w:rFonts w:hint="eastAsia" w:ascii="宋体" w:hAnsi="宋体"/>
          <w:sz w:val="24"/>
        </w:rPr>
        <w:t>38.3其他供应商应遵守诚实信用、实事求是的原则，在验收期间积极配合采购人组织的验收工作，不得影响或阻扰验收工作的正常进行。参与验收的一切费用，原则上由供应商自行承担。</w:t>
      </w:r>
    </w:p>
    <w:p w14:paraId="3F6C6FD6">
      <w:pPr>
        <w:pStyle w:val="4"/>
        <w:spacing w:after="0"/>
        <w:ind w:firstLine="321" w:firstLineChars="100"/>
        <w:rPr>
          <w:rFonts w:hint="eastAsia" w:ascii="宋体" w:hAnsi="宋体"/>
          <w:sz w:val="32"/>
        </w:rPr>
      </w:pPr>
      <w:bookmarkStart w:id="261" w:name="_Toc22654"/>
      <w:bookmarkStart w:id="262" w:name="_Toc19152"/>
      <w:bookmarkStart w:id="263" w:name="_Toc12311"/>
      <w:bookmarkStart w:id="264" w:name="_Toc94277252"/>
      <w:bookmarkStart w:id="265" w:name="_Toc19784"/>
      <w:bookmarkStart w:id="266" w:name="_Toc26430"/>
      <w:bookmarkStart w:id="267" w:name="_Toc493955972"/>
      <w:bookmarkStart w:id="268" w:name="_Toc495479106"/>
      <w:bookmarkStart w:id="269" w:name="_Toc494558367"/>
      <w:r>
        <w:rPr>
          <w:rFonts w:hint="eastAsia" w:ascii="宋体" w:hAnsi="宋体"/>
          <w:sz w:val="32"/>
        </w:rPr>
        <w:t>十三  政府采购政策</w:t>
      </w:r>
      <w:bookmarkEnd w:id="261"/>
      <w:bookmarkEnd w:id="262"/>
      <w:bookmarkEnd w:id="263"/>
      <w:bookmarkEnd w:id="264"/>
      <w:bookmarkEnd w:id="265"/>
      <w:bookmarkEnd w:id="266"/>
    </w:p>
    <w:p w14:paraId="3E0B410E">
      <w:pPr>
        <w:spacing w:line="360" w:lineRule="auto"/>
        <w:ind w:firstLine="480" w:firstLineChars="200"/>
        <w:rPr>
          <w:rFonts w:hint="eastAsia" w:ascii="宋体" w:hAnsi="宋体"/>
          <w:sz w:val="24"/>
        </w:rPr>
      </w:pPr>
      <w:r>
        <w:rPr>
          <w:rFonts w:hint="eastAsia" w:ascii="宋体" w:hAnsi="宋体"/>
          <w:sz w:val="24"/>
        </w:rPr>
        <w:t>39. 关于中小企业参与政府采购活动的规定</w:t>
      </w:r>
    </w:p>
    <w:p w14:paraId="50CB8788">
      <w:pPr>
        <w:adjustRightInd w:val="0"/>
        <w:snapToGrid w:val="0"/>
        <w:spacing w:line="360" w:lineRule="auto"/>
        <w:ind w:firstLine="480" w:firstLineChars="200"/>
        <w:rPr>
          <w:rFonts w:hint="eastAsia" w:ascii="宋体" w:hAnsi="宋体"/>
          <w:sz w:val="24"/>
        </w:rPr>
      </w:pPr>
      <w:r>
        <w:rPr>
          <w:rFonts w:hint="eastAsia" w:ascii="宋体" w:hAnsi="宋体"/>
          <w:sz w:val="24"/>
        </w:rPr>
        <w:t>39.1本项目</w:t>
      </w:r>
      <w:r>
        <w:rPr>
          <w:rFonts w:hint="eastAsia" w:ascii="宋体" w:hAnsi="宋体"/>
          <w:sz w:val="24"/>
          <w:u w:val="single"/>
        </w:rPr>
        <w:t xml:space="preserve"> 是 </w:t>
      </w:r>
      <w:r>
        <w:rPr>
          <w:rFonts w:hint="eastAsia" w:ascii="宋体" w:hAnsi="宋体"/>
          <w:sz w:val="24"/>
        </w:rPr>
        <w:t>专门面向中小企业采购。</w:t>
      </w:r>
    </w:p>
    <w:p w14:paraId="2B1B5741">
      <w:pPr>
        <w:adjustRightInd w:val="0"/>
        <w:snapToGrid w:val="0"/>
        <w:spacing w:line="360" w:lineRule="auto"/>
        <w:ind w:firstLine="480" w:firstLineChars="200"/>
        <w:rPr>
          <w:rFonts w:hint="eastAsia" w:ascii="宋体" w:hAnsi="宋体"/>
          <w:sz w:val="24"/>
          <w:u w:val="single"/>
        </w:rPr>
      </w:pPr>
      <w:r>
        <w:rPr>
          <w:rFonts w:hint="eastAsia" w:ascii="宋体" w:hAnsi="宋体"/>
          <w:sz w:val="24"/>
        </w:rPr>
        <w:t>39.2本项目对应的中小企业划分标准所属行业：</w:t>
      </w:r>
      <w:r>
        <w:rPr>
          <w:rFonts w:hint="eastAsia" w:ascii="宋体" w:hAnsi="宋体" w:cs="宋体"/>
          <w:kern w:val="0"/>
          <w:sz w:val="24"/>
          <w:u w:val="single"/>
          <w:lang w:bidi="ar"/>
        </w:rPr>
        <w:t>其他未列明行业</w:t>
      </w:r>
      <w:r>
        <w:rPr>
          <w:rFonts w:hint="eastAsia" w:ascii="宋体" w:hAnsi="宋体"/>
          <w:sz w:val="24"/>
        </w:rPr>
        <w:t xml:space="preserve">。 </w:t>
      </w:r>
    </w:p>
    <w:p w14:paraId="52EF3333">
      <w:pPr>
        <w:adjustRightInd w:val="0"/>
        <w:snapToGrid w:val="0"/>
        <w:spacing w:line="360" w:lineRule="auto"/>
        <w:ind w:firstLine="480" w:firstLineChars="200"/>
        <w:rPr>
          <w:rFonts w:hint="eastAsia"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3D8C1C85">
      <w:pPr>
        <w:adjustRightInd w:val="0"/>
        <w:snapToGrid w:val="0"/>
        <w:spacing w:line="360" w:lineRule="auto"/>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432EF0DC">
      <w:pPr>
        <w:adjustRightInd w:val="0"/>
        <w:snapToGrid w:val="0"/>
        <w:spacing w:line="360" w:lineRule="auto"/>
        <w:ind w:firstLine="480" w:firstLineChars="200"/>
        <w:rPr>
          <w:rFonts w:hint="eastAsia" w:ascii="宋体" w:hAnsi="宋体"/>
          <w:sz w:val="24"/>
        </w:rPr>
      </w:pPr>
      <w:r>
        <w:rPr>
          <w:rFonts w:hint="eastAsia" w:ascii="宋体" w:hAnsi="宋体"/>
          <w:sz w:val="24"/>
        </w:rPr>
        <w:t>国务院批准的中小企业划分标准：</w:t>
      </w:r>
      <w:r>
        <w:rPr>
          <w:rFonts w:ascii="宋体" w:hAnsi="宋体"/>
          <w:sz w:val="24"/>
        </w:rPr>
        <w:t>具体见工信部联企业[2011]300号</w:t>
      </w:r>
      <w:r>
        <w:rPr>
          <w:rFonts w:hint="eastAsia" w:ascii="宋体" w:hAnsi="宋体"/>
          <w:sz w:val="24"/>
        </w:rPr>
        <w:t>。</w:t>
      </w:r>
    </w:p>
    <w:p w14:paraId="7ADAF9E4">
      <w:pPr>
        <w:adjustRightInd w:val="0"/>
        <w:snapToGrid w:val="0"/>
        <w:spacing w:line="360" w:lineRule="auto"/>
        <w:ind w:firstLine="480" w:firstLineChars="200"/>
        <w:rPr>
          <w:rFonts w:hint="eastAsia" w:ascii="宋体" w:hAnsi="宋体"/>
          <w:sz w:val="24"/>
        </w:rPr>
      </w:pPr>
      <w:r>
        <w:rPr>
          <w:rFonts w:hint="eastAsia" w:ascii="宋体" w:hAnsi="宋体"/>
          <w:sz w:val="24"/>
        </w:rPr>
        <w:t>39.4在政府采购活动中，供应商提供的货物、工程或者服务符合下列情形的，视为本办法规定的中小企业：</w:t>
      </w:r>
    </w:p>
    <w:p w14:paraId="3DB19517">
      <w:pPr>
        <w:adjustRightInd w:val="0"/>
        <w:snapToGrid w:val="0"/>
        <w:spacing w:line="360" w:lineRule="auto"/>
        <w:ind w:firstLine="480" w:firstLineChars="200"/>
        <w:rPr>
          <w:rFonts w:hint="eastAsia" w:ascii="宋体" w:hAnsi="宋体"/>
          <w:sz w:val="24"/>
        </w:rPr>
      </w:pPr>
      <w:r>
        <w:rPr>
          <w:rFonts w:hint="eastAsia" w:ascii="宋体" w:hAnsi="宋体"/>
          <w:sz w:val="24"/>
        </w:rPr>
        <w:t>（一）在货物采购项目中，货物由中小企业制造，即货物由中小企业生产且使用该中小企业商号或者注册商标；</w:t>
      </w:r>
    </w:p>
    <w:p w14:paraId="60B17788">
      <w:pPr>
        <w:adjustRightInd w:val="0"/>
        <w:snapToGrid w:val="0"/>
        <w:spacing w:line="360" w:lineRule="auto"/>
        <w:ind w:firstLine="480" w:firstLineChars="200"/>
        <w:rPr>
          <w:rFonts w:hint="eastAsia" w:ascii="宋体" w:hAnsi="宋体"/>
          <w:sz w:val="24"/>
        </w:rPr>
      </w:pPr>
      <w:r>
        <w:rPr>
          <w:rFonts w:hint="eastAsia" w:ascii="宋体" w:hAnsi="宋体"/>
          <w:sz w:val="24"/>
        </w:rPr>
        <w:t>（二）在工程采购项目中，工程由中小企业承建，即工程施工单位为中小企业；</w:t>
      </w:r>
    </w:p>
    <w:p w14:paraId="134396FE">
      <w:pPr>
        <w:adjustRightInd w:val="0"/>
        <w:snapToGrid w:val="0"/>
        <w:spacing w:line="360" w:lineRule="auto"/>
        <w:ind w:firstLine="480" w:firstLineChars="200"/>
        <w:rPr>
          <w:rFonts w:hint="eastAsia"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2304480C">
      <w:pPr>
        <w:adjustRightInd w:val="0"/>
        <w:snapToGrid w:val="0"/>
        <w:spacing w:line="360" w:lineRule="auto"/>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在货物采购项目中，供应商提供的货物既有中小企业制造货物，也有大型企业制造货物的，视为非中小企业。</w:t>
      </w:r>
    </w:p>
    <w:p w14:paraId="764CA98E">
      <w:pPr>
        <w:adjustRightInd w:val="0"/>
        <w:snapToGrid w:val="0"/>
        <w:spacing w:line="460" w:lineRule="exact"/>
        <w:ind w:firstLine="480" w:firstLineChars="200"/>
        <w:rPr>
          <w:rFonts w:hint="eastAsia" w:ascii="宋体" w:hAnsi="宋体"/>
          <w:sz w:val="24"/>
        </w:rPr>
      </w:pPr>
      <w:bookmarkStart w:id="270" w:name="_Toc94277253"/>
      <w:r>
        <w:rPr>
          <w:rFonts w:hint="eastAsia" w:ascii="宋体" w:hAnsi="宋体"/>
          <w:sz w:val="24"/>
        </w:rPr>
        <w:t>39.5中小企业应按照采购文件格式要求提供《中小企业声明函》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p>
    <w:p w14:paraId="7611AB70">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.6</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EEAD576">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.7</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320BC764">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.8按规定享受扶持政策获得政府采购合同的，小微企业不得将合同分包给大中型企业，中型企业不得将合同分包给大型企业。</w:t>
      </w:r>
    </w:p>
    <w:p w14:paraId="08ED11A9">
      <w:pPr>
        <w:spacing w:line="360" w:lineRule="auto"/>
        <w:ind w:firstLine="480" w:firstLineChars="200"/>
        <w:rPr>
          <w:rFonts w:hint="eastAsia" w:ascii="宋体" w:hAnsi="宋体" w:cs="宋体"/>
          <w:bCs/>
          <w:sz w:val="24"/>
        </w:rPr>
      </w:pPr>
      <w:r>
        <w:rPr>
          <w:rFonts w:hint="eastAsia" w:ascii="宋体" w:hAnsi="宋体" w:cs="仿宋"/>
          <w:sz w:val="24"/>
        </w:rPr>
        <w:t>39</w:t>
      </w:r>
      <w:r>
        <w:rPr>
          <w:rFonts w:hint="eastAsia" w:ascii="宋体" w:hAnsi="宋体"/>
          <w:sz w:val="24"/>
        </w:rPr>
        <w:t>.9供应商按照《政府采购促进中小企业发展管理办法》（财库﹝2020﹞46号）规定提供声明函内容不实的，属于提供虚假材料谋取中标、成交，依照《中华人民共和国政府采购法》等国家有关规定追究相应责任。</w:t>
      </w:r>
    </w:p>
    <w:p w14:paraId="09CB3B11">
      <w:pPr>
        <w:pStyle w:val="4"/>
        <w:spacing w:after="0"/>
        <w:ind w:firstLine="321" w:firstLineChars="100"/>
        <w:rPr>
          <w:rFonts w:hint="eastAsia" w:ascii="宋体" w:hAnsi="宋体"/>
          <w:sz w:val="32"/>
        </w:rPr>
      </w:pPr>
      <w:bookmarkStart w:id="271" w:name="_Toc30235"/>
      <w:bookmarkStart w:id="272" w:name="_Toc26073"/>
      <w:bookmarkStart w:id="273" w:name="_Toc2724"/>
      <w:bookmarkStart w:id="274" w:name="_Toc23092"/>
      <w:bookmarkStart w:id="275" w:name="_Toc30607"/>
      <w:r>
        <w:rPr>
          <w:rFonts w:hint="eastAsia" w:ascii="宋体" w:hAnsi="宋体"/>
          <w:sz w:val="32"/>
        </w:rPr>
        <w:t>十四  其他事项</w:t>
      </w:r>
      <w:bookmarkEnd w:id="267"/>
      <w:bookmarkEnd w:id="268"/>
      <w:bookmarkEnd w:id="269"/>
      <w:bookmarkEnd w:id="270"/>
      <w:bookmarkEnd w:id="271"/>
      <w:bookmarkEnd w:id="272"/>
      <w:bookmarkEnd w:id="273"/>
      <w:bookmarkEnd w:id="274"/>
      <w:bookmarkEnd w:id="275"/>
    </w:p>
    <w:p w14:paraId="54A5B744">
      <w:pPr>
        <w:spacing w:line="360" w:lineRule="auto"/>
        <w:ind w:firstLine="480" w:firstLineChars="200"/>
        <w:rPr>
          <w:rFonts w:hint="eastAsia" w:ascii="宋体" w:hAnsi="宋体"/>
          <w:sz w:val="24"/>
        </w:rPr>
      </w:pPr>
      <w:r>
        <w:rPr>
          <w:rFonts w:hint="eastAsia" w:ascii="宋体" w:hAnsi="宋体"/>
          <w:bCs/>
          <w:sz w:val="24"/>
        </w:rPr>
        <w:t>40.</w:t>
      </w:r>
      <w:r>
        <w:rPr>
          <w:rFonts w:hint="eastAsia" w:ascii="宋体" w:hAnsi="宋体"/>
          <w:sz w:val="24"/>
        </w:rPr>
        <w:t xml:space="preserve"> 解释权 </w:t>
      </w:r>
    </w:p>
    <w:p w14:paraId="74749F77">
      <w:pPr>
        <w:spacing w:line="360" w:lineRule="auto"/>
        <w:ind w:firstLine="480" w:firstLineChars="200"/>
        <w:rPr>
          <w:rFonts w:hint="eastAsia" w:ascii="宋体" w:hAnsi="宋体"/>
          <w:bCs/>
          <w:sz w:val="24"/>
        </w:rPr>
      </w:pPr>
      <w:r>
        <w:rPr>
          <w:rFonts w:hint="eastAsia" w:ascii="宋体" w:hAnsi="宋体"/>
          <w:bCs/>
          <w:sz w:val="24"/>
        </w:rPr>
        <w:t>40.1本磋商文件是根据国家有关法律、法规、规章和有关规定编制的，解释权属采购代理机构。</w:t>
      </w:r>
    </w:p>
    <w:p w14:paraId="39168A6C">
      <w:pPr>
        <w:spacing w:line="360" w:lineRule="auto"/>
        <w:ind w:firstLine="480" w:firstLineChars="200"/>
        <w:rPr>
          <w:rFonts w:hint="eastAsia" w:ascii="宋体" w:hAnsi="宋体"/>
          <w:sz w:val="24"/>
        </w:rPr>
      </w:pPr>
      <w:r>
        <w:rPr>
          <w:rFonts w:hint="eastAsia" w:ascii="宋体" w:hAnsi="宋体"/>
          <w:bCs/>
          <w:sz w:val="24"/>
        </w:rPr>
        <w:t>40.2.采购代理机构</w:t>
      </w:r>
      <w:r>
        <w:rPr>
          <w:rFonts w:hint="eastAsia" w:ascii="宋体" w:hAnsi="宋体"/>
          <w:sz w:val="24"/>
        </w:rPr>
        <w:t>对决标结果不负责解释。</w:t>
      </w:r>
    </w:p>
    <w:p w14:paraId="30C9242E">
      <w:pPr>
        <w:spacing w:line="560" w:lineRule="exact"/>
        <w:ind w:firstLine="482" w:firstLineChars="200"/>
        <w:rPr>
          <w:rFonts w:hint="eastAsia" w:ascii="宋体" w:hAnsi="宋体" w:cs="宋体"/>
          <w:b/>
          <w:sz w:val="24"/>
        </w:rPr>
      </w:pPr>
      <w:bookmarkStart w:id="276" w:name="_Toc435628435"/>
      <w:bookmarkStart w:id="277" w:name="_Toc390938588"/>
      <w:bookmarkStart w:id="278" w:name="_Toc390938597"/>
      <w:r>
        <w:rPr>
          <w:rFonts w:hint="eastAsia" w:ascii="宋体" w:hAnsi="宋体" w:cs="宋体"/>
          <w:b/>
          <w:sz w:val="24"/>
        </w:rPr>
        <w:t>41. 采购代理服务费:</w:t>
      </w:r>
    </w:p>
    <w:p w14:paraId="6A89CDCC">
      <w:pPr>
        <w:spacing w:line="360" w:lineRule="auto"/>
        <w:ind w:firstLine="482" w:firstLineChars="200"/>
        <w:rPr>
          <w:rFonts w:hint="eastAsia" w:ascii="宋体" w:hAnsi="宋体" w:cs="宋体"/>
          <w:b/>
          <w:bCs/>
          <w:color w:val="auto"/>
          <w:sz w:val="24"/>
          <w:highlight w:val="none"/>
        </w:rPr>
      </w:pPr>
      <w:r>
        <w:rPr>
          <w:rFonts w:hint="eastAsia" w:ascii="宋体" w:hAnsi="宋体"/>
          <w:b/>
          <w:bCs/>
          <w:sz w:val="24"/>
        </w:rPr>
        <w:t>41.1</w:t>
      </w:r>
      <w:r>
        <w:rPr>
          <w:rFonts w:hint="eastAsia" w:ascii="宋体" w:hAnsi="宋体" w:cs="宋体"/>
          <w:b/>
          <w:bCs/>
          <w:color w:val="auto"/>
          <w:sz w:val="24"/>
          <w:highlight w:val="none"/>
        </w:rPr>
        <w:t>由成交人支付代理服务费，费用以成交价按下表服务类收费标准计取，采用差额累计法计算（不足伍仟元的按伍仟元计取），成交人在成交公告发布之日起5个工作日内向采购代理机构一次性付清。</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776"/>
        <w:gridCol w:w="2349"/>
      </w:tblGrid>
      <w:tr w14:paraId="526F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F216D5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中标金额（万元）</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952C2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698B8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r>
      <w:tr w14:paraId="61F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5E5079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C1958A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7EC46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53E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7B9A9E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198536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329AEDF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0.8%</w:t>
            </w:r>
          </w:p>
        </w:tc>
      </w:tr>
    </w:tbl>
    <w:p w14:paraId="5F1E98C8">
      <w:pPr>
        <w:spacing w:line="360" w:lineRule="auto"/>
        <w:ind w:firstLine="482" w:firstLineChars="200"/>
        <w:rPr>
          <w:rFonts w:hint="eastAsia" w:ascii="宋体" w:hAnsi="宋体"/>
          <w:b/>
          <w:bCs/>
          <w:sz w:val="24"/>
        </w:rPr>
      </w:pPr>
    </w:p>
    <w:p w14:paraId="3F15ECD7">
      <w:pPr>
        <w:spacing w:line="360" w:lineRule="auto"/>
        <w:ind w:firstLine="482" w:firstLineChars="200"/>
        <w:rPr>
          <w:rFonts w:hint="eastAsia" w:ascii="宋体" w:hAnsi="宋体"/>
          <w:b/>
          <w:bCs/>
          <w:sz w:val="24"/>
        </w:rPr>
      </w:pPr>
      <w:r>
        <w:rPr>
          <w:rFonts w:hint="eastAsia" w:ascii="宋体" w:hAnsi="宋体"/>
          <w:b/>
          <w:bCs/>
          <w:sz w:val="24"/>
        </w:rPr>
        <w:t>40.2 代理机构账户信息：</w:t>
      </w:r>
    </w:p>
    <w:p w14:paraId="472BB897">
      <w:pPr>
        <w:spacing w:line="360" w:lineRule="auto"/>
        <w:ind w:firstLine="482" w:firstLineChars="200"/>
        <w:jc w:val="left"/>
        <w:rPr>
          <w:rFonts w:hint="eastAsia" w:ascii="宋体" w:hAnsi="宋体"/>
          <w:b/>
          <w:bCs/>
          <w:sz w:val="24"/>
        </w:rPr>
      </w:pPr>
      <w:r>
        <w:rPr>
          <w:rFonts w:hint="eastAsia" w:ascii="宋体" w:hAnsi="宋体"/>
          <w:b/>
          <w:bCs/>
          <w:sz w:val="24"/>
        </w:rPr>
        <w:t>户名：卓正招标咨询（丽水）有限公司</w:t>
      </w:r>
    </w:p>
    <w:p w14:paraId="73555371">
      <w:pPr>
        <w:spacing w:line="360" w:lineRule="auto"/>
        <w:ind w:firstLine="482" w:firstLineChars="200"/>
        <w:jc w:val="left"/>
        <w:rPr>
          <w:rFonts w:hint="eastAsia" w:ascii="宋体" w:hAnsi="宋体"/>
          <w:b/>
          <w:bCs/>
          <w:sz w:val="24"/>
        </w:rPr>
      </w:pPr>
      <w:r>
        <w:rPr>
          <w:rFonts w:hint="eastAsia" w:ascii="宋体" w:hAnsi="宋体"/>
          <w:b/>
          <w:bCs/>
          <w:sz w:val="24"/>
        </w:rPr>
        <w:t>账号：1</w:t>
      </w:r>
      <w:r>
        <w:rPr>
          <w:rFonts w:ascii="宋体" w:hAnsi="宋体"/>
          <w:b/>
          <w:bCs/>
          <w:sz w:val="24"/>
        </w:rPr>
        <w:t>210205009200198220</w:t>
      </w:r>
    </w:p>
    <w:p w14:paraId="2B6F070B">
      <w:pPr>
        <w:spacing w:line="360" w:lineRule="auto"/>
        <w:ind w:firstLine="482" w:firstLineChars="200"/>
        <w:jc w:val="left"/>
        <w:rPr>
          <w:rFonts w:hint="eastAsia" w:ascii="宋体" w:hAnsi="宋体"/>
        </w:rPr>
      </w:pPr>
      <w:r>
        <w:rPr>
          <w:rFonts w:hint="eastAsia" w:ascii="宋体" w:hAnsi="宋体"/>
          <w:b/>
          <w:bCs/>
          <w:sz w:val="24"/>
        </w:rPr>
        <w:t>开户银行：中国工商银行股份有限公司丽水莲城支行</w:t>
      </w:r>
    </w:p>
    <w:p w14:paraId="5D6E0789">
      <w:pPr>
        <w:spacing w:line="560" w:lineRule="exact"/>
        <w:ind w:firstLine="562" w:firstLineChars="200"/>
        <w:jc w:val="center"/>
        <w:outlineLvl w:val="0"/>
        <w:rPr>
          <w:rFonts w:hint="eastAsia" w:ascii="宋体" w:hAnsi="宋体"/>
          <w:sz w:val="36"/>
          <w:szCs w:val="36"/>
        </w:rPr>
      </w:pPr>
      <w:r>
        <w:rPr>
          <w:rFonts w:hint="eastAsia"/>
          <w:b/>
          <w:sz w:val="28"/>
          <w:szCs w:val="28"/>
        </w:rPr>
        <w:br w:type="page"/>
      </w:r>
      <w:bookmarkStart w:id="279" w:name="_Toc24000"/>
      <w:bookmarkStart w:id="280" w:name="_Toc94277254"/>
      <w:bookmarkStart w:id="281" w:name="_Toc1025"/>
      <w:bookmarkStart w:id="282" w:name="_Toc21163"/>
      <w:bookmarkStart w:id="283" w:name="_Toc30573"/>
      <w:r>
        <w:rPr>
          <w:rFonts w:hint="eastAsia" w:ascii="宋体" w:hAnsi="宋体" w:cs="宋体"/>
          <w:b/>
          <w:bCs/>
          <w:sz w:val="36"/>
          <w:szCs w:val="36"/>
        </w:rPr>
        <w:t xml:space="preserve">第三章  </w:t>
      </w:r>
      <w:bookmarkEnd w:id="276"/>
      <w:bookmarkEnd w:id="277"/>
      <w:r>
        <w:rPr>
          <w:rFonts w:hint="eastAsia" w:ascii="宋体" w:hAnsi="宋体" w:cs="宋体"/>
          <w:b/>
          <w:bCs/>
          <w:sz w:val="36"/>
          <w:szCs w:val="36"/>
        </w:rPr>
        <w:t>采购需求</w:t>
      </w:r>
      <w:bookmarkEnd w:id="279"/>
      <w:bookmarkEnd w:id="280"/>
      <w:bookmarkEnd w:id="281"/>
      <w:bookmarkEnd w:id="282"/>
      <w:bookmarkEnd w:id="283"/>
    </w:p>
    <w:p w14:paraId="46F95981">
      <w:pPr>
        <w:pStyle w:val="4"/>
        <w:bidi w:val="0"/>
      </w:pPr>
      <w:bookmarkStart w:id="284" w:name="_Toc26834"/>
      <w:bookmarkStart w:id="285" w:name="_Toc6224"/>
      <w:bookmarkStart w:id="286" w:name="_Toc12936"/>
      <w:bookmarkStart w:id="287" w:name="_Toc94277257"/>
      <w:bookmarkStart w:id="288" w:name="_Toc435628438"/>
      <w:bookmarkStart w:id="289" w:name="_Toc390874092"/>
      <w:r>
        <w:rPr>
          <w:rFonts w:hint="eastAsia"/>
          <w:lang w:eastAsia="zh-CN"/>
        </w:rPr>
        <w:t>一</w:t>
      </w:r>
      <w:r>
        <w:rPr>
          <w:rFonts w:hint="eastAsia"/>
          <w:lang w:val="en-US" w:eastAsia="zh-CN"/>
        </w:rPr>
        <w:t>、采购内容</w:t>
      </w:r>
      <w:bookmarkEnd w:id="284"/>
      <w:bookmarkEnd w:id="285"/>
    </w:p>
    <w:p w14:paraId="619D3EFE">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399" w:leftChars="228" w:hanging="1920" w:hangingChars="800"/>
        <w:textAlignment w:val="auto"/>
        <w:rPr>
          <w:rFonts w:hint="eastAsia" w:ascii="宋体" w:hAnsi="宋体" w:cs="宋体"/>
          <w:color w:val="000000"/>
          <w:sz w:val="24"/>
          <w:lang w:bidi="ar"/>
        </w:rPr>
      </w:pPr>
      <w:r>
        <w:rPr>
          <w:rFonts w:hint="eastAsia" w:ascii="宋体" w:hAnsi="宋体" w:cs="宋体"/>
          <w:color w:val="000000"/>
          <w:sz w:val="24"/>
          <w:szCs w:val="24"/>
        </w:rPr>
        <w:t>赛事名称：</w:t>
      </w:r>
      <w:r>
        <w:rPr>
          <w:rFonts w:hint="eastAsia" w:ascii="宋体" w:hAnsi="宋体" w:cs="宋体"/>
          <w:color w:val="000000"/>
          <w:sz w:val="24"/>
          <w:lang w:eastAsia="zh-CN" w:bidi="ar"/>
        </w:rPr>
        <w:t>2025年省青少年学生阳光体育运动会航海模型、建筑模型竞赛项目</w:t>
      </w:r>
    </w:p>
    <w:p w14:paraId="7B678AC6">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399" w:leftChars="228" w:hanging="1920" w:hangingChars="800"/>
        <w:textAlignment w:val="auto"/>
        <w:rPr>
          <w:rFonts w:hint="eastAsia" w:ascii="宋体" w:hAnsi="宋体" w:cs="宋体"/>
          <w:color w:val="000000"/>
          <w:sz w:val="24"/>
        </w:rPr>
      </w:pPr>
      <w:r>
        <w:rPr>
          <w:rFonts w:hint="eastAsia" w:ascii="宋体" w:hAnsi="宋体" w:cs="宋体"/>
          <w:color w:val="000000"/>
          <w:sz w:val="24"/>
        </w:rPr>
        <w:t>时间：202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7</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w:t>
      </w:r>
      <w:r>
        <w:rPr>
          <w:rFonts w:hint="eastAsia" w:ascii="宋体" w:hAnsi="宋体" w:cs="宋体"/>
          <w:color w:val="000000"/>
          <w:sz w:val="24"/>
          <w:lang w:val="en-US" w:eastAsia="zh-CN"/>
        </w:rPr>
        <w:t>12</w:t>
      </w:r>
      <w:r>
        <w:rPr>
          <w:rFonts w:hint="eastAsia" w:ascii="宋体" w:hAnsi="宋体" w:cs="宋体"/>
          <w:color w:val="000000"/>
          <w:sz w:val="24"/>
        </w:rPr>
        <w:t>日</w:t>
      </w:r>
    </w:p>
    <w:p w14:paraId="2EAE3505">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399" w:leftChars="228" w:hanging="1920" w:hangingChars="800"/>
        <w:textAlignment w:val="auto"/>
        <w:rPr>
          <w:rFonts w:hint="eastAsia" w:ascii="宋体" w:hAnsi="宋体" w:cs="宋体"/>
          <w:color w:val="000000"/>
          <w:sz w:val="24"/>
          <w:szCs w:val="24"/>
        </w:rPr>
      </w:pPr>
      <w:r>
        <w:rPr>
          <w:rFonts w:hint="eastAsia" w:ascii="宋体" w:hAnsi="宋体" w:cs="宋体"/>
          <w:color w:val="000000"/>
          <w:sz w:val="24"/>
        </w:rPr>
        <w:t>比赛地点：</w:t>
      </w:r>
      <w:r>
        <w:rPr>
          <w:rFonts w:hint="eastAsia" w:ascii="宋体" w:hAnsi="宋体" w:cs="宋体"/>
          <w:color w:val="000000"/>
          <w:sz w:val="24"/>
          <w:lang w:val="en-US" w:eastAsia="zh-CN"/>
        </w:rPr>
        <w:t>丽水市</w:t>
      </w:r>
    </w:p>
    <w:p w14:paraId="6B4079EE">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399" w:leftChars="228" w:hanging="1920" w:hangingChars="800"/>
        <w:textAlignment w:val="auto"/>
        <w:rPr>
          <w:rFonts w:hint="eastAsia" w:ascii="宋体" w:hAnsi="宋体" w:cs="宋体"/>
          <w:color w:val="000000"/>
          <w:sz w:val="24"/>
        </w:rPr>
      </w:pPr>
      <w:r>
        <w:rPr>
          <w:rFonts w:hint="eastAsia" w:ascii="宋体" w:hAnsi="宋体" w:cs="宋体"/>
          <w:color w:val="000000"/>
          <w:sz w:val="24"/>
          <w:szCs w:val="24"/>
        </w:rPr>
        <w:t>相关人员安排</w:t>
      </w:r>
    </w:p>
    <w:p w14:paraId="16ABAE4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裁判长1人、仲裁员3人、副总裁判长2人、编排长1人、副裁判长1人、裁判员16人、辅助裁判员20人</w:t>
      </w:r>
      <w:r>
        <w:rPr>
          <w:rFonts w:hint="eastAsia" w:ascii="宋体" w:hAnsi="宋体" w:cs="宋体"/>
          <w:color w:val="000000"/>
          <w:sz w:val="24"/>
        </w:rPr>
        <w:t>、工作人员</w:t>
      </w:r>
      <w:r>
        <w:rPr>
          <w:rFonts w:hint="eastAsia" w:ascii="宋体" w:hAnsi="宋体" w:cs="宋体"/>
          <w:color w:val="000000"/>
          <w:sz w:val="24"/>
          <w:lang w:val="en-US" w:eastAsia="zh-CN"/>
        </w:rPr>
        <w:t>20</w:t>
      </w:r>
      <w:r>
        <w:rPr>
          <w:rFonts w:hint="eastAsia" w:ascii="宋体" w:hAnsi="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共64人</w:t>
      </w:r>
      <w:r>
        <w:rPr>
          <w:rFonts w:hint="eastAsia" w:ascii="宋体" w:hAnsi="宋体" w:cs="宋体"/>
          <w:color w:val="000000"/>
          <w:sz w:val="24"/>
        </w:rPr>
        <w:t>。</w:t>
      </w:r>
    </w:p>
    <w:p w14:paraId="357024B7">
      <w:pPr>
        <w:pStyle w:val="4"/>
        <w:bidi w:val="0"/>
      </w:pPr>
      <w:bookmarkStart w:id="290" w:name="_Toc8581"/>
      <w:bookmarkStart w:id="291" w:name="_Toc19549"/>
      <w:bookmarkStart w:id="292" w:name="_Toc27571"/>
      <w:bookmarkStart w:id="293" w:name="_Toc30165"/>
      <w:bookmarkStart w:id="294" w:name="_Toc29788"/>
      <w:r>
        <w:t>二</w:t>
      </w:r>
      <w:r>
        <w:rPr>
          <w:rFonts w:hint="eastAsia"/>
          <w:lang w:val="en-US" w:eastAsia="zh-CN"/>
        </w:rPr>
        <w:t>、</w:t>
      </w:r>
      <w:r>
        <w:t>具体服务需求</w:t>
      </w:r>
      <w:bookmarkEnd w:id="290"/>
      <w:bookmarkEnd w:id="291"/>
      <w:bookmarkEnd w:id="292"/>
      <w:bookmarkEnd w:id="293"/>
      <w:bookmarkEnd w:id="294"/>
    </w:p>
    <w:p w14:paraId="67C17E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bookmarkStart w:id="295" w:name="_Toc13759_WPSOffice_Level2"/>
      <w:bookmarkStart w:id="296" w:name="_Toc22608"/>
      <w:bookmarkStart w:id="297" w:name="_Toc18975_WPSOffice_Level2"/>
      <w:bookmarkStart w:id="298" w:name="_Toc9412"/>
      <w:r>
        <w:rPr>
          <w:rFonts w:hint="eastAsia" w:ascii="宋体" w:hAnsi="宋体" w:cs="宋体"/>
          <w:color w:val="000000"/>
          <w:sz w:val="24"/>
        </w:rPr>
        <w:t>供应商主要负责策划实施</w:t>
      </w:r>
      <w:r>
        <w:rPr>
          <w:rFonts w:hint="eastAsia" w:ascii="宋体" w:hAnsi="宋体" w:cs="宋体"/>
          <w:color w:val="000000"/>
          <w:sz w:val="24"/>
          <w:lang w:eastAsia="zh-CN" w:bidi="ar"/>
        </w:rPr>
        <w:t>2025年省青少年学生阳光体育运动会航海模型、建筑模型竞赛项目</w:t>
      </w:r>
      <w:r>
        <w:rPr>
          <w:rFonts w:hint="eastAsia" w:ascii="宋体" w:hAnsi="宋体" w:cs="宋体"/>
          <w:color w:val="000000"/>
          <w:sz w:val="24"/>
        </w:rPr>
        <w:t>（包括但不限于竞赛组织、器材保障、媒体宣传、场地布置、后勤接待、安全保障、医疗救护等内容的总体方案，并承担所需费用。)</w:t>
      </w:r>
    </w:p>
    <w:p w14:paraId="1D1425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为确保赛事顺利有序进行，要求供应制定以下5个方案（包括但不限于）：</w:t>
      </w:r>
    </w:p>
    <w:p w14:paraId="7A9DCCE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（一）竞赛和器材保障方案</w:t>
      </w:r>
    </w:p>
    <w:p w14:paraId="611D98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供应商按照相关赛事规则制定竞赛和器材保障方案。包括但不限于：</w:t>
      </w:r>
    </w:p>
    <w:p w14:paraId="311506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1.组建标准的赛事组委会、仲裁委员、裁判组，相关劳务费包含在本次投标报价中。</w:t>
      </w:r>
    </w:p>
    <w:p w14:paraId="5A60D37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2.负责提供</w:t>
      </w:r>
      <w:bookmarkStart w:id="299" w:name="_Toc30759"/>
      <w:r>
        <w:rPr>
          <w:rFonts w:hint="eastAsia" w:ascii="宋体" w:hAnsi="宋体" w:cs="宋体"/>
          <w:color w:val="000000"/>
          <w:sz w:val="24"/>
        </w:rPr>
        <w:t>获奖选手或团体的证书</w:t>
      </w:r>
      <w:bookmarkEnd w:id="299"/>
      <w:r>
        <w:rPr>
          <w:rFonts w:hint="eastAsia" w:ascii="宋体" w:hAnsi="宋体" w:cs="宋体"/>
          <w:color w:val="000000"/>
          <w:sz w:val="24"/>
        </w:rPr>
        <w:t>及奖章。</w:t>
      </w:r>
    </w:p>
    <w:p w14:paraId="4F0E01A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3.提供满足比赛要求的无线通讯系统和设备；提供竞赛所需的电脑、打印机和计时器等相关设备。</w:t>
      </w:r>
    </w:p>
    <w:p w14:paraId="37BBF75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4.负责设计制作各类证件、印刷资料，包括但不限于：裁判人员证、工作人员证、秩序册。</w:t>
      </w:r>
    </w:p>
    <w:p w14:paraId="20B2BFFB">
      <w:pPr>
        <w:pStyle w:val="31"/>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5.负责提供本次赛事所需各类用车（包括但不限于小轿车、厢型货车、大客车等）保障和管理工作。</w:t>
      </w:r>
    </w:p>
    <w:p w14:paraId="4D7CBEDB">
      <w:pPr>
        <w:pStyle w:val="31"/>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6.负责为每位裁判提供2件裁判服。</w:t>
      </w:r>
    </w:p>
    <w:p w14:paraId="35B9856D">
      <w:pPr>
        <w:pStyle w:val="31"/>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7.负责赛事颁奖仪式的策划、实施工作。制定颁奖仪式活动方案；做好礼仪培训，落实颁奖嘉宾。</w:t>
      </w:r>
    </w:p>
    <w:p w14:paraId="0B6263F6">
      <w:pPr>
        <w:pStyle w:val="31"/>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8.负责本次比赛场地布置。</w:t>
      </w:r>
    </w:p>
    <w:p w14:paraId="2F9079B8">
      <w:pPr>
        <w:pStyle w:val="31"/>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供应商需制定满足可高不可低于上述需求的竞赛和器材保障方案，并在方案中明确实施进度计划。供应商负责落实经采购人确认后的竞赛和器材保障方案并承担所需费用。</w:t>
      </w:r>
    </w:p>
    <w:p w14:paraId="348F202A">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（二）媒体宣传方案</w:t>
      </w:r>
    </w:p>
    <w:p w14:paraId="5138FF7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方案需充分整合、挖掘各类宣传资源，力求形式新颖多样、内容丰富有趣，为赛事成功举办营造良好的舆论氛围，助力赛事品牌打造和丽水知名度、美誉度的提升。</w:t>
      </w:r>
    </w:p>
    <w:p w14:paraId="41697090">
      <w:pPr>
        <w:pStyle w:val="17"/>
        <w:pageBreakBefore w:val="0"/>
        <w:kinsoku/>
        <w:wordWrap/>
        <w:overflowPunct/>
        <w:topLinePunct w:val="0"/>
        <w:autoSpaceDE/>
        <w:autoSpaceDN/>
        <w:bidi w:val="0"/>
        <w:adjustRightInd w:val="0"/>
        <w:snapToGrid w:val="0"/>
        <w:spacing w:line="360" w:lineRule="auto"/>
        <w:ind w:firstLine="480" w:firstLineChars="200"/>
        <w:jc w:val="left"/>
        <w:textAlignment w:val="auto"/>
        <w:rPr>
          <w:rFonts w:hAnsi="宋体" w:cs="宋体"/>
          <w:color w:val="000000"/>
          <w:sz w:val="24"/>
          <w:szCs w:val="24"/>
        </w:rPr>
      </w:pPr>
      <w:r>
        <w:rPr>
          <w:rFonts w:hAnsi="宋体" w:cs="宋体"/>
          <w:color w:val="000000"/>
          <w:sz w:val="24"/>
          <w:szCs w:val="24"/>
        </w:rPr>
        <w:t>供应商需制定满足可高不可低于上述需求的媒体宣传方案，并在方案明确实施进度计划。供应商负责落实经采购人确认后的媒体宣传方案并承担所需费用。</w:t>
      </w:r>
    </w:p>
    <w:p w14:paraId="7C5D0CDC">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（三）后勤保障方案</w:t>
      </w:r>
    </w:p>
    <w:p w14:paraId="309839B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根据赛事需求，供应商负责制定全面周到、细致暖心的后勤保障方案，包括但不限于：</w:t>
      </w:r>
    </w:p>
    <w:p w14:paraId="3A2C9F0E">
      <w:pPr>
        <w:pStyle w:val="17"/>
        <w:pageBreakBefore w:val="0"/>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rPr>
          <w:rFonts w:hAnsi="宋体" w:cs="宋体"/>
          <w:sz w:val="24"/>
          <w:szCs w:val="24"/>
        </w:rPr>
      </w:pPr>
      <w:r>
        <w:rPr>
          <w:rFonts w:hAnsi="宋体"/>
          <w:color w:val="000000"/>
          <w:sz w:val="24"/>
          <w:szCs w:val="24"/>
        </w:rPr>
        <w:t>负责落实所有</w:t>
      </w:r>
      <w:r>
        <w:rPr>
          <w:rFonts w:hint="eastAsia" w:hAnsi="宋体"/>
          <w:color w:val="000000"/>
          <w:sz w:val="24"/>
          <w:szCs w:val="24"/>
          <w:lang w:val="en-US" w:eastAsia="zh-CN"/>
        </w:rPr>
        <w:t>运动员、领队教练</w:t>
      </w:r>
      <w:r>
        <w:rPr>
          <w:rFonts w:hAnsi="宋体"/>
          <w:color w:val="000000"/>
          <w:sz w:val="24"/>
          <w:szCs w:val="24"/>
        </w:rPr>
        <w:t>、赛事裁判团队、主持人和新闻媒体等工作人员</w:t>
      </w:r>
      <w:r>
        <w:rPr>
          <w:rFonts w:hAnsi="宋体" w:cs="新宋体"/>
          <w:color w:val="000000"/>
          <w:sz w:val="24"/>
          <w:szCs w:val="24"/>
        </w:rPr>
        <w:t>的食宿、接送等服务保障工作。</w:t>
      </w:r>
    </w:p>
    <w:p w14:paraId="5EDA4B90">
      <w:pPr>
        <w:pStyle w:val="17"/>
        <w:pageBreakBefore w:val="0"/>
        <w:kinsoku/>
        <w:wordWrap/>
        <w:overflowPunct/>
        <w:topLinePunct w:val="0"/>
        <w:autoSpaceDE/>
        <w:autoSpaceDN/>
        <w:bidi w:val="0"/>
        <w:adjustRightInd w:val="0"/>
        <w:snapToGrid w:val="0"/>
        <w:spacing w:line="360" w:lineRule="auto"/>
        <w:ind w:firstLine="420" w:firstLineChars="175"/>
        <w:jc w:val="left"/>
        <w:textAlignment w:val="auto"/>
        <w:rPr>
          <w:rFonts w:hAnsi="宋体" w:cs="宋体"/>
          <w:color w:val="000000"/>
          <w:sz w:val="24"/>
          <w:szCs w:val="24"/>
        </w:rPr>
      </w:pPr>
      <w:r>
        <w:rPr>
          <w:rFonts w:hAnsi="宋体" w:cs="宋体"/>
          <w:color w:val="000000"/>
          <w:sz w:val="24"/>
          <w:szCs w:val="24"/>
        </w:rPr>
        <w:t>2.负责提供参赛裁判员以及相关赛事工作人员接送、赛时收容及接驳等车辆的保障工作。</w:t>
      </w:r>
    </w:p>
    <w:p w14:paraId="6F92DB85">
      <w:pPr>
        <w:pStyle w:val="17"/>
        <w:pageBreakBefore w:val="0"/>
        <w:kinsoku/>
        <w:wordWrap/>
        <w:overflowPunct/>
        <w:topLinePunct w:val="0"/>
        <w:autoSpaceDE/>
        <w:autoSpaceDN/>
        <w:bidi w:val="0"/>
        <w:adjustRightInd w:val="0"/>
        <w:snapToGrid w:val="0"/>
        <w:spacing w:line="360" w:lineRule="auto"/>
        <w:ind w:firstLine="480" w:firstLineChars="200"/>
        <w:jc w:val="left"/>
        <w:textAlignment w:val="auto"/>
        <w:rPr>
          <w:rFonts w:hAnsi="宋体" w:cs="宋体"/>
          <w:color w:val="000000"/>
          <w:sz w:val="24"/>
          <w:szCs w:val="24"/>
        </w:rPr>
      </w:pPr>
      <w:r>
        <w:rPr>
          <w:rFonts w:hAnsi="宋体" w:cs="宋体"/>
          <w:color w:val="000000"/>
          <w:sz w:val="24"/>
          <w:szCs w:val="24"/>
        </w:rPr>
        <w:t>3.负责赛前裁判员会议的会场安排。</w:t>
      </w:r>
    </w:p>
    <w:p w14:paraId="57AB9B1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4.提供与裁判数量相匹配的饮用水。</w:t>
      </w:r>
    </w:p>
    <w:p w14:paraId="57F1842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5.提供符合赛事需要的各类车辆，具体数量按实际所需并经采购人确认同意后提供。</w:t>
      </w:r>
    </w:p>
    <w:p w14:paraId="74FDFB92">
      <w:pPr>
        <w:pStyle w:val="17"/>
        <w:pageBreakBefore w:val="0"/>
        <w:kinsoku/>
        <w:wordWrap/>
        <w:overflowPunct/>
        <w:topLinePunct w:val="0"/>
        <w:autoSpaceDE/>
        <w:autoSpaceDN/>
        <w:bidi w:val="0"/>
        <w:adjustRightInd w:val="0"/>
        <w:snapToGrid w:val="0"/>
        <w:spacing w:line="360" w:lineRule="auto"/>
        <w:ind w:firstLine="480" w:firstLineChars="200"/>
        <w:jc w:val="left"/>
        <w:textAlignment w:val="auto"/>
        <w:rPr>
          <w:rFonts w:hAnsi="宋体" w:cs="宋体"/>
          <w:color w:val="000000"/>
          <w:sz w:val="24"/>
          <w:szCs w:val="24"/>
        </w:rPr>
      </w:pPr>
      <w:r>
        <w:rPr>
          <w:rFonts w:hAnsi="宋体" w:cs="宋体"/>
          <w:color w:val="000000"/>
          <w:sz w:val="24"/>
          <w:szCs w:val="24"/>
        </w:rPr>
        <w:t>6.配合市场监督局做好食品安全管理相关工作。</w:t>
      </w:r>
    </w:p>
    <w:p w14:paraId="2BF81A13">
      <w:pPr>
        <w:pStyle w:val="17"/>
        <w:pageBreakBefore w:val="0"/>
        <w:kinsoku/>
        <w:wordWrap/>
        <w:overflowPunct/>
        <w:topLinePunct w:val="0"/>
        <w:autoSpaceDE/>
        <w:autoSpaceDN/>
        <w:bidi w:val="0"/>
        <w:adjustRightInd w:val="0"/>
        <w:snapToGrid w:val="0"/>
        <w:spacing w:line="360" w:lineRule="auto"/>
        <w:ind w:firstLine="480" w:firstLineChars="200"/>
        <w:jc w:val="left"/>
        <w:textAlignment w:val="auto"/>
        <w:rPr>
          <w:rFonts w:hAnsi="宋体" w:cs="宋体"/>
          <w:b/>
          <w:bCs/>
          <w:color w:val="000000"/>
          <w:sz w:val="24"/>
          <w:szCs w:val="24"/>
        </w:rPr>
      </w:pPr>
      <w:r>
        <w:rPr>
          <w:rFonts w:hAnsi="宋体" w:cs="宋体"/>
          <w:color w:val="000000"/>
          <w:sz w:val="24"/>
          <w:szCs w:val="24"/>
        </w:rPr>
        <w:t>供应商需制定满足可高不可低于上述需求的后勤保障方案，并在方案中明确实施进度计划。供应商负责落实经采购人确认后的后勤保障方案并承担所需费用。</w:t>
      </w:r>
    </w:p>
    <w:p w14:paraId="3C7E60E9">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（四）风险分析及应急预案</w:t>
      </w:r>
    </w:p>
    <w:p w14:paraId="7827C34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供应商需针对竞赛和器材保障、媒体宣传、后勤保障、医疗安保等工作可能遇到的突发性情况制定风险分析及应急预案。</w:t>
      </w:r>
    </w:p>
    <w:p w14:paraId="45875C1B">
      <w:pPr>
        <w:pStyle w:val="31"/>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供应商需制定满足可高不可低于上述需求的风险分析及应急预案。供应商负责落实经采购人确认后的风险分析及应急预案并承担所需费用。</w:t>
      </w:r>
    </w:p>
    <w:p w14:paraId="6746A2D2">
      <w:pPr>
        <w:pageBreakBefore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b/>
          <w:bCs/>
          <w:color w:val="000000"/>
          <w:sz w:val="24"/>
        </w:rPr>
      </w:pPr>
      <w:r>
        <w:rPr>
          <w:rFonts w:hint="eastAsia" w:ascii="宋体" w:hAnsi="宋体" w:cs="宋体"/>
          <w:b/>
          <w:bCs/>
          <w:color w:val="000000"/>
          <w:sz w:val="24"/>
        </w:rPr>
        <w:t>（五）安保医疗方案</w:t>
      </w:r>
    </w:p>
    <w:p w14:paraId="77E9431D">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供应商根据竞赛要求制定切实可行、保障有力的安保医疗方案，包括但不限于：</w:t>
      </w:r>
    </w:p>
    <w:p w14:paraId="2A5A89D0">
      <w:pPr>
        <w:pStyle w:val="13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rPr>
      </w:pPr>
      <w:r>
        <w:rPr>
          <w:rFonts w:hint="eastAsia" w:ascii="宋体" w:hAnsi="宋体" w:cs="宋体"/>
          <w:color w:val="000000"/>
        </w:rPr>
        <w:t>1.明确赛事安保医疗工作的重点、难点等必须注意事项并制定对应方案。</w:t>
      </w:r>
    </w:p>
    <w:p w14:paraId="47DE0B68">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2.负责落实运动员安全协议、参赛声明等文字材料的起草和签订。</w:t>
      </w:r>
    </w:p>
    <w:p w14:paraId="0BF7E481">
      <w:pPr>
        <w:pStyle w:val="13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rPr>
      </w:pPr>
      <w:r>
        <w:rPr>
          <w:rFonts w:hint="eastAsia" w:ascii="宋体" w:hAnsi="宋体" w:cs="宋体"/>
          <w:color w:val="000000"/>
        </w:rPr>
        <w:t>3.供应商需根据赛事的特点，制定专业赛事安保方案，内容包括但不限于：提供安保人员配备、设施器材配备等内容的方案；完善安保管理体系，确保赛事安全有序、万无一失。</w:t>
      </w:r>
    </w:p>
    <w:p w14:paraId="30A9E4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 xml:space="preserve">4.按照竞赛要求，制定赛事医疗保障方案，配备所需的药品及医务人员。 </w:t>
      </w:r>
    </w:p>
    <w:p w14:paraId="3FC27608">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供应商需制定满足可高不可低于上述需求的安保医疗方案，并在方案中明确实施进度计划。供应商负责落实经采购人确认后的安保医疗方案并承担所需费用。</w:t>
      </w:r>
    </w:p>
    <w:bookmarkEnd w:id="295"/>
    <w:bookmarkEnd w:id="296"/>
    <w:bookmarkEnd w:id="297"/>
    <w:bookmarkEnd w:id="298"/>
    <w:p w14:paraId="2117D1F3">
      <w:pPr>
        <w:pStyle w:val="4"/>
        <w:bidi w:val="0"/>
      </w:pPr>
      <w:bookmarkStart w:id="300" w:name="_Toc12486"/>
      <w:bookmarkStart w:id="301" w:name="_Toc17362"/>
      <w:bookmarkStart w:id="302" w:name="_Toc26112"/>
      <w:bookmarkStart w:id="303" w:name="_Toc23986"/>
      <w:bookmarkStart w:id="304" w:name="_Toc28703"/>
      <w:r>
        <w:t>三、其他要求</w:t>
      </w:r>
      <w:bookmarkEnd w:id="300"/>
      <w:bookmarkEnd w:id="301"/>
      <w:bookmarkEnd w:id="302"/>
      <w:bookmarkEnd w:id="303"/>
      <w:bookmarkEnd w:id="304"/>
    </w:p>
    <w:p w14:paraId="690786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bookmarkStart w:id="305" w:name="_Toc17699"/>
      <w:bookmarkStart w:id="306" w:name="_Toc26814"/>
      <w:bookmarkStart w:id="307" w:name="_Toc16004"/>
      <w:bookmarkStart w:id="308" w:name="_Toc25561"/>
      <w:bookmarkStart w:id="309" w:name="_Toc25992"/>
      <w:bookmarkStart w:id="310" w:name="_Toc18313_WPSOffice_Level2"/>
      <w:bookmarkStart w:id="311" w:name="_Toc16651"/>
      <w:bookmarkStart w:id="312" w:name="_Toc324_WPSOffice_Level2"/>
      <w:r>
        <w:rPr>
          <w:rFonts w:hint="eastAsia" w:ascii="宋体" w:hAnsi="宋体" w:eastAsia="宋体" w:cs="宋体"/>
          <w:color w:val="000000"/>
          <w:sz w:val="24"/>
        </w:rPr>
        <w:t>1.供应商应具有与竞赛规模相当的组织机构和管理人员，有一定承办经验；</w:t>
      </w:r>
      <w:bookmarkEnd w:id="305"/>
      <w:bookmarkEnd w:id="306"/>
      <w:bookmarkEnd w:id="307"/>
      <w:bookmarkEnd w:id="308"/>
      <w:bookmarkStart w:id="313" w:name="_Toc2035"/>
      <w:bookmarkStart w:id="314" w:name="_Toc9213"/>
      <w:bookmarkStart w:id="315" w:name="_Toc26557"/>
      <w:bookmarkStart w:id="316" w:name="_Toc25300"/>
    </w:p>
    <w:p w14:paraId="3DDADD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2.允许筹集社会资金赞助比赛，但不接受总冠名；</w:t>
      </w:r>
      <w:bookmarkEnd w:id="313"/>
      <w:bookmarkEnd w:id="314"/>
      <w:bookmarkEnd w:id="315"/>
      <w:bookmarkEnd w:id="316"/>
    </w:p>
    <w:p w14:paraId="45ABCA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3.活动组织全程接受市体育发展服务中心监管；</w:t>
      </w:r>
    </w:p>
    <w:p w14:paraId="4B0319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color w:val="000000"/>
          <w:sz w:val="24"/>
        </w:rPr>
        <w:t>4.其他未尽事项以合作协议为准。</w:t>
      </w:r>
    </w:p>
    <w:p w14:paraId="30059C6C">
      <w:pPr>
        <w:pStyle w:val="4"/>
        <w:bidi w:val="0"/>
      </w:pPr>
      <w:bookmarkStart w:id="317" w:name="_Toc17156"/>
      <w:bookmarkStart w:id="318" w:name="_Toc12934"/>
      <w:bookmarkStart w:id="319" w:name="_Toc1860"/>
      <w:bookmarkStart w:id="320" w:name="_Toc11494"/>
      <w:bookmarkStart w:id="321" w:name="_Toc4505"/>
      <w:r>
        <w:t>四、</w:t>
      </w:r>
      <w:bookmarkEnd w:id="309"/>
      <w:bookmarkEnd w:id="310"/>
      <w:bookmarkEnd w:id="311"/>
      <w:bookmarkEnd w:id="312"/>
      <w:r>
        <w:t>项目服务期限</w:t>
      </w:r>
      <w:bookmarkEnd w:id="317"/>
      <w:bookmarkEnd w:id="318"/>
      <w:bookmarkEnd w:id="319"/>
      <w:bookmarkEnd w:id="320"/>
      <w:bookmarkEnd w:id="321"/>
    </w:p>
    <w:p w14:paraId="3E7A068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bookmarkStart w:id="322" w:name="_Toc6459_WPSOffice_Level2"/>
      <w:bookmarkStart w:id="323" w:name="_Toc21322"/>
      <w:bookmarkStart w:id="324" w:name="_Toc28895_WPSOffice_Level2"/>
      <w:bookmarkStart w:id="325" w:name="_Toc27061"/>
      <w:r>
        <w:rPr>
          <w:rFonts w:hint="eastAsia" w:ascii="宋体" w:hAnsi="宋体" w:cs="宋体"/>
          <w:sz w:val="24"/>
        </w:rPr>
        <w:t>本项目服务期限自合同签署生效之日起至赛事全部工作结束止；但根据合同约定提前解除或终止的除外。</w:t>
      </w:r>
    </w:p>
    <w:p w14:paraId="3A7F968D">
      <w:pPr>
        <w:pStyle w:val="4"/>
        <w:bidi w:val="0"/>
      </w:pPr>
      <w:bookmarkStart w:id="326" w:name="_Toc5017"/>
      <w:bookmarkStart w:id="327" w:name="_Toc32125"/>
      <w:bookmarkStart w:id="328" w:name="_Toc28887"/>
      <w:bookmarkStart w:id="329" w:name="_Toc8841"/>
      <w:bookmarkStart w:id="330" w:name="_Toc19034"/>
      <w:r>
        <w:t>五、付款方式</w:t>
      </w:r>
      <w:bookmarkEnd w:id="322"/>
      <w:bookmarkEnd w:id="323"/>
      <w:bookmarkEnd w:id="324"/>
      <w:bookmarkEnd w:id="325"/>
      <w:bookmarkEnd w:id="326"/>
      <w:bookmarkEnd w:id="327"/>
      <w:bookmarkEnd w:id="328"/>
      <w:bookmarkEnd w:id="329"/>
      <w:bookmarkEnd w:id="330"/>
    </w:p>
    <w:p w14:paraId="345F8E79">
      <w:pPr>
        <w:spacing w:line="360" w:lineRule="auto"/>
        <w:ind w:firstLine="480" w:firstLineChars="200"/>
        <w:rPr>
          <w:rFonts w:hint="eastAsia" w:ascii="宋体" w:hAnsi="宋体" w:eastAsia="宋体" w:cs="宋体"/>
          <w:sz w:val="24"/>
        </w:rPr>
      </w:pPr>
      <w:r>
        <w:rPr>
          <w:rFonts w:hint="eastAsia" w:ascii="宋体" w:hAnsi="宋体" w:cs="宋体"/>
          <w:sz w:val="24"/>
          <w:lang w:val="en-US"/>
        </w:rPr>
        <w:t>合同生效并具备实施条件且收到成交供应商正式发票后7个工作日内支付合同总额的70%作为预付款；项目经采购人验收合格且收到成交供应商正式发票后7个工作日内支付剩余款项</w:t>
      </w:r>
      <w:r>
        <w:rPr>
          <w:rFonts w:hint="eastAsia" w:ascii="宋体" w:hAnsi="宋体" w:eastAsia="宋体" w:cs="宋体"/>
          <w:sz w:val="24"/>
        </w:rPr>
        <w:t>。</w:t>
      </w:r>
    </w:p>
    <w:p w14:paraId="65D7F9A0">
      <w:pPr>
        <w:widowControl/>
        <w:numPr>
          <w:ilvl w:val="0"/>
          <w:numId w:val="0"/>
        </w:numPr>
        <w:tabs>
          <w:tab w:val="left" w:pos="540"/>
        </w:tabs>
        <w:snapToGrid w:val="0"/>
        <w:spacing w:line="360" w:lineRule="auto"/>
        <w:jc w:val="left"/>
        <w:outlineLvl w:val="2"/>
        <w:rPr>
          <w:rFonts w:hint="default" w:ascii="宋体" w:hAnsi="宋体" w:eastAsia="宋体" w:cs="Times New Roman"/>
          <w:b/>
          <w:sz w:val="32"/>
          <w:lang w:val="en-US" w:eastAsia="zh-CN"/>
        </w:rPr>
      </w:pPr>
    </w:p>
    <w:p w14:paraId="67AF4D95">
      <w:pPr>
        <w:widowControl/>
        <w:ind w:left="1096"/>
        <w:rPr>
          <w:sz w:val="20"/>
        </w:rPr>
      </w:pPr>
    </w:p>
    <w:bookmarkEnd w:id="286"/>
    <w:p w14:paraId="351844C4">
      <w:pPr>
        <w:pStyle w:val="12"/>
      </w:pPr>
      <w:r>
        <w:rPr>
          <w:rFonts w:hint="eastAsia"/>
        </w:rPr>
        <w:br w:type="page"/>
      </w:r>
    </w:p>
    <w:bookmarkEnd w:id="287"/>
    <w:bookmarkEnd w:id="288"/>
    <w:bookmarkEnd w:id="289"/>
    <w:p w14:paraId="68A09F97">
      <w:pPr>
        <w:pStyle w:val="2"/>
        <w:bidi w:val="0"/>
        <w:jc w:val="center"/>
        <w:rPr>
          <w:color w:val="auto"/>
          <w:highlight w:val="none"/>
        </w:rPr>
      </w:pPr>
      <w:bookmarkStart w:id="331" w:name="_Toc4705"/>
      <w:bookmarkStart w:id="332" w:name="_Toc6146"/>
      <w:bookmarkStart w:id="333" w:name="_Toc1963"/>
      <w:bookmarkStart w:id="334" w:name="_Toc5874"/>
      <w:r>
        <w:rPr>
          <w:rFonts w:hint="eastAsia"/>
          <w:color w:val="auto"/>
          <w:highlight w:val="none"/>
        </w:rPr>
        <w:t>第四章  政府采购合同</w:t>
      </w:r>
      <w:bookmarkEnd w:id="331"/>
      <w:bookmarkEnd w:id="332"/>
      <w:bookmarkEnd w:id="333"/>
      <w:bookmarkEnd w:id="334"/>
    </w:p>
    <w:p w14:paraId="3CE9D0BB">
      <w:pPr>
        <w:pStyle w:val="117"/>
        <w:spacing w:before="0" w:beforeAutospacing="0" w:after="0" w:afterAutospacing="0" w:line="360" w:lineRule="auto"/>
        <w:ind w:right="720"/>
        <w:jc w:val="right"/>
        <w:rPr>
          <w:highlight w:val="none"/>
        </w:rPr>
      </w:pPr>
      <w:r>
        <w:rPr>
          <w:rFonts w:hint="eastAsia"/>
          <w:highlight w:val="none"/>
        </w:rPr>
        <w:t xml:space="preserve">合同编号： </w:t>
      </w:r>
      <w:r>
        <w:rPr>
          <w:highlight w:val="none"/>
        </w:rPr>
        <w:t xml:space="preserve">  </w:t>
      </w:r>
    </w:p>
    <w:p w14:paraId="51BF814F">
      <w:pPr>
        <w:pageBreakBefore w:val="0"/>
        <w:kinsoku/>
        <w:wordWrap/>
        <w:overflowPunct/>
        <w:topLinePunct w:val="0"/>
        <w:autoSpaceDE w:val="0"/>
        <w:autoSpaceDN w:val="0"/>
        <w:bidi w:val="0"/>
        <w:spacing w:line="360" w:lineRule="auto"/>
        <w:textAlignment w:val="bottom"/>
        <w:outlineLvl w:val="0"/>
        <w:rPr>
          <w:rFonts w:hint="eastAsia" w:ascii="宋体" w:hAnsi="宋体"/>
          <w:b/>
          <w:sz w:val="24"/>
          <w:szCs w:val="21"/>
          <w:highlight w:val="none"/>
        </w:rPr>
      </w:pPr>
      <w:bookmarkStart w:id="335" w:name="_Toc7"/>
      <w:bookmarkStart w:id="336" w:name="_Toc23742"/>
      <w:bookmarkStart w:id="337" w:name="_Toc5922"/>
      <w:bookmarkStart w:id="338" w:name="_Toc13904"/>
      <w:bookmarkStart w:id="339" w:name="_Toc4536"/>
      <w:bookmarkStart w:id="340" w:name="_Toc24216"/>
      <w:bookmarkStart w:id="341" w:name="_Toc11394"/>
      <w:bookmarkStart w:id="342" w:name="_Toc26280"/>
      <w:bookmarkStart w:id="343" w:name="_Toc12466"/>
      <w:bookmarkStart w:id="344" w:name="_Toc6450"/>
      <w:bookmarkStart w:id="345" w:name="_Toc26899"/>
      <w:bookmarkStart w:id="346" w:name="_Toc11423"/>
      <w:bookmarkStart w:id="347" w:name="_Toc30641"/>
      <w:bookmarkStart w:id="348" w:name="_Toc31468"/>
      <w:bookmarkStart w:id="349" w:name="_Toc18359"/>
      <w:bookmarkStart w:id="350" w:name="_Toc22235"/>
      <w:bookmarkStart w:id="351" w:name="_Toc5046"/>
      <w:bookmarkStart w:id="352" w:name="_Toc5991"/>
      <w:bookmarkStart w:id="353" w:name="_Toc31207"/>
      <w:bookmarkStart w:id="354" w:name="_Toc32283"/>
      <w:bookmarkStart w:id="355" w:name="_Toc872"/>
      <w:bookmarkStart w:id="356" w:name="_Toc23349"/>
      <w:bookmarkStart w:id="357" w:name="_Toc18342"/>
      <w:bookmarkStart w:id="358" w:name="_Toc16709"/>
      <w:r>
        <w:rPr>
          <w:rFonts w:hint="eastAsia" w:ascii="宋体" w:hAnsi="宋体"/>
          <w:b/>
          <w:sz w:val="24"/>
          <w:szCs w:val="21"/>
          <w:highlight w:val="none"/>
        </w:rPr>
        <w:t>采购人（以下简称甲方）：</w:t>
      </w:r>
      <w:bookmarkEnd w:id="335"/>
      <w:bookmarkEnd w:id="336"/>
      <w:bookmarkEnd w:id="337"/>
      <w:bookmarkEnd w:id="338"/>
      <w:bookmarkEnd w:id="339"/>
      <w:bookmarkEnd w:id="340"/>
      <w:bookmarkEnd w:id="341"/>
      <w:bookmarkEnd w:id="342"/>
      <w:bookmarkEnd w:id="343"/>
      <w:r>
        <w:rPr>
          <w:rFonts w:hint="eastAsia" w:ascii="宋体" w:hAnsi="宋体"/>
          <w:b/>
          <w:sz w:val="24"/>
          <w:szCs w:val="21"/>
          <w:highlight w:val="none"/>
          <w:u w:val="single"/>
          <w:lang w:eastAsia="zh-CN"/>
        </w:rPr>
        <w:t>丽水市体育发展服务中心</w:t>
      </w:r>
      <w:r>
        <w:rPr>
          <w:rFonts w:hint="eastAsia" w:ascii="宋体" w:hAnsi="宋体"/>
          <w:b/>
          <w:sz w:val="24"/>
          <w:szCs w:val="21"/>
          <w:highlight w:val="none"/>
          <w:u w:val="single"/>
        </w:rPr>
        <w:t> </w:t>
      </w:r>
      <w:bookmarkEnd w:id="344"/>
      <w:bookmarkEnd w:id="345"/>
      <w:bookmarkEnd w:id="346"/>
      <w:bookmarkEnd w:id="347"/>
      <w:bookmarkEnd w:id="348"/>
      <w:bookmarkEnd w:id="349"/>
      <w:bookmarkEnd w:id="350"/>
      <w:bookmarkEnd w:id="351"/>
      <w:bookmarkEnd w:id="352"/>
      <w:r>
        <w:rPr>
          <w:rFonts w:hint="eastAsia" w:ascii="宋体" w:hAnsi="宋体"/>
          <w:b/>
          <w:sz w:val="24"/>
          <w:szCs w:val="21"/>
          <w:highlight w:val="none"/>
          <w:u w:val="single"/>
        </w:rPr>
        <w:t xml:space="preserve">    </w:t>
      </w:r>
      <w:r>
        <w:rPr>
          <w:rFonts w:hint="eastAsia" w:ascii="宋体" w:hAnsi="宋体"/>
          <w:b/>
          <w:sz w:val="24"/>
          <w:szCs w:val="21"/>
          <w:highlight w:val="none"/>
        </w:rPr>
        <w:t xml:space="preserve">                    </w:t>
      </w:r>
    </w:p>
    <w:p w14:paraId="0BE51B97">
      <w:pPr>
        <w:pStyle w:val="27"/>
        <w:pageBreakBefore w:val="0"/>
        <w:kinsoku/>
        <w:wordWrap/>
        <w:overflowPunct/>
        <w:topLinePunct w:val="0"/>
        <w:bidi w:val="0"/>
        <w:spacing w:before="0" w:beforeAutospacing="0" w:after="0" w:afterAutospacing="0" w:line="360" w:lineRule="auto"/>
        <w:rPr>
          <w:rFonts w:hint="eastAsia" w:cs="宋体"/>
          <w:b/>
          <w:highlight w:val="none"/>
        </w:rPr>
      </w:pPr>
      <w:r>
        <w:rPr>
          <w:rFonts w:hint="eastAsia" w:cs="宋体"/>
          <w:b/>
          <w:highlight w:val="none"/>
        </w:rPr>
        <w:t>成交人（以下称乙方）：</w:t>
      </w:r>
      <w:r>
        <w:rPr>
          <w:rFonts w:hint="eastAsia" w:cs="宋体"/>
          <w:b/>
          <w:highlight w:val="none"/>
          <w:u w:val="single"/>
        </w:rPr>
        <w:t xml:space="preserve">                                       </w:t>
      </w:r>
    </w:p>
    <w:p w14:paraId="2B423CDA">
      <w:pPr>
        <w:pageBreakBefore w:val="0"/>
        <w:kinsoku/>
        <w:wordWrap/>
        <w:overflowPunct/>
        <w:topLinePunct w:val="0"/>
        <w:bidi w:val="0"/>
        <w:snapToGrid w:val="0"/>
        <w:spacing w:before="119" w:line="360" w:lineRule="auto"/>
        <w:ind w:firstLine="480" w:firstLineChars="200"/>
        <w:rPr>
          <w:rFonts w:ascii="宋体" w:hAnsi="宋体" w:cs="宋体"/>
          <w:kern w:val="0"/>
          <w:sz w:val="24"/>
          <w:highlight w:val="none"/>
        </w:rPr>
      </w:pPr>
      <w:r>
        <w:rPr>
          <w:rFonts w:hint="eastAsia" w:ascii="宋体" w:hAnsi="宋体"/>
          <w:sz w:val="24"/>
          <w:szCs w:val="21"/>
          <w:highlight w:val="none"/>
          <w:u w:val="single"/>
        </w:rPr>
        <w:t>2025年省青少年学生阳光体育运动会航海模型、建筑模型竞赛项目</w:t>
      </w:r>
      <w:r>
        <w:rPr>
          <w:rFonts w:hint="eastAsia" w:ascii="宋体" w:hAnsi="宋体"/>
          <w:sz w:val="24"/>
          <w:szCs w:val="21"/>
          <w:highlight w:val="none"/>
        </w:rPr>
        <w:t>经</w:t>
      </w:r>
      <w:r>
        <w:rPr>
          <w:rFonts w:hint="eastAsia" w:ascii="宋体" w:hAnsi="宋体"/>
          <w:sz w:val="24"/>
          <w:szCs w:val="21"/>
          <w:highlight w:val="none"/>
          <w:u w:val="single"/>
          <w:lang w:val="zh-CN"/>
        </w:rPr>
        <w:t>卓正招标咨询（丽水）有限公司</w:t>
      </w:r>
      <w:r>
        <w:rPr>
          <w:rFonts w:hint="eastAsia" w:ascii="宋体" w:hAnsi="宋体"/>
          <w:sz w:val="24"/>
          <w:szCs w:val="21"/>
          <w:highlight w:val="none"/>
        </w:rPr>
        <w:t>以</w:t>
      </w:r>
      <w:r>
        <w:rPr>
          <w:rFonts w:hint="eastAsia" w:ascii="宋体" w:hAnsi="宋体"/>
          <w:sz w:val="24"/>
          <w:szCs w:val="21"/>
          <w:highlight w:val="none"/>
          <w:u w:val="single"/>
          <w:lang w:val="zh-CN"/>
        </w:rPr>
        <w:t>卓正丽磋商2025-10</w:t>
      </w:r>
      <w:r>
        <w:rPr>
          <w:rFonts w:hint="eastAsia" w:ascii="宋体" w:hAnsi="宋体"/>
          <w:sz w:val="24"/>
          <w:szCs w:val="21"/>
          <w:highlight w:val="none"/>
          <w:u w:val="single"/>
          <w:lang w:val="en-US" w:eastAsia="zh-CN"/>
        </w:rPr>
        <w:t>87</w:t>
      </w:r>
      <w:r>
        <w:rPr>
          <w:rFonts w:hint="eastAsia" w:ascii="宋体" w:hAnsi="宋体"/>
          <w:sz w:val="24"/>
          <w:szCs w:val="21"/>
          <w:highlight w:val="none"/>
          <w:u w:val="single"/>
          <w:lang w:val="zh-CN"/>
        </w:rPr>
        <w:t>号</w:t>
      </w:r>
      <w:r>
        <w:rPr>
          <w:rFonts w:hint="eastAsia" w:ascii="宋体" w:hAnsi="宋体"/>
          <w:sz w:val="24"/>
          <w:szCs w:val="21"/>
          <w:highlight w:val="none"/>
        </w:rPr>
        <w:t>竞争性磋商文件在</w:t>
      </w:r>
      <w:r>
        <w:rPr>
          <w:rFonts w:hint="eastAsia" w:ascii="宋体" w:hAnsi="宋体"/>
          <w:sz w:val="24"/>
          <w:szCs w:val="21"/>
          <w:highlight w:val="none"/>
          <w:u w:val="single"/>
        </w:rPr>
        <w:t xml:space="preserve">    年   月   日</w:t>
      </w:r>
      <w:r>
        <w:rPr>
          <w:rFonts w:hint="eastAsia" w:ascii="宋体" w:hAnsi="宋体"/>
          <w:sz w:val="24"/>
          <w:szCs w:val="21"/>
          <w:highlight w:val="none"/>
        </w:rPr>
        <w:t>进行采购。经评审委员会评定</w:t>
      </w:r>
      <w:r>
        <w:rPr>
          <w:rFonts w:hint="eastAsia" w:ascii="宋体" w:hAnsi="宋体"/>
          <w:sz w:val="24"/>
          <w:szCs w:val="21"/>
          <w:highlight w:val="none"/>
          <w:u w:val="single"/>
        </w:rPr>
        <w:t xml:space="preserve"> 　　　　  　  </w:t>
      </w:r>
      <w:r>
        <w:rPr>
          <w:rFonts w:hint="eastAsia" w:ascii="宋体" w:hAnsi="宋体"/>
          <w:sz w:val="24"/>
          <w:szCs w:val="21"/>
          <w:highlight w:val="none"/>
        </w:rPr>
        <w:t>(乙方)为成交人。甲乙双方依据《中华人民共和国民法典》，在平等自愿的基础上，同意按照下面的条款和条件，签署本合同。</w:t>
      </w:r>
      <w:bookmarkEnd w:id="353"/>
      <w:bookmarkEnd w:id="354"/>
      <w:bookmarkEnd w:id="355"/>
      <w:bookmarkEnd w:id="356"/>
      <w:bookmarkEnd w:id="357"/>
      <w:bookmarkEnd w:id="358"/>
    </w:p>
    <w:p w14:paraId="0F8BBE56">
      <w:pPr>
        <w:snapToGrid w:val="0"/>
        <w:spacing w:before="119"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一</w:t>
      </w:r>
      <w:r>
        <w:rPr>
          <w:rFonts w:hint="eastAsia" w:ascii="宋体" w:hAnsi="宋体"/>
          <w:b/>
          <w:color w:val="auto"/>
          <w:sz w:val="24"/>
          <w:szCs w:val="21"/>
          <w:highlight w:val="none"/>
        </w:rPr>
        <w:t>.合同文件</w:t>
      </w:r>
    </w:p>
    <w:p w14:paraId="6B05BD29">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下列文件构成本合同的组成部分，应该认为是一个整体，彼此相互解释，相互补充。组成合同的多个文件的优先支配地位的次序如下：</w:t>
      </w:r>
    </w:p>
    <w:p w14:paraId="21F89B50">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a.</w:t>
      </w:r>
      <w:r>
        <w:rPr>
          <w:rFonts w:hint="eastAsia" w:ascii="宋体" w:hAnsi="宋体"/>
          <w:color w:val="auto"/>
          <w:sz w:val="24"/>
          <w:szCs w:val="21"/>
          <w:highlight w:val="none"/>
        </w:rPr>
        <w:tab/>
      </w:r>
      <w:r>
        <w:rPr>
          <w:rFonts w:hint="eastAsia" w:ascii="宋体" w:hAnsi="宋体"/>
          <w:color w:val="auto"/>
          <w:sz w:val="24"/>
          <w:szCs w:val="21"/>
          <w:highlight w:val="none"/>
        </w:rPr>
        <w:t>本合同书　</w:t>
      </w:r>
    </w:p>
    <w:p w14:paraId="51EC6101">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b.</w:t>
      </w:r>
      <w:r>
        <w:rPr>
          <w:rFonts w:hint="eastAsia" w:ascii="宋体" w:hAnsi="宋体"/>
          <w:color w:val="auto"/>
          <w:sz w:val="24"/>
          <w:szCs w:val="21"/>
          <w:highlight w:val="none"/>
        </w:rPr>
        <w:tab/>
      </w:r>
      <w:r>
        <w:rPr>
          <w:rFonts w:hint="eastAsia" w:ascii="宋体" w:hAnsi="宋体"/>
          <w:color w:val="auto"/>
          <w:sz w:val="24"/>
          <w:szCs w:val="21"/>
          <w:highlight w:val="none"/>
        </w:rPr>
        <w:t>成交通知书</w:t>
      </w:r>
      <w:r>
        <w:rPr>
          <w:rFonts w:hint="eastAsia" w:ascii="宋体" w:hAnsi="宋体"/>
          <w:color w:val="auto"/>
          <w:sz w:val="24"/>
          <w:szCs w:val="21"/>
          <w:highlight w:val="none"/>
        </w:rPr>
        <w:tab/>
      </w:r>
    </w:p>
    <w:p w14:paraId="12D8A15A">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c. 变更补充文件。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p>
    <w:p w14:paraId="40845706">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d.</w:t>
      </w:r>
      <w:r>
        <w:rPr>
          <w:rFonts w:hint="eastAsia" w:ascii="宋体" w:hAnsi="宋体"/>
          <w:color w:val="auto"/>
          <w:sz w:val="24"/>
          <w:szCs w:val="21"/>
          <w:highlight w:val="none"/>
        </w:rPr>
        <w:tab/>
      </w:r>
      <w:r>
        <w:rPr>
          <w:rFonts w:hint="eastAsia" w:ascii="宋体" w:hAnsi="宋体"/>
          <w:color w:val="auto"/>
          <w:sz w:val="24"/>
          <w:szCs w:val="21"/>
          <w:highlight w:val="none"/>
        </w:rPr>
        <w:t>竞争性磋商文件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(含澄清修改文件)</w:t>
      </w:r>
    </w:p>
    <w:p w14:paraId="06E8A2F5">
      <w:pPr>
        <w:snapToGrid w:val="0"/>
        <w:spacing w:before="119" w:after="147"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e.成交人响应文件</w:t>
      </w:r>
      <w:r>
        <w:rPr>
          <w:rFonts w:hint="eastAsia" w:ascii="宋体" w:hAnsi="宋体"/>
          <w:color w:val="auto"/>
          <w:sz w:val="24"/>
          <w:szCs w:val="21"/>
          <w:highlight w:val="none"/>
        </w:rPr>
        <w:tab/>
      </w:r>
      <w:r>
        <w:rPr>
          <w:rFonts w:hint="eastAsia" w:ascii="宋体" w:hAnsi="宋体"/>
          <w:color w:val="auto"/>
          <w:sz w:val="24"/>
          <w:szCs w:val="21"/>
          <w:highlight w:val="none"/>
        </w:rPr>
        <w:t xml:space="preserve">              (含澄清内容)</w:t>
      </w:r>
    </w:p>
    <w:p w14:paraId="47CFB4D4">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二</w:t>
      </w:r>
      <w:r>
        <w:rPr>
          <w:rFonts w:hint="eastAsia" w:ascii="宋体" w:hAnsi="宋体"/>
          <w:b/>
          <w:color w:val="auto"/>
          <w:sz w:val="24"/>
          <w:szCs w:val="21"/>
          <w:highlight w:val="none"/>
        </w:rPr>
        <w:t>.合同总价</w:t>
      </w:r>
    </w:p>
    <w:p w14:paraId="7100DFE3">
      <w:pPr>
        <w:spacing w:line="360" w:lineRule="auto"/>
        <w:ind w:firstLine="480" w:firstLineChars="200"/>
        <w:rPr>
          <w:rFonts w:hint="eastAsia" w:ascii="宋体" w:hAnsi="宋体"/>
          <w:color w:val="auto"/>
          <w:sz w:val="24"/>
          <w:szCs w:val="21"/>
          <w:highlight w:val="none"/>
        </w:rPr>
      </w:pPr>
      <w:r>
        <w:rPr>
          <w:rFonts w:hint="eastAsia" w:ascii="宋体" w:hAnsi="宋体" w:cs="宋体"/>
          <w:color w:val="auto"/>
          <w:sz w:val="24"/>
          <w:highlight w:val="none"/>
        </w:rPr>
        <w:t>本合同含税金额为（大写）：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C1372">
      <w:pPr>
        <w:snapToGrid w:val="0"/>
        <w:spacing w:before="238" w:line="360" w:lineRule="auto"/>
        <w:rPr>
          <w:rFonts w:hint="eastAsia" w:ascii="宋体" w:hAnsi="宋体" w:eastAsia="宋体" w:cs="Times New Roman"/>
          <w:b/>
          <w:color w:val="auto"/>
          <w:sz w:val="24"/>
          <w:szCs w:val="21"/>
          <w:highlight w:val="none"/>
          <w:lang w:val="en-US" w:eastAsia="zh-CN"/>
        </w:rPr>
      </w:pPr>
      <w:r>
        <w:rPr>
          <w:rFonts w:hint="eastAsia" w:ascii="宋体" w:hAnsi="宋体" w:eastAsia="宋体" w:cs="Times New Roman"/>
          <w:b/>
          <w:color w:val="auto"/>
          <w:sz w:val="24"/>
          <w:szCs w:val="21"/>
          <w:highlight w:val="none"/>
          <w:lang w:val="en-US" w:eastAsia="zh-CN"/>
        </w:rPr>
        <w:t>三.服务内容</w:t>
      </w:r>
    </w:p>
    <w:p w14:paraId="608E4E83">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2.1赛事名称：2025年省青少年学生阳光体育运动会航海模型、建筑模型竞赛项目</w:t>
      </w:r>
    </w:p>
    <w:p w14:paraId="4ABA8465">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2.2时间：2025年7月8日-12日</w:t>
      </w:r>
    </w:p>
    <w:p w14:paraId="180DA9C8">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2.3比赛地点：丽水市</w:t>
      </w:r>
    </w:p>
    <w:p w14:paraId="0EE1147E">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2.4相关人员安排</w:t>
      </w:r>
    </w:p>
    <w:p w14:paraId="217418D6">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裁判长1人、仲裁员3人、副总裁判长2人、编排长1人、副裁判长1人、裁判员16人、辅助裁判员20人、工作人员20人，共64人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w:t>
      </w:r>
    </w:p>
    <w:p w14:paraId="24446326">
      <w:pPr>
        <w:keepNext w:val="0"/>
        <w:keepLines w:val="0"/>
        <w:pageBreakBefore w:val="0"/>
        <w:numPr>
          <w:ilvl w:val="0"/>
          <w:numId w:val="0"/>
        </w:numPr>
        <w:kinsoku/>
        <w:wordWrap/>
        <w:overflowPunct/>
        <w:topLinePunct w:val="0"/>
        <w:autoSpaceDE/>
        <w:autoSpaceDN/>
        <w:bidi w:val="0"/>
        <w:adjustRightInd/>
        <w:snapToGrid/>
        <w:spacing w:before="240" w:after="240" w:line="520" w:lineRule="exact"/>
        <w:textAlignment w:val="auto"/>
        <w:rPr>
          <w:rFonts w:hint="eastAsia" w:ascii="宋体" w:hAnsi="宋体" w:eastAsia="宋体" w:cs="Times New Roman"/>
          <w:b/>
          <w:color w:val="auto"/>
          <w:sz w:val="24"/>
          <w:szCs w:val="21"/>
          <w:highlight w:val="none"/>
          <w:lang w:val="en-US" w:eastAsia="zh-CN"/>
        </w:rPr>
      </w:pPr>
      <w:r>
        <w:rPr>
          <w:rFonts w:hint="eastAsia" w:ascii="宋体" w:hAnsi="宋体" w:eastAsia="宋体" w:cs="Times New Roman"/>
          <w:b/>
          <w:color w:val="auto"/>
          <w:sz w:val="24"/>
          <w:szCs w:val="21"/>
          <w:highlight w:val="none"/>
          <w:lang w:val="en-US" w:eastAsia="zh-CN"/>
        </w:rPr>
        <w:t>四.付款方式</w:t>
      </w:r>
    </w:p>
    <w:p w14:paraId="09EF5BCE">
      <w:pPr>
        <w:keepNext w:val="0"/>
        <w:keepLines w:val="0"/>
        <w:pageBreakBefore w:val="0"/>
        <w:numPr>
          <w:ilvl w:val="0"/>
          <w:numId w:val="0"/>
        </w:numPr>
        <w:kinsoku/>
        <w:wordWrap/>
        <w:overflowPunct/>
        <w:topLinePunct w:val="0"/>
        <w:autoSpaceDE/>
        <w:autoSpaceDN/>
        <w:bidi w:val="0"/>
        <w:adjustRightInd/>
        <w:snapToGrid/>
        <w:spacing w:before="240" w:after="240"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合同生效并具备实施条件且收到乙方正式发票后7个工作日内支付合同总额的70%作为预付款；项目经甲方验收合格且收到乙方正式发票后7个工作日内支付剩余款项。</w:t>
      </w:r>
    </w:p>
    <w:p w14:paraId="65D472A8">
      <w:pPr>
        <w:spacing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五</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lang w:eastAsia="zh-CN"/>
        </w:rPr>
        <w:t>服务期限</w:t>
      </w:r>
    </w:p>
    <w:p w14:paraId="675B6D78">
      <w:pPr>
        <w:pStyle w:val="5"/>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本项目服务期限自合同签署生效之日起至赛事全部工作结束止；但根据合同约定提前解除或终止的除外</w:t>
      </w:r>
      <w:r>
        <w:rPr>
          <w:rFonts w:hint="eastAsia" w:ascii="宋体" w:hAnsi="宋体" w:eastAsia="宋体" w:cs="宋体"/>
          <w:color w:val="auto"/>
          <w:sz w:val="24"/>
          <w:szCs w:val="24"/>
          <w:highlight w:val="none"/>
          <w:lang w:val="en-US" w:eastAsia="zh-CN"/>
        </w:rPr>
        <w:t>。</w:t>
      </w:r>
    </w:p>
    <w:p w14:paraId="42434AD2">
      <w:pPr>
        <w:snapToGrid w:val="0"/>
        <w:spacing w:before="238" w:line="360" w:lineRule="auto"/>
        <w:rPr>
          <w:rFonts w:hint="eastAsia" w:ascii="宋体" w:hAnsi="宋体"/>
          <w:b/>
          <w:color w:val="auto"/>
          <w:sz w:val="24"/>
          <w:szCs w:val="21"/>
          <w:highlight w:val="none"/>
        </w:rPr>
      </w:pPr>
      <w:r>
        <w:rPr>
          <w:rFonts w:hint="eastAsia" w:ascii="宋体" w:hAnsi="宋体" w:eastAsia="宋体" w:cs="Times New Roman"/>
          <w:b/>
          <w:color w:val="auto"/>
          <w:sz w:val="24"/>
          <w:szCs w:val="21"/>
          <w:highlight w:val="none"/>
          <w:lang w:val="en-US" w:eastAsia="zh-CN"/>
        </w:rPr>
        <w:t>六</w:t>
      </w:r>
      <w:r>
        <w:rPr>
          <w:rFonts w:hint="eastAsia" w:ascii="宋体" w:hAnsi="宋体" w:eastAsia="宋体" w:cs="Times New Roman"/>
          <w:b/>
          <w:color w:val="auto"/>
          <w:sz w:val="24"/>
          <w:szCs w:val="21"/>
          <w:highlight w:val="none"/>
        </w:rPr>
        <w:t>.使用</w:t>
      </w:r>
      <w:r>
        <w:rPr>
          <w:rFonts w:hint="eastAsia" w:ascii="宋体" w:hAnsi="宋体"/>
          <w:b/>
          <w:color w:val="auto"/>
          <w:sz w:val="24"/>
          <w:szCs w:val="21"/>
          <w:highlight w:val="none"/>
        </w:rPr>
        <w:t>合同文件和资料</w:t>
      </w:r>
    </w:p>
    <w:p w14:paraId="2BF9A171">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1E265DB4">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6.2 没有甲方事先书面同意，除了履行本合同之外，乙方不应使用6.1条款所列举的任何文件和资料。</w:t>
      </w:r>
    </w:p>
    <w:p w14:paraId="6AB15CAE">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6.3 除了合同本身外， 6.1条款所列举的任何文件是甲方的财产。如果甲方有要求，乙方应在完成合同后将这些文件及全部复制件归还给甲方。</w:t>
      </w:r>
    </w:p>
    <w:p w14:paraId="6EBE0D07">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七</w:t>
      </w:r>
      <w:r>
        <w:rPr>
          <w:rFonts w:hint="eastAsia" w:ascii="宋体" w:hAnsi="宋体"/>
          <w:b/>
          <w:color w:val="auto"/>
          <w:sz w:val="24"/>
          <w:szCs w:val="21"/>
          <w:highlight w:val="none"/>
        </w:rPr>
        <w:t>.知识产权</w:t>
      </w:r>
    </w:p>
    <w:p w14:paraId="54196F20">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54632F50">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八</w:t>
      </w:r>
      <w:r>
        <w:rPr>
          <w:rFonts w:hint="eastAsia" w:ascii="宋体" w:hAnsi="宋体"/>
          <w:b/>
          <w:color w:val="auto"/>
          <w:sz w:val="24"/>
          <w:szCs w:val="21"/>
          <w:highlight w:val="none"/>
        </w:rPr>
        <w:t>.不可抗力</w:t>
      </w:r>
    </w:p>
    <w:p w14:paraId="4073947C">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0138B596">
      <w:pPr>
        <w:snapToGrid w:val="0"/>
        <w:spacing w:before="238"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289D7A1F">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九</w:t>
      </w:r>
      <w:r>
        <w:rPr>
          <w:rFonts w:hint="eastAsia" w:ascii="宋体" w:hAnsi="宋体"/>
          <w:b/>
          <w:color w:val="auto"/>
          <w:sz w:val="24"/>
          <w:szCs w:val="21"/>
          <w:highlight w:val="none"/>
        </w:rPr>
        <w:t>.税费</w:t>
      </w:r>
    </w:p>
    <w:p w14:paraId="7E091CA4">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9.1根据国家现行税法对甲方征收的与合同有关的一切税费均由甲方负担。</w:t>
      </w:r>
    </w:p>
    <w:p w14:paraId="318B9B65">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9.2根据国家现行税法对乙方征收的与合同有关的一切税费均由乙方负担。</w:t>
      </w:r>
    </w:p>
    <w:p w14:paraId="22FE92E3">
      <w:pPr>
        <w:snapToGrid w:val="0"/>
        <w:spacing w:before="238" w:line="360" w:lineRule="auto"/>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lang w:eastAsia="zh-CN"/>
        </w:rPr>
        <w:t>十</w:t>
      </w:r>
      <w:r>
        <w:rPr>
          <w:rFonts w:hint="eastAsia" w:ascii="宋体" w:hAnsi="宋体"/>
          <w:b/>
          <w:color w:val="auto"/>
          <w:sz w:val="24"/>
          <w:szCs w:val="21"/>
          <w:highlight w:val="none"/>
        </w:rPr>
        <w:t>.违约</w:t>
      </w:r>
      <w:r>
        <w:rPr>
          <w:rFonts w:hint="eastAsia" w:ascii="宋体" w:hAnsi="宋体"/>
          <w:b/>
          <w:color w:val="auto"/>
          <w:sz w:val="24"/>
          <w:szCs w:val="21"/>
          <w:highlight w:val="none"/>
          <w:lang w:val="en-US" w:eastAsia="zh-CN"/>
        </w:rPr>
        <w:t>责任</w:t>
      </w:r>
    </w:p>
    <w:p w14:paraId="27E2B05B">
      <w:pPr>
        <w:pStyle w:val="117"/>
        <w:spacing w:before="0" w:beforeAutospacing="0" w:after="0" w:afterAutospacing="0" w:line="360" w:lineRule="auto"/>
        <w:ind w:firstLine="480" w:firstLineChars="200"/>
        <w:rPr>
          <w:color w:val="auto"/>
          <w:highlight w:val="none"/>
        </w:rPr>
      </w:pPr>
      <w:r>
        <w:rPr>
          <w:rFonts w:hint="eastAsia" w:eastAsia="宋体" w:cs="Times New Roman"/>
          <w:color w:val="auto"/>
          <w:kern w:val="2"/>
          <w:sz w:val="24"/>
          <w:szCs w:val="21"/>
          <w:highlight w:val="none"/>
          <w:lang w:val="en-US" w:eastAsia="zh-CN" w:bidi="ar-SA"/>
        </w:rPr>
        <w:t>10.1</w:t>
      </w:r>
      <w:r>
        <w:rPr>
          <w:color w:val="auto"/>
          <w:highlight w:val="none"/>
        </w:rPr>
        <w:t>甲方无正当理由</w:t>
      </w:r>
      <w:r>
        <w:rPr>
          <w:rFonts w:hint="eastAsia"/>
          <w:color w:val="auto"/>
          <w:highlight w:val="none"/>
          <w:lang w:eastAsia="zh-CN"/>
        </w:rPr>
        <w:t>拒绝拖延验收的</w:t>
      </w:r>
      <w:r>
        <w:rPr>
          <w:color w:val="auto"/>
          <w:highlight w:val="none"/>
        </w:rPr>
        <w:t>，由甲方向乙方偿付合同总价的</w:t>
      </w:r>
      <w:r>
        <w:rPr>
          <w:rFonts w:hint="eastAsia"/>
          <w:color w:val="auto"/>
          <w:highlight w:val="none"/>
          <w:u w:val="single"/>
          <w:lang w:val="en-US" w:eastAsia="zh-CN"/>
        </w:rPr>
        <w:t xml:space="preserve">        %</w:t>
      </w:r>
      <w:r>
        <w:rPr>
          <w:color w:val="auto"/>
          <w:highlight w:val="none"/>
        </w:rPr>
        <w:t>违约金。</w:t>
      </w:r>
    </w:p>
    <w:p w14:paraId="286BF160">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both"/>
        <w:textAlignment w:val="baseline"/>
        <w:rPr>
          <w:rFonts w:hint="eastAsia" w:ascii="宋体" w:hAnsi="宋体" w:eastAsia="宋体" w:cs="Times New Roman"/>
          <w:color w:val="auto"/>
          <w:kern w:val="2"/>
          <w:sz w:val="24"/>
          <w:szCs w:val="21"/>
          <w:highlight w:val="none"/>
          <w:lang w:val="en-US" w:eastAsia="zh-CN" w:bidi="ar-SA"/>
        </w:rPr>
      </w:pPr>
      <w:r>
        <w:rPr>
          <w:rFonts w:hint="eastAsia"/>
          <w:color w:val="auto"/>
          <w:highlight w:val="none"/>
          <w:lang w:val="en-US" w:eastAsia="zh-CN"/>
        </w:rPr>
        <w:t>10.2</w:t>
      </w:r>
      <w:r>
        <w:rPr>
          <w:color w:val="auto"/>
          <w:highlight w:val="none"/>
        </w:rPr>
        <w:t>甲方未按合同规定的期限向乙方支付货款的，每逾期1天甲方向乙方偿付欠款总额的</w:t>
      </w:r>
      <w:r>
        <w:rPr>
          <w:rFonts w:hint="eastAsia"/>
          <w:color w:val="auto"/>
          <w:highlight w:val="none"/>
          <w:u w:val="single"/>
          <w:lang w:val="en-US" w:eastAsia="zh-CN"/>
        </w:rPr>
        <w:t xml:space="preserve">        %</w:t>
      </w:r>
      <w:r>
        <w:rPr>
          <w:rFonts w:hint="eastAsia"/>
          <w:color w:val="auto"/>
          <w:highlight w:val="none"/>
          <w:lang w:eastAsia="zh-CN"/>
        </w:rPr>
        <w:t>违约金</w:t>
      </w:r>
      <w:r>
        <w:rPr>
          <w:color w:val="auto"/>
          <w:highlight w:val="none"/>
        </w:rPr>
        <w:t>，但累计</w:t>
      </w:r>
      <w:r>
        <w:rPr>
          <w:rFonts w:hint="eastAsia"/>
          <w:color w:val="auto"/>
          <w:highlight w:val="none"/>
          <w:lang w:eastAsia="zh-CN"/>
        </w:rPr>
        <w:t>违约金</w:t>
      </w:r>
      <w:r>
        <w:rPr>
          <w:color w:val="auto"/>
          <w:highlight w:val="none"/>
        </w:rPr>
        <w:t>总额不超过欠款总额的3% 。</w:t>
      </w:r>
    </w:p>
    <w:p w14:paraId="4C2D55CE">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80" w:firstLineChars="200"/>
        <w:jc w:val="both"/>
        <w:textAlignment w:val="baseline"/>
        <w:rPr>
          <w:rFonts w:hint="eastAsia"/>
          <w:color w:val="auto"/>
          <w:highlight w:val="none"/>
        </w:rPr>
      </w:pPr>
      <w:r>
        <w:rPr>
          <w:rFonts w:hint="eastAsia"/>
          <w:color w:val="auto"/>
          <w:highlight w:val="none"/>
          <w:lang w:val="en-US" w:eastAsia="zh-CN"/>
        </w:rPr>
        <w:t xml:space="preserve">10.3 </w:t>
      </w:r>
      <w:r>
        <w:rPr>
          <w:rFonts w:hint="eastAsia"/>
          <w:color w:val="auto"/>
          <w:highlight w:val="none"/>
        </w:rPr>
        <w:t>乙方应在本合同规定时间内完成工作量，如因乙方原因未在本合同规定时间内完成并造成损失的，应承担相应赔偿责任</w:t>
      </w:r>
      <w:r>
        <w:rPr>
          <w:color w:val="auto"/>
          <w:highlight w:val="none"/>
        </w:rPr>
        <w:t>，每逾期1天</w:t>
      </w:r>
      <w:r>
        <w:rPr>
          <w:rFonts w:hint="eastAsia"/>
          <w:color w:val="auto"/>
          <w:highlight w:val="none"/>
          <w:lang w:eastAsia="zh-CN"/>
        </w:rPr>
        <w:t>乙</w:t>
      </w:r>
      <w:r>
        <w:rPr>
          <w:color w:val="auto"/>
          <w:highlight w:val="none"/>
        </w:rPr>
        <w:t>方向</w:t>
      </w:r>
      <w:r>
        <w:rPr>
          <w:rFonts w:hint="eastAsia"/>
          <w:color w:val="auto"/>
          <w:highlight w:val="none"/>
          <w:lang w:eastAsia="zh-CN"/>
        </w:rPr>
        <w:t>甲</w:t>
      </w:r>
      <w:r>
        <w:rPr>
          <w:color w:val="auto"/>
          <w:highlight w:val="none"/>
        </w:rPr>
        <w:t>方偿付欠款总额的</w:t>
      </w:r>
      <w:r>
        <w:rPr>
          <w:rFonts w:hint="eastAsia"/>
          <w:color w:val="auto"/>
          <w:highlight w:val="none"/>
          <w:u w:val="single"/>
          <w:lang w:val="en-US" w:eastAsia="zh-CN"/>
        </w:rPr>
        <w:t xml:space="preserve">        %</w:t>
      </w:r>
      <w:r>
        <w:rPr>
          <w:rFonts w:hint="eastAsia"/>
          <w:color w:val="auto"/>
          <w:highlight w:val="none"/>
          <w:lang w:eastAsia="zh-CN"/>
        </w:rPr>
        <w:t>违约金</w:t>
      </w:r>
      <w:r>
        <w:rPr>
          <w:color w:val="auto"/>
          <w:highlight w:val="none"/>
        </w:rPr>
        <w:t>，但累计</w:t>
      </w:r>
      <w:r>
        <w:rPr>
          <w:rFonts w:hint="eastAsia"/>
          <w:color w:val="auto"/>
          <w:highlight w:val="none"/>
          <w:lang w:eastAsia="zh-CN"/>
        </w:rPr>
        <w:t>违约金</w:t>
      </w:r>
      <w:r>
        <w:rPr>
          <w:color w:val="auto"/>
          <w:highlight w:val="none"/>
        </w:rPr>
        <w:t>总额不超过欠款总额的3%</w:t>
      </w:r>
      <w:r>
        <w:rPr>
          <w:rFonts w:hint="eastAsia"/>
          <w:color w:val="auto"/>
          <w:highlight w:val="none"/>
          <w:lang w:eastAsia="zh-CN"/>
        </w:rPr>
        <w:t>；</w:t>
      </w:r>
      <w:r>
        <w:rPr>
          <w:rFonts w:hint="eastAsia" w:ascii="宋体" w:hAnsi="宋体" w:eastAsia="宋体" w:cs="宋体"/>
          <w:color w:val="auto"/>
          <w:highlight w:val="none"/>
          <w:lang w:eastAsia="zh-CN"/>
        </w:rPr>
        <w:t>若违约金达到上限，乙方仍无法继续履行合同的，甲方可单方面解除合同。</w:t>
      </w:r>
      <w:r>
        <w:rPr>
          <w:rFonts w:hint="eastAsia"/>
          <w:color w:val="auto"/>
          <w:highlight w:val="none"/>
        </w:rPr>
        <w:t>但由于甲方原因而使乙方不能按照合同期限按时完成工作量，甲方应承担相应的工期赔偿责任。</w:t>
      </w:r>
    </w:p>
    <w:p w14:paraId="5108BE02">
      <w:pPr>
        <w:pStyle w:val="117"/>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 xml:space="preserve">10.4 </w:t>
      </w:r>
      <w:r>
        <w:rPr>
          <w:color w:val="auto"/>
          <w:highlight w:val="none"/>
        </w:rPr>
        <w:t>乙方未按本合同的规定和“服务承诺”提供伴随服务/售后服务的，应按合同总价款的</w:t>
      </w:r>
      <w:r>
        <w:rPr>
          <w:color w:val="auto"/>
          <w:highlight w:val="none"/>
          <w:u w:val="single"/>
        </w:rPr>
        <w:t xml:space="preserve">    %</w:t>
      </w:r>
      <w:r>
        <w:rPr>
          <w:color w:val="auto"/>
          <w:highlight w:val="none"/>
        </w:rPr>
        <w:t>向甲方承担违约责任。</w:t>
      </w:r>
    </w:p>
    <w:p w14:paraId="2DA93858">
      <w:pPr>
        <w:pStyle w:val="117"/>
        <w:spacing w:before="0" w:beforeAutospacing="0" w:after="0" w:afterAutospacing="0" w:line="360" w:lineRule="auto"/>
        <w:ind w:firstLine="480" w:firstLineChars="200"/>
        <w:rPr>
          <w:rFonts w:hint="eastAsia" w:ascii="宋体" w:hAnsi="宋体"/>
          <w:color w:val="auto"/>
          <w:sz w:val="24"/>
          <w:szCs w:val="21"/>
          <w:highlight w:val="none"/>
        </w:rPr>
      </w:pPr>
      <w:r>
        <w:rPr>
          <w:rFonts w:hint="eastAsia"/>
          <w:color w:val="auto"/>
          <w:highlight w:val="none"/>
          <w:lang w:val="en-US" w:eastAsia="zh-CN"/>
        </w:rPr>
        <w:t>10.5</w:t>
      </w:r>
      <w:r>
        <w:rPr>
          <w:color w:val="auto"/>
          <w:highlight w:val="none"/>
        </w:rPr>
        <w:t>乙方在承担上述1</w:t>
      </w:r>
      <w:r>
        <w:rPr>
          <w:rFonts w:hint="eastAsia"/>
          <w:color w:val="auto"/>
          <w:highlight w:val="none"/>
          <w:lang w:val="en-US" w:eastAsia="zh-CN"/>
        </w:rPr>
        <w:t>0</w:t>
      </w:r>
      <w:r>
        <w:rPr>
          <w:color w:val="auto"/>
          <w:highlight w:val="none"/>
        </w:rPr>
        <w:t>.</w:t>
      </w:r>
      <w:r>
        <w:rPr>
          <w:rFonts w:hint="eastAsia"/>
          <w:color w:val="auto"/>
          <w:highlight w:val="none"/>
          <w:lang w:val="en-US" w:eastAsia="zh-CN"/>
        </w:rPr>
        <w:t>1</w:t>
      </w:r>
      <w:r>
        <w:rPr>
          <w:color w:val="auto"/>
          <w:highlight w:val="none"/>
        </w:rPr>
        <w:t>～1</w:t>
      </w:r>
      <w:r>
        <w:rPr>
          <w:rFonts w:hint="eastAsia"/>
          <w:color w:val="auto"/>
          <w:highlight w:val="none"/>
          <w:lang w:val="en-US" w:eastAsia="zh-CN"/>
        </w:rPr>
        <w:t>0</w:t>
      </w:r>
      <w:r>
        <w:rPr>
          <w:color w:val="auto"/>
          <w:highlight w:val="none"/>
        </w:rPr>
        <w:t>.</w:t>
      </w:r>
      <w:r>
        <w:rPr>
          <w:rFonts w:hint="eastAsia"/>
          <w:color w:val="auto"/>
          <w:highlight w:val="none"/>
          <w:lang w:val="en-US" w:eastAsia="zh-CN"/>
        </w:rPr>
        <w:t>4</w:t>
      </w:r>
      <w:r>
        <w:rPr>
          <w:color w:val="auto"/>
          <w:highlight w:val="none"/>
        </w:rPr>
        <w:t>款一项或多项违约责任后，仍应继续履行合同规定的义务（甲方解除合同的除外）。甲方未能及时追究乙方的任何一项违约责任并不表明甲方放弃追究乙方该项或其他违约责任。</w:t>
      </w:r>
    </w:p>
    <w:p w14:paraId="1EB98E9A">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十一</w:t>
      </w:r>
      <w:r>
        <w:rPr>
          <w:rFonts w:hint="eastAsia" w:ascii="宋体" w:hAnsi="宋体"/>
          <w:b/>
          <w:color w:val="auto"/>
          <w:sz w:val="24"/>
          <w:szCs w:val="21"/>
          <w:highlight w:val="none"/>
        </w:rPr>
        <w:t>.其他情况终止合同</w:t>
      </w:r>
    </w:p>
    <w:p w14:paraId="4CE89517">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11.1如果乙方破产或发生资不抵债的情况，甲方可在任何时候以书面通知终止合同，而不给对方补偿。该终止合同将不损害或影响甲方已经采取或将要采取的补救措施的权利。</w:t>
      </w:r>
    </w:p>
    <w:p w14:paraId="61EE4B4D">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11.2 如果甲方认定乙方在竞标、采购和合同执行等过程中有腐败或欺诈行为，甲方有权在任何时候发出书面通知终止合同。</w:t>
      </w:r>
    </w:p>
    <w:p w14:paraId="47FEB1D3">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11.3如果合同履行过程中出现危害国家利益和社会公众利益的，甲方有权在任何时候发出书面通知终止合同。</w:t>
      </w:r>
    </w:p>
    <w:p w14:paraId="7D85EBBA">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十二</w:t>
      </w:r>
      <w:r>
        <w:rPr>
          <w:rFonts w:hint="eastAsia" w:ascii="宋体" w:hAnsi="宋体"/>
          <w:b/>
          <w:color w:val="auto"/>
          <w:sz w:val="24"/>
          <w:szCs w:val="21"/>
          <w:highlight w:val="none"/>
        </w:rPr>
        <w:t>.转让和分包</w:t>
      </w:r>
    </w:p>
    <w:p w14:paraId="1E5E53DF">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乙方不得部分转让或全部转让其应履行的合同义务。</w:t>
      </w:r>
    </w:p>
    <w:p w14:paraId="7B576C7A">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十三</w:t>
      </w:r>
      <w:r>
        <w:rPr>
          <w:rFonts w:hint="eastAsia" w:ascii="宋体" w:hAnsi="宋体"/>
          <w:b/>
          <w:color w:val="auto"/>
          <w:sz w:val="24"/>
          <w:szCs w:val="21"/>
          <w:highlight w:val="none"/>
        </w:rPr>
        <w:t>.合同的协商变更与修改</w:t>
      </w:r>
    </w:p>
    <w:p w14:paraId="16D3770D">
      <w:pPr>
        <w:snapToGrid w:val="0"/>
        <w:spacing w:before="238"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甲方可以以书面方式向乙方发出变更要求，协商在本合同的一般范围内变更事项，合同修改书应由双方授权代表签字，具有合同的法律效力。</w:t>
      </w:r>
    </w:p>
    <w:p w14:paraId="2C20E25C">
      <w:pPr>
        <w:snapToGrid w:val="0"/>
        <w:spacing w:before="238" w:after="240" w:line="360" w:lineRule="auto"/>
        <w:rPr>
          <w:rFonts w:hint="eastAsia" w:ascii="宋体" w:hAnsi="宋体"/>
          <w:color w:val="auto"/>
          <w:sz w:val="24"/>
          <w:szCs w:val="21"/>
          <w:highlight w:val="none"/>
        </w:rPr>
      </w:pPr>
      <w:r>
        <w:rPr>
          <w:rFonts w:hint="eastAsia" w:ascii="宋体" w:hAnsi="宋体"/>
          <w:b/>
          <w:color w:val="auto"/>
          <w:sz w:val="24"/>
          <w:szCs w:val="21"/>
          <w:highlight w:val="none"/>
          <w:lang w:eastAsia="zh-CN"/>
        </w:rPr>
        <w:t>十四</w:t>
      </w:r>
      <w:r>
        <w:rPr>
          <w:rFonts w:hint="eastAsia" w:ascii="宋体" w:hAnsi="宋体"/>
          <w:b/>
          <w:color w:val="auto"/>
          <w:sz w:val="24"/>
          <w:szCs w:val="21"/>
          <w:highlight w:val="none"/>
        </w:rPr>
        <w:t>.争端的解决</w:t>
      </w:r>
    </w:p>
    <w:p w14:paraId="2F79EDCD">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 xml:space="preserve">14.1 </w:t>
      </w:r>
      <w:r>
        <w:rPr>
          <w:rFonts w:hint="eastAsia" w:ascii="宋体" w:hAnsi="宋体"/>
          <w:color w:val="auto"/>
          <w:sz w:val="24"/>
          <w:szCs w:val="21"/>
          <w:highlight w:val="none"/>
        </w:rPr>
        <w:t>合同实施或与合同有关的一切争端应依据《中华人民共和国民法典》并通过双方协商解决。如果协商不能解决争议，则采取以下第</w:t>
      </w:r>
      <w:r>
        <w:rPr>
          <w:rFonts w:ascii="宋体" w:hAnsi="宋体"/>
          <w:color w:val="auto"/>
          <w:sz w:val="24"/>
          <w:szCs w:val="21"/>
          <w:highlight w:val="none"/>
        </w:rPr>
        <w:t xml:space="preserve"> </w:t>
      </w:r>
      <w:r>
        <w:rPr>
          <w:rFonts w:ascii="宋体" w:hAnsi="宋体"/>
          <w:color w:val="auto"/>
          <w:sz w:val="24"/>
          <w:szCs w:val="21"/>
          <w:highlight w:val="none"/>
          <w:u w:val="single"/>
        </w:rPr>
        <w:t xml:space="preserve">14.2.2 </w:t>
      </w:r>
      <w:r>
        <w:rPr>
          <w:rFonts w:hint="eastAsia" w:ascii="宋体" w:hAnsi="宋体"/>
          <w:color w:val="auto"/>
          <w:sz w:val="24"/>
          <w:szCs w:val="21"/>
          <w:highlight w:val="none"/>
        </w:rPr>
        <w:t>种方式解决争议：</w:t>
      </w:r>
    </w:p>
    <w:p w14:paraId="1ECF89E2">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14.2.1</w:t>
      </w:r>
      <w:r>
        <w:rPr>
          <w:rFonts w:hint="eastAsia" w:ascii="宋体" w:hAnsi="宋体"/>
          <w:color w:val="auto"/>
          <w:sz w:val="24"/>
          <w:szCs w:val="21"/>
          <w:highlight w:val="none"/>
        </w:rPr>
        <w:t>向甲方所在地有管辖权的人民法院提起诉讼；</w:t>
      </w:r>
    </w:p>
    <w:p w14:paraId="60D96B5C">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14.2.2</w:t>
      </w:r>
      <w:r>
        <w:rPr>
          <w:rFonts w:hint="eastAsia" w:ascii="宋体" w:hAnsi="宋体"/>
          <w:color w:val="auto"/>
          <w:sz w:val="24"/>
          <w:szCs w:val="21"/>
          <w:highlight w:val="none"/>
        </w:rPr>
        <w:t>向</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丽水</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仲裁委员会按其仲裁规则申请仲裁。</w:t>
      </w:r>
    </w:p>
    <w:p w14:paraId="1730DCB1">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14.3</w:t>
      </w:r>
      <w:r>
        <w:rPr>
          <w:rFonts w:hint="eastAsia" w:ascii="宋体" w:hAnsi="宋体"/>
          <w:color w:val="auto"/>
          <w:sz w:val="24"/>
          <w:szCs w:val="21"/>
          <w:highlight w:val="none"/>
        </w:rPr>
        <w:t>在仲裁或诉讼期间，除正在进行仲裁或诉讼的部分外，合同其他部分应继续执行。</w:t>
      </w:r>
    </w:p>
    <w:p w14:paraId="7CBE954A">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十五</w:t>
      </w:r>
      <w:r>
        <w:rPr>
          <w:rFonts w:hint="eastAsia" w:ascii="宋体" w:hAnsi="宋体"/>
          <w:b/>
          <w:color w:val="auto"/>
          <w:sz w:val="24"/>
          <w:szCs w:val="21"/>
          <w:highlight w:val="none"/>
        </w:rPr>
        <w:t>.通知</w:t>
      </w:r>
    </w:p>
    <w:p w14:paraId="6E1C9997">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15.1本合同任何一方给另一方的通知，都应以书面或传真的形式发送，而另一方应以书面或传真形式确认，回复对方。</w:t>
      </w:r>
    </w:p>
    <w:p w14:paraId="0F0C4BBF">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15.2 通知以送到日期或通知书的生效日起为生效日期，两者中以较晚的一个日期为准。</w:t>
      </w:r>
    </w:p>
    <w:p w14:paraId="15560680">
      <w:pPr>
        <w:snapToGrid w:val="0"/>
        <w:spacing w:before="238" w:line="360" w:lineRule="auto"/>
        <w:rPr>
          <w:rFonts w:hint="eastAsia" w:ascii="宋体"/>
          <w:b/>
          <w:color w:val="auto"/>
          <w:sz w:val="24"/>
          <w:szCs w:val="20"/>
          <w:highlight w:val="none"/>
        </w:rPr>
      </w:pPr>
      <w:r>
        <w:rPr>
          <w:rFonts w:hint="eastAsia" w:ascii="宋体"/>
          <w:b/>
          <w:color w:val="auto"/>
          <w:sz w:val="24"/>
          <w:highlight w:val="none"/>
          <w:lang w:eastAsia="zh-CN"/>
        </w:rPr>
        <w:t>十六</w:t>
      </w:r>
      <w:r>
        <w:rPr>
          <w:rFonts w:hint="eastAsia" w:ascii="宋体"/>
          <w:b/>
          <w:color w:val="auto"/>
          <w:sz w:val="24"/>
          <w:highlight w:val="none"/>
        </w:rPr>
        <w:t>.其他约定事项：</w:t>
      </w:r>
    </w:p>
    <w:p w14:paraId="39BC72D7">
      <w:pPr>
        <w:snapToGrid w:val="0"/>
        <w:spacing w:line="500" w:lineRule="exact"/>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lang w:eastAsia="zh-CN"/>
        </w:rPr>
        <w:t>十七</w:t>
      </w:r>
      <w:r>
        <w:rPr>
          <w:rFonts w:hint="eastAsia" w:ascii="宋体" w:hAnsi="宋体" w:eastAsia="宋体" w:cs="宋体"/>
          <w:b/>
          <w:color w:val="auto"/>
          <w:sz w:val="24"/>
          <w:szCs w:val="21"/>
          <w:highlight w:val="none"/>
        </w:rPr>
        <w:t>.合同生效及其它</w:t>
      </w:r>
    </w:p>
    <w:p w14:paraId="03EC7D93">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.1合同经双方法定代表人或授权代表签字并加盖单位公章后生效；</w:t>
      </w:r>
    </w:p>
    <w:p w14:paraId="304AF52F">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.2合同执行中涉及采购资金和采购内容修改或补充的，须经财政部门审批，并签书面补充协议报政府采购监督管理部门备案，方可作为主合同不可分割的一部分；</w:t>
      </w:r>
    </w:p>
    <w:p w14:paraId="2EFA2BF0">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.3本合同未尽事宜，遵照《中华人民共和国民法典》有关条文执行；</w:t>
      </w:r>
    </w:p>
    <w:p w14:paraId="50BABCA9">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.4本合同一式</w:t>
      </w:r>
      <w:r>
        <w:rPr>
          <w:rFonts w:hint="eastAsia" w:ascii="宋体" w:hAnsi="宋体" w:eastAsia="宋体" w:cs="宋体"/>
          <w:b w:val="0"/>
          <w:bCs w:val="0"/>
          <w:color w:val="auto"/>
          <w:sz w:val="24"/>
          <w:highlight w:val="none"/>
          <w:lang w:eastAsia="zh-CN"/>
        </w:rPr>
        <w:t>四</w:t>
      </w:r>
      <w:r>
        <w:rPr>
          <w:rFonts w:hint="eastAsia" w:ascii="宋体" w:hAnsi="宋体" w:eastAsia="宋体" w:cs="宋体"/>
          <w:b w:val="0"/>
          <w:bCs w:val="0"/>
          <w:color w:val="auto"/>
          <w:sz w:val="24"/>
          <w:highlight w:val="none"/>
        </w:rPr>
        <w:t>份，</w:t>
      </w:r>
      <w:r>
        <w:rPr>
          <w:rFonts w:hint="eastAsia" w:ascii="宋体" w:hAnsi="宋体" w:eastAsia="宋体" w:cs="宋体"/>
          <w:b w:val="0"/>
          <w:bCs w:val="0"/>
          <w:color w:val="auto"/>
          <w:sz w:val="24"/>
          <w:highlight w:val="none"/>
          <w:lang w:eastAsia="zh-CN"/>
        </w:rPr>
        <w:t>双方各执两份，</w:t>
      </w:r>
      <w:r>
        <w:rPr>
          <w:rFonts w:hint="eastAsia" w:ascii="宋体" w:hAnsi="宋体" w:eastAsia="宋体" w:cs="宋体"/>
          <w:b w:val="0"/>
          <w:bCs w:val="0"/>
          <w:color w:val="auto"/>
          <w:sz w:val="24"/>
          <w:highlight w:val="none"/>
        </w:rPr>
        <w:t>具同等法律效力。</w:t>
      </w:r>
    </w:p>
    <w:p w14:paraId="6786D72B">
      <w:pPr>
        <w:pStyle w:val="3"/>
        <w:spacing w:line="360" w:lineRule="auto"/>
        <w:rPr>
          <w:rFonts w:hint="eastAsia"/>
          <w:color w:val="auto"/>
          <w:highlight w:val="none"/>
        </w:rPr>
      </w:pPr>
    </w:p>
    <w:p w14:paraId="33CB8585">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甲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乙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 xml:space="preserve">           </w:t>
      </w:r>
    </w:p>
    <w:p w14:paraId="6BE33EDD">
      <w:pPr>
        <w:snapToGrid w:val="0"/>
        <w:spacing w:before="119" w:line="480" w:lineRule="auto"/>
        <w:rPr>
          <w:rFonts w:hint="eastAsia" w:ascii="宋体" w:hAnsi="宋体"/>
          <w:color w:val="auto"/>
          <w:sz w:val="24"/>
          <w:szCs w:val="21"/>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xml:space="preserve">： </w:t>
      </w:r>
    </w:p>
    <w:p w14:paraId="0382D34F">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 xml:space="preserve"> </w:t>
      </w:r>
    </w:p>
    <w:p w14:paraId="48EE7B4F">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602C23AF">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2FE85EA1">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5BD9BDF0">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0A48B90D">
      <w:pPr>
        <w:snapToGrid w:val="0"/>
        <w:spacing w:line="480" w:lineRule="auto"/>
        <w:rPr>
          <w:rFonts w:hint="eastAsia" w:ascii="宋体" w:hAnsi="宋体"/>
          <w:color w:val="auto"/>
          <w:sz w:val="24"/>
          <w:szCs w:val="21"/>
          <w:highlight w:val="none"/>
          <w:u w:val="single"/>
        </w:rPr>
      </w:pPr>
      <w:r>
        <w:rPr>
          <w:rFonts w:hint="eastAsia" w:ascii="宋体" w:hAnsi="宋体"/>
          <w:color w:val="auto"/>
          <w:sz w:val="24"/>
          <w:szCs w:val="21"/>
          <w:highlight w:val="none"/>
        </w:rPr>
        <w:t>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p>
    <w:p w14:paraId="3DC05D82">
      <w:pPr>
        <w:pageBreakBefore w:val="0"/>
        <w:kinsoku/>
        <w:wordWrap/>
        <w:overflowPunct/>
        <w:topLinePunct w:val="0"/>
        <w:bidi w:val="0"/>
        <w:spacing w:line="360" w:lineRule="auto"/>
        <w:rPr>
          <w:rFonts w:ascii="宋体" w:hAnsi="宋体" w:cs="Tahoma"/>
          <w:sz w:val="24"/>
        </w:rPr>
      </w:pP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r>
        <w:rPr>
          <w:rFonts w:hint="eastAsia" w:hAnsi="宋体"/>
          <w:color w:val="auto"/>
          <w:sz w:val="24"/>
          <w:szCs w:val="21"/>
          <w:highlight w:val="none"/>
          <w:lang w:val="en-US" w:eastAsia="zh-CN"/>
        </w:rPr>
        <w:t xml:space="preserve">     </w:t>
      </w: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p>
    <w:p w14:paraId="23301FE1">
      <w:pPr>
        <w:pStyle w:val="127"/>
        <w:pageBreakBefore w:val="0"/>
        <w:kinsoku/>
        <w:wordWrap/>
        <w:overflowPunct/>
        <w:topLinePunct w:val="0"/>
        <w:bidi w:val="0"/>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 xml:space="preserve"> </w:t>
      </w:r>
    </w:p>
    <w:p w14:paraId="20B27B02">
      <w:pPr>
        <w:pStyle w:val="127"/>
        <w:snapToGrid w:val="0"/>
        <w:spacing w:line="360" w:lineRule="auto"/>
        <w:rPr>
          <w:rFonts w:ascii="宋体" w:hAnsi="宋体"/>
          <w:color w:val="auto"/>
          <w:sz w:val="24"/>
          <w:highlight w:val="none"/>
        </w:rPr>
      </w:pPr>
    </w:p>
    <w:p w14:paraId="0A239BAB">
      <w:pPr>
        <w:pStyle w:val="12"/>
        <w:spacing w:line="360" w:lineRule="auto"/>
      </w:pPr>
      <w:r>
        <w:rPr>
          <w:b/>
          <w:color w:val="auto"/>
          <w:sz w:val="24"/>
          <w:highlight w:val="none"/>
        </w:rPr>
        <w:t>注：本合同仅作示范文本，具体以双方签定的正式合同为准，合同内容不得违背本招标文件实质性要求</w:t>
      </w:r>
      <w:r>
        <w:rPr>
          <w:rFonts w:hint="eastAsia"/>
          <w:b/>
          <w:color w:val="auto"/>
          <w:sz w:val="24"/>
          <w:highlight w:val="none"/>
          <w:lang w:eastAsia="zh-CN"/>
        </w:rPr>
        <w:t>。</w:t>
      </w:r>
      <w:r>
        <w:rPr>
          <w:rFonts w:hAnsi="宋体"/>
          <w:b/>
          <w:sz w:val="28"/>
          <w:szCs w:val="28"/>
        </w:rPr>
        <w:br w:type="page"/>
      </w:r>
    </w:p>
    <w:p w14:paraId="2241116E">
      <w:pPr>
        <w:pStyle w:val="2"/>
        <w:keepNext w:val="0"/>
        <w:spacing w:line="560" w:lineRule="exact"/>
        <w:jc w:val="center"/>
        <w:rPr>
          <w:rFonts w:hint="eastAsia" w:ascii="宋体" w:hAnsi="宋体"/>
        </w:rPr>
      </w:pPr>
      <w:bookmarkStart w:id="359" w:name="_Toc20060"/>
      <w:bookmarkStart w:id="360" w:name="_Toc94277258"/>
      <w:bookmarkStart w:id="361" w:name="_Toc27851"/>
    </w:p>
    <w:p w14:paraId="62854419">
      <w:pPr>
        <w:pStyle w:val="2"/>
        <w:keepNext w:val="0"/>
        <w:spacing w:line="560" w:lineRule="exact"/>
        <w:jc w:val="center"/>
        <w:rPr>
          <w:rFonts w:hint="eastAsia" w:ascii="宋体" w:hAnsi="宋体"/>
        </w:rPr>
      </w:pPr>
    </w:p>
    <w:p w14:paraId="1317A320">
      <w:pPr>
        <w:pStyle w:val="2"/>
        <w:keepNext w:val="0"/>
        <w:spacing w:line="560" w:lineRule="exact"/>
        <w:jc w:val="center"/>
        <w:rPr>
          <w:rFonts w:hint="eastAsia" w:ascii="宋体" w:hAnsi="宋体"/>
        </w:rPr>
      </w:pPr>
      <w:bookmarkStart w:id="362" w:name="_Toc13451"/>
      <w:bookmarkStart w:id="363" w:name="_Toc31169"/>
      <w:bookmarkStart w:id="364" w:name="_Toc30487"/>
      <w:r>
        <w:rPr>
          <w:rFonts w:hint="eastAsia" w:ascii="宋体" w:hAnsi="宋体"/>
        </w:rPr>
        <w:t>第五章　磋商相关文件格式</w:t>
      </w:r>
      <w:bookmarkEnd w:id="278"/>
      <w:bookmarkEnd w:id="359"/>
      <w:bookmarkEnd w:id="360"/>
      <w:bookmarkEnd w:id="361"/>
      <w:bookmarkEnd w:id="362"/>
      <w:bookmarkEnd w:id="363"/>
      <w:bookmarkEnd w:id="364"/>
      <w:bookmarkStart w:id="365" w:name="_Toc45506740"/>
      <w:bookmarkStart w:id="366" w:name="_Toc15805942"/>
      <w:bookmarkStart w:id="367" w:name="_Toc47756041"/>
      <w:bookmarkStart w:id="368" w:name="_Toc15813259"/>
    </w:p>
    <w:p w14:paraId="0CD9B85A"/>
    <w:p w14:paraId="1782113D"/>
    <w:p w14:paraId="73DC2201">
      <w:pPr>
        <w:pStyle w:val="4"/>
        <w:tabs>
          <w:tab w:val="left" w:pos="3405"/>
        </w:tabs>
        <w:ind w:firstLine="320" w:firstLineChars="100"/>
        <w:jc w:val="center"/>
        <w:rPr>
          <w:rFonts w:hint="eastAsia" w:ascii="宋体" w:hAnsi="宋体"/>
          <w:b w:val="0"/>
          <w:sz w:val="32"/>
        </w:rPr>
      </w:pPr>
      <w:bookmarkStart w:id="369" w:name="_Toc17654"/>
      <w:bookmarkStart w:id="370" w:name="_Toc494558370"/>
      <w:bookmarkStart w:id="371" w:name="_Toc23339"/>
      <w:bookmarkStart w:id="372" w:name="_Toc31552"/>
      <w:bookmarkStart w:id="373" w:name="_Toc493955975"/>
      <w:bookmarkStart w:id="374" w:name="_Toc30166"/>
      <w:bookmarkStart w:id="375" w:name="_Toc17385"/>
      <w:bookmarkStart w:id="376" w:name="_Toc94277259"/>
      <w:r>
        <w:rPr>
          <w:rFonts w:hint="eastAsia" w:ascii="宋体" w:hAnsi="宋体"/>
          <w:b w:val="0"/>
          <w:sz w:val="32"/>
        </w:rPr>
        <w:t xml:space="preserve">一 </w:t>
      </w:r>
      <w:r>
        <w:rPr>
          <w:rFonts w:ascii="宋体" w:hAnsi="宋体"/>
          <w:b w:val="0"/>
          <w:sz w:val="32"/>
        </w:rPr>
        <w:t xml:space="preserve"> </w:t>
      </w:r>
      <w:r>
        <w:rPr>
          <w:rFonts w:hint="eastAsia" w:ascii="宋体" w:hAnsi="宋体"/>
          <w:b w:val="0"/>
          <w:sz w:val="32"/>
        </w:rPr>
        <w:t>资格文件格式</w:t>
      </w:r>
      <w:bookmarkEnd w:id="369"/>
      <w:bookmarkEnd w:id="370"/>
      <w:bookmarkEnd w:id="371"/>
      <w:bookmarkEnd w:id="372"/>
      <w:bookmarkEnd w:id="373"/>
      <w:bookmarkEnd w:id="374"/>
      <w:bookmarkEnd w:id="375"/>
      <w:bookmarkEnd w:id="376"/>
    </w:p>
    <w:p w14:paraId="5F118030"/>
    <w:p w14:paraId="3D6FAD25">
      <w:pPr>
        <w:jc w:val="center"/>
      </w:pPr>
    </w:p>
    <w:p w14:paraId="00523A04"/>
    <w:p w14:paraId="6D884932">
      <w:pPr>
        <w:spacing w:line="360" w:lineRule="auto"/>
        <w:jc w:val="center"/>
        <w:rPr>
          <w:rFonts w:hint="eastAsia" w:ascii="宋体" w:hAnsi="宋体"/>
          <w:b/>
          <w:sz w:val="30"/>
        </w:rPr>
      </w:pPr>
      <w:r>
        <w:rPr>
          <w:rFonts w:hAnsi="宋体"/>
          <w:b/>
          <w:sz w:val="32"/>
        </w:rPr>
        <w:br w:type="page"/>
      </w:r>
    </w:p>
    <w:p w14:paraId="206D07A4">
      <w:pPr>
        <w:spacing w:line="360" w:lineRule="auto"/>
        <w:jc w:val="center"/>
        <w:rPr>
          <w:rFonts w:hint="eastAsia" w:ascii="宋体" w:hAnsi="宋体"/>
          <w:b/>
          <w:sz w:val="30"/>
        </w:rPr>
      </w:pPr>
    </w:p>
    <w:p w14:paraId="11CAE5D7">
      <w:pPr>
        <w:spacing w:line="360" w:lineRule="auto"/>
        <w:jc w:val="center"/>
        <w:rPr>
          <w:rFonts w:hint="eastAsia" w:ascii="宋体" w:hAnsi="宋体"/>
          <w:b/>
          <w:sz w:val="32"/>
        </w:rPr>
      </w:pPr>
      <w:r>
        <w:rPr>
          <w:rFonts w:hint="eastAsia" w:ascii="宋体" w:hAnsi="宋体"/>
          <w:b/>
          <w:sz w:val="36"/>
        </w:rPr>
        <w:t>资格文件封面</w:t>
      </w:r>
    </w:p>
    <w:p w14:paraId="2FE0129E">
      <w:pPr>
        <w:pStyle w:val="5"/>
        <w:spacing w:line="360" w:lineRule="auto"/>
        <w:ind w:firstLine="900" w:firstLineChars="250"/>
        <w:rPr>
          <w:rFonts w:hint="eastAsia" w:ascii="宋体" w:hAnsi="宋体"/>
          <w:sz w:val="36"/>
        </w:rPr>
      </w:pPr>
    </w:p>
    <w:p w14:paraId="42370300">
      <w:pPr>
        <w:pStyle w:val="5"/>
        <w:spacing w:line="360" w:lineRule="auto"/>
        <w:ind w:firstLine="900" w:firstLineChars="250"/>
        <w:rPr>
          <w:rFonts w:hint="eastAsia" w:ascii="宋体" w:hAnsi="宋体"/>
          <w:sz w:val="36"/>
        </w:rPr>
      </w:pPr>
    </w:p>
    <w:p w14:paraId="537AFB67">
      <w:pPr>
        <w:pStyle w:val="5"/>
        <w:spacing w:line="360" w:lineRule="auto"/>
        <w:ind w:firstLine="900" w:firstLineChars="250"/>
        <w:rPr>
          <w:rFonts w:hint="eastAsia" w:ascii="宋体" w:hAnsi="宋体"/>
          <w:sz w:val="36"/>
        </w:rPr>
      </w:pPr>
    </w:p>
    <w:p w14:paraId="300B878B">
      <w:pPr>
        <w:pStyle w:val="5"/>
        <w:spacing w:line="360" w:lineRule="auto"/>
        <w:ind w:firstLine="900" w:firstLineChars="250"/>
        <w:rPr>
          <w:rFonts w:hint="eastAsia" w:ascii="宋体" w:hAnsi="宋体"/>
          <w:sz w:val="36"/>
        </w:rPr>
      </w:pPr>
      <w:r>
        <w:rPr>
          <w:rFonts w:ascii="宋体" w:hAnsi="宋体"/>
          <w:sz w:val="36"/>
        </w:rPr>
        <w:t>采购编号：</w:t>
      </w:r>
    </w:p>
    <w:p w14:paraId="455BB344">
      <w:pPr>
        <w:pStyle w:val="5"/>
        <w:spacing w:line="360" w:lineRule="auto"/>
        <w:ind w:firstLine="0"/>
        <w:rPr>
          <w:rFonts w:hint="eastAsia" w:ascii="宋体" w:hAnsi="宋体"/>
          <w:sz w:val="36"/>
        </w:rPr>
      </w:pPr>
    </w:p>
    <w:p w14:paraId="69F91463">
      <w:pPr>
        <w:pStyle w:val="5"/>
        <w:spacing w:line="360" w:lineRule="auto"/>
        <w:ind w:firstLine="900" w:firstLineChars="250"/>
        <w:rPr>
          <w:rFonts w:hint="eastAsia" w:ascii="宋体" w:hAnsi="宋体"/>
          <w:sz w:val="36"/>
        </w:rPr>
      </w:pPr>
      <w:r>
        <w:rPr>
          <w:rFonts w:ascii="宋体" w:hAnsi="宋体"/>
          <w:sz w:val="36"/>
        </w:rPr>
        <w:t>项目名称：</w:t>
      </w:r>
    </w:p>
    <w:p w14:paraId="187FA9DC">
      <w:pPr>
        <w:pStyle w:val="12"/>
      </w:pPr>
    </w:p>
    <w:p w14:paraId="74A41304">
      <w:pPr>
        <w:pStyle w:val="30"/>
        <w:ind w:firstLine="210"/>
      </w:pPr>
    </w:p>
    <w:p w14:paraId="557A863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资格文件</w:t>
      </w:r>
    </w:p>
    <w:p w14:paraId="587B3535">
      <w:pPr>
        <w:pStyle w:val="5"/>
        <w:spacing w:line="360" w:lineRule="auto"/>
        <w:ind w:firstLine="900" w:firstLineChars="250"/>
        <w:rPr>
          <w:rFonts w:hint="eastAsia" w:ascii="宋体" w:hAnsi="宋体"/>
          <w:sz w:val="36"/>
        </w:rPr>
      </w:pPr>
    </w:p>
    <w:p w14:paraId="09B51490">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02E297C8">
      <w:pPr>
        <w:pStyle w:val="5"/>
        <w:spacing w:line="360" w:lineRule="auto"/>
        <w:ind w:firstLine="900" w:firstLineChars="250"/>
        <w:rPr>
          <w:rFonts w:hint="eastAsia" w:ascii="宋体" w:hAnsi="宋体"/>
          <w:sz w:val="36"/>
        </w:rPr>
      </w:pPr>
    </w:p>
    <w:p w14:paraId="49E5815D">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04A09EFD">
      <w:pPr>
        <w:pStyle w:val="5"/>
        <w:ind w:firstLine="1440" w:firstLineChars="400"/>
        <w:rPr>
          <w:rFonts w:hint="eastAsia" w:ascii="宋体" w:hAnsi="宋体"/>
          <w:sz w:val="36"/>
        </w:rPr>
      </w:pPr>
    </w:p>
    <w:p w14:paraId="20FFFDFE">
      <w:pPr>
        <w:pStyle w:val="5"/>
        <w:ind w:firstLine="1440" w:firstLineChars="400"/>
        <w:rPr>
          <w:rFonts w:hint="eastAsia" w:ascii="宋体" w:hAnsi="宋体"/>
          <w:sz w:val="36"/>
        </w:rPr>
      </w:pPr>
    </w:p>
    <w:p w14:paraId="17BFC7F3">
      <w:pPr>
        <w:pStyle w:val="5"/>
        <w:ind w:firstLine="0"/>
        <w:rPr>
          <w:rFonts w:hint="eastAsia" w:ascii="宋体" w:hAnsi="宋体"/>
          <w:sz w:val="32"/>
          <w:szCs w:val="32"/>
        </w:rPr>
      </w:pPr>
    </w:p>
    <w:p w14:paraId="3366847A">
      <w:pPr>
        <w:pStyle w:val="17"/>
        <w:spacing w:line="360" w:lineRule="auto"/>
        <w:rPr>
          <w:rFonts w:hint="eastAsia" w:hAnsi="宋体"/>
          <w:b/>
          <w:sz w:val="32"/>
        </w:rPr>
      </w:pPr>
      <w:r>
        <w:rPr>
          <w:rFonts w:hAnsi="宋体"/>
          <w:b/>
          <w:sz w:val="32"/>
        </w:rPr>
        <w:br w:type="page"/>
      </w:r>
    </w:p>
    <w:p w14:paraId="7EF515EE">
      <w:pPr>
        <w:pStyle w:val="17"/>
        <w:spacing w:line="360" w:lineRule="auto"/>
        <w:jc w:val="center"/>
        <w:rPr>
          <w:rFonts w:hint="eastAsia" w:hAnsi="宋体"/>
          <w:b/>
          <w:sz w:val="32"/>
        </w:rPr>
      </w:pPr>
      <w:r>
        <w:rPr>
          <w:rFonts w:hint="eastAsia" w:hAnsi="宋体"/>
          <w:b/>
          <w:sz w:val="32"/>
        </w:rPr>
        <w:t>▲1.供应商有效营业执照</w:t>
      </w:r>
    </w:p>
    <w:p w14:paraId="1B5754F5">
      <w:pPr>
        <w:spacing w:line="360" w:lineRule="auto"/>
        <w:ind w:firstLine="480" w:firstLineChars="200"/>
        <w:rPr>
          <w:rFonts w:hint="eastAsia" w:ascii="宋体" w:hAnsi="宋体"/>
          <w:sz w:val="24"/>
        </w:rPr>
      </w:pPr>
    </w:p>
    <w:p w14:paraId="0062FA79">
      <w:pPr>
        <w:spacing w:line="360" w:lineRule="auto"/>
        <w:ind w:firstLine="480" w:firstLineChars="200"/>
        <w:rPr>
          <w:rFonts w:hint="eastAsia" w:hAnsi="宋体"/>
          <w:b/>
          <w:sz w:val="32"/>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p>
    <w:p w14:paraId="702FA1A9">
      <w:pPr>
        <w:spacing w:line="360" w:lineRule="auto"/>
        <w:ind w:firstLine="643" w:firstLineChars="200"/>
        <w:rPr>
          <w:rFonts w:hint="eastAsia" w:hAnsi="宋体"/>
          <w:b/>
          <w:sz w:val="32"/>
        </w:rPr>
      </w:pPr>
    </w:p>
    <w:p w14:paraId="6E59C8F4">
      <w:pPr>
        <w:spacing w:line="360" w:lineRule="auto"/>
        <w:ind w:firstLine="643" w:firstLineChars="200"/>
        <w:rPr>
          <w:rFonts w:hint="eastAsia" w:hAnsi="宋体"/>
          <w:b/>
          <w:sz w:val="32"/>
        </w:rPr>
      </w:pPr>
    </w:p>
    <w:p w14:paraId="057F2AE9">
      <w:pPr>
        <w:pStyle w:val="17"/>
        <w:spacing w:line="360" w:lineRule="auto"/>
        <w:ind w:firstLine="948" w:firstLineChars="295"/>
        <w:rPr>
          <w:rFonts w:hint="eastAsia" w:hAnsi="宋体"/>
          <w:b/>
          <w:sz w:val="32"/>
        </w:rPr>
      </w:pPr>
    </w:p>
    <w:p w14:paraId="7A9DE044">
      <w:pPr>
        <w:pStyle w:val="17"/>
        <w:spacing w:line="360" w:lineRule="auto"/>
        <w:ind w:firstLine="948" w:firstLineChars="295"/>
        <w:rPr>
          <w:rFonts w:hint="eastAsia" w:hAnsi="宋体"/>
          <w:b/>
          <w:sz w:val="32"/>
        </w:rPr>
      </w:pPr>
    </w:p>
    <w:p w14:paraId="15B196AE">
      <w:pPr>
        <w:pStyle w:val="17"/>
        <w:spacing w:line="360" w:lineRule="auto"/>
        <w:ind w:firstLine="948" w:firstLineChars="295"/>
        <w:rPr>
          <w:rFonts w:hint="eastAsia" w:hAnsi="宋体"/>
          <w:b/>
          <w:sz w:val="32"/>
        </w:rPr>
      </w:pPr>
    </w:p>
    <w:p w14:paraId="58EE3BFE">
      <w:pPr>
        <w:spacing w:line="360" w:lineRule="auto"/>
        <w:rPr>
          <w:rFonts w:hint="eastAsia" w:hAnsi="宋体"/>
          <w:b/>
          <w:sz w:val="32"/>
        </w:rPr>
      </w:pPr>
    </w:p>
    <w:p w14:paraId="4680749C">
      <w:pPr>
        <w:pStyle w:val="12"/>
      </w:pPr>
    </w:p>
    <w:p w14:paraId="49066FBF">
      <w:pPr>
        <w:pStyle w:val="30"/>
        <w:ind w:firstLine="210"/>
      </w:pPr>
    </w:p>
    <w:p w14:paraId="16F9BB85">
      <w:pPr>
        <w:pStyle w:val="30"/>
        <w:ind w:firstLine="210"/>
      </w:pPr>
    </w:p>
    <w:p w14:paraId="059B9B96">
      <w:pPr>
        <w:pStyle w:val="30"/>
        <w:ind w:firstLine="210"/>
      </w:pPr>
    </w:p>
    <w:p w14:paraId="3DAC7ACC">
      <w:pPr>
        <w:pStyle w:val="30"/>
        <w:ind w:firstLine="210"/>
      </w:pPr>
    </w:p>
    <w:p w14:paraId="1CEFAB85">
      <w:pPr>
        <w:pStyle w:val="30"/>
        <w:ind w:firstLine="210"/>
      </w:pPr>
    </w:p>
    <w:p w14:paraId="3193C4C4">
      <w:pPr>
        <w:pStyle w:val="30"/>
        <w:ind w:firstLine="210"/>
      </w:pPr>
    </w:p>
    <w:p w14:paraId="0CF05691">
      <w:pPr>
        <w:pStyle w:val="30"/>
        <w:ind w:firstLine="210"/>
      </w:pPr>
    </w:p>
    <w:p w14:paraId="7B35B776">
      <w:pPr>
        <w:pStyle w:val="30"/>
        <w:ind w:firstLine="210"/>
      </w:pPr>
    </w:p>
    <w:p w14:paraId="56CC324F">
      <w:pPr>
        <w:pStyle w:val="30"/>
        <w:ind w:firstLine="210"/>
      </w:pPr>
    </w:p>
    <w:p w14:paraId="72B2F80F">
      <w:pPr>
        <w:pStyle w:val="30"/>
        <w:ind w:firstLine="210"/>
      </w:pPr>
    </w:p>
    <w:p w14:paraId="56E33ED9">
      <w:pPr>
        <w:pStyle w:val="30"/>
        <w:ind w:firstLine="210"/>
      </w:pPr>
    </w:p>
    <w:p w14:paraId="66EEFE25">
      <w:pPr>
        <w:pStyle w:val="30"/>
        <w:ind w:firstLine="210"/>
      </w:pPr>
    </w:p>
    <w:p w14:paraId="7998C02F">
      <w:pPr>
        <w:pStyle w:val="30"/>
        <w:ind w:firstLine="210"/>
      </w:pPr>
    </w:p>
    <w:p w14:paraId="7411B6BE">
      <w:pPr>
        <w:pStyle w:val="30"/>
        <w:ind w:firstLine="210"/>
      </w:pPr>
    </w:p>
    <w:p w14:paraId="669C97F9">
      <w:pPr>
        <w:pStyle w:val="30"/>
        <w:ind w:firstLine="210"/>
      </w:pPr>
    </w:p>
    <w:p w14:paraId="207F1C87">
      <w:pPr>
        <w:pStyle w:val="30"/>
        <w:ind w:firstLine="210"/>
      </w:pPr>
    </w:p>
    <w:p w14:paraId="47761E31">
      <w:pPr>
        <w:pStyle w:val="30"/>
        <w:ind w:firstLine="210"/>
      </w:pPr>
    </w:p>
    <w:p w14:paraId="19710BA7">
      <w:pPr>
        <w:pStyle w:val="30"/>
        <w:ind w:firstLine="210"/>
      </w:pPr>
    </w:p>
    <w:p w14:paraId="20D8D4F2">
      <w:pPr>
        <w:pStyle w:val="30"/>
        <w:ind w:firstLine="210"/>
      </w:pPr>
    </w:p>
    <w:p w14:paraId="396E0222">
      <w:pPr>
        <w:pStyle w:val="30"/>
        <w:ind w:firstLine="210"/>
      </w:pPr>
    </w:p>
    <w:p w14:paraId="4C54B15C">
      <w:pPr>
        <w:pStyle w:val="30"/>
        <w:ind w:firstLine="0" w:firstLineChars="0"/>
      </w:pPr>
    </w:p>
    <w:p w14:paraId="6824FC8C">
      <w:pPr>
        <w:rPr>
          <w:rFonts w:hint="eastAsia" w:ascii="宋体" w:hAnsi="宋体"/>
          <w:b/>
          <w:sz w:val="32"/>
          <w:szCs w:val="20"/>
        </w:rPr>
      </w:pPr>
      <w:r>
        <w:rPr>
          <w:rFonts w:hint="eastAsia" w:ascii="宋体" w:hAnsi="宋体"/>
          <w:b/>
          <w:sz w:val="32"/>
          <w:szCs w:val="20"/>
        </w:rPr>
        <w:br w:type="page"/>
      </w:r>
    </w:p>
    <w:p w14:paraId="6DF976CD">
      <w:pPr>
        <w:spacing w:line="360" w:lineRule="auto"/>
        <w:jc w:val="center"/>
        <w:rPr>
          <w:rFonts w:hint="eastAsia" w:hAnsi="宋体"/>
          <w:b/>
          <w:sz w:val="32"/>
        </w:rPr>
      </w:pPr>
      <w:r>
        <w:rPr>
          <w:rFonts w:hint="eastAsia" w:ascii="宋体" w:hAnsi="宋体"/>
          <w:b/>
          <w:sz w:val="32"/>
          <w:szCs w:val="20"/>
        </w:rPr>
        <w:t>2.</w:t>
      </w:r>
      <w:r>
        <w:rPr>
          <w:rFonts w:hint="eastAsia" w:ascii="宋体" w:hAnsi="宋体" w:cs="宋体"/>
          <w:b/>
          <w:sz w:val="32"/>
          <w:szCs w:val="20"/>
        </w:rPr>
        <w:t>委派书</w:t>
      </w:r>
    </w:p>
    <w:p w14:paraId="164F7E8D">
      <w:pPr>
        <w:spacing w:line="440" w:lineRule="exact"/>
        <w:rPr>
          <w:rFonts w:hint="eastAsia" w:ascii="宋体" w:hAnsi="宋体"/>
          <w:sz w:val="24"/>
          <w:u w:val="single"/>
        </w:rPr>
      </w:pPr>
    </w:p>
    <w:p w14:paraId="02B6A63E">
      <w:pPr>
        <w:spacing w:line="440" w:lineRule="exact"/>
        <w:rPr>
          <w:rFonts w:hint="eastAsia" w:ascii="宋体" w:hAnsi="宋体"/>
          <w:b/>
          <w:sz w:val="24"/>
        </w:rPr>
      </w:pPr>
      <w:r>
        <w:rPr>
          <w:rFonts w:hint="eastAsia" w:ascii="宋体" w:hAnsi="宋体"/>
          <w:sz w:val="24"/>
          <w:u w:val="single"/>
        </w:rPr>
        <w:t xml:space="preserve">（代理机构名称）     </w:t>
      </w:r>
      <w:r>
        <w:rPr>
          <w:rFonts w:hint="eastAsia" w:ascii="宋体" w:hAnsi="宋体"/>
          <w:sz w:val="24"/>
        </w:rPr>
        <w:t>：</w:t>
      </w:r>
    </w:p>
    <w:p w14:paraId="341442C9">
      <w:pPr>
        <w:autoSpaceDE w:val="0"/>
        <w:autoSpaceDN w:val="0"/>
        <w:spacing w:line="440" w:lineRule="exact"/>
        <w:textAlignment w:val="bottom"/>
        <w:rPr>
          <w:rFonts w:hint="eastAsia" w:ascii="宋体" w:hAnsi="宋体"/>
          <w:sz w:val="24"/>
        </w:rPr>
      </w:pPr>
      <w:r>
        <w:rPr>
          <w:rFonts w:hint="eastAsia" w:ascii="宋体" w:hAnsi="宋体"/>
          <w:sz w:val="24"/>
        </w:rPr>
        <w:t xml:space="preserve">    本单位委派在职工作人员</w:t>
      </w:r>
      <w:r>
        <w:rPr>
          <w:rFonts w:hint="eastAsia" w:ascii="宋体" w:hAnsi="宋体"/>
          <w:sz w:val="24"/>
          <w:u w:val="single"/>
        </w:rPr>
        <w:t xml:space="preserve">    （姓名+号码）  </w:t>
      </w:r>
      <w:r>
        <w:rPr>
          <w:rFonts w:hint="eastAsia" w:ascii="宋体" w:hAnsi="宋体"/>
          <w:sz w:val="24"/>
        </w:rPr>
        <w:t xml:space="preserve"> 以我方名义参加贵公司组织的</w:t>
      </w:r>
      <w:r>
        <w:rPr>
          <w:rFonts w:hint="eastAsia" w:ascii="宋体" w:hAnsi="宋体"/>
          <w:sz w:val="24"/>
          <w:u w:val="single"/>
        </w:rPr>
        <w:t xml:space="preserve">                           （采购项目名称） </w:t>
      </w:r>
      <w:r>
        <w:rPr>
          <w:rFonts w:hint="eastAsia" w:ascii="宋体" w:hAnsi="宋体"/>
          <w:sz w:val="24"/>
        </w:rPr>
        <w:t>（采购编号：</w:t>
      </w:r>
      <w:r>
        <w:rPr>
          <w:rFonts w:hint="eastAsia" w:ascii="宋体" w:hAnsi="宋体"/>
          <w:sz w:val="24"/>
          <w:u w:val="single"/>
        </w:rPr>
        <w:t>　　　　</w:t>
      </w:r>
      <w:r>
        <w:rPr>
          <w:rFonts w:hint="eastAsia" w:ascii="宋体" w:hAnsi="宋体"/>
          <w:sz w:val="24"/>
        </w:rPr>
        <w:t>）项目的磋商活动，并代表我单位全权办理针对上述项目的磋商、开标、评审、签约等具体事务和签署相关文件，且对签字或盖章事项负全部责任。</w:t>
      </w:r>
    </w:p>
    <w:p w14:paraId="0852DD96">
      <w:pPr>
        <w:spacing w:line="440" w:lineRule="exact"/>
        <w:ind w:firstLine="480"/>
        <w:rPr>
          <w:rFonts w:hint="eastAsia" w:ascii="宋体" w:hAnsi="宋体"/>
          <w:sz w:val="24"/>
        </w:rPr>
      </w:pPr>
      <w:r>
        <w:rPr>
          <w:rFonts w:hint="eastAsia" w:ascii="宋体" w:hAnsi="宋体"/>
          <w:sz w:val="24"/>
        </w:rPr>
        <w:t>本委派书自盖章之日起生效，在撤销委派的书面通知送达贵方以前，本委派书一直有效。供应商代表在委派书有效期内签署的所有文件不因委派的撤销而失效。</w:t>
      </w:r>
    </w:p>
    <w:p w14:paraId="6E0B6F53">
      <w:pPr>
        <w:spacing w:line="440" w:lineRule="exact"/>
        <w:ind w:firstLine="480"/>
        <w:rPr>
          <w:rFonts w:hint="eastAsia" w:ascii="宋体" w:hAnsi="宋体"/>
          <w:sz w:val="24"/>
        </w:rPr>
      </w:pPr>
      <w:r>
        <w:rPr>
          <w:rFonts w:hint="eastAsia" w:ascii="宋体" w:hAnsi="宋体"/>
          <w:sz w:val="24"/>
        </w:rPr>
        <w:t>供应商代表无转委派权，特此声明。</w:t>
      </w:r>
    </w:p>
    <w:p w14:paraId="47BAA6F5">
      <w:pPr>
        <w:spacing w:line="440" w:lineRule="exact"/>
        <w:ind w:firstLine="3512" w:firstLineChars="1250"/>
        <w:rPr>
          <w:rFonts w:hint="eastAsia" w:ascii="宋体" w:hAnsi="宋体"/>
          <w:b/>
          <w:spacing w:val="20"/>
          <w:sz w:val="24"/>
        </w:rPr>
      </w:pPr>
    </w:p>
    <w:p w14:paraId="5EA3DCBE">
      <w:pPr>
        <w:spacing w:line="440" w:lineRule="exact"/>
        <w:ind w:firstLine="3512" w:firstLineChars="1250"/>
        <w:rPr>
          <w:rFonts w:hint="eastAsia" w:ascii="宋体" w:hAnsi="宋体"/>
          <w:b/>
          <w:spacing w:val="20"/>
          <w:sz w:val="24"/>
        </w:rPr>
      </w:pPr>
    </w:p>
    <w:p w14:paraId="4F5859C3">
      <w:pPr>
        <w:spacing w:line="440" w:lineRule="exact"/>
        <w:ind w:firstLine="3512" w:firstLineChars="1250"/>
        <w:rPr>
          <w:rFonts w:hint="eastAsia" w:ascii="宋体" w:hAnsi="宋体"/>
          <w:b/>
          <w:spacing w:val="20"/>
          <w:sz w:val="24"/>
        </w:rPr>
      </w:pPr>
    </w:p>
    <w:p w14:paraId="0B786788">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p>
    <w:p w14:paraId="25289025">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p>
    <w:p w14:paraId="62A5D482">
      <w:pPr>
        <w:spacing w:line="360" w:lineRule="auto"/>
        <w:rPr>
          <w:rFonts w:hint="default" w:ascii="宋体" w:hAnsi="宋体" w:eastAsia="宋体"/>
          <w:b/>
          <w:sz w:val="24"/>
          <w:u w:val="single"/>
          <w:lang w:val="en-US" w:eastAsia="zh-CN"/>
        </w:rPr>
      </w:pPr>
      <w:r>
        <w:rPr>
          <w:rFonts w:hint="eastAsia" w:ascii="宋体" w:hAnsi="宋体"/>
          <w:b/>
          <w:sz w:val="24"/>
          <w:u w:val="single"/>
          <w:lang w:val="en-US" w:eastAsia="zh-CN"/>
        </w:rPr>
        <w:t xml:space="preserve">                                                                             </w:t>
      </w:r>
    </w:p>
    <w:p w14:paraId="36589198">
      <w:pPr>
        <w:spacing w:line="360" w:lineRule="auto"/>
        <w:ind w:firstLine="420"/>
        <w:rPr>
          <w:rFonts w:hint="eastAsia" w:ascii="宋体" w:hAnsi="宋体"/>
          <w:sz w:val="24"/>
        </w:rPr>
      </w:pPr>
      <w:r>
        <w:rPr>
          <w:rFonts w:hint="eastAsia" w:ascii="宋体" w:hAnsi="宋体"/>
          <w:b/>
          <w:sz w:val="24"/>
        </w:rPr>
        <w:t>注：本“委派书”应附供应商代表身份证扫描件，如扫描件不清晰或错误的，后果由供应商自行承担。</w:t>
      </w:r>
    </w:p>
    <w:p w14:paraId="7ED64703">
      <w:pPr>
        <w:spacing w:line="440" w:lineRule="exact"/>
        <w:rPr>
          <w:rFonts w:hint="eastAsia" w:ascii="宋体" w:hAnsi="宋体" w:cs="宋体"/>
          <w:bCs/>
          <w:sz w:val="24"/>
        </w:rPr>
      </w:pPr>
      <w:r>
        <w:rPr>
          <w:rFonts w:hint="eastAsia" w:ascii="宋体" w:hAnsi="宋体" w:cs="宋体"/>
          <w:sz w:val="24"/>
        </w:rPr>
        <w:t>供应商代表</w:t>
      </w:r>
      <w:r>
        <w:rPr>
          <w:rFonts w:hint="eastAsia" w:ascii="宋体" w:hAnsi="宋体" w:cs="宋体"/>
          <w:bCs/>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11B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7D6F3346">
            <w:pPr>
              <w:spacing w:line="440" w:lineRule="exact"/>
              <w:rPr>
                <w:rFonts w:hint="eastAsia"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2E0F07EE">
            <w:pPr>
              <w:tabs>
                <w:tab w:val="left" w:pos="1560"/>
              </w:tabs>
              <w:spacing w:line="440" w:lineRule="exact"/>
              <w:rPr>
                <w:rFonts w:hint="eastAsia" w:ascii="宋体" w:hAnsi="宋体" w:cs="宋体"/>
                <w:bCs/>
                <w:sz w:val="24"/>
                <w:szCs w:val="21"/>
              </w:rPr>
            </w:pPr>
            <w:r>
              <w:rPr>
                <w:rFonts w:ascii="宋体" w:hAnsi="宋体" w:cs="宋体"/>
                <w:bCs/>
                <w:sz w:val="24"/>
                <w:szCs w:val="21"/>
              </w:rPr>
              <w:tab/>
            </w:r>
          </w:p>
        </w:tc>
      </w:tr>
    </w:tbl>
    <w:p w14:paraId="2905DD21">
      <w:pPr>
        <w:pStyle w:val="17"/>
        <w:spacing w:line="360" w:lineRule="auto"/>
        <w:ind w:firstLine="3373" w:firstLineChars="1050"/>
        <w:rPr>
          <w:rFonts w:hint="eastAsia" w:hAnsi="宋体" w:cs="宋体"/>
          <w:b/>
          <w:sz w:val="32"/>
        </w:rPr>
      </w:pPr>
    </w:p>
    <w:p w14:paraId="61011593">
      <w:pPr>
        <w:pStyle w:val="17"/>
        <w:spacing w:line="360" w:lineRule="auto"/>
        <w:jc w:val="center"/>
        <w:rPr>
          <w:rFonts w:hint="eastAsia" w:hAnsi="宋体"/>
          <w:b/>
          <w:sz w:val="32"/>
        </w:rPr>
      </w:pPr>
      <w:r>
        <w:rPr>
          <w:rFonts w:hAnsi="宋体"/>
          <w:b/>
          <w:sz w:val="32"/>
        </w:rPr>
        <w:br w:type="page"/>
      </w:r>
      <w:bookmarkStart w:id="377" w:name="_Toc493955980"/>
      <w:r>
        <w:rPr>
          <w:rFonts w:hint="eastAsia" w:hAnsi="宋体"/>
          <w:b/>
          <w:sz w:val="32"/>
        </w:rPr>
        <w:t>▲3.政府采购资格承诺函</w:t>
      </w:r>
    </w:p>
    <w:p w14:paraId="01A59966">
      <w:pPr>
        <w:spacing w:line="400" w:lineRule="exact"/>
        <w:rPr>
          <w:rFonts w:hint="eastAsia" w:ascii="宋体" w:hAnsi="宋体" w:cs="宋体"/>
          <w:sz w:val="24"/>
        </w:rPr>
      </w:pPr>
    </w:p>
    <w:p w14:paraId="48FA8E3C">
      <w:pPr>
        <w:spacing w:line="360" w:lineRule="auto"/>
        <w:ind w:firstLine="480" w:firstLineChars="200"/>
        <w:rPr>
          <w:rFonts w:hint="eastAsia" w:ascii="宋体" w:hAnsi="宋体" w:cs="宋体"/>
          <w:sz w:val="24"/>
        </w:rPr>
      </w:pPr>
      <w:r>
        <w:rPr>
          <w:rFonts w:hint="eastAsia" w:ascii="宋体" w:hAnsi="宋体" w:cs="宋体"/>
          <w:sz w:val="24"/>
        </w:rPr>
        <w:t>我单位——</w:t>
      </w:r>
      <w:r>
        <w:rPr>
          <w:rFonts w:hint="eastAsia" w:ascii="宋体" w:hAnsi="宋体" w:cs="宋体"/>
          <w:sz w:val="24"/>
          <w:u w:val="single"/>
        </w:rPr>
        <w:t xml:space="preserve">                  （供应商全称）</w:t>
      </w:r>
      <w:r>
        <w:rPr>
          <w:rFonts w:hint="eastAsia" w:ascii="宋体" w:hAnsi="宋体" w:cs="宋体"/>
          <w:bCs/>
          <w:sz w:val="24"/>
          <w:lang w:bidi="ar"/>
        </w:rPr>
        <w:t>参与</w:t>
      </w:r>
      <w:r>
        <w:rPr>
          <w:rFonts w:hint="eastAsia" w:ascii="宋体" w:hAnsi="宋体" w:cs="宋体"/>
          <w:bCs/>
          <w:sz w:val="24"/>
          <w:u w:val="single"/>
          <w:lang w:bidi="ar"/>
        </w:rPr>
        <w:t xml:space="preserve"> </w:t>
      </w:r>
      <w:r>
        <w:rPr>
          <w:rFonts w:hint="eastAsia" w:ascii="宋体" w:hAnsi="宋体" w:cs="宋体"/>
          <w:sz w:val="24"/>
          <w:u w:val="single"/>
        </w:rPr>
        <w:t xml:space="preserve">                </w:t>
      </w:r>
      <w:r>
        <w:rPr>
          <w:rFonts w:hint="eastAsia" w:ascii="宋体" w:hAnsi="宋体" w:cs="宋体"/>
          <w:sz w:val="24"/>
        </w:rPr>
        <w:t>采购项目</w:t>
      </w:r>
      <w:r>
        <w:rPr>
          <w:rFonts w:hint="eastAsia" w:ascii="宋体" w:hAnsi="宋体" w:cs="宋体"/>
          <w:bCs/>
          <w:sz w:val="24"/>
          <w:lang w:bidi="ar"/>
        </w:rPr>
        <w:t>（项目编号：</w:t>
      </w:r>
      <w:r>
        <w:rPr>
          <w:rFonts w:hint="eastAsia" w:ascii="宋体" w:hAnsi="宋体" w:cs="宋体"/>
          <w:bCs/>
          <w:sz w:val="24"/>
          <w:u w:val="single"/>
          <w:lang w:bidi="ar"/>
        </w:rPr>
        <w:t xml:space="preserve"> </w:t>
      </w:r>
      <w:r>
        <w:rPr>
          <w:rFonts w:hint="eastAsia" w:ascii="宋体" w:hAnsi="宋体" w:cs="宋体"/>
          <w:bCs/>
          <w:sz w:val="24"/>
          <w:u w:val="single"/>
        </w:rPr>
        <w:t xml:space="preserve">           </w:t>
      </w:r>
      <w:r>
        <w:rPr>
          <w:rFonts w:hint="eastAsia" w:ascii="宋体" w:hAnsi="宋体" w:cs="宋体"/>
          <w:bCs/>
          <w:sz w:val="24"/>
          <w:u w:val="single"/>
          <w:lang w:bidi="ar"/>
        </w:rPr>
        <w:t xml:space="preserve"> </w:t>
      </w:r>
      <w:r>
        <w:rPr>
          <w:rFonts w:hint="eastAsia" w:ascii="宋体" w:hAnsi="宋体" w:cs="宋体"/>
          <w:bCs/>
          <w:sz w:val="24"/>
          <w:lang w:bidi="ar"/>
        </w:rPr>
        <w:t>）磋商，郑重</w:t>
      </w:r>
      <w:r>
        <w:rPr>
          <w:rFonts w:hint="eastAsia" w:ascii="宋体" w:hAnsi="宋体" w:cs="宋体"/>
          <w:sz w:val="24"/>
        </w:rPr>
        <w:t>承诺具备下列条件：</w:t>
      </w:r>
    </w:p>
    <w:p w14:paraId="4F2F65C5">
      <w:pPr>
        <w:spacing w:line="360" w:lineRule="auto"/>
        <w:ind w:firstLine="480" w:firstLineChars="200"/>
        <w:rPr>
          <w:rFonts w:hint="eastAsia" w:ascii="宋体" w:hAnsi="宋体" w:cs="宋体"/>
          <w:bCs/>
          <w:sz w:val="24"/>
        </w:rPr>
      </w:pPr>
      <w:r>
        <w:rPr>
          <w:rFonts w:hint="eastAsia" w:ascii="宋体" w:hAnsi="宋体" w:cs="宋体"/>
          <w:bCs/>
          <w:sz w:val="24"/>
        </w:rPr>
        <w:t>1.具有独立承担民事责任的能力；</w:t>
      </w:r>
    </w:p>
    <w:p w14:paraId="686010EE">
      <w:pPr>
        <w:spacing w:line="360" w:lineRule="auto"/>
        <w:ind w:firstLine="480" w:firstLineChars="200"/>
        <w:rPr>
          <w:rFonts w:hint="eastAsia" w:ascii="宋体" w:hAnsi="宋体" w:cs="宋体"/>
          <w:bCs/>
          <w:sz w:val="24"/>
        </w:rPr>
      </w:pPr>
      <w:r>
        <w:rPr>
          <w:rFonts w:hint="eastAsia" w:ascii="宋体" w:hAnsi="宋体" w:cs="宋体"/>
          <w:bCs/>
          <w:sz w:val="24"/>
        </w:rPr>
        <w:t>2.具有良好的商业信誉和健全的财务会计制度；</w:t>
      </w:r>
    </w:p>
    <w:p w14:paraId="4876568C">
      <w:pPr>
        <w:spacing w:line="360" w:lineRule="auto"/>
        <w:ind w:firstLine="480" w:firstLineChars="200"/>
        <w:rPr>
          <w:rFonts w:hint="eastAsia" w:ascii="宋体" w:hAnsi="宋体" w:cs="宋体"/>
          <w:bCs/>
          <w:sz w:val="24"/>
        </w:rPr>
      </w:pPr>
      <w:r>
        <w:rPr>
          <w:rFonts w:hint="eastAsia" w:ascii="宋体" w:hAnsi="宋体" w:cs="宋体"/>
          <w:bCs/>
          <w:sz w:val="24"/>
        </w:rPr>
        <w:t>3.具有履行合同所必需的设备和专业技术能力；</w:t>
      </w:r>
    </w:p>
    <w:p w14:paraId="7EE31BC3">
      <w:pPr>
        <w:spacing w:line="360" w:lineRule="auto"/>
        <w:ind w:firstLine="480" w:firstLineChars="200"/>
        <w:rPr>
          <w:rFonts w:hint="eastAsia" w:ascii="宋体" w:hAnsi="宋体" w:cs="宋体"/>
          <w:bCs/>
          <w:sz w:val="24"/>
        </w:rPr>
      </w:pPr>
      <w:r>
        <w:rPr>
          <w:rFonts w:hint="eastAsia" w:ascii="宋体" w:hAnsi="宋体" w:cs="宋体"/>
          <w:bCs/>
          <w:sz w:val="24"/>
        </w:rPr>
        <w:t>4.有依法缴纳税收和社会保障资金的良好记录；</w:t>
      </w:r>
    </w:p>
    <w:p w14:paraId="69ACFF0C">
      <w:pPr>
        <w:spacing w:line="360" w:lineRule="auto"/>
        <w:ind w:firstLine="480" w:firstLineChars="200"/>
        <w:rPr>
          <w:rFonts w:hint="eastAsia" w:ascii="宋体" w:hAnsi="宋体" w:cs="宋体"/>
          <w:bCs/>
          <w:sz w:val="24"/>
        </w:rPr>
      </w:pPr>
      <w:r>
        <w:rPr>
          <w:rFonts w:hint="eastAsia" w:ascii="宋体" w:hAnsi="宋体" w:cs="宋体"/>
          <w:bCs/>
          <w:sz w:val="24"/>
        </w:rPr>
        <w:t>5.参加本项目采购活动前三年内,在经营活动中没有重大违法记录（包括行贿犯罪记录）。</w:t>
      </w:r>
    </w:p>
    <w:p w14:paraId="2CC16F43">
      <w:pPr>
        <w:snapToGrid w:val="0"/>
        <w:spacing w:line="360" w:lineRule="auto"/>
        <w:ind w:firstLine="480" w:firstLineChars="200"/>
        <w:rPr>
          <w:rFonts w:hint="eastAsia" w:ascii="宋体" w:hAnsi="宋体"/>
          <w:sz w:val="24"/>
        </w:rPr>
      </w:pPr>
      <w:r>
        <w:rPr>
          <w:rFonts w:hint="eastAsia" w:ascii="宋体" w:hAnsi="宋体" w:cs="宋体"/>
          <w:sz w:val="24"/>
        </w:rPr>
        <w:t>6.</w:t>
      </w:r>
      <w:r>
        <w:rPr>
          <w:rFonts w:hint="eastAsia" w:ascii="宋体" w:hAnsi="宋体"/>
          <w:sz w:val="24"/>
        </w:rPr>
        <w:t xml:space="preserve"> 磋商截止时间前未被“信用中国”网站（www.creditchina.gov.cn）、中国政府采购网（www.ccgp.gov.cn）列入失信被执行人、税收违法黑名单、政府采购严重违法失信行为记录名单</w:t>
      </w:r>
      <w:r>
        <w:rPr>
          <w:rFonts w:hint="eastAsia" w:ascii="宋体" w:hAnsi="宋体"/>
          <w:b/>
          <w:sz w:val="24"/>
        </w:rPr>
        <w:t>（注：本项内容以代理机构在资格审查现场查询为准）。</w:t>
      </w:r>
    </w:p>
    <w:p w14:paraId="13D63981">
      <w:pPr>
        <w:snapToGrid w:val="0"/>
        <w:spacing w:line="400" w:lineRule="exact"/>
        <w:ind w:firstLine="480" w:firstLineChars="200"/>
        <w:rPr>
          <w:rFonts w:hint="eastAsia" w:ascii="宋体" w:hAnsi="宋体" w:cs="宋体"/>
          <w:sz w:val="24"/>
        </w:rPr>
      </w:pPr>
    </w:p>
    <w:p w14:paraId="1C68CD60">
      <w:pPr>
        <w:snapToGrid w:val="0"/>
        <w:spacing w:line="400" w:lineRule="exact"/>
        <w:ind w:firstLine="482" w:firstLineChars="200"/>
        <w:rPr>
          <w:rFonts w:hint="eastAsia" w:ascii="宋体" w:hAnsi="宋体" w:cs="宋体"/>
          <w:b/>
          <w:sz w:val="24"/>
        </w:rPr>
      </w:pPr>
    </w:p>
    <w:p w14:paraId="7B9BA899">
      <w:pPr>
        <w:snapToGrid w:val="0"/>
        <w:spacing w:line="400" w:lineRule="exact"/>
        <w:ind w:firstLine="482" w:firstLineChars="200"/>
        <w:rPr>
          <w:rFonts w:hint="eastAsia" w:ascii="宋体" w:hAnsi="宋体" w:cs="宋体"/>
          <w:b/>
          <w:sz w:val="24"/>
        </w:rPr>
      </w:pPr>
      <w:r>
        <w:rPr>
          <w:rFonts w:hint="eastAsia" w:ascii="宋体" w:hAnsi="宋体" w:cs="宋体"/>
          <w:b/>
          <w:sz w:val="24"/>
        </w:rPr>
        <w:t>如有虚假，采购人可取消我单位任何资格（投标/中标（成交）/签订合同），我单位对此无任何异议。</w:t>
      </w:r>
    </w:p>
    <w:p w14:paraId="1D9FF5C9">
      <w:pPr>
        <w:snapToGrid w:val="0"/>
        <w:spacing w:line="400" w:lineRule="exact"/>
        <w:ind w:firstLine="482" w:firstLineChars="200"/>
        <w:rPr>
          <w:rFonts w:hint="eastAsia" w:ascii="宋体" w:hAnsi="宋体" w:cs="宋体"/>
          <w:b/>
          <w:sz w:val="24"/>
        </w:rPr>
      </w:pPr>
    </w:p>
    <w:p w14:paraId="1CA4F1C5">
      <w:pPr>
        <w:snapToGrid w:val="0"/>
        <w:spacing w:line="400" w:lineRule="exact"/>
        <w:ind w:firstLine="482" w:firstLineChars="200"/>
        <w:rPr>
          <w:rFonts w:hint="eastAsia" w:ascii="宋体" w:hAnsi="宋体" w:cs="宋体"/>
          <w:b/>
          <w:sz w:val="24"/>
        </w:rPr>
      </w:pPr>
      <w:r>
        <w:rPr>
          <w:rFonts w:hint="eastAsia" w:ascii="宋体" w:hAnsi="宋体" w:cs="宋体"/>
          <w:b/>
          <w:sz w:val="24"/>
        </w:rPr>
        <w:t>特此承诺！</w:t>
      </w:r>
    </w:p>
    <w:p w14:paraId="7EDBCC8F">
      <w:pPr>
        <w:tabs>
          <w:tab w:val="left" w:pos="9180"/>
        </w:tabs>
        <w:spacing w:line="360" w:lineRule="auto"/>
        <w:ind w:firstLine="480" w:firstLineChars="200"/>
        <w:rPr>
          <w:rFonts w:hint="eastAsia" w:ascii="宋体" w:hAnsi="宋体" w:cs="宋体"/>
          <w:snapToGrid w:val="0"/>
          <w:sz w:val="24"/>
        </w:rPr>
      </w:pPr>
    </w:p>
    <w:p w14:paraId="51437A6A">
      <w:pPr>
        <w:tabs>
          <w:tab w:val="left" w:pos="9180"/>
        </w:tabs>
        <w:spacing w:line="360" w:lineRule="auto"/>
        <w:ind w:firstLine="480" w:firstLineChars="200"/>
        <w:rPr>
          <w:rFonts w:hint="eastAsia" w:ascii="宋体" w:hAnsi="宋体" w:cs="宋体"/>
          <w:snapToGrid w:val="0"/>
          <w:sz w:val="24"/>
        </w:rPr>
      </w:pPr>
      <w:r>
        <w:rPr>
          <w:rFonts w:hint="eastAsia" w:ascii="宋体" w:hAnsi="宋体" w:cs="宋体"/>
          <w:snapToGrid w:val="0"/>
          <w:sz w:val="24"/>
        </w:rPr>
        <w:t>注：（1）参加政府采购活动的时间是指供应商参加本项目的政府采购活动时间（具体以磋商截止时间为准）。</w:t>
      </w:r>
    </w:p>
    <w:p w14:paraId="24BC2713">
      <w:pPr>
        <w:tabs>
          <w:tab w:val="left" w:pos="9180"/>
        </w:tabs>
        <w:spacing w:line="360" w:lineRule="auto"/>
        <w:ind w:firstLine="840" w:firstLineChars="350"/>
        <w:rPr>
          <w:rFonts w:hint="eastAsia" w:ascii="宋体" w:hAnsi="宋体" w:cs="宋体"/>
          <w:snapToGrid w:val="0"/>
          <w:sz w:val="24"/>
        </w:rPr>
      </w:pPr>
      <w:r>
        <w:rPr>
          <w:rFonts w:hint="eastAsia" w:ascii="宋体" w:hAnsi="宋体" w:cs="宋体"/>
          <w:snapToGrid w:val="0"/>
          <w:sz w:val="24"/>
        </w:rPr>
        <w:t>（2）本承诺函必须提供。</w:t>
      </w:r>
    </w:p>
    <w:p w14:paraId="6133D353">
      <w:pPr>
        <w:tabs>
          <w:tab w:val="left" w:pos="9180"/>
        </w:tabs>
        <w:spacing w:line="360" w:lineRule="auto"/>
        <w:ind w:firstLine="960" w:firstLineChars="400"/>
        <w:rPr>
          <w:rFonts w:hint="eastAsia" w:ascii="宋体" w:hAnsi="宋体" w:cs="宋体"/>
          <w:snapToGrid w:val="0"/>
          <w:sz w:val="24"/>
        </w:rPr>
      </w:pPr>
    </w:p>
    <w:p w14:paraId="1C3F05AD">
      <w:pPr>
        <w:pStyle w:val="17"/>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4</w:t>
      </w:r>
      <w:r>
        <w:rPr>
          <w:rFonts w:hint="eastAsia" w:hAnsi="宋体"/>
          <w:b/>
          <w:sz w:val="32"/>
        </w:rPr>
        <w:t>.资格证明</w:t>
      </w:r>
    </w:p>
    <w:p w14:paraId="38C96E41">
      <w:pPr>
        <w:pStyle w:val="68"/>
        <w:spacing w:before="240" w:beforeLines="100" w:line="480" w:lineRule="auto"/>
        <w:rPr>
          <w:rFonts w:hint="eastAsia" w:ascii="宋体" w:hAnsi="宋体"/>
          <w:spacing w:val="6"/>
          <w:sz w:val="28"/>
          <w:szCs w:val="28"/>
        </w:rPr>
      </w:pPr>
      <w:r>
        <w:rPr>
          <w:rFonts w:hint="eastAsia" w:ascii="宋体" w:hAnsi="宋体"/>
          <w:sz w:val="28"/>
          <w:szCs w:val="28"/>
          <w:u w:val="single"/>
        </w:rPr>
        <w:t>（代理机构名称）</w:t>
      </w:r>
      <w:r>
        <w:rPr>
          <w:rFonts w:hint="eastAsia" w:ascii="宋体" w:hAnsi="宋体"/>
          <w:spacing w:val="6"/>
          <w:sz w:val="28"/>
          <w:szCs w:val="28"/>
        </w:rPr>
        <w:t>：</w:t>
      </w:r>
    </w:p>
    <w:p w14:paraId="22977421">
      <w:pPr>
        <w:pStyle w:val="90"/>
        <w:spacing w:line="360" w:lineRule="auto"/>
        <w:ind w:firstLine="480" w:firstLineChars="200"/>
        <w:rPr>
          <w:rFonts w:hint="eastAsia" w:hAnsi="宋体"/>
          <w:sz w:val="24"/>
          <w:szCs w:val="21"/>
        </w:rPr>
      </w:pPr>
      <w:r>
        <w:rPr>
          <w:rFonts w:hAnsi="宋体"/>
          <w:sz w:val="24"/>
          <w:szCs w:val="21"/>
          <w:u w:val="single"/>
        </w:rPr>
        <w:t xml:space="preserve">   </w:t>
      </w:r>
      <w:r>
        <w:rPr>
          <w:rFonts w:hint="eastAsia" w:hAnsi="宋体"/>
          <w:sz w:val="24"/>
          <w:szCs w:val="21"/>
          <w:u w:val="single"/>
        </w:rPr>
        <w:t xml:space="preserve"> (供应商全称)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w:t>
      </w:r>
    </w:p>
    <w:p w14:paraId="274ED887">
      <w:pPr>
        <w:pStyle w:val="5"/>
        <w:spacing w:line="360" w:lineRule="auto"/>
        <w:rPr>
          <w:rFonts w:hint="eastAsia"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负责人名字</w:t>
      </w:r>
      <w:r>
        <w:rPr>
          <w:rFonts w:ascii="宋体" w:hAnsi="宋体"/>
          <w:sz w:val="24"/>
          <w:szCs w:val="21"/>
          <w:u w:val="single"/>
        </w:rPr>
        <w:t>)</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供应商名称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的磋商。为便于贵方公正、择优地确定成交人以及磋商产品和服务，我方就本次磋商有关事项证明如下：</w:t>
      </w:r>
    </w:p>
    <w:p w14:paraId="16D571E9">
      <w:pPr>
        <w:pStyle w:val="79"/>
        <w:spacing w:line="360" w:lineRule="auto"/>
        <w:ind w:firstLine="420"/>
        <w:rPr>
          <w:rFonts w:hint="eastAsia" w:hAnsi="宋体"/>
          <w:sz w:val="24"/>
          <w:szCs w:val="21"/>
        </w:rPr>
      </w:pPr>
      <w:r>
        <w:rPr>
          <w:rFonts w:hint="eastAsia" w:hAnsi="宋体"/>
          <w:sz w:val="24"/>
          <w:szCs w:val="21"/>
        </w:rPr>
        <w:t>（一）名称及概况：</w:t>
      </w:r>
    </w:p>
    <w:p w14:paraId="157FBA55">
      <w:pPr>
        <w:pStyle w:val="79"/>
        <w:spacing w:line="360" w:lineRule="auto"/>
        <w:ind w:firstLine="420"/>
        <w:rPr>
          <w:rFonts w:hint="eastAsia" w:hAnsi="宋体"/>
          <w:sz w:val="24"/>
          <w:szCs w:val="21"/>
        </w:rPr>
      </w:pPr>
      <w:r>
        <w:rPr>
          <w:rFonts w:hint="eastAsia" w:hAnsi="宋体"/>
          <w:sz w:val="24"/>
          <w:szCs w:val="21"/>
        </w:rPr>
        <w:t xml:space="preserve">1．企业名称：________________________________________________ </w:t>
      </w:r>
    </w:p>
    <w:p w14:paraId="601C1BAE">
      <w:pPr>
        <w:pStyle w:val="79"/>
        <w:spacing w:line="360" w:lineRule="auto"/>
        <w:ind w:firstLine="420"/>
        <w:rPr>
          <w:rFonts w:hint="eastAsia" w:hAnsi="宋体"/>
          <w:b/>
          <w:bCs/>
          <w:sz w:val="24"/>
        </w:rPr>
      </w:pPr>
      <w:r>
        <w:rPr>
          <w:rFonts w:hint="eastAsia" w:hAnsi="宋体"/>
          <w:sz w:val="24"/>
          <w:szCs w:val="21"/>
        </w:rPr>
        <w:t>银行开户名称：________________________________________________</w:t>
      </w:r>
    </w:p>
    <w:p w14:paraId="315EC305">
      <w:pPr>
        <w:pStyle w:val="79"/>
        <w:spacing w:line="360" w:lineRule="auto"/>
        <w:ind w:firstLine="420"/>
        <w:rPr>
          <w:rFonts w:hint="eastAsia" w:hAnsi="宋体"/>
          <w:sz w:val="24"/>
          <w:szCs w:val="21"/>
        </w:rPr>
      </w:pPr>
      <w:r>
        <w:rPr>
          <w:rFonts w:hint="eastAsia" w:hAnsi="宋体"/>
          <w:sz w:val="24"/>
          <w:szCs w:val="21"/>
        </w:rPr>
        <w:t xml:space="preserve">    开户银行：_________________________________________________ </w:t>
      </w:r>
    </w:p>
    <w:p w14:paraId="1B6C645F">
      <w:pPr>
        <w:pStyle w:val="79"/>
        <w:spacing w:line="360" w:lineRule="auto"/>
        <w:ind w:firstLine="420"/>
        <w:rPr>
          <w:rFonts w:hint="eastAsia" w:hAnsi="宋体"/>
          <w:sz w:val="24"/>
          <w:szCs w:val="21"/>
        </w:rPr>
      </w:pPr>
      <w:r>
        <w:rPr>
          <w:rFonts w:hint="eastAsia" w:hAnsi="宋体"/>
          <w:sz w:val="24"/>
          <w:szCs w:val="21"/>
        </w:rPr>
        <w:t xml:space="preserve">    账    号：________________________________________________ </w:t>
      </w:r>
    </w:p>
    <w:p w14:paraId="285343EA">
      <w:pPr>
        <w:pStyle w:val="79"/>
        <w:spacing w:line="360" w:lineRule="auto"/>
        <w:ind w:firstLine="420"/>
        <w:rPr>
          <w:rFonts w:hint="eastAsia" w:hAnsi="宋体"/>
          <w:sz w:val="24"/>
          <w:szCs w:val="21"/>
        </w:rPr>
      </w:pPr>
      <w:r>
        <w:rPr>
          <w:rFonts w:hint="eastAsia" w:hAnsi="宋体"/>
          <w:sz w:val="24"/>
          <w:szCs w:val="21"/>
        </w:rPr>
        <w:t xml:space="preserve">企业详细地址：________________________________________________ </w:t>
      </w:r>
    </w:p>
    <w:p w14:paraId="1D6132B7">
      <w:pPr>
        <w:pStyle w:val="79"/>
        <w:spacing w:line="360" w:lineRule="auto"/>
        <w:ind w:firstLine="420"/>
        <w:rPr>
          <w:rFonts w:hint="eastAsia" w:hAnsi="宋体"/>
          <w:sz w:val="24"/>
          <w:szCs w:val="21"/>
        </w:rPr>
      </w:pPr>
      <w:r>
        <w:rPr>
          <w:rFonts w:hint="eastAsia" w:hAnsi="宋体"/>
          <w:sz w:val="24"/>
          <w:szCs w:val="21"/>
        </w:rPr>
        <w:t xml:space="preserve">    传    真： ________________________________________________</w:t>
      </w:r>
    </w:p>
    <w:p w14:paraId="34E34DA1">
      <w:pPr>
        <w:pStyle w:val="79"/>
        <w:spacing w:line="360" w:lineRule="auto"/>
        <w:ind w:firstLine="420"/>
        <w:rPr>
          <w:rFonts w:hint="eastAsia" w:hAnsi="宋体"/>
          <w:sz w:val="24"/>
          <w:szCs w:val="21"/>
        </w:rPr>
      </w:pPr>
      <w:r>
        <w:rPr>
          <w:rFonts w:hint="eastAsia" w:hAnsi="宋体"/>
          <w:sz w:val="24"/>
          <w:szCs w:val="21"/>
        </w:rPr>
        <w:t xml:space="preserve">    电    话： ________________________________________________</w:t>
      </w:r>
    </w:p>
    <w:p w14:paraId="0F25E758">
      <w:pPr>
        <w:pStyle w:val="79"/>
        <w:spacing w:line="360" w:lineRule="auto"/>
        <w:ind w:firstLine="420"/>
        <w:rPr>
          <w:rFonts w:hint="eastAsia" w:hAnsi="宋体"/>
          <w:sz w:val="24"/>
          <w:szCs w:val="21"/>
        </w:rPr>
      </w:pPr>
      <w:r>
        <w:rPr>
          <w:rFonts w:hint="eastAsia" w:hAnsi="宋体"/>
          <w:sz w:val="24"/>
          <w:szCs w:val="21"/>
        </w:rPr>
        <w:t xml:space="preserve">2．负责人姓名：___________________________________________ </w:t>
      </w:r>
    </w:p>
    <w:p w14:paraId="3C28C3E1">
      <w:pPr>
        <w:pStyle w:val="79"/>
        <w:spacing w:line="360" w:lineRule="auto"/>
        <w:ind w:firstLine="420"/>
        <w:rPr>
          <w:rFonts w:hint="eastAsia" w:hAnsi="宋体"/>
          <w:sz w:val="24"/>
          <w:szCs w:val="21"/>
        </w:rPr>
      </w:pPr>
      <w:r>
        <w:rPr>
          <w:rFonts w:hint="eastAsia" w:hAnsi="宋体"/>
          <w:sz w:val="24"/>
          <w:szCs w:val="21"/>
        </w:rPr>
        <w:t>3．项目联系人：姓名__________职务：______电话______手机______</w:t>
      </w:r>
    </w:p>
    <w:p w14:paraId="02EF6F53">
      <w:pPr>
        <w:pStyle w:val="79"/>
        <w:spacing w:line="360" w:lineRule="auto"/>
        <w:ind w:firstLine="420"/>
        <w:rPr>
          <w:rFonts w:hint="eastAsia" w:hAnsi="宋体"/>
          <w:sz w:val="24"/>
        </w:rPr>
      </w:pPr>
      <w:r>
        <w:rPr>
          <w:rFonts w:hint="eastAsia" w:hAnsi="宋体"/>
          <w:sz w:val="24"/>
          <w:szCs w:val="21"/>
        </w:rPr>
        <w:t>4．注册地址：________________________________________________</w:t>
      </w:r>
    </w:p>
    <w:p w14:paraId="368E7BCD">
      <w:pPr>
        <w:pStyle w:val="79"/>
        <w:spacing w:line="360" w:lineRule="auto"/>
        <w:ind w:firstLine="420"/>
        <w:rPr>
          <w:rFonts w:hint="eastAsia" w:hAnsi="宋体"/>
          <w:sz w:val="24"/>
          <w:szCs w:val="21"/>
        </w:rPr>
      </w:pPr>
      <w:r>
        <w:rPr>
          <w:rFonts w:hint="eastAsia" w:hAnsi="宋体"/>
          <w:sz w:val="24"/>
          <w:szCs w:val="21"/>
        </w:rPr>
        <w:t xml:space="preserve">5．注册资金：________________________________________________ </w:t>
      </w:r>
    </w:p>
    <w:p w14:paraId="1330273E">
      <w:pPr>
        <w:pStyle w:val="79"/>
        <w:spacing w:line="360" w:lineRule="auto"/>
        <w:ind w:firstLine="735"/>
        <w:rPr>
          <w:rFonts w:hint="eastAsia" w:hAnsi="宋体"/>
          <w:sz w:val="24"/>
          <w:szCs w:val="21"/>
        </w:rPr>
      </w:pPr>
      <w:r>
        <w:rPr>
          <w:rFonts w:hint="eastAsia" w:hAnsi="宋体"/>
          <w:sz w:val="24"/>
          <w:szCs w:val="21"/>
        </w:rPr>
        <w:t>自有资金：______________________________________________________</w:t>
      </w:r>
    </w:p>
    <w:p w14:paraId="395E2FBE">
      <w:pPr>
        <w:pStyle w:val="79"/>
        <w:spacing w:line="360" w:lineRule="auto"/>
        <w:ind w:firstLine="735"/>
        <w:rPr>
          <w:rFonts w:hint="eastAsia" w:hAnsi="宋体"/>
          <w:sz w:val="24"/>
          <w:szCs w:val="21"/>
        </w:rPr>
      </w:pPr>
      <w:r>
        <w:rPr>
          <w:rFonts w:hint="eastAsia" w:hAnsi="宋体"/>
          <w:sz w:val="24"/>
          <w:szCs w:val="21"/>
        </w:rPr>
        <w:t>企业人数：______</w:t>
      </w:r>
      <w:r>
        <w:rPr>
          <w:rFonts w:hint="eastAsia" w:hAnsi="宋体"/>
          <w:b/>
          <w:bCs/>
          <w:sz w:val="24"/>
          <w:szCs w:val="21"/>
        </w:rPr>
        <w:t>_</w:t>
      </w:r>
      <w:r>
        <w:rPr>
          <w:rFonts w:hint="eastAsia" w:hAnsi="宋体"/>
          <w:sz w:val="24"/>
          <w:szCs w:val="21"/>
        </w:rPr>
        <w:t>人</w:t>
      </w:r>
    </w:p>
    <w:p w14:paraId="6D5A6B08">
      <w:pPr>
        <w:pStyle w:val="79"/>
        <w:spacing w:line="360" w:lineRule="auto"/>
        <w:ind w:firstLine="420"/>
        <w:rPr>
          <w:rFonts w:hint="eastAsia" w:hAnsi="宋体"/>
          <w:sz w:val="24"/>
          <w:szCs w:val="21"/>
        </w:rPr>
      </w:pPr>
      <w:r>
        <w:rPr>
          <w:rFonts w:hint="eastAsia" w:hAnsi="宋体"/>
          <w:sz w:val="24"/>
          <w:szCs w:val="21"/>
        </w:rPr>
        <w:t xml:space="preserve">6．企业性质： </w:t>
      </w:r>
      <w:r>
        <w:rPr>
          <w:rFonts w:hint="eastAsia" w:hAnsi="宋体"/>
          <w:sz w:val="24"/>
          <w:szCs w:val="21"/>
          <w:u w:val="single"/>
        </w:rPr>
        <w:t xml:space="preserve">                        </w:t>
      </w:r>
      <w:r>
        <w:rPr>
          <w:rFonts w:hint="eastAsia" w:hAnsi="宋体"/>
          <w:sz w:val="24"/>
          <w:szCs w:val="21"/>
        </w:rPr>
        <w:t xml:space="preserve">   </w:t>
      </w:r>
    </w:p>
    <w:p w14:paraId="40C8F809">
      <w:pPr>
        <w:pStyle w:val="79"/>
        <w:spacing w:line="360" w:lineRule="auto"/>
        <w:ind w:firstLine="420"/>
        <w:rPr>
          <w:rFonts w:hint="eastAsia" w:hAnsi="宋体"/>
          <w:sz w:val="24"/>
          <w:szCs w:val="21"/>
        </w:rPr>
      </w:pPr>
      <w:r>
        <w:rPr>
          <w:rFonts w:hint="eastAsia" w:hAnsi="宋体"/>
          <w:sz w:val="24"/>
          <w:szCs w:val="21"/>
        </w:rPr>
        <w:t xml:space="preserve">7．主要经营地点：________________________________________________ </w:t>
      </w:r>
    </w:p>
    <w:p w14:paraId="78E03AEC">
      <w:pPr>
        <w:pStyle w:val="79"/>
        <w:spacing w:line="360" w:lineRule="auto"/>
        <w:ind w:firstLine="420"/>
        <w:rPr>
          <w:rFonts w:hint="eastAsia" w:hAnsi="宋体"/>
          <w:sz w:val="24"/>
          <w:szCs w:val="21"/>
        </w:rPr>
      </w:pPr>
      <w:r>
        <w:rPr>
          <w:rFonts w:hint="eastAsia" w:hAnsi="宋体"/>
          <w:sz w:val="24"/>
          <w:szCs w:val="21"/>
        </w:rPr>
        <w:t>如有派出机构，请列出名称及详细通讯地址如下：________________</w:t>
      </w:r>
    </w:p>
    <w:p w14:paraId="4D415EC7">
      <w:pPr>
        <w:pStyle w:val="79"/>
        <w:spacing w:line="360" w:lineRule="auto"/>
        <w:ind w:firstLine="480" w:firstLineChars="200"/>
        <w:rPr>
          <w:rFonts w:hint="eastAsia" w:hAnsi="宋体"/>
          <w:sz w:val="24"/>
          <w:szCs w:val="21"/>
        </w:rPr>
      </w:pPr>
      <w:r>
        <w:rPr>
          <w:rFonts w:hint="eastAsia" w:hAnsi="宋体"/>
          <w:sz w:val="24"/>
          <w:szCs w:val="21"/>
        </w:rPr>
        <w:t>兹证明上述声明是真实、正确的，并提供了全部能提供的资料和数据，我们同意遵照贵方要求出示有关证明文件。</w:t>
      </w:r>
    </w:p>
    <w:p w14:paraId="5FDDD9A0">
      <w:pPr>
        <w:pStyle w:val="5"/>
        <w:spacing w:line="360" w:lineRule="auto"/>
        <w:ind w:firstLine="0"/>
        <w:rPr>
          <w:rFonts w:hint="eastAsia" w:ascii="宋体" w:hAnsi="宋体"/>
          <w:sz w:val="24"/>
        </w:rPr>
      </w:pPr>
      <w:r>
        <w:rPr>
          <w:rFonts w:hint="eastAsia" w:ascii="宋体" w:hAnsi="宋体"/>
          <w:sz w:val="24"/>
          <w:szCs w:val="21"/>
        </w:rPr>
        <w:t xml:space="preserve">  </w:t>
      </w:r>
    </w:p>
    <w:p w14:paraId="5CF2A717">
      <w:pPr>
        <w:pStyle w:val="17"/>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5</w:t>
      </w:r>
      <w:r>
        <w:rPr>
          <w:rFonts w:hint="eastAsia" w:hAnsi="宋体"/>
          <w:b/>
          <w:sz w:val="32"/>
        </w:rPr>
        <w:t>.无重大违法记录声明书</w:t>
      </w:r>
      <w:bookmarkEnd w:id="377"/>
    </w:p>
    <w:p w14:paraId="640100A2">
      <w:pPr>
        <w:pStyle w:val="68"/>
        <w:spacing w:before="240" w:beforeLines="100" w:line="480" w:lineRule="auto"/>
        <w:rPr>
          <w:rFonts w:hint="eastAsia" w:ascii="宋体" w:hAnsi="宋体"/>
          <w:spacing w:val="6"/>
          <w:sz w:val="24"/>
        </w:rPr>
      </w:pPr>
      <w:r>
        <w:rPr>
          <w:rFonts w:hint="eastAsia" w:ascii="宋体" w:hAnsi="宋体"/>
          <w:sz w:val="24"/>
          <w:u w:val="single"/>
        </w:rPr>
        <w:t>（代理机构名称）</w:t>
      </w:r>
      <w:r>
        <w:rPr>
          <w:rFonts w:hint="eastAsia" w:ascii="宋体" w:hAnsi="宋体"/>
          <w:spacing w:val="6"/>
          <w:sz w:val="24"/>
        </w:rPr>
        <w:t>：</w:t>
      </w:r>
    </w:p>
    <w:p w14:paraId="15823A8B">
      <w:pPr>
        <w:pStyle w:val="68"/>
        <w:spacing w:before="120" w:beforeLines="50" w:line="480" w:lineRule="auto"/>
        <w:ind w:firstLine="504" w:firstLineChars="200"/>
        <w:rPr>
          <w:rFonts w:hint="eastAsia" w:ascii="宋体" w:hAnsi="宋体"/>
          <w:spacing w:val="6"/>
          <w:sz w:val="24"/>
        </w:rPr>
      </w:pPr>
      <w:r>
        <w:rPr>
          <w:rFonts w:hint="eastAsia" w:ascii="宋体" w:hAnsi="宋体"/>
          <w:spacing w:val="6"/>
          <w:sz w:val="24"/>
        </w:rPr>
        <w:t xml:space="preserve"> 我方参与的</w:t>
      </w:r>
      <w:r>
        <w:rPr>
          <w:rFonts w:hint="eastAsia" w:ascii="宋体" w:hAnsi="宋体"/>
          <w:spacing w:val="6"/>
          <w:sz w:val="24"/>
          <w:u w:val="single"/>
        </w:rPr>
        <w:t xml:space="preserve">                         </w:t>
      </w:r>
      <w:r>
        <w:rPr>
          <w:rFonts w:hint="eastAsia" w:ascii="宋体" w:hAnsi="宋体"/>
          <w:spacing w:val="6"/>
          <w:sz w:val="24"/>
        </w:rPr>
        <w:t>（采购项目名称）（采购编号：</w:t>
      </w:r>
      <w:r>
        <w:rPr>
          <w:rFonts w:hint="eastAsia" w:ascii="宋体" w:hAnsi="宋体"/>
          <w:spacing w:val="6"/>
          <w:sz w:val="24"/>
          <w:u w:val="single"/>
        </w:rPr>
        <w:t>　　  　　</w:t>
      </w:r>
      <w:r>
        <w:rPr>
          <w:rFonts w:hint="eastAsia" w:ascii="宋体" w:hAnsi="宋体"/>
          <w:spacing w:val="6"/>
          <w:sz w:val="24"/>
        </w:rPr>
        <w:t>）项目的磋商活动，我方郑重声明，我方参加本项目磋商活动前三年内无重大违法记录</w:t>
      </w:r>
      <w:r>
        <w:rPr>
          <w:rFonts w:hint="eastAsia" w:ascii="宋体" w:hAnsi="宋体"/>
          <w:b/>
          <w:spacing w:val="6"/>
          <w:sz w:val="24"/>
        </w:rPr>
        <w:t>（重大违法记录是指供应商因违法经营受到刑事处罚或者责令停产停业、吊销许可证或者执照、较大数额罚款等行政处罚），</w:t>
      </w:r>
      <w:r>
        <w:rPr>
          <w:rFonts w:hint="eastAsia" w:ascii="宋体" w:hAnsi="宋体"/>
          <w:spacing w:val="6"/>
          <w:sz w:val="24"/>
        </w:rPr>
        <w:t>符合《中华人民共和国政府采购法》《中华人民共和国政府采购法实施条例》的规定。我方对此声明负全部法律责任。</w:t>
      </w:r>
    </w:p>
    <w:p w14:paraId="400CAB5B">
      <w:pPr>
        <w:pStyle w:val="68"/>
        <w:spacing w:line="480" w:lineRule="auto"/>
        <w:ind w:firstLine="504" w:firstLineChars="200"/>
        <w:rPr>
          <w:rFonts w:hint="eastAsia" w:ascii="宋体" w:hAnsi="宋体"/>
          <w:spacing w:val="6"/>
          <w:sz w:val="24"/>
        </w:rPr>
      </w:pPr>
      <w:r>
        <w:rPr>
          <w:rFonts w:hint="eastAsia" w:ascii="宋体" w:hAnsi="宋体"/>
          <w:spacing w:val="6"/>
          <w:sz w:val="24"/>
        </w:rPr>
        <w:tab/>
      </w:r>
      <w:r>
        <w:rPr>
          <w:rFonts w:hint="eastAsia" w:ascii="宋体" w:hAnsi="宋体"/>
          <w:spacing w:val="6"/>
          <w:sz w:val="24"/>
        </w:rPr>
        <w:t>特此声明。</w:t>
      </w:r>
    </w:p>
    <w:p w14:paraId="41169920">
      <w:pPr>
        <w:pStyle w:val="67"/>
        <w:jc w:val="center"/>
        <w:rPr>
          <w:rFonts w:hint="eastAsia" w:hAnsi="宋体"/>
          <w:sz w:val="30"/>
        </w:rPr>
      </w:pPr>
    </w:p>
    <w:p w14:paraId="1AFD3D04">
      <w:pPr>
        <w:widowControl/>
        <w:spacing w:line="480" w:lineRule="auto"/>
        <w:jc w:val="center"/>
        <w:rPr>
          <w:rFonts w:hint="eastAsia" w:ascii="宋体" w:hAnsi="宋体"/>
          <w:b/>
          <w:sz w:val="30"/>
        </w:rPr>
      </w:pPr>
    </w:p>
    <w:p w14:paraId="001A7482">
      <w:pPr>
        <w:widowControl/>
        <w:spacing w:line="480" w:lineRule="auto"/>
        <w:jc w:val="center"/>
        <w:rPr>
          <w:rFonts w:hint="eastAsia" w:ascii="宋体" w:hAnsi="宋体"/>
          <w:b/>
          <w:sz w:val="30"/>
        </w:rPr>
      </w:pPr>
    </w:p>
    <w:p w14:paraId="11F45F98">
      <w:pPr>
        <w:widowControl/>
        <w:spacing w:line="480" w:lineRule="auto"/>
        <w:jc w:val="center"/>
        <w:rPr>
          <w:rFonts w:hint="eastAsia" w:ascii="宋体" w:hAnsi="宋体"/>
          <w:b/>
          <w:sz w:val="30"/>
        </w:rPr>
      </w:pPr>
    </w:p>
    <w:p w14:paraId="6703FED1">
      <w:pPr>
        <w:widowControl/>
        <w:spacing w:line="480" w:lineRule="auto"/>
        <w:jc w:val="center"/>
        <w:rPr>
          <w:rFonts w:hint="eastAsia" w:ascii="宋体" w:hAnsi="宋体"/>
          <w:b/>
          <w:sz w:val="30"/>
        </w:rPr>
      </w:pPr>
    </w:p>
    <w:p w14:paraId="1F5393C4">
      <w:pPr>
        <w:widowControl/>
        <w:spacing w:line="480" w:lineRule="auto"/>
        <w:jc w:val="center"/>
        <w:rPr>
          <w:rFonts w:hint="eastAsia" w:ascii="宋体" w:hAnsi="宋体"/>
          <w:b/>
          <w:sz w:val="30"/>
        </w:rPr>
      </w:pPr>
    </w:p>
    <w:p w14:paraId="64588B36">
      <w:pPr>
        <w:widowControl/>
        <w:spacing w:line="480" w:lineRule="auto"/>
        <w:jc w:val="center"/>
        <w:rPr>
          <w:rFonts w:hint="eastAsia" w:ascii="宋体" w:hAnsi="宋体"/>
          <w:b/>
          <w:sz w:val="30"/>
        </w:rPr>
      </w:pPr>
    </w:p>
    <w:p w14:paraId="33E17B9F">
      <w:pPr>
        <w:pStyle w:val="67"/>
        <w:spacing w:line="480" w:lineRule="auto"/>
      </w:pPr>
    </w:p>
    <w:p w14:paraId="6C5056E7">
      <w:pPr>
        <w:widowControl/>
        <w:spacing w:line="480" w:lineRule="auto"/>
        <w:jc w:val="center"/>
      </w:pPr>
      <w:r>
        <w:br w:type="page"/>
      </w:r>
    </w:p>
    <w:p w14:paraId="6122DB72">
      <w:pPr>
        <w:pStyle w:val="4"/>
        <w:tabs>
          <w:tab w:val="left" w:pos="3405"/>
        </w:tabs>
        <w:ind w:firstLine="321" w:firstLineChars="100"/>
        <w:jc w:val="center"/>
        <w:rPr>
          <w:rFonts w:hint="eastAsia" w:ascii="宋体" w:hAnsi="宋体"/>
          <w:sz w:val="32"/>
        </w:rPr>
        <w:sectPr>
          <w:headerReference r:id="rId9" w:type="default"/>
          <w:footerReference r:id="rId10" w:type="default"/>
          <w:pgSz w:w="11906" w:h="16838"/>
          <w:pgMar w:top="1588" w:right="1304"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78" w:name="_Toc13561"/>
      <w:bookmarkStart w:id="379" w:name="_Toc94277260"/>
      <w:bookmarkStart w:id="380" w:name="_Toc386467624"/>
    </w:p>
    <w:p w14:paraId="11498440">
      <w:pPr>
        <w:widowControl/>
        <w:spacing w:line="480" w:lineRule="auto"/>
        <w:jc w:val="center"/>
        <w:rPr>
          <w:rFonts w:hint="eastAsia" w:ascii="宋体" w:hAnsi="宋体" w:cs="宋体"/>
          <w:b/>
          <w:sz w:val="30"/>
        </w:rPr>
      </w:pPr>
      <w:r>
        <w:rPr>
          <w:rFonts w:hint="eastAsia" w:ascii="宋体" w:hAnsi="宋体" w:cs="宋体"/>
          <w:b/>
          <w:sz w:val="32"/>
        </w:rPr>
        <w:t>▲</w:t>
      </w:r>
      <w:r>
        <w:rPr>
          <w:rFonts w:hint="eastAsia" w:ascii="宋体" w:hAnsi="宋体" w:cs="宋体"/>
          <w:b/>
          <w:sz w:val="32"/>
          <w:lang w:val="en-US" w:eastAsia="zh-CN"/>
        </w:rPr>
        <w:t>6</w:t>
      </w:r>
      <w:r>
        <w:rPr>
          <w:rFonts w:hint="eastAsia" w:ascii="宋体" w:hAnsi="宋体" w:cs="宋体"/>
          <w:b/>
          <w:sz w:val="30"/>
        </w:rPr>
        <w:t>.企业类型声明函</w:t>
      </w:r>
    </w:p>
    <w:p w14:paraId="4C634AF0">
      <w:pPr>
        <w:widowControl/>
        <w:spacing w:line="480" w:lineRule="auto"/>
        <w:jc w:val="center"/>
        <w:rPr>
          <w:rFonts w:hint="eastAsia" w:ascii="宋体" w:hAnsi="宋体" w:cs="宋体"/>
          <w:sz w:val="30"/>
        </w:rPr>
      </w:pPr>
      <w:r>
        <w:rPr>
          <w:rFonts w:hint="eastAsia" w:ascii="宋体" w:hAnsi="宋体" w:cs="宋体"/>
          <w:b/>
          <w:sz w:val="30"/>
          <w:lang w:val="en-US" w:eastAsia="zh-CN"/>
        </w:rPr>
        <w:t>6</w:t>
      </w:r>
      <w:r>
        <w:rPr>
          <w:rFonts w:hint="eastAsia" w:ascii="宋体" w:hAnsi="宋体" w:cs="宋体"/>
          <w:b/>
          <w:sz w:val="30"/>
        </w:rPr>
        <w:t>.1</w:t>
      </w:r>
      <w:r>
        <w:rPr>
          <w:rFonts w:hint="eastAsia" w:ascii="宋体" w:hAnsi="宋体" w:cs="宋体"/>
          <w:b/>
          <w:bCs/>
          <w:sz w:val="30"/>
        </w:rPr>
        <w:t>中小企业声明函（服务）</w:t>
      </w:r>
    </w:p>
    <w:p w14:paraId="183EC22A">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采购活动，工程的施工单位全部为符合政策要求的中小企业（或者：服务全部由符合政策要求的中小企业承接）。相关企业的具体情况如下：</w:t>
      </w:r>
    </w:p>
    <w:p w14:paraId="3AAB8B17">
      <w:pPr>
        <w:spacing w:line="360" w:lineRule="auto"/>
        <w:ind w:firstLine="480" w:firstLineChars="200"/>
        <w:rPr>
          <w:rFonts w:hint="eastAsia" w:ascii="宋体" w:hAnsi="宋体" w:cs="宋体"/>
          <w:sz w:val="24"/>
        </w:rPr>
      </w:pPr>
    </w:p>
    <w:p w14:paraId="6203D64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 xml:space="preserve">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（中型企业或小型企业或微型企业，三选一进行承诺）</w:t>
      </w:r>
      <w:r>
        <w:rPr>
          <w:rFonts w:hint="eastAsia" w:ascii="宋体" w:hAnsi="宋体" w:cs="宋体"/>
          <w:sz w:val="24"/>
        </w:rPr>
        <w:t xml:space="preserve">； </w:t>
      </w:r>
    </w:p>
    <w:p w14:paraId="48407BB2">
      <w:pPr>
        <w:spacing w:line="360" w:lineRule="auto"/>
        <w:ind w:firstLine="480" w:firstLineChars="200"/>
        <w:rPr>
          <w:rFonts w:hint="eastAsia" w:ascii="宋体" w:hAnsi="宋体" w:cs="宋体"/>
          <w:sz w:val="24"/>
        </w:rPr>
      </w:pPr>
    </w:p>
    <w:p w14:paraId="6CD638F3">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153A195">
      <w:pPr>
        <w:pStyle w:val="107"/>
        <w:spacing w:line="40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06AD321">
      <w:pPr>
        <w:pStyle w:val="107"/>
        <w:spacing w:line="360" w:lineRule="auto"/>
        <w:ind w:firstLine="504"/>
        <w:rPr>
          <w:rFonts w:hint="eastAsia" w:ascii="宋体" w:hAnsi="宋体" w:cs="宋体"/>
          <w:spacing w:val="6"/>
          <w:sz w:val="24"/>
        </w:rPr>
      </w:pPr>
    </w:p>
    <w:p w14:paraId="0D327886">
      <w:pPr>
        <w:pStyle w:val="17"/>
        <w:ind w:firstLine="422" w:firstLineChars="200"/>
        <w:rPr>
          <w:rFonts w:hint="eastAsia" w:hAnsi="宋体" w:cs="宋体"/>
          <w:b/>
          <w:bCs/>
          <w:kern w:val="0"/>
          <w:szCs w:val="21"/>
          <w:lang w:bidi="ar"/>
        </w:rPr>
      </w:pPr>
    </w:p>
    <w:p w14:paraId="24DE1D4F">
      <w:pPr>
        <w:pStyle w:val="17"/>
        <w:ind w:firstLine="422" w:firstLineChars="200"/>
        <w:rPr>
          <w:rFonts w:hint="eastAsia" w:hAnsi="宋体" w:cs="宋体"/>
          <w:b/>
          <w:bCs/>
          <w:color w:val="auto"/>
          <w:kern w:val="0"/>
          <w:szCs w:val="21"/>
          <w:highlight w:val="none"/>
          <w:lang w:bidi="ar"/>
        </w:rPr>
      </w:pPr>
      <w:r>
        <w:rPr>
          <w:rFonts w:hint="eastAsia" w:hAnsi="宋体" w:cs="宋体"/>
          <w:b/>
          <w:bCs/>
          <w:color w:val="auto"/>
          <w:kern w:val="0"/>
          <w:szCs w:val="21"/>
          <w:highlight w:val="none"/>
          <w:lang w:bidi="ar"/>
        </w:rPr>
        <w:t>注：</w:t>
      </w:r>
    </w:p>
    <w:p w14:paraId="7E8E1380">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8CB4D24">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2.其他未列明行业划分标准。从业人员300人以下的为中小微型企业。其中，从业人员100人及以上的为中型企业；从业人员10人及以上的为小型企业；从业人员10人以下的为微型企业。</w:t>
      </w:r>
    </w:p>
    <w:p w14:paraId="309C3994">
      <w:pPr>
        <w:pStyle w:val="17"/>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3.资格审查中（适用于专门面向中小企业项目），</w:t>
      </w:r>
      <w:bookmarkStart w:id="381" w:name="OLE_LINK29"/>
      <w:bookmarkStart w:id="382" w:name="OLE_LINK30"/>
      <w:r>
        <w:rPr>
          <w:rFonts w:hint="eastAsia" w:hAnsi="宋体" w:cs="宋体"/>
          <w:b/>
          <w:bCs/>
          <w:color w:val="auto"/>
          <w:kern w:val="0"/>
          <w:szCs w:val="21"/>
          <w:highlight w:val="none"/>
          <w:shd w:val="clear" w:color="FFFFFF" w:fill="D9D9D9"/>
          <w:lang w:bidi="ar"/>
        </w:rPr>
        <w:t>发现</w:t>
      </w:r>
      <w:bookmarkStart w:id="383" w:name="OLE_LINK22"/>
      <w:r>
        <w:rPr>
          <w:rFonts w:hint="eastAsia" w:hAnsi="宋体" w:cs="宋体"/>
          <w:b/>
          <w:bCs/>
          <w:color w:val="auto"/>
          <w:kern w:val="0"/>
          <w:szCs w:val="21"/>
          <w:highlight w:val="none"/>
          <w:shd w:val="clear" w:color="FFFFFF" w:fill="D9D9D9"/>
          <w:lang w:bidi="ar"/>
        </w:rPr>
        <w:t>《中小企业声明函》</w:t>
      </w:r>
      <w:bookmarkEnd w:id="383"/>
      <w:r>
        <w:rPr>
          <w:rFonts w:hint="eastAsia" w:hAnsi="宋体" w:cs="宋体"/>
          <w:b/>
          <w:bCs/>
          <w:color w:val="auto"/>
          <w:kern w:val="0"/>
          <w:szCs w:val="21"/>
          <w:highlight w:val="none"/>
          <w:shd w:val="clear" w:color="FFFFFF" w:fill="D9D9D9"/>
          <w:lang w:bidi="ar"/>
        </w:rPr>
        <w:t>填写有以下情形的</w:t>
      </w:r>
      <w:bookmarkEnd w:id="381"/>
      <w:bookmarkEnd w:id="382"/>
      <w:r>
        <w:rPr>
          <w:rFonts w:hint="eastAsia" w:hAnsi="宋体" w:cs="宋体"/>
          <w:b/>
          <w:bCs/>
          <w:color w:val="auto"/>
          <w:kern w:val="0"/>
          <w:szCs w:val="21"/>
          <w:highlight w:val="none"/>
          <w:shd w:val="clear" w:color="FFFFFF" w:fill="D9D9D9"/>
          <w:lang w:bidi="ar"/>
        </w:rPr>
        <w:t>，作资格审查不通过（即无效标）处理：</w:t>
      </w:r>
    </w:p>
    <w:p w14:paraId="01C9705C">
      <w:pPr>
        <w:pStyle w:val="17"/>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（1）企业类型填写错误的；</w:t>
      </w:r>
    </w:p>
    <w:p w14:paraId="6264398A">
      <w:pPr>
        <w:pStyle w:val="17"/>
        <w:spacing w:line="360" w:lineRule="auto"/>
        <w:ind w:firstLine="422" w:firstLineChars="200"/>
        <w:rPr>
          <w:rFonts w:hint="eastAsia" w:hAnsi="宋体" w:eastAsia="宋体" w:cs="宋体"/>
          <w:b/>
          <w:bCs/>
          <w:color w:val="auto"/>
          <w:kern w:val="0"/>
          <w:szCs w:val="21"/>
          <w:highlight w:val="none"/>
          <w:shd w:val="clear" w:color="FFFFFF" w:fill="D9D9D9"/>
          <w:lang w:eastAsia="zh-CN" w:bidi="ar"/>
        </w:rPr>
      </w:pPr>
      <w:r>
        <w:rPr>
          <w:rFonts w:hint="eastAsia" w:hAnsi="宋体" w:cs="宋体"/>
          <w:b/>
          <w:bCs/>
          <w:color w:val="auto"/>
          <w:kern w:val="0"/>
          <w:szCs w:val="21"/>
          <w:highlight w:val="none"/>
          <w:shd w:val="clear" w:color="FFFFFF" w:fill="D9D9D9"/>
          <w:lang w:bidi="ar"/>
        </w:rPr>
        <w:t>（2）填写行业明显错误（错填为“采购文件确定的行业”的除外）或者未填写行业的</w:t>
      </w:r>
      <w:r>
        <w:rPr>
          <w:rFonts w:hint="eastAsia" w:hAnsi="宋体" w:cs="宋体"/>
          <w:b/>
          <w:bCs/>
          <w:color w:val="auto"/>
          <w:kern w:val="0"/>
          <w:szCs w:val="21"/>
          <w:highlight w:val="none"/>
          <w:shd w:val="clear" w:color="FFFFFF" w:fill="D9D9D9"/>
          <w:lang w:eastAsia="zh-CN" w:bidi="ar"/>
        </w:rPr>
        <w:t>。</w:t>
      </w:r>
    </w:p>
    <w:p w14:paraId="55F4BE5C">
      <w:pPr>
        <w:pStyle w:val="75"/>
        <w:spacing w:line="440" w:lineRule="exact"/>
        <w:ind w:firstLine="5320" w:firstLineChars="1900"/>
        <w:rPr>
          <w:rFonts w:hint="eastAsia" w:ascii="宋体" w:hAnsi="宋体" w:cs="宋体"/>
          <w:spacing w:val="20"/>
          <w:sz w:val="24"/>
          <w:szCs w:val="21"/>
        </w:rPr>
      </w:pPr>
    </w:p>
    <w:p w14:paraId="4EF749D2">
      <w:pPr>
        <w:pStyle w:val="75"/>
        <w:spacing w:line="440" w:lineRule="exact"/>
        <w:ind w:firstLine="5320" w:firstLineChars="1900"/>
        <w:rPr>
          <w:rFonts w:hint="eastAsia" w:ascii="宋体" w:hAnsi="宋体" w:cs="宋体"/>
          <w:spacing w:val="20"/>
          <w:sz w:val="24"/>
          <w:szCs w:val="21"/>
        </w:rPr>
      </w:pPr>
    </w:p>
    <w:p w14:paraId="7FD7D028">
      <w:pPr>
        <w:pStyle w:val="75"/>
        <w:spacing w:line="440" w:lineRule="exact"/>
        <w:ind w:firstLine="5320" w:firstLineChars="1900"/>
        <w:rPr>
          <w:rFonts w:hint="eastAsia" w:ascii="宋体" w:hAnsi="宋体" w:cs="宋体"/>
          <w:spacing w:val="20"/>
          <w:sz w:val="24"/>
          <w:szCs w:val="21"/>
        </w:rPr>
      </w:pPr>
    </w:p>
    <w:p w14:paraId="15598AB1">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272A5B07">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1EF2F443">
      <w:pPr>
        <w:pStyle w:val="17"/>
        <w:spacing w:line="360" w:lineRule="auto"/>
        <w:jc w:val="center"/>
        <w:rPr>
          <w:rFonts w:hint="eastAsia" w:hAnsi="宋体" w:cs="宋体"/>
          <w:sz w:val="30"/>
        </w:rPr>
      </w:pPr>
      <w:r>
        <w:rPr>
          <w:rFonts w:hint="eastAsia" w:hAnsi="宋体" w:cs="宋体"/>
          <w:b/>
          <w:bCs/>
          <w:sz w:val="30"/>
        </w:rPr>
        <w:br w:type="page"/>
      </w:r>
      <w:r>
        <w:rPr>
          <w:rFonts w:hint="eastAsia" w:hAnsi="宋体" w:cs="宋体"/>
          <w:b/>
          <w:bCs/>
          <w:sz w:val="30"/>
          <w:lang w:val="en-US" w:eastAsia="zh-CN"/>
        </w:rPr>
        <w:t>6</w:t>
      </w:r>
      <w:r>
        <w:rPr>
          <w:rFonts w:hint="eastAsia" w:hAnsi="宋体" w:cs="宋体"/>
          <w:b/>
          <w:sz w:val="30"/>
          <w:szCs w:val="24"/>
        </w:rPr>
        <w:t>.2残疾人福利性单位声明函</w:t>
      </w:r>
    </w:p>
    <w:p w14:paraId="69916436">
      <w:pPr>
        <w:pStyle w:val="125"/>
        <w:spacing w:line="360" w:lineRule="auto"/>
        <w:ind w:firstLine="601"/>
        <w:rPr>
          <w:rFonts w:hint="eastAsia"/>
          <w:kern w:val="2"/>
        </w:rPr>
      </w:pPr>
      <w:r>
        <w:rPr>
          <w:rFonts w:hint="eastAsia"/>
          <w:kern w:val="2"/>
        </w:rPr>
        <w:t>本单位郑重声明，根据《财政部 民政部 中国残疾人联合会关于促进残疾人就业政府采购政策的通知》（财库〔2017〕141号）的规定，本单位为符合条件的残疾人福利性单位，且本单位参加</w:t>
      </w:r>
      <w:r>
        <w:rPr>
          <w:rFonts w:hint="eastAsia"/>
          <w:kern w:val="2"/>
          <w:u w:val="single"/>
        </w:rPr>
        <w:t xml:space="preserve">        </w:t>
      </w:r>
      <w:r>
        <w:rPr>
          <w:rFonts w:hint="eastAsia"/>
          <w:kern w:val="2"/>
        </w:rPr>
        <w:t>单位的</w:t>
      </w:r>
      <w:r>
        <w:rPr>
          <w:rFonts w:hint="eastAsia"/>
          <w:kern w:val="2"/>
          <w:u w:val="single"/>
        </w:rPr>
        <w:t xml:space="preserve">       </w:t>
      </w:r>
      <w:r>
        <w:rPr>
          <w:rFonts w:hint="eastAsia"/>
          <w:kern w:val="2"/>
        </w:rPr>
        <w:t>项目采购活动提供本单位制造的货物（由本单位承担工程/提供服务），或者提供其他残疾人福利性单位制造的货物（不包括使用非残疾人福利性单位注册商标的货物）。</w:t>
      </w:r>
    </w:p>
    <w:p w14:paraId="09BE5C76">
      <w:pPr>
        <w:pStyle w:val="125"/>
        <w:spacing w:line="360" w:lineRule="auto"/>
        <w:ind w:firstLine="600"/>
        <w:rPr>
          <w:rFonts w:hint="eastAsia"/>
          <w:spacing w:val="6"/>
        </w:rPr>
      </w:pPr>
      <w:r>
        <w:rPr>
          <w:rFonts w:hint="eastAsia"/>
          <w:kern w:val="2"/>
        </w:rPr>
        <w:t>本单位对上述声明的真实性负责。如有虚假，将依法承担相应责任。</w:t>
      </w:r>
    </w:p>
    <w:p w14:paraId="66EDE378">
      <w:pPr>
        <w:pStyle w:val="75"/>
        <w:spacing w:line="440" w:lineRule="exact"/>
        <w:ind w:firstLine="5320" w:firstLineChars="1900"/>
        <w:rPr>
          <w:rFonts w:hint="eastAsia" w:ascii="宋体" w:hAnsi="宋体" w:cs="宋体"/>
          <w:spacing w:val="20"/>
          <w:sz w:val="24"/>
        </w:rPr>
      </w:pPr>
    </w:p>
    <w:p w14:paraId="4F3C732C">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5D1B2D22">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69F5C7F">
      <w:pPr>
        <w:spacing w:line="360" w:lineRule="auto"/>
        <w:jc w:val="center"/>
        <w:rPr>
          <w:rFonts w:hint="eastAsia" w:ascii="宋体" w:hAnsi="宋体" w:cs="宋体"/>
          <w:spacing w:val="6"/>
          <w:sz w:val="30"/>
          <w:szCs w:val="30"/>
        </w:rPr>
      </w:pPr>
    </w:p>
    <w:p w14:paraId="5AAC6A99">
      <w:pPr>
        <w:spacing w:line="360" w:lineRule="auto"/>
        <w:jc w:val="center"/>
        <w:rPr>
          <w:rFonts w:hint="eastAsia" w:ascii="宋体" w:hAnsi="宋体" w:cs="宋体"/>
          <w:spacing w:val="6"/>
          <w:sz w:val="30"/>
          <w:szCs w:val="30"/>
        </w:rPr>
      </w:pPr>
    </w:p>
    <w:p w14:paraId="2382502B">
      <w:pPr>
        <w:spacing w:line="360" w:lineRule="auto"/>
        <w:ind w:firstLine="602" w:firstLineChars="200"/>
        <w:jc w:val="center"/>
        <w:rPr>
          <w:rFonts w:hint="eastAsia" w:ascii="宋体" w:hAnsi="宋体" w:cs="宋体"/>
          <w:b/>
          <w:sz w:val="30"/>
        </w:rPr>
      </w:pPr>
      <w:r>
        <w:rPr>
          <w:rFonts w:hint="eastAsia" w:ascii="宋体" w:hAnsi="宋体" w:cs="宋体"/>
          <w:b/>
          <w:sz w:val="30"/>
          <w:lang w:val="en-US" w:eastAsia="zh-CN"/>
        </w:rPr>
        <w:t>6</w:t>
      </w:r>
      <w:r>
        <w:rPr>
          <w:rFonts w:hint="eastAsia" w:ascii="宋体" w:hAnsi="宋体" w:cs="宋体"/>
          <w:b/>
          <w:sz w:val="30"/>
        </w:rPr>
        <w:t>.3监狱企业证明</w:t>
      </w:r>
    </w:p>
    <w:p w14:paraId="594A3A44">
      <w:pPr>
        <w:pStyle w:val="5"/>
        <w:spacing w:line="360" w:lineRule="auto"/>
        <w:ind w:left="210" w:right="195" w:firstLine="600"/>
        <w:jc w:val="center"/>
        <w:rPr>
          <w:rFonts w:hint="eastAsia" w:ascii="宋体" w:hAnsi="宋体" w:cs="宋体"/>
          <w:sz w:val="24"/>
          <w:szCs w:val="24"/>
        </w:rPr>
      </w:pPr>
    </w:p>
    <w:p w14:paraId="0FAA28D5">
      <w:pPr>
        <w:pStyle w:val="5"/>
        <w:spacing w:line="360" w:lineRule="auto"/>
        <w:ind w:left="210" w:right="195" w:firstLine="482" w:firstLineChars="200"/>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0DED3CF6">
      <w:pPr>
        <w:widowControl/>
        <w:spacing w:line="480" w:lineRule="auto"/>
        <w:rPr>
          <w:rFonts w:hint="eastAsia" w:ascii="宋体" w:hAnsi="宋体" w:cs="宋体"/>
          <w:spacing w:val="20"/>
          <w:sz w:val="24"/>
          <w:u w:val="single"/>
        </w:rPr>
      </w:pPr>
    </w:p>
    <w:p w14:paraId="61486B14">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3240C392">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99B81B1">
      <w:pPr>
        <w:pStyle w:val="4"/>
        <w:tabs>
          <w:tab w:val="left" w:pos="3405"/>
        </w:tabs>
        <w:ind w:firstLine="241" w:firstLineChars="100"/>
        <w:jc w:val="center"/>
        <w:rPr>
          <w:rFonts w:hint="eastAsia" w:ascii="宋体" w:hAnsi="宋体"/>
          <w:sz w:val="24"/>
          <w:szCs w:val="24"/>
        </w:rPr>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8EB03E7">
      <w:pPr>
        <w:pStyle w:val="4"/>
        <w:tabs>
          <w:tab w:val="left" w:pos="3405"/>
        </w:tabs>
        <w:ind w:firstLine="321" w:firstLineChars="100"/>
        <w:jc w:val="center"/>
        <w:rPr>
          <w:rFonts w:hint="eastAsia" w:ascii="宋体" w:hAnsi="宋体"/>
          <w:sz w:val="32"/>
        </w:rPr>
      </w:pPr>
      <w:bookmarkStart w:id="384" w:name="_Toc27192"/>
      <w:bookmarkStart w:id="385" w:name="_Toc26567"/>
    </w:p>
    <w:p w14:paraId="5DCB5258">
      <w:pPr>
        <w:pStyle w:val="4"/>
        <w:tabs>
          <w:tab w:val="left" w:pos="3405"/>
        </w:tabs>
        <w:ind w:firstLine="321" w:firstLineChars="100"/>
        <w:jc w:val="center"/>
        <w:rPr>
          <w:rFonts w:hint="eastAsia" w:ascii="宋体" w:hAnsi="宋体"/>
        </w:rPr>
      </w:pPr>
      <w:bookmarkStart w:id="386" w:name="_Toc10878"/>
      <w:bookmarkStart w:id="387" w:name="_Toc32481"/>
      <w:r>
        <w:rPr>
          <w:rFonts w:hint="eastAsia" w:ascii="宋体" w:hAnsi="宋体"/>
          <w:sz w:val="32"/>
        </w:rPr>
        <w:t>二  商务技术文件格式</w:t>
      </w:r>
      <w:bookmarkEnd w:id="378"/>
      <w:bookmarkEnd w:id="379"/>
      <w:bookmarkEnd w:id="380"/>
      <w:bookmarkEnd w:id="384"/>
      <w:bookmarkEnd w:id="385"/>
      <w:bookmarkEnd w:id="386"/>
      <w:bookmarkEnd w:id="387"/>
    </w:p>
    <w:bookmarkEnd w:id="365"/>
    <w:bookmarkEnd w:id="366"/>
    <w:bookmarkEnd w:id="367"/>
    <w:bookmarkEnd w:id="368"/>
    <w:p w14:paraId="5C22DB4D">
      <w:pPr>
        <w:spacing w:line="360" w:lineRule="auto"/>
        <w:jc w:val="center"/>
        <w:rPr>
          <w:rFonts w:hint="eastAsia" w:ascii="宋体" w:hAnsi="宋体"/>
          <w:b/>
          <w:sz w:val="30"/>
        </w:rPr>
      </w:pPr>
      <w:r>
        <w:rPr>
          <w:rFonts w:ascii="宋体" w:hAnsi="宋体"/>
          <w:b/>
          <w:sz w:val="30"/>
        </w:rPr>
        <w:br w:type="page"/>
      </w:r>
    </w:p>
    <w:p w14:paraId="4043F0F0">
      <w:pPr>
        <w:spacing w:line="360" w:lineRule="auto"/>
        <w:jc w:val="center"/>
        <w:rPr>
          <w:rFonts w:hint="eastAsia" w:ascii="宋体" w:hAnsi="宋体"/>
          <w:b/>
          <w:sz w:val="32"/>
        </w:rPr>
      </w:pPr>
    </w:p>
    <w:p w14:paraId="097F0A79">
      <w:pPr>
        <w:spacing w:line="360" w:lineRule="auto"/>
        <w:jc w:val="center"/>
        <w:rPr>
          <w:rFonts w:hint="eastAsia" w:ascii="宋体" w:hAnsi="宋体"/>
          <w:b/>
          <w:sz w:val="30"/>
        </w:rPr>
      </w:pPr>
      <w:r>
        <w:rPr>
          <w:rFonts w:hint="eastAsia" w:ascii="宋体" w:hAnsi="宋体"/>
          <w:b/>
          <w:sz w:val="32"/>
        </w:rPr>
        <w:t>商务技术文件封面</w:t>
      </w:r>
    </w:p>
    <w:p w14:paraId="69C16AEB">
      <w:pPr>
        <w:pStyle w:val="5"/>
        <w:spacing w:line="360" w:lineRule="auto"/>
        <w:ind w:firstLine="900" w:firstLineChars="250"/>
        <w:rPr>
          <w:rFonts w:hint="eastAsia" w:ascii="宋体" w:hAnsi="宋体"/>
          <w:sz w:val="36"/>
        </w:rPr>
      </w:pPr>
    </w:p>
    <w:p w14:paraId="3C2FA498">
      <w:pPr>
        <w:pStyle w:val="5"/>
        <w:spacing w:line="360" w:lineRule="auto"/>
        <w:ind w:firstLine="900" w:firstLineChars="250"/>
        <w:rPr>
          <w:rFonts w:hint="eastAsia" w:ascii="宋体" w:hAnsi="宋体"/>
          <w:sz w:val="36"/>
        </w:rPr>
      </w:pPr>
      <w:r>
        <w:rPr>
          <w:rFonts w:ascii="宋体" w:hAnsi="宋体"/>
          <w:sz w:val="36"/>
        </w:rPr>
        <w:t>采购编号</w:t>
      </w:r>
      <w:r>
        <w:rPr>
          <w:rFonts w:hint="eastAsia" w:ascii="宋体" w:hAnsi="宋体"/>
          <w:sz w:val="36"/>
        </w:rPr>
        <w:t>：</w:t>
      </w:r>
    </w:p>
    <w:p w14:paraId="0ACA324A">
      <w:pPr>
        <w:pStyle w:val="5"/>
        <w:spacing w:line="360" w:lineRule="auto"/>
        <w:ind w:firstLine="0"/>
        <w:rPr>
          <w:rFonts w:hint="eastAsia" w:ascii="宋体" w:hAnsi="宋体"/>
          <w:sz w:val="36"/>
        </w:rPr>
      </w:pPr>
    </w:p>
    <w:p w14:paraId="09F7F6E9">
      <w:pPr>
        <w:pStyle w:val="5"/>
        <w:spacing w:line="360" w:lineRule="auto"/>
        <w:ind w:firstLine="900" w:firstLineChars="250"/>
        <w:rPr>
          <w:rFonts w:hint="eastAsia" w:ascii="宋体" w:hAnsi="宋体"/>
          <w:sz w:val="36"/>
        </w:rPr>
      </w:pPr>
      <w:r>
        <w:rPr>
          <w:rFonts w:ascii="宋体" w:hAnsi="宋体"/>
          <w:sz w:val="36"/>
        </w:rPr>
        <w:t>项目名称：</w:t>
      </w:r>
    </w:p>
    <w:p w14:paraId="08C7FAB3">
      <w:pPr>
        <w:pStyle w:val="5"/>
        <w:spacing w:line="360" w:lineRule="auto"/>
        <w:ind w:firstLine="0"/>
        <w:rPr>
          <w:rFonts w:hint="eastAsia" w:ascii="宋体" w:hAnsi="宋体"/>
          <w:sz w:val="36"/>
        </w:rPr>
      </w:pPr>
    </w:p>
    <w:p w14:paraId="7AE9656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商务技术文件</w:t>
      </w:r>
    </w:p>
    <w:p w14:paraId="66E3884A">
      <w:pPr>
        <w:pStyle w:val="5"/>
        <w:spacing w:line="360" w:lineRule="auto"/>
        <w:ind w:firstLine="900" w:firstLineChars="250"/>
        <w:rPr>
          <w:rFonts w:hint="eastAsia" w:ascii="宋体" w:hAnsi="宋体"/>
          <w:sz w:val="36"/>
        </w:rPr>
      </w:pPr>
    </w:p>
    <w:p w14:paraId="41F06C8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3F7F60BD">
      <w:pPr>
        <w:pStyle w:val="5"/>
        <w:spacing w:line="360" w:lineRule="auto"/>
        <w:ind w:firstLine="900" w:firstLineChars="250"/>
        <w:rPr>
          <w:rFonts w:hint="eastAsia" w:ascii="宋体" w:hAnsi="宋体"/>
          <w:sz w:val="36"/>
        </w:rPr>
      </w:pPr>
    </w:p>
    <w:p w14:paraId="14AEFE44">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185D34BF">
      <w:pPr>
        <w:pStyle w:val="5"/>
        <w:ind w:firstLine="1440" w:firstLineChars="400"/>
        <w:rPr>
          <w:rFonts w:hint="eastAsia" w:ascii="宋体" w:hAnsi="宋体"/>
          <w:sz w:val="36"/>
        </w:rPr>
      </w:pPr>
    </w:p>
    <w:p w14:paraId="4ABD4626">
      <w:pPr>
        <w:pStyle w:val="17"/>
        <w:spacing w:line="360" w:lineRule="auto"/>
        <w:ind w:firstLine="3480" w:firstLineChars="1450"/>
        <w:rPr>
          <w:rFonts w:hint="eastAsia" w:hAnsi="宋体"/>
          <w:sz w:val="24"/>
        </w:rPr>
      </w:pPr>
    </w:p>
    <w:p w14:paraId="5A38F393">
      <w:pPr>
        <w:pStyle w:val="17"/>
        <w:spacing w:line="360" w:lineRule="auto"/>
        <w:jc w:val="center"/>
        <w:rPr>
          <w:rFonts w:hint="eastAsia" w:hAnsi="宋体"/>
          <w:sz w:val="30"/>
        </w:rPr>
      </w:pPr>
    </w:p>
    <w:p w14:paraId="55E52B16">
      <w:pPr>
        <w:pStyle w:val="17"/>
        <w:spacing w:line="360" w:lineRule="auto"/>
        <w:rPr>
          <w:rFonts w:hint="eastAsia" w:hAnsi="宋体"/>
          <w:b/>
          <w:sz w:val="32"/>
        </w:rPr>
      </w:pPr>
      <w:r>
        <w:rPr>
          <w:rFonts w:hAnsi="宋体"/>
          <w:sz w:val="30"/>
        </w:rPr>
        <w:br w:type="page"/>
      </w:r>
    </w:p>
    <w:p w14:paraId="53B2DF48">
      <w:pPr>
        <w:pStyle w:val="17"/>
        <w:spacing w:line="360" w:lineRule="auto"/>
        <w:jc w:val="center"/>
        <w:rPr>
          <w:sz w:val="32"/>
          <w:szCs w:val="32"/>
        </w:rPr>
      </w:pPr>
      <w:r>
        <w:rPr>
          <w:rFonts w:hint="eastAsia" w:hAnsi="宋体"/>
          <w:b/>
          <w:sz w:val="32"/>
        </w:rPr>
        <w:t>1.磋商声明书</w:t>
      </w:r>
    </w:p>
    <w:p w14:paraId="102CA367">
      <w:pPr>
        <w:pStyle w:val="68"/>
        <w:spacing w:before="240" w:beforeLines="100" w:line="480" w:lineRule="auto"/>
        <w:rPr>
          <w:rFonts w:hint="eastAsia" w:ascii="宋体" w:hAnsi="宋体"/>
          <w:sz w:val="24"/>
          <w:szCs w:val="21"/>
          <w:u w:val="single"/>
        </w:rPr>
      </w:pPr>
      <w:r>
        <w:rPr>
          <w:rFonts w:hint="eastAsia" w:ascii="宋体" w:hAnsi="宋体"/>
          <w:sz w:val="24"/>
          <w:szCs w:val="21"/>
          <w:u w:val="single"/>
        </w:rPr>
        <w:t>（代理机构名称）：</w:t>
      </w:r>
    </w:p>
    <w:p w14:paraId="1B855C85">
      <w:pPr>
        <w:pStyle w:val="17"/>
        <w:spacing w:line="440" w:lineRule="exact"/>
        <w:ind w:firstLine="720"/>
        <w:rPr>
          <w:rFonts w:hint="eastAsia" w:hAnsi="宋体"/>
          <w:sz w:val="24"/>
          <w:szCs w:val="21"/>
        </w:rPr>
      </w:pPr>
      <w:r>
        <w:rPr>
          <w:rFonts w:hint="eastAsia" w:hAnsi="宋体"/>
          <w:sz w:val="24"/>
          <w:u w:val="single"/>
        </w:rPr>
        <w:t>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u w:val="single"/>
        </w:rPr>
        <w:t xml:space="preserve"> 　</w:t>
      </w:r>
      <w:r>
        <w:rPr>
          <w:rFonts w:hint="eastAsia" w:hAnsi="宋体"/>
          <w:sz w:val="24"/>
          <w:szCs w:val="21"/>
        </w:rPr>
        <w:t>系中华人民共和国合法企业，经营地址</w:t>
      </w:r>
      <w:r>
        <w:rPr>
          <w:rFonts w:hint="eastAsia" w:hAnsi="宋体"/>
          <w:sz w:val="24"/>
          <w:szCs w:val="21"/>
          <w:u w:val="single"/>
        </w:rPr>
        <w:t xml:space="preserve">           </w:t>
      </w:r>
      <w:r>
        <w:rPr>
          <w:rFonts w:hint="eastAsia" w:hAnsi="宋体"/>
          <w:sz w:val="24"/>
          <w:szCs w:val="21"/>
        </w:rPr>
        <w:t>。</w:t>
      </w:r>
    </w:p>
    <w:p w14:paraId="663B1356">
      <w:pPr>
        <w:pStyle w:val="17"/>
        <w:spacing w:line="440" w:lineRule="exact"/>
        <w:ind w:firstLine="720"/>
        <w:rPr>
          <w:rFonts w:hint="eastAsia"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负责人名字</w:t>
      </w:r>
      <w:r>
        <w:rPr>
          <w:rFonts w:hAnsi="宋体"/>
          <w:sz w:val="24"/>
          <w:szCs w:val="21"/>
          <w:u w:val="single"/>
        </w:rPr>
        <w:t>)</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szCs w:val="21"/>
          <w:u w:val="single"/>
        </w:rPr>
        <w:t xml:space="preserve">       </w:t>
      </w:r>
      <w:r>
        <w:rPr>
          <w:rFonts w:hint="eastAsia" w:hAnsi="宋体"/>
          <w:sz w:val="24"/>
          <w:szCs w:val="21"/>
        </w:rPr>
        <w:t>的负责人</w:t>
      </w:r>
      <w:r>
        <w:rPr>
          <w:rFonts w:hAnsi="宋体"/>
          <w:sz w:val="24"/>
          <w:szCs w:val="21"/>
        </w:rPr>
        <w:t>，</w:t>
      </w:r>
      <w:r>
        <w:rPr>
          <w:rFonts w:hint="eastAsia" w:hAnsi="宋体"/>
          <w:sz w:val="24"/>
          <w:szCs w:val="21"/>
        </w:rPr>
        <w:t>我方愿意</w:t>
      </w:r>
      <w:r>
        <w:rPr>
          <w:rFonts w:hAnsi="宋体"/>
          <w:sz w:val="24"/>
          <w:szCs w:val="21"/>
        </w:rPr>
        <w:t>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Ansi="宋体"/>
          <w:sz w:val="24"/>
          <w:szCs w:val="21"/>
        </w:rPr>
        <w:t>的</w:t>
      </w:r>
      <w:r>
        <w:rPr>
          <w:rFonts w:hint="eastAsia" w:hAnsi="宋体"/>
          <w:sz w:val="24"/>
          <w:szCs w:val="21"/>
        </w:rPr>
        <w:t>竞争性磋商</w:t>
      </w:r>
      <w:r>
        <w:rPr>
          <w:rFonts w:hAnsi="宋体"/>
          <w:sz w:val="24"/>
          <w:szCs w:val="21"/>
        </w:rPr>
        <w:t>。</w:t>
      </w:r>
      <w:r>
        <w:rPr>
          <w:rFonts w:hint="eastAsia" w:hAnsi="宋体"/>
          <w:sz w:val="24"/>
          <w:szCs w:val="21"/>
        </w:rPr>
        <w:t>为便于贵方公正、择优地确定成交人以及磋商产品和服务，我方就本次磋商有关事项郑重承诺如下：</w:t>
      </w:r>
    </w:p>
    <w:p w14:paraId="0361ACDA">
      <w:pPr>
        <w:pStyle w:val="17"/>
        <w:spacing w:line="440" w:lineRule="exact"/>
        <w:ind w:firstLine="480" w:firstLineChars="200"/>
        <w:rPr>
          <w:rFonts w:hint="eastAsia" w:hAnsi="宋体"/>
          <w:sz w:val="24"/>
          <w:szCs w:val="21"/>
        </w:rPr>
      </w:pPr>
      <w:r>
        <w:rPr>
          <w:rFonts w:hAnsi="宋体"/>
          <w:sz w:val="24"/>
          <w:szCs w:val="21"/>
        </w:rPr>
        <w:t>1、</w:t>
      </w:r>
      <w:r>
        <w:rPr>
          <w:rFonts w:hint="eastAsia" w:hAnsi="宋体"/>
          <w:sz w:val="24"/>
          <w:szCs w:val="21"/>
        </w:rPr>
        <w:t>我方向贵方提交的所有响应文件、资料都是准确的和真实的。</w:t>
      </w:r>
    </w:p>
    <w:p w14:paraId="5530DC2B">
      <w:pPr>
        <w:pStyle w:val="17"/>
        <w:spacing w:line="440" w:lineRule="exact"/>
        <w:ind w:firstLine="480" w:firstLineChars="200"/>
        <w:rPr>
          <w:rFonts w:hint="eastAsia" w:hAnsi="宋体"/>
          <w:sz w:val="24"/>
          <w:szCs w:val="21"/>
        </w:rPr>
      </w:pPr>
      <w:r>
        <w:rPr>
          <w:rFonts w:hint="eastAsia" w:hAnsi="宋体"/>
          <w:sz w:val="24"/>
          <w:szCs w:val="21"/>
        </w:rPr>
        <w:t>2、</w:t>
      </w:r>
      <w:r>
        <w:rPr>
          <w:rFonts w:hAnsi="宋体"/>
          <w:sz w:val="24"/>
          <w:szCs w:val="21"/>
        </w:rPr>
        <w:t>我方承诺已经具备《中华人民共和国政府采购法》</w:t>
      </w:r>
      <w:r>
        <w:rPr>
          <w:rFonts w:hint="eastAsia" w:hAnsi="宋体"/>
          <w:sz w:val="24"/>
          <w:szCs w:val="21"/>
        </w:rPr>
        <w:t>、《中华人民共和国政府采购法实施条例》</w:t>
      </w:r>
      <w:r>
        <w:rPr>
          <w:rFonts w:hAnsi="宋体"/>
          <w:sz w:val="24"/>
          <w:szCs w:val="21"/>
        </w:rPr>
        <w:t>中规定的参加政府采购活动的供应商应当具备的条件</w:t>
      </w:r>
      <w:r>
        <w:rPr>
          <w:rFonts w:hint="eastAsia" w:hAnsi="宋体"/>
          <w:sz w:val="24"/>
          <w:szCs w:val="21"/>
        </w:rPr>
        <w:t>，并真实提供相关材料。</w:t>
      </w:r>
    </w:p>
    <w:p w14:paraId="4E7B4792">
      <w:pPr>
        <w:pStyle w:val="17"/>
        <w:spacing w:line="360" w:lineRule="auto"/>
        <w:ind w:firstLine="480" w:firstLineChars="200"/>
        <w:rPr>
          <w:rFonts w:hint="eastAsia" w:hAnsi="宋体"/>
          <w:sz w:val="24"/>
          <w:szCs w:val="21"/>
        </w:rPr>
      </w:pPr>
      <w:r>
        <w:rPr>
          <w:rFonts w:hint="eastAsia" w:hAnsi="宋体"/>
          <w:sz w:val="24"/>
          <w:szCs w:val="21"/>
        </w:rPr>
        <w:t>3</w:t>
      </w:r>
      <w:r>
        <w:rPr>
          <w:rFonts w:hAnsi="宋体"/>
          <w:sz w:val="24"/>
          <w:szCs w:val="21"/>
        </w:rPr>
        <w:t>、提供供应商须知规定的全部响应文件，包括：</w:t>
      </w:r>
    </w:p>
    <w:p w14:paraId="6A757FBB">
      <w:pPr>
        <w:pStyle w:val="90"/>
        <w:tabs>
          <w:tab w:val="left" w:pos="0"/>
        </w:tabs>
        <w:spacing w:line="360" w:lineRule="auto"/>
        <w:ind w:firstLine="480" w:firstLineChars="200"/>
        <w:rPr>
          <w:rFonts w:hint="eastAsia" w:hAnsi="宋体"/>
          <w:sz w:val="24"/>
          <w:szCs w:val="21"/>
        </w:rPr>
      </w:pPr>
      <w:r>
        <w:rPr>
          <w:rFonts w:hint="eastAsia" w:hAnsi="宋体"/>
          <w:sz w:val="24"/>
          <w:szCs w:val="21"/>
        </w:rPr>
        <w:t>①电子响应</w:t>
      </w:r>
      <w:r>
        <w:rPr>
          <w:rFonts w:hAnsi="宋体"/>
          <w:sz w:val="24"/>
          <w:szCs w:val="21"/>
        </w:rPr>
        <w:t>文件</w:t>
      </w:r>
      <w:r>
        <w:rPr>
          <w:rFonts w:hint="eastAsia" w:hAnsi="宋体"/>
          <w:sz w:val="24"/>
          <w:szCs w:val="21"/>
        </w:rPr>
        <w:t>；</w:t>
      </w:r>
    </w:p>
    <w:p w14:paraId="38B22504">
      <w:pPr>
        <w:spacing w:line="360" w:lineRule="auto"/>
        <w:ind w:firstLine="480" w:firstLineChars="200"/>
        <w:rPr>
          <w:rFonts w:hint="eastAsia" w:ascii="宋体" w:hAnsi="宋体"/>
          <w:sz w:val="24"/>
        </w:rPr>
      </w:pPr>
      <w:r>
        <w:rPr>
          <w:rFonts w:hint="eastAsia" w:hAnsi="宋体"/>
          <w:sz w:val="24"/>
        </w:rPr>
        <w:t>②备份响应文件（注：是否提交由供应商自行决定，如不提交，本条可删除</w:t>
      </w:r>
      <w:r>
        <w:rPr>
          <w:rFonts w:hint="eastAsia" w:ascii="宋体" w:hAnsi="宋体"/>
          <w:sz w:val="24"/>
        </w:rPr>
        <w:t>）。</w:t>
      </w:r>
    </w:p>
    <w:p w14:paraId="2542DC80">
      <w:pPr>
        <w:pStyle w:val="17"/>
        <w:spacing w:line="360" w:lineRule="auto"/>
        <w:ind w:firstLine="480" w:firstLineChars="200"/>
        <w:rPr>
          <w:rFonts w:hint="eastAsia" w:hAnsi="宋体"/>
          <w:sz w:val="24"/>
          <w:szCs w:val="21"/>
        </w:rPr>
      </w:pPr>
      <w:r>
        <w:rPr>
          <w:rFonts w:hint="eastAsia" w:hAnsi="宋体"/>
          <w:sz w:val="24"/>
          <w:szCs w:val="21"/>
        </w:rPr>
        <w:t xml:space="preserve">4、如果我方成交，将派出  </w:t>
      </w:r>
      <w:r>
        <w:rPr>
          <w:rFonts w:hint="eastAsia" w:hAnsi="宋体"/>
          <w:sz w:val="24"/>
          <w:szCs w:val="21"/>
          <w:u w:val="single"/>
        </w:rPr>
        <w:t xml:space="preserve">（姓名及身份证号码）   </w:t>
      </w:r>
      <w:r>
        <w:rPr>
          <w:rFonts w:hint="eastAsia" w:hAnsi="宋体"/>
          <w:sz w:val="24"/>
          <w:szCs w:val="21"/>
        </w:rPr>
        <w:t>，作为本项目与采购单位联系的项目实施负责人，联系手机号码：</w:t>
      </w:r>
      <w:r>
        <w:rPr>
          <w:rFonts w:hint="eastAsia" w:hAnsi="宋体"/>
          <w:sz w:val="24"/>
          <w:szCs w:val="21"/>
          <w:u w:val="single"/>
        </w:rPr>
        <w:t xml:space="preserve">           </w:t>
      </w:r>
      <w:r>
        <w:rPr>
          <w:rFonts w:hint="eastAsia" w:hAnsi="宋体"/>
          <w:sz w:val="24"/>
          <w:szCs w:val="21"/>
        </w:rPr>
        <w:t>。 在项目实施过程中，并承诺项目实施负责人不更换，若确需更换的，书面征得采购人同意后才准予更换。</w:t>
      </w:r>
    </w:p>
    <w:p w14:paraId="1111F05F">
      <w:pPr>
        <w:pStyle w:val="17"/>
        <w:spacing w:line="440" w:lineRule="exact"/>
        <w:ind w:firstLine="480" w:firstLineChars="200"/>
        <w:rPr>
          <w:rFonts w:hint="eastAsia" w:hAnsi="宋体"/>
          <w:sz w:val="24"/>
          <w:szCs w:val="21"/>
        </w:rPr>
      </w:pPr>
      <w:r>
        <w:rPr>
          <w:rFonts w:hint="eastAsia" w:hAnsi="宋体"/>
          <w:sz w:val="24"/>
          <w:szCs w:val="21"/>
        </w:rPr>
        <w:t>5</w:t>
      </w:r>
      <w:r>
        <w:rPr>
          <w:rFonts w:hAnsi="宋体"/>
          <w:sz w:val="24"/>
          <w:szCs w:val="21"/>
        </w:rPr>
        <w:t>、我方的</w:t>
      </w:r>
      <w:r>
        <w:rPr>
          <w:rFonts w:hint="eastAsia" w:hAnsi="宋体"/>
          <w:sz w:val="24"/>
          <w:szCs w:val="21"/>
        </w:rPr>
        <w:t>磋商有效期自</w:t>
      </w:r>
      <w:r>
        <w:rPr>
          <w:rFonts w:hAnsi="宋体"/>
          <w:sz w:val="24"/>
          <w:szCs w:val="21"/>
        </w:rPr>
        <w:t>在</w:t>
      </w:r>
      <w:r>
        <w:rPr>
          <w:rFonts w:hint="eastAsia" w:hAnsi="宋体"/>
          <w:sz w:val="24"/>
          <w:szCs w:val="21"/>
        </w:rPr>
        <w:t>提交响应文件截止之日起90</w:t>
      </w:r>
      <w:r>
        <w:rPr>
          <w:rFonts w:hAnsi="宋体"/>
          <w:sz w:val="24"/>
          <w:szCs w:val="21"/>
        </w:rPr>
        <w:t>天内有效。</w:t>
      </w:r>
    </w:p>
    <w:p w14:paraId="783F2621">
      <w:pPr>
        <w:pStyle w:val="17"/>
        <w:spacing w:line="440" w:lineRule="exact"/>
        <w:ind w:firstLine="480" w:firstLineChars="200"/>
        <w:rPr>
          <w:rFonts w:hint="eastAsia" w:hAnsi="宋体"/>
          <w:sz w:val="24"/>
          <w:szCs w:val="21"/>
        </w:rPr>
      </w:pPr>
      <w:r>
        <w:rPr>
          <w:rFonts w:hint="eastAsia" w:hAnsi="宋体"/>
          <w:sz w:val="24"/>
          <w:szCs w:val="21"/>
        </w:rPr>
        <w:t>6</w:t>
      </w:r>
      <w:r>
        <w:rPr>
          <w:rFonts w:hAnsi="宋体"/>
          <w:sz w:val="24"/>
          <w:szCs w:val="21"/>
        </w:rPr>
        <w:t>、</w:t>
      </w:r>
      <w:r>
        <w:rPr>
          <w:rFonts w:hint="eastAsia" w:hAnsi="宋体"/>
          <w:sz w:val="24"/>
          <w:szCs w:val="21"/>
        </w:rPr>
        <w:t>我方在磋商之前已经与贵方进行了充分的沟通，完全理解并接受磋商文件的各项规定和要求，对磋商文件的合理性、合法性不再有异议。</w:t>
      </w:r>
    </w:p>
    <w:p w14:paraId="29A6B3FB">
      <w:pPr>
        <w:pStyle w:val="17"/>
        <w:spacing w:line="440" w:lineRule="exact"/>
        <w:ind w:firstLine="480" w:firstLineChars="200"/>
        <w:rPr>
          <w:rFonts w:hint="eastAsia" w:hAnsi="宋体"/>
          <w:sz w:val="24"/>
          <w:szCs w:val="21"/>
        </w:rPr>
      </w:pPr>
      <w:r>
        <w:rPr>
          <w:rFonts w:hAnsi="宋体"/>
          <w:sz w:val="24"/>
          <w:szCs w:val="21"/>
        </w:rPr>
        <w:t>我方愿意向贵方提供真实完整的任何与该项</w:t>
      </w:r>
      <w:r>
        <w:rPr>
          <w:rFonts w:hint="eastAsia" w:hAnsi="宋体"/>
          <w:sz w:val="24"/>
          <w:szCs w:val="21"/>
        </w:rPr>
        <w:t>磋商</w:t>
      </w:r>
      <w:r>
        <w:rPr>
          <w:rFonts w:hAnsi="宋体"/>
          <w:sz w:val="24"/>
          <w:szCs w:val="21"/>
        </w:rPr>
        <w:t>有关的数据、情况和技术资料。若贵方需要，我方愿意提供我方作出的一切承诺的证明材料。</w:t>
      </w:r>
    </w:p>
    <w:p w14:paraId="7B535E8D">
      <w:pPr>
        <w:pStyle w:val="17"/>
        <w:spacing w:line="440" w:lineRule="exact"/>
        <w:ind w:firstLine="480" w:firstLineChars="200"/>
        <w:rPr>
          <w:rFonts w:hint="eastAsia" w:hAnsi="宋体"/>
          <w:sz w:val="24"/>
          <w:szCs w:val="21"/>
        </w:rPr>
      </w:pPr>
      <w:r>
        <w:rPr>
          <w:rFonts w:hint="eastAsia" w:hAnsi="宋体"/>
          <w:sz w:val="24"/>
          <w:szCs w:val="21"/>
        </w:rPr>
        <w:t>7</w:t>
      </w:r>
      <w:r>
        <w:rPr>
          <w:rFonts w:hAnsi="宋体"/>
          <w:sz w:val="24"/>
          <w:szCs w:val="21"/>
        </w:rPr>
        <w:t>、我方</w:t>
      </w:r>
      <w:r>
        <w:rPr>
          <w:rFonts w:hint="eastAsia" w:hAnsi="宋体"/>
          <w:sz w:val="24"/>
          <w:szCs w:val="21"/>
        </w:rPr>
        <w:t>已</w:t>
      </w:r>
      <w:r>
        <w:rPr>
          <w:rFonts w:hAnsi="宋体"/>
          <w:sz w:val="24"/>
          <w:szCs w:val="21"/>
        </w:rPr>
        <w:t>详</w:t>
      </w:r>
      <w:r>
        <w:rPr>
          <w:rFonts w:hint="eastAsia" w:hAnsi="宋体"/>
          <w:sz w:val="24"/>
          <w:szCs w:val="21"/>
        </w:rPr>
        <w:t>阅</w:t>
      </w:r>
      <w:r>
        <w:rPr>
          <w:rFonts w:hAnsi="宋体"/>
          <w:sz w:val="24"/>
          <w:szCs w:val="21"/>
        </w:rPr>
        <w:t>全部磋商文件</w:t>
      </w:r>
      <w:r>
        <w:rPr>
          <w:rFonts w:hint="eastAsia" w:hAnsi="宋体"/>
          <w:sz w:val="24"/>
          <w:szCs w:val="21"/>
        </w:rPr>
        <w:t>内容</w:t>
      </w:r>
      <w:r>
        <w:rPr>
          <w:rFonts w:hAnsi="宋体"/>
          <w:sz w:val="24"/>
          <w:szCs w:val="21"/>
        </w:rPr>
        <w:t>，包括磋商文件</w:t>
      </w:r>
      <w:r>
        <w:rPr>
          <w:rFonts w:hint="eastAsia" w:hAnsi="宋体"/>
          <w:sz w:val="24"/>
          <w:szCs w:val="21"/>
        </w:rPr>
        <w:t>的澄清或</w:t>
      </w:r>
      <w:r>
        <w:rPr>
          <w:rFonts w:hAnsi="宋体"/>
          <w:sz w:val="24"/>
          <w:szCs w:val="21"/>
        </w:rPr>
        <w:t>修改</w:t>
      </w:r>
      <w:r>
        <w:rPr>
          <w:rFonts w:hint="eastAsia" w:hAnsi="宋体"/>
          <w:sz w:val="24"/>
          <w:szCs w:val="21"/>
        </w:rPr>
        <w:t>文件</w:t>
      </w:r>
      <w:r>
        <w:rPr>
          <w:rFonts w:hAnsi="宋体"/>
          <w:sz w:val="24"/>
          <w:szCs w:val="21"/>
        </w:rPr>
        <w:t>（如有）、参考资料及有关附件，</w:t>
      </w:r>
      <w:r>
        <w:rPr>
          <w:rFonts w:hint="eastAsia" w:hAnsi="宋体"/>
          <w:sz w:val="24"/>
          <w:szCs w:val="21"/>
        </w:rPr>
        <w:t>已经了解我方对于磋商文件、采购过程、采购结果有依法进行询问、质疑、投诉的权利及相关渠道和要求</w:t>
      </w:r>
      <w:r>
        <w:rPr>
          <w:rFonts w:hAnsi="宋体"/>
          <w:sz w:val="24"/>
          <w:szCs w:val="21"/>
        </w:rPr>
        <w:t>。</w:t>
      </w:r>
    </w:p>
    <w:p w14:paraId="485F342B">
      <w:pPr>
        <w:pStyle w:val="17"/>
        <w:spacing w:line="440" w:lineRule="exact"/>
        <w:ind w:firstLine="480" w:firstLineChars="200"/>
        <w:rPr>
          <w:rFonts w:hint="eastAsia" w:hAnsi="宋体"/>
          <w:sz w:val="24"/>
          <w:szCs w:val="21"/>
        </w:rPr>
      </w:pPr>
      <w:r>
        <w:rPr>
          <w:rFonts w:hint="eastAsia" w:hAnsi="宋体"/>
          <w:sz w:val="24"/>
          <w:szCs w:val="21"/>
        </w:rPr>
        <w:t>8、我方不是采购人的附属机构，并未为本项目提供整体设计、规范编制或者项目管理、监理、监测等服务。</w:t>
      </w:r>
    </w:p>
    <w:p w14:paraId="076133A9">
      <w:pPr>
        <w:pStyle w:val="17"/>
        <w:spacing w:line="440" w:lineRule="exact"/>
        <w:ind w:firstLine="480" w:firstLineChars="200"/>
        <w:rPr>
          <w:rFonts w:hint="eastAsia" w:hAnsi="宋体"/>
          <w:sz w:val="24"/>
          <w:szCs w:val="21"/>
        </w:rPr>
      </w:pPr>
      <w:r>
        <w:rPr>
          <w:rFonts w:hint="eastAsia" w:hAnsi="宋体"/>
          <w:sz w:val="24"/>
          <w:szCs w:val="21"/>
        </w:rPr>
        <w:t>9</w:t>
      </w:r>
      <w:r>
        <w:rPr>
          <w:rFonts w:hAnsi="宋体"/>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w:t>
      </w:r>
      <w:r>
        <w:rPr>
          <w:rFonts w:hint="eastAsia" w:hAnsi="宋体"/>
          <w:sz w:val="24"/>
          <w:szCs w:val="21"/>
        </w:rPr>
        <w:t>市场监管部门</w:t>
      </w:r>
      <w:r>
        <w:rPr>
          <w:rFonts w:hAnsi="宋体"/>
          <w:sz w:val="24"/>
          <w:szCs w:val="21"/>
        </w:rPr>
        <w:t>吊销营业执照；构成犯罪的，依法追究刑事责任：</w:t>
      </w:r>
    </w:p>
    <w:p w14:paraId="37078C4C">
      <w:pPr>
        <w:pStyle w:val="17"/>
        <w:spacing w:line="440" w:lineRule="exact"/>
        <w:ind w:firstLine="240" w:firstLineChars="100"/>
        <w:rPr>
          <w:rFonts w:hint="eastAsia" w:hAnsi="宋体"/>
          <w:sz w:val="24"/>
          <w:szCs w:val="21"/>
        </w:rPr>
      </w:pPr>
      <w:r>
        <w:rPr>
          <w:rFonts w:hAnsi="宋体"/>
          <w:sz w:val="24"/>
          <w:szCs w:val="21"/>
        </w:rPr>
        <w:t>（一）提供虚假材料谋取成交的；</w:t>
      </w:r>
      <w:r>
        <w:rPr>
          <w:rFonts w:hint="eastAsia" w:hAnsi="宋体"/>
          <w:sz w:val="24"/>
          <w:szCs w:val="21"/>
        </w:rPr>
        <w:t xml:space="preserve"> </w:t>
      </w:r>
    </w:p>
    <w:p w14:paraId="379E1866">
      <w:pPr>
        <w:pStyle w:val="17"/>
        <w:spacing w:line="440" w:lineRule="exact"/>
        <w:ind w:firstLine="240" w:firstLineChars="100"/>
        <w:rPr>
          <w:rFonts w:hint="eastAsia" w:hAnsi="宋体"/>
          <w:sz w:val="24"/>
          <w:szCs w:val="21"/>
        </w:rPr>
      </w:pPr>
      <w:r>
        <w:rPr>
          <w:rFonts w:hAnsi="宋体"/>
          <w:sz w:val="24"/>
          <w:szCs w:val="21"/>
        </w:rPr>
        <w:t>（二）采取不正当手段诋毁、排挤其他供应商的；</w:t>
      </w:r>
    </w:p>
    <w:p w14:paraId="471AE442">
      <w:pPr>
        <w:pStyle w:val="17"/>
        <w:spacing w:line="440" w:lineRule="exact"/>
        <w:ind w:firstLine="240" w:firstLineChars="100"/>
        <w:rPr>
          <w:rFonts w:hint="eastAsia" w:hAnsi="宋体"/>
          <w:sz w:val="24"/>
          <w:szCs w:val="21"/>
        </w:rPr>
      </w:pPr>
      <w:r>
        <w:rPr>
          <w:rFonts w:hAnsi="宋体"/>
          <w:sz w:val="24"/>
          <w:szCs w:val="21"/>
        </w:rPr>
        <w:t>（三）与采购人、其它供应商或者采购代理机构恶意串通的；</w:t>
      </w:r>
    </w:p>
    <w:p w14:paraId="6DB3A4B2">
      <w:pPr>
        <w:pStyle w:val="17"/>
        <w:spacing w:line="440" w:lineRule="exact"/>
        <w:ind w:firstLine="240" w:firstLineChars="100"/>
        <w:rPr>
          <w:rFonts w:hint="eastAsia" w:hAnsi="宋体"/>
          <w:sz w:val="24"/>
          <w:szCs w:val="21"/>
        </w:rPr>
      </w:pPr>
      <w:r>
        <w:rPr>
          <w:rFonts w:hAnsi="宋体"/>
          <w:sz w:val="24"/>
          <w:szCs w:val="21"/>
        </w:rPr>
        <w:t>（四）向采购人、采购代理机构行贿或者提供其他不正当利益的；</w:t>
      </w:r>
    </w:p>
    <w:p w14:paraId="1FC23003">
      <w:pPr>
        <w:pStyle w:val="17"/>
        <w:spacing w:line="440" w:lineRule="exact"/>
        <w:ind w:firstLine="240" w:firstLineChars="100"/>
        <w:rPr>
          <w:rFonts w:hint="eastAsia" w:hAnsi="宋体"/>
          <w:sz w:val="24"/>
          <w:szCs w:val="21"/>
        </w:rPr>
      </w:pPr>
      <w:r>
        <w:rPr>
          <w:rFonts w:hAnsi="宋体"/>
          <w:sz w:val="24"/>
          <w:szCs w:val="21"/>
        </w:rPr>
        <w:t>（五）在</w:t>
      </w:r>
      <w:r>
        <w:rPr>
          <w:rFonts w:hint="eastAsia" w:hAnsi="宋体"/>
          <w:sz w:val="24"/>
          <w:szCs w:val="21"/>
        </w:rPr>
        <w:t>磋商</w:t>
      </w:r>
      <w:r>
        <w:rPr>
          <w:rFonts w:hAnsi="宋体"/>
          <w:sz w:val="24"/>
          <w:szCs w:val="21"/>
        </w:rPr>
        <w:t>采购过程中与采购人进行协商</w:t>
      </w:r>
      <w:r>
        <w:rPr>
          <w:rFonts w:hint="eastAsia" w:hAnsi="宋体"/>
          <w:sz w:val="24"/>
          <w:szCs w:val="21"/>
        </w:rPr>
        <w:t>谈判</w:t>
      </w:r>
      <w:r>
        <w:rPr>
          <w:rFonts w:hAnsi="宋体"/>
          <w:sz w:val="24"/>
          <w:szCs w:val="21"/>
        </w:rPr>
        <w:t>的；</w:t>
      </w:r>
    </w:p>
    <w:p w14:paraId="77B89391">
      <w:pPr>
        <w:pStyle w:val="17"/>
        <w:spacing w:line="440" w:lineRule="exact"/>
        <w:ind w:firstLine="240" w:firstLineChars="100"/>
        <w:rPr>
          <w:rFonts w:hint="eastAsia" w:hAnsi="宋体"/>
          <w:sz w:val="24"/>
          <w:szCs w:val="21"/>
        </w:rPr>
      </w:pPr>
      <w:r>
        <w:rPr>
          <w:rFonts w:hAnsi="宋体"/>
          <w:sz w:val="24"/>
          <w:szCs w:val="21"/>
        </w:rPr>
        <w:t>（六）拒绝有关部门监督检查或提供虚假情况的。</w:t>
      </w:r>
    </w:p>
    <w:p w14:paraId="7F020F84">
      <w:pPr>
        <w:pStyle w:val="17"/>
        <w:spacing w:line="440" w:lineRule="exact"/>
        <w:ind w:firstLine="480" w:firstLineChars="200"/>
        <w:rPr>
          <w:rFonts w:hint="eastAsia" w:hAnsi="宋体"/>
          <w:sz w:val="24"/>
          <w:szCs w:val="21"/>
        </w:rPr>
      </w:pPr>
      <w:r>
        <w:rPr>
          <w:rFonts w:hint="eastAsia" w:hAnsi="宋体"/>
          <w:sz w:val="24"/>
          <w:szCs w:val="21"/>
        </w:rPr>
        <w:t>10、如成交，本响应文件至本项目合同履行完毕止均保持有效，我方将按磋商文件及政府采购法律、法规的规定履行合同责任和义务。</w:t>
      </w:r>
    </w:p>
    <w:p w14:paraId="0D1A4640">
      <w:pPr>
        <w:pStyle w:val="17"/>
        <w:spacing w:line="440" w:lineRule="exact"/>
        <w:ind w:firstLine="480" w:firstLineChars="200"/>
        <w:rPr>
          <w:rFonts w:hint="eastAsia" w:hAnsi="宋体"/>
          <w:sz w:val="24"/>
          <w:szCs w:val="21"/>
        </w:rPr>
      </w:pPr>
      <w:r>
        <w:rPr>
          <w:rFonts w:hint="eastAsia" w:hAnsi="宋体"/>
          <w:sz w:val="24"/>
          <w:szCs w:val="21"/>
        </w:rPr>
        <w:t>11、以上事项如有虚假或隐瞒，我方愿意承担一切不利后果，并不再寻求任何旨在减轻或免除法律责任。</w:t>
      </w:r>
    </w:p>
    <w:p w14:paraId="4405AC23">
      <w:pPr>
        <w:pStyle w:val="17"/>
        <w:spacing w:line="440" w:lineRule="exact"/>
        <w:rPr>
          <w:rFonts w:hint="eastAsia" w:hAnsi="宋体"/>
          <w:sz w:val="24"/>
          <w:szCs w:val="21"/>
        </w:rPr>
      </w:pPr>
      <w:r>
        <w:rPr>
          <w:rFonts w:hAnsi="宋体"/>
          <w:sz w:val="24"/>
          <w:szCs w:val="21"/>
        </w:rPr>
        <w:t xml:space="preserve">    与</w:t>
      </w:r>
      <w:r>
        <w:rPr>
          <w:rFonts w:hint="eastAsia" w:hAnsi="宋体"/>
          <w:sz w:val="24"/>
          <w:szCs w:val="21"/>
        </w:rPr>
        <w:t>本次磋商</w:t>
      </w:r>
      <w:r>
        <w:rPr>
          <w:rFonts w:hAnsi="宋体"/>
          <w:sz w:val="24"/>
          <w:szCs w:val="21"/>
        </w:rPr>
        <w:t>有关的一切</w:t>
      </w:r>
      <w:r>
        <w:rPr>
          <w:rFonts w:hint="eastAsia" w:hAnsi="宋体"/>
          <w:sz w:val="24"/>
          <w:szCs w:val="21"/>
        </w:rPr>
        <w:t>正式</w:t>
      </w:r>
      <w:r>
        <w:rPr>
          <w:rFonts w:hAnsi="宋体"/>
          <w:sz w:val="24"/>
          <w:szCs w:val="21"/>
        </w:rPr>
        <w:t>往来</w:t>
      </w:r>
      <w:r>
        <w:rPr>
          <w:rFonts w:hint="eastAsia" w:hAnsi="宋体"/>
          <w:sz w:val="24"/>
          <w:szCs w:val="21"/>
        </w:rPr>
        <w:t>信函</w:t>
      </w:r>
      <w:r>
        <w:rPr>
          <w:rFonts w:hAnsi="宋体"/>
          <w:sz w:val="24"/>
          <w:szCs w:val="21"/>
        </w:rPr>
        <w:t>请寄：</w:t>
      </w:r>
    </w:p>
    <w:p w14:paraId="28A99EF8">
      <w:pPr>
        <w:pStyle w:val="17"/>
        <w:spacing w:line="440" w:lineRule="exact"/>
        <w:ind w:firstLine="480" w:firstLineChars="200"/>
        <w:rPr>
          <w:rFonts w:hint="eastAsia"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14:paraId="0E446B49">
      <w:pPr>
        <w:pStyle w:val="17"/>
        <w:spacing w:line="440" w:lineRule="exact"/>
        <w:ind w:firstLine="480" w:firstLineChars="200"/>
        <w:rPr>
          <w:rFonts w:hint="eastAsia" w:hAnsi="宋体"/>
          <w:sz w:val="24"/>
          <w:szCs w:val="21"/>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14:paraId="71D4852A">
      <w:pPr>
        <w:pStyle w:val="75"/>
        <w:spacing w:line="440" w:lineRule="exact"/>
        <w:ind w:firstLine="5320" w:firstLineChars="1900"/>
        <w:rPr>
          <w:rFonts w:hint="eastAsia" w:ascii="宋体" w:hAnsi="宋体"/>
          <w:spacing w:val="20"/>
          <w:sz w:val="24"/>
          <w:szCs w:val="21"/>
        </w:rPr>
      </w:pPr>
    </w:p>
    <w:p w14:paraId="01059E90">
      <w:pPr>
        <w:pStyle w:val="75"/>
        <w:spacing w:line="440" w:lineRule="exact"/>
        <w:ind w:firstLine="5320" w:firstLineChars="1900"/>
        <w:rPr>
          <w:rFonts w:hint="eastAsia" w:ascii="宋体" w:hAnsi="宋体"/>
          <w:spacing w:val="20"/>
          <w:sz w:val="24"/>
          <w:szCs w:val="21"/>
        </w:rPr>
      </w:pPr>
    </w:p>
    <w:p w14:paraId="4FA0A8FE">
      <w:pPr>
        <w:pStyle w:val="75"/>
        <w:spacing w:line="440" w:lineRule="exact"/>
        <w:ind w:firstLine="5320" w:firstLineChars="1900"/>
        <w:rPr>
          <w:rFonts w:hint="eastAsia" w:ascii="宋体" w:hAnsi="宋体"/>
          <w:spacing w:val="20"/>
          <w:sz w:val="24"/>
          <w:szCs w:val="21"/>
        </w:rPr>
      </w:pPr>
    </w:p>
    <w:p w14:paraId="617FF855">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0566B4F1">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50382FC8">
      <w:pPr>
        <w:pStyle w:val="17"/>
        <w:spacing w:line="440" w:lineRule="exact"/>
        <w:ind w:firstLine="480" w:firstLineChars="200"/>
        <w:rPr>
          <w:rFonts w:hint="eastAsia" w:hAnsi="宋体"/>
          <w:sz w:val="24"/>
          <w:szCs w:val="21"/>
        </w:rPr>
      </w:pPr>
    </w:p>
    <w:p w14:paraId="168DE845">
      <w:pPr>
        <w:pStyle w:val="17"/>
        <w:spacing w:line="360" w:lineRule="auto"/>
        <w:ind w:firstLine="3080" w:firstLineChars="1100"/>
        <w:rPr>
          <w:rFonts w:hint="eastAsia" w:hAnsi="宋体"/>
          <w:spacing w:val="20"/>
          <w:sz w:val="24"/>
        </w:rPr>
      </w:pPr>
      <w:bookmarkStart w:id="388" w:name="_Toc45506741"/>
      <w:bookmarkStart w:id="389" w:name="_Toc15813264"/>
      <w:bookmarkStart w:id="390" w:name="_Toc47756042"/>
      <w:bookmarkStart w:id="391" w:name="_Toc15805947"/>
    </w:p>
    <w:p w14:paraId="5D146606">
      <w:pPr>
        <w:pStyle w:val="17"/>
        <w:spacing w:line="360" w:lineRule="auto"/>
        <w:ind w:firstLine="3080" w:firstLineChars="1100"/>
        <w:rPr>
          <w:rFonts w:hint="eastAsia" w:hAnsi="宋体"/>
          <w:spacing w:val="20"/>
          <w:sz w:val="24"/>
        </w:rPr>
      </w:pPr>
    </w:p>
    <w:p w14:paraId="729ACE8A">
      <w:pPr>
        <w:pStyle w:val="17"/>
        <w:spacing w:line="360" w:lineRule="auto"/>
        <w:jc w:val="center"/>
        <w:rPr>
          <w:rFonts w:hint="eastAsia" w:hAnsi="宋体"/>
          <w:b/>
          <w:sz w:val="32"/>
        </w:rPr>
      </w:pPr>
      <w:r>
        <w:rPr>
          <w:rFonts w:hAnsi="宋体"/>
          <w:b/>
          <w:sz w:val="32"/>
        </w:rPr>
        <w:br w:type="page"/>
      </w:r>
      <w:r>
        <w:rPr>
          <w:rFonts w:hAnsi="宋体"/>
          <w:b/>
          <w:sz w:val="32"/>
        </w:rPr>
        <w:t>2</w:t>
      </w:r>
      <w:r>
        <w:rPr>
          <w:rFonts w:hint="eastAsia" w:hAnsi="宋体"/>
          <w:b/>
          <w:sz w:val="32"/>
        </w:rPr>
        <w:t>.供应商磋商</w:t>
      </w:r>
      <w:r>
        <w:rPr>
          <w:rFonts w:hAnsi="宋体"/>
          <w:b/>
          <w:sz w:val="32"/>
        </w:rPr>
        <w:t>申请表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14:paraId="0D20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37F28695">
            <w:pPr>
              <w:pStyle w:val="133"/>
              <w:jc w:val="left"/>
              <w:rPr>
                <w:rFonts w:hint="eastAsia" w:ascii="宋体" w:hAnsi="宋体"/>
                <w:sz w:val="24"/>
              </w:rPr>
            </w:pPr>
            <w:r>
              <w:rPr>
                <w:rFonts w:hint="eastAsia" w:ascii="宋体" w:hAnsi="宋体"/>
                <w:sz w:val="24"/>
              </w:rPr>
              <w:t>统一社会</w:t>
            </w:r>
          </w:p>
          <w:p w14:paraId="6E21E51B">
            <w:pPr>
              <w:pStyle w:val="133"/>
              <w:jc w:val="left"/>
              <w:rPr>
                <w:rFonts w:hint="eastAsia" w:ascii="宋体" w:hAnsi="宋体"/>
                <w:sz w:val="24"/>
              </w:rPr>
            </w:pPr>
            <w:r>
              <w:rPr>
                <w:rFonts w:hint="eastAsia" w:ascii="宋体" w:hAnsi="宋体"/>
                <w:sz w:val="24"/>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255F3AFD">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166D141">
            <w:pPr>
              <w:pStyle w:val="133"/>
              <w:jc w:val="left"/>
              <w:rPr>
                <w:rFonts w:hint="eastAsia" w:ascii="宋体" w:hAnsi="宋体"/>
                <w:sz w:val="24"/>
              </w:rPr>
            </w:pPr>
            <w:r>
              <w:rPr>
                <w:rFonts w:hint="eastAsia" w:ascii="宋体" w:hAnsi="宋体"/>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7076802E">
            <w:pPr>
              <w:pStyle w:val="133"/>
              <w:jc w:val="center"/>
              <w:rPr>
                <w:rFonts w:hint="eastAsia" w:ascii="宋体" w:hAnsi="宋体"/>
                <w:sz w:val="18"/>
              </w:rPr>
            </w:pPr>
          </w:p>
        </w:tc>
      </w:tr>
      <w:tr w14:paraId="52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2B8A9C43">
            <w:pPr>
              <w:pStyle w:val="133"/>
              <w:jc w:val="left"/>
              <w:rPr>
                <w:rFonts w:hint="eastAsia" w:ascii="宋体" w:hAnsi="宋体"/>
                <w:sz w:val="24"/>
              </w:rPr>
            </w:pPr>
          </w:p>
        </w:tc>
        <w:tc>
          <w:tcPr>
            <w:tcW w:w="2977" w:type="dxa"/>
            <w:gridSpan w:val="3"/>
            <w:vMerge w:val="continue"/>
            <w:tcBorders>
              <w:left w:val="single" w:color="auto" w:sz="4" w:space="0"/>
              <w:bottom w:val="single" w:color="auto" w:sz="4" w:space="0"/>
              <w:right w:val="single" w:color="auto" w:sz="4" w:space="0"/>
            </w:tcBorders>
            <w:vAlign w:val="center"/>
          </w:tcPr>
          <w:p w14:paraId="7F99762D">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579342">
            <w:pPr>
              <w:pStyle w:val="133"/>
              <w:jc w:val="left"/>
              <w:rPr>
                <w:rFonts w:hint="eastAsia" w:ascii="宋体" w:hAnsi="宋体"/>
                <w:sz w:val="24"/>
              </w:rPr>
            </w:pPr>
            <w:r>
              <w:rPr>
                <w:rFonts w:hint="eastAsia" w:ascii="宋体" w:hAnsi="宋体"/>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3B92F01">
            <w:pPr>
              <w:pStyle w:val="133"/>
              <w:jc w:val="center"/>
              <w:rPr>
                <w:rFonts w:hint="eastAsia" w:ascii="宋体" w:hAnsi="宋体"/>
                <w:sz w:val="24"/>
              </w:rPr>
            </w:pPr>
          </w:p>
        </w:tc>
      </w:tr>
      <w:tr w14:paraId="666C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74B80319">
            <w:pPr>
              <w:pStyle w:val="133"/>
              <w:jc w:val="left"/>
              <w:rPr>
                <w:rFonts w:hint="eastAsia" w:ascii="宋体" w:hAnsi="宋体"/>
                <w:sz w:val="24"/>
              </w:rPr>
            </w:pPr>
            <w:r>
              <w:rPr>
                <w:rFonts w:hint="eastAsia" w:ascii="宋体" w:hAnsi="宋体"/>
                <w:sz w:val="24"/>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25BD742">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85DDE83">
            <w:pPr>
              <w:pStyle w:val="133"/>
              <w:jc w:val="left"/>
              <w:rPr>
                <w:rFonts w:hint="eastAsia"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342E11C5">
            <w:pPr>
              <w:pStyle w:val="133"/>
              <w:jc w:val="center"/>
              <w:rPr>
                <w:rFonts w:hint="eastAsia" w:ascii="宋体" w:hAnsi="宋体"/>
                <w:sz w:val="24"/>
              </w:rPr>
            </w:pPr>
          </w:p>
        </w:tc>
      </w:tr>
      <w:tr w14:paraId="37F9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6C508F17">
            <w:pPr>
              <w:pStyle w:val="133"/>
              <w:jc w:val="left"/>
              <w:rPr>
                <w:rFonts w:hint="eastAsia" w:ascii="宋体" w:hAnsi="宋体"/>
                <w:sz w:val="24"/>
              </w:rPr>
            </w:pPr>
            <w:r>
              <w:rPr>
                <w:rFonts w:hint="eastAsia" w:ascii="宋体" w:hAnsi="宋体"/>
                <w:sz w:val="24"/>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98E585E">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4E10776">
            <w:pPr>
              <w:pStyle w:val="133"/>
              <w:jc w:val="left"/>
              <w:rPr>
                <w:rFonts w:hint="eastAsia"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7E7F045">
            <w:pPr>
              <w:pStyle w:val="133"/>
              <w:jc w:val="center"/>
              <w:rPr>
                <w:rFonts w:hint="eastAsia" w:ascii="宋体" w:hAnsi="宋体"/>
                <w:sz w:val="24"/>
              </w:rPr>
            </w:pPr>
          </w:p>
        </w:tc>
      </w:tr>
      <w:tr w14:paraId="0F78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6E8A00B3">
            <w:pPr>
              <w:pStyle w:val="133"/>
              <w:jc w:val="center"/>
              <w:rPr>
                <w:rFonts w:hint="eastAsia" w:ascii="宋体" w:hAnsi="宋体"/>
                <w:sz w:val="24"/>
              </w:rPr>
            </w:pPr>
            <w:r>
              <w:rPr>
                <w:rFonts w:hint="eastAsia" w:ascii="宋体" w:hAnsi="宋体"/>
                <w:sz w:val="24"/>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3F49D63A">
            <w:pPr>
              <w:pStyle w:val="133"/>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EAC4B03">
            <w:pPr>
              <w:pStyle w:val="133"/>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2C660B3">
            <w:pPr>
              <w:pStyle w:val="133"/>
              <w:rPr>
                <w:rFonts w:hint="eastAsia" w:ascii="宋体" w:hAnsi="宋体"/>
                <w:sz w:val="24"/>
              </w:rPr>
            </w:pPr>
            <w:r>
              <w:rPr>
                <w:rFonts w:hint="eastAsia" w:ascii="宋体" w:hAnsi="宋体"/>
                <w:sz w:val="24"/>
              </w:rPr>
              <w:t>手机：</w:t>
            </w:r>
          </w:p>
        </w:tc>
      </w:tr>
      <w:tr w14:paraId="284D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18E475D5">
            <w:pPr>
              <w:pStyle w:val="133"/>
              <w:jc w:val="center"/>
              <w:rPr>
                <w:rFonts w:hint="eastAsia" w:ascii="宋体" w:hAnsi="宋体"/>
                <w:sz w:val="24"/>
              </w:rPr>
            </w:pPr>
            <w:r>
              <w:rPr>
                <w:rFonts w:hint="eastAsia" w:ascii="宋体" w:hAnsi="宋体"/>
                <w:sz w:val="24"/>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F893942">
            <w:pPr>
              <w:pStyle w:val="133"/>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E665A64">
            <w:pPr>
              <w:pStyle w:val="133"/>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7A677C2">
            <w:pPr>
              <w:pStyle w:val="133"/>
              <w:rPr>
                <w:rFonts w:hint="eastAsia" w:ascii="宋体" w:hAnsi="宋体"/>
                <w:sz w:val="24"/>
              </w:rPr>
            </w:pPr>
            <w:r>
              <w:rPr>
                <w:rFonts w:hint="eastAsia" w:ascii="宋体" w:hAnsi="宋体"/>
                <w:sz w:val="24"/>
              </w:rPr>
              <w:t>手机：</w:t>
            </w:r>
          </w:p>
        </w:tc>
      </w:tr>
      <w:tr w14:paraId="275A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2F59F95">
            <w:pPr>
              <w:pStyle w:val="133"/>
              <w:ind w:left="-109" w:leftChars="-52" w:right="-113" w:rightChars="-54"/>
              <w:jc w:val="center"/>
              <w:rPr>
                <w:rFonts w:hint="eastAsia" w:ascii="宋体" w:hAnsi="宋体"/>
                <w:sz w:val="24"/>
              </w:rPr>
            </w:pPr>
            <w:r>
              <w:rPr>
                <w:rFonts w:hint="eastAsia" w:ascii="宋体" w:hAnsi="宋体"/>
                <w:sz w:val="24"/>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13F7E00A">
            <w:pPr>
              <w:pStyle w:val="133"/>
              <w:jc w:val="center"/>
              <w:rPr>
                <w:rFonts w:hint="eastAsia" w:ascii="宋体" w:hAnsi="宋体"/>
                <w:sz w:val="24"/>
              </w:rPr>
            </w:pPr>
          </w:p>
        </w:tc>
      </w:tr>
      <w:tr w14:paraId="30B5A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57465C4D">
            <w:pPr>
              <w:pStyle w:val="133"/>
              <w:ind w:left="-109" w:leftChars="-52" w:right="-113" w:rightChars="-54"/>
              <w:jc w:val="center"/>
              <w:rPr>
                <w:rFonts w:hint="eastAsia" w:ascii="宋体" w:hAnsi="宋体"/>
                <w:sz w:val="24"/>
              </w:rPr>
            </w:pPr>
            <w:r>
              <w:rPr>
                <w:rFonts w:hint="eastAsia" w:ascii="宋体" w:hAnsi="宋体"/>
                <w:sz w:val="24"/>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414FE29E">
            <w:pPr>
              <w:pStyle w:val="133"/>
              <w:jc w:val="center"/>
              <w:rPr>
                <w:rFonts w:hint="eastAsia" w:ascii="宋体" w:hAnsi="宋体"/>
                <w:sz w:val="24"/>
              </w:rPr>
            </w:pPr>
          </w:p>
        </w:tc>
      </w:tr>
      <w:tr w14:paraId="3B596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52519BE">
            <w:pPr>
              <w:pStyle w:val="133"/>
              <w:rPr>
                <w:rFonts w:hint="eastAsia" w:ascii="宋体" w:hAnsi="宋体"/>
                <w:sz w:val="24"/>
              </w:rPr>
            </w:pPr>
            <w:r>
              <w:rPr>
                <w:rFonts w:hint="eastAsia" w:ascii="宋体" w:hAnsi="宋体"/>
                <w:sz w:val="24"/>
              </w:rPr>
              <w:t>本单位申请参加下列采购项目的磋商：</w:t>
            </w:r>
          </w:p>
        </w:tc>
      </w:tr>
      <w:tr w14:paraId="19428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70CCD120">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C7FB215">
            <w:pPr>
              <w:pStyle w:val="133"/>
              <w:jc w:val="center"/>
              <w:rPr>
                <w:rFonts w:hint="eastAsia"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DFBA67">
            <w:pPr>
              <w:pStyle w:val="133"/>
              <w:jc w:val="center"/>
              <w:rPr>
                <w:rFonts w:hint="eastAsia"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26FED51D">
            <w:pPr>
              <w:pStyle w:val="133"/>
              <w:jc w:val="center"/>
              <w:rPr>
                <w:rFonts w:hint="eastAsia" w:ascii="宋体" w:hAnsi="宋体"/>
                <w:sz w:val="24"/>
              </w:rPr>
            </w:pPr>
            <w:r>
              <w:rPr>
                <w:rFonts w:hint="eastAsia" w:ascii="宋体" w:hAnsi="宋体"/>
                <w:sz w:val="24"/>
              </w:rPr>
              <w:t>标项</w:t>
            </w:r>
          </w:p>
        </w:tc>
      </w:tr>
      <w:tr w14:paraId="2183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97E82A9">
            <w:pPr>
              <w:pStyle w:val="133"/>
              <w:jc w:val="center"/>
              <w:rPr>
                <w:rFonts w:hint="eastAsia"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676342">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57E153">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86BFADB">
            <w:pPr>
              <w:pStyle w:val="133"/>
              <w:jc w:val="center"/>
              <w:rPr>
                <w:rFonts w:hint="eastAsia" w:ascii="宋体" w:hAnsi="宋体"/>
                <w:sz w:val="24"/>
              </w:rPr>
            </w:pPr>
          </w:p>
        </w:tc>
      </w:tr>
      <w:tr w14:paraId="1AE55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C28E04">
            <w:pPr>
              <w:pStyle w:val="133"/>
              <w:jc w:val="center"/>
              <w:rPr>
                <w:rFonts w:hint="eastAsia"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ACF0DB6">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4DEC4A">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C6E9F62">
            <w:pPr>
              <w:pStyle w:val="133"/>
              <w:jc w:val="center"/>
              <w:rPr>
                <w:rFonts w:hint="eastAsia" w:ascii="宋体" w:hAnsi="宋体"/>
                <w:sz w:val="24"/>
              </w:rPr>
            </w:pPr>
          </w:p>
        </w:tc>
      </w:tr>
      <w:tr w14:paraId="0F346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501E96">
            <w:pPr>
              <w:pStyle w:val="133"/>
              <w:jc w:val="center"/>
              <w:rPr>
                <w:rFonts w:hint="eastAsia"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B25F1F">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F80133">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52F2AB">
            <w:pPr>
              <w:pStyle w:val="133"/>
              <w:jc w:val="center"/>
              <w:rPr>
                <w:rFonts w:hint="eastAsia" w:ascii="宋体" w:hAnsi="宋体"/>
                <w:sz w:val="24"/>
              </w:rPr>
            </w:pPr>
          </w:p>
        </w:tc>
      </w:tr>
      <w:tr w14:paraId="7A32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83D3AC">
            <w:pPr>
              <w:pStyle w:val="133"/>
              <w:jc w:val="center"/>
              <w:rPr>
                <w:rFonts w:hint="eastAsia"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5C6380">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061DC32">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5495AEE">
            <w:pPr>
              <w:pStyle w:val="133"/>
              <w:jc w:val="center"/>
              <w:rPr>
                <w:rFonts w:hint="eastAsia" w:ascii="宋体" w:hAnsi="宋体"/>
                <w:sz w:val="24"/>
              </w:rPr>
            </w:pPr>
          </w:p>
        </w:tc>
      </w:tr>
      <w:tr w14:paraId="79F29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310D69">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DC7EF0">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8FE9887">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2E36A2">
            <w:pPr>
              <w:pStyle w:val="133"/>
              <w:jc w:val="center"/>
              <w:rPr>
                <w:rFonts w:hint="eastAsia" w:ascii="宋体" w:hAnsi="宋体"/>
                <w:sz w:val="24"/>
              </w:rPr>
            </w:pPr>
          </w:p>
        </w:tc>
      </w:tr>
      <w:tr w14:paraId="1727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DEEACA">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E23FCB">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B6249E">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FA77B05">
            <w:pPr>
              <w:pStyle w:val="133"/>
              <w:jc w:val="center"/>
              <w:rPr>
                <w:rFonts w:hint="eastAsia" w:ascii="宋体" w:hAnsi="宋体"/>
                <w:sz w:val="24"/>
              </w:rPr>
            </w:pPr>
          </w:p>
        </w:tc>
      </w:tr>
      <w:tr w14:paraId="1728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469BC8">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D3349A">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95D5D5">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63916B5">
            <w:pPr>
              <w:pStyle w:val="133"/>
              <w:jc w:val="center"/>
              <w:rPr>
                <w:rFonts w:hint="eastAsia" w:ascii="宋体" w:hAnsi="宋体"/>
                <w:sz w:val="24"/>
              </w:rPr>
            </w:pPr>
          </w:p>
        </w:tc>
      </w:tr>
      <w:tr w14:paraId="6BC5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AC3477A">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99E0B8">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A4EE509">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FB55D36">
            <w:pPr>
              <w:pStyle w:val="133"/>
              <w:jc w:val="center"/>
              <w:rPr>
                <w:rFonts w:hint="eastAsia" w:ascii="宋体" w:hAnsi="宋体"/>
                <w:sz w:val="24"/>
              </w:rPr>
            </w:pPr>
          </w:p>
        </w:tc>
      </w:tr>
    </w:tbl>
    <w:p w14:paraId="21BEC512">
      <w:pPr>
        <w:pStyle w:val="75"/>
        <w:spacing w:line="360" w:lineRule="auto"/>
        <w:ind w:firstLine="4480" w:firstLineChars="1600"/>
        <w:rPr>
          <w:rFonts w:hint="eastAsia" w:ascii="宋体" w:hAnsi="宋体"/>
          <w:spacing w:val="20"/>
          <w:sz w:val="24"/>
          <w:szCs w:val="21"/>
        </w:rPr>
      </w:pPr>
    </w:p>
    <w:bookmarkEnd w:id="388"/>
    <w:bookmarkEnd w:id="389"/>
    <w:bookmarkEnd w:id="390"/>
    <w:bookmarkEnd w:id="391"/>
    <w:p w14:paraId="2E9AFD4F">
      <w:pPr>
        <w:pStyle w:val="17"/>
        <w:spacing w:line="360" w:lineRule="auto"/>
        <w:ind w:firstLine="3080" w:firstLineChars="1100"/>
        <w:rPr>
          <w:rFonts w:hint="eastAsia" w:hAnsi="宋体"/>
          <w:spacing w:val="20"/>
          <w:sz w:val="24"/>
        </w:rPr>
      </w:pPr>
    </w:p>
    <w:p w14:paraId="0AF49B44">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4F531D4">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857FB6">
      <w:pPr>
        <w:spacing w:line="360" w:lineRule="auto"/>
        <w:ind w:firstLine="5880" w:firstLineChars="2100"/>
        <w:rPr>
          <w:rFonts w:hint="eastAsia" w:hAnsi="宋体"/>
          <w:spacing w:val="20"/>
          <w:sz w:val="24"/>
          <w:u w:val="single"/>
        </w:rPr>
      </w:pPr>
      <w:r>
        <w:rPr>
          <w:rFonts w:hAnsi="宋体"/>
          <w:spacing w:val="20"/>
          <w:sz w:val="24"/>
          <w:u w:val="single"/>
        </w:rPr>
        <w:br w:type="page"/>
      </w:r>
    </w:p>
    <w:p w14:paraId="75813FF5">
      <w:pPr>
        <w:spacing w:line="360" w:lineRule="auto"/>
        <w:jc w:val="center"/>
        <w:rPr>
          <w:rFonts w:hint="eastAsia" w:ascii="宋体" w:hAnsi="宋体"/>
          <w:b/>
          <w:sz w:val="30"/>
        </w:rPr>
      </w:pPr>
      <w:r>
        <w:rPr>
          <w:rFonts w:hint="eastAsia" w:ascii="宋体" w:hAnsi="宋体"/>
          <w:b/>
          <w:sz w:val="30"/>
        </w:rPr>
        <w:t>3、代理服务费支付承诺书</w:t>
      </w:r>
    </w:p>
    <w:p w14:paraId="7A7F87D8">
      <w:pPr>
        <w:spacing w:line="360" w:lineRule="auto"/>
        <w:jc w:val="left"/>
        <w:rPr>
          <w:rFonts w:hint="eastAsia" w:ascii="宋体" w:hAnsi="宋体"/>
          <w:sz w:val="28"/>
          <w:szCs w:val="28"/>
        </w:rPr>
      </w:pPr>
    </w:p>
    <w:p w14:paraId="098B74C4">
      <w:pPr>
        <w:pStyle w:val="68"/>
        <w:spacing w:before="240" w:beforeLines="100" w:line="360" w:lineRule="auto"/>
        <w:rPr>
          <w:rFonts w:hint="eastAsia" w:ascii="宋体" w:hAnsi="宋体"/>
          <w:sz w:val="24"/>
          <w:u w:val="single"/>
        </w:rPr>
      </w:pPr>
      <w:r>
        <w:rPr>
          <w:rFonts w:hint="eastAsia" w:ascii="宋体" w:hAnsi="宋体"/>
          <w:sz w:val="24"/>
          <w:u w:val="single"/>
        </w:rPr>
        <w:t>（代理机构名称）：</w:t>
      </w:r>
    </w:p>
    <w:p w14:paraId="460B2A17">
      <w:pPr>
        <w:spacing w:line="360" w:lineRule="auto"/>
        <w:ind w:firstLine="480" w:firstLineChars="200"/>
        <w:jc w:val="left"/>
        <w:rPr>
          <w:rFonts w:hint="eastAsia" w:ascii="宋体" w:hAnsi="宋体"/>
          <w:sz w:val="24"/>
        </w:rPr>
      </w:pPr>
      <w:r>
        <w:rPr>
          <w:rFonts w:hint="eastAsia" w:ascii="宋体" w:hAnsi="宋体"/>
          <w:sz w:val="24"/>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14:paraId="355A989C">
      <w:pPr>
        <w:spacing w:line="360" w:lineRule="auto"/>
        <w:jc w:val="left"/>
        <w:rPr>
          <w:rFonts w:hint="eastAsia" w:ascii="宋体" w:hAnsi="宋体"/>
          <w:b/>
          <w:sz w:val="24"/>
        </w:rPr>
      </w:pPr>
    </w:p>
    <w:p w14:paraId="6F9D73DB">
      <w:pPr>
        <w:spacing w:line="360" w:lineRule="auto"/>
        <w:jc w:val="left"/>
        <w:rPr>
          <w:rFonts w:hint="eastAsia" w:ascii="宋体" w:hAnsi="宋体"/>
          <w:b/>
          <w:sz w:val="24"/>
        </w:rPr>
      </w:pPr>
      <w:r>
        <w:rPr>
          <w:rFonts w:hint="eastAsia" w:ascii="宋体" w:hAnsi="宋体"/>
          <w:b/>
          <w:sz w:val="24"/>
        </w:rPr>
        <w:t>注：</w:t>
      </w:r>
    </w:p>
    <w:p w14:paraId="06729AF0">
      <w:pPr>
        <w:spacing w:line="360" w:lineRule="auto"/>
        <w:jc w:val="left"/>
        <w:rPr>
          <w:rFonts w:hint="eastAsia" w:ascii="宋体" w:hAnsi="宋体"/>
          <w:sz w:val="24"/>
        </w:rPr>
      </w:pPr>
      <w:r>
        <w:rPr>
          <w:rFonts w:hint="eastAsia" w:ascii="宋体" w:hAnsi="宋体"/>
          <w:sz w:val="24"/>
        </w:rPr>
        <w:t>代理服务费收取账户信息：</w:t>
      </w:r>
    </w:p>
    <w:p w14:paraId="75AE9EC2">
      <w:pPr>
        <w:spacing w:line="360" w:lineRule="auto"/>
        <w:jc w:val="left"/>
        <w:rPr>
          <w:rFonts w:hint="eastAsia" w:ascii="宋体" w:hAnsi="宋体"/>
          <w:sz w:val="24"/>
        </w:rPr>
      </w:pPr>
      <w:r>
        <w:rPr>
          <w:rFonts w:hint="eastAsia" w:ascii="宋体" w:hAnsi="宋体"/>
          <w:sz w:val="24"/>
        </w:rPr>
        <w:t>户名：卓正招标咨询（丽水）有限公司</w:t>
      </w:r>
    </w:p>
    <w:p w14:paraId="470D73CF">
      <w:pPr>
        <w:spacing w:line="360" w:lineRule="auto"/>
        <w:jc w:val="left"/>
        <w:rPr>
          <w:rFonts w:hint="eastAsia" w:ascii="宋体" w:hAnsi="宋体"/>
          <w:sz w:val="24"/>
        </w:rPr>
      </w:pPr>
      <w:r>
        <w:rPr>
          <w:rFonts w:hint="eastAsia" w:ascii="宋体" w:hAnsi="宋体"/>
          <w:sz w:val="24"/>
        </w:rPr>
        <w:t>账号：1210205009200198220</w:t>
      </w:r>
    </w:p>
    <w:p w14:paraId="6A20A570">
      <w:pPr>
        <w:spacing w:line="360" w:lineRule="auto"/>
        <w:jc w:val="left"/>
        <w:rPr>
          <w:rFonts w:hint="eastAsia" w:ascii="宋体" w:hAnsi="宋体"/>
          <w:sz w:val="24"/>
        </w:rPr>
      </w:pPr>
      <w:r>
        <w:rPr>
          <w:rFonts w:hint="eastAsia" w:ascii="宋体" w:hAnsi="宋体"/>
          <w:sz w:val="24"/>
        </w:rPr>
        <w:t>开户银行：中国工商银行股份有限公司丽水莲城支行</w:t>
      </w:r>
    </w:p>
    <w:p w14:paraId="0177A058">
      <w:pPr>
        <w:pStyle w:val="12"/>
        <w:spacing w:line="360" w:lineRule="auto"/>
      </w:pPr>
    </w:p>
    <w:p w14:paraId="654EFD99">
      <w:pPr>
        <w:pStyle w:val="75"/>
        <w:spacing w:line="360" w:lineRule="auto"/>
        <w:ind w:firstLine="5320" w:firstLineChars="1900"/>
        <w:rPr>
          <w:rFonts w:hint="eastAsia" w:ascii="宋体" w:hAnsi="宋体"/>
          <w:spacing w:val="20"/>
          <w:sz w:val="24"/>
          <w:szCs w:val="21"/>
        </w:rPr>
      </w:pPr>
    </w:p>
    <w:p w14:paraId="2263C82D">
      <w:pPr>
        <w:pStyle w:val="75"/>
        <w:spacing w:line="360" w:lineRule="auto"/>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903335F">
      <w:pPr>
        <w:pStyle w:val="75"/>
        <w:spacing w:line="360" w:lineRule="auto"/>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F969DD">
      <w:pPr>
        <w:spacing w:line="360" w:lineRule="auto"/>
        <w:jc w:val="left"/>
        <w:rPr>
          <w:rFonts w:hint="eastAsia" w:hAnsi="宋体"/>
          <w:b/>
          <w:sz w:val="32"/>
        </w:rPr>
      </w:pPr>
    </w:p>
    <w:p w14:paraId="50092A04">
      <w:pPr>
        <w:spacing w:line="360" w:lineRule="auto"/>
        <w:jc w:val="left"/>
        <w:rPr>
          <w:rFonts w:hint="eastAsia" w:hAnsi="宋体"/>
          <w:b/>
          <w:sz w:val="32"/>
        </w:rPr>
      </w:pPr>
    </w:p>
    <w:p w14:paraId="4E8812C8">
      <w:pPr>
        <w:spacing w:line="360" w:lineRule="auto"/>
        <w:jc w:val="left"/>
        <w:rPr>
          <w:rFonts w:hint="eastAsia" w:hAnsi="宋体"/>
          <w:b/>
          <w:sz w:val="32"/>
        </w:rPr>
      </w:pPr>
    </w:p>
    <w:p w14:paraId="2A36FE29">
      <w:pPr>
        <w:spacing w:line="360" w:lineRule="auto"/>
        <w:jc w:val="left"/>
        <w:rPr>
          <w:rFonts w:hint="eastAsia" w:hAnsi="宋体"/>
          <w:b/>
          <w:sz w:val="32"/>
        </w:rPr>
      </w:pPr>
    </w:p>
    <w:p w14:paraId="3008B601">
      <w:pPr>
        <w:spacing w:line="360" w:lineRule="auto"/>
        <w:jc w:val="left"/>
        <w:rPr>
          <w:rFonts w:hint="eastAsia" w:hAnsi="宋体"/>
          <w:b/>
          <w:sz w:val="32"/>
        </w:rPr>
      </w:pPr>
    </w:p>
    <w:p w14:paraId="1882A276">
      <w:pPr>
        <w:spacing w:line="360" w:lineRule="auto"/>
        <w:jc w:val="left"/>
        <w:rPr>
          <w:rFonts w:hint="eastAsia" w:hAnsi="宋体"/>
          <w:b/>
          <w:sz w:val="32"/>
        </w:rPr>
      </w:pPr>
    </w:p>
    <w:p w14:paraId="12CB1258">
      <w:pPr>
        <w:spacing w:line="360" w:lineRule="auto"/>
        <w:jc w:val="left"/>
        <w:rPr>
          <w:rFonts w:hint="eastAsia" w:hAnsi="宋体"/>
          <w:b/>
          <w:sz w:val="32"/>
        </w:rPr>
      </w:pPr>
    </w:p>
    <w:p w14:paraId="3DCB3293">
      <w:pPr>
        <w:spacing w:line="360" w:lineRule="auto"/>
        <w:jc w:val="left"/>
        <w:rPr>
          <w:rFonts w:hint="eastAsia" w:hAnsi="宋体"/>
          <w:b/>
          <w:sz w:val="32"/>
        </w:rPr>
      </w:pPr>
    </w:p>
    <w:p w14:paraId="2DDA6C54">
      <w:pPr>
        <w:spacing w:line="360" w:lineRule="auto"/>
        <w:jc w:val="left"/>
        <w:rPr>
          <w:rFonts w:hint="eastAsia" w:hAnsi="宋体"/>
          <w:b/>
          <w:sz w:val="32"/>
        </w:rPr>
      </w:pPr>
    </w:p>
    <w:p w14:paraId="63B253C2">
      <w:pPr>
        <w:spacing w:line="360" w:lineRule="auto"/>
        <w:jc w:val="left"/>
        <w:rPr>
          <w:rFonts w:hint="eastAsia" w:hAnsi="宋体"/>
          <w:b/>
          <w:sz w:val="32"/>
        </w:rPr>
      </w:pPr>
    </w:p>
    <w:p w14:paraId="3317A121">
      <w:pPr>
        <w:spacing w:line="360" w:lineRule="auto"/>
        <w:jc w:val="left"/>
        <w:rPr>
          <w:rFonts w:hint="eastAsia" w:hAnsi="宋体"/>
          <w:b/>
          <w:sz w:val="32"/>
        </w:rPr>
      </w:pPr>
    </w:p>
    <w:p w14:paraId="60D774BD">
      <w:pPr>
        <w:pStyle w:val="112"/>
        <w:numPr>
          <w:ilvl w:val="0"/>
          <w:numId w:val="4"/>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供应商业绩</w:t>
      </w:r>
    </w:p>
    <w:p w14:paraId="0B1D41CC">
      <w:pPr>
        <w:pStyle w:val="112"/>
        <w:numPr>
          <w:ilvl w:val="0"/>
          <w:numId w:val="4"/>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人员配置情况</w:t>
      </w:r>
    </w:p>
    <w:p w14:paraId="322B0A6F">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、总体思路策划方案</w:t>
      </w:r>
    </w:p>
    <w:p w14:paraId="250D4DB4">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、特色服务方案</w:t>
      </w:r>
    </w:p>
    <w:p w14:paraId="217A26E1">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媒体宣传推广方案</w:t>
      </w:r>
    </w:p>
    <w:p w14:paraId="11C39D53">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比赛实施方案</w:t>
      </w:r>
    </w:p>
    <w:p w14:paraId="372A34F0">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、后勤保障方案</w:t>
      </w:r>
    </w:p>
    <w:p w14:paraId="160441EE">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11</w:t>
      </w:r>
      <w:r>
        <w:rPr>
          <w:rFonts w:hint="eastAsia" w:ascii="宋体" w:hAnsi="宋体"/>
          <w:b/>
          <w:color w:val="auto"/>
          <w:sz w:val="32"/>
          <w:szCs w:val="32"/>
          <w:highlight w:val="none"/>
        </w:rPr>
        <w:t>、场地布置方案</w:t>
      </w:r>
    </w:p>
    <w:p w14:paraId="6581B0B3">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12</w:t>
      </w:r>
      <w:r>
        <w:rPr>
          <w:rFonts w:hint="eastAsia" w:ascii="宋体" w:hAnsi="宋体"/>
          <w:b/>
          <w:color w:val="auto"/>
          <w:sz w:val="32"/>
          <w:szCs w:val="32"/>
          <w:highlight w:val="none"/>
        </w:rPr>
        <w:t>、应急预案</w:t>
      </w:r>
    </w:p>
    <w:p w14:paraId="1F6CB1FF">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13</w:t>
      </w:r>
      <w:r>
        <w:rPr>
          <w:rFonts w:hint="eastAsia" w:ascii="宋体" w:hAnsi="宋体"/>
          <w:b/>
          <w:color w:val="auto"/>
          <w:sz w:val="32"/>
          <w:szCs w:val="32"/>
          <w:highlight w:val="none"/>
        </w:rPr>
        <w:t>、医疗安保方案</w:t>
      </w:r>
    </w:p>
    <w:p w14:paraId="49BC93F2">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14</w:t>
      </w:r>
      <w:r>
        <w:rPr>
          <w:rFonts w:hint="eastAsia" w:ascii="宋体" w:hAnsi="宋体"/>
          <w:b/>
          <w:color w:val="auto"/>
          <w:sz w:val="32"/>
          <w:szCs w:val="32"/>
          <w:highlight w:val="none"/>
        </w:rPr>
        <w:t>、特色服务方案</w:t>
      </w:r>
    </w:p>
    <w:p w14:paraId="3A487D1E">
      <w:pPr>
        <w:pStyle w:val="112"/>
        <w:spacing w:after="156" w:line="360" w:lineRule="auto"/>
        <w:ind w:firstLine="321" w:firstLineChars="100"/>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15、方案讲解</w:t>
      </w:r>
    </w:p>
    <w:p w14:paraId="0E5B70D4">
      <w:pPr>
        <w:pStyle w:val="112"/>
        <w:spacing w:after="156" w:line="360" w:lineRule="auto"/>
        <w:ind w:firstLine="321" w:firstLineChars="100"/>
        <w:rPr>
          <w:rFonts w:ascii="宋体" w:hAnsi="宋体"/>
          <w:b/>
          <w:color w:val="auto"/>
          <w:sz w:val="32"/>
          <w:szCs w:val="32"/>
          <w:highlight w:val="none"/>
        </w:rPr>
      </w:pPr>
      <w:r>
        <w:rPr>
          <w:rFonts w:hint="eastAsia" w:ascii="宋体" w:hAnsi="宋体"/>
          <w:b/>
          <w:color w:val="auto"/>
          <w:sz w:val="32"/>
          <w:szCs w:val="32"/>
          <w:highlight w:val="none"/>
          <w:lang w:val="en-US" w:eastAsia="zh-CN"/>
        </w:rPr>
        <w:t>16</w:t>
      </w:r>
      <w:r>
        <w:rPr>
          <w:rFonts w:hint="eastAsia" w:ascii="宋体" w:hAnsi="宋体"/>
          <w:b/>
          <w:color w:val="auto"/>
          <w:sz w:val="32"/>
          <w:szCs w:val="32"/>
          <w:highlight w:val="none"/>
        </w:rPr>
        <w:t>、</w:t>
      </w:r>
      <w:r>
        <w:rPr>
          <w:rFonts w:hint="eastAsia" w:ascii="宋体" w:hAnsi="宋体"/>
          <w:b/>
          <w:bCs/>
          <w:color w:val="auto"/>
          <w:sz w:val="30"/>
          <w:highlight w:val="none"/>
        </w:rPr>
        <w:t>供应商认为需要提供的或评分办法要求提供的其他资料</w:t>
      </w:r>
    </w:p>
    <w:p w14:paraId="324279D2">
      <w:pPr>
        <w:pStyle w:val="112"/>
        <w:spacing w:after="156" w:line="360" w:lineRule="auto"/>
        <w:ind w:firstLine="210" w:firstLineChars="100"/>
      </w:pPr>
    </w:p>
    <w:p w14:paraId="1270F730">
      <w:pPr>
        <w:pStyle w:val="112"/>
        <w:spacing w:after="156"/>
        <w:rPr>
          <w:rFonts w:hint="eastAsia" w:ascii="宋体" w:hAnsi="宋体"/>
          <w:sz w:val="24"/>
        </w:rPr>
      </w:pPr>
      <w:r>
        <w:rPr>
          <w:rFonts w:hint="eastAsia" w:ascii="宋体" w:hAnsi="宋体"/>
          <w:sz w:val="24"/>
        </w:rPr>
        <w:t>内容要求：</w:t>
      </w:r>
    </w:p>
    <w:p w14:paraId="12C79F2B">
      <w:pPr>
        <w:pStyle w:val="112"/>
        <w:spacing w:after="156"/>
        <w:ind w:firstLine="480" w:firstLineChars="200"/>
        <w:rPr>
          <w:rFonts w:hint="eastAsia" w:ascii="宋体" w:hAnsi="宋体"/>
          <w:sz w:val="24"/>
        </w:rPr>
      </w:pPr>
      <w:r>
        <w:rPr>
          <w:rFonts w:hint="eastAsia" w:ascii="宋体" w:hAnsi="宋体"/>
          <w:sz w:val="24"/>
        </w:rPr>
        <w:t>供应商须针对采购需求中有关章节的需求逐个作出实质性的响应，请按采购需求内容的顺序进行详细描述。</w:t>
      </w:r>
    </w:p>
    <w:p w14:paraId="0F31E6FA">
      <w:pPr>
        <w:pStyle w:val="112"/>
        <w:spacing w:after="156"/>
        <w:rPr>
          <w:rFonts w:hint="eastAsia" w:ascii="宋体" w:hAnsi="宋体"/>
          <w:sz w:val="24"/>
        </w:rPr>
      </w:pPr>
      <w:r>
        <w:rPr>
          <w:rFonts w:hint="eastAsia" w:ascii="宋体" w:hAnsi="宋体"/>
          <w:sz w:val="24"/>
        </w:rPr>
        <w:t>注：1.按第三章和第六章内容要求编制；</w:t>
      </w:r>
    </w:p>
    <w:p w14:paraId="0876BAB3">
      <w:pPr>
        <w:ind w:firstLine="465"/>
        <w:rPr>
          <w:rFonts w:hint="eastAsia" w:ascii="宋体" w:hAnsi="宋体"/>
          <w:sz w:val="24"/>
        </w:rPr>
      </w:pPr>
      <w:r>
        <w:rPr>
          <w:rFonts w:ascii="宋体" w:hAnsi="宋体"/>
          <w:sz w:val="24"/>
        </w:rPr>
        <w:t>2.</w:t>
      </w:r>
      <w:r>
        <w:rPr>
          <w:rFonts w:hint="eastAsia" w:ascii="宋体" w:hAnsi="宋体"/>
          <w:sz w:val="24"/>
        </w:rPr>
        <w:t>格式自拟；</w:t>
      </w:r>
    </w:p>
    <w:p w14:paraId="4DE50924">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69C990B">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0A83B93">
      <w:pPr>
        <w:tabs>
          <w:tab w:val="left" w:pos="2355"/>
          <w:tab w:val="center" w:pos="4513"/>
        </w:tabs>
        <w:spacing w:line="360" w:lineRule="auto"/>
        <w:jc w:val="center"/>
        <w:rPr>
          <w:rFonts w:hint="eastAsia" w:hAnsi="宋体"/>
          <w:spacing w:val="20"/>
          <w:sz w:val="24"/>
          <w:u w:val="single"/>
        </w:rPr>
      </w:pPr>
      <w:r>
        <w:rPr>
          <w:rFonts w:ascii="宋体" w:hAnsi="宋体"/>
          <w:sz w:val="32"/>
        </w:rPr>
        <w:br w:type="page"/>
      </w:r>
    </w:p>
    <w:p w14:paraId="7CE1B70F">
      <w:pPr>
        <w:pStyle w:val="4"/>
        <w:tabs>
          <w:tab w:val="left" w:pos="3405"/>
        </w:tabs>
        <w:ind w:firstLine="321" w:firstLineChars="100"/>
        <w:jc w:val="center"/>
        <w:rPr>
          <w:rFonts w:hint="eastAsia" w:ascii="宋体" w:hAnsi="宋体"/>
          <w:sz w:val="32"/>
        </w:rPr>
      </w:pPr>
      <w:bookmarkStart w:id="392" w:name="_Toc94277261"/>
      <w:bookmarkStart w:id="393" w:name="_Toc9853"/>
      <w:bookmarkStart w:id="394" w:name="_Toc24749"/>
    </w:p>
    <w:p w14:paraId="2E472C4F">
      <w:pPr>
        <w:pStyle w:val="4"/>
        <w:tabs>
          <w:tab w:val="left" w:pos="3405"/>
        </w:tabs>
        <w:ind w:firstLine="321" w:firstLineChars="100"/>
        <w:jc w:val="center"/>
        <w:rPr>
          <w:rFonts w:hint="eastAsia" w:ascii="宋体" w:hAnsi="宋体"/>
          <w:sz w:val="32"/>
        </w:rPr>
      </w:pPr>
    </w:p>
    <w:p w14:paraId="7102448D">
      <w:pPr>
        <w:pStyle w:val="4"/>
        <w:tabs>
          <w:tab w:val="left" w:pos="3405"/>
        </w:tabs>
        <w:ind w:firstLine="321" w:firstLineChars="100"/>
        <w:jc w:val="center"/>
        <w:rPr>
          <w:rFonts w:hint="eastAsia" w:ascii="宋体" w:hAnsi="宋体"/>
          <w:sz w:val="32"/>
        </w:rPr>
      </w:pPr>
      <w:bookmarkStart w:id="395" w:name="_Toc4294"/>
      <w:bookmarkStart w:id="396" w:name="_Toc860"/>
      <w:bookmarkStart w:id="397" w:name="_Toc18477"/>
      <w:r>
        <w:rPr>
          <w:rFonts w:hint="eastAsia" w:ascii="宋体" w:hAnsi="宋体"/>
          <w:sz w:val="32"/>
        </w:rPr>
        <w:t>三  报价文件格式</w:t>
      </w:r>
      <w:bookmarkEnd w:id="392"/>
      <w:bookmarkEnd w:id="393"/>
      <w:bookmarkEnd w:id="394"/>
      <w:bookmarkEnd w:id="395"/>
      <w:bookmarkEnd w:id="396"/>
      <w:bookmarkEnd w:id="397"/>
    </w:p>
    <w:p w14:paraId="7F0CC05E">
      <w:pPr>
        <w:rPr>
          <w:sz w:val="32"/>
        </w:rPr>
      </w:pPr>
      <w:r>
        <w:br w:type="page"/>
      </w:r>
    </w:p>
    <w:p w14:paraId="273CCCC3">
      <w:pPr>
        <w:spacing w:line="360" w:lineRule="auto"/>
        <w:jc w:val="center"/>
        <w:rPr>
          <w:rFonts w:hint="eastAsia" w:ascii="宋体" w:hAnsi="宋体"/>
          <w:b/>
          <w:sz w:val="30"/>
        </w:rPr>
      </w:pPr>
    </w:p>
    <w:p w14:paraId="62881CFE">
      <w:pPr>
        <w:spacing w:line="360" w:lineRule="auto"/>
        <w:jc w:val="center"/>
        <w:rPr>
          <w:rFonts w:hint="eastAsia" w:ascii="宋体" w:hAnsi="宋体"/>
          <w:b/>
          <w:sz w:val="32"/>
        </w:rPr>
      </w:pPr>
      <w:r>
        <w:rPr>
          <w:rFonts w:hint="eastAsia" w:ascii="宋体" w:hAnsi="宋体"/>
          <w:b/>
          <w:sz w:val="32"/>
        </w:rPr>
        <w:t>报价文件封面</w:t>
      </w:r>
    </w:p>
    <w:p w14:paraId="1ACD3968">
      <w:pPr>
        <w:pStyle w:val="5"/>
        <w:spacing w:line="360" w:lineRule="auto"/>
        <w:ind w:firstLine="900" w:firstLineChars="250"/>
        <w:rPr>
          <w:rFonts w:hint="eastAsia" w:ascii="宋体" w:hAnsi="宋体"/>
          <w:sz w:val="36"/>
        </w:rPr>
      </w:pPr>
    </w:p>
    <w:p w14:paraId="4E200B4B">
      <w:pPr>
        <w:pStyle w:val="5"/>
        <w:spacing w:line="360" w:lineRule="auto"/>
        <w:ind w:firstLine="900" w:firstLineChars="250"/>
        <w:rPr>
          <w:rFonts w:hint="eastAsia" w:ascii="宋体" w:hAnsi="宋体"/>
          <w:sz w:val="36"/>
        </w:rPr>
      </w:pPr>
    </w:p>
    <w:p w14:paraId="3E5E2525">
      <w:pPr>
        <w:pStyle w:val="5"/>
        <w:spacing w:line="360" w:lineRule="auto"/>
        <w:ind w:firstLine="900" w:firstLineChars="250"/>
        <w:rPr>
          <w:rFonts w:hint="eastAsia" w:ascii="宋体" w:hAnsi="宋体"/>
          <w:sz w:val="36"/>
        </w:rPr>
      </w:pPr>
      <w:r>
        <w:rPr>
          <w:rFonts w:ascii="宋体" w:hAnsi="宋体"/>
          <w:sz w:val="36"/>
        </w:rPr>
        <w:t>采购编号：</w:t>
      </w:r>
    </w:p>
    <w:p w14:paraId="3CC3E1AC">
      <w:pPr>
        <w:pStyle w:val="5"/>
        <w:spacing w:line="360" w:lineRule="auto"/>
        <w:ind w:firstLine="0"/>
        <w:rPr>
          <w:rFonts w:hint="eastAsia" w:ascii="宋体" w:hAnsi="宋体"/>
          <w:sz w:val="36"/>
        </w:rPr>
      </w:pPr>
    </w:p>
    <w:p w14:paraId="41B5462C">
      <w:pPr>
        <w:pStyle w:val="5"/>
        <w:spacing w:line="360" w:lineRule="auto"/>
        <w:ind w:firstLine="900" w:firstLineChars="250"/>
        <w:rPr>
          <w:rFonts w:hint="eastAsia" w:ascii="宋体" w:hAnsi="宋体"/>
          <w:sz w:val="36"/>
        </w:rPr>
      </w:pPr>
      <w:r>
        <w:rPr>
          <w:rFonts w:ascii="宋体" w:hAnsi="宋体"/>
          <w:sz w:val="36"/>
        </w:rPr>
        <w:t>项目名称：</w:t>
      </w:r>
    </w:p>
    <w:p w14:paraId="6251D2C9">
      <w:pPr>
        <w:pStyle w:val="5"/>
        <w:spacing w:line="360" w:lineRule="auto"/>
        <w:ind w:firstLine="900" w:firstLineChars="250"/>
        <w:rPr>
          <w:rFonts w:hint="eastAsia" w:ascii="宋体" w:hAnsi="宋体"/>
          <w:sz w:val="36"/>
        </w:rPr>
      </w:pPr>
    </w:p>
    <w:p w14:paraId="781049D3">
      <w:pPr>
        <w:pStyle w:val="5"/>
        <w:spacing w:line="360" w:lineRule="auto"/>
        <w:ind w:firstLine="900" w:firstLineChars="250"/>
        <w:rPr>
          <w:rFonts w:hint="eastAsia" w:ascii="宋体" w:hAnsi="宋体"/>
          <w:sz w:val="36"/>
        </w:rPr>
      </w:pPr>
    </w:p>
    <w:p w14:paraId="23ED1792">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报价文件</w:t>
      </w:r>
    </w:p>
    <w:p w14:paraId="59ADEF83">
      <w:pPr>
        <w:pStyle w:val="5"/>
        <w:spacing w:line="360" w:lineRule="auto"/>
        <w:ind w:firstLine="900" w:firstLineChars="250"/>
        <w:rPr>
          <w:rFonts w:hint="eastAsia" w:ascii="宋体" w:hAnsi="宋体"/>
          <w:sz w:val="36"/>
        </w:rPr>
      </w:pPr>
    </w:p>
    <w:p w14:paraId="00CA6CA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70B60F83">
      <w:pPr>
        <w:pStyle w:val="5"/>
        <w:spacing w:line="360" w:lineRule="auto"/>
        <w:ind w:firstLine="900" w:firstLineChars="250"/>
        <w:rPr>
          <w:rFonts w:hint="eastAsia" w:ascii="宋体" w:hAnsi="宋体"/>
          <w:sz w:val="36"/>
        </w:rPr>
      </w:pPr>
    </w:p>
    <w:p w14:paraId="137E092F">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65330100">
      <w:pPr>
        <w:pStyle w:val="5"/>
        <w:ind w:firstLine="1440" w:firstLineChars="400"/>
        <w:rPr>
          <w:rFonts w:hint="eastAsia" w:ascii="宋体" w:hAnsi="宋体"/>
          <w:sz w:val="36"/>
        </w:rPr>
      </w:pPr>
    </w:p>
    <w:p w14:paraId="70BA4E4A">
      <w:pPr>
        <w:pStyle w:val="17"/>
        <w:spacing w:line="360" w:lineRule="auto"/>
        <w:ind w:firstLine="3480" w:firstLineChars="1450"/>
        <w:rPr>
          <w:rFonts w:hint="eastAsia" w:hAnsi="宋体"/>
          <w:sz w:val="24"/>
        </w:rPr>
      </w:pPr>
    </w:p>
    <w:p w14:paraId="365A5F4D">
      <w:pPr>
        <w:spacing w:line="360" w:lineRule="auto"/>
        <w:jc w:val="center"/>
        <w:rPr>
          <w:rFonts w:hint="eastAsia" w:ascii="宋体" w:hAnsi="宋体"/>
          <w:sz w:val="30"/>
        </w:rPr>
      </w:pPr>
    </w:p>
    <w:p w14:paraId="4406CE89">
      <w:pPr>
        <w:spacing w:line="360" w:lineRule="auto"/>
        <w:jc w:val="center"/>
        <w:rPr>
          <w:rFonts w:hint="eastAsia" w:ascii="宋体" w:hAnsi="宋体"/>
          <w:sz w:val="30"/>
        </w:rPr>
      </w:pPr>
      <w:r>
        <w:rPr>
          <w:rFonts w:ascii="宋体" w:hAnsi="宋体"/>
          <w:sz w:val="30"/>
        </w:rPr>
        <w:br w:type="page"/>
      </w:r>
      <w:r>
        <w:rPr>
          <w:rFonts w:hint="eastAsia" w:ascii="宋体" w:hAnsi="宋体"/>
          <w:sz w:val="30"/>
        </w:rPr>
        <w:t>1、报价书（开标一览表）</w:t>
      </w:r>
    </w:p>
    <w:p w14:paraId="542E3523">
      <w:pPr>
        <w:spacing w:line="360" w:lineRule="auto"/>
        <w:rPr>
          <w:rFonts w:hint="eastAsia" w:ascii="宋体" w:hAnsi="宋体"/>
          <w:spacing w:val="20"/>
          <w:sz w:val="24"/>
        </w:rPr>
      </w:pPr>
      <w:r>
        <w:rPr>
          <w:rFonts w:hint="eastAsia" w:ascii="宋体" w:hAnsi="宋体"/>
          <w:spacing w:val="20"/>
          <w:sz w:val="24"/>
        </w:rPr>
        <w:t>采购编号：</w:t>
      </w:r>
    </w:p>
    <w:p w14:paraId="0BB9519D">
      <w:pPr>
        <w:spacing w:line="360" w:lineRule="auto"/>
        <w:rPr>
          <w:rFonts w:hint="eastAsia" w:ascii="宋体" w:hAnsi="宋体"/>
          <w:spacing w:val="20"/>
          <w:sz w:val="24"/>
        </w:rPr>
      </w:pPr>
      <w:r>
        <w:rPr>
          <w:rFonts w:hint="eastAsia" w:ascii="宋体" w:hAnsi="宋体"/>
          <w:spacing w:val="20"/>
          <w:sz w:val="24"/>
        </w:rPr>
        <w:t>项目名称：</w:t>
      </w:r>
    </w:p>
    <w:p w14:paraId="5F7CBBF7">
      <w:pPr>
        <w:spacing w:line="360" w:lineRule="auto"/>
        <w:rPr>
          <w:rFonts w:hint="eastAsia" w:ascii="宋体" w:hAnsi="宋体"/>
          <w:spacing w:val="20"/>
          <w:szCs w:val="21"/>
        </w:rPr>
      </w:pPr>
      <w:r>
        <w:rPr>
          <w:rFonts w:ascii="宋体" w:hAnsi="宋体"/>
          <w:spacing w:val="20"/>
          <w:sz w:val="24"/>
        </w:rPr>
        <w:t xml:space="preserve">                                </w:t>
      </w: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Cs w:val="21"/>
        </w:rPr>
        <w:t>单位:人民币元</w:t>
      </w:r>
    </w:p>
    <w:tbl>
      <w:tblPr>
        <w:tblStyle w:val="32"/>
        <w:tblW w:w="92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0"/>
        <w:gridCol w:w="3378"/>
        <w:gridCol w:w="4929"/>
      </w:tblGrid>
      <w:tr w14:paraId="47E4717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990" w:type="dxa"/>
            <w:tcBorders>
              <w:bottom w:val="single" w:color="000000" w:sz="6" w:space="0"/>
              <w:right w:val="single" w:color="auto" w:sz="4" w:space="0"/>
            </w:tcBorders>
            <w:vAlign w:val="center"/>
          </w:tcPr>
          <w:p w14:paraId="4F43DAF5">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序号</w:t>
            </w:r>
          </w:p>
        </w:tc>
        <w:tc>
          <w:tcPr>
            <w:tcW w:w="3378" w:type="dxa"/>
            <w:tcBorders>
              <w:left w:val="single" w:color="auto" w:sz="4" w:space="0"/>
              <w:bottom w:val="single" w:color="000000" w:sz="6" w:space="0"/>
              <w:right w:val="single" w:color="000000" w:sz="6" w:space="0"/>
            </w:tcBorders>
            <w:vAlign w:val="center"/>
          </w:tcPr>
          <w:p w14:paraId="7933B5E1">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项目名称</w:t>
            </w:r>
          </w:p>
        </w:tc>
        <w:tc>
          <w:tcPr>
            <w:tcW w:w="4929" w:type="dxa"/>
            <w:tcBorders>
              <w:left w:val="single" w:color="000000" w:sz="6" w:space="0"/>
              <w:bottom w:val="single" w:color="000000" w:sz="6" w:space="0"/>
            </w:tcBorders>
            <w:vAlign w:val="center"/>
          </w:tcPr>
          <w:p w14:paraId="4FD56083">
            <w:pPr>
              <w:spacing w:line="360" w:lineRule="auto"/>
              <w:jc w:val="center"/>
              <w:rPr>
                <w:rFonts w:hint="eastAsia" w:ascii="宋体" w:hAnsi="宋体"/>
                <w:caps/>
                <w:spacing w:val="20"/>
                <w:sz w:val="24"/>
              </w:rPr>
            </w:pPr>
            <w:r>
              <w:rPr>
                <w:rFonts w:hint="eastAsia" w:ascii="宋体" w:hAnsi="宋体"/>
                <w:caps/>
                <w:spacing w:val="20"/>
                <w:sz w:val="24"/>
              </w:rPr>
              <w:t>总报价</w:t>
            </w:r>
          </w:p>
        </w:tc>
      </w:tr>
      <w:tr w14:paraId="44038BF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86" w:hRule="atLeast"/>
          <w:jc w:val="center"/>
        </w:trPr>
        <w:tc>
          <w:tcPr>
            <w:tcW w:w="990" w:type="dxa"/>
            <w:tcBorders>
              <w:top w:val="single" w:color="000000" w:sz="6" w:space="0"/>
              <w:bottom w:val="single" w:color="000000" w:sz="6" w:space="0"/>
              <w:right w:val="single" w:color="auto" w:sz="4" w:space="0"/>
            </w:tcBorders>
            <w:vAlign w:val="center"/>
          </w:tcPr>
          <w:p w14:paraId="21E1769D">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1</w:t>
            </w:r>
          </w:p>
        </w:tc>
        <w:tc>
          <w:tcPr>
            <w:tcW w:w="3378" w:type="dxa"/>
            <w:tcBorders>
              <w:top w:val="single" w:color="000000" w:sz="6" w:space="0"/>
              <w:left w:val="single" w:color="auto" w:sz="4" w:space="0"/>
              <w:bottom w:val="single" w:color="000000" w:sz="6" w:space="0"/>
              <w:right w:val="single" w:color="000000" w:sz="6" w:space="0"/>
            </w:tcBorders>
            <w:vAlign w:val="center"/>
          </w:tcPr>
          <w:p w14:paraId="61902818">
            <w:pPr>
              <w:snapToGrid w:val="0"/>
              <w:spacing w:line="360" w:lineRule="auto"/>
              <w:jc w:val="center"/>
              <w:rPr>
                <w:rFonts w:hint="eastAsia" w:ascii="宋体" w:hAnsi="宋体" w:eastAsia="宋体"/>
                <w:caps/>
                <w:spacing w:val="20"/>
                <w:kern w:val="0"/>
                <w:sz w:val="24"/>
                <w:lang w:eastAsia="zh-CN"/>
              </w:rPr>
            </w:pPr>
            <w:r>
              <w:rPr>
                <w:rFonts w:hint="eastAsia" w:ascii="宋体" w:hAnsi="宋体" w:cs="Times New Roman"/>
                <w:caps/>
                <w:spacing w:val="20"/>
                <w:kern w:val="0"/>
                <w:sz w:val="24"/>
                <w:lang w:eastAsia="zh-CN"/>
              </w:rPr>
              <w:t>2025年省青少年学生阳光体育运动会航海模型、建筑模型竞赛项目</w:t>
            </w:r>
          </w:p>
        </w:tc>
        <w:tc>
          <w:tcPr>
            <w:tcW w:w="4929" w:type="dxa"/>
            <w:tcBorders>
              <w:top w:val="single" w:color="000000" w:sz="6" w:space="0"/>
              <w:left w:val="single" w:color="000000" w:sz="6" w:space="0"/>
              <w:bottom w:val="single" w:color="000000" w:sz="6" w:space="0"/>
            </w:tcBorders>
            <w:vAlign w:val="center"/>
          </w:tcPr>
          <w:p w14:paraId="725F105C">
            <w:pPr>
              <w:spacing w:line="360" w:lineRule="auto"/>
              <w:rPr>
                <w:rFonts w:hint="eastAsia" w:ascii="宋体" w:hAnsi="宋体"/>
                <w:spacing w:val="20"/>
                <w:sz w:val="24"/>
              </w:rPr>
            </w:pPr>
            <w:r>
              <w:rPr>
                <w:rFonts w:hint="eastAsia" w:ascii="宋体" w:hAnsi="宋体"/>
                <w:spacing w:val="20"/>
                <w:sz w:val="24"/>
              </w:rPr>
              <w:t>大写               （¥       ）</w:t>
            </w:r>
          </w:p>
        </w:tc>
      </w:tr>
    </w:tbl>
    <w:p w14:paraId="571E3868">
      <w:pPr>
        <w:pStyle w:val="12"/>
      </w:pPr>
    </w:p>
    <w:p w14:paraId="3D66E345">
      <w:pPr>
        <w:spacing w:line="360" w:lineRule="auto"/>
        <w:rPr>
          <w:rFonts w:hint="eastAsia" w:ascii="宋体" w:hAnsi="宋体"/>
          <w:spacing w:val="20"/>
          <w:sz w:val="24"/>
        </w:rPr>
      </w:pPr>
      <w:r>
        <w:rPr>
          <w:rFonts w:hint="eastAsia" w:ascii="宋体" w:hAnsi="宋体"/>
          <w:spacing w:val="20"/>
          <w:sz w:val="24"/>
        </w:rPr>
        <w:t xml:space="preserve">               </w:t>
      </w:r>
      <w:r>
        <w:rPr>
          <w:rFonts w:hint="eastAsia" w:ascii="宋体" w:hAnsi="宋体"/>
          <w:b/>
          <w:spacing w:val="20"/>
          <w:sz w:val="24"/>
        </w:rPr>
        <w:t xml:space="preserve"> </w:t>
      </w:r>
      <w:r>
        <w:rPr>
          <w:rFonts w:hint="eastAsia" w:ascii="宋体" w:hAnsi="宋体"/>
          <w:spacing w:val="20"/>
          <w:sz w:val="24"/>
        </w:rPr>
        <w:t xml:space="preserve">                            </w:t>
      </w:r>
    </w:p>
    <w:p w14:paraId="2F29A0B7">
      <w:pPr>
        <w:spacing w:line="360" w:lineRule="auto"/>
        <w:ind w:firstLine="482" w:firstLineChars="200"/>
        <w:rPr>
          <w:rFonts w:hint="eastAsia" w:ascii="宋体" w:hAnsi="宋体"/>
          <w:b/>
          <w:bCs/>
          <w:sz w:val="24"/>
        </w:rPr>
      </w:pPr>
      <w:r>
        <w:rPr>
          <w:rFonts w:hint="eastAsia" w:ascii="宋体" w:hAnsi="宋体"/>
          <w:b/>
          <w:bCs/>
          <w:sz w:val="24"/>
        </w:rPr>
        <w:t>注：</w:t>
      </w:r>
    </w:p>
    <w:p w14:paraId="6B074D5E">
      <w:pPr>
        <w:numPr>
          <w:ilvl w:val="0"/>
          <w:numId w:val="0"/>
        </w:numPr>
        <w:spacing w:line="360" w:lineRule="auto"/>
        <w:ind w:firstLine="562" w:firstLineChars="200"/>
        <w:rPr>
          <w:rFonts w:hint="eastAsia" w:ascii="宋体" w:hAnsi="宋体"/>
          <w:b/>
          <w:spacing w:val="20"/>
          <w:sz w:val="24"/>
          <w:highlight w:val="yellow"/>
        </w:rPr>
      </w:pPr>
      <w:r>
        <w:rPr>
          <w:rFonts w:hint="eastAsia" w:ascii="宋体" w:hAnsi="宋体"/>
          <w:b/>
          <w:spacing w:val="20"/>
          <w:sz w:val="24"/>
        </w:rPr>
        <w:t>1、</w:t>
      </w:r>
      <w:r>
        <w:rPr>
          <w:rFonts w:hint="eastAsia" w:ascii="宋体" w:hAnsi="宋体" w:cs="Times New Roman"/>
          <w:b/>
          <w:sz w:val="24"/>
        </w:rPr>
        <w:t>供应商的磋商报价应包含人工费，服务费、物料费、利润、税费等各项费用及不可预见费等所需的一切费用。</w:t>
      </w:r>
    </w:p>
    <w:p w14:paraId="122FF488">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b/>
          <w:sz w:val="24"/>
        </w:rPr>
        <w:t>2、最终报价高于最高限价的作无效标处理。</w:t>
      </w:r>
    </w:p>
    <w:p w14:paraId="54C4AFBD">
      <w:pPr>
        <w:spacing w:line="360" w:lineRule="auto"/>
        <w:ind w:firstLine="562" w:firstLineChars="200"/>
        <w:rPr>
          <w:rFonts w:hint="eastAsia" w:ascii="宋体" w:hAnsi="宋体"/>
          <w:b/>
          <w:spacing w:val="20"/>
          <w:sz w:val="24"/>
        </w:rPr>
      </w:pPr>
    </w:p>
    <w:p w14:paraId="1896D78E">
      <w:pPr>
        <w:pStyle w:val="17"/>
        <w:spacing w:line="440" w:lineRule="exact"/>
        <w:jc w:val="left"/>
        <w:rPr>
          <w:rFonts w:hint="eastAsia" w:hAnsi="宋体"/>
          <w:spacing w:val="20"/>
          <w:sz w:val="24"/>
        </w:rPr>
      </w:pPr>
    </w:p>
    <w:p w14:paraId="6DD819A8">
      <w:pPr>
        <w:pStyle w:val="17"/>
        <w:spacing w:line="440" w:lineRule="exact"/>
        <w:ind w:firstLine="2520" w:firstLineChars="900"/>
        <w:rPr>
          <w:rFonts w:hint="eastAsia" w:hAnsi="宋体"/>
          <w:spacing w:val="20"/>
          <w:sz w:val="24"/>
        </w:rPr>
      </w:pPr>
    </w:p>
    <w:p w14:paraId="165D2F48">
      <w:pPr>
        <w:pStyle w:val="17"/>
        <w:spacing w:line="440" w:lineRule="exact"/>
        <w:rPr>
          <w:rFonts w:hint="eastAsia" w:hAnsi="宋体"/>
          <w:spacing w:val="20"/>
          <w:sz w:val="24"/>
        </w:rPr>
      </w:pPr>
    </w:p>
    <w:p w14:paraId="0FEB8A57">
      <w:pPr>
        <w:spacing w:line="360" w:lineRule="auto"/>
        <w:jc w:val="center"/>
        <w:rPr>
          <w:rFonts w:hint="eastAsia" w:ascii="宋体" w:hAnsi="宋体" w:cs="宋体"/>
          <w:sz w:val="30"/>
        </w:rPr>
      </w:pPr>
      <w:r>
        <w:rPr>
          <w:rFonts w:ascii="宋体" w:hAnsi="宋体"/>
          <w:sz w:val="30"/>
        </w:rPr>
        <w:br w:type="page"/>
      </w:r>
      <w:r>
        <w:rPr>
          <w:rFonts w:hint="eastAsia" w:ascii="宋体" w:hAnsi="宋体" w:cs="宋体"/>
          <w:sz w:val="30"/>
        </w:rPr>
        <w:t>2、分项报价表</w:t>
      </w:r>
    </w:p>
    <w:p w14:paraId="5A26F363">
      <w:pPr>
        <w:spacing w:line="360" w:lineRule="auto"/>
        <w:rPr>
          <w:rFonts w:hint="eastAsia" w:ascii="宋体" w:hAnsi="宋体" w:cs="宋体"/>
          <w:spacing w:val="20"/>
          <w:sz w:val="24"/>
        </w:rPr>
      </w:pPr>
    </w:p>
    <w:p w14:paraId="2353F741">
      <w:pPr>
        <w:spacing w:line="360" w:lineRule="auto"/>
        <w:rPr>
          <w:rFonts w:hint="eastAsia" w:ascii="宋体" w:hAnsi="宋体" w:cs="宋体"/>
          <w:spacing w:val="20"/>
          <w:sz w:val="24"/>
        </w:rPr>
      </w:pPr>
      <w:r>
        <w:rPr>
          <w:rFonts w:hint="eastAsia" w:ascii="宋体" w:hAnsi="宋体" w:cs="宋体"/>
          <w:spacing w:val="20"/>
          <w:sz w:val="24"/>
        </w:rPr>
        <w:t>采购编号：</w:t>
      </w:r>
    </w:p>
    <w:p w14:paraId="67414DBB">
      <w:pPr>
        <w:spacing w:line="360" w:lineRule="auto"/>
        <w:jc w:val="left"/>
        <w:rPr>
          <w:rFonts w:hint="eastAsia" w:ascii="宋体" w:hAnsi="宋体" w:cs="宋体"/>
          <w:spacing w:val="20"/>
          <w:sz w:val="24"/>
        </w:rPr>
      </w:pPr>
      <w:r>
        <w:rPr>
          <w:rFonts w:hint="eastAsia" w:ascii="宋体" w:hAnsi="宋体" w:cs="宋体"/>
          <w:spacing w:val="20"/>
          <w:sz w:val="24"/>
        </w:rPr>
        <w:t>项目名称：                                 报价单位：人民币元</w:t>
      </w:r>
    </w:p>
    <w:p w14:paraId="4F4FE5F6">
      <w:pPr>
        <w:pStyle w:val="5"/>
        <w:rPr>
          <w:rFonts w:hint="eastAsia" w:ascii="宋体" w:hAnsi="宋体" w:cs="宋体"/>
          <w:spacing w:val="20"/>
          <w:sz w:val="24"/>
        </w:rPr>
      </w:pPr>
    </w:p>
    <w:p w14:paraId="4735DED7">
      <w:pPr>
        <w:pStyle w:val="13"/>
        <w:rPr>
          <w:rFonts w:hint="eastAsia" w:ascii="宋体" w:hAnsi="宋体" w:cs="宋体"/>
        </w:rPr>
      </w:pPr>
    </w:p>
    <w:p w14:paraId="78B2BB17">
      <w:pPr>
        <w:jc w:val="center"/>
        <w:rPr>
          <w:rFonts w:hint="eastAsia" w:ascii="宋体" w:hAnsi="宋体" w:cs="宋体"/>
          <w:sz w:val="24"/>
        </w:rPr>
      </w:pPr>
    </w:p>
    <w:p w14:paraId="7BC04B27">
      <w:pPr>
        <w:jc w:val="center"/>
        <w:rPr>
          <w:rFonts w:hint="eastAsia" w:ascii="宋体" w:hAnsi="宋体" w:cs="宋体"/>
          <w:sz w:val="24"/>
        </w:rPr>
      </w:pPr>
      <w:r>
        <w:rPr>
          <w:rFonts w:hint="eastAsia" w:ascii="宋体" w:hAnsi="宋体" w:cs="宋体"/>
          <w:sz w:val="24"/>
        </w:rPr>
        <w:t>格式自拟</w:t>
      </w:r>
    </w:p>
    <w:p w14:paraId="1B10034B">
      <w:pPr>
        <w:pStyle w:val="5"/>
        <w:rPr>
          <w:rFonts w:hint="eastAsia" w:ascii="宋体" w:hAnsi="宋体" w:cs="宋体"/>
          <w:sz w:val="24"/>
        </w:rPr>
      </w:pPr>
    </w:p>
    <w:p w14:paraId="505B0BEB">
      <w:pPr>
        <w:pStyle w:val="13"/>
        <w:rPr>
          <w:rFonts w:hint="eastAsia" w:ascii="宋体" w:hAnsi="宋体" w:cs="宋体"/>
          <w:sz w:val="24"/>
        </w:rPr>
      </w:pPr>
    </w:p>
    <w:p w14:paraId="4FE50EA3">
      <w:pPr>
        <w:pStyle w:val="5"/>
        <w:rPr>
          <w:rFonts w:hint="eastAsia" w:ascii="宋体" w:hAnsi="宋体" w:cs="宋体"/>
          <w:sz w:val="24"/>
        </w:rPr>
      </w:pPr>
    </w:p>
    <w:p w14:paraId="216F5C02">
      <w:pPr>
        <w:pStyle w:val="13"/>
        <w:rPr>
          <w:rFonts w:hint="eastAsia" w:ascii="宋体" w:hAnsi="宋体" w:cs="宋体"/>
        </w:rPr>
      </w:pPr>
    </w:p>
    <w:p w14:paraId="48297591">
      <w:pPr>
        <w:spacing w:line="360" w:lineRule="auto"/>
        <w:rPr>
          <w:rFonts w:hint="eastAsia" w:ascii="宋体" w:hAnsi="宋体" w:cs="宋体"/>
          <w:sz w:val="24"/>
        </w:rPr>
      </w:pPr>
      <w:r>
        <w:rPr>
          <w:rFonts w:hint="eastAsia" w:ascii="宋体" w:hAnsi="宋体" w:cs="宋体"/>
          <w:sz w:val="24"/>
        </w:rPr>
        <w:t>要求：</w:t>
      </w:r>
    </w:p>
    <w:p w14:paraId="79902865">
      <w:pPr>
        <w:spacing w:line="360" w:lineRule="auto"/>
        <w:ind w:firstLine="472" w:firstLineChars="196"/>
        <w:rPr>
          <w:rFonts w:hint="eastAsia" w:ascii="宋体" w:hAnsi="宋体" w:cs="宋体"/>
          <w:b/>
          <w:sz w:val="24"/>
        </w:rPr>
      </w:pPr>
      <w:r>
        <w:rPr>
          <w:rFonts w:hint="eastAsia" w:ascii="宋体" w:hAnsi="宋体" w:cs="宋体"/>
          <w:b/>
          <w:sz w:val="24"/>
        </w:rPr>
        <w:t>▲1. 各单项报价不得为0，否则作无效标处理；</w:t>
      </w:r>
    </w:p>
    <w:p w14:paraId="2A6A9A09">
      <w:pPr>
        <w:numPr>
          <w:ilvl w:val="0"/>
          <w:numId w:val="5"/>
        </w:num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报价应</w:t>
      </w:r>
      <w:r>
        <w:rPr>
          <w:rFonts w:hint="eastAsia" w:ascii="宋体" w:hAnsi="宋体" w:cs="宋体"/>
          <w:sz w:val="24"/>
        </w:rPr>
        <w:t>包含人工费，服务费、物料费、利润、税费等各项费用及不可预见费等所需的一切费用。</w:t>
      </w:r>
    </w:p>
    <w:p w14:paraId="56A4221C">
      <w:pPr>
        <w:numPr>
          <w:ilvl w:val="0"/>
          <w:numId w:val="5"/>
        </w:numPr>
        <w:spacing w:line="360" w:lineRule="auto"/>
        <w:ind w:firstLine="720" w:firstLineChars="300"/>
        <w:rPr>
          <w:rFonts w:hint="eastAsia" w:ascii="宋体" w:hAnsi="宋体" w:cs="宋体"/>
          <w:sz w:val="24"/>
        </w:rPr>
      </w:pPr>
      <w:r>
        <w:rPr>
          <w:rFonts w:hint="eastAsia" w:ascii="宋体" w:hAnsi="宋体" w:cs="宋体"/>
          <w:sz w:val="24"/>
        </w:rPr>
        <w:t>分项报价的总计金额必须与开标一览表报价相同。</w:t>
      </w:r>
    </w:p>
    <w:p w14:paraId="71BD7A04">
      <w:pPr>
        <w:widowControl/>
        <w:spacing w:line="480" w:lineRule="auto"/>
        <w:rPr>
          <w:rFonts w:hint="eastAsia" w:ascii="宋体" w:hAnsi="宋体" w:cs="宋体"/>
        </w:rPr>
      </w:pPr>
    </w:p>
    <w:p w14:paraId="0CFED03C">
      <w:pPr>
        <w:widowControl/>
        <w:spacing w:line="480" w:lineRule="auto"/>
        <w:rPr>
          <w:rFonts w:hint="eastAsia" w:ascii="宋体" w:hAnsi="宋体" w:cs="宋体"/>
        </w:rPr>
      </w:pPr>
    </w:p>
    <w:p w14:paraId="26874D1D">
      <w:pPr>
        <w:widowControl/>
        <w:spacing w:line="480" w:lineRule="auto"/>
        <w:rPr>
          <w:rFonts w:hint="eastAsia" w:ascii="宋体" w:hAnsi="宋体" w:cs="宋体"/>
        </w:rPr>
      </w:pPr>
    </w:p>
    <w:p w14:paraId="2FA617AB">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11E6D590">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5F9BB201">
      <w:pPr>
        <w:spacing w:line="360" w:lineRule="auto"/>
        <w:ind w:firstLine="720" w:firstLineChars="300"/>
        <w:rPr>
          <w:rFonts w:hint="eastAsia" w:hAnsi="宋体"/>
          <w:sz w:val="24"/>
        </w:rPr>
      </w:pPr>
    </w:p>
    <w:p w14:paraId="7308AF25">
      <w:pPr>
        <w:widowControl/>
        <w:spacing w:line="480" w:lineRule="auto"/>
        <w:jc w:val="center"/>
        <w:rPr>
          <w:rFonts w:hint="eastAsia" w:ascii="宋体" w:hAnsi="宋体"/>
          <w:b/>
          <w:sz w:val="30"/>
        </w:rPr>
      </w:pPr>
    </w:p>
    <w:p w14:paraId="2F341607">
      <w:pPr>
        <w:widowControl/>
        <w:spacing w:line="480" w:lineRule="auto"/>
        <w:jc w:val="center"/>
        <w:rPr>
          <w:rFonts w:hint="eastAsia" w:ascii="宋体" w:hAnsi="宋体"/>
          <w:b/>
          <w:sz w:val="30"/>
        </w:rPr>
      </w:pPr>
    </w:p>
    <w:p w14:paraId="7C3DE07B">
      <w:pPr>
        <w:widowControl/>
        <w:spacing w:line="480" w:lineRule="auto"/>
        <w:jc w:val="center"/>
        <w:rPr>
          <w:rFonts w:hint="eastAsia" w:ascii="宋体" w:hAnsi="宋体"/>
          <w:b/>
          <w:sz w:val="30"/>
        </w:rPr>
      </w:pPr>
    </w:p>
    <w:p w14:paraId="6CD9DBFF">
      <w:pPr>
        <w:widowControl/>
        <w:spacing w:line="480" w:lineRule="auto"/>
        <w:jc w:val="center"/>
        <w:rPr>
          <w:rFonts w:hint="eastAsia" w:ascii="宋体" w:hAnsi="宋体"/>
          <w:b/>
          <w:sz w:val="30"/>
        </w:rPr>
      </w:pPr>
    </w:p>
    <w:p w14:paraId="7CD9B5A7">
      <w:pPr>
        <w:widowControl/>
        <w:spacing w:line="480" w:lineRule="auto"/>
        <w:jc w:val="center"/>
        <w:rPr>
          <w:rFonts w:hint="eastAsia" w:ascii="宋体" w:hAnsi="宋体"/>
          <w:b/>
          <w:sz w:val="30"/>
        </w:rPr>
      </w:pPr>
    </w:p>
    <w:p w14:paraId="471AB6C9">
      <w:pPr>
        <w:pStyle w:val="4"/>
        <w:ind w:firstLine="600"/>
        <w:jc w:val="center"/>
        <w:rPr>
          <w:rFonts w:hint="eastAsia" w:ascii="宋体" w:hAnsi="宋体"/>
          <w:b w:val="0"/>
          <w:bCs w:val="0"/>
        </w:rPr>
      </w:pPr>
      <w:bookmarkStart w:id="398" w:name="_Toc432670427"/>
      <w:bookmarkStart w:id="399" w:name="_Toc5209"/>
      <w:bookmarkStart w:id="400" w:name="_Toc19461"/>
      <w:bookmarkStart w:id="401" w:name="_Toc15677"/>
      <w:bookmarkStart w:id="402" w:name="_Toc18630"/>
      <w:bookmarkStart w:id="403" w:name="_Toc94277262"/>
      <w:bookmarkStart w:id="404" w:name="_Toc441763635"/>
      <w:bookmarkStart w:id="405" w:name="_Toc1613"/>
      <w:r>
        <w:rPr>
          <w:rFonts w:hint="eastAsia" w:ascii="宋体" w:hAnsi="宋体"/>
          <w:b w:val="0"/>
          <w:bCs w:val="0"/>
        </w:rPr>
        <w:t xml:space="preserve">四  </w:t>
      </w:r>
      <w:bookmarkEnd w:id="398"/>
      <w:r>
        <w:rPr>
          <w:rFonts w:hint="eastAsia" w:ascii="宋体" w:hAnsi="宋体"/>
          <w:b w:val="0"/>
          <w:bCs w:val="0"/>
        </w:rPr>
        <w:t>成交人公告内容</w:t>
      </w:r>
      <w:bookmarkEnd w:id="399"/>
      <w:bookmarkEnd w:id="400"/>
      <w:bookmarkEnd w:id="401"/>
      <w:bookmarkEnd w:id="402"/>
      <w:bookmarkEnd w:id="403"/>
      <w:bookmarkEnd w:id="404"/>
      <w:bookmarkEnd w:id="405"/>
    </w:p>
    <w:p w14:paraId="66E3253E">
      <w:pPr>
        <w:spacing w:line="360" w:lineRule="auto"/>
        <w:rPr>
          <w:rFonts w:hint="eastAsia" w:ascii="宋体" w:hAnsi="宋体"/>
          <w:spacing w:val="20"/>
          <w:sz w:val="24"/>
        </w:rPr>
      </w:pPr>
      <w:r>
        <w:rPr>
          <w:rFonts w:hint="eastAsia" w:ascii="宋体" w:hAnsi="宋体"/>
          <w:spacing w:val="20"/>
          <w:sz w:val="24"/>
        </w:rPr>
        <w:t>采购项目：</w:t>
      </w:r>
    </w:p>
    <w:p w14:paraId="3318AEC4">
      <w:pPr>
        <w:spacing w:line="360" w:lineRule="auto"/>
        <w:rPr>
          <w:rFonts w:hint="eastAsia" w:ascii="宋体" w:hAnsi="宋体"/>
          <w:sz w:val="24"/>
          <w:szCs w:val="28"/>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3A6F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F5569D">
            <w:pPr>
              <w:spacing w:line="360" w:lineRule="auto"/>
              <w:jc w:val="center"/>
              <w:rPr>
                <w:rFonts w:hint="eastAsia" w:ascii="宋体" w:hAnsi="宋体" w:cs="宋体"/>
                <w:spacing w:val="20"/>
                <w:sz w:val="24"/>
              </w:rPr>
            </w:pPr>
            <w:r>
              <w:rPr>
                <w:rFonts w:hint="eastAsia" w:ascii="宋体" w:hAnsi="宋体" w:cs="宋体"/>
                <w:spacing w:val="20"/>
                <w:sz w:val="24"/>
              </w:rPr>
              <w:t>成交人名称</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308B4D4">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600E0327">
            <w:pPr>
              <w:spacing w:line="360" w:lineRule="auto"/>
              <w:jc w:val="center"/>
              <w:rPr>
                <w:rFonts w:hint="eastAsia" w:ascii="宋体" w:hAnsi="宋体" w:cs="宋体"/>
                <w:spacing w:val="20"/>
                <w:sz w:val="24"/>
              </w:rPr>
            </w:pPr>
            <w:r>
              <w:rPr>
                <w:rFonts w:hint="eastAsia" w:ascii="宋体" w:hAnsi="宋体" w:cs="宋体"/>
                <w:spacing w:val="20"/>
                <w:sz w:val="24"/>
              </w:rPr>
              <w:t>成交人负责人</w:t>
            </w:r>
          </w:p>
        </w:tc>
        <w:tc>
          <w:tcPr>
            <w:tcW w:w="2410" w:type="dxa"/>
            <w:tcBorders>
              <w:top w:val="single" w:color="auto" w:sz="4" w:space="0"/>
              <w:left w:val="single" w:color="auto" w:sz="4" w:space="0"/>
              <w:bottom w:val="single" w:color="auto" w:sz="4" w:space="0"/>
              <w:right w:val="single" w:color="auto" w:sz="4" w:space="0"/>
            </w:tcBorders>
            <w:vAlign w:val="center"/>
          </w:tcPr>
          <w:p w14:paraId="149BDCB7">
            <w:pPr>
              <w:spacing w:line="360" w:lineRule="auto"/>
              <w:jc w:val="center"/>
              <w:rPr>
                <w:rFonts w:hint="eastAsia" w:ascii="宋体" w:hAnsi="宋体" w:cs="宋体"/>
                <w:spacing w:val="20"/>
                <w:sz w:val="24"/>
              </w:rPr>
            </w:pPr>
          </w:p>
        </w:tc>
      </w:tr>
      <w:tr w14:paraId="41E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60A2B0">
            <w:pPr>
              <w:spacing w:line="360" w:lineRule="auto"/>
              <w:jc w:val="center"/>
              <w:rPr>
                <w:rFonts w:hint="eastAsia" w:ascii="宋体" w:hAnsi="宋体" w:cs="宋体"/>
                <w:spacing w:val="20"/>
                <w:sz w:val="24"/>
              </w:rPr>
            </w:pPr>
            <w:r>
              <w:rPr>
                <w:rFonts w:hint="eastAsia" w:ascii="宋体" w:hAnsi="宋体" w:cs="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14:paraId="1A4E1DF8">
            <w:pPr>
              <w:spacing w:line="360" w:lineRule="auto"/>
              <w:jc w:val="center"/>
              <w:rPr>
                <w:rFonts w:hint="eastAsia" w:ascii="宋体" w:hAnsi="宋体" w:cs="宋体"/>
                <w:spacing w:val="20"/>
                <w:sz w:val="24"/>
              </w:rPr>
            </w:pPr>
          </w:p>
        </w:tc>
      </w:tr>
      <w:tr w14:paraId="3AB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14:paraId="5B9D4040">
            <w:pPr>
              <w:spacing w:line="360" w:lineRule="auto"/>
              <w:jc w:val="center"/>
              <w:rPr>
                <w:rFonts w:hint="eastAsia" w:ascii="宋体" w:hAnsi="宋体" w:cs="宋体"/>
                <w:spacing w:val="20"/>
                <w:sz w:val="24"/>
              </w:rPr>
            </w:pPr>
            <w:r>
              <w:rPr>
                <w:rFonts w:hint="eastAsia" w:ascii="宋体" w:hAnsi="宋体" w:cs="宋体"/>
                <w:spacing w:val="20"/>
                <w:sz w:val="24"/>
              </w:rPr>
              <w:t xml:space="preserve"> 成交标的</w:t>
            </w:r>
          </w:p>
        </w:tc>
      </w:tr>
      <w:tr w14:paraId="5AD7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DD9EF59">
            <w:pPr>
              <w:spacing w:line="360" w:lineRule="auto"/>
              <w:jc w:val="center"/>
              <w:rPr>
                <w:rFonts w:hint="eastAsia" w:ascii="宋体" w:hAnsi="宋体" w:cs="宋体"/>
                <w:spacing w:val="20"/>
                <w:sz w:val="24"/>
              </w:rPr>
            </w:pPr>
            <w:r>
              <w:rPr>
                <w:rFonts w:hint="eastAsia" w:ascii="宋体" w:hAnsi="宋体" w:cs="宋体"/>
                <w:spacing w:val="20"/>
                <w:sz w:val="24"/>
              </w:rPr>
              <w:t>服务内容</w:t>
            </w:r>
          </w:p>
        </w:tc>
        <w:tc>
          <w:tcPr>
            <w:tcW w:w="1249" w:type="dxa"/>
            <w:tcBorders>
              <w:top w:val="single" w:color="auto" w:sz="4" w:space="0"/>
              <w:left w:val="single" w:color="auto" w:sz="4" w:space="0"/>
              <w:bottom w:val="single" w:color="auto" w:sz="4" w:space="0"/>
              <w:right w:val="single" w:color="auto" w:sz="4" w:space="0"/>
            </w:tcBorders>
            <w:vAlign w:val="center"/>
          </w:tcPr>
          <w:p w14:paraId="7CBFF382">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164" w:type="dxa"/>
            <w:tcBorders>
              <w:top w:val="single" w:color="auto" w:sz="4" w:space="0"/>
              <w:left w:val="single" w:color="auto" w:sz="4" w:space="0"/>
              <w:bottom w:val="single" w:color="auto" w:sz="4" w:space="0"/>
              <w:right w:val="single" w:color="auto" w:sz="4" w:space="0"/>
            </w:tcBorders>
            <w:vAlign w:val="center"/>
          </w:tcPr>
          <w:p w14:paraId="6AEDBBAF">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2109" w:type="dxa"/>
            <w:tcBorders>
              <w:top w:val="single" w:color="auto" w:sz="4" w:space="0"/>
              <w:left w:val="single" w:color="auto" w:sz="4" w:space="0"/>
              <w:bottom w:val="single" w:color="auto" w:sz="4" w:space="0"/>
              <w:right w:val="single" w:color="auto" w:sz="4" w:space="0"/>
            </w:tcBorders>
            <w:vAlign w:val="center"/>
          </w:tcPr>
          <w:p w14:paraId="3D461359">
            <w:pPr>
              <w:spacing w:line="360" w:lineRule="auto"/>
              <w:jc w:val="center"/>
              <w:rPr>
                <w:rFonts w:hint="eastAsia" w:ascii="宋体" w:hAnsi="宋体" w:cs="宋体"/>
                <w:spacing w:val="20"/>
                <w:sz w:val="24"/>
              </w:rPr>
            </w:pPr>
            <w:r>
              <w:rPr>
                <w:rFonts w:hint="eastAsia" w:ascii="宋体" w:hAnsi="宋体" w:cs="宋体"/>
                <w:spacing w:val="20"/>
                <w:sz w:val="24"/>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44611107">
            <w:pPr>
              <w:spacing w:line="360" w:lineRule="auto"/>
              <w:jc w:val="center"/>
              <w:rPr>
                <w:rFonts w:hint="eastAsia" w:ascii="宋体" w:hAnsi="宋体" w:cs="宋体"/>
                <w:spacing w:val="20"/>
                <w:sz w:val="24"/>
              </w:rPr>
            </w:pPr>
            <w:r>
              <w:rPr>
                <w:rFonts w:hint="eastAsia" w:ascii="宋体" w:hAnsi="宋体" w:cs="宋体"/>
                <w:spacing w:val="20"/>
                <w:sz w:val="24"/>
              </w:rPr>
              <w:t>总价</w:t>
            </w:r>
          </w:p>
        </w:tc>
      </w:tr>
      <w:tr w14:paraId="0308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7714F64">
            <w:pPr>
              <w:spacing w:line="360" w:lineRule="auto"/>
              <w:jc w:val="center"/>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0FF5ED6">
            <w:pPr>
              <w:spacing w:line="360" w:lineRule="auto"/>
              <w:jc w:val="center"/>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FE5F15C">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33694A69">
            <w:pPr>
              <w:spacing w:line="360" w:lineRule="auto"/>
              <w:jc w:val="center"/>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9587EE0">
            <w:pPr>
              <w:spacing w:line="360" w:lineRule="auto"/>
              <w:jc w:val="center"/>
              <w:rPr>
                <w:rFonts w:hint="eastAsia" w:ascii="宋体" w:hAnsi="宋体" w:cs="宋体"/>
                <w:spacing w:val="20"/>
                <w:sz w:val="24"/>
              </w:rPr>
            </w:pPr>
          </w:p>
        </w:tc>
      </w:tr>
      <w:tr w14:paraId="16A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6F31DBAC">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66C5462D">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39222475">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6DDD7CDC">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650BF463">
            <w:pPr>
              <w:spacing w:line="360" w:lineRule="auto"/>
              <w:rPr>
                <w:rFonts w:hint="eastAsia" w:ascii="宋体" w:hAnsi="宋体" w:cs="宋体"/>
                <w:spacing w:val="20"/>
                <w:sz w:val="24"/>
              </w:rPr>
            </w:pPr>
          </w:p>
        </w:tc>
      </w:tr>
      <w:tr w14:paraId="716B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96F6CD4">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2AEEF89">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1C28318A">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4D013BA5">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35A11D7">
            <w:pPr>
              <w:spacing w:line="360" w:lineRule="auto"/>
              <w:rPr>
                <w:rFonts w:hint="eastAsia" w:ascii="宋体" w:hAnsi="宋体" w:cs="宋体"/>
                <w:spacing w:val="20"/>
                <w:sz w:val="24"/>
              </w:rPr>
            </w:pPr>
          </w:p>
        </w:tc>
      </w:tr>
      <w:tr w14:paraId="0FB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C0F87EE">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ADE826A">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053DE4E4">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3282C423">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AB4D3A">
            <w:pPr>
              <w:spacing w:line="360" w:lineRule="auto"/>
              <w:rPr>
                <w:rFonts w:hint="eastAsia" w:ascii="宋体" w:hAnsi="宋体" w:cs="宋体"/>
                <w:spacing w:val="20"/>
                <w:sz w:val="24"/>
              </w:rPr>
            </w:pPr>
          </w:p>
        </w:tc>
      </w:tr>
      <w:tr w14:paraId="0E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D443762">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D0D7C32">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696282F2">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034676A1">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141A381">
            <w:pPr>
              <w:spacing w:line="360" w:lineRule="auto"/>
              <w:rPr>
                <w:rFonts w:hint="eastAsia" w:ascii="宋体" w:hAnsi="宋体" w:cs="宋体"/>
                <w:spacing w:val="20"/>
                <w:sz w:val="24"/>
              </w:rPr>
            </w:pPr>
          </w:p>
        </w:tc>
      </w:tr>
      <w:tr w14:paraId="408F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09FFE4EB">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8FDAE97">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771F9891">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122CD7FB">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6681D6">
            <w:pPr>
              <w:spacing w:line="360" w:lineRule="auto"/>
              <w:rPr>
                <w:rFonts w:hint="eastAsia" w:ascii="宋体" w:hAnsi="宋体" w:cs="宋体"/>
                <w:spacing w:val="20"/>
                <w:sz w:val="24"/>
              </w:rPr>
            </w:pPr>
          </w:p>
        </w:tc>
      </w:tr>
      <w:tr w14:paraId="61D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tcPr>
          <w:p w14:paraId="6A3C4933">
            <w:pPr>
              <w:spacing w:line="360" w:lineRule="auto"/>
              <w:rPr>
                <w:rFonts w:hint="eastAsia" w:ascii="宋体" w:hAnsi="宋体" w:cs="宋体"/>
                <w:spacing w:val="20"/>
                <w:sz w:val="24"/>
              </w:rPr>
            </w:pPr>
            <w:r>
              <w:rPr>
                <w:rFonts w:hint="eastAsia" w:ascii="宋体" w:hAnsi="宋体" w:cs="宋体"/>
                <w:spacing w:val="20"/>
                <w:sz w:val="24"/>
              </w:rPr>
              <w:t>成交金额合计</w:t>
            </w:r>
          </w:p>
        </w:tc>
        <w:tc>
          <w:tcPr>
            <w:tcW w:w="2410" w:type="dxa"/>
            <w:tcBorders>
              <w:top w:val="single" w:color="auto" w:sz="4" w:space="0"/>
              <w:left w:val="single" w:color="auto" w:sz="4" w:space="0"/>
              <w:bottom w:val="single" w:color="auto" w:sz="4" w:space="0"/>
              <w:right w:val="single" w:color="auto" w:sz="4" w:space="0"/>
            </w:tcBorders>
          </w:tcPr>
          <w:p w14:paraId="25D119EC">
            <w:pPr>
              <w:spacing w:line="360" w:lineRule="auto"/>
              <w:rPr>
                <w:rFonts w:hint="eastAsia" w:ascii="宋体" w:hAnsi="宋体" w:cs="宋体"/>
                <w:spacing w:val="20"/>
                <w:sz w:val="24"/>
              </w:rPr>
            </w:pPr>
          </w:p>
        </w:tc>
      </w:tr>
      <w:tr w14:paraId="2675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14:paraId="585918C4">
            <w:pPr>
              <w:spacing w:line="360" w:lineRule="auto"/>
              <w:rPr>
                <w:rFonts w:hint="eastAsia" w:ascii="宋体" w:hAnsi="宋体" w:cs="宋体"/>
                <w:spacing w:val="20"/>
                <w:sz w:val="24"/>
              </w:rPr>
            </w:pPr>
            <w:r>
              <w:rPr>
                <w:rFonts w:hint="eastAsia" w:ascii="宋体" w:hAnsi="宋体" w:cs="宋体"/>
                <w:spacing w:val="20"/>
                <w:sz w:val="24"/>
              </w:rPr>
              <w:t>服务要求：</w:t>
            </w:r>
          </w:p>
          <w:p w14:paraId="6D180977">
            <w:pPr>
              <w:spacing w:line="360" w:lineRule="auto"/>
              <w:rPr>
                <w:rFonts w:hint="eastAsia" w:ascii="宋体" w:hAnsi="宋体" w:cs="宋体"/>
                <w:spacing w:val="20"/>
                <w:sz w:val="24"/>
              </w:rPr>
            </w:pPr>
          </w:p>
          <w:p w14:paraId="4E301A82">
            <w:pPr>
              <w:spacing w:line="360" w:lineRule="auto"/>
              <w:rPr>
                <w:rFonts w:hint="eastAsia" w:ascii="宋体" w:hAnsi="宋体" w:cs="宋体"/>
                <w:spacing w:val="20"/>
                <w:sz w:val="24"/>
              </w:rPr>
            </w:pPr>
          </w:p>
        </w:tc>
      </w:tr>
    </w:tbl>
    <w:p w14:paraId="0F34AAEC">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728DC7F8">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443D63B0">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022634AD">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0EBF8D3E">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659A466F"/>
    <w:p w14:paraId="6A8D0908"/>
    <w:p w14:paraId="3FA069A6"/>
    <w:p w14:paraId="0801D4CF"/>
    <w:p w14:paraId="494DB1F6"/>
    <w:p w14:paraId="44B0FD03">
      <w:pPr>
        <w:pStyle w:val="31"/>
      </w:pPr>
    </w:p>
    <w:p w14:paraId="54E74357"/>
    <w:p w14:paraId="470F45FC">
      <w:pPr>
        <w:pStyle w:val="4"/>
        <w:spacing w:before="120" w:after="120" w:line="420" w:lineRule="exact"/>
        <w:ind w:firstLine="600"/>
        <w:jc w:val="center"/>
        <w:rPr>
          <w:rFonts w:hint="eastAsia" w:ascii="宋体" w:hAnsi="宋体"/>
        </w:rPr>
      </w:pPr>
      <w:bookmarkStart w:id="406" w:name="_Toc1890"/>
      <w:bookmarkStart w:id="407" w:name="_Toc35355083"/>
      <w:bookmarkStart w:id="408" w:name="_Toc36556469"/>
      <w:bookmarkStart w:id="409" w:name="_Toc21669"/>
      <w:bookmarkStart w:id="410" w:name="_Toc12404"/>
      <w:bookmarkStart w:id="411" w:name="_Toc28433"/>
      <w:bookmarkStart w:id="412" w:name="_Toc23273"/>
      <w:bookmarkStart w:id="413" w:name="_Toc94277263"/>
      <w:r>
        <w:rPr>
          <w:rFonts w:hint="eastAsia" w:ascii="宋体" w:hAnsi="宋体"/>
          <w:b w:val="0"/>
          <w:bCs w:val="0"/>
        </w:rPr>
        <w:t>五  政府采购活动现场确认声明书</w:t>
      </w:r>
      <w:bookmarkEnd w:id="406"/>
      <w:bookmarkEnd w:id="407"/>
      <w:bookmarkEnd w:id="408"/>
      <w:bookmarkEnd w:id="409"/>
      <w:bookmarkEnd w:id="410"/>
      <w:bookmarkEnd w:id="411"/>
      <w:bookmarkEnd w:id="412"/>
      <w:bookmarkEnd w:id="413"/>
    </w:p>
    <w:p w14:paraId="2FFCA52C">
      <w:pPr>
        <w:spacing w:line="420" w:lineRule="exact"/>
        <w:rPr>
          <w:rFonts w:hint="eastAsia" w:ascii="宋体" w:hAnsi="宋体"/>
          <w:sz w:val="24"/>
          <w:u w:val="single"/>
        </w:rPr>
      </w:pPr>
      <w:r>
        <w:rPr>
          <w:rFonts w:hint="eastAsia" w:ascii="宋体" w:hAnsi="宋体"/>
          <w:sz w:val="24"/>
          <w:u w:val="single"/>
        </w:rPr>
        <w:t>卓正招标咨询（丽水）有限公司 ：</w:t>
      </w:r>
    </w:p>
    <w:p w14:paraId="0A594D8C">
      <w:pPr>
        <w:spacing w:line="420" w:lineRule="exact"/>
        <w:rPr>
          <w:rFonts w:hint="eastAsia"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cs="Times New Roman"/>
          <w:sz w:val="24"/>
          <w:u w:val="single"/>
          <w:lang w:eastAsia="zh-CN"/>
        </w:rPr>
        <w:t>2025年省青少年学生阳光体育运动会航海模型、建筑模型竞赛项目</w:t>
      </w:r>
      <w:r>
        <w:rPr>
          <w:rFonts w:hint="eastAsia" w:ascii="宋体" w:hAnsi="宋体"/>
          <w:sz w:val="24"/>
          <w:u w:val="single"/>
        </w:rPr>
        <w:t>（项目编号：</w:t>
      </w:r>
      <w:r>
        <w:rPr>
          <w:rFonts w:hint="eastAsia" w:ascii="宋体" w:hAnsi="宋体"/>
          <w:sz w:val="24"/>
          <w:u w:val="single"/>
          <w:lang w:eastAsia="zh-CN"/>
        </w:rPr>
        <w:t>卓正丽磋商2025-1087号</w:t>
      </w:r>
      <w:r>
        <w:rPr>
          <w:rFonts w:hint="eastAsia" w:ascii="宋体" w:hAnsi="宋体" w:cs="仿宋_GB2312"/>
          <w:sz w:val="24"/>
          <w:u w:val="single"/>
        </w:rPr>
        <w:t xml:space="preserve"> </w:t>
      </w:r>
      <w:r>
        <w:rPr>
          <w:rFonts w:hint="eastAsia" w:ascii="宋体" w:hAnsi="宋体"/>
          <w:sz w:val="24"/>
          <w:u w:val="single"/>
        </w:rPr>
        <w:t>）</w:t>
      </w:r>
      <w:r>
        <w:rPr>
          <w:rFonts w:hint="eastAsia" w:ascii="宋体" w:hAnsi="宋体"/>
          <w:sz w:val="24"/>
        </w:rPr>
        <w:t>政府采购活动，经与本单位法人代表（负责人）联系确认，现就有关公平竞争事项郑重声明如下：</w:t>
      </w:r>
    </w:p>
    <w:p w14:paraId="1F00AF0E">
      <w:pPr>
        <w:spacing w:line="420" w:lineRule="exact"/>
        <w:rPr>
          <w:rFonts w:hint="eastAsia"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78487297">
      <w:pPr>
        <w:spacing w:line="420" w:lineRule="exact"/>
        <w:rPr>
          <w:rFonts w:hint="eastAsia" w:ascii="宋体" w:hAnsi="宋体"/>
          <w:sz w:val="24"/>
        </w:rPr>
      </w:pPr>
      <w:r>
        <w:rPr>
          <w:rFonts w:hint="eastAsia" w:ascii="宋体" w:hAnsi="宋体"/>
          <w:sz w:val="24"/>
        </w:rPr>
        <w:t xml:space="preserve">    A.投资关系    B.行政隶属关系    C.业务指导关系</w:t>
      </w:r>
    </w:p>
    <w:p w14:paraId="0E610824">
      <w:pPr>
        <w:spacing w:line="420" w:lineRule="exact"/>
        <w:ind w:firstLine="480"/>
        <w:rPr>
          <w:rFonts w:hint="eastAsia"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3B81F52A">
      <w:pPr>
        <w:spacing w:line="420" w:lineRule="exact"/>
        <w:ind w:firstLine="480"/>
        <w:rPr>
          <w:rFonts w:hint="eastAsia" w:ascii="宋体" w:hAnsi="宋体"/>
          <w:sz w:val="24"/>
        </w:rPr>
      </w:pPr>
      <w:r>
        <w:rPr>
          <w:rFonts w:hint="eastAsia" w:ascii="宋体" w:hAnsi="宋体"/>
          <w:sz w:val="24"/>
        </w:rPr>
        <w:t>二、现已清楚知道参加本项目采购活动的其他所有供应商名称，本单位</w:t>
      </w:r>
    </w:p>
    <w:p w14:paraId="03A72CEB">
      <w:pPr>
        <w:spacing w:line="420" w:lineRule="exact"/>
        <w:ind w:firstLine="480"/>
        <w:rPr>
          <w:rFonts w:hint="eastAsia"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3F72F2FC">
      <w:pPr>
        <w:spacing w:line="420" w:lineRule="exact"/>
        <w:rPr>
          <w:rFonts w:hint="eastAsia" w:ascii="宋体" w:hAnsi="宋体"/>
          <w:sz w:val="24"/>
        </w:rPr>
      </w:pPr>
      <w:r>
        <w:rPr>
          <w:rFonts w:hint="eastAsia" w:ascii="宋体" w:hAnsi="宋体"/>
          <w:sz w:val="24"/>
        </w:rPr>
        <w:t xml:space="preserve">    A.法定代表人或负责人或实际控制人是同一人</w:t>
      </w:r>
    </w:p>
    <w:p w14:paraId="37E08F8E">
      <w:pPr>
        <w:spacing w:line="420" w:lineRule="exact"/>
        <w:rPr>
          <w:rFonts w:hint="eastAsia" w:ascii="宋体" w:hAnsi="宋体"/>
          <w:sz w:val="24"/>
        </w:rPr>
      </w:pPr>
      <w:r>
        <w:rPr>
          <w:rFonts w:hint="eastAsia" w:ascii="宋体" w:hAnsi="宋体"/>
          <w:sz w:val="24"/>
        </w:rPr>
        <w:t xml:space="preserve">    B.法定代表人或负责人或实际控制人是夫妻关系</w:t>
      </w:r>
    </w:p>
    <w:p w14:paraId="3CF0048A">
      <w:pPr>
        <w:spacing w:line="420" w:lineRule="exact"/>
        <w:rPr>
          <w:rFonts w:hint="eastAsia" w:ascii="宋体" w:hAnsi="宋体"/>
          <w:sz w:val="24"/>
        </w:rPr>
      </w:pPr>
      <w:r>
        <w:rPr>
          <w:rFonts w:hint="eastAsia" w:ascii="宋体" w:hAnsi="宋体"/>
          <w:sz w:val="24"/>
        </w:rPr>
        <w:t xml:space="preserve">    C.法定代表人或负责人或实际控制人是直系血亲关系</w:t>
      </w:r>
    </w:p>
    <w:p w14:paraId="5EEB06AF">
      <w:pPr>
        <w:spacing w:line="420" w:lineRule="exact"/>
        <w:rPr>
          <w:rFonts w:hint="eastAsia" w:ascii="宋体" w:hAnsi="宋体"/>
          <w:sz w:val="24"/>
        </w:rPr>
      </w:pPr>
      <w:r>
        <w:rPr>
          <w:rFonts w:hint="eastAsia" w:ascii="宋体" w:hAnsi="宋体"/>
          <w:sz w:val="24"/>
        </w:rPr>
        <w:t xml:space="preserve">    D.法定代表人或负责人或实际控制人存在三代以内旁系血亲关系</w:t>
      </w:r>
    </w:p>
    <w:p w14:paraId="796C5EA2">
      <w:pPr>
        <w:spacing w:line="420" w:lineRule="exact"/>
        <w:rPr>
          <w:rFonts w:hint="eastAsia" w:ascii="宋体" w:hAnsi="宋体"/>
          <w:sz w:val="24"/>
        </w:rPr>
      </w:pPr>
      <w:r>
        <w:rPr>
          <w:rFonts w:hint="eastAsia" w:ascii="宋体" w:hAnsi="宋体"/>
          <w:sz w:val="24"/>
        </w:rPr>
        <w:t xml:space="preserve">    E.法定代表人或负责人或实际控制人存在近姻亲关系</w:t>
      </w:r>
    </w:p>
    <w:p w14:paraId="4D775EBE">
      <w:pPr>
        <w:spacing w:line="420" w:lineRule="exact"/>
        <w:rPr>
          <w:rFonts w:hint="eastAsia" w:ascii="宋体" w:hAnsi="宋体"/>
          <w:sz w:val="24"/>
        </w:rPr>
      </w:pPr>
      <w:r>
        <w:rPr>
          <w:rFonts w:hint="eastAsia" w:ascii="宋体" w:hAnsi="宋体"/>
          <w:sz w:val="24"/>
        </w:rPr>
        <w:t xml:space="preserve">    F.法定代表人或负责人或实际控制人存在股份控制或实际控制关系</w:t>
      </w:r>
    </w:p>
    <w:p w14:paraId="777A7C75">
      <w:pPr>
        <w:spacing w:line="420" w:lineRule="exact"/>
        <w:rPr>
          <w:rFonts w:hint="eastAsia" w:ascii="宋体" w:hAnsi="宋体"/>
          <w:sz w:val="24"/>
        </w:rPr>
      </w:pPr>
      <w:r>
        <w:rPr>
          <w:rFonts w:hint="eastAsia" w:ascii="宋体" w:hAnsi="宋体"/>
          <w:sz w:val="24"/>
        </w:rPr>
        <w:t xml:space="preserve">    G.存在共同直接或间接投资设立子公司、联营企业和合营企业情况</w:t>
      </w:r>
    </w:p>
    <w:p w14:paraId="310581C0">
      <w:pPr>
        <w:spacing w:line="420" w:lineRule="exact"/>
        <w:rPr>
          <w:rFonts w:hint="eastAsia"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3B4F764C">
      <w:pPr>
        <w:spacing w:line="420" w:lineRule="exact"/>
        <w:ind w:left="240" w:hanging="240" w:hangingChars="100"/>
        <w:rPr>
          <w:rFonts w:hint="eastAsia"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27A0963">
      <w:pPr>
        <w:spacing w:line="420" w:lineRule="exact"/>
        <w:ind w:firstLine="480"/>
        <w:rPr>
          <w:rFonts w:hint="eastAsia" w:ascii="宋体" w:hAnsi="宋体"/>
          <w:sz w:val="24"/>
        </w:rPr>
      </w:pPr>
      <w:r>
        <w:rPr>
          <w:rFonts w:hint="eastAsia" w:ascii="宋体" w:hAnsi="宋体"/>
          <w:sz w:val="24"/>
        </w:rPr>
        <w:t>三、现已清楚知道并严格遵守政府采购法律法规和现场纪律。</w:t>
      </w:r>
    </w:p>
    <w:p w14:paraId="4EC71B9E">
      <w:pPr>
        <w:spacing w:line="420" w:lineRule="exact"/>
        <w:ind w:firstLine="480"/>
        <w:rPr>
          <w:rFonts w:hint="eastAsia"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477B5197">
      <w:pPr>
        <w:spacing w:line="420" w:lineRule="exact"/>
        <w:ind w:right="480" w:firstLine="120" w:firstLineChars="50"/>
        <w:jc w:val="right"/>
        <w:rPr>
          <w:rFonts w:hint="eastAsia"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0F5FBD9">
      <w:pPr>
        <w:spacing w:line="420" w:lineRule="exact"/>
        <w:jc w:val="right"/>
        <w:rPr>
          <w:rFonts w:hint="eastAsia"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57CBA68C">
      <w:pPr>
        <w:spacing w:line="420" w:lineRule="exact"/>
        <w:ind w:firstLine="472" w:firstLineChars="196"/>
        <w:rPr>
          <w:rFonts w:hint="eastAsia" w:ascii="宋体" w:hAnsi="宋体"/>
          <w:b/>
          <w:sz w:val="24"/>
        </w:rPr>
      </w:pPr>
      <w:bookmarkStart w:id="414" w:name="_Toc335664294"/>
      <w:bookmarkStart w:id="415" w:name="_Toc94277264"/>
      <w:bookmarkStart w:id="416" w:name="_Toc390938600"/>
      <w:r>
        <w:rPr>
          <w:rFonts w:hint="eastAsia" w:ascii="宋体" w:hAnsi="宋体"/>
          <w:b/>
          <w:sz w:val="24"/>
        </w:rPr>
        <w:t>注：1.供应商认为有利害关系和需要回避的人员，应提供相关证明材料，与本声明书一同提交。由采购代理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14:paraId="3AC12638">
      <w:pPr>
        <w:spacing w:line="420" w:lineRule="exact"/>
        <w:ind w:firstLine="482" w:firstLineChars="200"/>
      </w:pPr>
      <w:r>
        <w:rPr>
          <w:rFonts w:hint="eastAsia" w:ascii="宋体" w:hAnsi="宋体"/>
          <w:b/>
          <w:sz w:val="24"/>
        </w:rPr>
        <w:t>2.</w:t>
      </w:r>
      <w:r>
        <w:rPr>
          <w:rFonts w:hint="eastAsia" w:ascii="宋体" w:hAnsi="宋体"/>
          <w:sz w:val="24"/>
        </w:rPr>
        <w:t xml:space="preserve"> </w:t>
      </w:r>
      <w:r>
        <w:rPr>
          <w:rFonts w:hint="eastAsia" w:ascii="宋体" w:hAnsi="宋体"/>
          <w:b/>
          <w:sz w:val="24"/>
        </w:rPr>
        <w:t>供应商根据解密后交易平台公布的供应商名单及信息，通过现场或邮件方式（lszzzbzx@126.com）提交《政府采购活动现场确认声明书》，提交时间在名单公布后的30分钟内。</w:t>
      </w:r>
    </w:p>
    <w:p w14:paraId="1EE418A0">
      <w:pPr>
        <w:pStyle w:val="2"/>
        <w:spacing w:line="560" w:lineRule="exact"/>
        <w:jc w:val="center"/>
        <w:rPr>
          <w:rFonts w:hint="eastAsia" w:ascii="宋体" w:hAnsi="宋体"/>
        </w:rPr>
      </w:pPr>
      <w:bookmarkStart w:id="417" w:name="_Toc18294"/>
      <w:bookmarkStart w:id="418" w:name="_Toc11401"/>
      <w:bookmarkStart w:id="419" w:name="_Toc21638"/>
      <w:bookmarkStart w:id="420" w:name="_Toc22737"/>
      <w:bookmarkStart w:id="421" w:name="_Toc24589"/>
      <w:r>
        <w:rPr>
          <w:rFonts w:hint="eastAsia" w:ascii="宋体" w:hAnsi="宋体"/>
        </w:rPr>
        <w:t>第六章</w:t>
      </w:r>
      <w:r>
        <w:rPr>
          <w:rFonts w:ascii="宋体" w:hAnsi="宋体"/>
        </w:rPr>
        <w:t xml:space="preserve">  </w:t>
      </w:r>
      <w:r>
        <w:rPr>
          <w:rFonts w:hint="eastAsia" w:ascii="宋体" w:hAnsi="宋体"/>
        </w:rPr>
        <w:t>磋商办法和细则</w:t>
      </w:r>
      <w:bookmarkEnd w:id="414"/>
      <w:bookmarkEnd w:id="415"/>
      <w:bookmarkEnd w:id="416"/>
      <w:bookmarkEnd w:id="417"/>
      <w:bookmarkEnd w:id="418"/>
      <w:bookmarkEnd w:id="419"/>
      <w:bookmarkEnd w:id="420"/>
      <w:bookmarkEnd w:id="421"/>
    </w:p>
    <w:p w14:paraId="2F916347">
      <w:pPr>
        <w:pStyle w:val="19"/>
        <w:snapToGrid/>
        <w:spacing w:line="360" w:lineRule="auto"/>
        <w:ind w:firstLineChars="200"/>
        <w:rPr>
          <w:rFonts w:hint="eastAsia" w:ascii="宋体" w:hAnsi="宋体" w:eastAsia="宋体"/>
        </w:rPr>
      </w:pPr>
      <w:r>
        <w:rPr>
          <w:rFonts w:hint="eastAsia" w:ascii="宋体" w:hAnsi="宋体" w:eastAsia="宋体"/>
        </w:rPr>
        <w:t>根据《中华人民共和国政府采购法》、</w:t>
      </w:r>
      <w:r>
        <w:rPr>
          <w:rFonts w:ascii="宋体" w:hAnsi="宋体" w:eastAsia="宋体"/>
        </w:rPr>
        <w:t>《政府采购竞争性磋商采购方式管理暂行办法》</w:t>
      </w:r>
      <w:r>
        <w:rPr>
          <w:rFonts w:hint="eastAsia" w:ascii="宋体" w:hAnsi="宋体" w:eastAsia="宋体"/>
        </w:rPr>
        <w:t>等有关法律法规的规定，并结合本项目的实际，按照公正、公平、科学、择优的原则选择成交人，特制定本办法。</w:t>
      </w:r>
    </w:p>
    <w:p w14:paraId="779A7AA0">
      <w:pPr>
        <w:pStyle w:val="4"/>
        <w:spacing w:after="0"/>
        <w:ind w:firstLine="0" w:firstLineChars="0"/>
        <w:rPr>
          <w:rFonts w:hint="eastAsia" w:ascii="宋体" w:hAnsi="宋体"/>
          <w:sz w:val="32"/>
        </w:rPr>
      </w:pPr>
      <w:bookmarkStart w:id="422" w:name="_Toc12722"/>
      <w:bookmarkStart w:id="423" w:name="_Toc94277265"/>
      <w:bookmarkStart w:id="424" w:name="_Toc5399"/>
      <w:bookmarkStart w:id="425" w:name="_Toc494558393"/>
      <w:bookmarkStart w:id="426" w:name="_Toc4478"/>
      <w:bookmarkStart w:id="427" w:name="_Toc29746"/>
      <w:bookmarkStart w:id="428" w:name="_Toc493955998"/>
      <w:bookmarkStart w:id="429" w:name="_Toc335664295"/>
      <w:bookmarkStart w:id="430" w:name="_Toc20988"/>
      <w:bookmarkStart w:id="431" w:name="_Toc335664299"/>
      <w:bookmarkStart w:id="432" w:name="_Toc390938605"/>
      <w:r>
        <w:rPr>
          <w:rFonts w:hint="eastAsia" w:ascii="宋体" w:hAnsi="宋体"/>
          <w:sz w:val="32"/>
        </w:rPr>
        <w:t>一   总则</w:t>
      </w:r>
      <w:bookmarkEnd w:id="422"/>
      <w:bookmarkEnd w:id="423"/>
      <w:bookmarkEnd w:id="424"/>
      <w:bookmarkEnd w:id="425"/>
      <w:bookmarkEnd w:id="426"/>
      <w:bookmarkEnd w:id="427"/>
      <w:bookmarkEnd w:id="428"/>
      <w:bookmarkEnd w:id="429"/>
      <w:bookmarkEnd w:id="430"/>
    </w:p>
    <w:p w14:paraId="7C5F322D">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6B14D178">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p>
    <w:p w14:paraId="18B4E2CE">
      <w:pPr>
        <w:pStyle w:val="4"/>
        <w:spacing w:after="0"/>
        <w:ind w:firstLine="0" w:firstLineChars="0"/>
        <w:rPr>
          <w:rFonts w:hint="eastAsia" w:ascii="宋体" w:hAnsi="宋体"/>
          <w:sz w:val="32"/>
        </w:rPr>
      </w:pPr>
      <w:bookmarkStart w:id="433" w:name="_Toc335664296"/>
      <w:bookmarkStart w:id="434" w:name="_Toc493955999"/>
      <w:bookmarkStart w:id="435" w:name="_Toc94277266"/>
      <w:bookmarkStart w:id="436" w:name="_Toc21219"/>
      <w:bookmarkStart w:id="437" w:name="_Toc22085"/>
      <w:bookmarkStart w:id="438" w:name="_Toc26625"/>
      <w:bookmarkStart w:id="439" w:name="_Toc15195"/>
      <w:bookmarkStart w:id="440" w:name="_Toc494558394"/>
      <w:bookmarkStart w:id="441" w:name="_Toc23826"/>
      <w:r>
        <w:rPr>
          <w:rFonts w:hint="eastAsia" w:ascii="宋体" w:hAnsi="宋体"/>
          <w:sz w:val="32"/>
        </w:rPr>
        <w:t xml:space="preserve">二   </w:t>
      </w:r>
      <w:bookmarkEnd w:id="433"/>
      <w:r>
        <w:rPr>
          <w:rFonts w:hint="eastAsia" w:ascii="宋体" w:hAnsi="宋体"/>
          <w:sz w:val="32"/>
        </w:rPr>
        <w:t>磋商小组</w:t>
      </w:r>
      <w:bookmarkEnd w:id="434"/>
      <w:bookmarkEnd w:id="435"/>
      <w:bookmarkEnd w:id="436"/>
      <w:bookmarkEnd w:id="437"/>
      <w:bookmarkEnd w:id="438"/>
      <w:bookmarkEnd w:id="439"/>
      <w:bookmarkEnd w:id="440"/>
      <w:bookmarkEnd w:id="441"/>
    </w:p>
    <w:p w14:paraId="6E6DB633">
      <w:pPr>
        <w:spacing w:line="360" w:lineRule="auto"/>
        <w:ind w:firstLine="480" w:firstLineChars="200"/>
        <w:rPr>
          <w:rFonts w:hint="eastAsia" w:ascii="宋体" w:hAnsi="宋体"/>
          <w:sz w:val="24"/>
          <w:szCs w:val="20"/>
        </w:rPr>
      </w:pPr>
      <w:r>
        <w:rPr>
          <w:rFonts w:hint="eastAsia" w:ascii="宋体" w:hAnsi="宋体"/>
          <w:sz w:val="24"/>
        </w:rPr>
        <w:t>2.1磋商</w:t>
      </w:r>
      <w:r>
        <w:rPr>
          <w:rFonts w:ascii="宋体" w:hAnsi="宋体"/>
          <w:sz w:val="24"/>
        </w:rPr>
        <w:t>小组</w:t>
      </w:r>
    </w:p>
    <w:p w14:paraId="01F3B9AB">
      <w:pPr>
        <w:spacing w:line="360" w:lineRule="auto"/>
        <w:ind w:firstLine="480" w:firstLineChars="200"/>
        <w:rPr>
          <w:rFonts w:hint="eastAsia"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组成，其中</w:t>
      </w:r>
      <w:r>
        <w:rPr>
          <w:rFonts w:hint="eastAsia" w:ascii="宋体" w:hAnsi="宋体"/>
          <w:sz w:val="24"/>
        </w:rPr>
        <w:t>评审专家人数不得少于</w:t>
      </w:r>
      <w:r>
        <w:rPr>
          <w:rFonts w:ascii="宋体" w:hAnsi="宋体"/>
          <w:sz w:val="24"/>
        </w:rPr>
        <w:t>磋商小组</w:t>
      </w:r>
      <w:r>
        <w:rPr>
          <w:rFonts w:hint="eastAsia" w:ascii="宋体" w:hAnsi="宋体"/>
          <w:sz w:val="24"/>
        </w:rPr>
        <w:t>成员总</w:t>
      </w:r>
      <w:r>
        <w:rPr>
          <w:rFonts w:ascii="宋体" w:hAnsi="宋体"/>
          <w:sz w:val="24"/>
        </w:rPr>
        <w:t>数的三分之二。</w:t>
      </w:r>
      <w:r>
        <w:rPr>
          <w:rFonts w:hint="eastAsia" w:ascii="宋体" w:hAnsi="宋体"/>
          <w:sz w:val="24"/>
        </w:rPr>
        <w:t>除国务院财政部门规定的情形外，评审专家由采购代理机构在政府采购专家库中随机抽取。</w:t>
      </w:r>
    </w:p>
    <w:p w14:paraId="7E268166">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严格按政府采购法律法规的有关规定执行，磋商小组成员应按磋商文件规定的评审要求、评审程序、评审内容、评审方法和评审标准进行评审，对评审意见承担个人责任。</w:t>
      </w:r>
    </w:p>
    <w:p w14:paraId="263F33AC">
      <w:pPr>
        <w:spacing w:line="360" w:lineRule="auto"/>
        <w:rPr>
          <w:rFonts w:hint="eastAsia" w:ascii="宋体" w:hAnsi="宋体"/>
          <w:sz w:val="24"/>
        </w:rPr>
      </w:pPr>
      <w:r>
        <w:rPr>
          <w:rFonts w:hint="eastAsia" w:ascii="宋体" w:hAnsi="宋体"/>
          <w:sz w:val="24"/>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14:paraId="61AE2393">
      <w:pPr>
        <w:pStyle w:val="4"/>
        <w:spacing w:after="0"/>
        <w:ind w:firstLine="0" w:firstLineChars="0"/>
        <w:rPr>
          <w:rFonts w:hint="eastAsia" w:ascii="宋体" w:hAnsi="宋体"/>
          <w:sz w:val="32"/>
        </w:rPr>
      </w:pPr>
      <w:bookmarkStart w:id="442" w:name="_Toc494558395"/>
      <w:bookmarkStart w:id="443" w:name="_Toc22187"/>
      <w:bookmarkStart w:id="444" w:name="_Toc31714"/>
      <w:bookmarkStart w:id="445" w:name="_Toc18734"/>
      <w:bookmarkStart w:id="446" w:name="_Toc6562"/>
      <w:bookmarkStart w:id="447" w:name="_Toc14340"/>
      <w:bookmarkStart w:id="448" w:name="_Toc94277267"/>
      <w:r>
        <w:rPr>
          <w:rFonts w:hint="eastAsia" w:ascii="宋体" w:hAnsi="宋体"/>
          <w:sz w:val="32"/>
        </w:rPr>
        <w:t>三   磋商程序</w:t>
      </w:r>
      <w:bookmarkEnd w:id="442"/>
      <w:bookmarkEnd w:id="443"/>
      <w:bookmarkEnd w:id="444"/>
      <w:bookmarkEnd w:id="445"/>
      <w:bookmarkEnd w:id="446"/>
      <w:bookmarkEnd w:id="447"/>
      <w:bookmarkEnd w:id="448"/>
    </w:p>
    <w:p w14:paraId="7097B34A">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06C60583">
      <w:pPr>
        <w:spacing w:line="360" w:lineRule="auto"/>
        <w:ind w:firstLine="480" w:firstLineChars="200"/>
        <w:rPr>
          <w:rFonts w:hint="eastAsia" w:ascii="宋体" w:hAnsi="宋体"/>
          <w:sz w:val="24"/>
        </w:rPr>
      </w:pPr>
      <w:r>
        <w:rPr>
          <w:rFonts w:hint="eastAsia" w:ascii="宋体" w:hAnsi="宋体"/>
          <w:sz w:val="24"/>
        </w:rPr>
        <w:t>磋商小组会依据磋商文件</w:t>
      </w:r>
      <w:r>
        <w:rPr>
          <w:rFonts w:ascii="宋体" w:hAnsi="宋体"/>
          <w:sz w:val="24"/>
        </w:rPr>
        <w:t>的规定，从</w:t>
      </w:r>
      <w:r>
        <w:rPr>
          <w:rFonts w:hint="eastAsia" w:ascii="宋体" w:hAnsi="宋体"/>
          <w:sz w:val="24"/>
        </w:rPr>
        <w:t>响应文件</w:t>
      </w:r>
      <w:r>
        <w:rPr>
          <w:rFonts w:ascii="宋体" w:hAnsi="宋体"/>
          <w:sz w:val="24"/>
        </w:rPr>
        <w:t>的有效性、完整性和对</w:t>
      </w:r>
      <w:r>
        <w:rPr>
          <w:rFonts w:hint="eastAsia" w:ascii="宋体" w:hAnsi="宋体"/>
          <w:sz w:val="24"/>
        </w:rPr>
        <w:t>磋商文件</w:t>
      </w:r>
      <w:r>
        <w:rPr>
          <w:rFonts w:ascii="宋体" w:hAnsi="宋体"/>
          <w:sz w:val="24"/>
        </w:rPr>
        <w:t>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w:t>
      </w:r>
      <w:r>
        <w:rPr>
          <w:rFonts w:hint="eastAsia" w:ascii="宋体" w:hAnsi="宋体"/>
          <w:sz w:val="24"/>
        </w:rPr>
        <w:t>磋商文件</w:t>
      </w:r>
      <w:r>
        <w:rPr>
          <w:rFonts w:ascii="宋体" w:hAnsi="宋体"/>
          <w:sz w:val="24"/>
        </w:rPr>
        <w:t>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的情形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重新组织采购。</w:t>
      </w:r>
    </w:p>
    <w:p w14:paraId="75CE2E28">
      <w:pPr>
        <w:spacing w:line="360" w:lineRule="auto"/>
        <w:ind w:firstLine="482" w:firstLineChars="200"/>
        <w:rPr>
          <w:rFonts w:hint="eastAsia" w:ascii="宋体" w:hAnsi="宋体"/>
          <w:b/>
          <w:sz w:val="24"/>
        </w:rPr>
      </w:pPr>
      <w:r>
        <w:rPr>
          <w:rFonts w:hint="eastAsia" w:ascii="宋体" w:hAnsi="宋体"/>
          <w:b/>
          <w:sz w:val="24"/>
        </w:rPr>
        <w:t>3.2 磋商</w:t>
      </w:r>
    </w:p>
    <w:p w14:paraId="01CD9DE2">
      <w:pPr>
        <w:spacing w:line="360" w:lineRule="auto"/>
        <w:ind w:firstLine="480" w:firstLineChars="200"/>
        <w:rPr>
          <w:rFonts w:hint="eastAsia" w:ascii="宋体" w:hAnsi="宋体"/>
          <w:sz w:val="24"/>
        </w:rPr>
      </w:pPr>
      <w:r>
        <w:rPr>
          <w:rFonts w:hint="eastAsia" w:ascii="宋体" w:hAnsi="宋体"/>
          <w:sz w:val="24"/>
        </w:rPr>
        <w:t>3.2.1磋商小组对响应文件进行评审，并根据磋商文件规定的程序、评定成交的标准等事项与实质性响应磋商文件要求的供应商进行多轮磋商。</w:t>
      </w:r>
    </w:p>
    <w:p w14:paraId="482EA990">
      <w:pPr>
        <w:spacing w:line="360" w:lineRule="auto"/>
        <w:ind w:firstLine="480" w:firstLineChars="200"/>
        <w:rPr>
          <w:rFonts w:hint="eastAsia" w:ascii="宋体" w:hAnsi="宋体"/>
          <w:sz w:val="24"/>
        </w:rPr>
      </w:pPr>
      <w:r>
        <w:rPr>
          <w:rFonts w:hint="eastAsia" w:ascii="宋体" w:hAnsi="宋体"/>
          <w:sz w:val="24"/>
        </w:rPr>
        <w:t>（1）磋商小组按电子交易平台自动生成的“投标（响应）文件签收登记表”名单顺序</w:t>
      </w:r>
      <w:r>
        <w:rPr>
          <w:rFonts w:ascii="宋体" w:hAnsi="宋体"/>
          <w:sz w:val="24"/>
        </w:rPr>
        <w:t>分别进行磋商</w:t>
      </w:r>
      <w:r>
        <w:rPr>
          <w:rFonts w:hint="eastAsia" w:ascii="宋体" w:hAnsi="宋体"/>
          <w:sz w:val="24"/>
        </w:rPr>
        <w:t>（若</w:t>
      </w:r>
      <w:r>
        <w:rPr>
          <w:rFonts w:ascii="宋体" w:hAnsi="宋体"/>
          <w:sz w:val="24"/>
        </w:rPr>
        <w:t>有</w:t>
      </w:r>
      <w:r>
        <w:rPr>
          <w:rFonts w:hint="eastAsia" w:ascii="宋体" w:hAnsi="宋体"/>
          <w:sz w:val="24"/>
        </w:rPr>
        <w:t>演示、讲解</w:t>
      </w:r>
      <w:r>
        <w:rPr>
          <w:rFonts w:ascii="宋体" w:hAnsi="宋体"/>
          <w:sz w:val="24"/>
        </w:rPr>
        <w:t>内容，演示</w:t>
      </w:r>
      <w:r>
        <w:rPr>
          <w:rFonts w:hint="eastAsia" w:ascii="宋体" w:hAnsi="宋体"/>
          <w:sz w:val="24"/>
        </w:rPr>
        <w:t>、讲解</w:t>
      </w:r>
      <w:r>
        <w:rPr>
          <w:rFonts w:ascii="宋体" w:hAnsi="宋体"/>
          <w:sz w:val="24"/>
        </w:rPr>
        <w:t>顺序同</w:t>
      </w:r>
      <w:r>
        <w:rPr>
          <w:rFonts w:hint="eastAsia" w:ascii="宋体" w:hAnsi="宋体"/>
          <w:sz w:val="24"/>
        </w:rPr>
        <w:t>磋商</w:t>
      </w:r>
      <w:r>
        <w:rPr>
          <w:rFonts w:ascii="宋体" w:hAnsi="宋体"/>
          <w:sz w:val="24"/>
        </w:rPr>
        <w:t>顺序</w:t>
      </w:r>
      <w:r>
        <w:rPr>
          <w:rFonts w:hint="eastAsia" w:ascii="宋体" w:hAnsi="宋体"/>
          <w:sz w:val="24"/>
        </w:rPr>
        <w:t>）。磋商小组所有成员应当集中与单一供应商分别进行磋商，并给予所有参加磋商的供应商平等的磋商机会。</w:t>
      </w:r>
    </w:p>
    <w:p w14:paraId="412BD793">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kern w:val="0"/>
          <w:sz w:val="24"/>
        </w:rPr>
        <w:t>响应文件</w:t>
      </w:r>
      <w:r>
        <w:rPr>
          <w:rFonts w:hint="eastAsia" w:ascii="宋体" w:hAnsi="宋体"/>
          <w:sz w:val="24"/>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49FA0036">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）在磋商过程中，磋商小组可以根据磋商文件和磋商情况实质性变动采购需求中的技术、服务要求以及合同条款。实质性变动的内容，须经采购人代表确认。</w:t>
      </w:r>
    </w:p>
    <w:p w14:paraId="16E70158">
      <w:pPr>
        <w:spacing w:line="360" w:lineRule="auto"/>
        <w:ind w:firstLine="480" w:firstLineChars="200"/>
        <w:rPr>
          <w:rFonts w:hint="eastAsia" w:ascii="宋体" w:hAnsi="宋体"/>
          <w:sz w:val="24"/>
        </w:rPr>
      </w:pPr>
      <w:r>
        <w:rPr>
          <w:rFonts w:hint="eastAsia" w:ascii="宋体" w:hAnsi="宋体"/>
          <w:sz w:val="24"/>
        </w:rPr>
        <w:t>对磋商文件作出实质性变动是磋商文件的有效组成部分，磋商小组应当通过电子交易平台交换数据电文的形式同时通知所有参加磋商的供应商。</w:t>
      </w:r>
    </w:p>
    <w:p w14:paraId="372B4BC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）磋商文件能够详细列明采购标的的技术、服务要求的，磋商结束后，磋商小组应当要求所有继续参加磋商的供应商在规定时间内提交最终报价，提交最终报价的供应商不得少于3家。</w:t>
      </w:r>
    </w:p>
    <w:p w14:paraId="13063390">
      <w:pPr>
        <w:tabs>
          <w:tab w:val="left" w:pos="6870"/>
        </w:tabs>
        <w:spacing w:line="360" w:lineRule="auto"/>
        <w:ind w:firstLine="600" w:firstLineChars="249"/>
        <w:rPr>
          <w:rFonts w:hint="eastAsia" w:ascii="宋体" w:hAnsi="宋体"/>
          <w:b/>
          <w:sz w:val="24"/>
        </w:rPr>
      </w:pPr>
      <w:r>
        <w:rPr>
          <w:rFonts w:hint="eastAsia" w:ascii="宋体" w:hAnsi="宋体"/>
          <w:b/>
          <w:sz w:val="24"/>
        </w:rPr>
        <w:t>3.</w:t>
      </w:r>
      <w:r>
        <w:rPr>
          <w:rFonts w:ascii="宋体" w:hAnsi="宋体"/>
          <w:b/>
          <w:sz w:val="24"/>
        </w:rPr>
        <w:t xml:space="preserve">2.2 </w:t>
      </w:r>
      <w:r>
        <w:rPr>
          <w:rFonts w:hint="eastAsia" w:ascii="宋体" w:hAnsi="宋体"/>
          <w:b/>
          <w:sz w:val="24"/>
        </w:rPr>
        <w:t>磋商注意事项</w:t>
      </w:r>
      <w:r>
        <w:rPr>
          <w:rFonts w:ascii="宋体" w:hAnsi="宋体"/>
          <w:b/>
          <w:sz w:val="24"/>
        </w:rPr>
        <w:tab/>
      </w:r>
    </w:p>
    <w:p w14:paraId="6FF4C5DF">
      <w:pPr>
        <w:spacing w:line="360" w:lineRule="auto"/>
        <w:ind w:firstLine="480" w:firstLineChars="200"/>
        <w:rPr>
          <w:rFonts w:hint="eastAsia" w:ascii="宋体" w:hAnsi="宋体"/>
          <w:sz w:val="24"/>
        </w:rPr>
      </w:pPr>
      <w:r>
        <w:rPr>
          <w:rFonts w:hint="eastAsia" w:ascii="宋体" w:hAnsi="宋体"/>
          <w:sz w:val="24"/>
        </w:rPr>
        <w:t>（1）磋商时，参与磋商的供应商派代表应在线参加磋商。参与磋商的供应商人员应及时解释和澄清磋商响应文件相关内容，通过电子交易平台交换数据电文的形式重新做出承诺并签署确定。后</w:t>
      </w:r>
      <w:r>
        <w:rPr>
          <w:rFonts w:ascii="宋体" w:hAnsi="宋体"/>
          <w:sz w:val="24"/>
        </w:rPr>
        <w:t>一轮磋商</w:t>
      </w:r>
      <w:r>
        <w:rPr>
          <w:rFonts w:hint="eastAsia" w:ascii="宋体" w:hAnsi="宋体"/>
          <w:sz w:val="24"/>
        </w:rPr>
        <w:t>的价格、服务承诺及优惠条件等必须优于或等于前</w:t>
      </w:r>
      <w:r>
        <w:rPr>
          <w:rFonts w:ascii="宋体" w:hAnsi="宋体"/>
          <w:sz w:val="24"/>
        </w:rPr>
        <w:t>一轮磋商</w:t>
      </w:r>
      <w:r>
        <w:rPr>
          <w:rFonts w:hint="eastAsia" w:ascii="宋体" w:hAnsi="宋体"/>
          <w:sz w:val="24"/>
        </w:rPr>
        <w:t>的价格、服务承诺及优惠条件等。</w:t>
      </w:r>
      <w:r>
        <w:rPr>
          <w:rFonts w:hint="eastAsia" w:ascii="宋体" w:hAnsi="宋体"/>
          <w:b/>
          <w:sz w:val="24"/>
        </w:rPr>
        <w:t>如磋商只要求对总价进行报价的，各分项报价以总价按前一轮报价下浮比例下浮。</w:t>
      </w:r>
    </w:p>
    <w:p w14:paraId="1C57DC7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71B0D28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出席磋商的有关人员：监督</w:t>
      </w:r>
      <w:r>
        <w:rPr>
          <w:rFonts w:hint="eastAsia" w:ascii="宋体" w:hAnsi="宋体"/>
          <w:sz w:val="24"/>
        </w:rPr>
        <w:t>人员、</w:t>
      </w:r>
      <w:r>
        <w:rPr>
          <w:rFonts w:ascii="宋体" w:hAnsi="宋体"/>
          <w:sz w:val="24"/>
        </w:rPr>
        <w:t>磋商小组成员</w:t>
      </w:r>
      <w:r>
        <w:rPr>
          <w:rFonts w:hint="eastAsia" w:ascii="宋体" w:hAnsi="宋体"/>
          <w:sz w:val="24"/>
        </w:rPr>
        <w:t>和采购代理机构工作人员</w:t>
      </w:r>
      <w:r>
        <w:rPr>
          <w:rFonts w:ascii="宋体" w:hAnsi="宋体"/>
          <w:sz w:val="24"/>
        </w:rPr>
        <w:t>；监督</w:t>
      </w:r>
      <w:r>
        <w:rPr>
          <w:rFonts w:hint="eastAsia" w:ascii="宋体" w:hAnsi="宋体"/>
          <w:sz w:val="24"/>
        </w:rPr>
        <w:t>人员</w:t>
      </w:r>
      <w:r>
        <w:rPr>
          <w:rFonts w:ascii="宋体" w:hAnsi="宋体"/>
          <w:sz w:val="24"/>
        </w:rPr>
        <w:t>负责现场监督。参与磋商的供应商的所有</w:t>
      </w:r>
      <w:r>
        <w:rPr>
          <w:rFonts w:hint="eastAsia" w:ascii="宋体" w:hAnsi="宋体"/>
          <w:sz w:val="24"/>
        </w:rPr>
        <w:t>响应文件</w:t>
      </w:r>
      <w:r>
        <w:rPr>
          <w:rFonts w:ascii="宋体" w:hAnsi="宋体"/>
          <w:sz w:val="24"/>
        </w:rPr>
        <w:t>(包括每次报价及重新承诺)</w:t>
      </w:r>
      <w:r>
        <w:rPr>
          <w:rFonts w:hint="eastAsia" w:ascii="宋体" w:hAnsi="宋体"/>
          <w:sz w:val="24"/>
        </w:rPr>
        <w:t>规定</w:t>
      </w:r>
      <w:r>
        <w:rPr>
          <w:rFonts w:ascii="宋体" w:hAnsi="宋体"/>
          <w:sz w:val="24"/>
        </w:rPr>
        <w:t>截至时间前由</w:t>
      </w:r>
      <w:r>
        <w:rPr>
          <w:rFonts w:hint="eastAsia" w:ascii="宋体" w:hAnsi="宋体"/>
          <w:sz w:val="24"/>
        </w:rPr>
        <w:t>代理机构工作</w:t>
      </w:r>
      <w:r>
        <w:rPr>
          <w:rFonts w:ascii="宋体" w:hAnsi="宋体"/>
          <w:sz w:val="24"/>
        </w:rPr>
        <w:t>人员</w:t>
      </w:r>
      <w:r>
        <w:rPr>
          <w:rFonts w:hint="eastAsia" w:ascii="宋体" w:hAnsi="宋体"/>
          <w:sz w:val="24"/>
        </w:rPr>
        <w:t>进行</w:t>
      </w:r>
      <w:r>
        <w:rPr>
          <w:rFonts w:ascii="宋体" w:hAnsi="宋体"/>
          <w:sz w:val="24"/>
        </w:rPr>
        <w:t>接收，任何参与磋商的个人均不得私自拆封。磋商小组负责本次项目所有磋商任务，包括全程磋商、推荐成交候选人、填写</w:t>
      </w:r>
      <w:r>
        <w:rPr>
          <w:rFonts w:hint="eastAsia" w:ascii="宋体" w:hAnsi="宋体"/>
          <w:sz w:val="24"/>
        </w:rPr>
        <w:t>评审</w:t>
      </w:r>
      <w:r>
        <w:rPr>
          <w:rFonts w:ascii="宋体" w:hAnsi="宋体"/>
          <w:sz w:val="24"/>
        </w:rPr>
        <w:t>报告等。</w:t>
      </w:r>
    </w:p>
    <w:p w14:paraId="278AAD4A">
      <w:pPr>
        <w:spacing w:line="360" w:lineRule="auto"/>
        <w:ind w:firstLine="482" w:firstLineChars="200"/>
        <w:rPr>
          <w:rFonts w:hint="eastAsia" w:ascii="宋体" w:hAnsi="宋体"/>
          <w:b/>
          <w:sz w:val="24"/>
        </w:rPr>
      </w:pPr>
      <w:r>
        <w:rPr>
          <w:rFonts w:ascii="宋体" w:hAnsi="宋体"/>
          <w:b/>
          <w:sz w:val="24"/>
        </w:rPr>
        <w:t xml:space="preserve">3.3 </w:t>
      </w:r>
      <w:r>
        <w:rPr>
          <w:rFonts w:hint="eastAsia" w:ascii="宋体" w:hAnsi="宋体"/>
          <w:b/>
          <w:sz w:val="24"/>
        </w:rPr>
        <w:t>评审</w:t>
      </w:r>
    </w:p>
    <w:p w14:paraId="0E26B4BF">
      <w:pPr>
        <w:spacing w:line="360" w:lineRule="auto"/>
        <w:ind w:firstLine="482" w:firstLineChars="200"/>
        <w:rPr>
          <w:rFonts w:hint="eastAsia" w:ascii="宋体" w:hAnsi="宋体"/>
          <w:sz w:val="24"/>
        </w:rPr>
      </w:pPr>
      <w:r>
        <w:rPr>
          <w:rFonts w:hint="eastAsia" w:ascii="宋体" w:hAnsi="宋体"/>
          <w:b/>
          <w:sz w:val="24"/>
        </w:rPr>
        <w:t>3.</w:t>
      </w:r>
      <w:r>
        <w:rPr>
          <w:rFonts w:ascii="宋体" w:hAnsi="宋体"/>
          <w:b/>
          <w:sz w:val="24"/>
        </w:rPr>
        <w:t>3.1</w:t>
      </w:r>
      <w:r>
        <w:rPr>
          <w:rFonts w:hint="eastAsia" w:ascii="宋体" w:hAnsi="宋体"/>
          <w:sz w:val="24"/>
        </w:rPr>
        <w:t>磋商小组采用综合评分法对确定作出最终报价的供应商的响应文件进行综合评分。</w:t>
      </w:r>
    </w:p>
    <w:p w14:paraId="7DF0B416">
      <w:pPr>
        <w:spacing w:line="360" w:lineRule="auto"/>
        <w:ind w:firstLine="480" w:firstLineChars="200"/>
        <w:rPr>
          <w:rFonts w:hint="eastAsia" w:ascii="宋体" w:hAnsi="宋体"/>
          <w:sz w:val="24"/>
        </w:rPr>
      </w:pPr>
      <w:r>
        <w:rPr>
          <w:rFonts w:hint="eastAsia" w:ascii="宋体" w:hAnsi="宋体"/>
          <w:sz w:val="24"/>
        </w:rPr>
        <w:t>（1）磋商小组依据磋商文件的规定，对各</w:t>
      </w:r>
      <w:r>
        <w:rPr>
          <w:rFonts w:hint="eastAsia" w:ascii="宋体" w:hAnsi="宋体"/>
          <w:kern w:val="0"/>
          <w:sz w:val="24"/>
        </w:rPr>
        <w:t>供应商的</w:t>
      </w:r>
      <w:r>
        <w:rPr>
          <w:rFonts w:hint="eastAsia" w:ascii="宋体" w:hAnsi="宋体"/>
          <w:sz w:val="24"/>
        </w:rPr>
        <w:t>资信商务部分进行评审，对客观分应统一意见后统一给分。</w:t>
      </w:r>
    </w:p>
    <w:p w14:paraId="1639B2BF">
      <w:pPr>
        <w:spacing w:line="360" w:lineRule="auto"/>
        <w:ind w:firstLine="480" w:firstLineChars="200"/>
        <w:rPr>
          <w:rFonts w:hint="eastAsia" w:ascii="宋体" w:hAnsi="宋体"/>
          <w:sz w:val="24"/>
        </w:rPr>
      </w:pPr>
      <w:r>
        <w:rPr>
          <w:rFonts w:hint="eastAsia" w:ascii="宋体" w:hAnsi="宋体"/>
          <w:sz w:val="24"/>
        </w:rPr>
        <w:t>（2）磋商小组依据磋商文件的规定，对各</w:t>
      </w:r>
      <w:r>
        <w:rPr>
          <w:rFonts w:hint="eastAsia" w:ascii="宋体" w:hAnsi="宋体"/>
          <w:kern w:val="0"/>
          <w:sz w:val="24"/>
        </w:rPr>
        <w:t>供应商的</w:t>
      </w:r>
      <w:r>
        <w:rPr>
          <w:rFonts w:hint="eastAsia" w:ascii="宋体" w:hAnsi="宋体"/>
          <w:sz w:val="24"/>
        </w:rPr>
        <w:t>技术部分进行独立评审。对各</w:t>
      </w:r>
      <w:r>
        <w:rPr>
          <w:rFonts w:hint="eastAsia" w:ascii="宋体" w:hAnsi="宋体"/>
          <w:kern w:val="0"/>
          <w:sz w:val="24"/>
        </w:rPr>
        <w:t>响应文件</w:t>
      </w:r>
      <w:r>
        <w:rPr>
          <w:rFonts w:hint="eastAsia" w:ascii="宋体" w:hAnsi="宋体"/>
          <w:sz w:val="24"/>
        </w:rPr>
        <w:t>进行比较和必要的澄清，若有</w:t>
      </w:r>
      <w:r>
        <w:rPr>
          <w:rFonts w:ascii="宋体" w:hAnsi="宋体"/>
          <w:sz w:val="24"/>
        </w:rPr>
        <w:t>演示</w:t>
      </w:r>
      <w:r>
        <w:rPr>
          <w:rFonts w:hint="eastAsia" w:ascii="宋体" w:hAnsi="宋体"/>
          <w:sz w:val="24"/>
        </w:rPr>
        <w:t>、</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评审同步进行，演示顺序为电子交易平台解密后自动生成的“投标（响应）文件签收登记表”名单顺序</w:t>
      </w:r>
      <w:r>
        <w:rPr>
          <w:rFonts w:ascii="宋体" w:hAnsi="宋体"/>
          <w:sz w:val="24"/>
        </w:rPr>
        <w:t>，并根据</w:t>
      </w:r>
      <w:r>
        <w:rPr>
          <w:rFonts w:hint="eastAsia" w:ascii="宋体" w:hAnsi="宋体"/>
          <w:sz w:val="24"/>
        </w:rPr>
        <w:t>审查、澄清、</w:t>
      </w:r>
      <w:r>
        <w:rPr>
          <w:rFonts w:ascii="宋体" w:hAnsi="宋体"/>
          <w:sz w:val="24"/>
        </w:rPr>
        <w:t>演示、样品等情况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3E8AFB84">
      <w:pPr>
        <w:spacing w:line="360" w:lineRule="auto"/>
        <w:ind w:firstLine="480" w:firstLineChars="200"/>
        <w:rPr>
          <w:rFonts w:hint="eastAsia" w:ascii="宋体" w:hAnsi="宋体"/>
          <w:sz w:val="24"/>
        </w:rPr>
      </w:pPr>
      <w:r>
        <w:rPr>
          <w:rFonts w:hint="eastAsia" w:ascii="宋体" w:hAnsi="宋体"/>
          <w:sz w:val="24"/>
        </w:rPr>
        <w:t>（3）各供应商的</w:t>
      </w:r>
      <w:r>
        <w:rPr>
          <w:rFonts w:hint="eastAsia" w:ascii="宋体" w:hAnsi="宋体"/>
          <w:sz w:val="24"/>
          <w:lang w:val="en-US" w:eastAsia="zh-CN"/>
        </w:rPr>
        <w:t>商务</w:t>
      </w:r>
      <w:r>
        <w:rPr>
          <w:rFonts w:hint="eastAsia" w:ascii="宋体" w:hAnsi="宋体"/>
          <w:sz w:val="24"/>
        </w:rPr>
        <w:t>技术得分，为各磋商小组</w:t>
      </w:r>
      <w:r>
        <w:rPr>
          <w:rFonts w:ascii="宋体" w:hAnsi="宋体"/>
          <w:sz w:val="24"/>
        </w:rPr>
        <w:t>成员</w:t>
      </w:r>
      <w:r>
        <w:rPr>
          <w:rFonts w:hint="eastAsia" w:ascii="宋体" w:hAnsi="宋体"/>
          <w:sz w:val="24"/>
        </w:rPr>
        <w:t>对该供应商的评分汇总后的算术平均数。</w:t>
      </w:r>
    </w:p>
    <w:p w14:paraId="74DFBE48">
      <w:pPr>
        <w:spacing w:line="360" w:lineRule="auto"/>
        <w:ind w:firstLine="482" w:firstLineChars="200"/>
        <w:rPr>
          <w:rFonts w:hint="eastAsia" w:ascii="宋体" w:hAnsi="宋体"/>
          <w:b/>
          <w:sz w:val="24"/>
        </w:rPr>
      </w:pPr>
      <w:r>
        <w:rPr>
          <w:rFonts w:ascii="宋体" w:hAnsi="宋体"/>
          <w:b/>
          <w:sz w:val="24"/>
        </w:rPr>
        <w:t>3.3.</w:t>
      </w:r>
      <w:r>
        <w:rPr>
          <w:rFonts w:hint="eastAsia" w:ascii="宋体" w:hAnsi="宋体"/>
          <w:b/>
          <w:sz w:val="24"/>
        </w:rPr>
        <w:t>2</w:t>
      </w:r>
      <w:r>
        <w:rPr>
          <w:rFonts w:ascii="宋体" w:hAnsi="宋体"/>
          <w:b/>
          <w:sz w:val="24"/>
        </w:rPr>
        <w:t xml:space="preserve"> </w:t>
      </w:r>
      <w:r>
        <w:rPr>
          <w:rFonts w:hint="eastAsia" w:ascii="宋体" w:hAnsi="宋体"/>
          <w:b/>
          <w:sz w:val="24"/>
        </w:rPr>
        <w:t>报价文件评审</w:t>
      </w:r>
    </w:p>
    <w:p w14:paraId="4693CD5D">
      <w:pPr>
        <w:spacing w:line="360" w:lineRule="auto"/>
        <w:ind w:firstLine="480" w:firstLineChars="200"/>
        <w:rPr>
          <w:rFonts w:hint="eastAsia" w:ascii="宋体" w:hAnsi="宋体"/>
          <w:sz w:val="24"/>
        </w:rPr>
      </w:pPr>
      <w:r>
        <w:rPr>
          <w:rFonts w:hint="eastAsia" w:ascii="宋体" w:hAnsi="宋体"/>
          <w:sz w:val="24"/>
        </w:rPr>
        <w:t>（1）磋商</w:t>
      </w:r>
      <w:r>
        <w:rPr>
          <w:rFonts w:ascii="宋体" w:hAnsi="宋体"/>
          <w:sz w:val="24"/>
        </w:rPr>
        <w:t>小组</w:t>
      </w:r>
      <w:r>
        <w:rPr>
          <w:rFonts w:hint="eastAsia" w:ascii="宋体" w:hAnsi="宋体"/>
          <w:sz w:val="24"/>
        </w:rPr>
        <w:t>依据磋商文件的规定，对各供应商报价文件的符合性进行审查，必要时可要求供应商对其报价做出澄清、说明。</w:t>
      </w:r>
    </w:p>
    <w:p w14:paraId="2F3A3058">
      <w:pPr>
        <w:spacing w:line="360" w:lineRule="auto"/>
        <w:ind w:firstLine="480" w:firstLineChars="200"/>
        <w:rPr>
          <w:rFonts w:hint="eastAsia" w:ascii="宋体" w:hAnsi="宋体"/>
          <w:sz w:val="24"/>
        </w:rPr>
      </w:pPr>
      <w:r>
        <w:rPr>
          <w:rFonts w:hint="eastAsia" w:ascii="宋体" w:hAnsi="宋体"/>
          <w:sz w:val="24"/>
        </w:rPr>
        <w:t>（2）供应商提交最终报价；</w:t>
      </w:r>
    </w:p>
    <w:p w14:paraId="665D655A">
      <w:pPr>
        <w:spacing w:line="360" w:lineRule="auto"/>
        <w:ind w:firstLine="480" w:firstLineChars="200"/>
        <w:rPr>
          <w:rFonts w:hint="eastAsia" w:ascii="宋体" w:hAnsi="宋体"/>
          <w:sz w:val="24"/>
        </w:rPr>
      </w:pPr>
      <w:r>
        <w:rPr>
          <w:rFonts w:hint="eastAsia" w:ascii="宋体" w:hAnsi="宋体"/>
          <w:sz w:val="24"/>
        </w:rPr>
        <w:t>（3）代理机构通过电子交易平台公布各供应商</w:t>
      </w:r>
      <w:r>
        <w:rPr>
          <w:rFonts w:hint="eastAsia" w:ascii="宋体" w:hAnsi="宋体"/>
          <w:sz w:val="24"/>
          <w:lang w:val="en-US" w:eastAsia="zh-CN"/>
        </w:rPr>
        <w:t>商务</w:t>
      </w:r>
      <w:r>
        <w:rPr>
          <w:rFonts w:hint="eastAsia" w:ascii="宋体" w:hAnsi="宋体"/>
          <w:sz w:val="24"/>
        </w:rPr>
        <w:t>技术得分。</w:t>
      </w:r>
    </w:p>
    <w:p w14:paraId="28060F2E">
      <w:pPr>
        <w:spacing w:line="360" w:lineRule="auto"/>
        <w:ind w:firstLine="480" w:firstLineChars="200"/>
        <w:rPr>
          <w:rFonts w:hint="eastAsia" w:ascii="宋体" w:hAnsi="宋体"/>
          <w:sz w:val="24"/>
        </w:rPr>
      </w:pPr>
      <w:r>
        <w:rPr>
          <w:rFonts w:hint="eastAsia" w:ascii="宋体" w:hAnsi="宋体"/>
          <w:sz w:val="24"/>
        </w:rPr>
        <w:t>（4）磋商小组依据磋商文件的规定，对各供应商的最终报价的合理性进行审查，必要时可要求供应商对其报价做出澄清、说明。</w:t>
      </w:r>
    </w:p>
    <w:p w14:paraId="0B811741">
      <w:pPr>
        <w:spacing w:line="360" w:lineRule="auto"/>
        <w:ind w:firstLine="480" w:firstLineChars="200"/>
        <w:rPr>
          <w:rFonts w:hint="eastAsia" w:ascii="宋体" w:hAnsi="宋体"/>
          <w:sz w:val="24"/>
        </w:rPr>
      </w:pPr>
      <w:r>
        <w:rPr>
          <w:rFonts w:hint="eastAsia" w:ascii="宋体" w:hAnsi="宋体"/>
          <w:sz w:val="24"/>
        </w:rPr>
        <w:t xml:space="preserve">（5）报价修正； </w:t>
      </w:r>
    </w:p>
    <w:p w14:paraId="7265CD49">
      <w:pPr>
        <w:tabs>
          <w:tab w:val="left" w:pos="3285"/>
        </w:tabs>
        <w:spacing w:line="360" w:lineRule="auto"/>
        <w:ind w:firstLine="480" w:firstLineChars="200"/>
        <w:rPr>
          <w:rFonts w:hint="eastAsia" w:ascii="宋体" w:hAnsi="宋体"/>
          <w:sz w:val="24"/>
        </w:rPr>
      </w:pPr>
      <w:r>
        <w:rPr>
          <w:rFonts w:hint="eastAsia" w:ascii="宋体" w:hAnsi="宋体"/>
          <w:sz w:val="24"/>
        </w:rPr>
        <w:t>（6）政府政策优惠扣除；</w:t>
      </w:r>
    </w:p>
    <w:p w14:paraId="46815DF5">
      <w:pPr>
        <w:spacing w:line="360" w:lineRule="auto"/>
        <w:ind w:firstLine="480" w:firstLineChars="200"/>
        <w:rPr>
          <w:rFonts w:hint="eastAsia" w:ascii="宋体" w:hAnsi="宋体"/>
          <w:sz w:val="24"/>
        </w:rPr>
      </w:pPr>
      <w:r>
        <w:rPr>
          <w:rFonts w:hint="eastAsia" w:ascii="宋体" w:hAnsi="宋体"/>
          <w:sz w:val="24"/>
        </w:rPr>
        <w:t>（7）磋商小组根据供应商的报价和评审</w:t>
      </w:r>
      <w:r>
        <w:rPr>
          <w:rFonts w:ascii="宋体" w:hAnsi="宋体"/>
          <w:sz w:val="24"/>
        </w:rPr>
        <w:t>标准</w:t>
      </w:r>
      <w:r>
        <w:rPr>
          <w:rFonts w:hint="eastAsia" w:ascii="宋体" w:hAnsi="宋体"/>
          <w:sz w:val="24"/>
        </w:rPr>
        <w:t>，计算各供应商的报价得分。</w:t>
      </w:r>
    </w:p>
    <w:p w14:paraId="6BFE6455">
      <w:pPr>
        <w:spacing w:line="360" w:lineRule="auto"/>
        <w:ind w:firstLine="482" w:firstLineChars="200"/>
        <w:rPr>
          <w:rFonts w:hint="eastAsia" w:ascii="宋体" w:hAnsi="宋体"/>
          <w:b/>
          <w:sz w:val="24"/>
        </w:rPr>
      </w:pPr>
      <w:r>
        <w:rPr>
          <w:rFonts w:ascii="宋体" w:hAnsi="宋体"/>
          <w:b/>
          <w:sz w:val="24"/>
        </w:rPr>
        <w:t>3.4</w:t>
      </w:r>
      <w:r>
        <w:rPr>
          <w:rFonts w:hint="eastAsia" w:ascii="宋体" w:hAnsi="宋体"/>
          <w:b/>
          <w:sz w:val="24"/>
        </w:rPr>
        <w:t xml:space="preserve"> 评审结果</w:t>
      </w:r>
    </w:p>
    <w:p w14:paraId="195BF30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.1 评审结果汇总，供应商结果排序；</w:t>
      </w:r>
    </w:p>
    <w:p w14:paraId="7787784F">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.2 起草评审报告，确定成交候选人。</w:t>
      </w:r>
    </w:p>
    <w:p w14:paraId="231F58F3">
      <w:pPr>
        <w:spacing w:line="360" w:lineRule="auto"/>
        <w:ind w:firstLine="482" w:firstLineChars="200"/>
        <w:rPr>
          <w:rFonts w:hint="eastAsia" w:ascii="宋体" w:hAnsi="宋体"/>
          <w:sz w:val="24"/>
        </w:rPr>
      </w:pPr>
      <w:r>
        <w:rPr>
          <w:rFonts w:hint="eastAsia" w:ascii="宋体" w:hAnsi="宋体"/>
          <w:b/>
          <w:sz w:val="24"/>
        </w:rPr>
        <w:t>3.5 结果公布。</w:t>
      </w:r>
    </w:p>
    <w:p w14:paraId="04A42BA3">
      <w:pPr>
        <w:pStyle w:val="4"/>
        <w:spacing w:after="0"/>
        <w:ind w:firstLine="0" w:firstLineChars="0"/>
        <w:rPr>
          <w:rFonts w:hint="eastAsia" w:ascii="宋体" w:hAnsi="宋体"/>
          <w:sz w:val="32"/>
        </w:rPr>
      </w:pPr>
      <w:bookmarkStart w:id="449" w:name="_Toc94277268"/>
      <w:bookmarkStart w:id="450" w:name="_Toc841"/>
      <w:bookmarkStart w:id="451" w:name="_Toc18789"/>
      <w:bookmarkStart w:id="452" w:name="_Toc1512"/>
      <w:bookmarkStart w:id="453" w:name="_Toc31469"/>
      <w:bookmarkStart w:id="454" w:name="_Toc16478"/>
      <w:r>
        <w:rPr>
          <w:rFonts w:hint="eastAsia" w:ascii="宋体" w:hAnsi="宋体"/>
          <w:sz w:val="32"/>
        </w:rPr>
        <w:t xml:space="preserve">四   </w:t>
      </w:r>
      <w:bookmarkEnd w:id="431"/>
      <w:r>
        <w:rPr>
          <w:rFonts w:hint="eastAsia" w:ascii="宋体" w:hAnsi="宋体"/>
          <w:sz w:val="32"/>
        </w:rPr>
        <w:t>磋商内容及规定</w:t>
      </w:r>
      <w:bookmarkEnd w:id="432"/>
      <w:bookmarkEnd w:id="449"/>
      <w:bookmarkEnd w:id="450"/>
      <w:bookmarkEnd w:id="451"/>
      <w:bookmarkEnd w:id="452"/>
      <w:bookmarkEnd w:id="453"/>
      <w:bookmarkEnd w:id="454"/>
    </w:p>
    <w:p w14:paraId="292AB906">
      <w:pPr>
        <w:spacing w:line="360" w:lineRule="auto"/>
        <w:ind w:firstLine="480" w:firstLineChars="200"/>
        <w:rPr>
          <w:rFonts w:hint="eastAsia" w:ascii="宋体" w:hAnsi="宋体"/>
          <w:sz w:val="24"/>
        </w:rPr>
      </w:pPr>
      <w:r>
        <w:rPr>
          <w:rFonts w:hint="eastAsia" w:ascii="宋体" w:hAnsi="宋体"/>
          <w:sz w:val="24"/>
        </w:rPr>
        <w:t>4.本评审办法采用综合评分法,总分100分。</w:t>
      </w:r>
    </w:p>
    <w:p w14:paraId="6708E67B">
      <w:pPr>
        <w:spacing w:line="360" w:lineRule="auto"/>
        <w:ind w:firstLine="480" w:firstLineChars="200"/>
        <w:rPr>
          <w:rFonts w:hint="eastAsia" w:ascii="宋体" w:hAnsi="宋体"/>
          <w:sz w:val="24"/>
        </w:rPr>
      </w:pPr>
      <w:r>
        <w:rPr>
          <w:rFonts w:hint="eastAsia" w:ascii="宋体" w:hAnsi="宋体"/>
          <w:sz w:val="24"/>
        </w:rPr>
        <w:t>4.1商务技术文件权重为90%，分值为90分，磋商小组对各磋商文件的</w:t>
      </w:r>
      <w:r>
        <w:rPr>
          <w:rFonts w:hint="eastAsia" w:ascii="宋体" w:hAnsi="宋体"/>
          <w:sz w:val="24"/>
          <w:lang w:val="en-US" w:eastAsia="zh-CN"/>
        </w:rPr>
        <w:t>商务技术</w:t>
      </w:r>
      <w:r>
        <w:rPr>
          <w:rFonts w:hint="eastAsia" w:ascii="宋体" w:hAnsi="宋体"/>
          <w:sz w:val="24"/>
        </w:rPr>
        <w:t>部分经充分审核、讨论后，在规定的分值内由磋商小组单独评定打分。如果某个单项的打分超过所规定的分值范围，则该张打分表无效。</w:t>
      </w:r>
    </w:p>
    <w:p w14:paraId="5B7EEB93">
      <w:pPr>
        <w:spacing w:line="360" w:lineRule="auto"/>
        <w:ind w:firstLine="480" w:firstLineChars="200"/>
        <w:rPr>
          <w:rFonts w:hint="eastAsia" w:ascii="宋体" w:hAnsi="宋体"/>
          <w:sz w:val="24"/>
        </w:rPr>
      </w:pPr>
      <w:r>
        <w:rPr>
          <w:rFonts w:hint="eastAsia" w:ascii="宋体" w:hAnsi="宋体"/>
          <w:sz w:val="24"/>
        </w:rPr>
        <w:t>4.2磋商报价权重为10%，分值为10分，磋商小组按各磋商供应商的最终磋商报价统一计算。</w:t>
      </w:r>
    </w:p>
    <w:p w14:paraId="2F206003">
      <w:pPr>
        <w:pStyle w:val="4"/>
        <w:spacing w:after="0"/>
        <w:ind w:firstLine="0" w:firstLineChars="0"/>
        <w:rPr>
          <w:rFonts w:hint="eastAsia" w:ascii="宋体" w:hAnsi="宋体"/>
          <w:sz w:val="32"/>
        </w:rPr>
      </w:pPr>
      <w:bookmarkStart w:id="455" w:name="_Toc94277269"/>
      <w:bookmarkStart w:id="456" w:name="_Toc19313"/>
      <w:bookmarkStart w:id="457" w:name="_Toc12525"/>
      <w:bookmarkStart w:id="458" w:name="_Toc2319"/>
      <w:bookmarkStart w:id="459" w:name="_Toc17936"/>
      <w:bookmarkStart w:id="460" w:name="_Toc2804"/>
      <w:bookmarkStart w:id="461" w:name="_Toc390938606"/>
      <w:bookmarkStart w:id="462" w:name="_Toc335664301"/>
      <w:r>
        <w:rPr>
          <w:rFonts w:hint="eastAsia" w:ascii="宋体" w:hAnsi="宋体"/>
          <w:sz w:val="32"/>
        </w:rPr>
        <w:t>五   评标办法和细则</w:t>
      </w:r>
      <w:bookmarkEnd w:id="455"/>
      <w:bookmarkEnd w:id="456"/>
      <w:bookmarkEnd w:id="457"/>
      <w:bookmarkEnd w:id="458"/>
      <w:bookmarkEnd w:id="459"/>
      <w:bookmarkEnd w:id="460"/>
    </w:p>
    <w:p w14:paraId="0810255D">
      <w:pPr>
        <w:spacing w:line="360" w:lineRule="auto"/>
        <w:jc w:val="left"/>
        <w:rPr>
          <w:rFonts w:hint="eastAsia" w:ascii="宋体" w:hAnsi="宋体"/>
          <w:b/>
          <w:sz w:val="24"/>
        </w:rPr>
      </w:pPr>
      <w:bookmarkStart w:id="463" w:name="_Toc94277270"/>
      <w:r>
        <w:rPr>
          <w:rFonts w:hint="eastAsia" w:ascii="宋体" w:hAnsi="宋体" w:cs="宋体"/>
          <w:b/>
          <w:sz w:val="24"/>
        </w:rPr>
        <w:t>5.1</w:t>
      </w:r>
      <w:r>
        <w:rPr>
          <w:rFonts w:hint="eastAsia" w:ascii="宋体" w:hAnsi="宋体"/>
          <w:b/>
          <w:sz w:val="24"/>
          <w:lang w:val="en-US" w:eastAsia="zh-CN"/>
        </w:rPr>
        <w:t>商务技术</w:t>
      </w:r>
      <w:r>
        <w:rPr>
          <w:rFonts w:hint="eastAsia" w:ascii="宋体" w:hAnsi="宋体"/>
          <w:b/>
          <w:sz w:val="24"/>
        </w:rPr>
        <w:t>分值共90分，权重为90%，由磋商小组成员独立打分（客观分由磋商小组成员统一打分）。</w:t>
      </w:r>
    </w:p>
    <w:tbl>
      <w:tblPr>
        <w:tblStyle w:val="32"/>
        <w:tblW w:w="0" w:type="auto"/>
        <w:tblInd w:w="0" w:type="dxa"/>
        <w:tblLayout w:type="fixed"/>
        <w:tblCellMar>
          <w:top w:w="0" w:type="dxa"/>
          <w:left w:w="108" w:type="dxa"/>
          <w:bottom w:w="0" w:type="dxa"/>
          <w:right w:w="108" w:type="dxa"/>
        </w:tblCellMar>
      </w:tblPr>
      <w:tblGrid>
        <w:gridCol w:w="945"/>
        <w:gridCol w:w="1406"/>
        <w:gridCol w:w="5829"/>
        <w:gridCol w:w="1183"/>
      </w:tblGrid>
      <w:tr w14:paraId="1CBFEFCB">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000000" w:sz="4" w:space="0"/>
            </w:tcBorders>
            <w:vAlign w:val="center"/>
          </w:tcPr>
          <w:p w14:paraId="6E762531">
            <w:pPr>
              <w:widowControl/>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1406" w:type="dxa"/>
            <w:tcBorders>
              <w:top w:val="single" w:color="auto" w:sz="4" w:space="0"/>
              <w:left w:val="single" w:color="000000" w:sz="4" w:space="0"/>
              <w:bottom w:val="single" w:color="auto" w:sz="4" w:space="0"/>
              <w:right w:val="single" w:color="000000" w:sz="4" w:space="0"/>
            </w:tcBorders>
            <w:vAlign w:val="center"/>
          </w:tcPr>
          <w:p w14:paraId="457DC2C9">
            <w:pPr>
              <w:widowControl/>
              <w:jc w:val="center"/>
              <w:textAlignment w:val="center"/>
              <w:rPr>
                <w:rFonts w:hint="eastAsia" w:ascii="宋体" w:hAnsi="宋体" w:cs="宋体"/>
                <w:b/>
                <w:bCs/>
                <w:sz w:val="24"/>
              </w:rPr>
            </w:pPr>
            <w:r>
              <w:rPr>
                <w:rFonts w:hint="eastAsia" w:ascii="宋体" w:hAnsi="宋体" w:cs="宋体"/>
                <w:b/>
                <w:bCs/>
                <w:kern w:val="0"/>
                <w:sz w:val="24"/>
                <w:lang w:bidi="ar"/>
              </w:rPr>
              <w:t>评审内容</w:t>
            </w:r>
          </w:p>
        </w:tc>
        <w:tc>
          <w:tcPr>
            <w:tcW w:w="5829" w:type="dxa"/>
            <w:tcBorders>
              <w:top w:val="single" w:color="auto" w:sz="4" w:space="0"/>
              <w:left w:val="single" w:color="000000" w:sz="4" w:space="0"/>
              <w:bottom w:val="single" w:color="auto" w:sz="4" w:space="0"/>
              <w:right w:val="single" w:color="000000" w:sz="4" w:space="0"/>
            </w:tcBorders>
            <w:vAlign w:val="center"/>
          </w:tcPr>
          <w:p w14:paraId="04A667C6">
            <w:pPr>
              <w:widowControl/>
              <w:jc w:val="center"/>
              <w:textAlignment w:val="center"/>
              <w:rPr>
                <w:rFonts w:hint="eastAsia" w:ascii="宋体" w:hAnsi="宋体" w:cs="宋体"/>
                <w:b/>
                <w:bCs/>
                <w:sz w:val="24"/>
              </w:rPr>
            </w:pPr>
            <w:r>
              <w:rPr>
                <w:rFonts w:hint="eastAsia" w:ascii="宋体" w:hAnsi="宋体" w:cs="宋体"/>
                <w:b/>
                <w:bCs/>
                <w:kern w:val="0"/>
                <w:sz w:val="24"/>
                <w:lang w:bidi="ar"/>
              </w:rPr>
              <w:t>评审标准</w:t>
            </w:r>
          </w:p>
        </w:tc>
        <w:tc>
          <w:tcPr>
            <w:tcW w:w="1183" w:type="dxa"/>
            <w:tcBorders>
              <w:top w:val="single" w:color="auto" w:sz="4" w:space="0"/>
              <w:left w:val="single" w:color="000000" w:sz="4" w:space="0"/>
              <w:bottom w:val="single" w:color="auto" w:sz="4" w:space="0"/>
              <w:right w:val="single" w:color="auto" w:sz="4" w:space="0"/>
            </w:tcBorders>
            <w:vAlign w:val="center"/>
          </w:tcPr>
          <w:p w14:paraId="7EE7C6BB">
            <w:pPr>
              <w:widowControl/>
              <w:jc w:val="center"/>
              <w:textAlignment w:val="center"/>
              <w:rPr>
                <w:rFonts w:hint="eastAsia" w:ascii="宋体" w:hAnsi="宋体" w:cs="宋体"/>
                <w:b/>
                <w:bCs/>
                <w:sz w:val="24"/>
              </w:rPr>
            </w:pPr>
            <w:r>
              <w:rPr>
                <w:rFonts w:hint="eastAsia" w:ascii="宋体" w:hAnsi="宋体" w:cs="宋体"/>
                <w:b/>
                <w:bCs/>
                <w:kern w:val="0"/>
                <w:sz w:val="24"/>
                <w:lang w:bidi="ar"/>
              </w:rPr>
              <w:t>分值</w:t>
            </w:r>
          </w:p>
        </w:tc>
      </w:tr>
      <w:tr w14:paraId="1B59E419">
        <w:tblPrEx>
          <w:tblCellMar>
            <w:top w:w="0" w:type="dxa"/>
            <w:left w:w="108" w:type="dxa"/>
            <w:bottom w:w="0" w:type="dxa"/>
            <w:right w:w="108" w:type="dxa"/>
          </w:tblCellMar>
        </w:tblPrEx>
        <w:trPr>
          <w:trHeight w:val="2185" w:hRule="atLeast"/>
        </w:trPr>
        <w:tc>
          <w:tcPr>
            <w:tcW w:w="945" w:type="dxa"/>
            <w:tcBorders>
              <w:top w:val="single" w:color="auto" w:sz="4" w:space="0"/>
              <w:left w:val="single" w:color="auto" w:sz="4" w:space="0"/>
              <w:bottom w:val="single" w:color="auto" w:sz="4" w:space="0"/>
              <w:right w:val="single" w:color="auto" w:sz="4" w:space="0"/>
            </w:tcBorders>
            <w:vAlign w:val="center"/>
          </w:tcPr>
          <w:p w14:paraId="0A5EFBF7">
            <w:pPr>
              <w:pageBreakBefore w:val="0"/>
              <w:kinsoku/>
              <w:wordWrap/>
              <w:overflowPunct/>
              <w:topLinePunct w:val="0"/>
              <w:bidi w:val="0"/>
              <w:spacing w:line="360" w:lineRule="auto"/>
              <w:jc w:val="center"/>
              <w:textAlignment w:val="auto"/>
              <w:rPr>
                <w:rFonts w:hint="eastAsia" w:ascii="宋体" w:hAnsi="宋体" w:cs="宋体"/>
                <w:sz w:val="24"/>
              </w:rPr>
            </w:pPr>
            <w:r>
              <w:rPr>
                <w:rFonts w:hint="eastAsia" w:ascii="宋体" w:hAnsi="宋体" w:cs="宋体"/>
                <w:kern w:val="0"/>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14:paraId="687D9669">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bCs/>
                <w:sz w:val="24"/>
                <w:highlight w:val="none"/>
              </w:rPr>
              <w:t>供应商业绩</w:t>
            </w:r>
            <w:r>
              <w:rPr>
                <w:rFonts w:hint="eastAsia" w:ascii="宋体" w:hAnsi="宋体" w:cs="宋体"/>
                <w:kern w:val="0"/>
                <w:sz w:val="24"/>
                <w:highlight w:val="none"/>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2C6D87E1">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供应商自202</w:t>
            </w:r>
            <w:r>
              <w:rPr>
                <w:rFonts w:hint="eastAsia" w:ascii="宋体" w:hAnsi="宋体" w:cs="宋体"/>
                <w:bCs/>
                <w:sz w:val="24"/>
                <w:highlight w:val="none"/>
                <w:lang w:val="en-US" w:eastAsia="zh-CN"/>
              </w:rPr>
              <w:t>2</w:t>
            </w:r>
            <w:r>
              <w:rPr>
                <w:rFonts w:hint="eastAsia" w:ascii="宋体" w:hAnsi="宋体" w:cs="宋体"/>
                <w:bCs/>
                <w:sz w:val="24"/>
                <w:highlight w:val="none"/>
              </w:rPr>
              <w:t>年1月1日以来（以合同签订日期为准），承担过类似项目的，每提供一个业绩得</w:t>
            </w:r>
            <w:r>
              <w:rPr>
                <w:rFonts w:hint="eastAsia" w:ascii="宋体" w:hAnsi="宋体" w:cs="宋体"/>
                <w:bCs/>
                <w:sz w:val="24"/>
                <w:highlight w:val="none"/>
                <w:lang w:val="en-US" w:eastAsia="zh-CN"/>
              </w:rPr>
              <w:t>1</w:t>
            </w:r>
            <w:r>
              <w:rPr>
                <w:rFonts w:hint="eastAsia" w:ascii="宋体" w:hAnsi="宋体" w:cs="宋体"/>
                <w:bCs/>
                <w:sz w:val="24"/>
                <w:highlight w:val="none"/>
              </w:rPr>
              <w:t>分，最高得</w:t>
            </w:r>
            <w:r>
              <w:rPr>
                <w:rFonts w:hint="eastAsia" w:ascii="宋体" w:hAnsi="宋体" w:cs="宋体"/>
                <w:bCs/>
                <w:sz w:val="24"/>
                <w:highlight w:val="none"/>
                <w:lang w:val="en-US" w:eastAsia="zh-CN"/>
              </w:rPr>
              <w:t>1</w:t>
            </w:r>
            <w:r>
              <w:rPr>
                <w:rFonts w:hint="eastAsia" w:ascii="宋体" w:hAnsi="宋体" w:cs="宋体"/>
                <w:bCs/>
                <w:sz w:val="24"/>
                <w:highlight w:val="none"/>
              </w:rPr>
              <w:t>分。</w:t>
            </w:r>
          </w:p>
          <w:p w14:paraId="18DC2D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b/>
                <w:bCs/>
                <w:sz w:val="24"/>
              </w:rPr>
            </w:pPr>
            <w:r>
              <w:rPr>
                <w:rFonts w:hint="eastAsia" w:ascii="宋体" w:hAnsi="宋体" w:cs="宋体"/>
                <w:b/>
                <w:bCs/>
                <w:sz w:val="24"/>
                <w:szCs w:val="24"/>
                <w:highlight w:val="none"/>
                <w:lang w:val="en-US" w:eastAsia="zh-CN"/>
              </w:rPr>
              <w:t>注：1、合同复印件加盖公章装入商务技术文件中，不提供不得分。2、是否属于类似业绩由评标委员会根据合同的内容、特点以及与本项目的类似程度等进行认定。</w:t>
            </w:r>
          </w:p>
        </w:tc>
        <w:tc>
          <w:tcPr>
            <w:tcW w:w="1183" w:type="dxa"/>
            <w:tcBorders>
              <w:top w:val="single" w:color="auto" w:sz="4" w:space="0"/>
              <w:left w:val="single" w:color="auto" w:sz="4" w:space="0"/>
              <w:bottom w:val="single" w:color="auto" w:sz="4" w:space="0"/>
              <w:right w:val="single" w:color="auto" w:sz="4" w:space="0"/>
            </w:tcBorders>
            <w:vAlign w:val="center"/>
          </w:tcPr>
          <w:p w14:paraId="7F167380">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rPr>
              <w:t>0-</w:t>
            </w:r>
            <w:r>
              <w:rPr>
                <w:rFonts w:hint="eastAsia" w:ascii="宋体" w:hAnsi="宋体" w:cs="宋体"/>
                <w:sz w:val="24"/>
                <w:highlight w:val="none"/>
                <w:lang w:val="en-US" w:eastAsia="zh-CN"/>
              </w:rPr>
              <w:t>1</w:t>
            </w:r>
            <w:r>
              <w:rPr>
                <w:rFonts w:hint="eastAsia" w:ascii="宋体" w:hAnsi="宋体" w:cs="宋体"/>
                <w:sz w:val="24"/>
                <w:highlight w:val="none"/>
              </w:rPr>
              <w:t>分</w:t>
            </w:r>
          </w:p>
        </w:tc>
      </w:tr>
      <w:tr w14:paraId="47DA3F1A">
        <w:tblPrEx>
          <w:tblCellMar>
            <w:top w:w="0" w:type="dxa"/>
            <w:left w:w="108" w:type="dxa"/>
            <w:bottom w:w="0" w:type="dxa"/>
            <w:right w:w="108" w:type="dxa"/>
          </w:tblCellMar>
        </w:tblPrEx>
        <w:trPr>
          <w:trHeight w:val="1595"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60D1D83E">
            <w:pPr>
              <w:pageBreakBefore w:val="0"/>
              <w:kinsoku/>
              <w:wordWrap/>
              <w:overflowPunct/>
              <w:topLinePunct w:val="0"/>
              <w:bidi w:val="0"/>
              <w:spacing w:line="360" w:lineRule="auto"/>
              <w:jc w:val="center"/>
              <w:textAlignment w:val="auto"/>
              <w:rPr>
                <w:rFonts w:hint="default" w:ascii="宋体" w:hAnsi="宋体" w:eastAsia="宋体" w:cs="宋体"/>
                <w:kern w:val="0"/>
                <w:sz w:val="24"/>
                <w:lang w:val="en-US" w:eastAsia="zh-CN" w:bidi="ar"/>
              </w:rPr>
            </w:pPr>
            <w:bookmarkStart w:id="464" w:name="_Toc25548"/>
            <w:bookmarkStart w:id="465" w:name="_Toc18389"/>
            <w:bookmarkStart w:id="466" w:name="_Toc17058"/>
            <w:bookmarkStart w:id="467" w:name="_Toc28647"/>
            <w:r>
              <w:rPr>
                <w:rFonts w:hint="eastAsia" w:ascii="宋体" w:hAnsi="宋体" w:cs="宋体"/>
                <w:kern w:val="0"/>
                <w:sz w:val="24"/>
                <w:highlight w:val="none"/>
                <w:lang w:val="en-US" w:eastAsia="zh-CN"/>
              </w:rPr>
              <w:t>2</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29B1B9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sz w:val="24"/>
                <w:highlight w:val="none"/>
                <w:lang w:val="en-US" w:eastAsia="zh-CN"/>
              </w:rPr>
              <w:t>人员配置情况</w:t>
            </w:r>
            <w:r>
              <w:rPr>
                <w:rFonts w:hint="eastAsia" w:ascii="宋体" w:hAnsi="宋体" w:cs="宋体"/>
                <w:bCs/>
                <w:sz w:val="24"/>
                <w:highlight w:val="none"/>
              </w:rPr>
              <w:t>（</w:t>
            </w:r>
            <w:r>
              <w:rPr>
                <w:rFonts w:hint="eastAsia" w:ascii="宋体" w:hAnsi="宋体" w:cs="宋体"/>
                <w:bCs/>
                <w:sz w:val="24"/>
                <w:highlight w:val="none"/>
                <w:lang w:val="en-US" w:eastAsia="zh-CN"/>
              </w:rPr>
              <w:t>9</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0FF6EFF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cs="宋体"/>
                <w:bCs/>
                <w:sz w:val="24"/>
                <w:szCs w:val="24"/>
                <w:highlight w:val="none"/>
                <w:lang w:val="en-US" w:eastAsia="zh-CN"/>
              </w:rPr>
            </w:pPr>
            <w:r>
              <w:rPr>
                <w:rFonts w:hint="eastAsia" w:ascii="宋体" w:hAnsi="宋体" w:eastAsia="宋体" w:cs="宋体"/>
                <w:sz w:val="24"/>
                <w:lang w:val="en-US" w:eastAsia="zh-CN"/>
              </w:rPr>
              <w:t>根据拟派项目实施团队负责人的综合实力、协调能力、实施经验等，</w:t>
            </w:r>
            <w:r>
              <w:rPr>
                <w:rFonts w:hint="eastAsia" w:ascii="宋体" w:hAnsi="宋体" w:cs="宋体"/>
                <w:bCs/>
                <w:sz w:val="24"/>
                <w:szCs w:val="24"/>
                <w:highlight w:val="none"/>
                <w:lang w:val="en-US" w:eastAsia="zh-CN"/>
              </w:rPr>
              <w:t>由评委在规定分值内打分。</w:t>
            </w:r>
          </w:p>
          <w:p w14:paraId="6F364E8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b/>
                <w:bCs/>
                <w:color w:val="auto"/>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需提供相关证明材料及承诺为供应正式员工的承诺函（格式自拟）或其他证明（劳动合同或社保证明）扫描件加盖供应商公章导入商务技术文件中，否则不得分</w:t>
            </w:r>
            <w:r>
              <w:rPr>
                <w:rFonts w:hint="eastAsia" w:ascii="宋体" w:hAnsi="宋体" w:eastAsia="宋体" w:cs="宋体"/>
                <w:b/>
                <w:bCs/>
                <w:sz w:val="24"/>
                <w:highlight w:val="none"/>
                <w:lang w:val="en-US"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1874D30D">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bCs/>
                <w:sz w:val="24"/>
                <w:highlight w:val="none"/>
              </w:rPr>
              <w:t>分</w:t>
            </w:r>
          </w:p>
        </w:tc>
      </w:tr>
      <w:tr w14:paraId="0BB29465">
        <w:tblPrEx>
          <w:tblCellMar>
            <w:top w:w="0" w:type="dxa"/>
            <w:left w:w="108" w:type="dxa"/>
            <w:bottom w:w="0" w:type="dxa"/>
            <w:right w:w="108" w:type="dxa"/>
          </w:tblCellMar>
        </w:tblPrEx>
        <w:trPr>
          <w:trHeight w:val="172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054450E">
            <w:pPr>
              <w:pageBreakBefore w:val="0"/>
              <w:kinsoku/>
              <w:wordWrap/>
              <w:overflowPunct/>
              <w:topLinePunct w:val="0"/>
              <w:bidi w:val="0"/>
              <w:spacing w:line="360" w:lineRule="auto"/>
              <w:jc w:val="center"/>
              <w:textAlignment w:val="auto"/>
              <w:rPr>
                <w:rFonts w:hint="eastAsia" w:ascii="宋体" w:hAnsi="宋体" w:cs="宋体"/>
                <w:kern w:val="0"/>
                <w:sz w:val="24"/>
                <w:lang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B5A2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46CF266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拟派项目实施团队配置</w:t>
            </w:r>
            <w:r>
              <w:rPr>
                <w:rFonts w:hint="eastAsia" w:ascii="宋体" w:hAnsi="宋体" w:cs="宋体"/>
                <w:sz w:val="24"/>
                <w:lang w:val="en-US" w:eastAsia="zh-CN"/>
              </w:rPr>
              <w:t>人员的综合实力、技术水平、实施经验、人员数量等</w:t>
            </w:r>
            <w:r>
              <w:rPr>
                <w:rFonts w:hint="eastAsia" w:ascii="宋体" w:hAnsi="宋体" w:eastAsia="宋体" w:cs="宋体"/>
                <w:sz w:val="24"/>
                <w:lang w:val="en-US" w:eastAsia="zh-CN"/>
              </w:rPr>
              <w:t>，</w:t>
            </w:r>
            <w:r>
              <w:rPr>
                <w:rFonts w:hint="eastAsia" w:ascii="宋体" w:hAnsi="宋体" w:cs="宋体"/>
                <w:bCs/>
                <w:sz w:val="24"/>
                <w:szCs w:val="24"/>
                <w:highlight w:val="none"/>
                <w:lang w:val="en-US" w:eastAsia="zh-CN"/>
              </w:rPr>
              <w:t>由评委在规定分值内打分。</w:t>
            </w:r>
          </w:p>
          <w:p w14:paraId="34BE452C">
            <w:pPr>
              <w:pageBreakBefore w:val="0"/>
              <w:kinsoku/>
              <w:wordWrap/>
              <w:overflowPunct/>
              <w:topLinePunct w:val="0"/>
              <w:autoSpaceDE w:val="0"/>
              <w:autoSpaceDN w:val="0"/>
              <w:bidi w:val="0"/>
              <w:spacing w:line="360" w:lineRule="auto"/>
              <w:jc w:val="left"/>
              <w:textAlignment w:val="auto"/>
              <w:rPr>
                <w:rFonts w:hint="eastAsia" w:ascii="宋体" w:hAnsi="宋体"/>
                <w:b/>
                <w:bCs/>
                <w:color w:val="auto"/>
                <w:sz w:val="24"/>
                <w:highlight w:val="none"/>
              </w:rPr>
            </w:pPr>
            <w:r>
              <w:rPr>
                <w:rFonts w:hint="eastAsia" w:ascii="宋体" w:hAnsi="宋体" w:cs="宋体"/>
                <w:b/>
                <w:bCs/>
                <w:sz w:val="24"/>
                <w:highlight w:val="none"/>
              </w:rPr>
              <w:t>注：</w:t>
            </w:r>
            <w:r>
              <w:rPr>
                <w:rFonts w:hint="eastAsia" w:ascii="宋体" w:hAnsi="宋体" w:cs="宋体"/>
                <w:b/>
                <w:bCs/>
                <w:sz w:val="24"/>
                <w:highlight w:val="none"/>
                <w:lang w:val="en-US" w:eastAsia="zh-CN"/>
              </w:rPr>
              <w:t>需提供相关证明材料及承诺为供应正式员工的承诺函（格式自拟）或其他证明（劳动合同或社保证明）扫描件加盖供应商公章导入商务技术文件中，否则不得分</w:t>
            </w:r>
            <w:r>
              <w:rPr>
                <w:rFonts w:hint="eastAsia" w:ascii="宋体" w:hAnsi="宋体" w:eastAsia="宋体" w:cs="宋体"/>
                <w:b/>
                <w:bCs/>
                <w:sz w:val="24"/>
                <w:highlight w:val="none"/>
                <w:lang w:val="en-US"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155B027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45C7A402">
        <w:tblPrEx>
          <w:tblCellMar>
            <w:top w:w="0" w:type="dxa"/>
            <w:left w:w="108" w:type="dxa"/>
            <w:bottom w:w="0" w:type="dxa"/>
            <w:right w:w="108" w:type="dxa"/>
          </w:tblCellMar>
        </w:tblPrEx>
        <w:trPr>
          <w:trHeight w:val="1725" w:hRule="atLeast"/>
        </w:trPr>
        <w:tc>
          <w:tcPr>
            <w:tcW w:w="945" w:type="dxa"/>
            <w:tcBorders>
              <w:top w:val="single" w:color="auto" w:sz="4" w:space="0"/>
              <w:left w:val="single" w:color="auto" w:sz="4" w:space="0"/>
              <w:bottom w:val="single" w:color="auto" w:sz="4" w:space="0"/>
              <w:right w:val="single" w:color="auto" w:sz="4" w:space="0"/>
            </w:tcBorders>
            <w:vAlign w:val="center"/>
          </w:tcPr>
          <w:p w14:paraId="00BFBE7E">
            <w:pPr>
              <w:pageBreakBefore w:val="0"/>
              <w:kinsoku/>
              <w:wordWrap/>
              <w:overflowPunct/>
              <w:topLinePunct w:val="0"/>
              <w:bidi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14:paraId="0330861A">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sz w:val="24"/>
                <w:highlight w:val="none"/>
              </w:rPr>
              <w:t>总体思路策划方案（</w:t>
            </w:r>
            <w:r>
              <w:rPr>
                <w:rFonts w:hint="eastAsia" w:ascii="宋体" w:hAnsi="宋体" w:cs="宋体"/>
                <w:bCs/>
                <w:sz w:val="24"/>
                <w:highlight w:val="none"/>
                <w:lang w:val="en-US" w:eastAsia="zh-CN"/>
              </w:rPr>
              <w:t>5</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403D98BE">
            <w:pPr>
              <w:pStyle w:val="5"/>
              <w:pageBreakBefore w:val="0"/>
              <w:kinsoku/>
              <w:wordWrap/>
              <w:overflowPunct/>
              <w:topLinePunct w:val="0"/>
              <w:bidi w:val="0"/>
              <w:spacing w:line="360" w:lineRule="auto"/>
              <w:ind w:firstLine="0" w:firstLineChars="0"/>
              <w:textAlignment w:val="auto"/>
              <w:rPr>
                <w:rFonts w:hint="eastAsia" w:ascii="宋体" w:hAnsi="宋体"/>
                <w:b/>
                <w:bCs/>
                <w:color w:val="auto"/>
                <w:sz w:val="24"/>
                <w:highlight w:val="none"/>
              </w:rPr>
            </w:pPr>
            <w:r>
              <w:rPr>
                <w:rFonts w:hint="eastAsia" w:ascii="宋体" w:hAnsi="宋体" w:cs="宋体"/>
                <w:bCs/>
                <w:sz w:val="24"/>
                <w:szCs w:val="24"/>
                <w:highlight w:val="none"/>
                <w:lang w:val="en-US" w:eastAsia="zh-CN"/>
              </w:rPr>
              <w:t>根据供应商对赛事总体思路及策划方案的完整性、创新性和可行性，由评委在规定分值内打分。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0B6FF5A4">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bookmarkEnd w:id="464"/>
      <w:bookmarkEnd w:id="465"/>
      <w:bookmarkEnd w:id="466"/>
      <w:bookmarkEnd w:id="467"/>
      <w:tr w14:paraId="09B5E288">
        <w:tblPrEx>
          <w:tblCellMar>
            <w:top w:w="0" w:type="dxa"/>
            <w:left w:w="108" w:type="dxa"/>
            <w:bottom w:w="0" w:type="dxa"/>
            <w:right w:w="108" w:type="dxa"/>
          </w:tblCellMar>
        </w:tblPrEx>
        <w:trPr>
          <w:trHeight w:val="978" w:hRule="atLeast"/>
        </w:trPr>
        <w:tc>
          <w:tcPr>
            <w:tcW w:w="945" w:type="dxa"/>
            <w:tcBorders>
              <w:top w:val="single" w:color="auto" w:sz="4" w:space="0"/>
              <w:left w:val="single" w:color="auto" w:sz="4" w:space="0"/>
              <w:bottom w:val="single" w:color="auto" w:sz="4" w:space="0"/>
              <w:right w:val="single" w:color="auto" w:sz="4" w:space="0"/>
            </w:tcBorders>
            <w:vAlign w:val="center"/>
          </w:tcPr>
          <w:p w14:paraId="62904A74">
            <w:pPr>
              <w:pageBreakBefore w:val="0"/>
              <w:kinsoku/>
              <w:wordWrap/>
              <w:overflowPunct/>
              <w:topLinePunct w:val="0"/>
              <w:bidi w:val="0"/>
              <w:spacing w:line="360" w:lineRule="auto"/>
              <w:jc w:val="center"/>
              <w:textAlignment w:val="auto"/>
              <w:rPr>
                <w:rFonts w:hint="eastAsia" w:ascii="宋体" w:hAnsi="宋体" w:eastAsia="宋体" w:cs="宋体"/>
                <w:sz w:val="24"/>
                <w:lang w:eastAsia="zh-CN"/>
              </w:rPr>
            </w:pPr>
            <w:r>
              <w:rPr>
                <w:rFonts w:hint="eastAsia" w:ascii="宋体" w:hAnsi="宋体" w:cs="宋体"/>
                <w:color w:val="auto"/>
                <w:kern w:val="0"/>
                <w:sz w:val="24"/>
                <w:highlight w:val="none"/>
                <w:lang w:val="en-US" w:eastAsia="zh-CN" w:bidi="ar"/>
              </w:rPr>
              <w:t>4</w:t>
            </w:r>
          </w:p>
        </w:tc>
        <w:tc>
          <w:tcPr>
            <w:tcW w:w="1406" w:type="dxa"/>
            <w:tcBorders>
              <w:top w:val="single" w:color="auto" w:sz="4" w:space="0"/>
              <w:left w:val="single" w:color="auto" w:sz="4" w:space="0"/>
              <w:bottom w:val="single" w:color="auto" w:sz="4" w:space="0"/>
              <w:right w:val="single" w:color="auto" w:sz="4" w:space="0"/>
            </w:tcBorders>
            <w:vAlign w:val="center"/>
          </w:tcPr>
          <w:p w14:paraId="4624F227">
            <w:pPr>
              <w:pageBreakBefore w:val="0"/>
              <w:tabs>
                <w:tab w:val="left" w:pos="1080"/>
              </w:tabs>
              <w:kinsoku/>
              <w:wordWrap/>
              <w:overflowPunct/>
              <w:topLinePunct w:val="0"/>
              <w:bidi w:val="0"/>
              <w:adjustRightInd w:val="0"/>
              <w:snapToGrid w:val="0"/>
              <w:spacing w:line="360" w:lineRule="auto"/>
              <w:jc w:val="center"/>
              <w:textAlignment w:val="auto"/>
              <w:rPr>
                <w:rFonts w:hint="eastAsia" w:ascii="Calibri" w:hAnsi="宋体" w:cs="宋体"/>
                <w:sz w:val="24"/>
              </w:rPr>
            </w:pPr>
            <w:r>
              <w:rPr>
                <w:rFonts w:hint="eastAsia" w:hAnsi="宋体" w:cs="宋体"/>
                <w:color w:val="auto"/>
                <w:kern w:val="0"/>
                <w:sz w:val="24"/>
                <w:szCs w:val="24"/>
                <w:highlight w:val="none"/>
                <w:lang w:val="en-US" w:eastAsia="zh-CN" w:bidi="ar"/>
              </w:rPr>
              <w:t>特色服务方案（</w:t>
            </w:r>
            <w:r>
              <w:rPr>
                <w:rFonts w:hint="eastAsia" w:ascii="宋体" w:hAnsi="宋体" w:eastAsia="宋体" w:cs="宋体"/>
                <w:bCs/>
                <w:sz w:val="24"/>
                <w:highlight w:val="none"/>
                <w:lang w:val="en-US" w:eastAsia="zh-CN"/>
              </w:rPr>
              <w:t>5分</w:t>
            </w:r>
            <w:r>
              <w:rPr>
                <w:rFonts w:hint="eastAsia" w:hAnsi="宋体" w:cs="宋体"/>
                <w:color w:val="auto"/>
                <w:kern w:val="0"/>
                <w:sz w:val="24"/>
                <w:szCs w:val="24"/>
                <w:highlight w:val="none"/>
                <w:lang w:val="en-US" w:eastAsia="zh-CN" w:bidi="ar"/>
              </w:rPr>
              <w:t>）</w:t>
            </w:r>
          </w:p>
        </w:tc>
        <w:tc>
          <w:tcPr>
            <w:tcW w:w="5829" w:type="dxa"/>
            <w:tcBorders>
              <w:top w:val="single" w:color="auto" w:sz="4" w:space="0"/>
              <w:left w:val="single" w:color="auto" w:sz="4" w:space="0"/>
              <w:bottom w:val="single" w:color="auto" w:sz="4" w:space="0"/>
              <w:right w:val="single" w:color="auto" w:sz="4" w:space="0"/>
            </w:tcBorders>
            <w:vAlign w:val="center"/>
          </w:tcPr>
          <w:p w14:paraId="017B9EF1">
            <w:pPr>
              <w:pStyle w:val="5"/>
              <w:pageBreakBefore w:val="0"/>
              <w:kinsoku/>
              <w:wordWrap/>
              <w:overflowPunct/>
              <w:topLinePunct w:val="0"/>
              <w:bidi w:val="0"/>
              <w:spacing w:line="360" w:lineRule="auto"/>
              <w:ind w:firstLine="0" w:firstLineChars="0"/>
              <w:textAlignment w:val="auto"/>
              <w:rPr>
                <w:rFonts w:hint="eastAsia" w:ascii="Calibri" w:hAnsi="宋体" w:cs="宋体"/>
                <w:sz w:val="24"/>
              </w:rPr>
            </w:pPr>
            <w:r>
              <w:rPr>
                <w:rFonts w:hint="eastAsia" w:ascii="宋体" w:hAnsi="宋体" w:cs="宋体"/>
                <w:bCs/>
                <w:sz w:val="24"/>
                <w:szCs w:val="24"/>
                <w:highlight w:val="none"/>
                <w:lang w:val="en-US" w:eastAsia="zh-CN"/>
              </w:rPr>
              <w:t>根据供应商对活动特色服务方案是否符合活动情况，以及方案是否具有合理性、可操作性，由评委在规定分值内打分。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7E8D31A1">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lang w:val="en-US" w:eastAsia="zh-CN"/>
              </w:rPr>
              <w:t>0-5分</w:t>
            </w:r>
          </w:p>
        </w:tc>
      </w:tr>
      <w:tr w14:paraId="5DCF1D95">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6AE51A62">
            <w:pPr>
              <w:pageBreakBefore w:val="0"/>
              <w:kinsoku/>
              <w:wordWrap/>
              <w:overflowPunct/>
              <w:topLinePunct w:val="0"/>
              <w:bidi w:val="0"/>
              <w:spacing w:line="360" w:lineRule="auto"/>
              <w:jc w:val="center"/>
              <w:textAlignment w:val="auto"/>
              <w:rPr>
                <w:rFonts w:ascii="宋体" w:hAnsi="宋体"/>
                <w:sz w:val="24"/>
                <w:lang w:bidi="ar"/>
              </w:rPr>
            </w:pPr>
            <w:bookmarkStart w:id="468" w:name="_Toc22075"/>
            <w:bookmarkStart w:id="469" w:name="_Toc10636"/>
            <w:bookmarkStart w:id="470" w:name="_Toc31067"/>
            <w:r>
              <w:rPr>
                <w:rFonts w:hint="eastAsia" w:ascii="宋体" w:hAnsi="宋体" w:cs="宋体"/>
                <w:sz w:val="24"/>
                <w:highlight w:val="none"/>
                <w:lang w:val="en-US" w:eastAsia="zh-CN"/>
              </w:rPr>
              <w:t>5</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06FB7959">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r>
              <w:rPr>
                <w:rFonts w:hint="eastAsia" w:ascii="宋体" w:hAnsi="宋体" w:cs="宋体"/>
                <w:bCs/>
                <w:sz w:val="24"/>
                <w:highlight w:val="none"/>
              </w:rPr>
              <w:t>媒体宣传推广方案(</w:t>
            </w:r>
            <w:r>
              <w:rPr>
                <w:rFonts w:hint="eastAsia" w:ascii="宋体" w:hAnsi="宋体" w:cs="宋体"/>
                <w:bCs/>
                <w:sz w:val="24"/>
                <w:highlight w:val="none"/>
                <w:lang w:val="en-US" w:eastAsia="zh-CN"/>
              </w:rPr>
              <w:t>10</w:t>
            </w:r>
            <w:r>
              <w:rPr>
                <w:rFonts w:hint="eastAsia" w:ascii="宋体" w:hAnsi="宋体" w:cs="宋体"/>
                <w:bCs/>
                <w:sz w:val="24"/>
                <w:highlight w:val="none"/>
              </w:rPr>
              <w:t>分 )</w:t>
            </w:r>
          </w:p>
        </w:tc>
        <w:tc>
          <w:tcPr>
            <w:tcW w:w="5829" w:type="dxa"/>
            <w:tcBorders>
              <w:top w:val="single" w:color="auto" w:sz="4" w:space="0"/>
              <w:left w:val="single" w:color="auto" w:sz="4" w:space="0"/>
              <w:bottom w:val="single" w:color="auto" w:sz="4" w:space="0"/>
              <w:right w:val="single" w:color="auto" w:sz="4" w:space="0"/>
            </w:tcBorders>
            <w:vAlign w:val="center"/>
          </w:tcPr>
          <w:p w14:paraId="308605F8">
            <w:pPr>
              <w:pageBreakBefore w:val="0"/>
              <w:kinsoku/>
              <w:wordWrap/>
              <w:overflowPunct/>
              <w:topLinePunct w:val="0"/>
              <w:autoSpaceDE w:val="0"/>
              <w:autoSpaceDN w:val="0"/>
              <w:bidi w:val="0"/>
              <w:spacing w:line="360" w:lineRule="auto"/>
              <w:jc w:val="left"/>
              <w:textAlignment w:val="auto"/>
              <w:rPr>
                <w:rFonts w:hint="eastAsia" w:ascii="宋体" w:hAnsi="宋体" w:cs="宋体"/>
                <w:b/>
                <w:bCs/>
                <w:sz w:val="24"/>
                <w:lang w:bidi="ar"/>
              </w:rPr>
            </w:pPr>
            <w:r>
              <w:rPr>
                <w:rFonts w:hint="eastAsia" w:ascii="宋体" w:hAnsi="宋体" w:cs="宋体"/>
                <w:bCs/>
                <w:sz w:val="24"/>
                <w:highlight w:val="none"/>
              </w:rPr>
              <w:t>根据供应商提供的媒体宣传推广方案及实施计划是是否具有合理性、可操作性、周密性，由评委在规定分值内打分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0AC4ADEF">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33D96194">
        <w:tblPrEx>
          <w:tblCellMar>
            <w:top w:w="0" w:type="dxa"/>
            <w:left w:w="108" w:type="dxa"/>
            <w:bottom w:w="0" w:type="dxa"/>
            <w:right w:w="108" w:type="dxa"/>
          </w:tblCellMar>
        </w:tblPrEx>
        <w:trPr>
          <w:trHeight w:val="861"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2EF2895">
            <w:pPr>
              <w:pageBreakBefore w:val="0"/>
              <w:kinsoku/>
              <w:wordWrap/>
              <w:overflowPunct/>
              <w:topLinePunct w:val="0"/>
              <w:bidi w:val="0"/>
              <w:spacing w:line="360" w:lineRule="auto"/>
              <w:jc w:val="center"/>
              <w:textAlignment w:val="auto"/>
              <w:rPr>
                <w:rFonts w:hint="eastAsia" w:ascii="宋体" w:hAnsi="宋体" w:eastAsia="宋体"/>
                <w:sz w:val="24"/>
                <w:lang w:val="en-US" w:eastAsia="zh-CN" w:bidi="ar"/>
              </w:rPr>
            </w:pPr>
            <w:bookmarkStart w:id="471" w:name="_Toc9522"/>
            <w:bookmarkStart w:id="472" w:name="_Toc472"/>
            <w:bookmarkStart w:id="473" w:name="_Toc1947"/>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78F1C23">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DB429E5">
            <w:pPr>
              <w:pageBreakBefore w:val="0"/>
              <w:kinsoku/>
              <w:wordWrap/>
              <w:overflowPunct/>
              <w:topLinePunct w:val="0"/>
              <w:autoSpaceDE w:val="0"/>
              <w:autoSpaceDN w:val="0"/>
              <w:bidi w:val="0"/>
              <w:spacing w:line="360" w:lineRule="auto"/>
              <w:jc w:val="left"/>
              <w:textAlignment w:val="auto"/>
              <w:rPr>
                <w:rFonts w:hint="eastAsia" w:ascii="宋体" w:hAnsi="宋体" w:cs="宋体"/>
                <w:color w:val="000000"/>
                <w:sz w:val="24"/>
              </w:rPr>
            </w:pPr>
            <w:r>
              <w:rPr>
                <w:rFonts w:hint="eastAsia" w:ascii="宋体" w:hAnsi="宋体" w:cs="宋体"/>
                <w:bCs/>
                <w:sz w:val="24"/>
                <w:highlight w:val="none"/>
              </w:rPr>
              <w:t>根据供应商提供的媒体宣传推广方案及实施计划是否满足采购需求，以及是否对城市形象传播及赛事起到推动作用，由评委在规定分值内打分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366255A2">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bookmarkEnd w:id="468"/>
      <w:bookmarkEnd w:id="469"/>
      <w:bookmarkEnd w:id="470"/>
      <w:bookmarkEnd w:id="471"/>
      <w:bookmarkEnd w:id="472"/>
      <w:bookmarkEnd w:id="473"/>
      <w:tr w14:paraId="08E94049">
        <w:tblPrEx>
          <w:tblCellMar>
            <w:top w:w="0" w:type="dxa"/>
            <w:left w:w="108" w:type="dxa"/>
            <w:bottom w:w="0" w:type="dxa"/>
            <w:right w:w="108" w:type="dxa"/>
          </w:tblCellMar>
        </w:tblPrEx>
        <w:trPr>
          <w:trHeight w:val="1394"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1E63B622">
            <w:pPr>
              <w:pageBreakBefore w:val="0"/>
              <w:kinsoku/>
              <w:wordWrap/>
              <w:overflowPunct/>
              <w:topLinePunct w:val="0"/>
              <w:bidi w:val="0"/>
              <w:spacing w:line="360" w:lineRule="auto"/>
              <w:jc w:val="center"/>
              <w:textAlignment w:val="auto"/>
              <w:rPr>
                <w:rFonts w:hint="eastAsia" w:ascii="宋体" w:hAnsi="宋体" w:eastAsia="宋体" w:cs="宋体"/>
                <w:sz w:val="24"/>
                <w:lang w:eastAsia="zh-CN"/>
              </w:rPr>
            </w:pPr>
            <w:r>
              <w:rPr>
                <w:rFonts w:hint="eastAsia" w:ascii="宋体" w:hAnsi="宋体" w:cs="宋体"/>
                <w:sz w:val="24"/>
                <w:highlight w:val="none"/>
                <w:lang w:val="en-US" w:eastAsia="zh-CN"/>
              </w:rPr>
              <w:t>6</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67F0357">
            <w:pPr>
              <w:pageBreakBefore w:val="0"/>
              <w:kinsoku/>
              <w:wordWrap/>
              <w:overflowPunct/>
              <w:topLinePunct w:val="0"/>
              <w:bidi w:val="0"/>
              <w:adjustRightInd w:val="0"/>
              <w:snapToGrid w:val="0"/>
              <w:spacing w:line="360" w:lineRule="auto"/>
              <w:jc w:val="center"/>
              <w:textAlignment w:val="auto"/>
              <w:rPr>
                <w:rFonts w:hint="eastAsia" w:hAnsi="宋体" w:cs="宋体"/>
                <w:sz w:val="24"/>
              </w:rPr>
            </w:pPr>
            <w:r>
              <w:rPr>
                <w:rFonts w:hint="eastAsia" w:ascii="宋体" w:hAnsi="宋体" w:cs="宋体"/>
                <w:bCs/>
                <w:sz w:val="24"/>
                <w:highlight w:val="none"/>
                <w:lang w:val="en-US" w:eastAsia="zh-CN"/>
              </w:rPr>
              <w:t>比赛实施</w:t>
            </w:r>
            <w:r>
              <w:rPr>
                <w:rFonts w:hint="eastAsia" w:ascii="宋体" w:hAnsi="宋体" w:cs="宋体"/>
                <w:bCs/>
                <w:sz w:val="24"/>
                <w:highlight w:val="none"/>
              </w:rPr>
              <w:t>方案（</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16B3BBA8">
            <w:pPr>
              <w:pageBreakBefore w:val="0"/>
              <w:kinsoku/>
              <w:wordWrap/>
              <w:overflowPunct/>
              <w:topLinePunct w:val="0"/>
              <w:autoSpaceDE w:val="0"/>
              <w:autoSpaceDN w:val="0"/>
              <w:bidi w:val="0"/>
              <w:spacing w:line="360" w:lineRule="auto"/>
              <w:jc w:val="left"/>
              <w:textAlignment w:val="auto"/>
              <w:rPr>
                <w:rFonts w:hint="eastAsia" w:ascii="宋体" w:hAnsi="宋体" w:cs="宋体"/>
                <w:kern w:val="0"/>
                <w:sz w:val="24"/>
                <w:lang w:bidi="ar"/>
              </w:rPr>
            </w:pPr>
            <w:r>
              <w:rPr>
                <w:rFonts w:hint="eastAsia" w:ascii="宋体" w:hAnsi="宋体" w:cs="宋体"/>
                <w:bCs/>
                <w:sz w:val="24"/>
                <w:highlight w:val="none"/>
              </w:rPr>
              <w:t>根据供应商提供的</w:t>
            </w:r>
            <w:r>
              <w:rPr>
                <w:rFonts w:hint="eastAsia" w:ascii="宋体" w:hAnsi="宋体" w:cs="宋体"/>
                <w:bCs/>
                <w:sz w:val="24"/>
                <w:highlight w:val="none"/>
                <w:lang w:val="en-US" w:eastAsia="zh-CN"/>
              </w:rPr>
              <w:t>比赛实施</w:t>
            </w:r>
            <w:r>
              <w:rPr>
                <w:rFonts w:hint="eastAsia" w:ascii="宋体" w:hAnsi="宋体" w:cs="宋体"/>
                <w:bCs/>
                <w:sz w:val="24"/>
                <w:highlight w:val="none"/>
              </w:rPr>
              <w:t>方案是否满足采购需求，由评委在规定分值内打分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0F95972">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4755BE71">
        <w:tblPrEx>
          <w:tblCellMar>
            <w:top w:w="0" w:type="dxa"/>
            <w:left w:w="108" w:type="dxa"/>
            <w:bottom w:w="0" w:type="dxa"/>
            <w:right w:w="108" w:type="dxa"/>
          </w:tblCellMar>
        </w:tblPrEx>
        <w:trPr>
          <w:trHeight w:val="79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5DE2283">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5FF46F44">
            <w:pPr>
              <w:pageBreakBefore w:val="0"/>
              <w:kinsoku/>
              <w:wordWrap/>
              <w:overflowPunct/>
              <w:topLinePunct w:val="0"/>
              <w:bidi w:val="0"/>
              <w:adjustRightInd w:val="0"/>
              <w:snapToGrid w:val="0"/>
              <w:spacing w:line="360" w:lineRule="auto"/>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459765D0">
            <w:pPr>
              <w:pageBreakBefore w:val="0"/>
              <w:kinsoku/>
              <w:wordWrap/>
              <w:overflowPunct/>
              <w:topLinePunct w:val="0"/>
              <w:autoSpaceDE w:val="0"/>
              <w:autoSpaceDN w:val="0"/>
              <w:bidi w:val="0"/>
              <w:spacing w:line="360" w:lineRule="auto"/>
              <w:jc w:val="left"/>
              <w:textAlignment w:val="auto"/>
              <w:rPr>
                <w:rFonts w:hint="eastAsia" w:ascii="宋体" w:hAnsi="宋体" w:cs="宋体"/>
                <w:kern w:val="0"/>
                <w:sz w:val="24"/>
                <w:lang w:bidi="ar"/>
              </w:rPr>
            </w:pPr>
            <w:r>
              <w:rPr>
                <w:rFonts w:hint="eastAsia" w:ascii="宋体" w:hAnsi="宋体" w:cs="宋体"/>
                <w:bCs/>
                <w:sz w:val="24"/>
                <w:highlight w:val="none"/>
              </w:rPr>
              <w:t>根据供应商提供的</w:t>
            </w:r>
            <w:r>
              <w:rPr>
                <w:rFonts w:hint="eastAsia" w:ascii="宋体" w:hAnsi="宋体" w:cs="宋体"/>
                <w:bCs/>
                <w:sz w:val="24"/>
                <w:highlight w:val="none"/>
                <w:lang w:val="en-US" w:eastAsia="zh-CN"/>
              </w:rPr>
              <w:t>比赛实施</w:t>
            </w:r>
            <w:r>
              <w:rPr>
                <w:rFonts w:hint="eastAsia" w:ascii="宋体" w:hAnsi="宋体" w:cs="宋体"/>
                <w:bCs/>
                <w:sz w:val="24"/>
                <w:highlight w:val="none"/>
              </w:rPr>
              <w:t>方案是否具有合理性、可操作性、丰富性，由评委在规定分值内打分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C29B6C6">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0-5分</w:t>
            </w:r>
          </w:p>
        </w:tc>
      </w:tr>
      <w:tr w14:paraId="4E6C603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6DF30622">
            <w:pPr>
              <w:pageBreakBefore w:val="0"/>
              <w:kinsoku/>
              <w:wordWrap/>
              <w:overflowPunct/>
              <w:topLinePunct w:val="0"/>
              <w:bidi w:val="0"/>
              <w:spacing w:line="360" w:lineRule="auto"/>
              <w:jc w:val="center"/>
              <w:textAlignment w:val="auto"/>
              <w:rPr>
                <w:rFonts w:hint="eastAsia" w:ascii="宋体" w:hAnsi="宋体"/>
                <w:sz w:val="24"/>
                <w:lang w:bidi="ar"/>
              </w:rPr>
            </w:pPr>
            <w:bookmarkStart w:id="474" w:name="_Toc9301"/>
            <w:bookmarkStart w:id="475" w:name="_Toc8120"/>
            <w:bookmarkStart w:id="476" w:name="_Toc26193"/>
            <w:r>
              <w:rPr>
                <w:rFonts w:hint="eastAsia" w:ascii="宋体" w:hAnsi="宋体" w:cs="宋体"/>
                <w:sz w:val="24"/>
                <w:highlight w:val="none"/>
                <w:lang w:val="en-US" w:eastAsia="zh-CN"/>
              </w:rPr>
              <w:t>7</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2B7D31C">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lang w:bidi="ar"/>
              </w:rPr>
            </w:pPr>
            <w:r>
              <w:rPr>
                <w:rFonts w:hint="eastAsia" w:ascii="宋体" w:hAnsi="宋体" w:cs="宋体"/>
                <w:bCs/>
                <w:sz w:val="24"/>
                <w:highlight w:val="none"/>
                <w:lang w:val="en-US" w:eastAsia="zh-CN"/>
              </w:rPr>
              <w:t>后勤保障方案</w:t>
            </w:r>
            <w:r>
              <w:rPr>
                <w:rFonts w:hint="eastAsia" w:ascii="宋体" w:hAnsi="宋体" w:cs="宋体"/>
                <w:bCs/>
                <w:sz w:val="24"/>
                <w:highlight w:val="none"/>
              </w:rPr>
              <w:t>（</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5C19C0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sz w:val="24"/>
                <w:lang w:bidi="ar"/>
              </w:rPr>
            </w:pPr>
            <w:r>
              <w:rPr>
                <w:rFonts w:hint="eastAsia" w:ascii="宋体" w:hAnsi="宋体" w:eastAsia="宋体" w:cs="宋体"/>
                <w:color w:val="auto"/>
                <w:sz w:val="24"/>
                <w:szCs w:val="24"/>
                <w:highlight w:val="none"/>
                <w:lang w:val="en-US" w:eastAsia="zh-CN"/>
              </w:rPr>
              <w:t>根据供应商提供的后勤保障方案及实施计划是否满足采购需求，</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3651DC4">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bCs/>
                <w:sz w:val="24"/>
                <w:highlight w:val="none"/>
              </w:rPr>
              <w:t>0-</w:t>
            </w:r>
            <w:r>
              <w:rPr>
                <w:rFonts w:hint="eastAsia" w:ascii="宋体" w:hAnsi="宋体" w:cs="宋体"/>
                <w:bCs/>
                <w:sz w:val="24"/>
                <w:highlight w:val="none"/>
                <w:lang w:val="en-US" w:eastAsia="zh-CN"/>
              </w:rPr>
              <w:t>5</w:t>
            </w:r>
            <w:r>
              <w:rPr>
                <w:rFonts w:hint="eastAsia" w:ascii="宋体" w:hAnsi="宋体" w:cs="宋体"/>
                <w:bCs/>
                <w:sz w:val="24"/>
                <w:highlight w:val="none"/>
              </w:rPr>
              <w:t>分</w:t>
            </w:r>
          </w:p>
        </w:tc>
      </w:tr>
      <w:bookmarkEnd w:id="474"/>
      <w:bookmarkEnd w:id="475"/>
      <w:bookmarkEnd w:id="476"/>
      <w:tr w14:paraId="3C0DDBA0">
        <w:tblPrEx>
          <w:tblCellMar>
            <w:top w:w="0" w:type="dxa"/>
            <w:left w:w="108" w:type="dxa"/>
            <w:bottom w:w="0" w:type="dxa"/>
            <w:right w:w="108" w:type="dxa"/>
          </w:tblCellMar>
        </w:tblPrEx>
        <w:trPr>
          <w:trHeight w:val="131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F77E033">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55B172B">
            <w:pPr>
              <w:pageBreakBefore w:val="0"/>
              <w:kinsoku/>
              <w:wordWrap/>
              <w:overflowPunct/>
              <w:topLinePunct w:val="0"/>
              <w:bidi w:val="0"/>
              <w:adjustRightInd w:val="0"/>
              <w:snapToGrid w:val="0"/>
              <w:spacing w:line="360" w:lineRule="auto"/>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72772D57">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sz w:val="24"/>
              </w:rPr>
            </w:pPr>
            <w:r>
              <w:rPr>
                <w:rFonts w:hint="eastAsia" w:ascii="宋体" w:hAnsi="宋体" w:eastAsia="宋体" w:cs="宋体"/>
                <w:color w:val="auto"/>
                <w:sz w:val="24"/>
                <w:szCs w:val="24"/>
                <w:highlight w:val="none"/>
                <w:lang w:val="en-US" w:eastAsia="zh-CN"/>
              </w:rPr>
              <w:t>根据供应商提供的后勤保障方案及实施计划是否具有合理性、可操作性、周密性</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1134A1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2FD30F9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7AAF545A">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r>
              <w:rPr>
                <w:rFonts w:hint="eastAsia" w:ascii="宋体" w:hAnsi="宋体" w:cs="宋体"/>
                <w:sz w:val="24"/>
                <w:highlight w:val="none"/>
                <w:lang w:val="en-US" w:eastAsia="zh-CN"/>
              </w:rPr>
              <w:t>8</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7D81CBD8">
            <w:pPr>
              <w:pageBreakBefore w:val="0"/>
              <w:kinsoku/>
              <w:wordWrap/>
              <w:overflowPunct/>
              <w:topLinePunct w:val="0"/>
              <w:autoSpaceDE w:val="0"/>
              <w:autoSpaceDN w:val="0"/>
              <w:bidi w:val="0"/>
              <w:spacing w:line="360" w:lineRule="auto"/>
              <w:jc w:val="left"/>
              <w:textAlignment w:val="auto"/>
              <w:rPr>
                <w:rFonts w:hint="eastAsia" w:hAnsi="宋体" w:cs="宋体"/>
                <w:kern w:val="0"/>
                <w:sz w:val="24"/>
                <w:lang w:bidi="ar"/>
              </w:rPr>
            </w:pPr>
            <w:r>
              <w:rPr>
                <w:rFonts w:hint="eastAsia" w:ascii="宋体" w:hAnsi="宋体" w:cs="宋体"/>
                <w:bCs/>
                <w:sz w:val="24"/>
                <w:highlight w:val="none"/>
              </w:rPr>
              <w:t>场地布置方案（</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EB08CCC">
            <w:pPr>
              <w:pageBreakBefore w:val="0"/>
              <w:kinsoku/>
              <w:wordWrap/>
              <w:overflowPunct/>
              <w:topLinePunct w:val="0"/>
              <w:autoSpaceDE w:val="0"/>
              <w:autoSpaceDN w:val="0"/>
              <w:bidi w:val="0"/>
              <w:spacing w:line="360" w:lineRule="auto"/>
              <w:jc w:val="left"/>
              <w:textAlignment w:val="auto"/>
              <w:rPr>
                <w:rFonts w:hint="eastAsia" w:ascii="宋体" w:hAnsi="宋体" w:cs="宋体"/>
                <w:sz w:val="24"/>
              </w:rPr>
            </w:pPr>
            <w:r>
              <w:rPr>
                <w:rFonts w:hint="eastAsia" w:ascii="宋体" w:hAnsi="宋体" w:cs="宋体"/>
                <w:bCs/>
                <w:sz w:val="24"/>
                <w:highlight w:val="none"/>
              </w:rPr>
              <w:t>根据供应商提供的场地布置方案及实施计划是否满足采购需求，实地考察后，是否对场地进行了合理性规划，由评委在规定分值内打分。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B81DB9E">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14:paraId="07D36AF3">
        <w:tblPrEx>
          <w:tblCellMar>
            <w:top w:w="0" w:type="dxa"/>
            <w:left w:w="108" w:type="dxa"/>
            <w:bottom w:w="0" w:type="dxa"/>
            <w:right w:w="108" w:type="dxa"/>
          </w:tblCellMar>
        </w:tblPrEx>
        <w:trPr>
          <w:trHeight w:val="104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7977924D">
            <w:pPr>
              <w:pageBreakBefore w:val="0"/>
              <w:kinsoku/>
              <w:wordWrap/>
              <w:overflowPunct/>
              <w:topLinePunct w:val="0"/>
              <w:bidi w:val="0"/>
              <w:spacing w:line="360" w:lineRule="auto"/>
              <w:jc w:val="center"/>
              <w:textAlignment w:val="auto"/>
              <w:rPr>
                <w:rFonts w:hint="eastAsia" w:ascii="宋体" w:hAnsi="宋体"/>
                <w:sz w:val="24"/>
                <w:lang w:bidi="ar"/>
              </w:rPr>
            </w:pPr>
            <w:bookmarkStart w:id="477" w:name="_Toc486"/>
            <w:bookmarkStart w:id="478" w:name="_Toc16051"/>
            <w:bookmarkStart w:id="479" w:name="_Toc13332"/>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B89CD61">
            <w:pPr>
              <w:pageBreakBefore w:val="0"/>
              <w:kinsoku/>
              <w:wordWrap/>
              <w:overflowPunct/>
              <w:topLinePunct w:val="0"/>
              <w:autoSpaceDE w:val="0"/>
              <w:autoSpaceDN w:val="0"/>
              <w:bidi w:val="0"/>
              <w:spacing w:line="360" w:lineRule="auto"/>
              <w:jc w:val="left"/>
              <w:textAlignment w:val="auto"/>
              <w:rPr>
                <w:rFonts w:hint="eastAsia" w:ascii="宋体" w:hAnsi="宋体" w:cs="宋体"/>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081B36C3">
            <w:pPr>
              <w:pageBreakBefore w:val="0"/>
              <w:kinsoku/>
              <w:wordWrap/>
              <w:overflowPunct/>
              <w:topLinePunct w:val="0"/>
              <w:autoSpaceDE w:val="0"/>
              <w:autoSpaceDN w:val="0"/>
              <w:bidi w:val="0"/>
              <w:spacing w:line="360" w:lineRule="auto"/>
              <w:jc w:val="left"/>
              <w:textAlignment w:val="auto"/>
              <w:rPr>
                <w:rFonts w:hint="eastAsia" w:ascii="宋体" w:hAnsi="宋体"/>
                <w:sz w:val="24"/>
                <w:lang w:bidi="ar"/>
              </w:rPr>
            </w:pPr>
            <w:r>
              <w:rPr>
                <w:rFonts w:hint="eastAsia" w:ascii="宋体" w:hAnsi="宋体" w:cs="宋体"/>
                <w:bCs/>
                <w:sz w:val="24"/>
                <w:highlight w:val="none"/>
              </w:rPr>
              <w:t>根据供应商提供的场地布置方案及实施计划是否具有合理性、可操作性、周密性，由评委在规定分值内打分。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5259548D">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sz w:val="24"/>
                <w:highlight w:val="none"/>
                <w:lang w:val="en-US" w:eastAsia="zh-CN"/>
              </w:rPr>
              <w:t>0-5分</w:t>
            </w:r>
          </w:p>
        </w:tc>
      </w:tr>
      <w:bookmarkEnd w:id="477"/>
      <w:bookmarkEnd w:id="478"/>
      <w:bookmarkEnd w:id="479"/>
      <w:tr w14:paraId="427854C8">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4F091F57">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r>
              <w:rPr>
                <w:rFonts w:hint="eastAsia" w:ascii="宋体" w:hAnsi="宋体" w:cs="宋体"/>
                <w:sz w:val="24"/>
                <w:highlight w:val="none"/>
                <w:lang w:val="en-US" w:eastAsia="zh-CN"/>
              </w:rPr>
              <w:t>9</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2C043B80">
            <w:pPr>
              <w:pageBreakBefore w:val="0"/>
              <w:kinsoku/>
              <w:wordWrap/>
              <w:overflowPunct/>
              <w:topLinePunct w:val="0"/>
              <w:bidi w:val="0"/>
              <w:adjustRightInd w:val="0"/>
              <w:snapToGrid w:val="0"/>
              <w:spacing w:line="360" w:lineRule="auto"/>
              <w:ind w:left="-2" w:leftChars="-1"/>
              <w:jc w:val="center"/>
              <w:textAlignment w:val="auto"/>
              <w:rPr>
                <w:rFonts w:hint="eastAsia" w:hAnsi="宋体" w:cs="宋体"/>
                <w:kern w:val="0"/>
                <w:sz w:val="24"/>
                <w:lang w:bidi="ar"/>
              </w:rPr>
            </w:pPr>
            <w:r>
              <w:rPr>
                <w:rFonts w:hint="eastAsia" w:ascii="宋体" w:hAnsi="宋体" w:cs="宋体"/>
                <w:bCs/>
                <w:sz w:val="24"/>
                <w:highlight w:val="none"/>
              </w:rPr>
              <w:t>应急预案</w:t>
            </w:r>
            <w:r>
              <w:rPr>
                <w:rFonts w:hint="eastAsia" w:ascii="宋体" w:hAnsi="宋体" w:cs="宋体"/>
                <w:bCs/>
                <w:sz w:val="24"/>
                <w:highlight w:val="none"/>
                <w:lang w:eastAsia="zh-CN"/>
              </w:rPr>
              <w:t>（</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474BE3A8">
            <w:pPr>
              <w:pageBreakBefore w:val="0"/>
              <w:kinsoku/>
              <w:wordWrap/>
              <w:overflowPunct/>
              <w:topLinePunct w:val="0"/>
              <w:bidi w:val="0"/>
              <w:adjustRightInd w:val="0"/>
              <w:snapToGrid w:val="0"/>
              <w:spacing w:line="360" w:lineRule="auto"/>
              <w:textAlignment w:val="auto"/>
              <w:rPr>
                <w:rFonts w:hint="eastAsia" w:ascii="宋体" w:hAnsi="宋体"/>
                <w:sz w:val="24"/>
                <w:lang w:bidi="ar"/>
              </w:rPr>
            </w:pPr>
            <w:r>
              <w:rPr>
                <w:rFonts w:hint="eastAsia" w:ascii="宋体" w:hAnsi="宋体" w:cs="宋体"/>
                <w:bCs/>
                <w:sz w:val="24"/>
                <w:highlight w:val="none"/>
              </w:rPr>
              <w:t>根据供应商提供的应急预案、突发问题解决的响应速度以及处理方案的可靠性等是否满足采购需求，由评委在规定分值内打分。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9CF2CE9">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14:paraId="68E84948">
        <w:tblPrEx>
          <w:tblCellMar>
            <w:top w:w="0" w:type="dxa"/>
            <w:left w:w="108" w:type="dxa"/>
            <w:bottom w:w="0" w:type="dxa"/>
            <w:right w:w="108" w:type="dxa"/>
          </w:tblCellMar>
        </w:tblPrEx>
        <w:trPr>
          <w:trHeight w:val="54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1D595227">
            <w:pPr>
              <w:pageBreakBefore w:val="0"/>
              <w:kinsoku/>
              <w:wordWrap/>
              <w:overflowPunct/>
              <w:topLinePunct w:val="0"/>
              <w:bidi w:val="0"/>
              <w:spacing w:line="360" w:lineRule="auto"/>
              <w:jc w:val="center"/>
              <w:textAlignment w:val="auto"/>
              <w:rPr>
                <w:rFonts w:hint="eastAsia" w:ascii="宋体" w:hAnsi="宋体" w:cs="宋体"/>
                <w:kern w:val="0"/>
                <w:sz w:val="24"/>
                <w:lang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6B15F50">
            <w:pPr>
              <w:pageBreakBefore w:val="0"/>
              <w:kinsoku/>
              <w:wordWrap/>
              <w:overflowPunct/>
              <w:topLinePunct w:val="0"/>
              <w:bidi w:val="0"/>
              <w:adjustRightInd w:val="0"/>
              <w:snapToGrid w:val="0"/>
              <w:spacing w:line="360" w:lineRule="auto"/>
              <w:ind w:left="-2" w:leftChars="-1"/>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46BD2401">
            <w:pPr>
              <w:pageBreakBefore w:val="0"/>
              <w:kinsoku/>
              <w:wordWrap/>
              <w:overflowPunct/>
              <w:topLinePunct w:val="0"/>
              <w:bidi w:val="0"/>
              <w:adjustRightInd w:val="0"/>
              <w:snapToGrid w:val="0"/>
              <w:spacing w:line="360" w:lineRule="auto"/>
              <w:textAlignment w:val="auto"/>
              <w:rPr>
                <w:rFonts w:hint="eastAsia" w:ascii="宋体" w:hAnsi="宋体" w:cs="宋体"/>
                <w:sz w:val="24"/>
              </w:rPr>
            </w:pPr>
            <w:r>
              <w:rPr>
                <w:rFonts w:hint="eastAsia" w:ascii="宋体" w:hAnsi="宋体" w:cs="宋体"/>
                <w:bCs/>
                <w:sz w:val="24"/>
                <w:highlight w:val="none"/>
              </w:rPr>
              <w:t>根据供应商提供的应急预案、突发问题解决的响应速度以及处理方案</w:t>
            </w:r>
            <w:r>
              <w:rPr>
                <w:rFonts w:hint="eastAsia" w:ascii="宋体" w:hAnsi="宋体" w:cs="宋体"/>
                <w:bCs/>
                <w:sz w:val="24"/>
                <w:highlight w:val="none"/>
                <w:lang w:eastAsia="zh-CN"/>
              </w:rPr>
              <w:t>，</w:t>
            </w:r>
            <w:r>
              <w:rPr>
                <w:rFonts w:hint="eastAsia" w:ascii="宋体" w:hAnsi="宋体" w:cs="宋体"/>
                <w:bCs/>
                <w:sz w:val="24"/>
                <w:highlight w:val="none"/>
              </w:rPr>
              <w:t>是否具有合理性、可操作性、周密性，由评委在规定分值内打分。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11B21B0">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0-5分</w:t>
            </w:r>
          </w:p>
        </w:tc>
      </w:tr>
      <w:tr w14:paraId="617037A5">
        <w:tblPrEx>
          <w:tblCellMar>
            <w:top w:w="0" w:type="dxa"/>
            <w:left w:w="108" w:type="dxa"/>
            <w:bottom w:w="0" w:type="dxa"/>
            <w:right w:w="108" w:type="dxa"/>
          </w:tblCellMar>
        </w:tblPrEx>
        <w:trPr>
          <w:trHeight w:val="734"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32504206">
            <w:pPr>
              <w:pageBreakBefore w:val="0"/>
              <w:kinsoku/>
              <w:wordWrap/>
              <w:overflowPunct/>
              <w:topLinePunct w:val="0"/>
              <w:bidi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10</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64065A7D">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bCs/>
                <w:sz w:val="24"/>
              </w:rPr>
            </w:pPr>
            <w:r>
              <w:rPr>
                <w:rFonts w:hint="eastAsia" w:ascii="宋体" w:hAnsi="宋体" w:cs="宋体"/>
                <w:bCs/>
                <w:sz w:val="24"/>
                <w:highlight w:val="none"/>
                <w:lang w:val="en-US" w:eastAsia="zh-CN"/>
              </w:rPr>
              <w:t>医疗安保方案</w:t>
            </w:r>
            <w:r>
              <w:rPr>
                <w:rFonts w:hint="eastAsia" w:ascii="宋体" w:hAnsi="宋体" w:cs="宋体"/>
                <w:bCs/>
                <w:sz w:val="24"/>
                <w:highlight w:val="none"/>
              </w:rPr>
              <w:t>（</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D82E44D">
            <w:pPr>
              <w:pStyle w:val="5"/>
              <w:pageBreakBefore w:val="0"/>
              <w:kinsoku/>
              <w:wordWrap/>
              <w:overflowPunct/>
              <w:topLinePunct w:val="0"/>
              <w:bidi w:val="0"/>
              <w:spacing w:line="360" w:lineRule="auto"/>
              <w:ind w:firstLine="0" w:firstLineChars="0"/>
              <w:textAlignment w:val="auto"/>
              <w:rPr>
                <w:rFonts w:hint="eastAsia" w:ascii="宋体" w:hAnsi="宋体" w:cs="宋体"/>
                <w:sz w:val="24"/>
              </w:rPr>
            </w:pPr>
            <w:r>
              <w:rPr>
                <w:rFonts w:hint="eastAsia" w:ascii="宋体" w:hAnsi="宋体" w:cs="宋体"/>
                <w:bCs/>
                <w:color w:val="auto"/>
                <w:sz w:val="24"/>
              </w:rPr>
              <w:t>根据</w:t>
            </w:r>
            <w:r>
              <w:rPr>
                <w:rFonts w:hint="eastAsia" w:ascii="宋体" w:hAnsi="宋体" w:cs="宋体"/>
                <w:bCs/>
                <w:color w:val="auto"/>
                <w:sz w:val="24"/>
                <w:lang w:eastAsia="zh-CN"/>
              </w:rPr>
              <w:t>供应商</w:t>
            </w:r>
            <w:r>
              <w:rPr>
                <w:rFonts w:hint="eastAsia" w:ascii="宋体" w:hAnsi="宋体" w:cs="宋体"/>
                <w:bCs/>
                <w:color w:val="auto"/>
                <w:sz w:val="24"/>
              </w:rPr>
              <w:t>提供的安保方案是否符合赛事情况，以及方案是否具有合理性、可操作性、周密性</w:t>
            </w:r>
            <w:r>
              <w:rPr>
                <w:rFonts w:hint="eastAsia" w:ascii="宋体" w:hAnsi="宋体" w:cs="宋体"/>
                <w:bCs/>
                <w:color w:val="auto"/>
                <w:sz w:val="24"/>
                <w:lang w:eastAsia="zh-CN"/>
              </w:rPr>
              <w:t>，</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17D5D47">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4F2AEF8A">
        <w:tblPrEx>
          <w:tblCellMar>
            <w:top w:w="0" w:type="dxa"/>
            <w:left w:w="108" w:type="dxa"/>
            <w:bottom w:w="0" w:type="dxa"/>
            <w:right w:w="108" w:type="dxa"/>
          </w:tblCellMar>
        </w:tblPrEx>
        <w:trPr>
          <w:trHeight w:val="734"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29BEA50">
            <w:pPr>
              <w:pageBreakBefore w:val="0"/>
              <w:kinsoku/>
              <w:wordWrap/>
              <w:overflowPunct/>
              <w:topLinePunct w:val="0"/>
              <w:bidi w:val="0"/>
              <w:spacing w:line="360" w:lineRule="auto"/>
              <w:jc w:val="center"/>
              <w:textAlignment w:val="auto"/>
              <w:rPr>
                <w:rFonts w:hint="default" w:ascii="宋体" w:hAnsi="宋体" w:eastAsia="宋体" w:cs="宋体"/>
                <w:b w:val="0"/>
                <w:bCs w:val="0"/>
                <w:color w:val="auto"/>
                <w:kern w:val="0"/>
                <w:sz w:val="24"/>
                <w:szCs w:val="24"/>
                <w:lang w:val="en-US"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2645CF3">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b w:val="0"/>
                <w:bCs w:val="0"/>
                <w:color w:val="auto"/>
                <w:kern w:val="2"/>
                <w:sz w:val="24"/>
                <w:szCs w:val="24"/>
                <w:highlight w:val="none"/>
                <w:lang w:val="en-US" w:eastAsia="zh-CN"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64A2B94">
            <w:pPr>
              <w:pStyle w:val="5"/>
              <w:pageBreakBefore w:val="0"/>
              <w:kinsoku/>
              <w:wordWrap/>
              <w:overflowPunct/>
              <w:topLinePunct w:val="0"/>
              <w:bidi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sz w:val="24"/>
              </w:rPr>
              <w:t>根据</w:t>
            </w:r>
            <w:r>
              <w:rPr>
                <w:rFonts w:hint="eastAsia" w:ascii="宋体" w:hAnsi="宋体" w:cs="宋体"/>
                <w:bCs/>
                <w:color w:val="auto"/>
                <w:sz w:val="24"/>
                <w:lang w:eastAsia="zh-CN"/>
              </w:rPr>
              <w:t>供应商</w:t>
            </w:r>
            <w:r>
              <w:rPr>
                <w:rFonts w:hint="eastAsia" w:ascii="宋体" w:hAnsi="宋体" w:cs="宋体"/>
                <w:bCs/>
                <w:color w:val="auto"/>
                <w:sz w:val="24"/>
              </w:rPr>
              <w:t>提供的医疗方案是否符合赛事情况，以及方案是否具有合理性、可操作性、周密性，由评委根据对应分值进行打分</w:t>
            </w:r>
            <w:r>
              <w:rPr>
                <w:rFonts w:hint="eastAsia" w:ascii="宋体" w:hAnsi="宋体" w:cs="宋体"/>
                <w:color w:val="auto"/>
                <w:sz w:val="24"/>
              </w:rPr>
              <w:t>。</w:t>
            </w:r>
          </w:p>
        </w:tc>
        <w:tc>
          <w:tcPr>
            <w:tcW w:w="1183" w:type="dxa"/>
            <w:tcBorders>
              <w:top w:val="single" w:color="auto" w:sz="4" w:space="0"/>
              <w:left w:val="single" w:color="auto" w:sz="4" w:space="0"/>
              <w:bottom w:val="single" w:color="auto" w:sz="4" w:space="0"/>
              <w:right w:val="single" w:color="auto" w:sz="4" w:space="0"/>
            </w:tcBorders>
            <w:vAlign w:val="center"/>
          </w:tcPr>
          <w:p w14:paraId="227E775F">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2"/>
                <w:sz w:val="24"/>
                <w:szCs w:val="24"/>
                <w:lang w:val="en-US" w:eastAsia="zh-CN" w:bidi="ar"/>
              </w:rPr>
            </w:pPr>
            <w:r>
              <w:rPr>
                <w:rFonts w:hint="eastAsia" w:ascii="宋体" w:hAnsi="宋体" w:cs="宋体"/>
                <w:sz w:val="24"/>
                <w:highlight w:val="none"/>
                <w:lang w:val="en-US" w:eastAsia="zh-CN"/>
              </w:rPr>
              <w:t>0-5分</w:t>
            </w:r>
          </w:p>
        </w:tc>
      </w:tr>
      <w:tr w14:paraId="0B216F2E">
        <w:tblPrEx>
          <w:tblCellMar>
            <w:top w:w="0" w:type="dxa"/>
            <w:left w:w="108" w:type="dxa"/>
            <w:bottom w:w="0" w:type="dxa"/>
            <w:right w:w="108" w:type="dxa"/>
          </w:tblCellMar>
        </w:tblPrEx>
        <w:trPr>
          <w:trHeight w:val="734" w:hRule="atLeast"/>
        </w:trPr>
        <w:tc>
          <w:tcPr>
            <w:tcW w:w="945" w:type="dxa"/>
            <w:tcBorders>
              <w:top w:val="single" w:color="auto" w:sz="4" w:space="0"/>
              <w:left w:val="single" w:color="auto" w:sz="4" w:space="0"/>
              <w:bottom w:val="single" w:color="auto" w:sz="4" w:space="0"/>
              <w:right w:val="single" w:color="auto" w:sz="4" w:space="0"/>
            </w:tcBorders>
            <w:vAlign w:val="center"/>
          </w:tcPr>
          <w:p w14:paraId="2913A064">
            <w:pPr>
              <w:pageBreakBefore w:val="0"/>
              <w:kinsoku/>
              <w:wordWrap/>
              <w:overflowPunct/>
              <w:topLinePunct w:val="0"/>
              <w:bidi w:val="0"/>
              <w:spacing w:line="360" w:lineRule="auto"/>
              <w:jc w:val="center"/>
              <w:textAlignment w:val="auto"/>
              <w:rPr>
                <w:rFonts w:hint="eastAsia" w:ascii="宋体" w:hAnsi="宋体" w:eastAsia="宋体" w:cs="宋体"/>
                <w:sz w:val="24"/>
                <w:lang w:eastAsia="zh-CN"/>
              </w:rPr>
            </w:pPr>
            <w:r>
              <w:rPr>
                <w:rFonts w:hint="eastAsia" w:ascii="宋体" w:hAnsi="宋体" w:eastAsia="宋体" w:cs="宋体"/>
                <w:color w:val="auto"/>
                <w:sz w:val="24"/>
                <w:highlight w:val="none"/>
                <w:lang w:val="en-US" w:eastAsia="zh-CN"/>
              </w:rPr>
              <w:t>11</w:t>
            </w:r>
          </w:p>
        </w:tc>
        <w:tc>
          <w:tcPr>
            <w:tcW w:w="1406" w:type="dxa"/>
            <w:tcBorders>
              <w:top w:val="single" w:color="auto" w:sz="4" w:space="0"/>
              <w:left w:val="single" w:color="auto" w:sz="4" w:space="0"/>
              <w:bottom w:val="single" w:color="auto" w:sz="4" w:space="0"/>
              <w:right w:val="single" w:color="auto" w:sz="4" w:space="0"/>
            </w:tcBorders>
            <w:vAlign w:val="center"/>
          </w:tcPr>
          <w:p w14:paraId="57CCD0A0">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bCs/>
                <w:sz w:val="24"/>
              </w:rPr>
            </w:pPr>
            <w:r>
              <w:rPr>
                <w:rFonts w:hint="eastAsia" w:ascii="宋体" w:hAnsi="宋体" w:eastAsia="宋体" w:cs="宋体"/>
                <w:color w:val="auto"/>
                <w:kern w:val="0"/>
                <w:sz w:val="24"/>
                <w:highlight w:val="none"/>
                <w:lang w:val="en-US" w:eastAsia="zh-CN" w:bidi="ar"/>
              </w:rPr>
              <w:t>方案讲解（10分）</w:t>
            </w:r>
          </w:p>
        </w:tc>
        <w:tc>
          <w:tcPr>
            <w:tcW w:w="5829" w:type="dxa"/>
            <w:tcBorders>
              <w:top w:val="single" w:color="auto" w:sz="4" w:space="0"/>
              <w:left w:val="single" w:color="auto" w:sz="4" w:space="0"/>
              <w:bottom w:val="single" w:color="auto" w:sz="4" w:space="0"/>
              <w:right w:val="single" w:color="auto" w:sz="4" w:space="0"/>
            </w:tcBorders>
            <w:vAlign w:val="center"/>
          </w:tcPr>
          <w:p w14:paraId="30046504">
            <w:pPr>
              <w:pStyle w:val="5"/>
              <w:pageBreakBefore w:val="0"/>
              <w:kinsoku/>
              <w:wordWrap/>
              <w:overflowPunct/>
              <w:topLinePunct w:val="0"/>
              <w:bidi w:val="0"/>
              <w:spacing w:line="360" w:lineRule="auto"/>
              <w:ind w:firstLine="0" w:firstLineChars="0"/>
              <w:textAlignment w:val="auto"/>
              <w:rPr>
                <w:rFonts w:hint="default" w:ascii="宋体" w:hAnsi="宋体" w:cs="宋体"/>
                <w:bCs/>
                <w:sz w:val="24"/>
                <w:lang w:val="en-US" w:eastAsia="zh-CN"/>
              </w:rPr>
            </w:pPr>
            <w:r>
              <w:rPr>
                <w:rFonts w:hint="eastAsia" w:ascii="宋体" w:hAnsi="宋体" w:cs="宋体"/>
                <w:bCs/>
                <w:sz w:val="24"/>
                <w:lang w:val="en-US" w:eastAsia="zh-CN"/>
              </w:rPr>
              <w:t>根据供应商提供的关于本次赛事组织服务总体方案进行讲解，根据总体方案，对本次赛事组织活动全流程进行阐述，根据方案讲解进行打分，</w:t>
            </w:r>
            <w:r>
              <w:rPr>
                <w:rFonts w:hint="eastAsia" w:ascii="宋体" w:hAnsi="宋体" w:cs="宋体"/>
                <w:bCs/>
                <w:sz w:val="24"/>
                <w:szCs w:val="24"/>
                <w:highlight w:val="none"/>
                <w:lang w:val="en-US" w:eastAsia="zh-CN"/>
              </w:rPr>
              <w:t>由评委在规定分值内打分。</w:t>
            </w:r>
          </w:p>
          <w:p w14:paraId="415EDF1D">
            <w:pPr>
              <w:rPr>
                <w:rFonts w:hint="eastAsia" w:ascii="宋体" w:hAnsi="宋体" w:cs="宋体"/>
                <w:sz w:val="24"/>
              </w:rPr>
            </w:pPr>
            <w:r>
              <w:rPr>
                <w:rFonts w:hint="eastAsia" w:ascii="宋体" w:hAnsi="宋体" w:cs="宋体"/>
                <w:b/>
                <w:bCs/>
                <w:sz w:val="24"/>
                <w:szCs w:val="20"/>
                <w:lang w:val="en-US" w:eastAsia="zh-CN"/>
              </w:rPr>
              <w:t>注：方案讲解供应商</w:t>
            </w:r>
            <w:r>
              <w:rPr>
                <w:rFonts w:hint="eastAsia" w:ascii="宋体" w:hAnsi="宋体" w:cs="宋体"/>
                <w:b/>
                <w:bCs/>
                <w:sz w:val="24"/>
                <w:szCs w:val="20"/>
              </w:rPr>
              <w:t>若不派项目负责人前往现场进行演示的，应将</w:t>
            </w:r>
            <w:r>
              <w:rPr>
                <w:rFonts w:hint="eastAsia" w:ascii="宋体" w:hAnsi="宋体" w:cs="宋体"/>
                <w:b/>
                <w:bCs/>
                <w:sz w:val="24"/>
                <w:szCs w:val="20"/>
                <w:lang w:val="en-US" w:eastAsia="zh-CN"/>
              </w:rPr>
              <w:t>讲解</w:t>
            </w:r>
            <w:r>
              <w:rPr>
                <w:rFonts w:hint="eastAsia" w:ascii="宋体" w:hAnsi="宋体" w:cs="宋体"/>
                <w:b/>
                <w:bCs/>
                <w:sz w:val="24"/>
                <w:szCs w:val="20"/>
              </w:rPr>
              <w:t>资料压缩加密（密码由供应商自行保管），并在投标时间截止时间前将加密</w:t>
            </w:r>
            <w:r>
              <w:rPr>
                <w:rFonts w:hint="eastAsia" w:ascii="宋体" w:hAnsi="宋体" w:cs="宋体"/>
                <w:b/>
                <w:bCs/>
                <w:sz w:val="24"/>
                <w:szCs w:val="20"/>
                <w:lang w:val="en-US" w:eastAsia="zh-CN"/>
              </w:rPr>
              <w:t>讲解</w:t>
            </w:r>
            <w:r>
              <w:rPr>
                <w:rFonts w:hint="eastAsia" w:ascii="宋体" w:hAnsi="宋体" w:cs="宋体"/>
                <w:b/>
                <w:bCs/>
                <w:sz w:val="24"/>
                <w:szCs w:val="20"/>
              </w:rPr>
              <w:t>资料一次性（限时内多次发送的，以最后一次为准，其余无效）发送至代理机构指定邮箱（lszzzbzx@126.com），同时备注项目名称，</w:t>
            </w:r>
            <w:r>
              <w:rPr>
                <w:rFonts w:hint="eastAsia" w:ascii="宋体" w:hAnsi="宋体" w:cs="宋体"/>
                <w:b/>
                <w:bCs/>
                <w:sz w:val="24"/>
                <w:szCs w:val="20"/>
                <w:lang w:val="en-US" w:eastAsia="zh-CN"/>
              </w:rPr>
              <w:t>讲解</w:t>
            </w:r>
            <w:r>
              <w:rPr>
                <w:rFonts w:hint="eastAsia" w:ascii="宋体" w:hAnsi="宋体" w:cs="宋体"/>
                <w:b/>
                <w:bCs/>
                <w:sz w:val="24"/>
                <w:szCs w:val="20"/>
              </w:rPr>
              <w:t>开始后，代理机构按照</w:t>
            </w:r>
            <w:r>
              <w:rPr>
                <w:rFonts w:hint="eastAsia" w:ascii="宋体" w:hAnsi="宋体" w:cs="宋体"/>
                <w:b/>
                <w:bCs/>
                <w:sz w:val="24"/>
                <w:szCs w:val="20"/>
                <w:lang w:val="en-US" w:eastAsia="zh-CN"/>
              </w:rPr>
              <w:t>讲解</w:t>
            </w:r>
            <w:r>
              <w:rPr>
                <w:rFonts w:hint="eastAsia" w:ascii="宋体" w:hAnsi="宋体" w:cs="宋体"/>
                <w:b/>
                <w:bCs/>
                <w:sz w:val="24"/>
                <w:szCs w:val="20"/>
              </w:rPr>
              <w:t>顺序向投标人获取视频密码，未进行</w:t>
            </w:r>
            <w:r>
              <w:rPr>
                <w:rFonts w:hint="eastAsia" w:ascii="宋体" w:hAnsi="宋体" w:cs="宋体"/>
                <w:b/>
                <w:bCs/>
                <w:sz w:val="24"/>
                <w:szCs w:val="20"/>
                <w:lang w:val="en-US" w:eastAsia="zh-CN"/>
              </w:rPr>
              <w:t>讲解</w:t>
            </w:r>
            <w:r>
              <w:rPr>
                <w:rFonts w:hint="eastAsia" w:ascii="宋体" w:hAnsi="宋体" w:cs="宋体"/>
                <w:b/>
                <w:bCs/>
                <w:sz w:val="24"/>
                <w:szCs w:val="20"/>
              </w:rPr>
              <w:t>或未在规定时间内发送</w:t>
            </w:r>
            <w:r>
              <w:rPr>
                <w:rFonts w:hint="eastAsia" w:ascii="宋体" w:hAnsi="宋体" w:cs="宋体"/>
                <w:b/>
                <w:bCs/>
                <w:sz w:val="24"/>
                <w:szCs w:val="20"/>
                <w:lang w:val="en-US" w:eastAsia="zh-CN"/>
              </w:rPr>
              <w:t>讲解</w:t>
            </w:r>
            <w:r>
              <w:rPr>
                <w:rFonts w:hint="eastAsia" w:ascii="宋体" w:hAnsi="宋体" w:cs="宋体"/>
                <w:b/>
                <w:bCs/>
                <w:sz w:val="24"/>
                <w:szCs w:val="20"/>
              </w:rPr>
              <w:t>资料无法打开的，此项不得分</w:t>
            </w:r>
            <w:r>
              <w:rPr>
                <w:rFonts w:hint="eastAsia" w:ascii="宋体" w:hAnsi="宋体" w:cs="宋体"/>
                <w:b/>
                <w:bCs/>
                <w:sz w:val="24"/>
                <w:szCs w:val="20"/>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1A640BB2">
            <w:pPr>
              <w:pageBreakBefore w:val="0"/>
              <w:tabs>
                <w:tab w:val="left" w:pos="1080"/>
              </w:tabs>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lang w:val="en-US" w:eastAsia="zh-CN"/>
              </w:rPr>
              <w:t>0-10分</w:t>
            </w:r>
          </w:p>
        </w:tc>
      </w:tr>
    </w:tbl>
    <w:p w14:paraId="29980983">
      <w:pPr>
        <w:spacing w:line="360" w:lineRule="auto"/>
        <w:jc w:val="left"/>
        <w:rPr>
          <w:rFonts w:hint="eastAsia" w:ascii="宋体" w:hAnsi="宋体" w:cs="宋体"/>
          <w:b/>
          <w:sz w:val="24"/>
        </w:rPr>
      </w:pPr>
      <w:r>
        <w:rPr>
          <w:rFonts w:hint="eastAsia" w:ascii="宋体" w:hAnsi="宋体" w:cs="宋体"/>
          <w:b/>
          <w:sz w:val="24"/>
        </w:rPr>
        <w:t>5.2磋商报价共10分,权重为10% ，由磋商小组根据以下内容统一计算打分：</w:t>
      </w:r>
    </w:p>
    <w:p w14:paraId="48B1A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619E2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5.2.2最终报价超过最高限价的作无效标处理。</w:t>
      </w:r>
    </w:p>
    <w:p w14:paraId="0A957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5.2.3最终报价有漏项的或报价数量少于磋商文件要求数量的作无效标处理。</w:t>
      </w:r>
    </w:p>
    <w:p w14:paraId="24526B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rPr>
      </w:pPr>
      <w:r>
        <w:rPr>
          <w:rFonts w:hint="eastAsia" w:ascii="宋体" w:hAnsi="宋体" w:cs="宋体"/>
          <w:b/>
          <w:sz w:val="24"/>
        </w:rPr>
        <w:t>5.2.4 报价得分按以下方式计算：</w:t>
      </w:r>
    </w:p>
    <w:p w14:paraId="08E84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（1）确定评审价：供应商的评审价=各供应商最终有效报价；</w:t>
      </w:r>
    </w:p>
    <w:p w14:paraId="516B8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（2）磋商基准价=各进入报价评分的各供应商有效评审价中的</w:t>
      </w:r>
      <w:r>
        <w:rPr>
          <w:rFonts w:hint="eastAsia" w:ascii="宋体" w:hAnsi="宋体" w:cs="宋体"/>
          <w:b/>
          <w:bCs/>
          <w:sz w:val="24"/>
        </w:rPr>
        <w:t>最低评审价</w:t>
      </w:r>
      <w:r>
        <w:rPr>
          <w:rFonts w:hint="eastAsia" w:ascii="宋体" w:hAnsi="宋体" w:cs="宋体"/>
          <w:sz w:val="24"/>
        </w:rPr>
        <w:t>；</w:t>
      </w:r>
    </w:p>
    <w:p w14:paraId="24B0B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（3）评审价等于磋商基准价的得10分，其他供应商的报价得分按下列公式计算：报价得分=（磋商基准价/各供应商最终评审价）×报价权重×100。</w:t>
      </w:r>
    </w:p>
    <w:p w14:paraId="29FAF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（4）落实政府采购扶持政策说明：本项目面向中小企业采购，不进行价格扣除或价格分加分。</w:t>
      </w:r>
    </w:p>
    <w:p w14:paraId="1CBE41E4">
      <w:pPr>
        <w:spacing w:line="360" w:lineRule="auto"/>
        <w:rPr>
          <w:rFonts w:hint="eastAsia" w:ascii="宋体" w:hAnsi="宋体"/>
          <w:b/>
          <w:sz w:val="24"/>
        </w:rPr>
      </w:pPr>
      <w:r>
        <w:rPr>
          <w:rFonts w:hint="eastAsia" w:ascii="宋体" w:hAnsi="宋体" w:cs="宋体"/>
          <w:b/>
          <w:sz w:val="24"/>
        </w:rPr>
        <w:t>5.3本项目最终得分=商务技术得分＋报价得分。</w:t>
      </w:r>
    </w:p>
    <w:p w14:paraId="49F284E5">
      <w:pPr>
        <w:pStyle w:val="4"/>
        <w:spacing w:after="0"/>
        <w:ind w:firstLine="0" w:firstLineChars="0"/>
        <w:rPr>
          <w:rFonts w:hint="eastAsia" w:ascii="宋体" w:hAnsi="宋体"/>
          <w:sz w:val="32"/>
        </w:rPr>
      </w:pPr>
      <w:bookmarkStart w:id="480" w:name="_Toc26424"/>
      <w:bookmarkStart w:id="481" w:name="_Toc1493"/>
      <w:bookmarkStart w:id="482" w:name="_Toc13625"/>
      <w:bookmarkStart w:id="483" w:name="_Toc26573"/>
      <w:bookmarkStart w:id="484" w:name="_Toc8018"/>
      <w:r>
        <w:rPr>
          <w:rFonts w:hint="eastAsia" w:ascii="宋体" w:hAnsi="宋体"/>
          <w:sz w:val="32"/>
        </w:rPr>
        <w:t>六   磋商纪律和要求</w:t>
      </w:r>
      <w:bookmarkEnd w:id="461"/>
      <w:bookmarkEnd w:id="462"/>
      <w:bookmarkEnd w:id="463"/>
      <w:bookmarkEnd w:id="480"/>
      <w:bookmarkEnd w:id="481"/>
      <w:bookmarkEnd w:id="482"/>
      <w:bookmarkEnd w:id="483"/>
      <w:bookmarkEnd w:id="484"/>
    </w:p>
    <w:p w14:paraId="77E12073">
      <w:pPr>
        <w:spacing w:line="360" w:lineRule="auto"/>
        <w:ind w:firstLine="480" w:firstLineChars="200"/>
        <w:rPr>
          <w:rFonts w:hint="eastAsia" w:ascii="宋体" w:hAnsi="宋体"/>
          <w:sz w:val="24"/>
        </w:rPr>
      </w:pPr>
      <w:r>
        <w:rPr>
          <w:rFonts w:hint="eastAsia" w:ascii="宋体" w:hAnsi="宋体"/>
          <w:sz w:val="24"/>
        </w:rPr>
        <w:t>6.1磋商小组成员必须公平、公正评审，遵纪守法，客观、廉洁地履行职责。</w:t>
      </w:r>
    </w:p>
    <w:p w14:paraId="12A6E520">
      <w:pPr>
        <w:spacing w:line="360" w:lineRule="auto"/>
        <w:ind w:firstLine="480" w:firstLineChars="200"/>
        <w:rPr>
          <w:rFonts w:hint="eastAsia" w:ascii="宋体" w:hAnsi="宋体"/>
          <w:sz w:val="24"/>
        </w:rPr>
      </w:pPr>
      <w:r>
        <w:rPr>
          <w:rFonts w:hint="eastAsia" w:ascii="宋体" w:hAnsi="宋体"/>
          <w:sz w:val="24"/>
        </w:rPr>
        <w:t>6.2磋商小组成员在评审开始前，应关闭并上交随身携带的各种通信工具。</w:t>
      </w:r>
    </w:p>
    <w:p w14:paraId="27B0AE28">
      <w:pPr>
        <w:spacing w:line="360" w:lineRule="auto"/>
        <w:ind w:firstLine="480" w:firstLineChars="200"/>
        <w:rPr>
          <w:rFonts w:hint="eastAsia" w:ascii="宋体" w:hAnsi="宋体"/>
          <w:sz w:val="24"/>
        </w:rPr>
      </w:pPr>
      <w:r>
        <w:rPr>
          <w:rFonts w:hint="eastAsia" w:ascii="宋体" w:hAnsi="宋体"/>
          <w:sz w:val="24"/>
        </w:rPr>
        <w:t>6.3磋商小组成员在评审过程中，未经许可不得中途离开评审现场，不得迟到早退。</w:t>
      </w:r>
    </w:p>
    <w:p w14:paraId="4015EA7B">
      <w:pPr>
        <w:spacing w:line="360" w:lineRule="auto"/>
        <w:ind w:firstLine="480" w:firstLineChars="200"/>
        <w:rPr>
          <w:rFonts w:hint="eastAsia" w:ascii="宋体" w:hAnsi="宋体"/>
          <w:sz w:val="24"/>
        </w:rPr>
      </w:pPr>
      <w:r>
        <w:rPr>
          <w:rFonts w:hint="eastAsia" w:ascii="宋体" w:hAnsi="宋体"/>
          <w:sz w:val="24"/>
        </w:rPr>
        <w:t>6.4磋商小组成员和工作人员不得透露评审过程中的讨论情况和评审结果。</w:t>
      </w:r>
    </w:p>
    <w:p w14:paraId="23D14222">
      <w:pPr>
        <w:spacing w:line="360" w:lineRule="auto"/>
        <w:ind w:firstLine="480"/>
        <w:rPr>
          <w:rFonts w:hint="eastAsia" w:ascii="宋体" w:hAnsi="宋体"/>
          <w:sz w:val="24"/>
        </w:rPr>
      </w:pPr>
      <w:r>
        <w:rPr>
          <w:rFonts w:hint="eastAsia" w:ascii="宋体" w:hAnsi="宋体"/>
          <w:sz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2DE2D6D6">
      <w:pPr>
        <w:spacing w:line="360" w:lineRule="auto"/>
        <w:ind w:firstLine="480" w:firstLineChars="200"/>
        <w:rPr>
          <w:rFonts w:hint="eastAsia" w:ascii="宋体" w:hAnsi="宋体"/>
          <w:sz w:val="24"/>
        </w:rPr>
      </w:pPr>
      <w:r>
        <w:rPr>
          <w:rFonts w:hint="eastAsia" w:ascii="宋体" w:hAnsi="宋体"/>
          <w:sz w:val="24"/>
        </w:rPr>
        <w:t>6.6采购人、采购代理机构不得向磋商小组的磋商小组成员作倾向性、误导性的解释或者说明。</w:t>
      </w:r>
    </w:p>
    <w:p w14:paraId="7258AA54">
      <w:pPr>
        <w:spacing w:line="360" w:lineRule="auto"/>
        <w:ind w:firstLine="480" w:firstLineChars="200"/>
        <w:rPr>
          <w:rFonts w:hint="eastAsia" w:ascii="宋体" w:hAnsi="宋体"/>
          <w:sz w:val="24"/>
        </w:rPr>
      </w:pPr>
      <w:r>
        <w:rPr>
          <w:rFonts w:hint="eastAsia" w:ascii="宋体" w:hAnsi="宋体"/>
          <w:sz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4E8B4982">
      <w:pPr>
        <w:spacing w:line="360" w:lineRule="auto"/>
        <w:ind w:firstLine="480" w:firstLineChars="200"/>
        <w:rPr>
          <w:rFonts w:hint="eastAsia" w:ascii="宋体" w:hAnsi="宋体"/>
          <w:sz w:val="24"/>
        </w:rPr>
      </w:pPr>
      <w:r>
        <w:rPr>
          <w:rFonts w:hint="eastAsia" w:ascii="宋体" w:hAnsi="宋体"/>
          <w:sz w:val="24"/>
          <w:szCs w:val="21"/>
        </w:rPr>
        <w:t>6.8磋商小组成员在评审过程中不得将自己的观点强加给其他磋商小组成员，磋商小组成员应自主发表见解，对评审意见承担个人责任。</w:t>
      </w:r>
    </w:p>
    <w:p w14:paraId="508FD6C5">
      <w:pPr>
        <w:spacing w:line="360" w:lineRule="auto"/>
        <w:ind w:firstLine="480" w:firstLineChars="200"/>
        <w:rPr>
          <w:rFonts w:hint="eastAsia" w:ascii="宋体" w:hAnsi="宋体"/>
          <w:sz w:val="24"/>
        </w:rPr>
      </w:pPr>
      <w:r>
        <w:rPr>
          <w:rFonts w:hint="eastAsia" w:ascii="宋体" w:hAnsi="宋体"/>
          <w:sz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392F158A">
      <w:pPr>
        <w:spacing w:line="360" w:lineRule="auto"/>
        <w:ind w:firstLine="480" w:firstLineChars="200"/>
        <w:rPr>
          <w:rFonts w:hint="eastAsia" w:ascii="宋体" w:hAnsi="宋体"/>
          <w:sz w:val="24"/>
        </w:rPr>
      </w:pPr>
      <w:r>
        <w:rPr>
          <w:rFonts w:hint="eastAsia" w:ascii="宋体" w:hAnsi="宋体"/>
          <w:sz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5E5A1E08">
      <w:pPr>
        <w:spacing w:line="360" w:lineRule="auto"/>
        <w:ind w:firstLine="480" w:firstLineChars="200"/>
        <w:rPr>
          <w:rFonts w:hint="eastAsia" w:ascii="宋体" w:hAnsi="宋体"/>
          <w:sz w:val="24"/>
        </w:rPr>
      </w:pPr>
      <w:r>
        <w:rPr>
          <w:rFonts w:hint="eastAsia" w:ascii="宋体" w:hAnsi="宋体"/>
          <w:sz w:val="24"/>
        </w:rPr>
        <w:t>6.11磋商小组成员应当遵守评审工作纪律，不得泄露评审文件、评审情况和评审中获悉的商业秘密。</w:t>
      </w:r>
    </w:p>
    <w:p w14:paraId="423EFD03">
      <w:pPr>
        <w:spacing w:line="360" w:lineRule="auto"/>
        <w:ind w:firstLine="480" w:firstLineChars="200"/>
        <w:rPr>
          <w:rFonts w:hint="eastAsia" w:ascii="宋体" w:hAnsi="宋体"/>
          <w:sz w:val="24"/>
        </w:rPr>
      </w:pPr>
      <w:r>
        <w:rPr>
          <w:rFonts w:hint="eastAsia" w:ascii="宋体" w:hAnsi="宋体"/>
          <w:sz w:val="24"/>
        </w:rPr>
        <w:t>磋商小组在评审过程中发现供应商有行贿、提供虚假材料或者串通等违法行为的，应当及时向财政部门报告。</w:t>
      </w:r>
    </w:p>
    <w:p w14:paraId="057D2958">
      <w:pPr>
        <w:spacing w:line="360" w:lineRule="auto"/>
        <w:ind w:firstLine="480" w:firstLineChars="200"/>
        <w:rPr>
          <w:rFonts w:hint="eastAsia" w:ascii="宋体" w:hAnsi="宋体"/>
          <w:sz w:val="24"/>
        </w:rPr>
      </w:pPr>
      <w:r>
        <w:rPr>
          <w:rFonts w:hint="eastAsia" w:ascii="宋体" w:hAnsi="宋体"/>
          <w:sz w:val="24"/>
        </w:rPr>
        <w:t>6.12磋商文件内容违反国家有关强制性规定的，磋商小组应当停止评审并向采购代理机构说明情况。</w:t>
      </w:r>
    </w:p>
    <w:p w14:paraId="2DA7D2DC">
      <w:pPr>
        <w:spacing w:line="360" w:lineRule="auto"/>
        <w:ind w:firstLine="480" w:firstLineChars="200"/>
        <w:rPr>
          <w:rFonts w:hint="eastAsia" w:ascii="宋体" w:hAnsi="宋体"/>
          <w:sz w:val="24"/>
        </w:rPr>
      </w:pPr>
      <w:r>
        <w:rPr>
          <w:rFonts w:hint="eastAsia" w:ascii="宋体" w:hAnsi="宋体"/>
          <w:sz w:val="24"/>
        </w:rPr>
        <w:t>6.13磋商小组成员应当配合采购代理机构答复供应商提出的质疑。</w:t>
      </w:r>
    </w:p>
    <w:p w14:paraId="1A511D1D">
      <w:pPr>
        <w:spacing w:line="360" w:lineRule="auto"/>
        <w:ind w:firstLine="480" w:firstLineChars="200"/>
        <w:rPr>
          <w:rFonts w:hint="eastAsia" w:ascii="宋体" w:hAnsi="宋体"/>
          <w:sz w:val="24"/>
        </w:rPr>
      </w:pPr>
      <w:r>
        <w:rPr>
          <w:rFonts w:hint="eastAsia" w:ascii="宋体" w:hAnsi="宋体"/>
          <w:sz w:val="24"/>
        </w:rPr>
        <w:t>6.14磋商小组成员应当配合财政部门的投诉处理工作。</w:t>
      </w:r>
    </w:p>
    <w:p w14:paraId="34D6972F">
      <w:pPr>
        <w:spacing w:line="360" w:lineRule="auto"/>
        <w:ind w:firstLine="480" w:firstLineChars="200"/>
        <w:rPr>
          <w:rFonts w:hint="eastAsia" w:ascii="宋体" w:hAnsi="宋体"/>
          <w:sz w:val="24"/>
        </w:rPr>
      </w:pPr>
      <w:r>
        <w:rPr>
          <w:rFonts w:hint="eastAsia" w:ascii="宋体" w:hAnsi="宋体"/>
          <w:sz w:val="24"/>
        </w:rPr>
        <w:t>6.15磋商小组成员有如下行为之一的，责令改正，给予警告，可以并处一千元以下的罚款：</w:t>
      </w:r>
    </w:p>
    <w:p w14:paraId="2772C203">
      <w:pPr>
        <w:spacing w:line="360" w:lineRule="auto"/>
        <w:ind w:firstLine="480" w:firstLineChars="200"/>
        <w:rPr>
          <w:rFonts w:hint="eastAsia" w:ascii="宋体" w:hAnsi="宋体"/>
          <w:sz w:val="24"/>
        </w:rPr>
      </w:pPr>
      <w:r>
        <w:rPr>
          <w:rFonts w:hint="eastAsia" w:ascii="宋体" w:hAnsi="宋体"/>
          <w:sz w:val="24"/>
        </w:rPr>
        <w:t>6.15.1明知应当回避而未主动回避的;</w:t>
      </w:r>
    </w:p>
    <w:p w14:paraId="7889C20E">
      <w:pPr>
        <w:spacing w:line="360" w:lineRule="auto"/>
        <w:ind w:firstLine="480" w:firstLineChars="200"/>
        <w:rPr>
          <w:rFonts w:hint="eastAsia" w:ascii="宋体" w:hAnsi="宋体"/>
          <w:sz w:val="24"/>
        </w:rPr>
      </w:pPr>
      <w:r>
        <w:rPr>
          <w:rFonts w:hint="eastAsia" w:ascii="宋体" w:hAnsi="宋体"/>
          <w:sz w:val="24"/>
        </w:rPr>
        <w:t>6.15.2在知道自己为磋商小组成员身份后至评审结束前的时段内私下接触供应商的;</w:t>
      </w:r>
    </w:p>
    <w:p w14:paraId="57E6928A">
      <w:pPr>
        <w:spacing w:line="360" w:lineRule="auto"/>
        <w:ind w:firstLine="480" w:firstLineChars="200"/>
        <w:rPr>
          <w:rFonts w:hint="eastAsia" w:ascii="宋体" w:hAnsi="宋体"/>
          <w:sz w:val="24"/>
        </w:rPr>
      </w:pPr>
      <w:r>
        <w:rPr>
          <w:rFonts w:hint="eastAsia" w:ascii="宋体" w:hAnsi="宋体"/>
          <w:sz w:val="24"/>
        </w:rPr>
        <w:t>6.15.3在评审过程中擅离职守，影响评审程序正常进行的;</w:t>
      </w:r>
    </w:p>
    <w:p w14:paraId="439090EC">
      <w:pPr>
        <w:spacing w:line="360" w:lineRule="auto"/>
        <w:ind w:firstLine="480" w:firstLineChars="200"/>
        <w:rPr>
          <w:rFonts w:hint="eastAsia" w:ascii="宋体" w:hAnsi="宋体"/>
          <w:sz w:val="24"/>
        </w:rPr>
      </w:pPr>
      <w:r>
        <w:rPr>
          <w:rFonts w:hint="eastAsia" w:ascii="宋体" w:hAnsi="宋体"/>
          <w:sz w:val="24"/>
        </w:rPr>
        <w:t>6.15.4在评审过程有明显不合理或者不正当倾向性的;</w:t>
      </w:r>
    </w:p>
    <w:p w14:paraId="1C1490F1">
      <w:pPr>
        <w:spacing w:line="360" w:lineRule="auto"/>
        <w:ind w:firstLine="480" w:firstLineChars="200"/>
        <w:rPr>
          <w:rFonts w:hint="eastAsia" w:ascii="宋体" w:hAnsi="宋体"/>
          <w:sz w:val="24"/>
        </w:rPr>
      </w:pPr>
      <w:r>
        <w:rPr>
          <w:rFonts w:hint="eastAsia" w:ascii="宋体" w:hAnsi="宋体"/>
          <w:sz w:val="24"/>
        </w:rPr>
        <w:t>6.15.5未按磋商文件规定的评审方法和标准进行评审的。</w:t>
      </w:r>
    </w:p>
    <w:p w14:paraId="5C0933E8">
      <w:pPr>
        <w:spacing w:line="360" w:lineRule="auto"/>
        <w:ind w:firstLine="480" w:firstLineChars="200"/>
        <w:rPr>
          <w:rFonts w:hint="eastAsia" w:ascii="宋体" w:hAnsi="宋体"/>
          <w:sz w:val="24"/>
        </w:rPr>
      </w:pPr>
      <w:r>
        <w:rPr>
          <w:rFonts w:hint="eastAsia" w:ascii="宋体" w:hAnsi="宋体"/>
          <w:sz w:val="24"/>
        </w:rPr>
        <w:t>6.15.6上述6.15.1至6.15.5行为影响成交结果的，成交结果无效。</w:t>
      </w:r>
    </w:p>
    <w:p w14:paraId="68193A9F">
      <w:pPr>
        <w:spacing w:line="360" w:lineRule="auto"/>
        <w:ind w:firstLine="480" w:firstLineChars="200"/>
        <w:rPr>
          <w:rFonts w:hint="eastAsia" w:ascii="宋体" w:hAnsi="宋体"/>
          <w:sz w:val="24"/>
        </w:rPr>
      </w:pPr>
      <w:r>
        <w:rPr>
          <w:rFonts w:hint="eastAsia" w:ascii="宋体" w:hAnsi="宋体"/>
          <w:sz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2AEAE2D2">
      <w:pPr>
        <w:spacing w:line="360" w:lineRule="auto"/>
        <w:ind w:firstLine="480" w:firstLineChars="200"/>
        <w:rPr>
          <w:rFonts w:hint="eastAsia" w:ascii="宋体" w:hAnsi="宋体"/>
          <w:sz w:val="24"/>
        </w:rPr>
      </w:pPr>
      <w:r>
        <w:rPr>
          <w:rFonts w:hint="eastAsia" w:ascii="宋体" w:hAnsi="宋体"/>
          <w:sz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100C4BD6">
      <w:pPr>
        <w:spacing w:line="360" w:lineRule="auto"/>
        <w:ind w:firstLine="480" w:firstLineChars="200"/>
        <w:rPr>
          <w:rFonts w:hint="eastAsia" w:ascii="宋体" w:hAnsi="宋体"/>
          <w:sz w:val="24"/>
        </w:rPr>
      </w:pPr>
      <w:r>
        <w:rPr>
          <w:rFonts w:hint="eastAsia" w:ascii="宋体" w:hAnsi="宋体"/>
          <w:sz w:val="24"/>
        </w:rPr>
        <w:t>政府采购磋商小组成员与供应商存在利害关系未回避的，处2万元以上5万元以下的罚款，禁止其参加政府采购评审活动。</w:t>
      </w:r>
    </w:p>
    <w:p w14:paraId="42C61766">
      <w:pPr>
        <w:spacing w:line="360" w:lineRule="auto"/>
        <w:ind w:firstLine="480" w:firstLineChars="200"/>
        <w:rPr>
          <w:rFonts w:hint="eastAsia" w:ascii="宋体" w:hAnsi="宋体"/>
          <w:sz w:val="24"/>
        </w:rPr>
      </w:pPr>
      <w:r>
        <w:rPr>
          <w:rFonts w:hint="eastAsia" w:ascii="宋体" w:hAnsi="宋体"/>
          <w:sz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447C88E9">
      <w:pPr>
        <w:spacing w:line="360" w:lineRule="auto"/>
        <w:ind w:firstLine="480" w:firstLineChars="200"/>
        <w:rPr>
          <w:rFonts w:hint="eastAsia" w:ascii="宋体" w:hAnsi="宋体"/>
        </w:rPr>
      </w:pPr>
      <w:r>
        <w:rPr>
          <w:rFonts w:hint="eastAsia" w:ascii="宋体" w:hAnsi="宋体"/>
          <w:sz w:val="24"/>
        </w:rPr>
        <w:t>政府采购磋商小组成员有上述违法行为的，其评审意见无效，不得获取评审费；有违法所得的，没收违法所得；给他人造成损失的，依法承担民事责任。</w:t>
      </w:r>
    </w:p>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4F4">
    <w:pPr>
      <w:pStyle w:val="21"/>
    </w:pPr>
    <w:r>
      <w:rPr>
        <w:rFonts w:hint="eastAsia"/>
      </w:rPr>
      <w:t>卓正招标咨询（丽水）有限公司               电话：（0578）2062916          传真：（0578）2062917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E9B7">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3CAD">
    <w:pPr>
      <w:jc w:val="center"/>
      <w:rPr>
        <w:kern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4DBD">
    <w:pPr>
      <w:pStyle w:val="21"/>
      <w:ind w:firstLine="105"/>
      <w:rPr>
        <w:sz w:val="21"/>
        <w:szCs w:val="20"/>
      </w:rPr>
    </w:pPr>
    <w:r>
      <w:rPr>
        <w:rFonts w:hint="eastAsia"/>
        <w:sz w:val="21"/>
        <w:szCs w:val="20"/>
      </w:rPr>
      <w:t>卓正招标咨询（丽水）有限公司       电话：（0578）206291</w:t>
    </w:r>
    <w:r>
      <w:rPr>
        <w:rFonts w:hint="eastAsia"/>
        <w:sz w:val="21"/>
        <w:szCs w:val="20"/>
        <w:lang w:val="en-US" w:eastAsia="zh-CN"/>
      </w:rPr>
      <w:t>6</w:t>
    </w:r>
    <w:r>
      <w:rPr>
        <w:rFonts w:hint="eastAsia"/>
        <w:sz w:val="21"/>
        <w:szCs w:val="20"/>
      </w:rPr>
      <w:t xml:space="preserve">      传真：（0578）2062917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FC27">
    <w:pPr>
      <w:pStyle w:val="23"/>
      <w:pBdr>
        <w:bottom w:val="none" w:color="auto" w:sz="0" w:space="1"/>
      </w:pBdr>
      <w:jc w:val="left"/>
    </w:pPr>
    <w:r>
      <w:rPr>
        <w:rFonts w:hint="eastAsia"/>
        <w:szCs w:val="18"/>
        <w:u w:val="single"/>
      </w:rPr>
      <w:t xml:space="preserve">莲都区太平乡地质灾害风险调查评价项目（电子交易）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68A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BF14">
    <w:pPr>
      <w:jc w:val="cente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C8ED">
    <w:pPr>
      <w:pStyle w:val="23"/>
      <w:pBdr>
        <w:bottom w:val="single" w:color="auto" w:sz="4"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AA3E2">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AA3E2">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eastAsia="zh-CN"/>
      </w:rPr>
      <w:t>2025年省青少年学生阳光体育运动会航海模型、建筑模型竞赛项目</w:t>
    </w:r>
    <w:r>
      <w:rPr>
        <w:rFonts w:hint="eastAsia"/>
      </w:rPr>
      <w:t>（电子交易）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CABD"/>
    <w:multiLevelType w:val="singleLevel"/>
    <w:tmpl w:val="A14ECABD"/>
    <w:lvl w:ilvl="0" w:tentative="0">
      <w:start w:val="7"/>
      <w:numFmt w:val="chineseCounting"/>
      <w:suff w:val="nothing"/>
      <w:lvlText w:val="%1、"/>
      <w:lvlJc w:val="left"/>
      <w:rPr>
        <w:rFonts w:hint="eastAsia"/>
      </w:rPr>
    </w:lvl>
  </w:abstractNum>
  <w:abstractNum w:abstractNumId="1">
    <w:nsid w:val="DE395392"/>
    <w:multiLevelType w:val="singleLevel"/>
    <w:tmpl w:val="DE395392"/>
    <w:lvl w:ilvl="0" w:tentative="0">
      <w:start w:val="4"/>
      <w:numFmt w:val="decimal"/>
      <w:suff w:val="nothing"/>
      <w:lvlText w:val="%1、"/>
      <w:lvlJc w:val="left"/>
    </w:lvl>
  </w:abstractNum>
  <w:abstractNum w:abstractNumId="2">
    <w:nsid w:val="E105978C"/>
    <w:multiLevelType w:val="singleLevel"/>
    <w:tmpl w:val="E105978C"/>
    <w:lvl w:ilvl="0" w:tentative="0">
      <w:start w:val="1"/>
      <w:numFmt w:val="decimal"/>
      <w:lvlText w:val="%1."/>
      <w:lvlJc w:val="left"/>
      <w:pPr>
        <w:tabs>
          <w:tab w:val="left" w:pos="312"/>
        </w:tabs>
      </w:pPr>
    </w:lvl>
  </w:abstractNum>
  <w:abstractNum w:abstractNumId="3">
    <w:nsid w:val="011D1C0F"/>
    <w:multiLevelType w:val="singleLevel"/>
    <w:tmpl w:val="011D1C0F"/>
    <w:lvl w:ilvl="0" w:tentative="0">
      <w:start w:val="2"/>
      <w:numFmt w:val="decimal"/>
      <w:suff w:val="space"/>
      <w:lvlText w:val="%1."/>
      <w:lvlJc w:val="left"/>
    </w:lvl>
  </w:abstractNum>
  <w:abstractNum w:abstractNumId="4">
    <w:nsid w:val="7268E491"/>
    <w:multiLevelType w:val="singleLevel"/>
    <w:tmpl w:val="7268E491"/>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ZjMTBkOWFmNDUxMTc0Y2ZmNTgyOGI0YjI4MTUifQ=="/>
  </w:docVars>
  <w:rsids>
    <w:rsidRoot w:val="00172A27"/>
    <w:rsid w:val="000006A0"/>
    <w:rsid w:val="00000960"/>
    <w:rsid w:val="00000ABA"/>
    <w:rsid w:val="00001180"/>
    <w:rsid w:val="00001B3E"/>
    <w:rsid w:val="00002807"/>
    <w:rsid w:val="00003025"/>
    <w:rsid w:val="00003CF2"/>
    <w:rsid w:val="00003D32"/>
    <w:rsid w:val="00004D5A"/>
    <w:rsid w:val="000055D9"/>
    <w:rsid w:val="00005AAE"/>
    <w:rsid w:val="000066A8"/>
    <w:rsid w:val="00006D41"/>
    <w:rsid w:val="00007E1E"/>
    <w:rsid w:val="00007E29"/>
    <w:rsid w:val="00010AD9"/>
    <w:rsid w:val="00011BB6"/>
    <w:rsid w:val="0001207A"/>
    <w:rsid w:val="00013693"/>
    <w:rsid w:val="0001457F"/>
    <w:rsid w:val="0001495C"/>
    <w:rsid w:val="0001549A"/>
    <w:rsid w:val="00015556"/>
    <w:rsid w:val="000157BC"/>
    <w:rsid w:val="0001631C"/>
    <w:rsid w:val="0001640D"/>
    <w:rsid w:val="00021DF6"/>
    <w:rsid w:val="00022415"/>
    <w:rsid w:val="000261B1"/>
    <w:rsid w:val="00026F2D"/>
    <w:rsid w:val="00027561"/>
    <w:rsid w:val="000304BB"/>
    <w:rsid w:val="000305B0"/>
    <w:rsid w:val="00030919"/>
    <w:rsid w:val="000329E0"/>
    <w:rsid w:val="00034DDF"/>
    <w:rsid w:val="00035E4F"/>
    <w:rsid w:val="0003611B"/>
    <w:rsid w:val="000365EA"/>
    <w:rsid w:val="00036B64"/>
    <w:rsid w:val="000424C3"/>
    <w:rsid w:val="00044AD6"/>
    <w:rsid w:val="000468B6"/>
    <w:rsid w:val="00046D0B"/>
    <w:rsid w:val="0005016F"/>
    <w:rsid w:val="0005019D"/>
    <w:rsid w:val="000504B5"/>
    <w:rsid w:val="000517F2"/>
    <w:rsid w:val="00051D38"/>
    <w:rsid w:val="00052788"/>
    <w:rsid w:val="000544BA"/>
    <w:rsid w:val="00055E25"/>
    <w:rsid w:val="00055FD6"/>
    <w:rsid w:val="00056B93"/>
    <w:rsid w:val="00057E7C"/>
    <w:rsid w:val="00060C3A"/>
    <w:rsid w:val="00060C51"/>
    <w:rsid w:val="00063B9D"/>
    <w:rsid w:val="00064D60"/>
    <w:rsid w:val="00065037"/>
    <w:rsid w:val="00066E6E"/>
    <w:rsid w:val="00067470"/>
    <w:rsid w:val="000678B1"/>
    <w:rsid w:val="00071625"/>
    <w:rsid w:val="0007236E"/>
    <w:rsid w:val="00072701"/>
    <w:rsid w:val="00072CD3"/>
    <w:rsid w:val="00074C0E"/>
    <w:rsid w:val="00074D47"/>
    <w:rsid w:val="00074F50"/>
    <w:rsid w:val="00075F89"/>
    <w:rsid w:val="000766EF"/>
    <w:rsid w:val="0008028A"/>
    <w:rsid w:val="000814D1"/>
    <w:rsid w:val="00082925"/>
    <w:rsid w:val="00083959"/>
    <w:rsid w:val="00083968"/>
    <w:rsid w:val="00084717"/>
    <w:rsid w:val="00084D38"/>
    <w:rsid w:val="00085C53"/>
    <w:rsid w:val="0008661A"/>
    <w:rsid w:val="0008730F"/>
    <w:rsid w:val="00087577"/>
    <w:rsid w:val="00087E3C"/>
    <w:rsid w:val="00087F67"/>
    <w:rsid w:val="0009059E"/>
    <w:rsid w:val="00091090"/>
    <w:rsid w:val="0009149C"/>
    <w:rsid w:val="000919C3"/>
    <w:rsid w:val="00091C5D"/>
    <w:rsid w:val="000949E7"/>
    <w:rsid w:val="000955A1"/>
    <w:rsid w:val="00095843"/>
    <w:rsid w:val="000959D8"/>
    <w:rsid w:val="00097B13"/>
    <w:rsid w:val="000A02FA"/>
    <w:rsid w:val="000A0706"/>
    <w:rsid w:val="000A2096"/>
    <w:rsid w:val="000A23EF"/>
    <w:rsid w:val="000A245A"/>
    <w:rsid w:val="000A2748"/>
    <w:rsid w:val="000A2976"/>
    <w:rsid w:val="000A2BCD"/>
    <w:rsid w:val="000A2D1B"/>
    <w:rsid w:val="000A321C"/>
    <w:rsid w:val="000A32FE"/>
    <w:rsid w:val="000A35BE"/>
    <w:rsid w:val="000A3F6F"/>
    <w:rsid w:val="000A46EE"/>
    <w:rsid w:val="000A4BD5"/>
    <w:rsid w:val="000A4C69"/>
    <w:rsid w:val="000A4C8C"/>
    <w:rsid w:val="000A4CC6"/>
    <w:rsid w:val="000A500B"/>
    <w:rsid w:val="000A53D7"/>
    <w:rsid w:val="000A5B10"/>
    <w:rsid w:val="000A5E37"/>
    <w:rsid w:val="000A6993"/>
    <w:rsid w:val="000A69FE"/>
    <w:rsid w:val="000A73CE"/>
    <w:rsid w:val="000A7528"/>
    <w:rsid w:val="000A77CC"/>
    <w:rsid w:val="000A77F6"/>
    <w:rsid w:val="000B1AA4"/>
    <w:rsid w:val="000B30AF"/>
    <w:rsid w:val="000B4E8E"/>
    <w:rsid w:val="000B5525"/>
    <w:rsid w:val="000B5888"/>
    <w:rsid w:val="000B6FFC"/>
    <w:rsid w:val="000C03D9"/>
    <w:rsid w:val="000C1EB4"/>
    <w:rsid w:val="000C28DA"/>
    <w:rsid w:val="000C319C"/>
    <w:rsid w:val="000C3D80"/>
    <w:rsid w:val="000C4495"/>
    <w:rsid w:val="000C61C8"/>
    <w:rsid w:val="000D0795"/>
    <w:rsid w:val="000D1DE6"/>
    <w:rsid w:val="000D20CD"/>
    <w:rsid w:val="000D2D8A"/>
    <w:rsid w:val="000D4970"/>
    <w:rsid w:val="000D5D78"/>
    <w:rsid w:val="000D7506"/>
    <w:rsid w:val="000D7564"/>
    <w:rsid w:val="000E01BE"/>
    <w:rsid w:val="000E0D34"/>
    <w:rsid w:val="000E0EC4"/>
    <w:rsid w:val="000E14A8"/>
    <w:rsid w:val="000E251E"/>
    <w:rsid w:val="000E2961"/>
    <w:rsid w:val="000E3AD0"/>
    <w:rsid w:val="000E4A82"/>
    <w:rsid w:val="000E5BE7"/>
    <w:rsid w:val="000E6B68"/>
    <w:rsid w:val="000E6C4B"/>
    <w:rsid w:val="000E7A76"/>
    <w:rsid w:val="000F1267"/>
    <w:rsid w:val="000F1464"/>
    <w:rsid w:val="000F2773"/>
    <w:rsid w:val="000F2850"/>
    <w:rsid w:val="000F30C7"/>
    <w:rsid w:val="000F3433"/>
    <w:rsid w:val="000F390B"/>
    <w:rsid w:val="000F39E5"/>
    <w:rsid w:val="000F3A7E"/>
    <w:rsid w:val="000F3C6A"/>
    <w:rsid w:val="000F534A"/>
    <w:rsid w:val="000F5657"/>
    <w:rsid w:val="000F6969"/>
    <w:rsid w:val="000F6CDB"/>
    <w:rsid w:val="000F7D4F"/>
    <w:rsid w:val="0010022F"/>
    <w:rsid w:val="00100504"/>
    <w:rsid w:val="001039F7"/>
    <w:rsid w:val="00103CA4"/>
    <w:rsid w:val="00104180"/>
    <w:rsid w:val="00104CA8"/>
    <w:rsid w:val="00105741"/>
    <w:rsid w:val="00105CE9"/>
    <w:rsid w:val="00106817"/>
    <w:rsid w:val="00106B51"/>
    <w:rsid w:val="00106BAE"/>
    <w:rsid w:val="00107A6F"/>
    <w:rsid w:val="001107EB"/>
    <w:rsid w:val="00110B8B"/>
    <w:rsid w:val="001110AF"/>
    <w:rsid w:val="001110CA"/>
    <w:rsid w:val="0011114A"/>
    <w:rsid w:val="00111157"/>
    <w:rsid w:val="00112848"/>
    <w:rsid w:val="001145BA"/>
    <w:rsid w:val="00114846"/>
    <w:rsid w:val="00114F8A"/>
    <w:rsid w:val="0011547E"/>
    <w:rsid w:val="0011799A"/>
    <w:rsid w:val="00117C17"/>
    <w:rsid w:val="00120B40"/>
    <w:rsid w:val="001214A7"/>
    <w:rsid w:val="00121930"/>
    <w:rsid w:val="0012257D"/>
    <w:rsid w:val="0012297F"/>
    <w:rsid w:val="00122DE7"/>
    <w:rsid w:val="00123143"/>
    <w:rsid w:val="001244EF"/>
    <w:rsid w:val="0012460C"/>
    <w:rsid w:val="001249CF"/>
    <w:rsid w:val="00125168"/>
    <w:rsid w:val="001255C7"/>
    <w:rsid w:val="00125E4E"/>
    <w:rsid w:val="00125EC5"/>
    <w:rsid w:val="0012644E"/>
    <w:rsid w:val="00127CBE"/>
    <w:rsid w:val="00127FDF"/>
    <w:rsid w:val="00130B69"/>
    <w:rsid w:val="00130E31"/>
    <w:rsid w:val="00131177"/>
    <w:rsid w:val="00131923"/>
    <w:rsid w:val="00132156"/>
    <w:rsid w:val="00132186"/>
    <w:rsid w:val="0013243C"/>
    <w:rsid w:val="001327C8"/>
    <w:rsid w:val="00133720"/>
    <w:rsid w:val="001345DC"/>
    <w:rsid w:val="0013471D"/>
    <w:rsid w:val="00134B56"/>
    <w:rsid w:val="00134D95"/>
    <w:rsid w:val="0013531F"/>
    <w:rsid w:val="00135C2F"/>
    <w:rsid w:val="00136638"/>
    <w:rsid w:val="00136C08"/>
    <w:rsid w:val="00136E98"/>
    <w:rsid w:val="001375BA"/>
    <w:rsid w:val="001375CE"/>
    <w:rsid w:val="001409EE"/>
    <w:rsid w:val="00140E47"/>
    <w:rsid w:val="00140EB1"/>
    <w:rsid w:val="00141371"/>
    <w:rsid w:val="00141838"/>
    <w:rsid w:val="00142734"/>
    <w:rsid w:val="00142A08"/>
    <w:rsid w:val="00142EF9"/>
    <w:rsid w:val="00143005"/>
    <w:rsid w:val="001431D1"/>
    <w:rsid w:val="00143495"/>
    <w:rsid w:val="00144798"/>
    <w:rsid w:val="0014627F"/>
    <w:rsid w:val="0014666D"/>
    <w:rsid w:val="001469EC"/>
    <w:rsid w:val="001472B0"/>
    <w:rsid w:val="00147848"/>
    <w:rsid w:val="00152C23"/>
    <w:rsid w:val="00152D63"/>
    <w:rsid w:val="00153169"/>
    <w:rsid w:val="0015434A"/>
    <w:rsid w:val="001544FE"/>
    <w:rsid w:val="00154AA7"/>
    <w:rsid w:val="00154DC8"/>
    <w:rsid w:val="0015585D"/>
    <w:rsid w:val="00156374"/>
    <w:rsid w:val="0015662A"/>
    <w:rsid w:val="0015745D"/>
    <w:rsid w:val="001609B4"/>
    <w:rsid w:val="00162CEC"/>
    <w:rsid w:val="0016392E"/>
    <w:rsid w:val="00163C0A"/>
    <w:rsid w:val="00163E59"/>
    <w:rsid w:val="00164A6C"/>
    <w:rsid w:val="00165A80"/>
    <w:rsid w:val="00165D1C"/>
    <w:rsid w:val="001663DC"/>
    <w:rsid w:val="00166AF8"/>
    <w:rsid w:val="001679D5"/>
    <w:rsid w:val="00171B4F"/>
    <w:rsid w:val="0017273C"/>
    <w:rsid w:val="00172A27"/>
    <w:rsid w:val="00173884"/>
    <w:rsid w:val="00173D2D"/>
    <w:rsid w:val="00174C30"/>
    <w:rsid w:val="00174EAB"/>
    <w:rsid w:val="00175C99"/>
    <w:rsid w:val="001770BA"/>
    <w:rsid w:val="00181D08"/>
    <w:rsid w:val="001823F4"/>
    <w:rsid w:val="00183262"/>
    <w:rsid w:val="001833FB"/>
    <w:rsid w:val="00183BCE"/>
    <w:rsid w:val="00184167"/>
    <w:rsid w:val="00184318"/>
    <w:rsid w:val="0018459E"/>
    <w:rsid w:val="00185225"/>
    <w:rsid w:val="0018538A"/>
    <w:rsid w:val="00186056"/>
    <w:rsid w:val="0018652E"/>
    <w:rsid w:val="00186C07"/>
    <w:rsid w:val="00186D4C"/>
    <w:rsid w:val="001872C7"/>
    <w:rsid w:val="0019068C"/>
    <w:rsid w:val="00191430"/>
    <w:rsid w:val="00193DE0"/>
    <w:rsid w:val="00194214"/>
    <w:rsid w:val="00194ED9"/>
    <w:rsid w:val="00195182"/>
    <w:rsid w:val="00195AD4"/>
    <w:rsid w:val="00196122"/>
    <w:rsid w:val="001964FF"/>
    <w:rsid w:val="0019677C"/>
    <w:rsid w:val="00196EE8"/>
    <w:rsid w:val="0019740B"/>
    <w:rsid w:val="0019754F"/>
    <w:rsid w:val="00197650"/>
    <w:rsid w:val="0019765B"/>
    <w:rsid w:val="00197B8A"/>
    <w:rsid w:val="001A3417"/>
    <w:rsid w:val="001A3AD1"/>
    <w:rsid w:val="001A3D39"/>
    <w:rsid w:val="001A3FB9"/>
    <w:rsid w:val="001A5BAC"/>
    <w:rsid w:val="001A5DA7"/>
    <w:rsid w:val="001A735D"/>
    <w:rsid w:val="001B0073"/>
    <w:rsid w:val="001B2946"/>
    <w:rsid w:val="001B3638"/>
    <w:rsid w:val="001B4306"/>
    <w:rsid w:val="001B4D23"/>
    <w:rsid w:val="001B56F0"/>
    <w:rsid w:val="001B5BE9"/>
    <w:rsid w:val="001B60B5"/>
    <w:rsid w:val="001C0B29"/>
    <w:rsid w:val="001C1FD9"/>
    <w:rsid w:val="001C43BA"/>
    <w:rsid w:val="001C4856"/>
    <w:rsid w:val="001C4A0E"/>
    <w:rsid w:val="001C4DED"/>
    <w:rsid w:val="001C50A0"/>
    <w:rsid w:val="001C5523"/>
    <w:rsid w:val="001C6A10"/>
    <w:rsid w:val="001D1104"/>
    <w:rsid w:val="001D1D98"/>
    <w:rsid w:val="001D1FD4"/>
    <w:rsid w:val="001D3FF8"/>
    <w:rsid w:val="001D51F1"/>
    <w:rsid w:val="001D659F"/>
    <w:rsid w:val="001D7912"/>
    <w:rsid w:val="001E03EB"/>
    <w:rsid w:val="001E24EA"/>
    <w:rsid w:val="001E2B0F"/>
    <w:rsid w:val="001E4ECC"/>
    <w:rsid w:val="001E5417"/>
    <w:rsid w:val="001E552C"/>
    <w:rsid w:val="001E5546"/>
    <w:rsid w:val="001E57FF"/>
    <w:rsid w:val="001E58B8"/>
    <w:rsid w:val="001E61D6"/>
    <w:rsid w:val="001E6CF8"/>
    <w:rsid w:val="001E6D98"/>
    <w:rsid w:val="001F0225"/>
    <w:rsid w:val="001F0A8A"/>
    <w:rsid w:val="001F0E54"/>
    <w:rsid w:val="001F1B00"/>
    <w:rsid w:val="001F1BD5"/>
    <w:rsid w:val="001F1D89"/>
    <w:rsid w:val="001F2250"/>
    <w:rsid w:val="001F2A5A"/>
    <w:rsid w:val="001F42E6"/>
    <w:rsid w:val="001F46EF"/>
    <w:rsid w:val="001F4876"/>
    <w:rsid w:val="001F4DAB"/>
    <w:rsid w:val="001F6175"/>
    <w:rsid w:val="001F66EB"/>
    <w:rsid w:val="001F7678"/>
    <w:rsid w:val="001F7B4B"/>
    <w:rsid w:val="001F7C96"/>
    <w:rsid w:val="00200293"/>
    <w:rsid w:val="002005FA"/>
    <w:rsid w:val="00200915"/>
    <w:rsid w:val="00200E1F"/>
    <w:rsid w:val="00201323"/>
    <w:rsid w:val="0020184D"/>
    <w:rsid w:val="0020277F"/>
    <w:rsid w:val="0020286C"/>
    <w:rsid w:val="00202A58"/>
    <w:rsid w:val="0020350B"/>
    <w:rsid w:val="00205302"/>
    <w:rsid w:val="00205AB1"/>
    <w:rsid w:val="00206455"/>
    <w:rsid w:val="0020729F"/>
    <w:rsid w:val="00207648"/>
    <w:rsid w:val="002077B2"/>
    <w:rsid w:val="00210C43"/>
    <w:rsid w:val="002115F5"/>
    <w:rsid w:val="00212604"/>
    <w:rsid w:val="00213C56"/>
    <w:rsid w:val="00213CD3"/>
    <w:rsid w:val="002142DB"/>
    <w:rsid w:val="002151DF"/>
    <w:rsid w:val="002157B7"/>
    <w:rsid w:val="00215832"/>
    <w:rsid w:val="00216222"/>
    <w:rsid w:val="0021636B"/>
    <w:rsid w:val="0021687E"/>
    <w:rsid w:val="00216BCD"/>
    <w:rsid w:val="0021758A"/>
    <w:rsid w:val="00217AE6"/>
    <w:rsid w:val="00220101"/>
    <w:rsid w:val="00220C14"/>
    <w:rsid w:val="00220E57"/>
    <w:rsid w:val="00221209"/>
    <w:rsid w:val="00221F89"/>
    <w:rsid w:val="00223470"/>
    <w:rsid w:val="00223E50"/>
    <w:rsid w:val="0022404D"/>
    <w:rsid w:val="00224E33"/>
    <w:rsid w:val="00225024"/>
    <w:rsid w:val="002250B9"/>
    <w:rsid w:val="00225B1A"/>
    <w:rsid w:val="00226076"/>
    <w:rsid w:val="00226B5E"/>
    <w:rsid w:val="00226C80"/>
    <w:rsid w:val="00226E42"/>
    <w:rsid w:val="00227044"/>
    <w:rsid w:val="002279F7"/>
    <w:rsid w:val="00230A57"/>
    <w:rsid w:val="00232DB8"/>
    <w:rsid w:val="00233553"/>
    <w:rsid w:val="002337E9"/>
    <w:rsid w:val="00234775"/>
    <w:rsid w:val="00235BFC"/>
    <w:rsid w:val="00236AF0"/>
    <w:rsid w:val="0023702D"/>
    <w:rsid w:val="00237460"/>
    <w:rsid w:val="00240153"/>
    <w:rsid w:val="00241C5F"/>
    <w:rsid w:val="0024394F"/>
    <w:rsid w:val="0024560C"/>
    <w:rsid w:val="00246956"/>
    <w:rsid w:val="00247DC5"/>
    <w:rsid w:val="00247E1B"/>
    <w:rsid w:val="00247E6E"/>
    <w:rsid w:val="00250246"/>
    <w:rsid w:val="0025146E"/>
    <w:rsid w:val="00252D9F"/>
    <w:rsid w:val="00254B8C"/>
    <w:rsid w:val="00255181"/>
    <w:rsid w:val="00255868"/>
    <w:rsid w:val="0025592C"/>
    <w:rsid w:val="00255AEA"/>
    <w:rsid w:val="0025644A"/>
    <w:rsid w:val="00256CEB"/>
    <w:rsid w:val="0025766A"/>
    <w:rsid w:val="0025794E"/>
    <w:rsid w:val="00257A48"/>
    <w:rsid w:val="00257D2E"/>
    <w:rsid w:val="00257FA4"/>
    <w:rsid w:val="00260B9A"/>
    <w:rsid w:val="0026144F"/>
    <w:rsid w:val="0026149F"/>
    <w:rsid w:val="00261CC8"/>
    <w:rsid w:val="00261D53"/>
    <w:rsid w:val="002630C1"/>
    <w:rsid w:val="002633D4"/>
    <w:rsid w:val="00263ED9"/>
    <w:rsid w:val="0026422A"/>
    <w:rsid w:val="002646AC"/>
    <w:rsid w:val="00264CA9"/>
    <w:rsid w:val="002661AF"/>
    <w:rsid w:val="00266386"/>
    <w:rsid w:val="002663EB"/>
    <w:rsid w:val="00266FAA"/>
    <w:rsid w:val="002674C1"/>
    <w:rsid w:val="00267FB8"/>
    <w:rsid w:val="002710D5"/>
    <w:rsid w:val="002710E3"/>
    <w:rsid w:val="00271C2A"/>
    <w:rsid w:val="002728E5"/>
    <w:rsid w:val="002738B9"/>
    <w:rsid w:val="00273A02"/>
    <w:rsid w:val="00273B34"/>
    <w:rsid w:val="0027431F"/>
    <w:rsid w:val="002750A2"/>
    <w:rsid w:val="00275997"/>
    <w:rsid w:val="00276EE0"/>
    <w:rsid w:val="00277278"/>
    <w:rsid w:val="00277DB6"/>
    <w:rsid w:val="0028001F"/>
    <w:rsid w:val="002805C6"/>
    <w:rsid w:val="002811BA"/>
    <w:rsid w:val="0028130A"/>
    <w:rsid w:val="002814C5"/>
    <w:rsid w:val="00281D5A"/>
    <w:rsid w:val="002820E8"/>
    <w:rsid w:val="00282FEC"/>
    <w:rsid w:val="00285298"/>
    <w:rsid w:val="002853AC"/>
    <w:rsid w:val="002858A5"/>
    <w:rsid w:val="0028670C"/>
    <w:rsid w:val="0028675E"/>
    <w:rsid w:val="00286997"/>
    <w:rsid w:val="00287C5A"/>
    <w:rsid w:val="002901A9"/>
    <w:rsid w:val="0029057E"/>
    <w:rsid w:val="00291113"/>
    <w:rsid w:val="0029246E"/>
    <w:rsid w:val="00293A38"/>
    <w:rsid w:val="00293E55"/>
    <w:rsid w:val="002946FB"/>
    <w:rsid w:val="002949C8"/>
    <w:rsid w:val="00294B56"/>
    <w:rsid w:val="00294D39"/>
    <w:rsid w:val="00294EE4"/>
    <w:rsid w:val="00296373"/>
    <w:rsid w:val="00296D1E"/>
    <w:rsid w:val="00296FEA"/>
    <w:rsid w:val="002A012C"/>
    <w:rsid w:val="002A111D"/>
    <w:rsid w:val="002A3109"/>
    <w:rsid w:val="002A3A8B"/>
    <w:rsid w:val="002A4325"/>
    <w:rsid w:val="002A495F"/>
    <w:rsid w:val="002A4D0A"/>
    <w:rsid w:val="002A6659"/>
    <w:rsid w:val="002A67FC"/>
    <w:rsid w:val="002A6B9A"/>
    <w:rsid w:val="002A7012"/>
    <w:rsid w:val="002A7094"/>
    <w:rsid w:val="002A7599"/>
    <w:rsid w:val="002A774E"/>
    <w:rsid w:val="002B12B4"/>
    <w:rsid w:val="002B1FD6"/>
    <w:rsid w:val="002B2B37"/>
    <w:rsid w:val="002B4641"/>
    <w:rsid w:val="002B47A3"/>
    <w:rsid w:val="002B4CC4"/>
    <w:rsid w:val="002B53F6"/>
    <w:rsid w:val="002B5E67"/>
    <w:rsid w:val="002B6789"/>
    <w:rsid w:val="002C0454"/>
    <w:rsid w:val="002C1D77"/>
    <w:rsid w:val="002C2D57"/>
    <w:rsid w:val="002C38A3"/>
    <w:rsid w:val="002C3B51"/>
    <w:rsid w:val="002C3F99"/>
    <w:rsid w:val="002C46DF"/>
    <w:rsid w:val="002C508D"/>
    <w:rsid w:val="002C5325"/>
    <w:rsid w:val="002C6360"/>
    <w:rsid w:val="002C7999"/>
    <w:rsid w:val="002D08B6"/>
    <w:rsid w:val="002D1CCF"/>
    <w:rsid w:val="002D26C1"/>
    <w:rsid w:val="002D3548"/>
    <w:rsid w:val="002D495F"/>
    <w:rsid w:val="002D4DFF"/>
    <w:rsid w:val="002D4EE8"/>
    <w:rsid w:val="002D5118"/>
    <w:rsid w:val="002D5CB3"/>
    <w:rsid w:val="002D6898"/>
    <w:rsid w:val="002D690E"/>
    <w:rsid w:val="002D6AD4"/>
    <w:rsid w:val="002D77E3"/>
    <w:rsid w:val="002E126C"/>
    <w:rsid w:val="002E1988"/>
    <w:rsid w:val="002E306D"/>
    <w:rsid w:val="002E440E"/>
    <w:rsid w:val="002E6103"/>
    <w:rsid w:val="002E630A"/>
    <w:rsid w:val="002E688D"/>
    <w:rsid w:val="002E70CC"/>
    <w:rsid w:val="002E7428"/>
    <w:rsid w:val="002F17A5"/>
    <w:rsid w:val="002F1F04"/>
    <w:rsid w:val="002F272A"/>
    <w:rsid w:val="002F2BDE"/>
    <w:rsid w:val="002F3EC4"/>
    <w:rsid w:val="002F3F1B"/>
    <w:rsid w:val="002F6924"/>
    <w:rsid w:val="002F77DE"/>
    <w:rsid w:val="002F7F5F"/>
    <w:rsid w:val="00300419"/>
    <w:rsid w:val="00300CB0"/>
    <w:rsid w:val="00300CB5"/>
    <w:rsid w:val="00301266"/>
    <w:rsid w:val="003014CB"/>
    <w:rsid w:val="00301995"/>
    <w:rsid w:val="0030280F"/>
    <w:rsid w:val="00302F0F"/>
    <w:rsid w:val="0030304B"/>
    <w:rsid w:val="0030488B"/>
    <w:rsid w:val="00304D46"/>
    <w:rsid w:val="00304FE4"/>
    <w:rsid w:val="0030608A"/>
    <w:rsid w:val="00310201"/>
    <w:rsid w:val="00310308"/>
    <w:rsid w:val="003105A1"/>
    <w:rsid w:val="00310E7F"/>
    <w:rsid w:val="003118A5"/>
    <w:rsid w:val="00311B8F"/>
    <w:rsid w:val="00312392"/>
    <w:rsid w:val="00313665"/>
    <w:rsid w:val="00314EBC"/>
    <w:rsid w:val="00315E2E"/>
    <w:rsid w:val="00316284"/>
    <w:rsid w:val="00316B5B"/>
    <w:rsid w:val="00316D30"/>
    <w:rsid w:val="00317BD2"/>
    <w:rsid w:val="00317E19"/>
    <w:rsid w:val="00317E99"/>
    <w:rsid w:val="00320745"/>
    <w:rsid w:val="00320B91"/>
    <w:rsid w:val="00321246"/>
    <w:rsid w:val="0032139C"/>
    <w:rsid w:val="003215AB"/>
    <w:rsid w:val="00321C0E"/>
    <w:rsid w:val="00321CAB"/>
    <w:rsid w:val="003221FF"/>
    <w:rsid w:val="00322CC6"/>
    <w:rsid w:val="00322ED6"/>
    <w:rsid w:val="003231D0"/>
    <w:rsid w:val="00324438"/>
    <w:rsid w:val="00324624"/>
    <w:rsid w:val="00324735"/>
    <w:rsid w:val="0032479C"/>
    <w:rsid w:val="0032572D"/>
    <w:rsid w:val="00326405"/>
    <w:rsid w:val="003276DB"/>
    <w:rsid w:val="00327B28"/>
    <w:rsid w:val="0033028D"/>
    <w:rsid w:val="003307B4"/>
    <w:rsid w:val="0033096C"/>
    <w:rsid w:val="00330A52"/>
    <w:rsid w:val="003317E0"/>
    <w:rsid w:val="0033233F"/>
    <w:rsid w:val="003325A0"/>
    <w:rsid w:val="003330CB"/>
    <w:rsid w:val="003334CA"/>
    <w:rsid w:val="00334D24"/>
    <w:rsid w:val="00335900"/>
    <w:rsid w:val="00336755"/>
    <w:rsid w:val="0033695B"/>
    <w:rsid w:val="00336B96"/>
    <w:rsid w:val="003373AB"/>
    <w:rsid w:val="00337C8B"/>
    <w:rsid w:val="00337F19"/>
    <w:rsid w:val="00340174"/>
    <w:rsid w:val="00340B9E"/>
    <w:rsid w:val="00341296"/>
    <w:rsid w:val="00341397"/>
    <w:rsid w:val="0034179F"/>
    <w:rsid w:val="00341D52"/>
    <w:rsid w:val="0034228A"/>
    <w:rsid w:val="00342B24"/>
    <w:rsid w:val="00343DB7"/>
    <w:rsid w:val="003441D8"/>
    <w:rsid w:val="003449E7"/>
    <w:rsid w:val="0034694E"/>
    <w:rsid w:val="003479B7"/>
    <w:rsid w:val="00352650"/>
    <w:rsid w:val="0035272C"/>
    <w:rsid w:val="00353A9B"/>
    <w:rsid w:val="00355B37"/>
    <w:rsid w:val="00355FA4"/>
    <w:rsid w:val="00356C7B"/>
    <w:rsid w:val="00360D8C"/>
    <w:rsid w:val="00360DA7"/>
    <w:rsid w:val="00360EB3"/>
    <w:rsid w:val="00361429"/>
    <w:rsid w:val="003614B5"/>
    <w:rsid w:val="00361BE8"/>
    <w:rsid w:val="003620DD"/>
    <w:rsid w:val="003625B6"/>
    <w:rsid w:val="003625C8"/>
    <w:rsid w:val="00363BFC"/>
    <w:rsid w:val="00363CDB"/>
    <w:rsid w:val="00364463"/>
    <w:rsid w:val="0036480B"/>
    <w:rsid w:val="00365885"/>
    <w:rsid w:val="0036588F"/>
    <w:rsid w:val="003659D9"/>
    <w:rsid w:val="00365AE9"/>
    <w:rsid w:val="00366EEA"/>
    <w:rsid w:val="003671EB"/>
    <w:rsid w:val="003710BD"/>
    <w:rsid w:val="00371AD7"/>
    <w:rsid w:val="00372307"/>
    <w:rsid w:val="00372996"/>
    <w:rsid w:val="00372E44"/>
    <w:rsid w:val="00374591"/>
    <w:rsid w:val="00374F81"/>
    <w:rsid w:val="003773C9"/>
    <w:rsid w:val="003773E2"/>
    <w:rsid w:val="00377D07"/>
    <w:rsid w:val="00377D71"/>
    <w:rsid w:val="00380A6D"/>
    <w:rsid w:val="00380FAC"/>
    <w:rsid w:val="00381096"/>
    <w:rsid w:val="00381479"/>
    <w:rsid w:val="00381530"/>
    <w:rsid w:val="00382152"/>
    <w:rsid w:val="00382974"/>
    <w:rsid w:val="00383127"/>
    <w:rsid w:val="00383977"/>
    <w:rsid w:val="003848FA"/>
    <w:rsid w:val="00385BDE"/>
    <w:rsid w:val="003872E9"/>
    <w:rsid w:val="003904AC"/>
    <w:rsid w:val="00390504"/>
    <w:rsid w:val="003906C0"/>
    <w:rsid w:val="00390950"/>
    <w:rsid w:val="00391A22"/>
    <w:rsid w:val="003923F6"/>
    <w:rsid w:val="003930E6"/>
    <w:rsid w:val="00393BD5"/>
    <w:rsid w:val="00393ED9"/>
    <w:rsid w:val="0039404C"/>
    <w:rsid w:val="00394171"/>
    <w:rsid w:val="003942BB"/>
    <w:rsid w:val="00394474"/>
    <w:rsid w:val="00395CFD"/>
    <w:rsid w:val="00396A04"/>
    <w:rsid w:val="003A037C"/>
    <w:rsid w:val="003A134C"/>
    <w:rsid w:val="003A1A4B"/>
    <w:rsid w:val="003A2F56"/>
    <w:rsid w:val="003A3088"/>
    <w:rsid w:val="003A47B3"/>
    <w:rsid w:val="003A507E"/>
    <w:rsid w:val="003A51A9"/>
    <w:rsid w:val="003A57CB"/>
    <w:rsid w:val="003A5CF7"/>
    <w:rsid w:val="003A6166"/>
    <w:rsid w:val="003A6197"/>
    <w:rsid w:val="003A64E2"/>
    <w:rsid w:val="003A6B76"/>
    <w:rsid w:val="003A6B79"/>
    <w:rsid w:val="003A703B"/>
    <w:rsid w:val="003A76BB"/>
    <w:rsid w:val="003A7B82"/>
    <w:rsid w:val="003A7E42"/>
    <w:rsid w:val="003B19BB"/>
    <w:rsid w:val="003B3642"/>
    <w:rsid w:val="003B39CF"/>
    <w:rsid w:val="003B3CB9"/>
    <w:rsid w:val="003B43DF"/>
    <w:rsid w:val="003B463F"/>
    <w:rsid w:val="003B4BF3"/>
    <w:rsid w:val="003B57EC"/>
    <w:rsid w:val="003B7505"/>
    <w:rsid w:val="003B7622"/>
    <w:rsid w:val="003B7C24"/>
    <w:rsid w:val="003C044A"/>
    <w:rsid w:val="003C1D35"/>
    <w:rsid w:val="003C211F"/>
    <w:rsid w:val="003C25EF"/>
    <w:rsid w:val="003C2C18"/>
    <w:rsid w:val="003C2F57"/>
    <w:rsid w:val="003C34EF"/>
    <w:rsid w:val="003C637E"/>
    <w:rsid w:val="003C6414"/>
    <w:rsid w:val="003C6980"/>
    <w:rsid w:val="003C6EEF"/>
    <w:rsid w:val="003C72B6"/>
    <w:rsid w:val="003C72F9"/>
    <w:rsid w:val="003D1A7A"/>
    <w:rsid w:val="003D2559"/>
    <w:rsid w:val="003D2685"/>
    <w:rsid w:val="003D2E4D"/>
    <w:rsid w:val="003D4CB0"/>
    <w:rsid w:val="003D4F1D"/>
    <w:rsid w:val="003D54F2"/>
    <w:rsid w:val="003D681A"/>
    <w:rsid w:val="003E14BD"/>
    <w:rsid w:val="003E30A7"/>
    <w:rsid w:val="003E34B6"/>
    <w:rsid w:val="003E3808"/>
    <w:rsid w:val="003E4676"/>
    <w:rsid w:val="003E50F0"/>
    <w:rsid w:val="003E771A"/>
    <w:rsid w:val="003E781A"/>
    <w:rsid w:val="003F09FC"/>
    <w:rsid w:val="003F0C7F"/>
    <w:rsid w:val="003F2500"/>
    <w:rsid w:val="003F2894"/>
    <w:rsid w:val="003F2D4C"/>
    <w:rsid w:val="003F35ED"/>
    <w:rsid w:val="003F53A8"/>
    <w:rsid w:val="003F5A9A"/>
    <w:rsid w:val="003F5C0B"/>
    <w:rsid w:val="003F6103"/>
    <w:rsid w:val="003F6798"/>
    <w:rsid w:val="00400DEB"/>
    <w:rsid w:val="0040125D"/>
    <w:rsid w:val="004028CF"/>
    <w:rsid w:val="00403BBF"/>
    <w:rsid w:val="00404110"/>
    <w:rsid w:val="00404D6C"/>
    <w:rsid w:val="00407269"/>
    <w:rsid w:val="0040760B"/>
    <w:rsid w:val="00410EBC"/>
    <w:rsid w:val="00412D47"/>
    <w:rsid w:val="00413E80"/>
    <w:rsid w:val="00414AA8"/>
    <w:rsid w:val="00415970"/>
    <w:rsid w:val="00416F08"/>
    <w:rsid w:val="00417CEC"/>
    <w:rsid w:val="00417E84"/>
    <w:rsid w:val="0042088F"/>
    <w:rsid w:val="00421F44"/>
    <w:rsid w:val="004237F7"/>
    <w:rsid w:val="00424A58"/>
    <w:rsid w:val="00425345"/>
    <w:rsid w:val="00425636"/>
    <w:rsid w:val="0042667F"/>
    <w:rsid w:val="00427036"/>
    <w:rsid w:val="004271E4"/>
    <w:rsid w:val="00430464"/>
    <w:rsid w:val="00430CEC"/>
    <w:rsid w:val="004312C6"/>
    <w:rsid w:val="004315AF"/>
    <w:rsid w:val="00432CA4"/>
    <w:rsid w:val="00432F19"/>
    <w:rsid w:val="00435001"/>
    <w:rsid w:val="00435EDC"/>
    <w:rsid w:val="00440119"/>
    <w:rsid w:val="004407C7"/>
    <w:rsid w:val="004408DF"/>
    <w:rsid w:val="004419BB"/>
    <w:rsid w:val="00441CE9"/>
    <w:rsid w:val="00442CB0"/>
    <w:rsid w:val="00443410"/>
    <w:rsid w:val="004441AA"/>
    <w:rsid w:val="00444C30"/>
    <w:rsid w:val="00444D40"/>
    <w:rsid w:val="00446124"/>
    <w:rsid w:val="00447AB7"/>
    <w:rsid w:val="00450217"/>
    <w:rsid w:val="00450667"/>
    <w:rsid w:val="00450DB4"/>
    <w:rsid w:val="00451A9F"/>
    <w:rsid w:val="004521F7"/>
    <w:rsid w:val="00452599"/>
    <w:rsid w:val="00453A06"/>
    <w:rsid w:val="00453B85"/>
    <w:rsid w:val="004540D6"/>
    <w:rsid w:val="0045575E"/>
    <w:rsid w:val="004559AF"/>
    <w:rsid w:val="00455E70"/>
    <w:rsid w:val="00456513"/>
    <w:rsid w:val="00457E6A"/>
    <w:rsid w:val="0046211A"/>
    <w:rsid w:val="0046243D"/>
    <w:rsid w:val="00462928"/>
    <w:rsid w:val="004643A2"/>
    <w:rsid w:val="00464DD6"/>
    <w:rsid w:val="00465537"/>
    <w:rsid w:val="00466341"/>
    <w:rsid w:val="00467D57"/>
    <w:rsid w:val="0047029E"/>
    <w:rsid w:val="0047031F"/>
    <w:rsid w:val="004703AD"/>
    <w:rsid w:val="00470C08"/>
    <w:rsid w:val="004718A7"/>
    <w:rsid w:val="0047266C"/>
    <w:rsid w:val="0047278C"/>
    <w:rsid w:val="004739B0"/>
    <w:rsid w:val="00473B3B"/>
    <w:rsid w:val="00475073"/>
    <w:rsid w:val="00475148"/>
    <w:rsid w:val="004759C2"/>
    <w:rsid w:val="0047604E"/>
    <w:rsid w:val="004766E7"/>
    <w:rsid w:val="00476B71"/>
    <w:rsid w:val="00477318"/>
    <w:rsid w:val="004775D8"/>
    <w:rsid w:val="00481236"/>
    <w:rsid w:val="004817FD"/>
    <w:rsid w:val="00481B1D"/>
    <w:rsid w:val="00481BBD"/>
    <w:rsid w:val="0048243C"/>
    <w:rsid w:val="0048289D"/>
    <w:rsid w:val="00482E28"/>
    <w:rsid w:val="004834C8"/>
    <w:rsid w:val="0048399F"/>
    <w:rsid w:val="00483BB5"/>
    <w:rsid w:val="00485C96"/>
    <w:rsid w:val="00486BB4"/>
    <w:rsid w:val="00487521"/>
    <w:rsid w:val="00487B4D"/>
    <w:rsid w:val="00490979"/>
    <w:rsid w:val="00492CC7"/>
    <w:rsid w:val="00493C7D"/>
    <w:rsid w:val="00493DA8"/>
    <w:rsid w:val="00494492"/>
    <w:rsid w:val="004967EE"/>
    <w:rsid w:val="00496C0D"/>
    <w:rsid w:val="0049781D"/>
    <w:rsid w:val="00497E97"/>
    <w:rsid w:val="004A00F9"/>
    <w:rsid w:val="004A1D8A"/>
    <w:rsid w:val="004A2262"/>
    <w:rsid w:val="004A27A7"/>
    <w:rsid w:val="004A292B"/>
    <w:rsid w:val="004A2A8E"/>
    <w:rsid w:val="004A315C"/>
    <w:rsid w:val="004A3957"/>
    <w:rsid w:val="004A3A63"/>
    <w:rsid w:val="004A4BC4"/>
    <w:rsid w:val="004A5B22"/>
    <w:rsid w:val="004A634E"/>
    <w:rsid w:val="004A6760"/>
    <w:rsid w:val="004A780E"/>
    <w:rsid w:val="004B045F"/>
    <w:rsid w:val="004B09E9"/>
    <w:rsid w:val="004B0D36"/>
    <w:rsid w:val="004B16DF"/>
    <w:rsid w:val="004B18FB"/>
    <w:rsid w:val="004B2D9C"/>
    <w:rsid w:val="004B3166"/>
    <w:rsid w:val="004B3B28"/>
    <w:rsid w:val="004B44A1"/>
    <w:rsid w:val="004B4C0D"/>
    <w:rsid w:val="004B559C"/>
    <w:rsid w:val="004B577C"/>
    <w:rsid w:val="004B5E4A"/>
    <w:rsid w:val="004B6284"/>
    <w:rsid w:val="004B6520"/>
    <w:rsid w:val="004B6DF2"/>
    <w:rsid w:val="004B7BCA"/>
    <w:rsid w:val="004C035E"/>
    <w:rsid w:val="004C0693"/>
    <w:rsid w:val="004C07CB"/>
    <w:rsid w:val="004C2943"/>
    <w:rsid w:val="004C34F9"/>
    <w:rsid w:val="004C3BD2"/>
    <w:rsid w:val="004C52D8"/>
    <w:rsid w:val="004C5776"/>
    <w:rsid w:val="004C59E8"/>
    <w:rsid w:val="004C5BDF"/>
    <w:rsid w:val="004C6863"/>
    <w:rsid w:val="004C6D73"/>
    <w:rsid w:val="004C76A0"/>
    <w:rsid w:val="004D0055"/>
    <w:rsid w:val="004D14A7"/>
    <w:rsid w:val="004D1E25"/>
    <w:rsid w:val="004D235B"/>
    <w:rsid w:val="004D2895"/>
    <w:rsid w:val="004D28DF"/>
    <w:rsid w:val="004D3982"/>
    <w:rsid w:val="004D42FE"/>
    <w:rsid w:val="004D4650"/>
    <w:rsid w:val="004D4FFF"/>
    <w:rsid w:val="004D5B7B"/>
    <w:rsid w:val="004D646F"/>
    <w:rsid w:val="004D78F6"/>
    <w:rsid w:val="004E165F"/>
    <w:rsid w:val="004E2AF3"/>
    <w:rsid w:val="004E2F6C"/>
    <w:rsid w:val="004E33BA"/>
    <w:rsid w:val="004E35B8"/>
    <w:rsid w:val="004E35E5"/>
    <w:rsid w:val="004E3F3D"/>
    <w:rsid w:val="004E4356"/>
    <w:rsid w:val="004E4DD6"/>
    <w:rsid w:val="004E55E2"/>
    <w:rsid w:val="004E6C6D"/>
    <w:rsid w:val="004E70D8"/>
    <w:rsid w:val="004E7109"/>
    <w:rsid w:val="004E7179"/>
    <w:rsid w:val="004F08BE"/>
    <w:rsid w:val="004F0A2A"/>
    <w:rsid w:val="004F0C90"/>
    <w:rsid w:val="004F0E98"/>
    <w:rsid w:val="004F22DA"/>
    <w:rsid w:val="004F2B89"/>
    <w:rsid w:val="004F30BE"/>
    <w:rsid w:val="004F343E"/>
    <w:rsid w:val="004F3A1B"/>
    <w:rsid w:val="004F3AF4"/>
    <w:rsid w:val="004F3C2C"/>
    <w:rsid w:val="004F3E65"/>
    <w:rsid w:val="004F4554"/>
    <w:rsid w:val="004F479D"/>
    <w:rsid w:val="004F4CE0"/>
    <w:rsid w:val="004F7F32"/>
    <w:rsid w:val="005002B0"/>
    <w:rsid w:val="00500F0A"/>
    <w:rsid w:val="00503432"/>
    <w:rsid w:val="00503CD3"/>
    <w:rsid w:val="00503D75"/>
    <w:rsid w:val="00504633"/>
    <w:rsid w:val="00504937"/>
    <w:rsid w:val="0050757B"/>
    <w:rsid w:val="005102FC"/>
    <w:rsid w:val="00510519"/>
    <w:rsid w:val="005112D1"/>
    <w:rsid w:val="00511EB1"/>
    <w:rsid w:val="005120AC"/>
    <w:rsid w:val="0051699F"/>
    <w:rsid w:val="00520DED"/>
    <w:rsid w:val="0052116C"/>
    <w:rsid w:val="00522137"/>
    <w:rsid w:val="00523975"/>
    <w:rsid w:val="00524A1C"/>
    <w:rsid w:val="00526FA4"/>
    <w:rsid w:val="0052759C"/>
    <w:rsid w:val="00527618"/>
    <w:rsid w:val="00527986"/>
    <w:rsid w:val="00527E7F"/>
    <w:rsid w:val="00527ECC"/>
    <w:rsid w:val="00530422"/>
    <w:rsid w:val="0053081F"/>
    <w:rsid w:val="00530F2A"/>
    <w:rsid w:val="005314C4"/>
    <w:rsid w:val="00532EFF"/>
    <w:rsid w:val="00533050"/>
    <w:rsid w:val="00533E81"/>
    <w:rsid w:val="00533F9D"/>
    <w:rsid w:val="00534B8F"/>
    <w:rsid w:val="00534C4A"/>
    <w:rsid w:val="00534F45"/>
    <w:rsid w:val="00535666"/>
    <w:rsid w:val="00537344"/>
    <w:rsid w:val="005379B4"/>
    <w:rsid w:val="00540D4F"/>
    <w:rsid w:val="0054200D"/>
    <w:rsid w:val="00543757"/>
    <w:rsid w:val="00544112"/>
    <w:rsid w:val="00544C8B"/>
    <w:rsid w:val="00546AB6"/>
    <w:rsid w:val="005502FF"/>
    <w:rsid w:val="00550651"/>
    <w:rsid w:val="00550730"/>
    <w:rsid w:val="00551556"/>
    <w:rsid w:val="00552444"/>
    <w:rsid w:val="00552C02"/>
    <w:rsid w:val="00553FDB"/>
    <w:rsid w:val="00554816"/>
    <w:rsid w:val="0055700A"/>
    <w:rsid w:val="005570FD"/>
    <w:rsid w:val="005572AB"/>
    <w:rsid w:val="00560185"/>
    <w:rsid w:val="00560477"/>
    <w:rsid w:val="00561F06"/>
    <w:rsid w:val="005620E8"/>
    <w:rsid w:val="00562872"/>
    <w:rsid w:val="00563C31"/>
    <w:rsid w:val="0056412F"/>
    <w:rsid w:val="00564544"/>
    <w:rsid w:val="00564817"/>
    <w:rsid w:val="00564B50"/>
    <w:rsid w:val="005651AE"/>
    <w:rsid w:val="00565BFC"/>
    <w:rsid w:val="00565E98"/>
    <w:rsid w:val="00566338"/>
    <w:rsid w:val="0057067A"/>
    <w:rsid w:val="0057068B"/>
    <w:rsid w:val="005709FE"/>
    <w:rsid w:val="0057110E"/>
    <w:rsid w:val="0057126B"/>
    <w:rsid w:val="00571301"/>
    <w:rsid w:val="00571430"/>
    <w:rsid w:val="00571924"/>
    <w:rsid w:val="00571B90"/>
    <w:rsid w:val="00571CCC"/>
    <w:rsid w:val="00572A74"/>
    <w:rsid w:val="00572C16"/>
    <w:rsid w:val="00572FA2"/>
    <w:rsid w:val="00573276"/>
    <w:rsid w:val="00575AF2"/>
    <w:rsid w:val="00576603"/>
    <w:rsid w:val="00577076"/>
    <w:rsid w:val="005800EA"/>
    <w:rsid w:val="005807E2"/>
    <w:rsid w:val="0058158B"/>
    <w:rsid w:val="005815F6"/>
    <w:rsid w:val="00581ED2"/>
    <w:rsid w:val="00581F19"/>
    <w:rsid w:val="00582770"/>
    <w:rsid w:val="00583428"/>
    <w:rsid w:val="00583A80"/>
    <w:rsid w:val="005841F7"/>
    <w:rsid w:val="00584A77"/>
    <w:rsid w:val="005858D3"/>
    <w:rsid w:val="00585C40"/>
    <w:rsid w:val="00590AB0"/>
    <w:rsid w:val="005911A4"/>
    <w:rsid w:val="0059272D"/>
    <w:rsid w:val="00592776"/>
    <w:rsid w:val="00592789"/>
    <w:rsid w:val="00592F55"/>
    <w:rsid w:val="005937FE"/>
    <w:rsid w:val="00593871"/>
    <w:rsid w:val="00593D1D"/>
    <w:rsid w:val="005948D1"/>
    <w:rsid w:val="005964A7"/>
    <w:rsid w:val="005969A2"/>
    <w:rsid w:val="00596ACF"/>
    <w:rsid w:val="00597C11"/>
    <w:rsid w:val="005A145F"/>
    <w:rsid w:val="005A1991"/>
    <w:rsid w:val="005A21BE"/>
    <w:rsid w:val="005A30C9"/>
    <w:rsid w:val="005A30DA"/>
    <w:rsid w:val="005A3A29"/>
    <w:rsid w:val="005A3D11"/>
    <w:rsid w:val="005A42E5"/>
    <w:rsid w:val="005A4AF5"/>
    <w:rsid w:val="005A4CDC"/>
    <w:rsid w:val="005A5D9A"/>
    <w:rsid w:val="005A6B69"/>
    <w:rsid w:val="005B071A"/>
    <w:rsid w:val="005B0CCF"/>
    <w:rsid w:val="005B1724"/>
    <w:rsid w:val="005B173A"/>
    <w:rsid w:val="005B1C4B"/>
    <w:rsid w:val="005B2A1A"/>
    <w:rsid w:val="005B49B5"/>
    <w:rsid w:val="005B5196"/>
    <w:rsid w:val="005B53BF"/>
    <w:rsid w:val="005B66EA"/>
    <w:rsid w:val="005B69DF"/>
    <w:rsid w:val="005C0148"/>
    <w:rsid w:val="005C0780"/>
    <w:rsid w:val="005C167B"/>
    <w:rsid w:val="005C17FC"/>
    <w:rsid w:val="005C55D6"/>
    <w:rsid w:val="005C5698"/>
    <w:rsid w:val="005C608A"/>
    <w:rsid w:val="005C614D"/>
    <w:rsid w:val="005C6691"/>
    <w:rsid w:val="005C68EF"/>
    <w:rsid w:val="005C6C5F"/>
    <w:rsid w:val="005C6F1C"/>
    <w:rsid w:val="005C71E1"/>
    <w:rsid w:val="005C72CB"/>
    <w:rsid w:val="005C7C23"/>
    <w:rsid w:val="005C7F1F"/>
    <w:rsid w:val="005D1841"/>
    <w:rsid w:val="005D1CCD"/>
    <w:rsid w:val="005D1EF6"/>
    <w:rsid w:val="005D25AC"/>
    <w:rsid w:val="005D3F3A"/>
    <w:rsid w:val="005D426B"/>
    <w:rsid w:val="005D4556"/>
    <w:rsid w:val="005D5D37"/>
    <w:rsid w:val="005D6136"/>
    <w:rsid w:val="005D6D16"/>
    <w:rsid w:val="005D7597"/>
    <w:rsid w:val="005D7AF8"/>
    <w:rsid w:val="005D7BB1"/>
    <w:rsid w:val="005E06F9"/>
    <w:rsid w:val="005E0D75"/>
    <w:rsid w:val="005E2DE0"/>
    <w:rsid w:val="005E2FEC"/>
    <w:rsid w:val="005E453F"/>
    <w:rsid w:val="005E4A0F"/>
    <w:rsid w:val="005E4A11"/>
    <w:rsid w:val="005E4A4A"/>
    <w:rsid w:val="005E4E23"/>
    <w:rsid w:val="005E5EB1"/>
    <w:rsid w:val="005E7300"/>
    <w:rsid w:val="005E7C19"/>
    <w:rsid w:val="005F0628"/>
    <w:rsid w:val="005F0F63"/>
    <w:rsid w:val="005F1519"/>
    <w:rsid w:val="005F25F3"/>
    <w:rsid w:val="005F2761"/>
    <w:rsid w:val="005F27CD"/>
    <w:rsid w:val="005F2808"/>
    <w:rsid w:val="005F2983"/>
    <w:rsid w:val="005F2D84"/>
    <w:rsid w:val="005F3A3A"/>
    <w:rsid w:val="005F502A"/>
    <w:rsid w:val="005F593F"/>
    <w:rsid w:val="005F7191"/>
    <w:rsid w:val="005F7AE3"/>
    <w:rsid w:val="005F7D18"/>
    <w:rsid w:val="00600B2A"/>
    <w:rsid w:val="00600CD4"/>
    <w:rsid w:val="00601A10"/>
    <w:rsid w:val="00602525"/>
    <w:rsid w:val="0060336F"/>
    <w:rsid w:val="0060402E"/>
    <w:rsid w:val="00604094"/>
    <w:rsid w:val="00604391"/>
    <w:rsid w:val="00604C6A"/>
    <w:rsid w:val="00605006"/>
    <w:rsid w:val="00605B87"/>
    <w:rsid w:val="00605EEE"/>
    <w:rsid w:val="00607EB0"/>
    <w:rsid w:val="00610A76"/>
    <w:rsid w:val="00610D37"/>
    <w:rsid w:val="00614266"/>
    <w:rsid w:val="0061632D"/>
    <w:rsid w:val="00616492"/>
    <w:rsid w:val="006178E7"/>
    <w:rsid w:val="006217E1"/>
    <w:rsid w:val="00621A0A"/>
    <w:rsid w:val="00621B4B"/>
    <w:rsid w:val="00621C2F"/>
    <w:rsid w:val="0062340D"/>
    <w:rsid w:val="0062375E"/>
    <w:rsid w:val="00623D23"/>
    <w:rsid w:val="00623D40"/>
    <w:rsid w:val="00624776"/>
    <w:rsid w:val="00624A81"/>
    <w:rsid w:val="00624B82"/>
    <w:rsid w:val="00626CA7"/>
    <w:rsid w:val="00627626"/>
    <w:rsid w:val="006279BE"/>
    <w:rsid w:val="00627F8B"/>
    <w:rsid w:val="006304C9"/>
    <w:rsid w:val="006336D7"/>
    <w:rsid w:val="00634390"/>
    <w:rsid w:val="00635181"/>
    <w:rsid w:val="006353E7"/>
    <w:rsid w:val="00635722"/>
    <w:rsid w:val="006361AB"/>
    <w:rsid w:val="006370B1"/>
    <w:rsid w:val="00637951"/>
    <w:rsid w:val="00640290"/>
    <w:rsid w:val="006406C2"/>
    <w:rsid w:val="00640873"/>
    <w:rsid w:val="00641D19"/>
    <w:rsid w:val="00642470"/>
    <w:rsid w:val="006425B8"/>
    <w:rsid w:val="006426FB"/>
    <w:rsid w:val="006433DA"/>
    <w:rsid w:val="00644D33"/>
    <w:rsid w:val="00644E55"/>
    <w:rsid w:val="00646D0F"/>
    <w:rsid w:val="00650A9A"/>
    <w:rsid w:val="00650DAD"/>
    <w:rsid w:val="0065249F"/>
    <w:rsid w:val="00652714"/>
    <w:rsid w:val="00652EFC"/>
    <w:rsid w:val="00653907"/>
    <w:rsid w:val="00654187"/>
    <w:rsid w:val="006554D4"/>
    <w:rsid w:val="006555E5"/>
    <w:rsid w:val="00656C2D"/>
    <w:rsid w:val="00656F18"/>
    <w:rsid w:val="00656F7A"/>
    <w:rsid w:val="00657D5C"/>
    <w:rsid w:val="006618A6"/>
    <w:rsid w:val="00662063"/>
    <w:rsid w:val="0066254C"/>
    <w:rsid w:val="00663891"/>
    <w:rsid w:val="00666349"/>
    <w:rsid w:val="00666505"/>
    <w:rsid w:val="0066761B"/>
    <w:rsid w:val="00667837"/>
    <w:rsid w:val="00667C4B"/>
    <w:rsid w:val="00670E66"/>
    <w:rsid w:val="006712A7"/>
    <w:rsid w:val="006715F4"/>
    <w:rsid w:val="00671BFD"/>
    <w:rsid w:val="00671E43"/>
    <w:rsid w:val="0067249F"/>
    <w:rsid w:val="006725ED"/>
    <w:rsid w:val="00672ED9"/>
    <w:rsid w:val="00673588"/>
    <w:rsid w:val="0067387A"/>
    <w:rsid w:val="00673D2B"/>
    <w:rsid w:val="0067512C"/>
    <w:rsid w:val="0067597E"/>
    <w:rsid w:val="00675D55"/>
    <w:rsid w:val="00676327"/>
    <w:rsid w:val="00676915"/>
    <w:rsid w:val="00676A8F"/>
    <w:rsid w:val="00676B6F"/>
    <w:rsid w:val="006809B6"/>
    <w:rsid w:val="00680A4A"/>
    <w:rsid w:val="00680E38"/>
    <w:rsid w:val="00681ABD"/>
    <w:rsid w:val="00682F77"/>
    <w:rsid w:val="00684482"/>
    <w:rsid w:val="00684950"/>
    <w:rsid w:val="00685EC3"/>
    <w:rsid w:val="00686317"/>
    <w:rsid w:val="00686BBB"/>
    <w:rsid w:val="00687E8A"/>
    <w:rsid w:val="00690C0A"/>
    <w:rsid w:val="00691368"/>
    <w:rsid w:val="0069186D"/>
    <w:rsid w:val="00691A3F"/>
    <w:rsid w:val="00691B77"/>
    <w:rsid w:val="00691D2C"/>
    <w:rsid w:val="00692BCE"/>
    <w:rsid w:val="0069310C"/>
    <w:rsid w:val="006954E0"/>
    <w:rsid w:val="00697C08"/>
    <w:rsid w:val="00697E79"/>
    <w:rsid w:val="006A0269"/>
    <w:rsid w:val="006A0A37"/>
    <w:rsid w:val="006A1CDA"/>
    <w:rsid w:val="006A2066"/>
    <w:rsid w:val="006A20A2"/>
    <w:rsid w:val="006A28A3"/>
    <w:rsid w:val="006A2C47"/>
    <w:rsid w:val="006A2EF2"/>
    <w:rsid w:val="006A35F1"/>
    <w:rsid w:val="006A37FF"/>
    <w:rsid w:val="006A4F0A"/>
    <w:rsid w:val="006A6E0E"/>
    <w:rsid w:val="006A733C"/>
    <w:rsid w:val="006B0033"/>
    <w:rsid w:val="006B0856"/>
    <w:rsid w:val="006B0EF4"/>
    <w:rsid w:val="006B27AE"/>
    <w:rsid w:val="006B3DA1"/>
    <w:rsid w:val="006B461F"/>
    <w:rsid w:val="006B58C1"/>
    <w:rsid w:val="006B5BE0"/>
    <w:rsid w:val="006B7666"/>
    <w:rsid w:val="006B770D"/>
    <w:rsid w:val="006B7AB3"/>
    <w:rsid w:val="006C03AF"/>
    <w:rsid w:val="006C0CA2"/>
    <w:rsid w:val="006C15D0"/>
    <w:rsid w:val="006C1B34"/>
    <w:rsid w:val="006C2EC9"/>
    <w:rsid w:val="006C3958"/>
    <w:rsid w:val="006C39DA"/>
    <w:rsid w:val="006C4D93"/>
    <w:rsid w:val="006C4EEC"/>
    <w:rsid w:val="006C4FE9"/>
    <w:rsid w:val="006C5AE0"/>
    <w:rsid w:val="006C70E2"/>
    <w:rsid w:val="006D1F2E"/>
    <w:rsid w:val="006D3E81"/>
    <w:rsid w:val="006D4060"/>
    <w:rsid w:val="006D628E"/>
    <w:rsid w:val="006D65EC"/>
    <w:rsid w:val="006D6D24"/>
    <w:rsid w:val="006D6D2A"/>
    <w:rsid w:val="006D7085"/>
    <w:rsid w:val="006E035C"/>
    <w:rsid w:val="006E04BC"/>
    <w:rsid w:val="006E0A00"/>
    <w:rsid w:val="006E0F9E"/>
    <w:rsid w:val="006E3053"/>
    <w:rsid w:val="006E30A6"/>
    <w:rsid w:val="006E321B"/>
    <w:rsid w:val="006E37B5"/>
    <w:rsid w:val="006E3D8D"/>
    <w:rsid w:val="006E46AD"/>
    <w:rsid w:val="006E49F5"/>
    <w:rsid w:val="006E4BE0"/>
    <w:rsid w:val="006E4E68"/>
    <w:rsid w:val="006E658E"/>
    <w:rsid w:val="006E73A7"/>
    <w:rsid w:val="006E7DA1"/>
    <w:rsid w:val="006F050C"/>
    <w:rsid w:val="006F13EE"/>
    <w:rsid w:val="006F1F6E"/>
    <w:rsid w:val="006F2C6D"/>
    <w:rsid w:val="006F38F2"/>
    <w:rsid w:val="006F430A"/>
    <w:rsid w:val="006F5D16"/>
    <w:rsid w:val="006F63FA"/>
    <w:rsid w:val="006F7A8E"/>
    <w:rsid w:val="0070001E"/>
    <w:rsid w:val="007003A5"/>
    <w:rsid w:val="007008BC"/>
    <w:rsid w:val="007013D5"/>
    <w:rsid w:val="0070140E"/>
    <w:rsid w:val="0070282C"/>
    <w:rsid w:val="00702FF4"/>
    <w:rsid w:val="00703A77"/>
    <w:rsid w:val="007040A1"/>
    <w:rsid w:val="00705B33"/>
    <w:rsid w:val="00705E38"/>
    <w:rsid w:val="0070619B"/>
    <w:rsid w:val="007068E5"/>
    <w:rsid w:val="00707155"/>
    <w:rsid w:val="00707399"/>
    <w:rsid w:val="00707DCC"/>
    <w:rsid w:val="00710A52"/>
    <w:rsid w:val="00710B3A"/>
    <w:rsid w:val="00712B4C"/>
    <w:rsid w:val="00712CFE"/>
    <w:rsid w:val="00713D88"/>
    <w:rsid w:val="00714961"/>
    <w:rsid w:val="007153D3"/>
    <w:rsid w:val="0071597D"/>
    <w:rsid w:val="007162AD"/>
    <w:rsid w:val="0071630D"/>
    <w:rsid w:val="007164AE"/>
    <w:rsid w:val="00717D52"/>
    <w:rsid w:val="00717E64"/>
    <w:rsid w:val="007200CA"/>
    <w:rsid w:val="00720D3D"/>
    <w:rsid w:val="0072187E"/>
    <w:rsid w:val="00722D19"/>
    <w:rsid w:val="00723513"/>
    <w:rsid w:val="007246C9"/>
    <w:rsid w:val="00724C4B"/>
    <w:rsid w:val="007255BD"/>
    <w:rsid w:val="00725A57"/>
    <w:rsid w:val="00725E10"/>
    <w:rsid w:val="00726D1F"/>
    <w:rsid w:val="00726D3A"/>
    <w:rsid w:val="007276D9"/>
    <w:rsid w:val="00727967"/>
    <w:rsid w:val="00727B54"/>
    <w:rsid w:val="00730091"/>
    <w:rsid w:val="00730672"/>
    <w:rsid w:val="007306DE"/>
    <w:rsid w:val="00730EE7"/>
    <w:rsid w:val="00732460"/>
    <w:rsid w:val="0073265A"/>
    <w:rsid w:val="00732679"/>
    <w:rsid w:val="00732B7B"/>
    <w:rsid w:val="0073414A"/>
    <w:rsid w:val="0073453E"/>
    <w:rsid w:val="0073523F"/>
    <w:rsid w:val="007353C3"/>
    <w:rsid w:val="00735A85"/>
    <w:rsid w:val="00736215"/>
    <w:rsid w:val="00736767"/>
    <w:rsid w:val="00736787"/>
    <w:rsid w:val="00740243"/>
    <w:rsid w:val="007402FB"/>
    <w:rsid w:val="007404A4"/>
    <w:rsid w:val="0074136C"/>
    <w:rsid w:val="0074169A"/>
    <w:rsid w:val="00742230"/>
    <w:rsid w:val="00742A8E"/>
    <w:rsid w:val="00746229"/>
    <w:rsid w:val="00747555"/>
    <w:rsid w:val="00750491"/>
    <w:rsid w:val="007516D6"/>
    <w:rsid w:val="00752413"/>
    <w:rsid w:val="0075275A"/>
    <w:rsid w:val="007552E9"/>
    <w:rsid w:val="00756051"/>
    <w:rsid w:val="007560EF"/>
    <w:rsid w:val="007565E8"/>
    <w:rsid w:val="00756B3F"/>
    <w:rsid w:val="00757D06"/>
    <w:rsid w:val="00760348"/>
    <w:rsid w:val="00761134"/>
    <w:rsid w:val="007630F2"/>
    <w:rsid w:val="00763773"/>
    <w:rsid w:val="007637A8"/>
    <w:rsid w:val="007641EB"/>
    <w:rsid w:val="0076467C"/>
    <w:rsid w:val="007646FC"/>
    <w:rsid w:val="007647C6"/>
    <w:rsid w:val="00765DD9"/>
    <w:rsid w:val="007673C6"/>
    <w:rsid w:val="00767586"/>
    <w:rsid w:val="007707DE"/>
    <w:rsid w:val="00770B5A"/>
    <w:rsid w:val="00771A1A"/>
    <w:rsid w:val="007720E0"/>
    <w:rsid w:val="00772503"/>
    <w:rsid w:val="00772EA3"/>
    <w:rsid w:val="007740D6"/>
    <w:rsid w:val="007743E6"/>
    <w:rsid w:val="00775D6F"/>
    <w:rsid w:val="00776130"/>
    <w:rsid w:val="00777600"/>
    <w:rsid w:val="00777A56"/>
    <w:rsid w:val="00777DFE"/>
    <w:rsid w:val="00777EFB"/>
    <w:rsid w:val="0078087F"/>
    <w:rsid w:val="007817DB"/>
    <w:rsid w:val="00782D24"/>
    <w:rsid w:val="00784DEB"/>
    <w:rsid w:val="00785092"/>
    <w:rsid w:val="00786FA2"/>
    <w:rsid w:val="007878F1"/>
    <w:rsid w:val="0079294B"/>
    <w:rsid w:val="00792C07"/>
    <w:rsid w:val="00792E6B"/>
    <w:rsid w:val="00793575"/>
    <w:rsid w:val="007938F8"/>
    <w:rsid w:val="007939CC"/>
    <w:rsid w:val="00794105"/>
    <w:rsid w:val="0079445D"/>
    <w:rsid w:val="00795001"/>
    <w:rsid w:val="00795695"/>
    <w:rsid w:val="00796996"/>
    <w:rsid w:val="00797B0A"/>
    <w:rsid w:val="00797D82"/>
    <w:rsid w:val="007A1AF0"/>
    <w:rsid w:val="007A1F29"/>
    <w:rsid w:val="007A5600"/>
    <w:rsid w:val="007B06EF"/>
    <w:rsid w:val="007B09AA"/>
    <w:rsid w:val="007B0F65"/>
    <w:rsid w:val="007B2074"/>
    <w:rsid w:val="007B2D48"/>
    <w:rsid w:val="007B3406"/>
    <w:rsid w:val="007B5514"/>
    <w:rsid w:val="007B5E32"/>
    <w:rsid w:val="007B62D1"/>
    <w:rsid w:val="007B6DC4"/>
    <w:rsid w:val="007C0F6F"/>
    <w:rsid w:val="007C1448"/>
    <w:rsid w:val="007C15DD"/>
    <w:rsid w:val="007C22EE"/>
    <w:rsid w:val="007C2569"/>
    <w:rsid w:val="007C2BD9"/>
    <w:rsid w:val="007C3272"/>
    <w:rsid w:val="007C3CE5"/>
    <w:rsid w:val="007C3E02"/>
    <w:rsid w:val="007C47D6"/>
    <w:rsid w:val="007C507F"/>
    <w:rsid w:val="007C5C42"/>
    <w:rsid w:val="007C6918"/>
    <w:rsid w:val="007C791D"/>
    <w:rsid w:val="007D04EF"/>
    <w:rsid w:val="007D3404"/>
    <w:rsid w:val="007D34C3"/>
    <w:rsid w:val="007D3D37"/>
    <w:rsid w:val="007D3E1E"/>
    <w:rsid w:val="007D4A5A"/>
    <w:rsid w:val="007D5846"/>
    <w:rsid w:val="007D608A"/>
    <w:rsid w:val="007D6B82"/>
    <w:rsid w:val="007D6C5E"/>
    <w:rsid w:val="007D6FA6"/>
    <w:rsid w:val="007D70CB"/>
    <w:rsid w:val="007D74FD"/>
    <w:rsid w:val="007E00E2"/>
    <w:rsid w:val="007E03E9"/>
    <w:rsid w:val="007E077D"/>
    <w:rsid w:val="007E0FF2"/>
    <w:rsid w:val="007E105C"/>
    <w:rsid w:val="007E11F1"/>
    <w:rsid w:val="007E1934"/>
    <w:rsid w:val="007E2182"/>
    <w:rsid w:val="007E2BE8"/>
    <w:rsid w:val="007E4C91"/>
    <w:rsid w:val="007E6303"/>
    <w:rsid w:val="007E69FD"/>
    <w:rsid w:val="007F0CAF"/>
    <w:rsid w:val="007F1004"/>
    <w:rsid w:val="007F164B"/>
    <w:rsid w:val="007F1C58"/>
    <w:rsid w:val="007F3DDD"/>
    <w:rsid w:val="007F4345"/>
    <w:rsid w:val="007F52C7"/>
    <w:rsid w:val="007F54AB"/>
    <w:rsid w:val="007F5742"/>
    <w:rsid w:val="007F57CD"/>
    <w:rsid w:val="007F64C2"/>
    <w:rsid w:val="007F773A"/>
    <w:rsid w:val="008005F1"/>
    <w:rsid w:val="008009E5"/>
    <w:rsid w:val="00800B16"/>
    <w:rsid w:val="00801593"/>
    <w:rsid w:val="00802294"/>
    <w:rsid w:val="008039CA"/>
    <w:rsid w:val="00803AA6"/>
    <w:rsid w:val="00803D8B"/>
    <w:rsid w:val="00803F2C"/>
    <w:rsid w:val="00804093"/>
    <w:rsid w:val="00804735"/>
    <w:rsid w:val="008049A8"/>
    <w:rsid w:val="00804ACC"/>
    <w:rsid w:val="00805292"/>
    <w:rsid w:val="00805A1D"/>
    <w:rsid w:val="00805EA7"/>
    <w:rsid w:val="00806082"/>
    <w:rsid w:val="008061DB"/>
    <w:rsid w:val="00806439"/>
    <w:rsid w:val="00806C55"/>
    <w:rsid w:val="00806D2A"/>
    <w:rsid w:val="00806E90"/>
    <w:rsid w:val="008100A1"/>
    <w:rsid w:val="00811508"/>
    <w:rsid w:val="00811B1D"/>
    <w:rsid w:val="00812046"/>
    <w:rsid w:val="00814A23"/>
    <w:rsid w:val="00814FDF"/>
    <w:rsid w:val="008152A0"/>
    <w:rsid w:val="00816332"/>
    <w:rsid w:val="00816B06"/>
    <w:rsid w:val="0081708D"/>
    <w:rsid w:val="00817675"/>
    <w:rsid w:val="00820107"/>
    <w:rsid w:val="00820383"/>
    <w:rsid w:val="008207FB"/>
    <w:rsid w:val="00820DD8"/>
    <w:rsid w:val="00821D99"/>
    <w:rsid w:val="00821FDB"/>
    <w:rsid w:val="00822205"/>
    <w:rsid w:val="008231D0"/>
    <w:rsid w:val="00823B85"/>
    <w:rsid w:val="008245E9"/>
    <w:rsid w:val="00824A09"/>
    <w:rsid w:val="00825CD9"/>
    <w:rsid w:val="00826E24"/>
    <w:rsid w:val="00827A91"/>
    <w:rsid w:val="00827AA3"/>
    <w:rsid w:val="00830B69"/>
    <w:rsid w:val="008321E1"/>
    <w:rsid w:val="008334B2"/>
    <w:rsid w:val="00834063"/>
    <w:rsid w:val="0083479A"/>
    <w:rsid w:val="008350E1"/>
    <w:rsid w:val="00835E42"/>
    <w:rsid w:val="00835F2D"/>
    <w:rsid w:val="00837C87"/>
    <w:rsid w:val="0084019A"/>
    <w:rsid w:val="008420A3"/>
    <w:rsid w:val="00842784"/>
    <w:rsid w:val="00842BE6"/>
    <w:rsid w:val="0084391E"/>
    <w:rsid w:val="00845497"/>
    <w:rsid w:val="00845697"/>
    <w:rsid w:val="008457FA"/>
    <w:rsid w:val="00846224"/>
    <w:rsid w:val="00846E15"/>
    <w:rsid w:val="008470E2"/>
    <w:rsid w:val="00847AF8"/>
    <w:rsid w:val="008508E0"/>
    <w:rsid w:val="0085092F"/>
    <w:rsid w:val="0085337C"/>
    <w:rsid w:val="0085417D"/>
    <w:rsid w:val="008548E8"/>
    <w:rsid w:val="00856B08"/>
    <w:rsid w:val="00860B80"/>
    <w:rsid w:val="008614A4"/>
    <w:rsid w:val="00862232"/>
    <w:rsid w:val="008626EA"/>
    <w:rsid w:val="008628B0"/>
    <w:rsid w:val="00864AFC"/>
    <w:rsid w:val="008654B7"/>
    <w:rsid w:val="00866BA6"/>
    <w:rsid w:val="008670DA"/>
    <w:rsid w:val="00870CA9"/>
    <w:rsid w:val="0087117B"/>
    <w:rsid w:val="008714A2"/>
    <w:rsid w:val="008715D5"/>
    <w:rsid w:val="00871B2C"/>
    <w:rsid w:val="008721D6"/>
    <w:rsid w:val="00875743"/>
    <w:rsid w:val="00875857"/>
    <w:rsid w:val="00875EC0"/>
    <w:rsid w:val="008761BA"/>
    <w:rsid w:val="008763BE"/>
    <w:rsid w:val="00876426"/>
    <w:rsid w:val="00876DC3"/>
    <w:rsid w:val="0087759B"/>
    <w:rsid w:val="0087782A"/>
    <w:rsid w:val="00877B23"/>
    <w:rsid w:val="00877DEA"/>
    <w:rsid w:val="008805D7"/>
    <w:rsid w:val="00881214"/>
    <w:rsid w:val="0088289F"/>
    <w:rsid w:val="00882E13"/>
    <w:rsid w:val="008830C3"/>
    <w:rsid w:val="0088438F"/>
    <w:rsid w:val="0088451C"/>
    <w:rsid w:val="00885283"/>
    <w:rsid w:val="008855A2"/>
    <w:rsid w:val="00885692"/>
    <w:rsid w:val="008871D9"/>
    <w:rsid w:val="00891887"/>
    <w:rsid w:val="00891A39"/>
    <w:rsid w:val="00891C0B"/>
    <w:rsid w:val="00891C2A"/>
    <w:rsid w:val="008926A0"/>
    <w:rsid w:val="00894673"/>
    <w:rsid w:val="00894D14"/>
    <w:rsid w:val="008958D2"/>
    <w:rsid w:val="00895AC9"/>
    <w:rsid w:val="0089616D"/>
    <w:rsid w:val="00896BC9"/>
    <w:rsid w:val="00896FEA"/>
    <w:rsid w:val="008975B9"/>
    <w:rsid w:val="0089781A"/>
    <w:rsid w:val="008979EE"/>
    <w:rsid w:val="008A0088"/>
    <w:rsid w:val="008A0244"/>
    <w:rsid w:val="008A05E1"/>
    <w:rsid w:val="008A0852"/>
    <w:rsid w:val="008A0A0A"/>
    <w:rsid w:val="008A3AEF"/>
    <w:rsid w:val="008A4CCC"/>
    <w:rsid w:val="008A5202"/>
    <w:rsid w:val="008B0224"/>
    <w:rsid w:val="008B0AFE"/>
    <w:rsid w:val="008B0D97"/>
    <w:rsid w:val="008B118E"/>
    <w:rsid w:val="008B1A16"/>
    <w:rsid w:val="008B1DE9"/>
    <w:rsid w:val="008B209D"/>
    <w:rsid w:val="008B2FCB"/>
    <w:rsid w:val="008B30F1"/>
    <w:rsid w:val="008B3638"/>
    <w:rsid w:val="008B4550"/>
    <w:rsid w:val="008B5B0A"/>
    <w:rsid w:val="008B655C"/>
    <w:rsid w:val="008B669A"/>
    <w:rsid w:val="008B66B2"/>
    <w:rsid w:val="008B66ED"/>
    <w:rsid w:val="008B79F5"/>
    <w:rsid w:val="008B7DED"/>
    <w:rsid w:val="008C006C"/>
    <w:rsid w:val="008C10A7"/>
    <w:rsid w:val="008C1879"/>
    <w:rsid w:val="008C1E03"/>
    <w:rsid w:val="008C2D44"/>
    <w:rsid w:val="008C369C"/>
    <w:rsid w:val="008C3BA2"/>
    <w:rsid w:val="008C4B11"/>
    <w:rsid w:val="008C4DD7"/>
    <w:rsid w:val="008C5EAA"/>
    <w:rsid w:val="008C6175"/>
    <w:rsid w:val="008C6827"/>
    <w:rsid w:val="008C6F4C"/>
    <w:rsid w:val="008C7514"/>
    <w:rsid w:val="008C7FC4"/>
    <w:rsid w:val="008D02E5"/>
    <w:rsid w:val="008D116B"/>
    <w:rsid w:val="008D1DB3"/>
    <w:rsid w:val="008D2712"/>
    <w:rsid w:val="008D428C"/>
    <w:rsid w:val="008D488F"/>
    <w:rsid w:val="008D5195"/>
    <w:rsid w:val="008D78BF"/>
    <w:rsid w:val="008E08A7"/>
    <w:rsid w:val="008E2029"/>
    <w:rsid w:val="008E22CF"/>
    <w:rsid w:val="008E2821"/>
    <w:rsid w:val="008E3407"/>
    <w:rsid w:val="008E3B20"/>
    <w:rsid w:val="008E3BAE"/>
    <w:rsid w:val="008E50F5"/>
    <w:rsid w:val="008E5FEE"/>
    <w:rsid w:val="008E64E8"/>
    <w:rsid w:val="008E6836"/>
    <w:rsid w:val="008E6D6A"/>
    <w:rsid w:val="008E732B"/>
    <w:rsid w:val="008F05DB"/>
    <w:rsid w:val="008F1A9E"/>
    <w:rsid w:val="008F2216"/>
    <w:rsid w:val="008F3AEF"/>
    <w:rsid w:val="008F4040"/>
    <w:rsid w:val="008F44ED"/>
    <w:rsid w:val="008F4B5A"/>
    <w:rsid w:val="008F56DD"/>
    <w:rsid w:val="008F583A"/>
    <w:rsid w:val="008F5878"/>
    <w:rsid w:val="008F6232"/>
    <w:rsid w:val="008F6852"/>
    <w:rsid w:val="008F7170"/>
    <w:rsid w:val="009018A9"/>
    <w:rsid w:val="0090264A"/>
    <w:rsid w:val="00902C2A"/>
    <w:rsid w:val="00904195"/>
    <w:rsid w:val="009043CD"/>
    <w:rsid w:val="00904DF4"/>
    <w:rsid w:val="0090502C"/>
    <w:rsid w:val="00905FDF"/>
    <w:rsid w:val="009067C4"/>
    <w:rsid w:val="009100D1"/>
    <w:rsid w:val="00911921"/>
    <w:rsid w:val="009125DF"/>
    <w:rsid w:val="00912888"/>
    <w:rsid w:val="00913390"/>
    <w:rsid w:val="00913518"/>
    <w:rsid w:val="00913620"/>
    <w:rsid w:val="009148FF"/>
    <w:rsid w:val="00914D93"/>
    <w:rsid w:val="00914DEC"/>
    <w:rsid w:val="00916562"/>
    <w:rsid w:val="00916C5F"/>
    <w:rsid w:val="00916DDD"/>
    <w:rsid w:val="00916FD9"/>
    <w:rsid w:val="009178C9"/>
    <w:rsid w:val="009179AB"/>
    <w:rsid w:val="00917AF3"/>
    <w:rsid w:val="00921360"/>
    <w:rsid w:val="00921A8F"/>
    <w:rsid w:val="00922121"/>
    <w:rsid w:val="0092269B"/>
    <w:rsid w:val="0092299C"/>
    <w:rsid w:val="00923B68"/>
    <w:rsid w:val="009248CB"/>
    <w:rsid w:val="009257EF"/>
    <w:rsid w:val="00925ABC"/>
    <w:rsid w:val="00926925"/>
    <w:rsid w:val="009306AC"/>
    <w:rsid w:val="00930E7A"/>
    <w:rsid w:val="00934646"/>
    <w:rsid w:val="0093586A"/>
    <w:rsid w:val="00935ED6"/>
    <w:rsid w:val="00936502"/>
    <w:rsid w:val="009373AF"/>
    <w:rsid w:val="0093748A"/>
    <w:rsid w:val="009377D8"/>
    <w:rsid w:val="0093786D"/>
    <w:rsid w:val="00940E1D"/>
    <w:rsid w:val="009411B2"/>
    <w:rsid w:val="0094567F"/>
    <w:rsid w:val="0094578A"/>
    <w:rsid w:val="00945922"/>
    <w:rsid w:val="00945E5A"/>
    <w:rsid w:val="00946335"/>
    <w:rsid w:val="00946BC2"/>
    <w:rsid w:val="0094721A"/>
    <w:rsid w:val="009475BC"/>
    <w:rsid w:val="0094785C"/>
    <w:rsid w:val="009479E3"/>
    <w:rsid w:val="00947CA2"/>
    <w:rsid w:val="009505E2"/>
    <w:rsid w:val="0095149D"/>
    <w:rsid w:val="0095152D"/>
    <w:rsid w:val="009517A8"/>
    <w:rsid w:val="00952EB2"/>
    <w:rsid w:val="0095319E"/>
    <w:rsid w:val="00953A87"/>
    <w:rsid w:val="00954D1A"/>
    <w:rsid w:val="00955167"/>
    <w:rsid w:val="009554F1"/>
    <w:rsid w:val="009555D7"/>
    <w:rsid w:val="00956497"/>
    <w:rsid w:val="00957573"/>
    <w:rsid w:val="00960D24"/>
    <w:rsid w:val="009620B3"/>
    <w:rsid w:val="00962914"/>
    <w:rsid w:val="00965333"/>
    <w:rsid w:val="00965722"/>
    <w:rsid w:val="0096603E"/>
    <w:rsid w:val="009662E1"/>
    <w:rsid w:val="009703EB"/>
    <w:rsid w:val="009704B9"/>
    <w:rsid w:val="00970FF2"/>
    <w:rsid w:val="00972332"/>
    <w:rsid w:val="009725E9"/>
    <w:rsid w:val="00972D01"/>
    <w:rsid w:val="00973603"/>
    <w:rsid w:val="00973800"/>
    <w:rsid w:val="0097396F"/>
    <w:rsid w:val="009746AA"/>
    <w:rsid w:val="009748A4"/>
    <w:rsid w:val="00974B04"/>
    <w:rsid w:val="00975D3D"/>
    <w:rsid w:val="00975DB0"/>
    <w:rsid w:val="00975FEC"/>
    <w:rsid w:val="00980DA5"/>
    <w:rsid w:val="009813A0"/>
    <w:rsid w:val="00981D35"/>
    <w:rsid w:val="009827B9"/>
    <w:rsid w:val="00982A8F"/>
    <w:rsid w:val="00984037"/>
    <w:rsid w:val="009848B6"/>
    <w:rsid w:val="00985B6E"/>
    <w:rsid w:val="00985B9A"/>
    <w:rsid w:val="0098608A"/>
    <w:rsid w:val="009863D7"/>
    <w:rsid w:val="00986FE0"/>
    <w:rsid w:val="00987765"/>
    <w:rsid w:val="009877B4"/>
    <w:rsid w:val="00987F01"/>
    <w:rsid w:val="00990518"/>
    <w:rsid w:val="00990BF6"/>
    <w:rsid w:val="00991666"/>
    <w:rsid w:val="00991D11"/>
    <w:rsid w:val="00991D7A"/>
    <w:rsid w:val="00991E7E"/>
    <w:rsid w:val="00992799"/>
    <w:rsid w:val="009937A0"/>
    <w:rsid w:val="0099429F"/>
    <w:rsid w:val="00994966"/>
    <w:rsid w:val="00995F96"/>
    <w:rsid w:val="00996258"/>
    <w:rsid w:val="009973BC"/>
    <w:rsid w:val="009A0C72"/>
    <w:rsid w:val="009A25F2"/>
    <w:rsid w:val="009A2895"/>
    <w:rsid w:val="009A2962"/>
    <w:rsid w:val="009A2A02"/>
    <w:rsid w:val="009A338C"/>
    <w:rsid w:val="009A3909"/>
    <w:rsid w:val="009A4981"/>
    <w:rsid w:val="009A54EE"/>
    <w:rsid w:val="009A6168"/>
    <w:rsid w:val="009A669E"/>
    <w:rsid w:val="009A6D07"/>
    <w:rsid w:val="009A7408"/>
    <w:rsid w:val="009A76C4"/>
    <w:rsid w:val="009A7DBF"/>
    <w:rsid w:val="009A7E93"/>
    <w:rsid w:val="009B233B"/>
    <w:rsid w:val="009B2486"/>
    <w:rsid w:val="009B2D67"/>
    <w:rsid w:val="009B2DE8"/>
    <w:rsid w:val="009B2EA0"/>
    <w:rsid w:val="009B2F08"/>
    <w:rsid w:val="009B519D"/>
    <w:rsid w:val="009B667C"/>
    <w:rsid w:val="009B68D7"/>
    <w:rsid w:val="009B7895"/>
    <w:rsid w:val="009B7B96"/>
    <w:rsid w:val="009C0000"/>
    <w:rsid w:val="009C1A46"/>
    <w:rsid w:val="009C3591"/>
    <w:rsid w:val="009C3E1B"/>
    <w:rsid w:val="009C3EE2"/>
    <w:rsid w:val="009C6227"/>
    <w:rsid w:val="009C78E5"/>
    <w:rsid w:val="009D0575"/>
    <w:rsid w:val="009D0629"/>
    <w:rsid w:val="009D0D66"/>
    <w:rsid w:val="009D0E0C"/>
    <w:rsid w:val="009D0EAA"/>
    <w:rsid w:val="009D2FF1"/>
    <w:rsid w:val="009D4368"/>
    <w:rsid w:val="009D5AAC"/>
    <w:rsid w:val="009D6319"/>
    <w:rsid w:val="009D759C"/>
    <w:rsid w:val="009D7AA1"/>
    <w:rsid w:val="009D7B4C"/>
    <w:rsid w:val="009E1091"/>
    <w:rsid w:val="009E1383"/>
    <w:rsid w:val="009E1DDA"/>
    <w:rsid w:val="009E2303"/>
    <w:rsid w:val="009E3693"/>
    <w:rsid w:val="009E3ED1"/>
    <w:rsid w:val="009E405A"/>
    <w:rsid w:val="009E4098"/>
    <w:rsid w:val="009E48EE"/>
    <w:rsid w:val="009E50BB"/>
    <w:rsid w:val="009E5A5E"/>
    <w:rsid w:val="009E610C"/>
    <w:rsid w:val="009E6C8E"/>
    <w:rsid w:val="009E6F3E"/>
    <w:rsid w:val="009E7CF1"/>
    <w:rsid w:val="009F026A"/>
    <w:rsid w:val="009F1F7F"/>
    <w:rsid w:val="009F21F2"/>
    <w:rsid w:val="009F2FCE"/>
    <w:rsid w:val="009F4D4B"/>
    <w:rsid w:val="009F5166"/>
    <w:rsid w:val="009F5929"/>
    <w:rsid w:val="009F6438"/>
    <w:rsid w:val="009F64D5"/>
    <w:rsid w:val="009F7B90"/>
    <w:rsid w:val="00A01B9E"/>
    <w:rsid w:val="00A02355"/>
    <w:rsid w:val="00A02936"/>
    <w:rsid w:val="00A02D3F"/>
    <w:rsid w:val="00A033CD"/>
    <w:rsid w:val="00A04DC1"/>
    <w:rsid w:val="00A057B9"/>
    <w:rsid w:val="00A05881"/>
    <w:rsid w:val="00A05FEA"/>
    <w:rsid w:val="00A066D1"/>
    <w:rsid w:val="00A07479"/>
    <w:rsid w:val="00A07B45"/>
    <w:rsid w:val="00A107F6"/>
    <w:rsid w:val="00A12451"/>
    <w:rsid w:val="00A130A0"/>
    <w:rsid w:val="00A132CE"/>
    <w:rsid w:val="00A137D5"/>
    <w:rsid w:val="00A137EE"/>
    <w:rsid w:val="00A14152"/>
    <w:rsid w:val="00A142DC"/>
    <w:rsid w:val="00A143C4"/>
    <w:rsid w:val="00A146CA"/>
    <w:rsid w:val="00A149B3"/>
    <w:rsid w:val="00A15B6D"/>
    <w:rsid w:val="00A15F6F"/>
    <w:rsid w:val="00A16377"/>
    <w:rsid w:val="00A16BC0"/>
    <w:rsid w:val="00A16BD5"/>
    <w:rsid w:val="00A22200"/>
    <w:rsid w:val="00A22A48"/>
    <w:rsid w:val="00A2340C"/>
    <w:rsid w:val="00A2425F"/>
    <w:rsid w:val="00A24464"/>
    <w:rsid w:val="00A24C74"/>
    <w:rsid w:val="00A25DF6"/>
    <w:rsid w:val="00A273E6"/>
    <w:rsid w:val="00A278D7"/>
    <w:rsid w:val="00A310D2"/>
    <w:rsid w:val="00A319D6"/>
    <w:rsid w:val="00A32732"/>
    <w:rsid w:val="00A33005"/>
    <w:rsid w:val="00A3439A"/>
    <w:rsid w:val="00A34473"/>
    <w:rsid w:val="00A344E7"/>
    <w:rsid w:val="00A345B9"/>
    <w:rsid w:val="00A34FBC"/>
    <w:rsid w:val="00A3571A"/>
    <w:rsid w:val="00A3584F"/>
    <w:rsid w:val="00A3606F"/>
    <w:rsid w:val="00A36823"/>
    <w:rsid w:val="00A37A44"/>
    <w:rsid w:val="00A37A73"/>
    <w:rsid w:val="00A40142"/>
    <w:rsid w:val="00A4081B"/>
    <w:rsid w:val="00A41FB4"/>
    <w:rsid w:val="00A424A6"/>
    <w:rsid w:val="00A428A3"/>
    <w:rsid w:val="00A431F6"/>
    <w:rsid w:val="00A434E7"/>
    <w:rsid w:val="00A44044"/>
    <w:rsid w:val="00A44423"/>
    <w:rsid w:val="00A44C25"/>
    <w:rsid w:val="00A44F9E"/>
    <w:rsid w:val="00A45F63"/>
    <w:rsid w:val="00A46D42"/>
    <w:rsid w:val="00A4793E"/>
    <w:rsid w:val="00A47F66"/>
    <w:rsid w:val="00A5013C"/>
    <w:rsid w:val="00A505CE"/>
    <w:rsid w:val="00A50902"/>
    <w:rsid w:val="00A5183B"/>
    <w:rsid w:val="00A53116"/>
    <w:rsid w:val="00A5335D"/>
    <w:rsid w:val="00A53DF2"/>
    <w:rsid w:val="00A54320"/>
    <w:rsid w:val="00A546E7"/>
    <w:rsid w:val="00A5714C"/>
    <w:rsid w:val="00A57298"/>
    <w:rsid w:val="00A6071D"/>
    <w:rsid w:val="00A629B0"/>
    <w:rsid w:val="00A641FA"/>
    <w:rsid w:val="00A65539"/>
    <w:rsid w:val="00A65FF4"/>
    <w:rsid w:val="00A66747"/>
    <w:rsid w:val="00A67E7E"/>
    <w:rsid w:val="00A67EF4"/>
    <w:rsid w:val="00A67F2D"/>
    <w:rsid w:val="00A70BCC"/>
    <w:rsid w:val="00A70CBF"/>
    <w:rsid w:val="00A71A8E"/>
    <w:rsid w:val="00A72931"/>
    <w:rsid w:val="00A72A9E"/>
    <w:rsid w:val="00A7342B"/>
    <w:rsid w:val="00A74965"/>
    <w:rsid w:val="00A7548D"/>
    <w:rsid w:val="00A75E6D"/>
    <w:rsid w:val="00A75E83"/>
    <w:rsid w:val="00A76225"/>
    <w:rsid w:val="00A76316"/>
    <w:rsid w:val="00A77469"/>
    <w:rsid w:val="00A77586"/>
    <w:rsid w:val="00A77723"/>
    <w:rsid w:val="00A77F9C"/>
    <w:rsid w:val="00A801BC"/>
    <w:rsid w:val="00A81DA2"/>
    <w:rsid w:val="00A83A79"/>
    <w:rsid w:val="00A83E68"/>
    <w:rsid w:val="00A85507"/>
    <w:rsid w:val="00A8619E"/>
    <w:rsid w:val="00A86263"/>
    <w:rsid w:val="00A86B17"/>
    <w:rsid w:val="00A874FE"/>
    <w:rsid w:val="00A8759D"/>
    <w:rsid w:val="00A877FC"/>
    <w:rsid w:val="00A87C53"/>
    <w:rsid w:val="00A87E66"/>
    <w:rsid w:val="00A902D3"/>
    <w:rsid w:val="00A90552"/>
    <w:rsid w:val="00A93365"/>
    <w:rsid w:val="00A938B3"/>
    <w:rsid w:val="00A945A5"/>
    <w:rsid w:val="00A95297"/>
    <w:rsid w:val="00A962AE"/>
    <w:rsid w:val="00A968FB"/>
    <w:rsid w:val="00A97E93"/>
    <w:rsid w:val="00AA03D9"/>
    <w:rsid w:val="00AA17B8"/>
    <w:rsid w:val="00AA2474"/>
    <w:rsid w:val="00AA29F1"/>
    <w:rsid w:val="00AA2CC2"/>
    <w:rsid w:val="00AA2FE2"/>
    <w:rsid w:val="00AA4B86"/>
    <w:rsid w:val="00AA585D"/>
    <w:rsid w:val="00AA6F08"/>
    <w:rsid w:val="00AA70E0"/>
    <w:rsid w:val="00AA7BB0"/>
    <w:rsid w:val="00AB0028"/>
    <w:rsid w:val="00AB00B2"/>
    <w:rsid w:val="00AB06A3"/>
    <w:rsid w:val="00AB19B7"/>
    <w:rsid w:val="00AB2A16"/>
    <w:rsid w:val="00AB2FB9"/>
    <w:rsid w:val="00AB3743"/>
    <w:rsid w:val="00AB49A5"/>
    <w:rsid w:val="00AB53F6"/>
    <w:rsid w:val="00AB5780"/>
    <w:rsid w:val="00AB57E5"/>
    <w:rsid w:val="00AB58F8"/>
    <w:rsid w:val="00AB70C8"/>
    <w:rsid w:val="00AB7D75"/>
    <w:rsid w:val="00AC19E2"/>
    <w:rsid w:val="00AC34D1"/>
    <w:rsid w:val="00AC3F2B"/>
    <w:rsid w:val="00AC49A0"/>
    <w:rsid w:val="00AC5184"/>
    <w:rsid w:val="00AC60FD"/>
    <w:rsid w:val="00AC6161"/>
    <w:rsid w:val="00AC79A1"/>
    <w:rsid w:val="00AD172B"/>
    <w:rsid w:val="00AD1ACD"/>
    <w:rsid w:val="00AD3395"/>
    <w:rsid w:val="00AD4DD5"/>
    <w:rsid w:val="00AD5418"/>
    <w:rsid w:val="00AD66F2"/>
    <w:rsid w:val="00AD7EEB"/>
    <w:rsid w:val="00AE0754"/>
    <w:rsid w:val="00AE0ABD"/>
    <w:rsid w:val="00AE0B5C"/>
    <w:rsid w:val="00AE0FED"/>
    <w:rsid w:val="00AE108A"/>
    <w:rsid w:val="00AE2E6C"/>
    <w:rsid w:val="00AE2FA3"/>
    <w:rsid w:val="00AE335C"/>
    <w:rsid w:val="00AE3878"/>
    <w:rsid w:val="00AE3BEC"/>
    <w:rsid w:val="00AE454A"/>
    <w:rsid w:val="00AE4BF2"/>
    <w:rsid w:val="00AE5028"/>
    <w:rsid w:val="00AE69A7"/>
    <w:rsid w:val="00AF0913"/>
    <w:rsid w:val="00AF18D0"/>
    <w:rsid w:val="00AF2E31"/>
    <w:rsid w:val="00AF36B9"/>
    <w:rsid w:val="00AF3F22"/>
    <w:rsid w:val="00AF5FE2"/>
    <w:rsid w:val="00AF6AB1"/>
    <w:rsid w:val="00AF7A59"/>
    <w:rsid w:val="00B00763"/>
    <w:rsid w:val="00B015EC"/>
    <w:rsid w:val="00B01E28"/>
    <w:rsid w:val="00B01FE5"/>
    <w:rsid w:val="00B02644"/>
    <w:rsid w:val="00B03B32"/>
    <w:rsid w:val="00B04340"/>
    <w:rsid w:val="00B04FC4"/>
    <w:rsid w:val="00B0612C"/>
    <w:rsid w:val="00B07739"/>
    <w:rsid w:val="00B10A36"/>
    <w:rsid w:val="00B10F4F"/>
    <w:rsid w:val="00B11AC0"/>
    <w:rsid w:val="00B11E3F"/>
    <w:rsid w:val="00B13940"/>
    <w:rsid w:val="00B14DD5"/>
    <w:rsid w:val="00B14E65"/>
    <w:rsid w:val="00B14E9B"/>
    <w:rsid w:val="00B1556F"/>
    <w:rsid w:val="00B15774"/>
    <w:rsid w:val="00B16FAD"/>
    <w:rsid w:val="00B20761"/>
    <w:rsid w:val="00B20C9E"/>
    <w:rsid w:val="00B20CD5"/>
    <w:rsid w:val="00B22361"/>
    <w:rsid w:val="00B22A3B"/>
    <w:rsid w:val="00B23B1E"/>
    <w:rsid w:val="00B23E13"/>
    <w:rsid w:val="00B24442"/>
    <w:rsid w:val="00B2448D"/>
    <w:rsid w:val="00B244C7"/>
    <w:rsid w:val="00B24B3D"/>
    <w:rsid w:val="00B24EF6"/>
    <w:rsid w:val="00B24F52"/>
    <w:rsid w:val="00B253DB"/>
    <w:rsid w:val="00B256DA"/>
    <w:rsid w:val="00B274E4"/>
    <w:rsid w:val="00B27E7C"/>
    <w:rsid w:val="00B30D57"/>
    <w:rsid w:val="00B31120"/>
    <w:rsid w:val="00B314C3"/>
    <w:rsid w:val="00B3183D"/>
    <w:rsid w:val="00B318CB"/>
    <w:rsid w:val="00B31974"/>
    <w:rsid w:val="00B330E7"/>
    <w:rsid w:val="00B33A3A"/>
    <w:rsid w:val="00B33A64"/>
    <w:rsid w:val="00B3415E"/>
    <w:rsid w:val="00B35128"/>
    <w:rsid w:val="00B36F30"/>
    <w:rsid w:val="00B371AD"/>
    <w:rsid w:val="00B3731D"/>
    <w:rsid w:val="00B37588"/>
    <w:rsid w:val="00B4144D"/>
    <w:rsid w:val="00B41D0A"/>
    <w:rsid w:val="00B420A8"/>
    <w:rsid w:val="00B424E2"/>
    <w:rsid w:val="00B43AA6"/>
    <w:rsid w:val="00B43E83"/>
    <w:rsid w:val="00B43F9A"/>
    <w:rsid w:val="00B44C18"/>
    <w:rsid w:val="00B45D63"/>
    <w:rsid w:val="00B46441"/>
    <w:rsid w:val="00B50B38"/>
    <w:rsid w:val="00B5111D"/>
    <w:rsid w:val="00B5134B"/>
    <w:rsid w:val="00B52F9E"/>
    <w:rsid w:val="00B54117"/>
    <w:rsid w:val="00B549EF"/>
    <w:rsid w:val="00B55982"/>
    <w:rsid w:val="00B55CA6"/>
    <w:rsid w:val="00B55EEE"/>
    <w:rsid w:val="00B56CC8"/>
    <w:rsid w:val="00B56E1D"/>
    <w:rsid w:val="00B57276"/>
    <w:rsid w:val="00B57AD8"/>
    <w:rsid w:val="00B603EC"/>
    <w:rsid w:val="00B60908"/>
    <w:rsid w:val="00B61359"/>
    <w:rsid w:val="00B61F85"/>
    <w:rsid w:val="00B620DE"/>
    <w:rsid w:val="00B6271E"/>
    <w:rsid w:val="00B62B4B"/>
    <w:rsid w:val="00B62E1F"/>
    <w:rsid w:val="00B639A4"/>
    <w:rsid w:val="00B63D51"/>
    <w:rsid w:val="00B642D0"/>
    <w:rsid w:val="00B64974"/>
    <w:rsid w:val="00B6557C"/>
    <w:rsid w:val="00B65872"/>
    <w:rsid w:val="00B65886"/>
    <w:rsid w:val="00B65B8D"/>
    <w:rsid w:val="00B65ED1"/>
    <w:rsid w:val="00B66324"/>
    <w:rsid w:val="00B668A3"/>
    <w:rsid w:val="00B668D0"/>
    <w:rsid w:val="00B67026"/>
    <w:rsid w:val="00B676EA"/>
    <w:rsid w:val="00B67BC7"/>
    <w:rsid w:val="00B70047"/>
    <w:rsid w:val="00B70D6F"/>
    <w:rsid w:val="00B70F65"/>
    <w:rsid w:val="00B7331A"/>
    <w:rsid w:val="00B738F3"/>
    <w:rsid w:val="00B73B58"/>
    <w:rsid w:val="00B73E64"/>
    <w:rsid w:val="00B73EF4"/>
    <w:rsid w:val="00B744F0"/>
    <w:rsid w:val="00B76208"/>
    <w:rsid w:val="00B76FE9"/>
    <w:rsid w:val="00B775E6"/>
    <w:rsid w:val="00B80751"/>
    <w:rsid w:val="00B80A7B"/>
    <w:rsid w:val="00B811FC"/>
    <w:rsid w:val="00B828FF"/>
    <w:rsid w:val="00B830AA"/>
    <w:rsid w:val="00B83276"/>
    <w:rsid w:val="00B84125"/>
    <w:rsid w:val="00B84934"/>
    <w:rsid w:val="00B85F22"/>
    <w:rsid w:val="00B862D2"/>
    <w:rsid w:val="00B86C7E"/>
    <w:rsid w:val="00B8748E"/>
    <w:rsid w:val="00B903A9"/>
    <w:rsid w:val="00B90443"/>
    <w:rsid w:val="00B90992"/>
    <w:rsid w:val="00B90B51"/>
    <w:rsid w:val="00B91C44"/>
    <w:rsid w:val="00B91CE2"/>
    <w:rsid w:val="00B92625"/>
    <w:rsid w:val="00B92CCC"/>
    <w:rsid w:val="00B9623A"/>
    <w:rsid w:val="00B96B14"/>
    <w:rsid w:val="00B96DF8"/>
    <w:rsid w:val="00B97DF9"/>
    <w:rsid w:val="00BA01E1"/>
    <w:rsid w:val="00BA06DF"/>
    <w:rsid w:val="00BA08E3"/>
    <w:rsid w:val="00BA099D"/>
    <w:rsid w:val="00BA13C5"/>
    <w:rsid w:val="00BA35E2"/>
    <w:rsid w:val="00BA3799"/>
    <w:rsid w:val="00BA42A9"/>
    <w:rsid w:val="00BA57C6"/>
    <w:rsid w:val="00BA5E19"/>
    <w:rsid w:val="00BA6E33"/>
    <w:rsid w:val="00BA787C"/>
    <w:rsid w:val="00BA7C85"/>
    <w:rsid w:val="00BB03B6"/>
    <w:rsid w:val="00BB0AE7"/>
    <w:rsid w:val="00BB0F49"/>
    <w:rsid w:val="00BB1B1A"/>
    <w:rsid w:val="00BB397C"/>
    <w:rsid w:val="00BB3E80"/>
    <w:rsid w:val="00BB41DB"/>
    <w:rsid w:val="00BB56FA"/>
    <w:rsid w:val="00BB5B56"/>
    <w:rsid w:val="00BB6243"/>
    <w:rsid w:val="00BB6282"/>
    <w:rsid w:val="00BB6444"/>
    <w:rsid w:val="00BB7B5C"/>
    <w:rsid w:val="00BC062D"/>
    <w:rsid w:val="00BC0EC6"/>
    <w:rsid w:val="00BC3388"/>
    <w:rsid w:val="00BC6E06"/>
    <w:rsid w:val="00BC6F99"/>
    <w:rsid w:val="00BD00A7"/>
    <w:rsid w:val="00BD02DF"/>
    <w:rsid w:val="00BD0300"/>
    <w:rsid w:val="00BD0600"/>
    <w:rsid w:val="00BD1E4D"/>
    <w:rsid w:val="00BD1E66"/>
    <w:rsid w:val="00BD39F0"/>
    <w:rsid w:val="00BD3ABA"/>
    <w:rsid w:val="00BD42FA"/>
    <w:rsid w:val="00BD49D9"/>
    <w:rsid w:val="00BD56B8"/>
    <w:rsid w:val="00BD6B04"/>
    <w:rsid w:val="00BE0A9D"/>
    <w:rsid w:val="00BE1DF1"/>
    <w:rsid w:val="00BE1F47"/>
    <w:rsid w:val="00BE2244"/>
    <w:rsid w:val="00BE2364"/>
    <w:rsid w:val="00BE2AEF"/>
    <w:rsid w:val="00BE4748"/>
    <w:rsid w:val="00BE4AD0"/>
    <w:rsid w:val="00BE5A40"/>
    <w:rsid w:val="00BE68B4"/>
    <w:rsid w:val="00BE69A6"/>
    <w:rsid w:val="00BE79F9"/>
    <w:rsid w:val="00BF0976"/>
    <w:rsid w:val="00BF0BA0"/>
    <w:rsid w:val="00BF104C"/>
    <w:rsid w:val="00BF10BD"/>
    <w:rsid w:val="00BF14FC"/>
    <w:rsid w:val="00BF1789"/>
    <w:rsid w:val="00BF1CB7"/>
    <w:rsid w:val="00BF202D"/>
    <w:rsid w:val="00BF25F5"/>
    <w:rsid w:val="00BF33FE"/>
    <w:rsid w:val="00BF4409"/>
    <w:rsid w:val="00BF4C23"/>
    <w:rsid w:val="00BF5167"/>
    <w:rsid w:val="00BF58D1"/>
    <w:rsid w:val="00BF5AB2"/>
    <w:rsid w:val="00BF68A1"/>
    <w:rsid w:val="00BF6F8F"/>
    <w:rsid w:val="00BF6FD1"/>
    <w:rsid w:val="00BF725B"/>
    <w:rsid w:val="00BF7A18"/>
    <w:rsid w:val="00C0076A"/>
    <w:rsid w:val="00C007F4"/>
    <w:rsid w:val="00C00A8F"/>
    <w:rsid w:val="00C010CA"/>
    <w:rsid w:val="00C01196"/>
    <w:rsid w:val="00C01846"/>
    <w:rsid w:val="00C01C91"/>
    <w:rsid w:val="00C1040E"/>
    <w:rsid w:val="00C105D4"/>
    <w:rsid w:val="00C11EF3"/>
    <w:rsid w:val="00C12552"/>
    <w:rsid w:val="00C12779"/>
    <w:rsid w:val="00C12991"/>
    <w:rsid w:val="00C12FA1"/>
    <w:rsid w:val="00C12FFE"/>
    <w:rsid w:val="00C133A1"/>
    <w:rsid w:val="00C13977"/>
    <w:rsid w:val="00C14382"/>
    <w:rsid w:val="00C147A5"/>
    <w:rsid w:val="00C15045"/>
    <w:rsid w:val="00C15CD6"/>
    <w:rsid w:val="00C169F9"/>
    <w:rsid w:val="00C20724"/>
    <w:rsid w:val="00C20AD0"/>
    <w:rsid w:val="00C211B4"/>
    <w:rsid w:val="00C22D5C"/>
    <w:rsid w:val="00C238AD"/>
    <w:rsid w:val="00C23965"/>
    <w:rsid w:val="00C23DDA"/>
    <w:rsid w:val="00C24EAF"/>
    <w:rsid w:val="00C2601F"/>
    <w:rsid w:val="00C27AF7"/>
    <w:rsid w:val="00C300CD"/>
    <w:rsid w:val="00C312AE"/>
    <w:rsid w:val="00C332BD"/>
    <w:rsid w:val="00C3375D"/>
    <w:rsid w:val="00C34221"/>
    <w:rsid w:val="00C343C6"/>
    <w:rsid w:val="00C343E5"/>
    <w:rsid w:val="00C34E8F"/>
    <w:rsid w:val="00C34EF5"/>
    <w:rsid w:val="00C3504D"/>
    <w:rsid w:val="00C362F2"/>
    <w:rsid w:val="00C36CC9"/>
    <w:rsid w:val="00C40A3F"/>
    <w:rsid w:val="00C40AD9"/>
    <w:rsid w:val="00C415BB"/>
    <w:rsid w:val="00C4180F"/>
    <w:rsid w:val="00C41E73"/>
    <w:rsid w:val="00C42633"/>
    <w:rsid w:val="00C427CB"/>
    <w:rsid w:val="00C42B25"/>
    <w:rsid w:val="00C43A42"/>
    <w:rsid w:val="00C44EE0"/>
    <w:rsid w:val="00C46C28"/>
    <w:rsid w:val="00C47618"/>
    <w:rsid w:val="00C47C9E"/>
    <w:rsid w:val="00C502F1"/>
    <w:rsid w:val="00C50470"/>
    <w:rsid w:val="00C506DA"/>
    <w:rsid w:val="00C50B8B"/>
    <w:rsid w:val="00C516EE"/>
    <w:rsid w:val="00C526BC"/>
    <w:rsid w:val="00C56468"/>
    <w:rsid w:val="00C5673B"/>
    <w:rsid w:val="00C57870"/>
    <w:rsid w:val="00C578A6"/>
    <w:rsid w:val="00C57A02"/>
    <w:rsid w:val="00C62944"/>
    <w:rsid w:val="00C62CFD"/>
    <w:rsid w:val="00C6319B"/>
    <w:rsid w:val="00C63DAE"/>
    <w:rsid w:val="00C63EF1"/>
    <w:rsid w:val="00C65979"/>
    <w:rsid w:val="00C66452"/>
    <w:rsid w:val="00C66A39"/>
    <w:rsid w:val="00C66DEB"/>
    <w:rsid w:val="00C679B4"/>
    <w:rsid w:val="00C70429"/>
    <w:rsid w:val="00C706D2"/>
    <w:rsid w:val="00C70E1F"/>
    <w:rsid w:val="00C71563"/>
    <w:rsid w:val="00C71CEC"/>
    <w:rsid w:val="00C7344E"/>
    <w:rsid w:val="00C742DA"/>
    <w:rsid w:val="00C748ED"/>
    <w:rsid w:val="00C75026"/>
    <w:rsid w:val="00C757C7"/>
    <w:rsid w:val="00C75AB2"/>
    <w:rsid w:val="00C76AA2"/>
    <w:rsid w:val="00C779D9"/>
    <w:rsid w:val="00C806A7"/>
    <w:rsid w:val="00C8077D"/>
    <w:rsid w:val="00C80FA8"/>
    <w:rsid w:val="00C822C8"/>
    <w:rsid w:val="00C83C7F"/>
    <w:rsid w:val="00C8405E"/>
    <w:rsid w:val="00C84BC1"/>
    <w:rsid w:val="00C85335"/>
    <w:rsid w:val="00C8534B"/>
    <w:rsid w:val="00C8576F"/>
    <w:rsid w:val="00C865BF"/>
    <w:rsid w:val="00C8736F"/>
    <w:rsid w:val="00C8759F"/>
    <w:rsid w:val="00C875B8"/>
    <w:rsid w:val="00C87E57"/>
    <w:rsid w:val="00C904BB"/>
    <w:rsid w:val="00C911B1"/>
    <w:rsid w:val="00C916F6"/>
    <w:rsid w:val="00C93CA7"/>
    <w:rsid w:val="00C95AA3"/>
    <w:rsid w:val="00C962EA"/>
    <w:rsid w:val="00C9708C"/>
    <w:rsid w:val="00CA069F"/>
    <w:rsid w:val="00CA0881"/>
    <w:rsid w:val="00CA19E0"/>
    <w:rsid w:val="00CA248E"/>
    <w:rsid w:val="00CA2A36"/>
    <w:rsid w:val="00CA2FC3"/>
    <w:rsid w:val="00CA3A87"/>
    <w:rsid w:val="00CA3D04"/>
    <w:rsid w:val="00CA56CB"/>
    <w:rsid w:val="00CA648C"/>
    <w:rsid w:val="00CB03F4"/>
    <w:rsid w:val="00CB22F1"/>
    <w:rsid w:val="00CB23E2"/>
    <w:rsid w:val="00CB25BA"/>
    <w:rsid w:val="00CB2EF8"/>
    <w:rsid w:val="00CB376E"/>
    <w:rsid w:val="00CB461E"/>
    <w:rsid w:val="00CB5BF3"/>
    <w:rsid w:val="00CB5CE2"/>
    <w:rsid w:val="00CB5E1C"/>
    <w:rsid w:val="00CB64B1"/>
    <w:rsid w:val="00CB6C04"/>
    <w:rsid w:val="00CB6E8E"/>
    <w:rsid w:val="00CB76D6"/>
    <w:rsid w:val="00CB77E7"/>
    <w:rsid w:val="00CB7F4B"/>
    <w:rsid w:val="00CB7FE1"/>
    <w:rsid w:val="00CC07A7"/>
    <w:rsid w:val="00CC0843"/>
    <w:rsid w:val="00CC0F75"/>
    <w:rsid w:val="00CC2CC0"/>
    <w:rsid w:val="00CC2DCB"/>
    <w:rsid w:val="00CC464B"/>
    <w:rsid w:val="00CC5B7C"/>
    <w:rsid w:val="00CC6A96"/>
    <w:rsid w:val="00CC6D15"/>
    <w:rsid w:val="00CC7B5E"/>
    <w:rsid w:val="00CD0EB5"/>
    <w:rsid w:val="00CD2119"/>
    <w:rsid w:val="00CD24E0"/>
    <w:rsid w:val="00CD2F89"/>
    <w:rsid w:val="00CD3387"/>
    <w:rsid w:val="00CD353A"/>
    <w:rsid w:val="00CD414C"/>
    <w:rsid w:val="00CD51B9"/>
    <w:rsid w:val="00CD5D6A"/>
    <w:rsid w:val="00CD5FF7"/>
    <w:rsid w:val="00CD6CFE"/>
    <w:rsid w:val="00CD704C"/>
    <w:rsid w:val="00CD73E1"/>
    <w:rsid w:val="00CE0EF0"/>
    <w:rsid w:val="00CE1F56"/>
    <w:rsid w:val="00CE5044"/>
    <w:rsid w:val="00CE50DA"/>
    <w:rsid w:val="00CF1F1D"/>
    <w:rsid w:val="00CF1FEC"/>
    <w:rsid w:val="00CF2311"/>
    <w:rsid w:val="00CF25B6"/>
    <w:rsid w:val="00CF2F8C"/>
    <w:rsid w:val="00CF3011"/>
    <w:rsid w:val="00CF37E0"/>
    <w:rsid w:val="00CF4287"/>
    <w:rsid w:val="00CF5D45"/>
    <w:rsid w:val="00CF5D8A"/>
    <w:rsid w:val="00CF60D7"/>
    <w:rsid w:val="00CF66E5"/>
    <w:rsid w:val="00CF6FC2"/>
    <w:rsid w:val="00CF7CFF"/>
    <w:rsid w:val="00D0152B"/>
    <w:rsid w:val="00D016D6"/>
    <w:rsid w:val="00D01EE3"/>
    <w:rsid w:val="00D02E7E"/>
    <w:rsid w:val="00D02F0E"/>
    <w:rsid w:val="00D03A07"/>
    <w:rsid w:val="00D03C3D"/>
    <w:rsid w:val="00D040EC"/>
    <w:rsid w:val="00D0418F"/>
    <w:rsid w:val="00D04D25"/>
    <w:rsid w:val="00D05260"/>
    <w:rsid w:val="00D0530A"/>
    <w:rsid w:val="00D05F7C"/>
    <w:rsid w:val="00D05F8F"/>
    <w:rsid w:val="00D0666A"/>
    <w:rsid w:val="00D06D53"/>
    <w:rsid w:val="00D11203"/>
    <w:rsid w:val="00D11206"/>
    <w:rsid w:val="00D141C4"/>
    <w:rsid w:val="00D144D8"/>
    <w:rsid w:val="00D14B66"/>
    <w:rsid w:val="00D15EFE"/>
    <w:rsid w:val="00D16486"/>
    <w:rsid w:val="00D16591"/>
    <w:rsid w:val="00D20E72"/>
    <w:rsid w:val="00D21351"/>
    <w:rsid w:val="00D21E0D"/>
    <w:rsid w:val="00D2269D"/>
    <w:rsid w:val="00D234C0"/>
    <w:rsid w:val="00D236BA"/>
    <w:rsid w:val="00D23DB0"/>
    <w:rsid w:val="00D24106"/>
    <w:rsid w:val="00D24EC2"/>
    <w:rsid w:val="00D2568D"/>
    <w:rsid w:val="00D25974"/>
    <w:rsid w:val="00D26280"/>
    <w:rsid w:val="00D27356"/>
    <w:rsid w:val="00D276B7"/>
    <w:rsid w:val="00D301CA"/>
    <w:rsid w:val="00D30405"/>
    <w:rsid w:val="00D30D22"/>
    <w:rsid w:val="00D30F72"/>
    <w:rsid w:val="00D3264E"/>
    <w:rsid w:val="00D32A04"/>
    <w:rsid w:val="00D33074"/>
    <w:rsid w:val="00D354DF"/>
    <w:rsid w:val="00D35528"/>
    <w:rsid w:val="00D35DC8"/>
    <w:rsid w:val="00D35E5A"/>
    <w:rsid w:val="00D37B02"/>
    <w:rsid w:val="00D400C5"/>
    <w:rsid w:val="00D40548"/>
    <w:rsid w:val="00D40AAA"/>
    <w:rsid w:val="00D42DB3"/>
    <w:rsid w:val="00D42ECA"/>
    <w:rsid w:val="00D4342E"/>
    <w:rsid w:val="00D43AC5"/>
    <w:rsid w:val="00D43C4E"/>
    <w:rsid w:val="00D461BC"/>
    <w:rsid w:val="00D465EB"/>
    <w:rsid w:val="00D4780F"/>
    <w:rsid w:val="00D47989"/>
    <w:rsid w:val="00D50843"/>
    <w:rsid w:val="00D50F9D"/>
    <w:rsid w:val="00D52394"/>
    <w:rsid w:val="00D5261A"/>
    <w:rsid w:val="00D53789"/>
    <w:rsid w:val="00D53803"/>
    <w:rsid w:val="00D53A6C"/>
    <w:rsid w:val="00D53B3B"/>
    <w:rsid w:val="00D54474"/>
    <w:rsid w:val="00D54900"/>
    <w:rsid w:val="00D54E83"/>
    <w:rsid w:val="00D55D6C"/>
    <w:rsid w:val="00D61A3F"/>
    <w:rsid w:val="00D61D19"/>
    <w:rsid w:val="00D621C5"/>
    <w:rsid w:val="00D62A14"/>
    <w:rsid w:val="00D631F4"/>
    <w:rsid w:val="00D64081"/>
    <w:rsid w:val="00D65F35"/>
    <w:rsid w:val="00D6728A"/>
    <w:rsid w:val="00D67326"/>
    <w:rsid w:val="00D673C9"/>
    <w:rsid w:val="00D70A32"/>
    <w:rsid w:val="00D72504"/>
    <w:rsid w:val="00D72808"/>
    <w:rsid w:val="00D72F94"/>
    <w:rsid w:val="00D73F02"/>
    <w:rsid w:val="00D748AE"/>
    <w:rsid w:val="00D80953"/>
    <w:rsid w:val="00D81703"/>
    <w:rsid w:val="00D81A32"/>
    <w:rsid w:val="00D81A67"/>
    <w:rsid w:val="00D81AD9"/>
    <w:rsid w:val="00D824B1"/>
    <w:rsid w:val="00D84097"/>
    <w:rsid w:val="00D8520A"/>
    <w:rsid w:val="00D87162"/>
    <w:rsid w:val="00D8738C"/>
    <w:rsid w:val="00D87880"/>
    <w:rsid w:val="00D878B7"/>
    <w:rsid w:val="00D91331"/>
    <w:rsid w:val="00D91559"/>
    <w:rsid w:val="00D91B9F"/>
    <w:rsid w:val="00D93066"/>
    <w:rsid w:val="00D9336B"/>
    <w:rsid w:val="00D94BF2"/>
    <w:rsid w:val="00D9591A"/>
    <w:rsid w:val="00D9761F"/>
    <w:rsid w:val="00D97D48"/>
    <w:rsid w:val="00DA063B"/>
    <w:rsid w:val="00DA2852"/>
    <w:rsid w:val="00DA41DD"/>
    <w:rsid w:val="00DA4E4C"/>
    <w:rsid w:val="00DA5A60"/>
    <w:rsid w:val="00DA62AD"/>
    <w:rsid w:val="00DA6B13"/>
    <w:rsid w:val="00DA7B3B"/>
    <w:rsid w:val="00DB03FF"/>
    <w:rsid w:val="00DB045E"/>
    <w:rsid w:val="00DB0E21"/>
    <w:rsid w:val="00DB0E72"/>
    <w:rsid w:val="00DB2DB1"/>
    <w:rsid w:val="00DB41CC"/>
    <w:rsid w:val="00DC0397"/>
    <w:rsid w:val="00DC04D3"/>
    <w:rsid w:val="00DC0A67"/>
    <w:rsid w:val="00DC12BD"/>
    <w:rsid w:val="00DC1EE9"/>
    <w:rsid w:val="00DC2F05"/>
    <w:rsid w:val="00DC4B15"/>
    <w:rsid w:val="00DC4B25"/>
    <w:rsid w:val="00DC4BE1"/>
    <w:rsid w:val="00DC4CED"/>
    <w:rsid w:val="00DC5973"/>
    <w:rsid w:val="00DD3011"/>
    <w:rsid w:val="00DD31E9"/>
    <w:rsid w:val="00DD3EEC"/>
    <w:rsid w:val="00DD420A"/>
    <w:rsid w:val="00DD49B4"/>
    <w:rsid w:val="00DD4F43"/>
    <w:rsid w:val="00DD5DAC"/>
    <w:rsid w:val="00DE01F5"/>
    <w:rsid w:val="00DE054C"/>
    <w:rsid w:val="00DE05A0"/>
    <w:rsid w:val="00DE089C"/>
    <w:rsid w:val="00DE10FF"/>
    <w:rsid w:val="00DE16B6"/>
    <w:rsid w:val="00DE2CE3"/>
    <w:rsid w:val="00DE4883"/>
    <w:rsid w:val="00DE55B3"/>
    <w:rsid w:val="00DE5882"/>
    <w:rsid w:val="00DE6925"/>
    <w:rsid w:val="00DE7D72"/>
    <w:rsid w:val="00DE7E04"/>
    <w:rsid w:val="00DF043A"/>
    <w:rsid w:val="00DF0654"/>
    <w:rsid w:val="00DF1277"/>
    <w:rsid w:val="00DF22A2"/>
    <w:rsid w:val="00DF27C9"/>
    <w:rsid w:val="00DF3128"/>
    <w:rsid w:val="00DF3DB8"/>
    <w:rsid w:val="00DF4789"/>
    <w:rsid w:val="00DF5236"/>
    <w:rsid w:val="00DF5572"/>
    <w:rsid w:val="00DF6055"/>
    <w:rsid w:val="00DF6074"/>
    <w:rsid w:val="00DF6649"/>
    <w:rsid w:val="00DF7621"/>
    <w:rsid w:val="00DF78DC"/>
    <w:rsid w:val="00DF7A71"/>
    <w:rsid w:val="00E01B10"/>
    <w:rsid w:val="00E02ED1"/>
    <w:rsid w:val="00E04907"/>
    <w:rsid w:val="00E05617"/>
    <w:rsid w:val="00E06282"/>
    <w:rsid w:val="00E065B1"/>
    <w:rsid w:val="00E07646"/>
    <w:rsid w:val="00E103B5"/>
    <w:rsid w:val="00E11460"/>
    <w:rsid w:val="00E12D1C"/>
    <w:rsid w:val="00E138EF"/>
    <w:rsid w:val="00E139CE"/>
    <w:rsid w:val="00E1400C"/>
    <w:rsid w:val="00E14433"/>
    <w:rsid w:val="00E15151"/>
    <w:rsid w:val="00E1521D"/>
    <w:rsid w:val="00E15955"/>
    <w:rsid w:val="00E1758D"/>
    <w:rsid w:val="00E178C5"/>
    <w:rsid w:val="00E179B2"/>
    <w:rsid w:val="00E205BF"/>
    <w:rsid w:val="00E219A8"/>
    <w:rsid w:val="00E23B71"/>
    <w:rsid w:val="00E249F8"/>
    <w:rsid w:val="00E2612F"/>
    <w:rsid w:val="00E2721B"/>
    <w:rsid w:val="00E27278"/>
    <w:rsid w:val="00E2759D"/>
    <w:rsid w:val="00E302CD"/>
    <w:rsid w:val="00E3069C"/>
    <w:rsid w:val="00E30BB6"/>
    <w:rsid w:val="00E30D6D"/>
    <w:rsid w:val="00E30E83"/>
    <w:rsid w:val="00E31EF7"/>
    <w:rsid w:val="00E32209"/>
    <w:rsid w:val="00E3225D"/>
    <w:rsid w:val="00E328FC"/>
    <w:rsid w:val="00E331C1"/>
    <w:rsid w:val="00E3325F"/>
    <w:rsid w:val="00E34207"/>
    <w:rsid w:val="00E34D71"/>
    <w:rsid w:val="00E35358"/>
    <w:rsid w:val="00E36640"/>
    <w:rsid w:val="00E37052"/>
    <w:rsid w:val="00E377C2"/>
    <w:rsid w:val="00E40806"/>
    <w:rsid w:val="00E40A74"/>
    <w:rsid w:val="00E41B2C"/>
    <w:rsid w:val="00E436B9"/>
    <w:rsid w:val="00E46AA0"/>
    <w:rsid w:val="00E47E73"/>
    <w:rsid w:val="00E510BB"/>
    <w:rsid w:val="00E51C2F"/>
    <w:rsid w:val="00E527E3"/>
    <w:rsid w:val="00E52ED4"/>
    <w:rsid w:val="00E53071"/>
    <w:rsid w:val="00E54C53"/>
    <w:rsid w:val="00E55BC0"/>
    <w:rsid w:val="00E60BBB"/>
    <w:rsid w:val="00E61661"/>
    <w:rsid w:val="00E63B9D"/>
    <w:rsid w:val="00E6413F"/>
    <w:rsid w:val="00E6416E"/>
    <w:rsid w:val="00E64FF4"/>
    <w:rsid w:val="00E65831"/>
    <w:rsid w:val="00E65CF6"/>
    <w:rsid w:val="00E65CFA"/>
    <w:rsid w:val="00E6622E"/>
    <w:rsid w:val="00E6632F"/>
    <w:rsid w:val="00E706B1"/>
    <w:rsid w:val="00E715C6"/>
    <w:rsid w:val="00E71CF0"/>
    <w:rsid w:val="00E73934"/>
    <w:rsid w:val="00E73E47"/>
    <w:rsid w:val="00E76C5F"/>
    <w:rsid w:val="00E77B5D"/>
    <w:rsid w:val="00E80A74"/>
    <w:rsid w:val="00E82B56"/>
    <w:rsid w:val="00E83496"/>
    <w:rsid w:val="00E83524"/>
    <w:rsid w:val="00E84C02"/>
    <w:rsid w:val="00E878A4"/>
    <w:rsid w:val="00E87E41"/>
    <w:rsid w:val="00E9011D"/>
    <w:rsid w:val="00E9041C"/>
    <w:rsid w:val="00E90E0D"/>
    <w:rsid w:val="00E91954"/>
    <w:rsid w:val="00E9275E"/>
    <w:rsid w:val="00E93237"/>
    <w:rsid w:val="00E935F5"/>
    <w:rsid w:val="00E973CA"/>
    <w:rsid w:val="00E97611"/>
    <w:rsid w:val="00EA1543"/>
    <w:rsid w:val="00EA2AF2"/>
    <w:rsid w:val="00EA3877"/>
    <w:rsid w:val="00EA3C7E"/>
    <w:rsid w:val="00EA4247"/>
    <w:rsid w:val="00EA4435"/>
    <w:rsid w:val="00EA608E"/>
    <w:rsid w:val="00EA63EA"/>
    <w:rsid w:val="00EA757E"/>
    <w:rsid w:val="00EB11CB"/>
    <w:rsid w:val="00EB1D89"/>
    <w:rsid w:val="00EB2AFF"/>
    <w:rsid w:val="00EB2C41"/>
    <w:rsid w:val="00EB2F3A"/>
    <w:rsid w:val="00EB4489"/>
    <w:rsid w:val="00EB4CE2"/>
    <w:rsid w:val="00EB73A7"/>
    <w:rsid w:val="00EB7A46"/>
    <w:rsid w:val="00EB7BEF"/>
    <w:rsid w:val="00EB7CF7"/>
    <w:rsid w:val="00EC0A5F"/>
    <w:rsid w:val="00EC2107"/>
    <w:rsid w:val="00EC22B1"/>
    <w:rsid w:val="00EC3A1C"/>
    <w:rsid w:val="00EC5079"/>
    <w:rsid w:val="00EC6344"/>
    <w:rsid w:val="00EC64DE"/>
    <w:rsid w:val="00EC7292"/>
    <w:rsid w:val="00EC74B7"/>
    <w:rsid w:val="00ED3CEF"/>
    <w:rsid w:val="00ED66B3"/>
    <w:rsid w:val="00ED674E"/>
    <w:rsid w:val="00ED7441"/>
    <w:rsid w:val="00ED7BDE"/>
    <w:rsid w:val="00EE1604"/>
    <w:rsid w:val="00EE1804"/>
    <w:rsid w:val="00EE1F9C"/>
    <w:rsid w:val="00EE5309"/>
    <w:rsid w:val="00EE5628"/>
    <w:rsid w:val="00EE6A41"/>
    <w:rsid w:val="00EE7975"/>
    <w:rsid w:val="00EE7CF4"/>
    <w:rsid w:val="00EE7DD5"/>
    <w:rsid w:val="00EF04A0"/>
    <w:rsid w:val="00EF0561"/>
    <w:rsid w:val="00EF0B71"/>
    <w:rsid w:val="00EF18ED"/>
    <w:rsid w:val="00EF2C45"/>
    <w:rsid w:val="00EF3B67"/>
    <w:rsid w:val="00EF52F6"/>
    <w:rsid w:val="00EF5671"/>
    <w:rsid w:val="00EF65C5"/>
    <w:rsid w:val="00EF66B1"/>
    <w:rsid w:val="00EF713D"/>
    <w:rsid w:val="00EF7C41"/>
    <w:rsid w:val="00F007BF"/>
    <w:rsid w:val="00F01087"/>
    <w:rsid w:val="00F02847"/>
    <w:rsid w:val="00F029BE"/>
    <w:rsid w:val="00F03131"/>
    <w:rsid w:val="00F0352E"/>
    <w:rsid w:val="00F04113"/>
    <w:rsid w:val="00F054A6"/>
    <w:rsid w:val="00F054AE"/>
    <w:rsid w:val="00F05815"/>
    <w:rsid w:val="00F05D31"/>
    <w:rsid w:val="00F06136"/>
    <w:rsid w:val="00F07895"/>
    <w:rsid w:val="00F07DEA"/>
    <w:rsid w:val="00F101C0"/>
    <w:rsid w:val="00F107C3"/>
    <w:rsid w:val="00F11EE5"/>
    <w:rsid w:val="00F129CC"/>
    <w:rsid w:val="00F12B59"/>
    <w:rsid w:val="00F12B8D"/>
    <w:rsid w:val="00F12F79"/>
    <w:rsid w:val="00F133B5"/>
    <w:rsid w:val="00F13F26"/>
    <w:rsid w:val="00F1411E"/>
    <w:rsid w:val="00F14226"/>
    <w:rsid w:val="00F15697"/>
    <w:rsid w:val="00F15D8F"/>
    <w:rsid w:val="00F15EEB"/>
    <w:rsid w:val="00F16AC2"/>
    <w:rsid w:val="00F177C3"/>
    <w:rsid w:val="00F178E9"/>
    <w:rsid w:val="00F203AA"/>
    <w:rsid w:val="00F206E0"/>
    <w:rsid w:val="00F20F26"/>
    <w:rsid w:val="00F211CB"/>
    <w:rsid w:val="00F212EE"/>
    <w:rsid w:val="00F21DC6"/>
    <w:rsid w:val="00F21FF8"/>
    <w:rsid w:val="00F23CBE"/>
    <w:rsid w:val="00F23E74"/>
    <w:rsid w:val="00F2404A"/>
    <w:rsid w:val="00F247E9"/>
    <w:rsid w:val="00F24DA6"/>
    <w:rsid w:val="00F25407"/>
    <w:rsid w:val="00F255C9"/>
    <w:rsid w:val="00F25B97"/>
    <w:rsid w:val="00F26B24"/>
    <w:rsid w:val="00F276AC"/>
    <w:rsid w:val="00F27ACA"/>
    <w:rsid w:val="00F27AF8"/>
    <w:rsid w:val="00F27FD2"/>
    <w:rsid w:val="00F310D3"/>
    <w:rsid w:val="00F32CD4"/>
    <w:rsid w:val="00F339BD"/>
    <w:rsid w:val="00F3465E"/>
    <w:rsid w:val="00F3492C"/>
    <w:rsid w:val="00F3599A"/>
    <w:rsid w:val="00F36A0E"/>
    <w:rsid w:val="00F4016E"/>
    <w:rsid w:val="00F4177B"/>
    <w:rsid w:val="00F431B4"/>
    <w:rsid w:val="00F4499C"/>
    <w:rsid w:val="00F46567"/>
    <w:rsid w:val="00F46831"/>
    <w:rsid w:val="00F478FD"/>
    <w:rsid w:val="00F47993"/>
    <w:rsid w:val="00F479AF"/>
    <w:rsid w:val="00F47CA7"/>
    <w:rsid w:val="00F51123"/>
    <w:rsid w:val="00F52B4D"/>
    <w:rsid w:val="00F534B5"/>
    <w:rsid w:val="00F53EBB"/>
    <w:rsid w:val="00F5452D"/>
    <w:rsid w:val="00F54F88"/>
    <w:rsid w:val="00F556A6"/>
    <w:rsid w:val="00F56198"/>
    <w:rsid w:val="00F5626F"/>
    <w:rsid w:val="00F564DB"/>
    <w:rsid w:val="00F5772C"/>
    <w:rsid w:val="00F578E8"/>
    <w:rsid w:val="00F57FF3"/>
    <w:rsid w:val="00F60D32"/>
    <w:rsid w:val="00F6238C"/>
    <w:rsid w:val="00F62815"/>
    <w:rsid w:val="00F62E39"/>
    <w:rsid w:val="00F6347B"/>
    <w:rsid w:val="00F63947"/>
    <w:rsid w:val="00F640BF"/>
    <w:rsid w:val="00F64131"/>
    <w:rsid w:val="00F646B8"/>
    <w:rsid w:val="00F6666D"/>
    <w:rsid w:val="00F70B8A"/>
    <w:rsid w:val="00F71F45"/>
    <w:rsid w:val="00F736E9"/>
    <w:rsid w:val="00F74121"/>
    <w:rsid w:val="00F7466F"/>
    <w:rsid w:val="00F747AE"/>
    <w:rsid w:val="00F74E99"/>
    <w:rsid w:val="00F752D9"/>
    <w:rsid w:val="00F762B1"/>
    <w:rsid w:val="00F7637A"/>
    <w:rsid w:val="00F77628"/>
    <w:rsid w:val="00F8038D"/>
    <w:rsid w:val="00F80472"/>
    <w:rsid w:val="00F809D5"/>
    <w:rsid w:val="00F815A0"/>
    <w:rsid w:val="00F81B01"/>
    <w:rsid w:val="00F82360"/>
    <w:rsid w:val="00F82D21"/>
    <w:rsid w:val="00F858F1"/>
    <w:rsid w:val="00F8663C"/>
    <w:rsid w:val="00F86AF2"/>
    <w:rsid w:val="00F910E0"/>
    <w:rsid w:val="00F91E2E"/>
    <w:rsid w:val="00F93488"/>
    <w:rsid w:val="00F935FF"/>
    <w:rsid w:val="00F937B1"/>
    <w:rsid w:val="00F93964"/>
    <w:rsid w:val="00F93AE0"/>
    <w:rsid w:val="00F948EF"/>
    <w:rsid w:val="00F9495C"/>
    <w:rsid w:val="00F95B21"/>
    <w:rsid w:val="00F95C05"/>
    <w:rsid w:val="00FA0BC0"/>
    <w:rsid w:val="00FA16A7"/>
    <w:rsid w:val="00FA170F"/>
    <w:rsid w:val="00FA2175"/>
    <w:rsid w:val="00FA2D9C"/>
    <w:rsid w:val="00FA35E5"/>
    <w:rsid w:val="00FA3C1E"/>
    <w:rsid w:val="00FA3DAF"/>
    <w:rsid w:val="00FA4396"/>
    <w:rsid w:val="00FA567C"/>
    <w:rsid w:val="00FB0B55"/>
    <w:rsid w:val="00FB0BCB"/>
    <w:rsid w:val="00FB1535"/>
    <w:rsid w:val="00FB1608"/>
    <w:rsid w:val="00FB17B1"/>
    <w:rsid w:val="00FB4F15"/>
    <w:rsid w:val="00FB596F"/>
    <w:rsid w:val="00FB6045"/>
    <w:rsid w:val="00FB6E6D"/>
    <w:rsid w:val="00FB7101"/>
    <w:rsid w:val="00FB7A8E"/>
    <w:rsid w:val="00FC0588"/>
    <w:rsid w:val="00FC06A6"/>
    <w:rsid w:val="00FC1465"/>
    <w:rsid w:val="00FC3CFF"/>
    <w:rsid w:val="00FC53A4"/>
    <w:rsid w:val="00FC61D8"/>
    <w:rsid w:val="00FD09E3"/>
    <w:rsid w:val="00FD10B1"/>
    <w:rsid w:val="00FD11FE"/>
    <w:rsid w:val="00FD2781"/>
    <w:rsid w:val="00FD2889"/>
    <w:rsid w:val="00FD35B0"/>
    <w:rsid w:val="00FD38B7"/>
    <w:rsid w:val="00FD47EF"/>
    <w:rsid w:val="00FD5164"/>
    <w:rsid w:val="00FD7078"/>
    <w:rsid w:val="00FD7524"/>
    <w:rsid w:val="00FD7598"/>
    <w:rsid w:val="00FD792F"/>
    <w:rsid w:val="00FE1084"/>
    <w:rsid w:val="00FE1130"/>
    <w:rsid w:val="00FE122D"/>
    <w:rsid w:val="00FE29AD"/>
    <w:rsid w:val="00FE6551"/>
    <w:rsid w:val="00FE739D"/>
    <w:rsid w:val="00FF1661"/>
    <w:rsid w:val="00FF1BA7"/>
    <w:rsid w:val="00FF1F54"/>
    <w:rsid w:val="00FF2412"/>
    <w:rsid w:val="00FF27F0"/>
    <w:rsid w:val="00FF37A9"/>
    <w:rsid w:val="00FF3DAB"/>
    <w:rsid w:val="00FF480E"/>
    <w:rsid w:val="00FF5656"/>
    <w:rsid w:val="00FF72BC"/>
    <w:rsid w:val="00FF73F1"/>
    <w:rsid w:val="00FF7CAF"/>
    <w:rsid w:val="011728FC"/>
    <w:rsid w:val="014632E9"/>
    <w:rsid w:val="0155370A"/>
    <w:rsid w:val="01CA216C"/>
    <w:rsid w:val="024E3F3E"/>
    <w:rsid w:val="02771735"/>
    <w:rsid w:val="0292728B"/>
    <w:rsid w:val="03012F09"/>
    <w:rsid w:val="038E196D"/>
    <w:rsid w:val="03A743E0"/>
    <w:rsid w:val="049B394B"/>
    <w:rsid w:val="04CF163B"/>
    <w:rsid w:val="04E64966"/>
    <w:rsid w:val="04FC0E96"/>
    <w:rsid w:val="05595D5D"/>
    <w:rsid w:val="056A3A4A"/>
    <w:rsid w:val="05D26A0C"/>
    <w:rsid w:val="05E25CD8"/>
    <w:rsid w:val="05EC5A6F"/>
    <w:rsid w:val="05ED01D7"/>
    <w:rsid w:val="05F53A5E"/>
    <w:rsid w:val="05F6454F"/>
    <w:rsid w:val="06227D95"/>
    <w:rsid w:val="063D6C89"/>
    <w:rsid w:val="06587D46"/>
    <w:rsid w:val="06A2481C"/>
    <w:rsid w:val="06C470CB"/>
    <w:rsid w:val="06D03D80"/>
    <w:rsid w:val="06F8553D"/>
    <w:rsid w:val="07781E60"/>
    <w:rsid w:val="079D36AF"/>
    <w:rsid w:val="07AB0349"/>
    <w:rsid w:val="07D433FC"/>
    <w:rsid w:val="07EC2616"/>
    <w:rsid w:val="08351BD7"/>
    <w:rsid w:val="08D0541C"/>
    <w:rsid w:val="09632591"/>
    <w:rsid w:val="09B1408A"/>
    <w:rsid w:val="09F913F4"/>
    <w:rsid w:val="0A610298"/>
    <w:rsid w:val="0AAA04C8"/>
    <w:rsid w:val="0AC869EC"/>
    <w:rsid w:val="0B3B267D"/>
    <w:rsid w:val="0B582596"/>
    <w:rsid w:val="0BA8107C"/>
    <w:rsid w:val="0BFF5ADB"/>
    <w:rsid w:val="0C1B5A9E"/>
    <w:rsid w:val="0C1C09B9"/>
    <w:rsid w:val="0C3E7442"/>
    <w:rsid w:val="0C745D6A"/>
    <w:rsid w:val="0CE95B9C"/>
    <w:rsid w:val="0CFE7913"/>
    <w:rsid w:val="0D991370"/>
    <w:rsid w:val="0E2A13FA"/>
    <w:rsid w:val="0E2F75DE"/>
    <w:rsid w:val="0E3B66C8"/>
    <w:rsid w:val="0E4417F8"/>
    <w:rsid w:val="0E571AB3"/>
    <w:rsid w:val="0E6655D6"/>
    <w:rsid w:val="0E883192"/>
    <w:rsid w:val="0EB977F0"/>
    <w:rsid w:val="0F0C31E5"/>
    <w:rsid w:val="0F8E6586"/>
    <w:rsid w:val="0FA80195"/>
    <w:rsid w:val="0FDD12BC"/>
    <w:rsid w:val="117874EE"/>
    <w:rsid w:val="1198193E"/>
    <w:rsid w:val="119836EC"/>
    <w:rsid w:val="119E225B"/>
    <w:rsid w:val="137D2DCB"/>
    <w:rsid w:val="13C9522F"/>
    <w:rsid w:val="1412517A"/>
    <w:rsid w:val="144E31C8"/>
    <w:rsid w:val="144F1701"/>
    <w:rsid w:val="149C4CFB"/>
    <w:rsid w:val="14E5107F"/>
    <w:rsid w:val="150C68CB"/>
    <w:rsid w:val="1524457A"/>
    <w:rsid w:val="155F12D6"/>
    <w:rsid w:val="159077D1"/>
    <w:rsid w:val="160C6457"/>
    <w:rsid w:val="1629588B"/>
    <w:rsid w:val="165247B2"/>
    <w:rsid w:val="166B402D"/>
    <w:rsid w:val="16873D30"/>
    <w:rsid w:val="16915513"/>
    <w:rsid w:val="16A20B69"/>
    <w:rsid w:val="17956124"/>
    <w:rsid w:val="17BA3DF5"/>
    <w:rsid w:val="184939B2"/>
    <w:rsid w:val="187612CC"/>
    <w:rsid w:val="18861934"/>
    <w:rsid w:val="18A62B93"/>
    <w:rsid w:val="18ED2570"/>
    <w:rsid w:val="1969500A"/>
    <w:rsid w:val="19B124F2"/>
    <w:rsid w:val="19D8588C"/>
    <w:rsid w:val="19EC11AD"/>
    <w:rsid w:val="19F405EA"/>
    <w:rsid w:val="19F464F4"/>
    <w:rsid w:val="1A0A0C28"/>
    <w:rsid w:val="1A17588F"/>
    <w:rsid w:val="1A297560"/>
    <w:rsid w:val="1A622AE9"/>
    <w:rsid w:val="1B17437C"/>
    <w:rsid w:val="1B375D24"/>
    <w:rsid w:val="1B740D26"/>
    <w:rsid w:val="1B8C46D7"/>
    <w:rsid w:val="1C7611E4"/>
    <w:rsid w:val="1CAD32CA"/>
    <w:rsid w:val="1CB044D2"/>
    <w:rsid w:val="1CB74803"/>
    <w:rsid w:val="1CCD3E6E"/>
    <w:rsid w:val="1D292501"/>
    <w:rsid w:val="1E157EE3"/>
    <w:rsid w:val="1E772D04"/>
    <w:rsid w:val="1E832C89"/>
    <w:rsid w:val="1EA86988"/>
    <w:rsid w:val="1EC213A0"/>
    <w:rsid w:val="1ED61F4D"/>
    <w:rsid w:val="1EDA62DA"/>
    <w:rsid w:val="1EF31E06"/>
    <w:rsid w:val="1FEF4816"/>
    <w:rsid w:val="200C59D1"/>
    <w:rsid w:val="20232657"/>
    <w:rsid w:val="204257B5"/>
    <w:rsid w:val="204B3829"/>
    <w:rsid w:val="20592BE1"/>
    <w:rsid w:val="20937867"/>
    <w:rsid w:val="20C078B2"/>
    <w:rsid w:val="210448FA"/>
    <w:rsid w:val="211707FA"/>
    <w:rsid w:val="2153617C"/>
    <w:rsid w:val="215E3743"/>
    <w:rsid w:val="21CA18A7"/>
    <w:rsid w:val="22120B85"/>
    <w:rsid w:val="22742B9E"/>
    <w:rsid w:val="22792CA9"/>
    <w:rsid w:val="227F6295"/>
    <w:rsid w:val="228C2D1A"/>
    <w:rsid w:val="23043709"/>
    <w:rsid w:val="23197571"/>
    <w:rsid w:val="231F3E73"/>
    <w:rsid w:val="236C49ED"/>
    <w:rsid w:val="23DB1BDB"/>
    <w:rsid w:val="23F42BC6"/>
    <w:rsid w:val="247F0DAF"/>
    <w:rsid w:val="2485392A"/>
    <w:rsid w:val="24DD57C6"/>
    <w:rsid w:val="24EA5F91"/>
    <w:rsid w:val="25146263"/>
    <w:rsid w:val="25836668"/>
    <w:rsid w:val="25DB0C06"/>
    <w:rsid w:val="26CC7C68"/>
    <w:rsid w:val="26CD578F"/>
    <w:rsid w:val="26EE2392"/>
    <w:rsid w:val="270556EA"/>
    <w:rsid w:val="27247346"/>
    <w:rsid w:val="27402E3A"/>
    <w:rsid w:val="27A556D6"/>
    <w:rsid w:val="27D112AE"/>
    <w:rsid w:val="27DA387A"/>
    <w:rsid w:val="27E46FCB"/>
    <w:rsid w:val="281C69CE"/>
    <w:rsid w:val="28BB315D"/>
    <w:rsid w:val="28C606E7"/>
    <w:rsid w:val="28E315F7"/>
    <w:rsid w:val="291B4ED7"/>
    <w:rsid w:val="296F4161"/>
    <w:rsid w:val="2A0E67EA"/>
    <w:rsid w:val="2A2257BA"/>
    <w:rsid w:val="2A5C7555"/>
    <w:rsid w:val="2A77438F"/>
    <w:rsid w:val="2A7A35D4"/>
    <w:rsid w:val="2A7B0189"/>
    <w:rsid w:val="2AF423F4"/>
    <w:rsid w:val="2B0D4410"/>
    <w:rsid w:val="2BF870D4"/>
    <w:rsid w:val="2C1627F5"/>
    <w:rsid w:val="2C4216CE"/>
    <w:rsid w:val="2C5451CC"/>
    <w:rsid w:val="2C624BCB"/>
    <w:rsid w:val="2C731DBF"/>
    <w:rsid w:val="2CC80C03"/>
    <w:rsid w:val="2CE618B6"/>
    <w:rsid w:val="2D1D7CBF"/>
    <w:rsid w:val="2D396901"/>
    <w:rsid w:val="2D6B0C61"/>
    <w:rsid w:val="2D6E5808"/>
    <w:rsid w:val="2DB66F7C"/>
    <w:rsid w:val="2DCF003E"/>
    <w:rsid w:val="2E2760CC"/>
    <w:rsid w:val="2E313B0A"/>
    <w:rsid w:val="2E402CEA"/>
    <w:rsid w:val="2E5549E7"/>
    <w:rsid w:val="2E690A82"/>
    <w:rsid w:val="2E8437BB"/>
    <w:rsid w:val="2E9D3BB8"/>
    <w:rsid w:val="2ED75C93"/>
    <w:rsid w:val="2F307887"/>
    <w:rsid w:val="2F412C84"/>
    <w:rsid w:val="2F650C5A"/>
    <w:rsid w:val="2FDC6D90"/>
    <w:rsid w:val="2FDE6C5E"/>
    <w:rsid w:val="2FE8458F"/>
    <w:rsid w:val="2FFE3D6B"/>
    <w:rsid w:val="30444929"/>
    <w:rsid w:val="30F24734"/>
    <w:rsid w:val="31462D0D"/>
    <w:rsid w:val="315B7369"/>
    <w:rsid w:val="31A87524"/>
    <w:rsid w:val="31BE0AF5"/>
    <w:rsid w:val="31D026A1"/>
    <w:rsid w:val="31EE13DB"/>
    <w:rsid w:val="322C1F03"/>
    <w:rsid w:val="33125CD6"/>
    <w:rsid w:val="33353898"/>
    <w:rsid w:val="333C7412"/>
    <w:rsid w:val="33634DED"/>
    <w:rsid w:val="340B30FF"/>
    <w:rsid w:val="34373F3F"/>
    <w:rsid w:val="348B7A67"/>
    <w:rsid w:val="348E47AF"/>
    <w:rsid w:val="349F68E8"/>
    <w:rsid w:val="34AF4D5E"/>
    <w:rsid w:val="34C020AE"/>
    <w:rsid w:val="34C8503C"/>
    <w:rsid w:val="35586714"/>
    <w:rsid w:val="359E6C74"/>
    <w:rsid w:val="36423D32"/>
    <w:rsid w:val="364E56EE"/>
    <w:rsid w:val="3655075B"/>
    <w:rsid w:val="36A5527E"/>
    <w:rsid w:val="36FD098F"/>
    <w:rsid w:val="37382A52"/>
    <w:rsid w:val="376143FD"/>
    <w:rsid w:val="37BE5168"/>
    <w:rsid w:val="3818090F"/>
    <w:rsid w:val="384B66E9"/>
    <w:rsid w:val="38635EF7"/>
    <w:rsid w:val="389414E2"/>
    <w:rsid w:val="38DA2B85"/>
    <w:rsid w:val="38E3655F"/>
    <w:rsid w:val="39702623"/>
    <w:rsid w:val="3986639D"/>
    <w:rsid w:val="39BA7F17"/>
    <w:rsid w:val="3A176FF5"/>
    <w:rsid w:val="3A557B1D"/>
    <w:rsid w:val="3A871371"/>
    <w:rsid w:val="3AEE1E10"/>
    <w:rsid w:val="3AF30853"/>
    <w:rsid w:val="3B410FAC"/>
    <w:rsid w:val="3B4F1833"/>
    <w:rsid w:val="3B9F1CAF"/>
    <w:rsid w:val="3BB17E76"/>
    <w:rsid w:val="3BDC3FD3"/>
    <w:rsid w:val="3C8876C6"/>
    <w:rsid w:val="3D3679ED"/>
    <w:rsid w:val="3D632551"/>
    <w:rsid w:val="3DA40443"/>
    <w:rsid w:val="3E077323"/>
    <w:rsid w:val="3E157CEF"/>
    <w:rsid w:val="3E267D1C"/>
    <w:rsid w:val="3E46434D"/>
    <w:rsid w:val="3E4D56DB"/>
    <w:rsid w:val="3E500D27"/>
    <w:rsid w:val="3E5A0293"/>
    <w:rsid w:val="3E6C6624"/>
    <w:rsid w:val="3E79027E"/>
    <w:rsid w:val="3EA37D57"/>
    <w:rsid w:val="3EC843A0"/>
    <w:rsid w:val="3EF142B8"/>
    <w:rsid w:val="3F220916"/>
    <w:rsid w:val="3F282E19"/>
    <w:rsid w:val="3F311D6C"/>
    <w:rsid w:val="3F47037C"/>
    <w:rsid w:val="3F6D0B2B"/>
    <w:rsid w:val="3F9D61EE"/>
    <w:rsid w:val="3FD10A64"/>
    <w:rsid w:val="3FEC3B1C"/>
    <w:rsid w:val="3FF65DDD"/>
    <w:rsid w:val="3FF706EC"/>
    <w:rsid w:val="400F243B"/>
    <w:rsid w:val="401364B0"/>
    <w:rsid w:val="4015269F"/>
    <w:rsid w:val="40AF6D31"/>
    <w:rsid w:val="40FE0F0E"/>
    <w:rsid w:val="417F6ACC"/>
    <w:rsid w:val="42216359"/>
    <w:rsid w:val="42267B3E"/>
    <w:rsid w:val="429431DC"/>
    <w:rsid w:val="42984A4B"/>
    <w:rsid w:val="42AD3882"/>
    <w:rsid w:val="42F07906"/>
    <w:rsid w:val="43103E8A"/>
    <w:rsid w:val="432D18FE"/>
    <w:rsid w:val="43AF4742"/>
    <w:rsid w:val="441A31DB"/>
    <w:rsid w:val="4441783B"/>
    <w:rsid w:val="44BF6C17"/>
    <w:rsid w:val="44F71EFD"/>
    <w:rsid w:val="44FE625A"/>
    <w:rsid w:val="450257D1"/>
    <w:rsid w:val="450D39A9"/>
    <w:rsid w:val="45126D36"/>
    <w:rsid w:val="451546BC"/>
    <w:rsid w:val="45194113"/>
    <w:rsid w:val="45351D08"/>
    <w:rsid w:val="454409BE"/>
    <w:rsid w:val="455235D7"/>
    <w:rsid w:val="455530C7"/>
    <w:rsid w:val="457051C9"/>
    <w:rsid w:val="458605EC"/>
    <w:rsid w:val="46A63BDA"/>
    <w:rsid w:val="46AB4D94"/>
    <w:rsid w:val="46C2653A"/>
    <w:rsid w:val="46D97302"/>
    <w:rsid w:val="47073C6A"/>
    <w:rsid w:val="47326066"/>
    <w:rsid w:val="473D2419"/>
    <w:rsid w:val="478F466E"/>
    <w:rsid w:val="479402F5"/>
    <w:rsid w:val="4800676A"/>
    <w:rsid w:val="481E5BCB"/>
    <w:rsid w:val="482E1B16"/>
    <w:rsid w:val="489973AA"/>
    <w:rsid w:val="48A9347F"/>
    <w:rsid w:val="48E56510"/>
    <w:rsid w:val="48FE7276"/>
    <w:rsid w:val="49866E1B"/>
    <w:rsid w:val="49D20104"/>
    <w:rsid w:val="4A6C513B"/>
    <w:rsid w:val="4A82164A"/>
    <w:rsid w:val="4A985E19"/>
    <w:rsid w:val="4AC414F6"/>
    <w:rsid w:val="4B2D7E01"/>
    <w:rsid w:val="4B5C79CE"/>
    <w:rsid w:val="4B645E12"/>
    <w:rsid w:val="4B8235DC"/>
    <w:rsid w:val="4BDC1E4C"/>
    <w:rsid w:val="4BFC49BF"/>
    <w:rsid w:val="4C235CCD"/>
    <w:rsid w:val="4CA566E2"/>
    <w:rsid w:val="4CCC6B7A"/>
    <w:rsid w:val="4CF16FBC"/>
    <w:rsid w:val="4D0162A7"/>
    <w:rsid w:val="4DC62E8D"/>
    <w:rsid w:val="4DEC2188"/>
    <w:rsid w:val="4E407E29"/>
    <w:rsid w:val="4E49312A"/>
    <w:rsid w:val="4E6001A8"/>
    <w:rsid w:val="4E755A27"/>
    <w:rsid w:val="4E7B4B73"/>
    <w:rsid w:val="4E8A3555"/>
    <w:rsid w:val="4E946A0E"/>
    <w:rsid w:val="4F0D32DF"/>
    <w:rsid w:val="4F2002A2"/>
    <w:rsid w:val="4FC30B7E"/>
    <w:rsid w:val="4FE11A74"/>
    <w:rsid w:val="50045782"/>
    <w:rsid w:val="5008125C"/>
    <w:rsid w:val="510D2AA8"/>
    <w:rsid w:val="513323A5"/>
    <w:rsid w:val="51361FFF"/>
    <w:rsid w:val="519D6BDD"/>
    <w:rsid w:val="51B353FD"/>
    <w:rsid w:val="51BD67C2"/>
    <w:rsid w:val="51C40A30"/>
    <w:rsid w:val="51E66FFC"/>
    <w:rsid w:val="522E1D2D"/>
    <w:rsid w:val="5324620C"/>
    <w:rsid w:val="53364030"/>
    <w:rsid w:val="53455C41"/>
    <w:rsid w:val="537B5CC6"/>
    <w:rsid w:val="53812B18"/>
    <w:rsid w:val="545F54AA"/>
    <w:rsid w:val="554B0EAF"/>
    <w:rsid w:val="5572737D"/>
    <w:rsid w:val="56CE6187"/>
    <w:rsid w:val="56D57BC4"/>
    <w:rsid w:val="56F01703"/>
    <w:rsid w:val="57754B46"/>
    <w:rsid w:val="57EC3417"/>
    <w:rsid w:val="57FE2441"/>
    <w:rsid w:val="58042272"/>
    <w:rsid w:val="58622EED"/>
    <w:rsid w:val="58D42829"/>
    <w:rsid w:val="58F85DEC"/>
    <w:rsid w:val="5919023C"/>
    <w:rsid w:val="594A6647"/>
    <w:rsid w:val="599C0295"/>
    <w:rsid w:val="5A2C2E43"/>
    <w:rsid w:val="5AD00DCE"/>
    <w:rsid w:val="5AD831C3"/>
    <w:rsid w:val="5B0B032C"/>
    <w:rsid w:val="5B127639"/>
    <w:rsid w:val="5B5E6F41"/>
    <w:rsid w:val="5B6D0D13"/>
    <w:rsid w:val="5BED29AE"/>
    <w:rsid w:val="5CAA7C2A"/>
    <w:rsid w:val="5CF9318F"/>
    <w:rsid w:val="5D437F7D"/>
    <w:rsid w:val="5D6975C2"/>
    <w:rsid w:val="5DC664B8"/>
    <w:rsid w:val="5DFFF5F2"/>
    <w:rsid w:val="5E510410"/>
    <w:rsid w:val="5E6957C1"/>
    <w:rsid w:val="5EC0783E"/>
    <w:rsid w:val="5EFFB86C"/>
    <w:rsid w:val="5F1C6AC8"/>
    <w:rsid w:val="5F204F6C"/>
    <w:rsid w:val="5F480E47"/>
    <w:rsid w:val="5F515FB7"/>
    <w:rsid w:val="5FD90725"/>
    <w:rsid w:val="604A1623"/>
    <w:rsid w:val="60621AE8"/>
    <w:rsid w:val="60E26F06"/>
    <w:rsid w:val="610C5E78"/>
    <w:rsid w:val="6124055A"/>
    <w:rsid w:val="61DC074C"/>
    <w:rsid w:val="61E25C21"/>
    <w:rsid w:val="625963D8"/>
    <w:rsid w:val="62D06DF9"/>
    <w:rsid w:val="6346155B"/>
    <w:rsid w:val="638C50FB"/>
    <w:rsid w:val="63E304FC"/>
    <w:rsid w:val="64E078AA"/>
    <w:rsid w:val="65216ADA"/>
    <w:rsid w:val="65451FB6"/>
    <w:rsid w:val="6574456D"/>
    <w:rsid w:val="660A6A48"/>
    <w:rsid w:val="661E50E3"/>
    <w:rsid w:val="664E6551"/>
    <w:rsid w:val="667016B7"/>
    <w:rsid w:val="66EF4D18"/>
    <w:rsid w:val="67691430"/>
    <w:rsid w:val="67D0240D"/>
    <w:rsid w:val="67E67E83"/>
    <w:rsid w:val="67ED1ED5"/>
    <w:rsid w:val="68034375"/>
    <w:rsid w:val="68BB1D66"/>
    <w:rsid w:val="68D9369F"/>
    <w:rsid w:val="690152AE"/>
    <w:rsid w:val="693370F8"/>
    <w:rsid w:val="693764BC"/>
    <w:rsid w:val="69A2427D"/>
    <w:rsid w:val="6A550E13"/>
    <w:rsid w:val="6A6B466F"/>
    <w:rsid w:val="6AB67DD0"/>
    <w:rsid w:val="6AFC79BD"/>
    <w:rsid w:val="6B15282D"/>
    <w:rsid w:val="6BE251C8"/>
    <w:rsid w:val="6C0D529E"/>
    <w:rsid w:val="6C2C6080"/>
    <w:rsid w:val="6C3319C6"/>
    <w:rsid w:val="6C58319A"/>
    <w:rsid w:val="6C6539F8"/>
    <w:rsid w:val="6D540855"/>
    <w:rsid w:val="6DE54739"/>
    <w:rsid w:val="6DF901E4"/>
    <w:rsid w:val="6E4F4C08"/>
    <w:rsid w:val="6E9543B1"/>
    <w:rsid w:val="6EA77C40"/>
    <w:rsid w:val="6F4A43C7"/>
    <w:rsid w:val="6F71097A"/>
    <w:rsid w:val="6F7C6125"/>
    <w:rsid w:val="6FB747DC"/>
    <w:rsid w:val="6FCC3E02"/>
    <w:rsid w:val="702602EB"/>
    <w:rsid w:val="70931459"/>
    <w:rsid w:val="70E5514A"/>
    <w:rsid w:val="715B118F"/>
    <w:rsid w:val="71747D76"/>
    <w:rsid w:val="717C39CC"/>
    <w:rsid w:val="71DD5A85"/>
    <w:rsid w:val="720C498A"/>
    <w:rsid w:val="72180639"/>
    <w:rsid w:val="723D76A0"/>
    <w:rsid w:val="72400252"/>
    <w:rsid w:val="72671BC0"/>
    <w:rsid w:val="72D1045E"/>
    <w:rsid w:val="732D64D2"/>
    <w:rsid w:val="733D289D"/>
    <w:rsid w:val="735B0505"/>
    <w:rsid w:val="73BD1E31"/>
    <w:rsid w:val="73E84F83"/>
    <w:rsid w:val="7597625D"/>
    <w:rsid w:val="76312C11"/>
    <w:rsid w:val="765A10A6"/>
    <w:rsid w:val="76915947"/>
    <w:rsid w:val="76B455F0"/>
    <w:rsid w:val="76D71AB9"/>
    <w:rsid w:val="770805D1"/>
    <w:rsid w:val="77106CCA"/>
    <w:rsid w:val="772F6504"/>
    <w:rsid w:val="774A15F3"/>
    <w:rsid w:val="77E051C2"/>
    <w:rsid w:val="77EC3498"/>
    <w:rsid w:val="780954C8"/>
    <w:rsid w:val="788552EA"/>
    <w:rsid w:val="78A44CC4"/>
    <w:rsid w:val="797655D1"/>
    <w:rsid w:val="799C4845"/>
    <w:rsid w:val="79D82EC8"/>
    <w:rsid w:val="79E8198A"/>
    <w:rsid w:val="79F4281B"/>
    <w:rsid w:val="7A3F0E47"/>
    <w:rsid w:val="7A5073DE"/>
    <w:rsid w:val="7A910246"/>
    <w:rsid w:val="7ACB25FC"/>
    <w:rsid w:val="7ADE4ABF"/>
    <w:rsid w:val="7B3D739A"/>
    <w:rsid w:val="7B496C73"/>
    <w:rsid w:val="7B907564"/>
    <w:rsid w:val="7BAB6FC2"/>
    <w:rsid w:val="7BB0282A"/>
    <w:rsid w:val="7C750B9F"/>
    <w:rsid w:val="7D0E438E"/>
    <w:rsid w:val="7D146014"/>
    <w:rsid w:val="7D172638"/>
    <w:rsid w:val="7D3069D8"/>
    <w:rsid w:val="7D4C0330"/>
    <w:rsid w:val="7D937D0D"/>
    <w:rsid w:val="7DD70064"/>
    <w:rsid w:val="7E046E5D"/>
    <w:rsid w:val="7E3964E4"/>
    <w:rsid w:val="7E525E1A"/>
    <w:rsid w:val="7E5E3C19"/>
    <w:rsid w:val="7E64479B"/>
    <w:rsid w:val="7EE66563"/>
    <w:rsid w:val="7EEA1162"/>
    <w:rsid w:val="7EFC7B34"/>
    <w:rsid w:val="7F2C7AA4"/>
    <w:rsid w:val="7F3657B4"/>
    <w:rsid w:val="7F7569A3"/>
    <w:rsid w:val="7F7D1FF7"/>
    <w:rsid w:val="7FEE0AD7"/>
    <w:rsid w:val="BEDF47CA"/>
    <w:rsid w:val="E6F3E199"/>
    <w:rsid w:val="FF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44"/>
    <w:qFormat/>
    <w:uiPriority w:val="9"/>
    <w:pPr>
      <w:keepNext/>
      <w:keepLines/>
      <w:spacing w:before="260" w:after="260" w:line="360" w:lineRule="auto"/>
      <w:ind w:firstLine="602" w:firstLineChars="200"/>
      <w:outlineLvl w:val="2"/>
    </w:pPr>
    <w:rPr>
      <w:rFonts w:ascii="仿宋_GB2312" w:hAnsi="仿宋_GB2312"/>
      <w:b/>
      <w:bCs/>
      <w:sz w:val="30"/>
      <w:szCs w:val="20"/>
    </w:rPr>
  </w:style>
  <w:style w:type="paragraph" w:styleId="6">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Cambria" w:hAnsi="Cambria"/>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3"/>
    <w:qFormat/>
    <w:uiPriority w:val="0"/>
    <w:pPr>
      <w:ind w:firstLine="420"/>
    </w:pPr>
    <w:rPr>
      <w:szCs w:val="20"/>
    </w:rPr>
  </w:style>
  <w:style w:type="paragraph" w:styleId="9">
    <w:name w:val="caption"/>
    <w:basedOn w:val="1"/>
    <w:next w:val="1"/>
    <w:qFormat/>
    <w:uiPriority w:val="0"/>
    <w:rPr>
      <w:rFonts w:ascii="Cambria" w:hAnsi="Cambria" w:eastAsia="黑体"/>
      <w:kern w:val="0"/>
      <w:sz w:val="20"/>
      <w:szCs w:val="20"/>
    </w:rPr>
  </w:style>
  <w:style w:type="paragraph" w:styleId="10">
    <w:name w:val="toa heading"/>
    <w:basedOn w:val="1"/>
    <w:next w:val="1"/>
    <w:qFormat/>
    <w:uiPriority w:val="0"/>
    <w:pPr>
      <w:spacing w:before="120" w:line="240" w:lineRule="atLeast"/>
    </w:pPr>
    <w:rPr>
      <w:rFonts w:ascii="Arial" w:hAnsi="Arial" w:cs="Arial"/>
      <w:sz w:val="24"/>
    </w:rPr>
  </w:style>
  <w:style w:type="paragraph" w:styleId="11">
    <w:name w:val="annotation text"/>
    <w:basedOn w:val="1"/>
    <w:link w:val="48"/>
    <w:qFormat/>
    <w:uiPriority w:val="0"/>
    <w:pPr>
      <w:jc w:val="left"/>
    </w:pPr>
  </w:style>
  <w:style w:type="paragraph" w:styleId="12">
    <w:name w:val="Body Text"/>
    <w:basedOn w:val="1"/>
    <w:next w:val="1"/>
    <w:link w:val="49"/>
    <w:qFormat/>
    <w:uiPriority w:val="99"/>
    <w:pPr>
      <w:spacing w:after="120"/>
    </w:pPr>
  </w:style>
  <w:style w:type="paragraph" w:styleId="13">
    <w:name w:val="Body Text Indent"/>
    <w:basedOn w:val="1"/>
    <w:next w:val="5"/>
    <w:link w:val="51"/>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0"/>
    <w:pPr>
      <w:spacing w:line="500" w:lineRule="exact"/>
      <w:ind w:left="280" w:leftChars="100" w:right="260" w:rightChars="93" w:firstLine="700" w:firstLineChars="250"/>
    </w:pPr>
    <w:rPr>
      <w:sz w:val="28"/>
      <w:szCs w:val="20"/>
    </w:rPr>
  </w:style>
  <w:style w:type="paragraph" w:styleId="16">
    <w:name w:val="toc 3"/>
    <w:basedOn w:val="1"/>
    <w:next w:val="1"/>
    <w:qFormat/>
    <w:uiPriority w:val="39"/>
    <w:pPr>
      <w:tabs>
        <w:tab w:val="right" w:leader="dot" w:pos="9060"/>
      </w:tabs>
      <w:ind w:left="1"/>
    </w:pPr>
    <w:rPr>
      <w:rFonts w:ascii="仿宋_GB2312" w:eastAsia="仿宋_GB2312"/>
      <w:sz w:val="24"/>
      <w:szCs w:val="36"/>
    </w:rPr>
  </w:style>
  <w:style w:type="paragraph" w:styleId="17">
    <w:name w:val="Plain Text"/>
    <w:basedOn w:val="1"/>
    <w:link w:val="52"/>
    <w:qFormat/>
    <w:uiPriority w:val="0"/>
    <w:rPr>
      <w:rFonts w:ascii="宋体" w:hAnsi="Courier New"/>
      <w:szCs w:val="20"/>
    </w:rPr>
  </w:style>
  <w:style w:type="paragraph" w:styleId="18">
    <w:name w:val="Date"/>
    <w:basedOn w:val="1"/>
    <w:next w:val="1"/>
    <w:link w:val="53"/>
    <w:qFormat/>
    <w:uiPriority w:val="0"/>
    <w:pPr>
      <w:adjustRightInd w:val="0"/>
      <w:spacing w:line="312" w:lineRule="atLeast"/>
    </w:pPr>
    <w:rPr>
      <w:rFonts w:ascii="仿宋_GB2312" w:eastAsia="仿宋_GB2312"/>
      <w:kern w:val="0"/>
      <w:sz w:val="28"/>
      <w:szCs w:val="20"/>
    </w:rPr>
  </w:style>
  <w:style w:type="paragraph" w:styleId="19">
    <w:name w:val="Body Text Indent 2"/>
    <w:basedOn w:val="1"/>
    <w:qFormat/>
    <w:uiPriority w:val="0"/>
    <w:pPr>
      <w:snapToGrid w:val="0"/>
      <w:spacing w:line="400" w:lineRule="exact"/>
      <w:ind w:firstLine="480"/>
    </w:pPr>
    <w:rPr>
      <w:rFonts w:eastAsia="仿宋_GB2312"/>
      <w:sz w:val="24"/>
    </w:rPr>
  </w:style>
  <w:style w:type="paragraph" w:styleId="20">
    <w:name w:val="Balloon Text"/>
    <w:basedOn w:val="1"/>
    <w:link w:val="54"/>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6"/>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4">
    <w:name w:val="toc 1"/>
    <w:basedOn w:val="1"/>
    <w:next w:val="1"/>
    <w:qFormat/>
    <w:uiPriority w:val="0"/>
  </w:style>
  <w:style w:type="paragraph" w:styleId="25">
    <w:name w:val="toc 6"/>
    <w:basedOn w:val="1"/>
    <w:next w:val="1"/>
    <w:qFormat/>
    <w:uiPriority w:val="0"/>
    <w:pPr>
      <w:autoSpaceDE w:val="0"/>
      <w:autoSpaceDN w:val="0"/>
      <w:adjustRightInd w:val="0"/>
      <w:ind w:left="2100" w:leftChars="1000"/>
      <w:jc w:val="left"/>
    </w:pPr>
    <w:rPr>
      <w:kern w:val="0"/>
      <w:sz w:val="20"/>
      <w:szCs w:val="20"/>
    </w:rPr>
  </w:style>
  <w:style w:type="paragraph" w:styleId="26">
    <w:name w:val="toc 2"/>
    <w:basedOn w:val="1"/>
    <w:next w:val="1"/>
    <w:qFormat/>
    <w:uiPriority w:val="39"/>
    <w:pPr>
      <w:tabs>
        <w:tab w:val="right" w:leader="dot" w:pos="9060"/>
      </w:tabs>
    </w:pPr>
    <w:rPr>
      <w:rFonts w:ascii="宋体" w:hAnsi="宋体"/>
      <w:b/>
      <w:bCs/>
      <w:sz w:val="24"/>
    </w:rPr>
  </w:style>
  <w:style w:type="paragraph" w:styleId="27">
    <w:name w:val="Normal (Web)"/>
    <w:basedOn w:val="1"/>
    <w:link w:val="57"/>
    <w:qFormat/>
    <w:uiPriority w:val="0"/>
    <w:pPr>
      <w:widowControl/>
      <w:spacing w:before="100" w:beforeAutospacing="1" w:after="100" w:afterAutospacing="1"/>
      <w:jc w:val="left"/>
    </w:pPr>
    <w:rPr>
      <w:rFonts w:ascii="宋体" w:hAnsi="宋体"/>
      <w:kern w:val="0"/>
      <w:sz w:val="24"/>
    </w:rPr>
  </w:style>
  <w:style w:type="paragraph" w:styleId="28">
    <w:name w:val="Title"/>
    <w:basedOn w:val="1"/>
    <w:link w:val="58"/>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9">
    <w:name w:val="annotation subject"/>
    <w:basedOn w:val="11"/>
    <w:next w:val="11"/>
    <w:link w:val="59"/>
    <w:qFormat/>
    <w:uiPriority w:val="0"/>
    <w:rPr>
      <w:b/>
      <w:bCs/>
    </w:rPr>
  </w:style>
  <w:style w:type="paragraph" w:styleId="30">
    <w:name w:val="Body Text First Indent"/>
    <w:basedOn w:val="12"/>
    <w:next w:val="1"/>
    <w:link w:val="50"/>
    <w:qFormat/>
    <w:uiPriority w:val="0"/>
    <w:pPr>
      <w:ind w:firstLine="420" w:firstLineChars="100"/>
    </w:pPr>
  </w:style>
  <w:style w:type="paragraph" w:styleId="31">
    <w:name w:val="Body Text First Indent 2"/>
    <w:basedOn w:val="13"/>
    <w:qFormat/>
    <w:uiPriority w:val="99"/>
    <w:pPr>
      <w:ind w:firstLine="420"/>
    </w:pPr>
    <w:rPr>
      <w:szCs w:val="21"/>
    </w:rPr>
  </w:style>
  <w:style w:type="table" w:styleId="33">
    <w:name w:val="Table Grid"/>
    <w:basedOn w:val="32"/>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99"/>
    <w:rPr>
      <w:color w:val="800080"/>
      <w:u w:val="single"/>
    </w:rPr>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正文文本缩进 + 左  0 字符"/>
    <w:basedOn w:val="13"/>
    <w:qFormat/>
    <w:uiPriority w:val="0"/>
    <w:pPr>
      <w:spacing w:after="0" w:line="360" w:lineRule="auto"/>
      <w:ind w:left="0" w:leftChars="0" w:firstLine="250" w:firstLineChars="250"/>
    </w:pPr>
    <w:rPr>
      <w:rFonts w:cs="宋体"/>
      <w:sz w:val="24"/>
    </w:rPr>
  </w:style>
  <w:style w:type="character" w:customStyle="1" w:styleId="42">
    <w:name w:val="标题 1 字符"/>
    <w:link w:val="2"/>
    <w:qFormat/>
    <w:uiPriority w:val="0"/>
    <w:rPr>
      <w:b/>
      <w:bCs/>
      <w:kern w:val="44"/>
      <w:sz w:val="44"/>
      <w:szCs w:val="44"/>
    </w:rPr>
  </w:style>
  <w:style w:type="character" w:customStyle="1" w:styleId="43">
    <w:name w:val="正文缩进 字符"/>
    <w:link w:val="5"/>
    <w:qFormat/>
    <w:uiPriority w:val="0"/>
    <w:rPr>
      <w:kern w:val="2"/>
      <w:sz w:val="21"/>
    </w:rPr>
  </w:style>
  <w:style w:type="character" w:customStyle="1" w:styleId="44">
    <w:name w:val="标题 3 字符"/>
    <w:link w:val="4"/>
    <w:qFormat/>
    <w:uiPriority w:val="9"/>
    <w:rPr>
      <w:rFonts w:ascii="仿宋_GB2312" w:hAnsi="仿宋_GB2312" w:eastAsia="宋体"/>
      <w:b/>
      <w:bCs/>
      <w:kern w:val="2"/>
      <w:sz w:val="30"/>
    </w:rPr>
  </w:style>
  <w:style w:type="character" w:customStyle="1" w:styleId="45">
    <w:name w:val="标题 4 字符"/>
    <w:link w:val="6"/>
    <w:semiHidden/>
    <w:qFormat/>
    <w:uiPriority w:val="0"/>
    <w:rPr>
      <w:rFonts w:ascii="Cambria" w:hAnsi="Cambria" w:eastAsia="宋体" w:cs="Times New Roman"/>
      <w:b/>
      <w:bCs/>
      <w:kern w:val="2"/>
      <w:sz w:val="28"/>
      <w:szCs w:val="28"/>
    </w:rPr>
  </w:style>
  <w:style w:type="character" w:customStyle="1" w:styleId="46">
    <w:name w:val="标题 5 字符"/>
    <w:link w:val="7"/>
    <w:semiHidden/>
    <w:qFormat/>
    <w:uiPriority w:val="0"/>
    <w:rPr>
      <w:b/>
      <w:bCs/>
      <w:kern w:val="2"/>
      <w:sz w:val="28"/>
      <w:szCs w:val="28"/>
    </w:rPr>
  </w:style>
  <w:style w:type="character" w:customStyle="1" w:styleId="47">
    <w:name w:val="标题 6 字符"/>
    <w:link w:val="8"/>
    <w:semiHidden/>
    <w:qFormat/>
    <w:uiPriority w:val="0"/>
    <w:rPr>
      <w:rFonts w:ascii="Cambria" w:hAnsi="Cambria" w:eastAsia="宋体" w:cs="Times New Roman"/>
      <w:b/>
      <w:bCs/>
      <w:kern w:val="2"/>
      <w:sz w:val="24"/>
      <w:szCs w:val="24"/>
    </w:rPr>
  </w:style>
  <w:style w:type="character" w:customStyle="1" w:styleId="48">
    <w:name w:val="批注文字 字符"/>
    <w:link w:val="11"/>
    <w:qFormat/>
    <w:uiPriority w:val="0"/>
    <w:rPr>
      <w:kern w:val="2"/>
      <w:sz w:val="21"/>
      <w:szCs w:val="24"/>
    </w:rPr>
  </w:style>
  <w:style w:type="character" w:customStyle="1" w:styleId="49">
    <w:name w:val="正文文本 字符"/>
    <w:link w:val="12"/>
    <w:qFormat/>
    <w:uiPriority w:val="0"/>
    <w:rPr>
      <w:kern w:val="2"/>
      <w:sz w:val="21"/>
      <w:szCs w:val="24"/>
    </w:rPr>
  </w:style>
  <w:style w:type="character" w:customStyle="1" w:styleId="50">
    <w:name w:val="正文文本首行缩进 字符"/>
    <w:link w:val="30"/>
    <w:qFormat/>
    <w:uiPriority w:val="0"/>
  </w:style>
  <w:style w:type="character" w:customStyle="1" w:styleId="51">
    <w:name w:val="正文文本缩进 字符"/>
    <w:link w:val="13"/>
    <w:qFormat/>
    <w:uiPriority w:val="0"/>
    <w:rPr>
      <w:kern w:val="2"/>
      <w:sz w:val="21"/>
      <w:szCs w:val="24"/>
    </w:rPr>
  </w:style>
  <w:style w:type="character" w:customStyle="1" w:styleId="52">
    <w:name w:val="纯文本 字符1"/>
    <w:link w:val="17"/>
    <w:qFormat/>
    <w:uiPriority w:val="0"/>
    <w:rPr>
      <w:rFonts w:ascii="宋体" w:hAnsi="Courier New"/>
      <w:kern w:val="2"/>
      <w:sz w:val="21"/>
    </w:rPr>
  </w:style>
  <w:style w:type="character" w:customStyle="1" w:styleId="53">
    <w:name w:val="日期 字符"/>
    <w:link w:val="18"/>
    <w:qFormat/>
    <w:uiPriority w:val="0"/>
    <w:rPr>
      <w:rFonts w:ascii="仿宋_GB2312" w:eastAsia="仿宋_GB2312"/>
      <w:sz w:val="28"/>
    </w:rPr>
  </w:style>
  <w:style w:type="character" w:customStyle="1" w:styleId="54">
    <w:name w:val="批注框文本 字符"/>
    <w:link w:val="20"/>
    <w:qFormat/>
    <w:uiPriority w:val="99"/>
    <w:rPr>
      <w:kern w:val="2"/>
      <w:sz w:val="18"/>
      <w:szCs w:val="18"/>
    </w:rPr>
  </w:style>
  <w:style w:type="character" w:customStyle="1" w:styleId="55">
    <w:name w:val="页脚 字符"/>
    <w:link w:val="21"/>
    <w:qFormat/>
    <w:uiPriority w:val="99"/>
    <w:rPr>
      <w:kern w:val="2"/>
      <w:sz w:val="18"/>
      <w:szCs w:val="18"/>
    </w:rPr>
  </w:style>
  <w:style w:type="character" w:customStyle="1" w:styleId="56">
    <w:name w:val="页眉 字符"/>
    <w:link w:val="23"/>
    <w:qFormat/>
    <w:uiPriority w:val="99"/>
    <w:rPr>
      <w:sz w:val="18"/>
    </w:rPr>
  </w:style>
  <w:style w:type="character" w:customStyle="1" w:styleId="57">
    <w:name w:val="普通(网站) 字符"/>
    <w:link w:val="27"/>
    <w:qFormat/>
    <w:uiPriority w:val="0"/>
    <w:rPr>
      <w:rFonts w:ascii="宋体" w:hAnsi="宋体"/>
      <w:sz w:val="24"/>
      <w:szCs w:val="24"/>
    </w:rPr>
  </w:style>
  <w:style w:type="character" w:customStyle="1" w:styleId="58">
    <w:name w:val="标题 字符"/>
    <w:link w:val="28"/>
    <w:qFormat/>
    <w:uiPriority w:val="0"/>
    <w:rPr>
      <w:rFonts w:eastAsia="黑体"/>
      <w:b/>
      <w:sz w:val="28"/>
      <w:lang w:val="en-GB"/>
    </w:rPr>
  </w:style>
  <w:style w:type="character" w:customStyle="1" w:styleId="59">
    <w:name w:val="批注主题 字符"/>
    <w:link w:val="29"/>
    <w:qFormat/>
    <w:uiPriority w:val="0"/>
    <w:rPr>
      <w:b/>
      <w:bCs/>
      <w:kern w:val="2"/>
      <w:sz w:val="21"/>
      <w:szCs w:val="24"/>
    </w:rPr>
  </w:style>
  <w:style w:type="character" w:customStyle="1" w:styleId="60">
    <w:name w:val="标题 3 Char"/>
    <w:qFormat/>
    <w:uiPriority w:val="9"/>
    <w:rPr>
      <w:rFonts w:ascii="仿宋_GB2312" w:eastAsia="仿宋_GB2312"/>
      <w:b/>
      <w:bCs/>
      <w:kern w:val="2"/>
      <w:sz w:val="30"/>
    </w:rPr>
  </w:style>
  <w:style w:type="character" w:customStyle="1" w:styleId="61">
    <w:name w:val="列表段落 字符"/>
    <w:link w:val="62"/>
    <w:qFormat/>
    <w:uiPriority w:val="34"/>
    <w:rPr>
      <w:kern w:val="2"/>
      <w:sz w:val="24"/>
      <w:szCs w:val="24"/>
    </w:rPr>
  </w:style>
  <w:style w:type="paragraph" w:styleId="62">
    <w:name w:val="List Paragraph"/>
    <w:basedOn w:val="1"/>
    <w:link w:val="61"/>
    <w:qFormat/>
    <w:uiPriority w:val="34"/>
    <w:pPr>
      <w:ind w:firstLine="420" w:firstLineChars="200"/>
    </w:pPr>
    <w:rPr>
      <w:sz w:val="24"/>
    </w:rPr>
  </w:style>
  <w:style w:type="character" w:customStyle="1" w:styleId="63">
    <w:name w:val="纯文本 Char1_4"/>
    <w:link w:val="64"/>
    <w:qFormat/>
    <w:uiPriority w:val="0"/>
    <w:rPr>
      <w:rFonts w:ascii="宋体" w:hAnsi="Courier New"/>
      <w:kern w:val="2"/>
      <w:sz w:val="21"/>
    </w:rPr>
  </w:style>
  <w:style w:type="paragraph" w:customStyle="1" w:styleId="64">
    <w:name w:val="纯文本_5_0"/>
    <w:basedOn w:val="1"/>
    <w:link w:val="63"/>
    <w:qFormat/>
    <w:uiPriority w:val="0"/>
    <w:rPr>
      <w:rFonts w:ascii="宋体" w:hAnsi="Courier New"/>
      <w:szCs w:val="20"/>
    </w:rPr>
  </w:style>
  <w:style w:type="character" w:customStyle="1" w:styleId="65">
    <w:name w:val="纯文本 字符"/>
    <w:qFormat/>
    <w:uiPriority w:val="0"/>
    <w:rPr>
      <w:rFonts w:ascii="宋体" w:hAnsi="Courier New" w:eastAsia="宋体"/>
      <w:kern w:val="2"/>
      <w:sz w:val="21"/>
      <w:lang w:val="en-US" w:eastAsia="zh-CN" w:bidi="ar-SA"/>
    </w:rPr>
  </w:style>
  <w:style w:type="character" w:customStyle="1" w:styleId="66">
    <w:name w:val="纯文本 Char1_3"/>
    <w:link w:val="67"/>
    <w:qFormat/>
    <w:uiPriority w:val="0"/>
    <w:rPr>
      <w:rFonts w:ascii="宋体" w:hAnsi="Courier New"/>
      <w:kern w:val="2"/>
      <w:sz w:val="21"/>
    </w:rPr>
  </w:style>
  <w:style w:type="paragraph" w:customStyle="1" w:styleId="67">
    <w:name w:val="纯文本_3"/>
    <w:basedOn w:val="68"/>
    <w:link w:val="66"/>
    <w:qFormat/>
    <w:uiPriority w:val="0"/>
    <w:rPr>
      <w:rFonts w:ascii="宋体" w:hAnsi="Courier New"/>
      <w:szCs w:val="20"/>
    </w:rPr>
  </w:style>
  <w:style w:type="paragraph" w:customStyle="1" w:styleId="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纯文本 Char1_4_3"/>
    <w:qFormat/>
    <w:uiPriority w:val="0"/>
    <w:rPr>
      <w:rFonts w:ascii="宋体" w:hAnsi="Courier New"/>
      <w:kern w:val="2"/>
      <w:sz w:val="21"/>
    </w:rPr>
  </w:style>
  <w:style w:type="character" w:customStyle="1" w:styleId="70">
    <w:name w:val="样式1 Char"/>
    <w:link w:val="71"/>
    <w:qFormat/>
    <w:uiPriority w:val="0"/>
    <w:rPr>
      <w:rFonts w:ascii="Times New Roman" w:hAnsi="Times New Roman"/>
      <w:kern w:val="2"/>
      <w:sz w:val="24"/>
    </w:rPr>
  </w:style>
  <w:style w:type="paragraph" w:customStyle="1" w:styleId="71">
    <w:name w:val="样式1"/>
    <w:basedOn w:val="1"/>
    <w:link w:val="70"/>
    <w:qFormat/>
    <w:uiPriority w:val="0"/>
    <w:pPr>
      <w:spacing w:line="360" w:lineRule="auto"/>
      <w:ind w:firstLine="420" w:firstLineChars="200"/>
    </w:pPr>
    <w:rPr>
      <w:sz w:val="24"/>
      <w:szCs w:val="20"/>
    </w:rPr>
  </w:style>
  <w:style w:type="character" w:customStyle="1" w:styleId="72">
    <w:name w:val="纯文本 Char"/>
    <w:qFormat/>
    <w:uiPriority w:val="0"/>
    <w:rPr>
      <w:rFonts w:ascii="宋体" w:hAnsi="Courier New"/>
      <w:kern w:val="2"/>
      <w:sz w:val="21"/>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75"/>
    <w:link w:val="73"/>
    <w:qFormat/>
    <w:uiPriority w:val="0"/>
    <w:rPr>
      <w:rFonts w:ascii="宋体" w:hAnsi="Courier New"/>
      <w:szCs w:val="21"/>
    </w:rPr>
  </w:style>
  <w:style w:type="paragraph" w:customStyle="1" w:styleId="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paragraph1 Char"/>
    <w:link w:val="77"/>
    <w:qFormat/>
    <w:uiPriority w:val="0"/>
    <w:rPr>
      <w:rFonts w:ascii="Arial" w:hAnsi="Arial"/>
      <w:sz w:val="24"/>
      <w:szCs w:val="24"/>
    </w:rPr>
  </w:style>
  <w:style w:type="paragraph" w:customStyle="1" w:styleId="77">
    <w:name w:val="paragraph1"/>
    <w:basedOn w:val="1"/>
    <w:link w:val="76"/>
    <w:qFormat/>
    <w:uiPriority w:val="0"/>
    <w:pPr>
      <w:spacing w:afterLines="30" w:line="360" w:lineRule="auto"/>
      <w:ind w:firstLine="480" w:firstLineChars="200"/>
    </w:pPr>
    <w:rPr>
      <w:rFonts w:ascii="Arial" w:hAnsi="Arial"/>
      <w:kern w:val="0"/>
      <w:sz w:val="24"/>
    </w:rPr>
  </w:style>
  <w:style w:type="character" w:customStyle="1" w:styleId="78">
    <w:name w:val="纯文本 Char1_1"/>
    <w:link w:val="79"/>
    <w:qFormat/>
    <w:uiPriority w:val="0"/>
    <w:rPr>
      <w:rFonts w:ascii="宋体" w:hAnsi="Courier New"/>
      <w:kern w:val="2"/>
      <w:sz w:val="21"/>
    </w:rPr>
  </w:style>
  <w:style w:type="paragraph" w:customStyle="1" w:styleId="79">
    <w:name w:val="纯文本_1"/>
    <w:basedOn w:val="1"/>
    <w:link w:val="78"/>
    <w:qFormat/>
    <w:uiPriority w:val="0"/>
    <w:rPr>
      <w:rFonts w:ascii="宋体" w:hAnsi="Courier New"/>
      <w:szCs w:val="20"/>
    </w:rPr>
  </w:style>
  <w:style w:type="character" w:customStyle="1" w:styleId="80">
    <w:name w:val="px141"/>
    <w:qFormat/>
    <w:uiPriority w:val="0"/>
    <w:rPr>
      <w:rFonts w:hint="default"/>
      <w:sz w:val="21"/>
      <w:szCs w:val="21"/>
    </w:rPr>
  </w:style>
  <w:style w:type="character" w:customStyle="1" w:styleId="81">
    <w:name w:val="p141"/>
    <w:qFormat/>
    <w:uiPriority w:val="0"/>
    <w:rPr>
      <w:sz w:val="21"/>
      <w:u w:val="none"/>
    </w:rPr>
  </w:style>
  <w:style w:type="character" w:customStyle="1" w:styleId="82">
    <w:name w:val="文档正文 Char"/>
    <w:link w:val="83"/>
    <w:qFormat/>
    <w:uiPriority w:val="0"/>
    <w:rPr>
      <w:rFonts w:ascii="Tahoma" w:hAnsi="Tahoma" w:eastAsia="仿宋_GB2312"/>
      <w:sz w:val="28"/>
    </w:rPr>
  </w:style>
  <w:style w:type="paragraph" w:customStyle="1" w:styleId="83">
    <w:name w:val="文档正文"/>
    <w:basedOn w:val="1"/>
    <w:link w:val="82"/>
    <w:qFormat/>
    <w:uiPriority w:val="0"/>
    <w:pPr>
      <w:spacing w:line="360" w:lineRule="auto"/>
      <w:ind w:firstLine="480" w:firstLineChars="200"/>
    </w:pPr>
    <w:rPr>
      <w:rFonts w:ascii="Tahoma" w:hAnsi="Tahoma" w:eastAsia="仿宋_GB2312"/>
      <w:kern w:val="0"/>
      <w:sz w:val="28"/>
      <w:szCs w:val="20"/>
    </w:rPr>
  </w:style>
  <w:style w:type="character" w:customStyle="1" w:styleId="84">
    <w:name w:val="正文1 Char2"/>
    <w:link w:val="85"/>
    <w:qFormat/>
    <w:uiPriority w:val="0"/>
    <w:rPr>
      <w:kern w:val="2"/>
      <w:sz w:val="21"/>
      <w:lang w:val="en-US" w:eastAsia="zh-CN" w:bidi="ar-SA"/>
    </w:rPr>
  </w:style>
  <w:style w:type="paragraph" w:customStyle="1" w:styleId="85">
    <w:name w:val="正文1"/>
    <w:link w:val="8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正文文本缩进 2 Char"/>
    <w:semiHidden/>
    <w:qFormat/>
    <w:uiPriority w:val="99"/>
  </w:style>
  <w:style w:type="character" w:customStyle="1" w:styleId="87">
    <w:name w:val="纯文本 Char2"/>
    <w:qFormat/>
    <w:uiPriority w:val="0"/>
    <w:rPr>
      <w:rFonts w:ascii="宋体" w:hAnsi="Courier New" w:eastAsia="宋体"/>
      <w:kern w:val="2"/>
      <w:sz w:val="21"/>
      <w:lang w:val="en-US" w:eastAsia="zh-CN" w:bidi="ar-SA"/>
    </w:rPr>
  </w:style>
  <w:style w:type="character" w:customStyle="1" w:styleId="88">
    <w:name w:val="bookmark-item"/>
    <w:qFormat/>
    <w:uiPriority w:val="0"/>
  </w:style>
  <w:style w:type="character" w:customStyle="1" w:styleId="89">
    <w:name w:val="纯文本 Char1_0"/>
    <w:link w:val="90"/>
    <w:qFormat/>
    <w:locked/>
    <w:uiPriority w:val="0"/>
    <w:rPr>
      <w:rFonts w:ascii="宋体" w:hAnsi="Courier New"/>
      <w:kern w:val="2"/>
      <w:sz w:val="21"/>
      <w:szCs w:val="22"/>
    </w:rPr>
  </w:style>
  <w:style w:type="paragraph" w:customStyle="1" w:styleId="90">
    <w:name w:val="纯文本_0"/>
    <w:basedOn w:val="1"/>
    <w:link w:val="89"/>
    <w:unhideWhenUsed/>
    <w:qFormat/>
    <w:uiPriority w:val="0"/>
    <w:rPr>
      <w:rFonts w:ascii="宋体" w:hAnsi="Courier New"/>
      <w:szCs w:val="22"/>
    </w:rPr>
  </w:style>
  <w:style w:type="character" w:customStyle="1" w:styleId="91">
    <w:name w:val="Char Char1"/>
    <w:link w:val="92"/>
    <w:qFormat/>
    <w:locked/>
    <w:uiPriority w:val="99"/>
    <w:rPr>
      <w:rFonts w:ascii="Tahoma" w:hAnsi="Tahoma" w:cs="Tahoma"/>
      <w:kern w:val="2"/>
      <w:sz w:val="24"/>
    </w:rPr>
  </w:style>
  <w:style w:type="paragraph" w:customStyle="1" w:styleId="92">
    <w:name w:val="Char"/>
    <w:basedOn w:val="1"/>
    <w:link w:val="91"/>
    <w:qFormat/>
    <w:uiPriority w:val="99"/>
    <w:rPr>
      <w:rFonts w:ascii="Tahoma" w:hAnsi="Tahoma"/>
      <w:sz w:val="24"/>
      <w:szCs w:val="20"/>
    </w:rPr>
  </w:style>
  <w:style w:type="character" w:customStyle="1" w:styleId="93">
    <w:name w:val="正文缩进 Char2"/>
    <w:qFormat/>
    <w:uiPriority w:val="0"/>
    <w:rPr>
      <w:kern w:val="2"/>
      <w:sz w:val="21"/>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纯文本 Char1_4_0"/>
    <w:link w:val="96"/>
    <w:qFormat/>
    <w:uiPriority w:val="0"/>
    <w:rPr>
      <w:rFonts w:ascii="宋体" w:hAnsi="Courier New"/>
      <w:kern w:val="2"/>
      <w:sz w:val="21"/>
    </w:rPr>
  </w:style>
  <w:style w:type="paragraph" w:customStyle="1" w:styleId="96">
    <w:name w:val="纯文本_4_0"/>
    <w:basedOn w:val="1"/>
    <w:link w:val="95"/>
    <w:qFormat/>
    <w:uiPriority w:val="0"/>
    <w:rPr>
      <w:rFonts w:ascii="宋体" w:hAnsi="Courier New"/>
      <w:szCs w:val="20"/>
    </w:rPr>
  </w:style>
  <w:style w:type="character" w:customStyle="1" w:styleId="97">
    <w:name w:val="纯文本 Char1"/>
    <w:qFormat/>
    <w:uiPriority w:val="0"/>
    <w:rPr>
      <w:rFonts w:ascii="宋体" w:hAnsi="Courier New" w:eastAsia="宋体"/>
      <w:kern w:val="2"/>
      <w:sz w:val="21"/>
      <w:lang w:val="en-US" w:eastAsia="zh-CN" w:bidi="ar-SA"/>
    </w:rPr>
  </w:style>
  <w:style w:type="character" w:customStyle="1" w:styleId="98">
    <w:name w:val="my正文 Char"/>
    <w:link w:val="99"/>
    <w:qFormat/>
    <w:uiPriority w:val="0"/>
    <w:rPr>
      <w:kern w:val="2"/>
      <w:sz w:val="24"/>
      <w:szCs w:val="24"/>
      <w:lang w:val="zh-CN"/>
    </w:rPr>
  </w:style>
  <w:style w:type="paragraph" w:customStyle="1" w:styleId="99">
    <w:name w:val="my正文"/>
    <w:basedOn w:val="1"/>
    <w:link w:val="98"/>
    <w:qFormat/>
    <w:uiPriority w:val="0"/>
    <w:pPr>
      <w:widowControl/>
      <w:spacing w:line="360" w:lineRule="auto"/>
      <w:ind w:firstLine="480" w:firstLineChars="200"/>
    </w:pPr>
    <w:rPr>
      <w:sz w:val="24"/>
      <w:lang w:val="zh-CN"/>
    </w:rPr>
  </w:style>
  <w:style w:type="paragraph" w:customStyle="1" w:styleId="100">
    <w:name w:val="纯文本1"/>
    <w:basedOn w:val="1"/>
    <w:qFormat/>
    <w:uiPriority w:val="0"/>
    <w:pPr>
      <w:adjustRightInd w:val="0"/>
      <w:jc w:val="left"/>
      <w:textAlignment w:val="baseline"/>
    </w:pPr>
    <w:rPr>
      <w:rFonts w:ascii="宋体" w:hAnsi="Courier New"/>
      <w:sz w:val="24"/>
      <w:szCs w:val="20"/>
    </w:rPr>
  </w:style>
  <w:style w:type="paragraph" w:customStyle="1" w:styleId="101">
    <w:name w:val="Normal_20"/>
    <w:qFormat/>
    <w:uiPriority w:val="0"/>
    <w:rPr>
      <w:rFonts w:ascii="黑体" w:hAnsi="黑体" w:eastAsia="黑体" w:cs="Times New Roman"/>
      <w:b/>
      <w:sz w:val="32"/>
      <w:szCs w:val="24"/>
      <w:lang w:val="en-US" w:eastAsia="zh-CN" w:bidi="ar-SA"/>
    </w:rPr>
  </w:style>
  <w:style w:type="paragraph" w:customStyle="1" w:styleId="102">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04">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方案正文"/>
    <w:basedOn w:val="1"/>
    <w:qFormat/>
    <w:uiPriority w:val="0"/>
    <w:pPr>
      <w:snapToGrid w:val="0"/>
      <w:spacing w:line="360" w:lineRule="auto"/>
      <w:ind w:firstLine="200" w:firstLineChars="200"/>
    </w:pPr>
    <w:rPr>
      <w:rFonts w:ascii="宋体"/>
      <w:spacing w:val="2"/>
      <w:position w:val="-4"/>
      <w:sz w:val="24"/>
      <w:szCs w:val="72"/>
    </w:rPr>
  </w:style>
  <w:style w:type="paragraph" w:customStyle="1" w:styleId="10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首行缩进:  2 字符"/>
    <w:basedOn w:val="1"/>
    <w:qFormat/>
    <w:uiPriority w:val="0"/>
    <w:pPr>
      <w:spacing w:line="360" w:lineRule="auto"/>
      <w:ind w:firstLine="480" w:firstLineChars="200"/>
    </w:pPr>
    <w:rPr>
      <w:rFonts w:cs="宋体"/>
      <w:sz w:val="24"/>
      <w:szCs w:val="20"/>
    </w:rPr>
  </w:style>
  <w:style w:type="paragraph" w:customStyle="1" w:styleId="110">
    <w:name w:val="纯文本_4_3"/>
    <w:basedOn w:val="104"/>
    <w:qFormat/>
    <w:uiPriority w:val="0"/>
    <w:rPr>
      <w:rFonts w:ascii="宋体" w:hAnsi="Courier New"/>
      <w:szCs w:val="20"/>
    </w:rPr>
  </w:style>
  <w:style w:type="paragraph" w:customStyle="1" w:styleId="111">
    <w:name w:val="InfoBlack"/>
    <w:basedOn w:val="1"/>
    <w:qFormat/>
    <w:uiPriority w:val="0"/>
    <w:pPr>
      <w:widowControl/>
      <w:spacing w:line="500" w:lineRule="exact"/>
    </w:pPr>
    <w:rPr>
      <w:rFonts w:ascii="宋体" w:hAnsi="宋体"/>
      <w:bCs/>
      <w:color w:val="000000"/>
      <w:sz w:val="28"/>
      <w:szCs w:val="20"/>
    </w:rPr>
  </w:style>
  <w:style w:type="paragraph" w:customStyle="1" w:styleId="11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列出段落1"/>
    <w:basedOn w:val="1"/>
    <w:qFormat/>
    <w:uiPriority w:val="34"/>
    <w:pPr>
      <w:ind w:firstLine="420" w:firstLineChars="200"/>
    </w:pPr>
    <w:rPr>
      <w:szCs w:val="20"/>
    </w:rPr>
  </w:style>
  <w:style w:type="paragraph" w:customStyle="1" w:styleId="115">
    <w:name w:val="Normal_2"/>
    <w:qFormat/>
    <w:uiPriority w:val="0"/>
    <w:rPr>
      <w:rFonts w:ascii="黑体" w:hAnsi="黑体" w:eastAsia="黑体" w:cs="Times New Roman"/>
      <w:b/>
      <w:sz w:val="32"/>
      <w:szCs w:val="24"/>
      <w:lang w:val="en-US" w:eastAsia="zh-CN" w:bidi="ar-SA"/>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18">
    <w:name w:val="0"/>
    <w:basedOn w:val="1"/>
    <w:qFormat/>
    <w:uiPriority w:val="0"/>
    <w:pPr>
      <w:widowControl/>
      <w:snapToGrid w:val="0"/>
      <w:spacing w:line="365" w:lineRule="atLeast"/>
      <w:ind w:left="1"/>
    </w:pPr>
    <w:rPr>
      <w:rFonts w:eastAsia="仿宋_GB2312"/>
      <w:sz w:val="20"/>
      <w:szCs w:val="20"/>
    </w:rPr>
  </w:style>
  <w:style w:type="paragraph" w:customStyle="1" w:styleId="119">
    <w:name w:val="正文（首行缩进两字）"/>
    <w:basedOn w:val="1"/>
    <w:next w:val="1"/>
    <w:qFormat/>
    <w:uiPriority w:val="0"/>
    <w:pPr>
      <w:widowControl/>
      <w:ind w:firstLine="420"/>
    </w:pPr>
    <w:rPr>
      <w:rFonts w:ascii="宋体"/>
      <w:color w:val="000000"/>
      <w:szCs w:val="20"/>
    </w:rPr>
  </w:style>
  <w:style w:type="paragraph" w:customStyle="1" w:styleId="1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正文"/>
    <w:basedOn w:val="1"/>
    <w:qFormat/>
    <w:uiPriority w:val="0"/>
    <w:pPr>
      <w:snapToGrid w:val="0"/>
      <w:spacing w:before="30" w:beforeLines="30" w:after="30" w:afterLines="30" w:line="360" w:lineRule="auto"/>
      <w:ind w:firstLine="200" w:firstLineChars="200"/>
    </w:pPr>
    <w:rPr>
      <w:rFonts w:ascii="宋体" w:hAnsi="宋体" w:cs="宋体"/>
      <w:sz w:val="24"/>
      <w:szCs w:val="20"/>
    </w:rPr>
  </w:style>
  <w:style w:type="paragraph" w:customStyle="1" w:styleId="123">
    <w:name w:val="_Style 10"/>
    <w:basedOn w:val="1"/>
    <w:qFormat/>
    <w:uiPriority w:val="0"/>
    <w:rPr>
      <w:rFonts w:ascii="仿宋_GB2312" w:eastAsia="仿宋_GB2312"/>
      <w:b/>
      <w:sz w:val="32"/>
      <w:szCs w:val="32"/>
    </w:rPr>
  </w:style>
  <w:style w:type="paragraph" w:customStyle="1" w:styleId="124">
    <w:name w:val="indent1"/>
    <w:basedOn w:val="1"/>
    <w:qFormat/>
    <w:uiPriority w:val="0"/>
    <w:pPr>
      <w:widowControl/>
      <w:spacing w:before="100" w:beforeAutospacing="1" w:after="100" w:afterAutospacing="1"/>
      <w:ind w:firstLine="480"/>
      <w:jc w:val="left"/>
    </w:pPr>
    <w:rPr>
      <w:rFonts w:ascii="微软雅黑" w:hAnsi="微软雅黑" w:eastAsia="微软雅黑" w:cs="宋体"/>
      <w:kern w:val="0"/>
      <w:sz w:val="24"/>
    </w:rPr>
  </w:style>
  <w:style w:type="paragraph" w:customStyle="1" w:styleId="1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29">
    <w:name w:val="首行缩进"/>
    <w:basedOn w:val="1"/>
    <w:qFormat/>
    <w:uiPriority w:val="0"/>
    <w:pPr>
      <w:spacing w:line="360" w:lineRule="auto"/>
      <w:ind w:firstLine="480" w:firstLineChars="200"/>
      <w:jc w:val="left"/>
    </w:pPr>
    <w:rPr>
      <w:rFonts w:ascii="宋体" w:hAnsi="宋体"/>
      <w:sz w:val="24"/>
      <w:szCs w:val="22"/>
    </w:rPr>
  </w:style>
  <w:style w:type="paragraph" w:customStyle="1" w:styleId="130">
    <w:name w:val="Normal_1"/>
    <w:qFormat/>
    <w:uiPriority w:val="0"/>
    <w:rPr>
      <w:rFonts w:ascii="黑体" w:hAnsi="黑体" w:eastAsia="黑体" w:cs="Times New Roman"/>
      <w:b/>
      <w:sz w:val="32"/>
      <w:szCs w:val="24"/>
      <w:lang w:val="en-US" w:eastAsia="zh-CN" w:bidi="ar-SA"/>
    </w:rPr>
  </w:style>
  <w:style w:type="paragraph" w:customStyle="1" w:styleId="13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样式 正文缩进 + 首行缩进:  2 字符"/>
    <w:basedOn w:val="5"/>
    <w:qFormat/>
    <w:uiPriority w:val="99"/>
    <w:pPr>
      <w:spacing w:line="360" w:lineRule="auto"/>
      <w:ind w:firstLine="200" w:firstLineChars="200"/>
    </w:pPr>
    <w:rPr>
      <w:rFonts w:cs="宋体"/>
      <w:sz w:val="24"/>
    </w:rPr>
  </w:style>
  <w:style w:type="paragraph" w:customStyle="1" w:styleId="13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6"/>
    <w:basedOn w:val="1"/>
    <w:qFormat/>
    <w:uiPriority w:val="0"/>
    <w:pPr>
      <w:spacing w:line="360" w:lineRule="auto"/>
      <w:ind w:firstLine="200" w:firstLineChars="200"/>
      <w:jc w:val="left"/>
    </w:pPr>
    <w:rPr>
      <w:sz w:val="24"/>
    </w:rPr>
  </w:style>
  <w:style w:type="character" w:customStyle="1" w:styleId="136">
    <w:name w:val="NormalCharacter"/>
    <w:semiHidden/>
    <w:qFormat/>
    <w:uiPriority w:val="99"/>
  </w:style>
  <w:style w:type="paragraph" w:customStyle="1" w:styleId="137">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138">
    <w:name w:val="无间隔1"/>
    <w:basedOn w:val="1"/>
    <w:qFormat/>
    <w:uiPriority w:val="1"/>
    <w:rPr>
      <w:rFonts w:hint="eastAsia"/>
      <w:sz w:val="24"/>
    </w:rPr>
  </w:style>
  <w:style w:type="paragraph" w:customStyle="1" w:styleId="139">
    <w:name w:val="默认"/>
    <w:basedOn w:val="1"/>
    <w:qFormat/>
    <w:uiPriority w:val="0"/>
    <w:pPr>
      <w:keepNext w:val="0"/>
      <w:keepLines w:val="0"/>
      <w:widowControl/>
      <w:suppressLineNumbers w:val="0"/>
      <w:spacing w:before="160" w:beforeAutospacing="0" w:after="0" w:afterAutospacing="0" w:line="288" w:lineRule="auto"/>
      <w:ind w:left="0" w:right="0"/>
      <w:jc w:val="left"/>
    </w:pPr>
    <w:rPr>
      <w:rFonts w:hint="default" w:ascii="PingFang SC Regular" w:hAnsi="PingFang SC Regular" w:eastAsia="Arial Unicode MS" w:cs="Arial Unicode MS"/>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19356</Words>
  <Characters>21129</Characters>
  <Lines>353</Lines>
  <Paragraphs>99</Paragraphs>
  <TotalTime>77</TotalTime>
  <ScaleCrop>false</ScaleCrop>
  <LinksUpToDate>false</LinksUpToDate>
  <CharactersWithSpaces>22166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2022-04-06T08:51:00Z</dcterms:created>
  <dc:creator>Windows User</dc:creator>
  <cp:lastModifiedBy>培珍Y(^_^)Y</cp:lastModifiedBy>
  <cp:lastPrinted>2021-10-28T07:39:00Z</cp:lastPrinted>
  <dcterms:modified xsi:type="dcterms:W3CDTF">2025-06-20T02:09:34Z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BC33D711D45B4CC8B1C4DDB5E8EEE428_13</vt:lpwstr>
  </property>
  <property fmtid="{D5CDD505-2E9C-101B-9397-08002B2CF9AE}" pid="4" name="KSOTemplateDocerSaveRecord">
    <vt:lpwstr>eyJoZGlkIjoiZWVkZDE5NjkxMGUyMWI5MDE5OTM0NjYyYTdiMGQ4ODEiLCJ1c2VySWQiOiI3MDgzMzI3OTkifQ==</vt:lpwstr>
  </property>
</Properties>
</file>