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05C688">
      <w:r>
        <w:rPr>
          <w:rFonts w:hint="eastAsia"/>
        </w:rPr>
        <w:t xml:space="preserve">   </w:t>
      </w:r>
    </w:p>
    <w:p w14:paraId="5D9E1DC8">
      <w:pPr>
        <w:rPr>
          <w:rFonts w:hint="eastAsia" w:ascii="宋体" w:hAnsi="宋体"/>
          <w:b/>
          <w:sz w:val="72"/>
          <w:szCs w:val="72"/>
        </w:rPr>
      </w:pPr>
    </w:p>
    <w:p w14:paraId="15E95B59">
      <w:pPr>
        <w:autoSpaceDE w:val="0"/>
        <w:autoSpaceDN w:val="0"/>
        <w:spacing w:line="360" w:lineRule="auto"/>
        <w:jc w:val="center"/>
        <w:textAlignment w:val="bottom"/>
        <w:outlineLvl w:val="0"/>
        <w:rPr>
          <w:rFonts w:hint="eastAsia" w:ascii="宋体" w:hAnsi="宋体"/>
          <w:b/>
          <w:sz w:val="36"/>
        </w:rPr>
      </w:pPr>
      <w:r>
        <w:rPr>
          <w:rFonts w:hint="eastAsia" w:ascii="宋体" w:hAnsi="宋体"/>
          <w:b/>
          <w:sz w:val="84"/>
        </w:rPr>
        <w:t xml:space="preserve"> </w:t>
      </w:r>
      <w:bookmarkStart w:id="0" w:name="_Toc30886"/>
      <w:bookmarkStart w:id="1" w:name="_Toc25564"/>
      <w:bookmarkStart w:id="2" w:name="_Toc6350"/>
      <w:bookmarkStart w:id="3" w:name="_Toc12611"/>
      <w:bookmarkStart w:id="4" w:name="_Toc5170"/>
      <w:bookmarkStart w:id="5" w:name="_Toc8344"/>
      <w:bookmarkStart w:id="6" w:name="_Toc8775"/>
      <w:bookmarkStart w:id="7" w:name="_Toc15076"/>
      <w:bookmarkStart w:id="8" w:name="_Toc7627"/>
      <w:bookmarkStart w:id="9" w:name="_Toc15310"/>
      <w:bookmarkStart w:id="10" w:name="_Toc29765"/>
      <w:bookmarkStart w:id="11" w:name="_Toc21289"/>
      <w:bookmarkStart w:id="12" w:name="_Toc18012"/>
      <w:bookmarkStart w:id="13" w:name="_Toc2773"/>
      <w:bookmarkStart w:id="14" w:name="_Toc4345"/>
      <w:bookmarkStart w:id="15" w:name="_Toc25558"/>
      <w:bookmarkStart w:id="16" w:name="_Toc15230"/>
      <w:bookmarkStart w:id="17" w:name="_Toc20127"/>
      <w:bookmarkStart w:id="18" w:name="_Toc21995"/>
      <w:r>
        <w:rPr>
          <w:rFonts w:hint="eastAsia" w:ascii="宋体" w:hAnsi="宋体"/>
          <w:b/>
          <w:sz w:val="84"/>
        </w:rPr>
        <w:t>竞争性磋商文件</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p>
    <w:p w14:paraId="34622911">
      <w:pPr>
        <w:autoSpaceDE w:val="0"/>
        <w:autoSpaceDN w:val="0"/>
        <w:spacing w:line="360" w:lineRule="auto"/>
        <w:textAlignment w:val="bottom"/>
        <w:outlineLvl w:val="0"/>
        <w:rPr>
          <w:rFonts w:hint="eastAsia" w:ascii="宋体" w:hAnsi="宋体"/>
          <w:b/>
          <w:sz w:val="36"/>
        </w:rPr>
      </w:pPr>
    </w:p>
    <w:p w14:paraId="34CE52CF">
      <w:pPr>
        <w:autoSpaceDE w:val="0"/>
        <w:autoSpaceDN w:val="0"/>
        <w:spacing w:line="360" w:lineRule="auto"/>
        <w:textAlignment w:val="bottom"/>
        <w:outlineLvl w:val="0"/>
        <w:rPr>
          <w:rFonts w:hint="eastAsia" w:ascii="宋体" w:hAnsi="宋体"/>
          <w:b/>
          <w:sz w:val="36"/>
        </w:rPr>
      </w:pPr>
    </w:p>
    <w:tbl>
      <w:tblPr>
        <w:tblStyle w:val="33"/>
        <w:tblpPr w:leftFromText="180" w:rightFromText="180" w:vertAnchor="text" w:horzAnchor="page" w:tblpX="1877" w:tblpY="77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1"/>
        <w:gridCol w:w="7292"/>
      </w:tblGrid>
      <w:tr w14:paraId="641C67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5" w:hRule="atLeast"/>
        </w:trPr>
        <w:tc>
          <w:tcPr>
            <w:tcW w:w="1871" w:type="dxa"/>
            <w:tcBorders>
              <w:top w:val="nil"/>
              <w:left w:val="nil"/>
              <w:bottom w:val="nil"/>
              <w:right w:val="nil"/>
            </w:tcBorders>
            <w:vAlign w:val="center"/>
          </w:tcPr>
          <w:p w14:paraId="6A4B9CAC">
            <w:pPr>
              <w:autoSpaceDE w:val="0"/>
              <w:autoSpaceDN w:val="0"/>
              <w:spacing w:line="360" w:lineRule="auto"/>
              <w:textAlignment w:val="bottom"/>
              <w:outlineLvl w:val="0"/>
              <w:rPr>
                <w:rFonts w:hint="eastAsia" w:ascii="宋体" w:hAnsi="宋体"/>
                <w:b/>
                <w:sz w:val="36"/>
              </w:rPr>
            </w:pPr>
            <w:bookmarkStart w:id="19" w:name="_Toc1832"/>
            <w:bookmarkStart w:id="20" w:name="_Toc4220"/>
            <w:bookmarkStart w:id="21" w:name="_Toc5307"/>
            <w:bookmarkStart w:id="22" w:name="_Toc18701"/>
            <w:bookmarkStart w:id="23" w:name="_Toc12430"/>
            <w:bookmarkStart w:id="24" w:name="_Toc8253"/>
            <w:bookmarkStart w:id="25" w:name="_Toc6673"/>
            <w:bookmarkStart w:id="26" w:name="_Toc14192"/>
            <w:bookmarkStart w:id="27" w:name="_Toc17554"/>
            <w:bookmarkStart w:id="28" w:name="_Toc3652"/>
            <w:bookmarkStart w:id="29" w:name="_Toc14974"/>
            <w:bookmarkStart w:id="30" w:name="_Toc32484"/>
            <w:bookmarkStart w:id="31" w:name="_Toc14818"/>
            <w:bookmarkStart w:id="32" w:name="_Toc3870"/>
            <w:bookmarkStart w:id="33" w:name="_Toc14502"/>
            <w:bookmarkStart w:id="34" w:name="_Toc21553"/>
            <w:bookmarkStart w:id="35" w:name="_Toc27048"/>
            <w:bookmarkStart w:id="36" w:name="_Toc30240"/>
            <w:bookmarkStart w:id="37" w:name="_Toc8872"/>
            <w:r>
              <w:rPr>
                <w:rFonts w:hint="eastAsia" w:ascii="宋体" w:hAnsi="宋体"/>
                <w:b/>
                <w:sz w:val="36"/>
              </w:rPr>
              <w:t>采购编号：</w:t>
            </w:r>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p>
        </w:tc>
        <w:tc>
          <w:tcPr>
            <w:tcW w:w="7292" w:type="dxa"/>
            <w:tcBorders>
              <w:top w:val="nil"/>
              <w:left w:val="nil"/>
              <w:bottom w:val="nil"/>
              <w:right w:val="nil"/>
            </w:tcBorders>
            <w:vAlign w:val="center"/>
          </w:tcPr>
          <w:p w14:paraId="71C66BA4">
            <w:pPr>
              <w:autoSpaceDE w:val="0"/>
              <w:autoSpaceDN w:val="0"/>
              <w:spacing w:line="360" w:lineRule="auto"/>
              <w:textAlignment w:val="bottom"/>
              <w:outlineLvl w:val="0"/>
              <w:rPr>
                <w:rFonts w:hint="eastAsia" w:ascii="宋体" w:hAnsi="宋体" w:cs="仿宋"/>
                <w:b/>
                <w:sz w:val="36"/>
              </w:rPr>
            </w:pPr>
            <w:bookmarkStart w:id="38" w:name="_Toc2603"/>
            <w:bookmarkStart w:id="39" w:name="_Toc28333"/>
            <w:bookmarkStart w:id="40" w:name="_Toc21894"/>
            <w:bookmarkStart w:id="41" w:name="_Toc17695"/>
            <w:bookmarkStart w:id="42" w:name="_Toc2788"/>
            <w:bookmarkStart w:id="43" w:name="_Toc10290"/>
            <w:r>
              <w:rPr>
                <w:rFonts w:hint="eastAsia" w:ascii="宋体" w:hAnsi="宋体" w:cs="仿宋"/>
                <w:b/>
                <w:sz w:val="36"/>
              </w:rPr>
              <w:t>卓正丽磋商2025-10</w:t>
            </w:r>
            <w:r>
              <w:rPr>
                <w:rFonts w:hint="eastAsia" w:ascii="宋体" w:hAnsi="宋体" w:cs="仿宋"/>
                <w:b/>
                <w:sz w:val="36"/>
                <w:lang w:val="en-US" w:eastAsia="zh-CN"/>
              </w:rPr>
              <w:t>75</w:t>
            </w:r>
            <w:r>
              <w:rPr>
                <w:rFonts w:hint="eastAsia" w:ascii="宋体" w:hAnsi="宋体" w:cs="仿宋"/>
                <w:b/>
                <w:sz w:val="36"/>
              </w:rPr>
              <w:t>号</w:t>
            </w:r>
            <w:bookmarkEnd w:id="38"/>
            <w:bookmarkEnd w:id="39"/>
            <w:bookmarkEnd w:id="40"/>
            <w:bookmarkEnd w:id="41"/>
            <w:bookmarkEnd w:id="42"/>
            <w:bookmarkEnd w:id="43"/>
          </w:p>
        </w:tc>
      </w:tr>
      <w:tr w14:paraId="1A6DAB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5" w:hRule="atLeast"/>
        </w:trPr>
        <w:tc>
          <w:tcPr>
            <w:tcW w:w="1871" w:type="dxa"/>
            <w:tcBorders>
              <w:top w:val="nil"/>
              <w:left w:val="nil"/>
              <w:bottom w:val="nil"/>
              <w:right w:val="nil"/>
            </w:tcBorders>
            <w:vAlign w:val="center"/>
          </w:tcPr>
          <w:p w14:paraId="30C5A757">
            <w:pPr>
              <w:autoSpaceDE w:val="0"/>
              <w:autoSpaceDN w:val="0"/>
              <w:spacing w:line="360" w:lineRule="auto"/>
              <w:textAlignment w:val="bottom"/>
              <w:outlineLvl w:val="0"/>
              <w:rPr>
                <w:rFonts w:hint="eastAsia" w:ascii="宋体" w:hAnsi="宋体" w:cs="仿宋"/>
                <w:b/>
                <w:sz w:val="36"/>
              </w:rPr>
            </w:pPr>
            <w:bookmarkStart w:id="44" w:name="_Toc8714"/>
            <w:bookmarkStart w:id="45" w:name="_Toc21169"/>
            <w:bookmarkStart w:id="46" w:name="_Toc4025"/>
            <w:bookmarkStart w:id="47" w:name="_Toc16238"/>
            <w:bookmarkStart w:id="48" w:name="_Toc27718"/>
            <w:bookmarkStart w:id="49" w:name="_Toc23534"/>
            <w:bookmarkStart w:id="50" w:name="_Toc22243"/>
            <w:bookmarkStart w:id="51" w:name="_Toc12623"/>
            <w:bookmarkStart w:id="52" w:name="_Toc2841"/>
            <w:bookmarkStart w:id="53" w:name="_Toc23291"/>
            <w:bookmarkStart w:id="54" w:name="_Toc5880"/>
            <w:bookmarkStart w:id="55" w:name="_Toc29362"/>
            <w:bookmarkStart w:id="56" w:name="_Toc26724"/>
            <w:bookmarkStart w:id="57" w:name="_Toc26219"/>
            <w:bookmarkStart w:id="58" w:name="_Toc6533"/>
            <w:bookmarkStart w:id="59" w:name="_Toc27554"/>
            <w:bookmarkStart w:id="60" w:name="_Toc30189"/>
            <w:bookmarkStart w:id="61" w:name="_Toc7101"/>
            <w:bookmarkStart w:id="62" w:name="_Toc27899"/>
            <w:r>
              <w:rPr>
                <w:rFonts w:hint="eastAsia" w:ascii="宋体" w:hAnsi="宋体" w:cs="仿宋"/>
                <w:b/>
                <w:sz w:val="36"/>
              </w:rPr>
              <w:t>项目名称：</w:t>
            </w:r>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p>
        </w:tc>
        <w:tc>
          <w:tcPr>
            <w:tcW w:w="7292" w:type="dxa"/>
            <w:tcBorders>
              <w:top w:val="nil"/>
              <w:left w:val="nil"/>
              <w:bottom w:val="nil"/>
              <w:right w:val="nil"/>
            </w:tcBorders>
            <w:vAlign w:val="center"/>
          </w:tcPr>
          <w:p w14:paraId="29B185FB">
            <w:pPr>
              <w:autoSpaceDE w:val="0"/>
              <w:autoSpaceDN w:val="0"/>
              <w:spacing w:line="360" w:lineRule="auto"/>
              <w:textAlignment w:val="bottom"/>
              <w:outlineLvl w:val="0"/>
              <w:rPr>
                <w:rFonts w:hint="eastAsia" w:ascii="宋体" w:hAnsi="宋体" w:eastAsia="宋体" w:cs="仿宋"/>
                <w:b/>
                <w:sz w:val="36"/>
                <w:lang w:eastAsia="zh-CN"/>
              </w:rPr>
            </w:pPr>
            <w:r>
              <w:rPr>
                <w:rFonts w:hint="eastAsia" w:ascii="宋体" w:hAnsi="宋体"/>
                <w:b/>
                <w:sz w:val="36"/>
                <w:lang w:eastAsia="zh-CN"/>
              </w:rPr>
              <w:t>丽水市经常化创建全国县级文明城市第三方无感评估项目</w:t>
            </w:r>
          </w:p>
        </w:tc>
      </w:tr>
      <w:tr w14:paraId="64DA67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trPr>
        <w:tc>
          <w:tcPr>
            <w:tcW w:w="1871" w:type="dxa"/>
            <w:tcBorders>
              <w:top w:val="nil"/>
              <w:left w:val="nil"/>
              <w:bottom w:val="nil"/>
              <w:right w:val="nil"/>
            </w:tcBorders>
            <w:vAlign w:val="center"/>
          </w:tcPr>
          <w:p w14:paraId="7C60D0BC">
            <w:pPr>
              <w:autoSpaceDE w:val="0"/>
              <w:autoSpaceDN w:val="0"/>
              <w:spacing w:line="360" w:lineRule="auto"/>
              <w:textAlignment w:val="bottom"/>
              <w:outlineLvl w:val="0"/>
              <w:rPr>
                <w:rFonts w:hint="eastAsia" w:ascii="宋体" w:hAnsi="宋体"/>
                <w:b/>
                <w:sz w:val="36"/>
              </w:rPr>
            </w:pPr>
            <w:bookmarkStart w:id="63" w:name="_Toc30938"/>
            <w:bookmarkStart w:id="64" w:name="_Toc9261"/>
            <w:bookmarkStart w:id="65" w:name="_Toc5034"/>
            <w:bookmarkStart w:id="66" w:name="_Toc29694"/>
            <w:bookmarkStart w:id="67" w:name="_Toc647"/>
            <w:bookmarkStart w:id="68" w:name="_Toc6459"/>
            <w:bookmarkStart w:id="69" w:name="_Toc16489"/>
            <w:bookmarkStart w:id="70" w:name="_Toc7683"/>
            <w:bookmarkStart w:id="71" w:name="_Toc4605"/>
            <w:bookmarkStart w:id="72" w:name="_Toc31154"/>
            <w:bookmarkStart w:id="73" w:name="_Toc32005"/>
            <w:bookmarkStart w:id="74" w:name="_Toc17873"/>
            <w:bookmarkStart w:id="75" w:name="_Toc26308"/>
            <w:bookmarkStart w:id="76" w:name="_Toc11126"/>
            <w:bookmarkStart w:id="77" w:name="_Toc2477"/>
            <w:bookmarkStart w:id="78" w:name="_Toc13976"/>
            <w:bookmarkStart w:id="79" w:name="_Toc20220"/>
            <w:bookmarkStart w:id="80" w:name="_Toc30305"/>
            <w:bookmarkStart w:id="81" w:name="_Toc9297"/>
            <w:r>
              <w:rPr>
                <w:rFonts w:hint="eastAsia" w:ascii="宋体" w:hAnsi="宋体"/>
                <w:b/>
                <w:sz w:val="36"/>
              </w:rPr>
              <w:t>采 购 人：</w:t>
            </w:r>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p>
        </w:tc>
        <w:tc>
          <w:tcPr>
            <w:tcW w:w="7292" w:type="dxa"/>
            <w:tcBorders>
              <w:top w:val="nil"/>
              <w:left w:val="nil"/>
              <w:bottom w:val="nil"/>
              <w:right w:val="nil"/>
            </w:tcBorders>
            <w:vAlign w:val="center"/>
          </w:tcPr>
          <w:p w14:paraId="2934ACEA">
            <w:pPr>
              <w:autoSpaceDE w:val="0"/>
              <w:autoSpaceDN w:val="0"/>
              <w:spacing w:line="360" w:lineRule="auto"/>
              <w:textAlignment w:val="bottom"/>
              <w:outlineLvl w:val="0"/>
              <w:rPr>
                <w:rFonts w:hint="eastAsia" w:ascii="宋体" w:hAnsi="宋体"/>
                <w:b/>
                <w:sz w:val="36"/>
              </w:rPr>
            </w:pPr>
            <w:bookmarkStart w:id="82" w:name="_Toc28409"/>
            <w:bookmarkStart w:id="83" w:name="_Toc19499"/>
            <w:bookmarkStart w:id="84" w:name="_Toc25808"/>
            <w:r>
              <w:rPr>
                <w:rFonts w:hint="eastAsia" w:ascii="宋体" w:hAnsi="宋体" w:cs="Times New Roman"/>
                <w:b/>
                <w:sz w:val="36"/>
                <w:lang w:eastAsia="zh-CN"/>
              </w:rPr>
              <w:t>中共丽水市委宣传部</w:t>
            </w:r>
            <w:bookmarkEnd w:id="82"/>
            <w:bookmarkEnd w:id="83"/>
            <w:bookmarkEnd w:id="84"/>
          </w:p>
        </w:tc>
      </w:tr>
    </w:tbl>
    <w:p w14:paraId="29B3E3FD">
      <w:pPr>
        <w:autoSpaceDE w:val="0"/>
        <w:autoSpaceDN w:val="0"/>
        <w:spacing w:line="360" w:lineRule="auto"/>
        <w:ind w:left="1428" w:leftChars="680"/>
        <w:textAlignment w:val="bottom"/>
        <w:outlineLvl w:val="0"/>
        <w:rPr>
          <w:rFonts w:hint="eastAsia" w:ascii="宋体" w:hAnsi="宋体"/>
          <w:b/>
          <w:sz w:val="36"/>
        </w:rPr>
      </w:pPr>
    </w:p>
    <w:p w14:paraId="753E29D0">
      <w:pPr>
        <w:spacing w:line="360" w:lineRule="auto"/>
        <w:rPr>
          <w:rFonts w:hint="eastAsia" w:ascii="宋体" w:hAnsi="宋体"/>
          <w:b/>
          <w:sz w:val="36"/>
        </w:rPr>
      </w:pPr>
    </w:p>
    <w:p w14:paraId="6CD706A6">
      <w:pPr>
        <w:autoSpaceDE w:val="0"/>
        <w:autoSpaceDN w:val="0"/>
        <w:spacing w:line="360" w:lineRule="auto"/>
        <w:textAlignment w:val="bottom"/>
        <w:rPr>
          <w:rFonts w:hint="eastAsia" w:ascii="宋体" w:hAnsi="宋体"/>
          <w:b/>
          <w:sz w:val="36"/>
        </w:rPr>
      </w:pPr>
    </w:p>
    <w:p w14:paraId="1026F256">
      <w:pPr>
        <w:autoSpaceDE w:val="0"/>
        <w:autoSpaceDN w:val="0"/>
        <w:spacing w:line="360" w:lineRule="auto"/>
        <w:ind w:firstLine="1428" w:firstLineChars="395"/>
        <w:textAlignment w:val="bottom"/>
        <w:rPr>
          <w:rFonts w:hint="eastAsia" w:ascii="宋体" w:hAnsi="宋体"/>
          <w:b/>
          <w:sz w:val="36"/>
        </w:rPr>
      </w:pPr>
    </w:p>
    <w:p w14:paraId="412B939A">
      <w:pPr>
        <w:autoSpaceDE w:val="0"/>
        <w:autoSpaceDN w:val="0"/>
        <w:spacing w:line="360" w:lineRule="auto"/>
        <w:ind w:firstLine="723" w:firstLineChars="200"/>
        <w:textAlignment w:val="bottom"/>
        <w:rPr>
          <w:rFonts w:hint="eastAsia" w:ascii="宋体" w:hAnsi="宋体"/>
          <w:b/>
          <w:sz w:val="36"/>
        </w:rPr>
      </w:pPr>
      <w:r>
        <w:rPr>
          <w:rFonts w:hint="eastAsia" w:ascii="宋体" w:hAnsi="宋体"/>
          <w:b/>
          <w:sz w:val="36"/>
        </w:rPr>
        <w:t>采购代理机构：卓正招标咨询（丽水）有限公司</w:t>
      </w:r>
    </w:p>
    <w:p w14:paraId="3FCA43ED">
      <w:pPr>
        <w:jc w:val="center"/>
        <w:rPr>
          <w:rFonts w:hint="eastAsia" w:ascii="宋体" w:hAnsi="宋体"/>
          <w:b/>
          <w:szCs w:val="28"/>
        </w:rPr>
      </w:pPr>
      <w:r>
        <w:rPr>
          <w:rFonts w:hint="eastAsia" w:ascii="宋体" w:hAnsi="宋体"/>
          <w:b/>
          <w:sz w:val="36"/>
        </w:rPr>
        <w:t xml:space="preserve">    二〇二五年</w:t>
      </w:r>
      <w:r>
        <w:rPr>
          <w:rFonts w:hint="eastAsia" w:ascii="宋体" w:hAnsi="宋体"/>
          <w:b/>
          <w:sz w:val="36"/>
          <w:lang w:val="en-US" w:eastAsia="zh-CN"/>
        </w:rPr>
        <w:t>六</w:t>
      </w:r>
      <w:r>
        <w:rPr>
          <w:rFonts w:hint="eastAsia" w:ascii="宋体" w:hAnsi="宋体"/>
          <w:b/>
          <w:sz w:val="36"/>
        </w:rPr>
        <w:t>月</w:t>
      </w:r>
    </w:p>
    <w:p w14:paraId="4D9CB1CA">
      <w:pPr>
        <w:pStyle w:val="20"/>
        <w:tabs>
          <w:tab w:val="left" w:pos="2934"/>
          <w:tab w:val="center" w:pos="4535"/>
        </w:tabs>
        <w:spacing w:line="276" w:lineRule="auto"/>
        <w:jc w:val="center"/>
        <w:rPr>
          <w:rFonts w:hint="eastAsia" w:ascii="宋体" w:hAnsi="宋体" w:eastAsia="宋体"/>
          <w:b/>
          <w:szCs w:val="28"/>
        </w:rPr>
        <w:sectPr>
          <w:headerReference r:id="rId5" w:type="first"/>
          <w:footerReference r:id="rId8" w:type="first"/>
          <w:headerReference r:id="rId3" w:type="default"/>
          <w:footerReference r:id="rId6" w:type="default"/>
          <w:headerReference r:id="rId4" w:type="even"/>
          <w:footerReference r:id="rId7" w:type="even"/>
          <w:pgSz w:w="11906" w:h="16838"/>
          <w:pgMar w:top="1418" w:right="1418" w:bottom="1418" w:left="1418" w:header="851" w:footer="851" w:gutter="0"/>
          <w:pgBorders>
            <w:top w:val="none" w:sz="0" w:space="0"/>
            <w:left w:val="none" w:sz="0" w:space="0"/>
            <w:bottom w:val="none" w:sz="0" w:space="0"/>
            <w:right w:val="none" w:sz="0" w:space="0"/>
          </w:pgBorders>
          <w:cols w:space="720" w:num="1"/>
          <w:titlePg/>
        </w:sectPr>
      </w:pPr>
    </w:p>
    <w:p w14:paraId="0F5D724B">
      <w:pPr>
        <w:jc w:val="center"/>
        <w:rPr>
          <w:rFonts w:hint="eastAsia" w:ascii="宋体" w:hAnsi="宋体"/>
          <w:b/>
          <w:sz w:val="28"/>
          <w:szCs w:val="28"/>
        </w:rPr>
      </w:pPr>
      <w:r>
        <w:rPr>
          <w:rFonts w:ascii="宋体" w:hAnsi="宋体"/>
          <w:b/>
          <w:sz w:val="28"/>
          <w:szCs w:val="28"/>
        </w:rPr>
        <w:t>目  录</w:t>
      </w:r>
    </w:p>
    <w:p w14:paraId="67CD51E8">
      <w:pPr>
        <w:pStyle w:val="26"/>
        <w:tabs>
          <w:tab w:val="right" w:leader="dot" w:pos="9241"/>
        </w:tabs>
      </w:pPr>
      <w:r>
        <w:fldChar w:fldCharType="begin"/>
      </w:r>
      <w:r>
        <w:instrText xml:space="preserve">TOC \o "1-3" \h \u </w:instrText>
      </w:r>
      <w:r>
        <w:fldChar w:fldCharType="separate"/>
      </w:r>
    </w:p>
    <w:p w14:paraId="56A84FE6">
      <w:pPr>
        <w:pStyle w:val="26"/>
        <w:tabs>
          <w:tab w:val="right" w:leader="dot" w:pos="9241"/>
        </w:tabs>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HYPERLINK \l _Toc23579 </w:instrText>
      </w:r>
      <w:r>
        <w:rPr>
          <w:rFonts w:hint="eastAsia" w:asciiTheme="majorEastAsia" w:hAnsiTheme="majorEastAsia" w:eastAsiaTheme="majorEastAsia" w:cstheme="majorEastAsia"/>
          <w:sz w:val="24"/>
          <w:szCs w:val="24"/>
        </w:rPr>
        <w:fldChar w:fldCharType="separate"/>
      </w:r>
      <w:r>
        <w:rPr>
          <w:rFonts w:hint="eastAsia" w:asciiTheme="majorEastAsia" w:hAnsiTheme="majorEastAsia" w:eastAsiaTheme="majorEastAsia" w:cstheme="majorEastAsia"/>
          <w:sz w:val="24"/>
          <w:szCs w:val="24"/>
        </w:rPr>
        <w:t>第一章  综合说明</w:t>
      </w:r>
      <w:r>
        <w:rPr>
          <w:rFonts w:hint="eastAsia" w:asciiTheme="majorEastAsia" w:hAnsiTheme="majorEastAsia" w:eastAsiaTheme="majorEastAsia" w:cstheme="majorEastAsia"/>
          <w:sz w:val="24"/>
          <w:szCs w:val="24"/>
        </w:rPr>
        <w:tab/>
      </w: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PAGEREF _Toc23579 \h </w:instrText>
      </w:r>
      <w:r>
        <w:rPr>
          <w:rFonts w:hint="eastAsia" w:asciiTheme="majorEastAsia" w:hAnsiTheme="majorEastAsia" w:eastAsiaTheme="majorEastAsia" w:cstheme="majorEastAsia"/>
          <w:sz w:val="24"/>
          <w:szCs w:val="24"/>
        </w:rPr>
        <w:fldChar w:fldCharType="separate"/>
      </w:r>
      <w:r>
        <w:rPr>
          <w:rFonts w:hint="eastAsia" w:asciiTheme="majorEastAsia" w:hAnsiTheme="majorEastAsia" w:eastAsiaTheme="majorEastAsia" w:cstheme="majorEastAsia"/>
          <w:sz w:val="24"/>
          <w:szCs w:val="24"/>
        </w:rPr>
        <w:t>2</w:t>
      </w:r>
      <w:r>
        <w:rPr>
          <w:rFonts w:hint="eastAsia" w:asciiTheme="majorEastAsia" w:hAnsiTheme="majorEastAsia" w:eastAsiaTheme="majorEastAsia" w:cstheme="majorEastAsia"/>
          <w:sz w:val="24"/>
          <w:szCs w:val="24"/>
        </w:rPr>
        <w:fldChar w:fldCharType="end"/>
      </w:r>
      <w:r>
        <w:rPr>
          <w:rFonts w:hint="eastAsia" w:asciiTheme="majorEastAsia" w:hAnsiTheme="majorEastAsia" w:eastAsiaTheme="majorEastAsia" w:cstheme="majorEastAsia"/>
          <w:sz w:val="24"/>
          <w:szCs w:val="24"/>
        </w:rPr>
        <w:fldChar w:fldCharType="end"/>
      </w:r>
    </w:p>
    <w:p w14:paraId="2008BB49">
      <w:pPr>
        <w:pStyle w:val="18"/>
        <w:tabs>
          <w:tab w:val="right" w:leader="dot" w:pos="9241"/>
          <w:tab w:val="clear" w:pos="9060"/>
        </w:tabs>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HYPERLINK \l _Toc19411 </w:instrText>
      </w:r>
      <w:r>
        <w:rPr>
          <w:rFonts w:hint="eastAsia" w:asciiTheme="majorEastAsia" w:hAnsiTheme="majorEastAsia" w:eastAsiaTheme="majorEastAsia" w:cstheme="majorEastAsia"/>
          <w:sz w:val="24"/>
          <w:szCs w:val="24"/>
        </w:rPr>
        <w:fldChar w:fldCharType="separate"/>
      </w:r>
      <w:r>
        <w:rPr>
          <w:rFonts w:hint="eastAsia" w:asciiTheme="majorEastAsia" w:hAnsiTheme="majorEastAsia" w:eastAsiaTheme="majorEastAsia" w:cstheme="majorEastAsia"/>
          <w:sz w:val="24"/>
          <w:szCs w:val="24"/>
        </w:rPr>
        <w:t>一  竞争性磋商公告</w:t>
      </w:r>
      <w:r>
        <w:rPr>
          <w:rFonts w:hint="eastAsia" w:asciiTheme="majorEastAsia" w:hAnsiTheme="majorEastAsia" w:eastAsiaTheme="majorEastAsia" w:cstheme="majorEastAsia"/>
          <w:sz w:val="24"/>
          <w:szCs w:val="24"/>
        </w:rPr>
        <w:tab/>
      </w: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PAGEREF _Toc19411 \h </w:instrText>
      </w:r>
      <w:r>
        <w:rPr>
          <w:rFonts w:hint="eastAsia" w:asciiTheme="majorEastAsia" w:hAnsiTheme="majorEastAsia" w:eastAsiaTheme="majorEastAsia" w:cstheme="majorEastAsia"/>
          <w:sz w:val="24"/>
          <w:szCs w:val="24"/>
        </w:rPr>
        <w:fldChar w:fldCharType="separate"/>
      </w:r>
      <w:r>
        <w:rPr>
          <w:rFonts w:hint="eastAsia" w:asciiTheme="majorEastAsia" w:hAnsiTheme="majorEastAsia" w:eastAsiaTheme="majorEastAsia" w:cstheme="majorEastAsia"/>
          <w:sz w:val="24"/>
          <w:szCs w:val="24"/>
        </w:rPr>
        <w:t>2</w:t>
      </w:r>
      <w:r>
        <w:rPr>
          <w:rFonts w:hint="eastAsia" w:asciiTheme="majorEastAsia" w:hAnsiTheme="majorEastAsia" w:eastAsiaTheme="majorEastAsia" w:cstheme="majorEastAsia"/>
          <w:sz w:val="24"/>
          <w:szCs w:val="24"/>
        </w:rPr>
        <w:fldChar w:fldCharType="end"/>
      </w:r>
      <w:r>
        <w:rPr>
          <w:rFonts w:hint="eastAsia" w:asciiTheme="majorEastAsia" w:hAnsiTheme="majorEastAsia" w:eastAsiaTheme="majorEastAsia" w:cstheme="majorEastAsia"/>
          <w:sz w:val="24"/>
          <w:szCs w:val="24"/>
        </w:rPr>
        <w:fldChar w:fldCharType="end"/>
      </w:r>
    </w:p>
    <w:p w14:paraId="3322D677">
      <w:pPr>
        <w:pStyle w:val="26"/>
        <w:tabs>
          <w:tab w:val="right" w:leader="dot" w:pos="9241"/>
        </w:tabs>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HYPERLINK \l _Toc4285 </w:instrText>
      </w:r>
      <w:r>
        <w:rPr>
          <w:rFonts w:hint="eastAsia" w:asciiTheme="majorEastAsia" w:hAnsiTheme="majorEastAsia" w:eastAsiaTheme="majorEastAsia" w:cstheme="majorEastAsia"/>
          <w:sz w:val="24"/>
          <w:szCs w:val="24"/>
        </w:rPr>
        <w:fldChar w:fldCharType="separate"/>
      </w:r>
      <w:r>
        <w:rPr>
          <w:rFonts w:hint="eastAsia" w:asciiTheme="majorEastAsia" w:hAnsiTheme="majorEastAsia" w:eastAsiaTheme="majorEastAsia" w:cstheme="majorEastAsia"/>
          <w:bCs/>
          <w:sz w:val="24"/>
          <w:szCs w:val="24"/>
        </w:rPr>
        <w:t>第二章  供应商须知</w:t>
      </w:r>
      <w:r>
        <w:rPr>
          <w:rFonts w:hint="eastAsia" w:asciiTheme="majorEastAsia" w:hAnsiTheme="majorEastAsia" w:eastAsiaTheme="majorEastAsia" w:cstheme="majorEastAsia"/>
          <w:sz w:val="24"/>
          <w:szCs w:val="24"/>
        </w:rPr>
        <w:tab/>
      </w: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PAGEREF _Toc4285 \h </w:instrText>
      </w:r>
      <w:r>
        <w:rPr>
          <w:rFonts w:hint="eastAsia" w:asciiTheme="majorEastAsia" w:hAnsiTheme="majorEastAsia" w:eastAsiaTheme="majorEastAsia" w:cstheme="majorEastAsia"/>
          <w:sz w:val="24"/>
          <w:szCs w:val="24"/>
        </w:rPr>
        <w:fldChar w:fldCharType="separate"/>
      </w:r>
      <w:r>
        <w:rPr>
          <w:rFonts w:hint="eastAsia" w:asciiTheme="majorEastAsia" w:hAnsiTheme="majorEastAsia" w:eastAsiaTheme="majorEastAsia" w:cstheme="majorEastAsia"/>
          <w:sz w:val="24"/>
          <w:szCs w:val="24"/>
        </w:rPr>
        <w:t>6</w:t>
      </w:r>
      <w:r>
        <w:rPr>
          <w:rFonts w:hint="eastAsia" w:asciiTheme="majorEastAsia" w:hAnsiTheme="majorEastAsia" w:eastAsiaTheme="majorEastAsia" w:cstheme="majorEastAsia"/>
          <w:sz w:val="24"/>
          <w:szCs w:val="24"/>
        </w:rPr>
        <w:fldChar w:fldCharType="end"/>
      </w:r>
      <w:r>
        <w:rPr>
          <w:rFonts w:hint="eastAsia" w:asciiTheme="majorEastAsia" w:hAnsiTheme="majorEastAsia" w:eastAsiaTheme="majorEastAsia" w:cstheme="majorEastAsia"/>
          <w:sz w:val="24"/>
          <w:szCs w:val="24"/>
        </w:rPr>
        <w:fldChar w:fldCharType="end"/>
      </w:r>
    </w:p>
    <w:p w14:paraId="3FFE4324">
      <w:pPr>
        <w:pStyle w:val="18"/>
        <w:tabs>
          <w:tab w:val="right" w:leader="dot" w:pos="9241"/>
          <w:tab w:val="clear" w:pos="9060"/>
        </w:tabs>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HYPERLINK \l _Toc6523 </w:instrText>
      </w:r>
      <w:r>
        <w:rPr>
          <w:rFonts w:hint="eastAsia" w:asciiTheme="majorEastAsia" w:hAnsiTheme="majorEastAsia" w:eastAsiaTheme="majorEastAsia" w:cstheme="majorEastAsia"/>
          <w:sz w:val="24"/>
          <w:szCs w:val="24"/>
        </w:rPr>
        <w:fldChar w:fldCharType="separate"/>
      </w:r>
      <w:r>
        <w:rPr>
          <w:rFonts w:hint="eastAsia" w:asciiTheme="majorEastAsia" w:hAnsiTheme="majorEastAsia" w:eastAsiaTheme="majorEastAsia" w:cstheme="majorEastAsia"/>
          <w:sz w:val="24"/>
          <w:szCs w:val="24"/>
        </w:rPr>
        <w:t>前附表</w:t>
      </w:r>
      <w:r>
        <w:rPr>
          <w:rFonts w:hint="eastAsia" w:asciiTheme="majorEastAsia" w:hAnsiTheme="majorEastAsia" w:eastAsiaTheme="majorEastAsia" w:cstheme="majorEastAsia"/>
          <w:sz w:val="24"/>
          <w:szCs w:val="24"/>
        </w:rPr>
        <w:tab/>
      </w: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PAGEREF _Toc6523 \h </w:instrText>
      </w:r>
      <w:r>
        <w:rPr>
          <w:rFonts w:hint="eastAsia" w:asciiTheme="majorEastAsia" w:hAnsiTheme="majorEastAsia" w:eastAsiaTheme="majorEastAsia" w:cstheme="majorEastAsia"/>
          <w:sz w:val="24"/>
          <w:szCs w:val="24"/>
        </w:rPr>
        <w:fldChar w:fldCharType="separate"/>
      </w:r>
      <w:r>
        <w:rPr>
          <w:rFonts w:hint="eastAsia" w:asciiTheme="majorEastAsia" w:hAnsiTheme="majorEastAsia" w:eastAsiaTheme="majorEastAsia" w:cstheme="majorEastAsia"/>
          <w:sz w:val="24"/>
          <w:szCs w:val="24"/>
        </w:rPr>
        <w:t>6</w:t>
      </w:r>
      <w:r>
        <w:rPr>
          <w:rFonts w:hint="eastAsia" w:asciiTheme="majorEastAsia" w:hAnsiTheme="majorEastAsia" w:eastAsiaTheme="majorEastAsia" w:cstheme="majorEastAsia"/>
          <w:sz w:val="24"/>
          <w:szCs w:val="24"/>
        </w:rPr>
        <w:fldChar w:fldCharType="end"/>
      </w:r>
      <w:r>
        <w:rPr>
          <w:rFonts w:hint="eastAsia" w:asciiTheme="majorEastAsia" w:hAnsiTheme="majorEastAsia" w:eastAsiaTheme="majorEastAsia" w:cstheme="majorEastAsia"/>
          <w:sz w:val="24"/>
          <w:szCs w:val="24"/>
        </w:rPr>
        <w:fldChar w:fldCharType="end"/>
      </w:r>
    </w:p>
    <w:p w14:paraId="288D62C2">
      <w:pPr>
        <w:pStyle w:val="18"/>
        <w:tabs>
          <w:tab w:val="right" w:leader="dot" w:pos="9241"/>
          <w:tab w:val="clear" w:pos="9060"/>
        </w:tabs>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HYPERLINK \l _Toc32189 </w:instrText>
      </w:r>
      <w:r>
        <w:rPr>
          <w:rFonts w:hint="eastAsia" w:asciiTheme="majorEastAsia" w:hAnsiTheme="majorEastAsia" w:eastAsiaTheme="majorEastAsia" w:cstheme="majorEastAsia"/>
          <w:sz w:val="24"/>
          <w:szCs w:val="24"/>
        </w:rPr>
        <w:fldChar w:fldCharType="separate"/>
      </w:r>
      <w:r>
        <w:rPr>
          <w:rFonts w:hint="eastAsia" w:asciiTheme="majorEastAsia" w:hAnsiTheme="majorEastAsia" w:eastAsiaTheme="majorEastAsia" w:cstheme="majorEastAsia"/>
          <w:sz w:val="24"/>
          <w:szCs w:val="24"/>
        </w:rPr>
        <w:t>一  总则</w:t>
      </w:r>
      <w:r>
        <w:rPr>
          <w:rFonts w:hint="eastAsia" w:asciiTheme="majorEastAsia" w:hAnsiTheme="majorEastAsia" w:eastAsiaTheme="majorEastAsia" w:cstheme="majorEastAsia"/>
          <w:sz w:val="24"/>
          <w:szCs w:val="24"/>
        </w:rPr>
        <w:tab/>
      </w: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PAGEREF _Toc32189 \h </w:instrText>
      </w:r>
      <w:r>
        <w:rPr>
          <w:rFonts w:hint="eastAsia" w:asciiTheme="majorEastAsia" w:hAnsiTheme="majorEastAsia" w:eastAsiaTheme="majorEastAsia" w:cstheme="majorEastAsia"/>
          <w:sz w:val="24"/>
          <w:szCs w:val="24"/>
        </w:rPr>
        <w:fldChar w:fldCharType="separate"/>
      </w:r>
      <w:r>
        <w:rPr>
          <w:rFonts w:hint="eastAsia" w:asciiTheme="majorEastAsia" w:hAnsiTheme="majorEastAsia" w:eastAsiaTheme="majorEastAsia" w:cstheme="majorEastAsia"/>
          <w:sz w:val="24"/>
          <w:szCs w:val="24"/>
        </w:rPr>
        <w:t>8</w:t>
      </w:r>
      <w:r>
        <w:rPr>
          <w:rFonts w:hint="eastAsia" w:asciiTheme="majorEastAsia" w:hAnsiTheme="majorEastAsia" w:eastAsiaTheme="majorEastAsia" w:cstheme="majorEastAsia"/>
          <w:sz w:val="24"/>
          <w:szCs w:val="24"/>
        </w:rPr>
        <w:fldChar w:fldCharType="end"/>
      </w:r>
      <w:r>
        <w:rPr>
          <w:rFonts w:hint="eastAsia" w:asciiTheme="majorEastAsia" w:hAnsiTheme="majorEastAsia" w:eastAsiaTheme="majorEastAsia" w:cstheme="majorEastAsia"/>
          <w:sz w:val="24"/>
          <w:szCs w:val="24"/>
        </w:rPr>
        <w:fldChar w:fldCharType="end"/>
      </w:r>
    </w:p>
    <w:p w14:paraId="3E4800A7">
      <w:pPr>
        <w:pStyle w:val="18"/>
        <w:tabs>
          <w:tab w:val="right" w:leader="dot" w:pos="9241"/>
          <w:tab w:val="clear" w:pos="9060"/>
        </w:tabs>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HYPERLINK \l _Toc1718 </w:instrText>
      </w:r>
      <w:r>
        <w:rPr>
          <w:rFonts w:hint="eastAsia" w:asciiTheme="majorEastAsia" w:hAnsiTheme="majorEastAsia" w:eastAsiaTheme="majorEastAsia" w:cstheme="majorEastAsia"/>
          <w:sz w:val="24"/>
          <w:szCs w:val="24"/>
        </w:rPr>
        <w:fldChar w:fldCharType="separate"/>
      </w:r>
      <w:r>
        <w:rPr>
          <w:rFonts w:hint="eastAsia" w:asciiTheme="majorEastAsia" w:hAnsiTheme="majorEastAsia" w:eastAsiaTheme="majorEastAsia" w:cstheme="majorEastAsia"/>
          <w:sz w:val="24"/>
          <w:szCs w:val="24"/>
        </w:rPr>
        <w:t>二  磋商文件说明</w:t>
      </w:r>
      <w:r>
        <w:rPr>
          <w:rFonts w:hint="eastAsia" w:asciiTheme="majorEastAsia" w:hAnsiTheme="majorEastAsia" w:eastAsiaTheme="majorEastAsia" w:cstheme="majorEastAsia"/>
          <w:sz w:val="24"/>
          <w:szCs w:val="24"/>
        </w:rPr>
        <w:tab/>
      </w: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PAGEREF _Toc1718 \h </w:instrText>
      </w:r>
      <w:r>
        <w:rPr>
          <w:rFonts w:hint="eastAsia" w:asciiTheme="majorEastAsia" w:hAnsiTheme="majorEastAsia" w:eastAsiaTheme="majorEastAsia" w:cstheme="majorEastAsia"/>
          <w:sz w:val="24"/>
          <w:szCs w:val="24"/>
        </w:rPr>
        <w:fldChar w:fldCharType="separate"/>
      </w:r>
      <w:r>
        <w:rPr>
          <w:rFonts w:hint="eastAsia" w:asciiTheme="majorEastAsia" w:hAnsiTheme="majorEastAsia" w:eastAsiaTheme="majorEastAsia" w:cstheme="majorEastAsia"/>
          <w:sz w:val="24"/>
          <w:szCs w:val="24"/>
        </w:rPr>
        <w:t>10</w:t>
      </w:r>
      <w:r>
        <w:rPr>
          <w:rFonts w:hint="eastAsia" w:asciiTheme="majorEastAsia" w:hAnsiTheme="majorEastAsia" w:eastAsiaTheme="majorEastAsia" w:cstheme="majorEastAsia"/>
          <w:sz w:val="24"/>
          <w:szCs w:val="24"/>
        </w:rPr>
        <w:fldChar w:fldCharType="end"/>
      </w:r>
      <w:r>
        <w:rPr>
          <w:rFonts w:hint="eastAsia" w:asciiTheme="majorEastAsia" w:hAnsiTheme="majorEastAsia" w:eastAsiaTheme="majorEastAsia" w:cstheme="majorEastAsia"/>
          <w:sz w:val="24"/>
          <w:szCs w:val="24"/>
        </w:rPr>
        <w:fldChar w:fldCharType="end"/>
      </w:r>
    </w:p>
    <w:p w14:paraId="52831660">
      <w:pPr>
        <w:pStyle w:val="18"/>
        <w:tabs>
          <w:tab w:val="right" w:leader="dot" w:pos="9241"/>
          <w:tab w:val="clear" w:pos="9060"/>
        </w:tabs>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HYPERLINK \l _Toc30458 </w:instrText>
      </w:r>
      <w:r>
        <w:rPr>
          <w:rFonts w:hint="eastAsia" w:asciiTheme="majorEastAsia" w:hAnsiTheme="majorEastAsia" w:eastAsiaTheme="majorEastAsia" w:cstheme="majorEastAsia"/>
          <w:sz w:val="24"/>
          <w:szCs w:val="24"/>
        </w:rPr>
        <w:fldChar w:fldCharType="separate"/>
      </w:r>
      <w:r>
        <w:rPr>
          <w:rFonts w:hint="eastAsia" w:asciiTheme="majorEastAsia" w:hAnsiTheme="majorEastAsia" w:eastAsiaTheme="majorEastAsia" w:cstheme="majorEastAsia"/>
          <w:sz w:val="24"/>
          <w:szCs w:val="24"/>
        </w:rPr>
        <w:t>三  响应文件的编制</w:t>
      </w:r>
      <w:r>
        <w:rPr>
          <w:rFonts w:hint="eastAsia" w:asciiTheme="majorEastAsia" w:hAnsiTheme="majorEastAsia" w:eastAsiaTheme="majorEastAsia" w:cstheme="majorEastAsia"/>
          <w:sz w:val="24"/>
          <w:szCs w:val="24"/>
        </w:rPr>
        <w:tab/>
      </w: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PAGEREF _Toc30458 \h </w:instrText>
      </w:r>
      <w:r>
        <w:rPr>
          <w:rFonts w:hint="eastAsia" w:asciiTheme="majorEastAsia" w:hAnsiTheme="majorEastAsia" w:eastAsiaTheme="majorEastAsia" w:cstheme="majorEastAsia"/>
          <w:sz w:val="24"/>
          <w:szCs w:val="24"/>
        </w:rPr>
        <w:fldChar w:fldCharType="separate"/>
      </w:r>
      <w:r>
        <w:rPr>
          <w:rFonts w:hint="eastAsia" w:asciiTheme="majorEastAsia" w:hAnsiTheme="majorEastAsia" w:eastAsiaTheme="majorEastAsia" w:cstheme="majorEastAsia"/>
          <w:sz w:val="24"/>
          <w:szCs w:val="24"/>
        </w:rPr>
        <w:t>10</w:t>
      </w:r>
      <w:r>
        <w:rPr>
          <w:rFonts w:hint="eastAsia" w:asciiTheme="majorEastAsia" w:hAnsiTheme="majorEastAsia" w:eastAsiaTheme="majorEastAsia" w:cstheme="majorEastAsia"/>
          <w:sz w:val="24"/>
          <w:szCs w:val="24"/>
        </w:rPr>
        <w:fldChar w:fldCharType="end"/>
      </w:r>
      <w:r>
        <w:rPr>
          <w:rFonts w:hint="eastAsia" w:asciiTheme="majorEastAsia" w:hAnsiTheme="majorEastAsia" w:eastAsiaTheme="majorEastAsia" w:cstheme="majorEastAsia"/>
          <w:sz w:val="24"/>
          <w:szCs w:val="24"/>
        </w:rPr>
        <w:fldChar w:fldCharType="end"/>
      </w:r>
    </w:p>
    <w:p w14:paraId="6E7767DE">
      <w:pPr>
        <w:pStyle w:val="18"/>
        <w:tabs>
          <w:tab w:val="right" w:leader="dot" w:pos="9241"/>
          <w:tab w:val="clear" w:pos="9060"/>
        </w:tabs>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HYPERLINK \l _Toc16212 </w:instrText>
      </w:r>
      <w:r>
        <w:rPr>
          <w:rFonts w:hint="eastAsia" w:asciiTheme="majorEastAsia" w:hAnsiTheme="majorEastAsia" w:eastAsiaTheme="majorEastAsia" w:cstheme="majorEastAsia"/>
          <w:sz w:val="24"/>
          <w:szCs w:val="24"/>
        </w:rPr>
        <w:fldChar w:fldCharType="separate"/>
      </w:r>
      <w:r>
        <w:rPr>
          <w:rFonts w:hint="eastAsia" w:asciiTheme="majorEastAsia" w:hAnsiTheme="majorEastAsia" w:eastAsiaTheme="majorEastAsia" w:cstheme="majorEastAsia"/>
          <w:sz w:val="24"/>
          <w:szCs w:val="24"/>
        </w:rPr>
        <w:t>四  响应文件的加密、提交、修改和撤回</w:t>
      </w:r>
      <w:r>
        <w:rPr>
          <w:rFonts w:hint="eastAsia" w:asciiTheme="majorEastAsia" w:hAnsiTheme="majorEastAsia" w:eastAsiaTheme="majorEastAsia" w:cstheme="majorEastAsia"/>
          <w:sz w:val="24"/>
          <w:szCs w:val="24"/>
        </w:rPr>
        <w:tab/>
      </w: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PAGEREF _Toc16212 \h </w:instrText>
      </w:r>
      <w:r>
        <w:rPr>
          <w:rFonts w:hint="eastAsia" w:asciiTheme="majorEastAsia" w:hAnsiTheme="majorEastAsia" w:eastAsiaTheme="majorEastAsia" w:cstheme="majorEastAsia"/>
          <w:sz w:val="24"/>
          <w:szCs w:val="24"/>
        </w:rPr>
        <w:fldChar w:fldCharType="separate"/>
      </w:r>
      <w:r>
        <w:rPr>
          <w:rFonts w:hint="eastAsia" w:asciiTheme="majorEastAsia" w:hAnsiTheme="majorEastAsia" w:eastAsiaTheme="majorEastAsia" w:cstheme="majorEastAsia"/>
          <w:sz w:val="24"/>
          <w:szCs w:val="24"/>
        </w:rPr>
        <w:t>12</w:t>
      </w:r>
      <w:r>
        <w:rPr>
          <w:rFonts w:hint="eastAsia" w:asciiTheme="majorEastAsia" w:hAnsiTheme="majorEastAsia" w:eastAsiaTheme="majorEastAsia" w:cstheme="majorEastAsia"/>
          <w:sz w:val="24"/>
          <w:szCs w:val="24"/>
        </w:rPr>
        <w:fldChar w:fldCharType="end"/>
      </w:r>
      <w:r>
        <w:rPr>
          <w:rFonts w:hint="eastAsia" w:asciiTheme="majorEastAsia" w:hAnsiTheme="majorEastAsia" w:eastAsiaTheme="majorEastAsia" w:cstheme="majorEastAsia"/>
          <w:sz w:val="24"/>
          <w:szCs w:val="24"/>
        </w:rPr>
        <w:fldChar w:fldCharType="end"/>
      </w:r>
    </w:p>
    <w:p w14:paraId="35199E02">
      <w:pPr>
        <w:pStyle w:val="18"/>
        <w:tabs>
          <w:tab w:val="right" w:leader="dot" w:pos="9241"/>
          <w:tab w:val="clear" w:pos="9060"/>
        </w:tabs>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HYPERLINK \l _Toc10956 </w:instrText>
      </w:r>
      <w:r>
        <w:rPr>
          <w:rFonts w:hint="eastAsia" w:asciiTheme="majorEastAsia" w:hAnsiTheme="majorEastAsia" w:eastAsiaTheme="majorEastAsia" w:cstheme="majorEastAsia"/>
          <w:sz w:val="24"/>
          <w:szCs w:val="24"/>
        </w:rPr>
        <w:fldChar w:fldCharType="separate"/>
      </w:r>
      <w:r>
        <w:rPr>
          <w:rFonts w:hint="eastAsia" w:asciiTheme="majorEastAsia" w:hAnsiTheme="majorEastAsia" w:eastAsiaTheme="majorEastAsia" w:cstheme="majorEastAsia"/>
          <w:sz w:val="24"/>
          <w:szCs w:val="24"/>
        </w:rPr>
        <w:t>五  磋商会议和磋商评审</w:t>
      </w:r>
      <w:r>
        <w:rPr>
          <w:rFonts w:hint="eastAsia" w:asciiTheme="majorEastAsia" w:hAnsiTheme="majorEastAsia" w:eastAsiaTheme="majorEastAsia" w:cstheme="majorEastAsia"/>
          <w:sz w:val="24"/>
          <w:szCs w:val="24"/>
        </w:rPr>
        <w:tab/>
      </w: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PAGEREF _Toc10956 \h </w:instrText>
      </w:r>
      <w:r>
        <w:rPr>
          <w:rFonts w:hint="eastAsia" w:asciiTheme="majorEastAsia" w:hAnsiTheme="majorEastAsia" w:eastAsiaTheme="majorEastAsia" w:cstheme="majorEastAsia"/>
          <w:sz w:val="24"/>
          <w:szCs w:val="24"/>
        </w:rPr>
        <w:fldChar w:fldCharType="separate"/>
      </w:r>
      <w:r>
        <w:rPr>
          <w:rFonts w:hint="eastAsia" w:asciiTheme="majorEastAsia" w:hAnsiTheme="majorEastAsia" w:eastAsiaTheme="majorEastAsia" w:cstheme="majorEastAsia"/>
          <w:sz w:val="24"/>
          <w:szCs w:val="24"/>
        </w:rPr>
        <w:t>13</w:t>
      </w:r>
      <w:r>
        <w:rPr>
          <w:rFonts w:hint="eastAsia" w:asciiTheme="majorEastAsia" w:hAnsiTheme="majorEastAsia" w:eastAsiaTheme="majorEastAsia" w:cstheme="majorEastAsia"/>
          <w:sz w:val="24"/>
          <w:szCs w:val="24"/>
        </w:rPr>
        <w:fldChar w:fldCharType="end"/>
      </w:r>
      <w:r>
        <w:rPr>
          <w:rFonts w:hint="eastAsia" w:asciiTheme="majorEastAsia" w:hAnsiTheme="majorEastAsia" w:eastAsiaTheme="majorEastAsia" w:cstheme="majorEastAsia"/>
          <w:sz w:val="24"/>
          <w:szCs w:val="24"/>
        </w:rPr>
        <w:fldChar w:fldCharType="end"/>
      </w:r>
    </w:p>
    <w:p w14:paraId="4704012D">
      <w:pPr>
        <w:pStyle w:val="18"/>
        <w:tabs>
          <w:tab w:val="right" w:leader="dot" w:pos="9241"/>
          <w:tab w:val="clear" w:pos="9060"/>
        </w:tabs>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HYPERLINK \l _Toc11008 </w:instrText>
      </w:r>
      <w:r>
        <w:rPr>
          <w:rFonts w:hint="eastAsia" w:asciiTheme="majorEastAsia" w:hAnsiTheme="majorEastAsia" w:eastAsiaTheme="majorEastAsia" w:cstheme="majorEastAsia"/>
          <w:sz w:val="24"/>
          <w:szCs w:val="24"/>
        </w:rPr>
        <w:fldChar w:fldCharType="separate"/>
      </w:r>
      <w:r>
        <w:rPr>
          <w:rFonts w:hint="eastAsia" w:asciiTheme="majorEastAsia" w:hAnsiTheme="majorEastAsia" w:eastAsiaTheme="majorEastAsia" w:cstheme="majorEastAsia"/>
          <w:sz w:val="24"/>
          <w:szCs w:val="24"/>
        </w:rPr>
        <w:t>六  磋商无效的情形</w:t>
      </w:r>
      <w:r>
        <w:rPr>
          <w:rFonts w:hint="eastAsia" w:asciiTheme="majorEastAsia" w:hAnsiTheme="majorEastAsia" w:eastAsiaTheme="majorEastAsia" w:cstheme="majorEastAsia"/>
          <w:sz w:val="24"/>
          <w:szCs w:val="24"/>
        </w:rPr>
        <w:tab/>
      </w: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PAGEREF _Toc11008 \h </w:instrText>
      </w:r>
      <w:r>
        <w:rPr>
          <w:rFonts w:hint="eastAsia" w:asciiTheme="majorEastAsia" w:hAnsiTheme="majorEastAsia" w:eastAsiaTheme="majorEastAsia" w:cstheme="majorEastAsia"/>
          <w:sz w:val="24"/>
          <w:szCs w:val="24"/>
        </w:rPr>
        <w:fldChar w:fldCharType="separate"/>
      </w:r>
      <w:r>
        <w:rPr>
          <w:rFonts w:hint="eastAsia" w:asciiTheme="majorEastAsia" w:hAnsiTheme="majorEastAsia" w:eastAsiaTheme="majorEastAsia" w:cstheme="majorEastAsia"/>
          <w:sz w:val="24"/>
          <w:szCs w:val="24"/>
        </w:rPr>
        <w:t>16</w:t>
      </w:r>
      <w:r>
        <w:rPr>
          <w:rFonts w:hint="eastAsia" w:asciiTheme="majorEastAsia" w:hAnsiTheme="majorEastAsia" w:eastAsiaTheme="majorEastAsia" w:cstheme="majorEastAsia"/>
          <w:sz w:val="24"/>
          <w:szCs w:val="24"/>
        </w:rPr>
        <w:fldChar w:fldCharType="end"/>
      </w:r>
      <w:r>
        <w:rPr>
          <w:rFonts w:hint="eastAsia" w:asciiTheme="majorEastAsia" w:hAnsiTheme="majorEastAsia" w:eastAsiaTheme="majorEastAsia" w:cstheme="majorEastAsia"/>
          <w:sz w:val="24"/>
          <w:szCs w:val="24"/>
        </w:rPr>
        <w:fldChar w:fldCharType="end"/>
      </w:r>
    </w:p>
    <w:p w14:paraId="330E2E5C">
      <w:pPr>
        <w:pStyle w:val="18"/>
        <w:tabs>
          <w:tab w:val="right" w:leader="dot" w:pos="9241"/>
          <w:tab w:val="clear" w:pos="9060"/>
        </w:tabs>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HYPERLINK \l _Toc29181 </w:instrText>
      </w:r>
      <w:r>
        <w:rPr>
          <w:rFonts w:hint="eastAsia" w:asciiTheme="majorEastAsia" w:hAnsiTheme="majorEastAsia" w:eastAsiaTheme="majorEastAsia" w:cstheme="majorEastAsia"/>
          <w:sz w:val="24"/>
          <w:szCs w:val="24"/>
        </w:rPr>
        <w:fldChar w:fldCharType="separate"/>
      </w:r>
      <w:r>
        <w:rPr>
          <w:rFonts w:hint="eastAsia" w:asciiTheme="majorEastAsia" w:hAnsiTheme="majorEastAsia" w:eastAsiaTheme="majorEastAsia" w:cstheme="majorEastAsia"/>
          <w:sz w:val="24"/>
          <w:szCs w:val="24"/>
        </w:rPr>
        <w:t>七  法律责任</w:t>
      </w:r>
      <w:r>
        <w:rPr>
          <w:rFonts w:hint="eastAsia" w:asciiTheme="majorEastAsia" w:hAnsiTheme="majorEastAsia" w:eastAsiaTheme="majorEastAsia" w:cstheme="majorEastAsia"/>
          <w:sz w:val="24"/>
          <w:szCs w:val="24"/>
        </w:rPr>
        <w:tab/>
      </w: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PAGEREF _Toc29181 \h </w:instrText>
      </w:r>
      <w:r>
        <w:rPr>
          <w:rFonts w:hint="eastAsia" w:asciiTheme="majorEastAsia" w:hAnsiTheme="majorEastAsia" w:eastAsiaTheme="majorEastAsia" w:cstheme="majorEastAsia"/>
          <w:sz w:val="24"/>
          <w:szCs w:val="24"/>
        </w:rPr>
        <w:fldChar w:fldCharType="separate"/>
      </w:r>
      <w:r>
        <w:rPr>
          <w:rFonts w:hint="eastAsia" w:asciiTheme="majorEastAsia" w:hAnsiTheme="majorEastAsia" w:eastAsiaTheme="majorEastAsia" w:cstheme="majorEastAsia"/>
          <w:sz w:val="24"/>
          <w:szCs w:val="24"/>
        </w:rPr>
        <w:t>17</w:t>
      </w:r>
      <w:r>
        <w:rPr>
          <w:rFonts w:hint="eastAsia" w:asciiTheme="majorEastAsia" w:hAnsiTheme="majorEastAsia" w:eastAsiaTheme="majorEastAsia" w:cstheme="majorEastAsia"/>
          <w:sz w:val="24"/>
          <w:szCs w:val="24"/>
        </w:rPr>
        <w:fldChar w:fldCharType="end"/>
      </w:r>
      <w:r>
        <w:rPr>
          <w:rFonts w:hint="eastAsia" w:asciiTheme="majorEastAsia" w:hAnsiTheme="majorEastAsia" w:eastAsiaTheme="majorEastAsia" w:cstheme="majorEastAsia"/>
          <w:sz w:val="24"/>
          <w:szCs w:val="24"/>
        </w:rPr>
        <w:fldChar w:fldCharType="end"/>
      </w:r>
    </w:p>
    <w:p w14:paraId="18CF3909">
      <w:pPr>
        <w:pStyle w:val="18"/>
        <w:tabs>
          <w:tab w:val="right" w:leader="dot" w:pos="9241"/>
          <w:tab w:val="clear" w:pos="9060"/>
        </w:tabs>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HYPERLINK \l _Toc22507 </w:instrText>
      </w:r>
      <w:r>
        <w:rPr>
          <w:rFonts w:hint="eastAsia" w:asciiTheme="majorEastAsia" w:hAnsiTheme="majorEastAsia" w:eastAsiaTheme="majorEastAsia" w:cstheme="majorEastAsia"/>
          <w:sz w:val="24"/>
          <w:szCs w:val="24"/>
        </w:rPr>
        <w:fldChar w:fldCharType="separate"/>
      </w:r>
      <w:r>
        <w:rPr>
          <w:rFonts w:hint="eastAsia" w:asciiTheme="majorEastAsia" w:hAnsiTheme="majorEastAsia" w:eastAsiaTheme="majorEastAsia" w:cstheme="majorEastAsia"/>
          <w:sz w:val="24"/>
          <w:szCs w:val="24"/>
        </w:rPr>
        <w:t>八  澄清、修改发布媒体</w:t>
      </w:r>
      <w:r>
        <w:rPr>
          <w:rFonts w:hint="eastAsia" w:asciiTheme="majorEastAsia" w:hAnsiTheme="majorEastAsia" w:eastAsiaTheme="majorEastAsia" w:cstheme="majorEastAsia"/>
          <w:sz w:val="24"/>
          <w:szCs w:val="24"/>
        </w:rPr>
        <w:tab/>
      </w: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PAGEREF _Toc22507 \h </w:instrText>
      </w:r>
      <w:r>
        <w:rPr>
          <w:rFonts w:hint="eastAsia" w:asciiTheme="majorEastAsia" w:hAnsiTheme="majorEastAsia" w:eastAsiaTheme="majorEastAsia" w:cstheme="majorEastAsia"/>
          <w:sz w:val="24"/>
          <w:szCs w:val="24"/>
        </w:rPr>
        <w:fldChar w:fldCharType="separate"/>
      </w:r>
      <w:r>
        <w:rPr>
          <w:rFonts w:hint="eastAsia" w:asciiTheme="majorEastAsia" w:hAnsiTheme="majorEastAsia" w:eastAsiaTheme="majorEastAsia" w:cstheme="majorEastAsia"/>
          <w:sz w:val="24"/>
          <w:szCs w:val="24"/>
        </w:rPr>
        <w:t>19</w:t>
      </w:r>
      <w:r>
        <w:rPr>
          <w:rFonts w:hint="eastAsia" w:asciiTheme="majorEastAsia" w:hAnsiTheme="majorEastAsia" w:eastAsiaTheme="majorEastAsia" w:cstheme="majorEastAsia"/>
          <w:sz w:val="24"/>
          <w:szCs w:val="24"/>
        </w:rPr>
        <w:fldChar w:fldCharType="end"/>
      </w:r>
      <w:r>
        <w:rPr>
          <w:rFonts w:hint="eastAsia" w:asciiTheme="majorEastAsia" w:hAnsiTheme="majorEastAsia" w:eastAsiaTheme="majorEastAsia" w:cstheme="majorEastAsia"/>
          <w:sz w:val="24"/>
          <w:szCs w:val="24"/>
        </w:rPr>
        <w:fldChar w:fldCharType="end"/>
      </w:r>
    </w:p>
    <w:p w14:paraId="09607851">
      <w:pPr>
        <w:pStyle w:val="18"/>
        <w:tabs>
          <w:tab w:val="right" w:leader="dot" w:pos="9241"/>
          <w:tab w:val="clear" w:pos="9060"/>
        </w:tabs>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HYPERLINK \l _Toc94 </w:instrText>
      </w:r>
      <w:r>
        <w:rPr>
          <w:rFonts w:hint="eastAsia" w:asciiTheme="majorEastAsia" w:hAnsiTheme="majorEastAsia" w:eastAsiaTheme="majorEastAsia" w:cstheme="majorEastAsia"/>
          <w:sz w:val="24"/>
          <w:szCs w:val="24"/>
        </w:rPr>
        <w:fldChar w:fldCharType="separate"/>
      </w:r>
      <w:r>
        <w:rPr>
          <w:rFonts w:hint="eastAsia" w:asciiTheme="majorEastAsia" w:hAnsiTheme="majorEastAsia" w:eastAsiaTheme="majorEastAsia" w:cstheme="majorEastAsia"/>
          <w:sz w:val="24"/>
          <w:szCs w:val="24"/>
        </w:rPr>
        <w:t>九  质疑</w:t>
      </w:r>
      <w:r>
        <w:rPr>
          <w:rFonts w:hint="eastAsia" w:asciiTheme="majorEastAsia" w:hAnsiTheme="majorEastAsia" w:eastAsiaTheme="majorEastAsia" w:cstheme="majorEastAsia"/>
          <w:sz w:val="24"/>
          <w:szCs w:val="24"/>
        </w:rPr>
        <w:tab/>
      </w: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PAGEREF _Toc94 \h </w:instrText>
      </w:r>
      <w:r>
        <w:rPr>
          <w:rFonts w:hint="eastAsia" w:asciiTheme="majorEastAsia" w:hAnsiTheme="majorEastAsia" w:eastAsiaTheme="majorEastAsia" w:cstheme="majorEastAsia"/>
          <w:sz w:val="24"/>
          <w:szCs w:val="24"/>
        </w:rPr>
        <w:fldChar w:fldCharType="separate"/>
      </w:r>
      <w:r>
        <w:rPr>
          <w:rFonts w:hint="eastAsia" w:asciiTheme="majorEastAsia" w:hAnsiTheme="majorEastAsia" w:eastAsiaTheme="majorEastAsia" w:cstheme="majorEastAsia"/>
          <w:sz w:val="24"/>
          <w:szCs w:val="24"/>
        </w:rPr>
        <w:t>19</w:t>
      </w:r>
      <w:r>
        <w:rPr>
          <w:rFonts w:hint="eastAsia" w:asciiTheme="majorEastAsia" w:hAnsiTheme="majorEastAsia" w:eastAsiaTheme="majorEastAsia" w:cstheme="majorEastAsia"/>
          <w:sz w:val="24"/>
          <w:szCs w:val="24"/>
        </w:rPr>
        <w:fldChar w:fldCharType="end"/>
      </w:r>
      <w:r>
        <w:rPr>
          <w:rFonts w:hint="eastAsia" w:asciiTheme="majorEastAsia" w:hAnsiTheme="majorEastAsia" w:eastAsiaTheme="majorEastAsia" w:cstheme="majorEastAsia"/>
          <w:sz w:val="24"/>
          <w:szCs w:val="24"/>
        </w:rPr>
        <w:fldChar w:fldCharType="end"/>
      </w:r>
    </w:p>
    <w:p w14:paraId="4A661D45">
      <w:pPr>
        <w:pStyle w:val="18"/>
        <w:tabs>
          <w:tab w:val="right" w:leader="dot" w:pos="9241"/>
          <w:tab w:val="clear" w:pos="9060"/>
        </w:tabs>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HYPERLINK \l _Toc6012 </w:instrText>
      </w:r>
      <w:r>
        <w:rPr>
          <w:rFonts w:hint="eastAsia" w:asciiTheme="majorEastAsia" w:hAnsiTheme="majorEastAsia" w:eastAsiaTheme="majorEastAsia" w:cstheme="majorEastAsia"/>
          <w:sz w:val="24"/>
          <w:szCs w:val="24"/>
        </w:rPr>
        <w:fldChar w:fldCharType="separate"/>
      </w:r>
      <w:r>
        <w:rPr>
          <w:rFonts w:hint="eastAsia" w:asciiTheme="majorEastAsia" w:hAnsiTheme="majorEastAsia" w:eastAsiaTheme="majorEastAsia" w:cstheme="majorEastAsia"/>
          <w:sz w:val="24"/>
          <w:szCs w:val="24"/>
        </w:rPr>
        <w:t>十  投诉</w:t>
      </w:r>
      <w:r>
        <w:rPr>
          <w:rFonts w:hint="eastAsia" w:asciiTheme="majorEastAsia" w:hAnsiTheme="majorEastAsia" w:eastAsiaTheme="majorEastAsia" w:cstheme="majorEastAsia"/>
          <w:sz w:val="24"/>
          <w:szCs w:val="24"/>
        </w:rPr>
        <w:tab/>
      </w: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PAGEREF _Toc6012 \h </w:instrText>
      </w:r>
      <w:r>
        <w:rPr>
          <w:rFonts w:hint="eastAsia" w:asciiTheme="majorEastAsia" w:hAnsiTheme="majorEastAsia" w:eastAsiaTheme="majorEastAsia" w:cstheme="majorEastAsia"/>
          <w:sz w:val="24"/>
          <w:szCs w:val="24"/>
        </w:rPr>
        <w:fldChar w:fldCharType="separate"/>
      </w:r>
      <w:r>
        <w:rPr>
          <w:rFonts w:hint="eastAsia" w:asciiTheme="majorEastAsia" w:hAnsiTheme="majorEastAsia" w:eastAsiaTheme="majorEastAsia" w:cstheme="majorEastAsia"/>
          <w:sz w:val="24"/>
          <w:szCs w:val="24"/>
        </w:rPr>
        <w:t>20</w:t>
      </w:r>
      <w:r>
        <w:rPr>
          <w:rFonts w:hint="eastAsia" w:asciiTheme="majorEastAsia" w:hAnsiTheme="majorEastAsia" w:eastAsiaTheme="majorEastAsia" w:cstheme="majorEastAsia"/>
          <w:sz w:val="24"/>
          <w:szCs w:val="24"/>
        </w:rPr>
        <w:fldChar w:fldCharType="end"/>
      </w:r>
      <w:r>
        <w:rPr>
          <w:rFonts w:hint="eastAsia" w:asciiTheme="majorEastAsia" w:hAnsiTheme="majorEastAsia" w:eastAsiaTheme="majorEastAsia" w:cstheme="majorEastAsia"/>
          <w:sz w:val="24"/>
          <w:szCs w:val="24"/>
        </w:rPr>
        <w:fldChar w:fldCharType="end"/>
      </w:r>
    </w:p>
    <w:p w14:paraId="05159731">
      <w:pPr>
        <w:pStyle w:val="18"/>
        <w:tabs>
          <w:tab w:val="right" w:leader="dot" w:pos="9241"/>
          <w:tab w:val="clear" w:pos="9060"/>
        </w:tabs>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HYPERLINK \l _Toc816 </w:instrText>
      </w:r>
      <w:r>
        <w:rPr>
          <w:rFonts w:hint="eastAsia" w:asciiTheme="majorEastAsia" w:hAnsiTheme="majorEastAsia" w:eastAsiaTheme="majorEastAsia" w:cstheme="majorEastAsia"/>
          <w:sz w:val="24"/>
          <w:szCs w:val="24"/>
        </w:rPr>
        <w:fldChar w:fldCharType="separate"/>
      </w:r>
      <w:r>
        <w:rPr>
          <w:rFonts w:hint="eastAsia" w:asciiTheme="majorEastAsia" w:hAnsiTheme="majorEastAsia" w:eastAsiaTheme="majorEastAsia" w:cstheme="majorEastAsia"/>
          <w:sz w:val="24"/>
          <w:szCs w:val="24"/>
        </w:rPr>
        <w:t>十一  授予合同</w:t>
      </w:r>
      <w:r>
        <w:rPr>
          <w:rFonts w:hint="eastAsia" w:asciiTheme="majorEastAsia" w:hAnsiTheme="majorEastAsia" w:eastAsiaTheme="majorEastAsia" w:cstheme="majorEastAsia"/>
          <w:sz w:val="24"/>
          <w:szCs w:val="24"/>
        </w:rPr>
        <w:tab/>
      </w: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PAGEREF _Toc816 \h </w:instrText>
      </w:r>
      <w:r>
        <w:rPr>
          <w:rFonts w:hint="eastAsia" w:asciiTheme="majorEastAsia" w:hAnsiTheme="majorEastAsia" w:eastAsiaTheme="majorEastAsia" w:cstheme="majorEastAsia"/>
          <w:sz w:val="24"/>
          <w:szCs w:val="24"/>
        </w:rPr>
        <w:fldChar w:fldCharType="separate"/>
      </w:r>
      <w:r>
        <w:rPr>
          <w:rFonts w:hint="eastAsia" w:asciiTheme="majorEastAsia" w:hAnsiTheme="majorEastAsia" w:eastAsiaTheme="majorEastAsia" w:cstheme="majorEastAsia"/>
          <w:sz w:val="24"/>
          <w:szCs w:val="24"/>
        </w:rPr>
        <w:t>20</w:t>
      </w:r>
      <w:r>
        <w:rPr>
          <w:rFonts w:hint="eastAsia" w:asciiTheme="majorEastAsia" w:hAnsiTheme="majorEastAsia" w:eastAsiaTheme="majorEastAsia" w:cstheme="majorEastAsia"/>
          <w:sz w:val="24"/>
          <w:szCs w:val="24"/>
        </w:rPr>
        <w:fldChar w:fldCharType="end"/>
      </w:r>
      <w:r>
        <w:rPr>
          <w:rFonts w:hint="eastAsia" w:asciiTheme="majorEastAsia" w:hAnsiTheme="majorEastAsia" w:eastAsiaTheme="majorEastAsia" w:cstheme="majorEastAsia"/>
          <w:sz w:val="24"/>
          <w:szCs w:val="24"/>
        </w:rPr>
        <w:fldChar w:fldCharType="end"/>
      </w:r>
    </w:p>
    <w:p w14:paraId="7721CDAF">
      <w:pPr>
        <w:pStyle w:val="18"/>
        <w:tabs>
          <w:tab w:val="right" w:leader="dot" w:pos="9241"/>
          <w:tab w:val="clear" w:pos="9060"/>
        </w:tabs>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HYPERLINK \l _Toc17817 </w:instrText>
      </w:r>
      <w:r>
        <w:rPr>
          <w:rFonts w:hint="eastAsia" w:asciiTheme="majorEastAsia" w:hAnsiTheme="majorEastAsia" w:eastAsiaTheme="majorEastAsia" w:cstheme="majorEastAsia"/>
          <w:sz w:val="24"/>
          <w:szCs w:val="24"/>
        </w:rPr>
        <w:fldChar w:fldCharType="separate"/>
      </w:r>
      <w:r>
        <w:rPr>
          <w:rFonts w:hint="eastAsia" w:asciiTheme="majorEastAsia" w:hAnsiTheme="majorEastAsia" w:eastAsiaTheme="majorEastAsia" w:cstheme="majorEastAsia"/>
          <w:sz w:val="24"/>
          <w:szCs w:val="24"/>
        </w:rPr>
        <w:t>十二  验收</w:t>
      </w:r>
      <w:r>
        <w:rPr>
          <w:rFonts w:hint="eastAsia" w:asciiTheme="majorEastAsia" w:hAnsiTheme="majorEastAsia" w:eastAsiaTheme="majorEastAsia" w:cstheme="majorEastAsia"/>
          <w:sz w:val="24"/>
          <w:szCs w:val="24"/>
        </w:rPr>
        <w:tab/>
      </w: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PAGEREF _Toc17817 \h </w:instrText>
      </w:r>
      <w:r>
        <w:rPr>
          <w:rFonts w:hint="eastAsia" w:asciiTheme="majorEastAsia" w:hAnsiTheme="majorEastAsia" w:eastAsiaTheme="majorEastAsia" w:cstheme="majorEastAsia"/>
          <w:sz w:val="24"/>
          <w:szCs w:val="24"/>
        </w:rPr>
        <w:fldChar w:fldCharType="separate"/>
      </w:r>
      <w:r>
        <w:rPr>
          <w:rFonts w:hint="eastAsia" w:asciiTheme="majorEastAsia" w:hAnsiTheme="majorEastAsia" w:eastAsiaTheme="majorEastAsia" w:cstheme="majorEastAsia"/>
          <w:sz w:val="24"/>
          <w:szCs w:val="24"/>
        </w:rPr>
        <w:t>21</w:t>
      </w:r>
      <w:r>
        <w:rPr>
          <w:rFonts w:hint="eastAsia" w:asciiTheme="majorEastAsia" w:hAnsiTheme="majorEastAsia" w:eastAsiaTheme="majorEastAsia" w:cstheme="majorEastAsia"/>
          <w:sz w:val="24"/>
          <w:szCs w:val="24"/>
        </w:rPr>
        <w:fldChar w:fldCharType="end"/>
      </w:r>
      <w:r>
        <w:rPr>
          <w:rFonts w:hint="eastAsia" w:asciiTheme="majorEastAsia" w:hAnsiTheme="majorEastAsia" w:eastAsiaTheme="majorEastAsia" w:cstheme="majorEastAsia"/>
          <w:sz w:val="24"/>
          <w:szCs w:val="24"/>
        </w:rPr>
        <w:fldChar w:fldCharType="end"/>
      </w:r>
    </w:p>
    <w:p w14:paraId="0D09D737">
      <w:pPr>
        <w:pStyle w:val="18"/>
        <w:tabs>
          <w:tab w:val="right" w:leader="dot" w:pos="9241"/>
          <w:tab w:val="clear" w:pos="9060"/>
        </w:tabs>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HYPERLINK \l _Toc25535 </w:instrText>
      </w:r>
      <w:r>
        <w:rPr>
          <w:rFonts w:hint="eastAsia" w:asciiTheme="majorEastAsia" w:hAnsiTheme="majorEastAsia" w:eastAsiaTheme="majorEastAsia" w:cstheme="majorEastAsia"/>
          <w:sz w:val="24"/>
          <w:szCs w:val="24"/>
        </w:rPr>
        <w:fldChar w:fldCharType="separate"/>
      </w:r>
      <w:r>
        <w:rPr>
          <w:rFonts w:hint="eastAsia" w:asciiTheme="majorEastAsia" w:hAnsiTheme="majorEastAsia" w:eastAsiaTheme="majorEastAsia" w:cstheme="majorEastAsia"/>
          <w:sz w:val="24"/>
          <w:szCs w:val="24"/>
        </w:rPr>
        <w:t>十三  政府采购政策</w:t>
      </w:r>
      <w:r>
        <w:rPr>
          <w:rFonts w:hint="eastAsia" w:asciiTheme="majorEastAsia" w:hAnsiTheme="majorEastAsia" w:eastAsiaTheme="majorEastAsia" w:cstheme="majorEastAsia"/>
          <w:sz w:val="24"/>
          <w:szCs w:val="24"/>
        </w:rPr>
        <w:tab/>
      </w: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PAGEREF _Toc25535 \h </w:instrText>
      </w:r>
      <w:r>
        <w:rPr>
          <w:rFonts w:hint="eastAsia" w:asciiTheme="majorEastAsia" w:hAnsiTheme="majorEastAsia" w:eastAsiaTheme="majorEastAsia" w:cstheme="majorEastAsia"/>
          <w:sz w:val="24"/>
          <w:szCs w:val="24"/>
        </w:rPr>
        <w:fldChar w:fldCharType="separate"/>
      </w:r>
      <w:r>
        <w:rPr>
          <w:rFonts w:hint="eastAsia" w:asciiTheme="majorEastAsia" w:hAnsiTheme="majorEastAsia" w:eastAsiaTheme="majorEastAsia" w:cstheme="majorEastAsia"/>
          <w:sz w:val="24"/>
          <w:szCs w:val="24"/>
        </w:rPr>
        <w:t>21</w:t>
      </w:r>
      <w:r>
        <w:rPr>
          <w:rFonts w:hint="eastAsia" w:asciiTheme="majorEastAsia" w:hAnsiTheme="majorEastAsia" w:eastAsiaTheme="majorEastAsia" w:cstheme="majorEastAsia"/>
          <w:sz w:val="24"/>
          <w:szCs w:val="24"/>
        </w:rPr>
        <w:fldChar w:fldCharType="end"/>
      </w:r>
      <w:r>
        <w:rPr>
          <w:rFonts w:hint="eastAsia" w:asciiTheme="majorEastAsia" w:hAnsiTheme="majorEastAsia" w:eastAsiaTheme="majorEastAsia" w:cstheme="majorEastAsia"/>
          <w:sz w:val="24"/>
          <w:szCs w:val="24"/>
        </w:rPr>
        <w:fldChar w:fldCharType="end"/>
      </w:r>
    </w:p>
    <w:p w14:paraId="407D82B2">
      <w:pPr>
        <w:pStyle w:val="18"/>
        <w:tabs>
          <w:tab w:val="right" w:leader="dot" w:pos="9241"/>
          <w:tab w:val="clear" w:pos="9060"/>
        </w:tabs>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HYPERLINK \l _Toc14169 </w:instrText>
      </w:r>
      <w:r>
        <w:rPr>
          <w:rFonts w:hint="eastAsia" w:asciiTheme="majorEastAsia" w:hAnsiTheme="majorEastAsia" w:eastAsiaTheme="majorEastAsia" w:cstheme="majorEastAsia"/>
          <w:sz w:val="24"/>
          <w:szCs w:val="24"/>
        </w:rPr>
        <w:fldChar w:fldCharType="separate"/>
      </w:r>
      <w:r>
        <w:rPr>
          <w:rFonts w:hint="eastAsia" w:asciiTheme="majorEastAsia" w:hAnsiTheme="majorEastAsia" w:eastAsiaTheme="majorEastAsia" w:cstheme="majorEastAsia"/>
          <w:sz w:val="24"/>
          <w:szCs w:val="24"/>
        </w:rPr>
        <w:t>十四  其他事项</w:t>
      </w:r>
      <w:r>
        <w:rPr>
          <w:rFonts w:hint="eastAsia" w:asciiTheme="majorEastAsia" w:hAnsiTheme="majorEastAsia" w:eastAsiaTheme="majorEastAsia" w:cstheme="majorEastAsia"/>
          <w:sz w:val="24"/>
          <w:szCs w:val="24"/>
        </w:rPr>
        <w:tab/>
      </w: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PAGEREF _Toc14169 \h </w:instrText>
      </w:r>
      <w:r>
        <w:rPr>
          <w:rFonts w:hint="eastAsia" w:asciiTheme="majorEastAsia" w:hAnsiTheme="majorEastAsia" w:eastAsiaTheme="majorEastAsia" w:cstheme="majorEastAsia"/>
          <w:sz w:val="24"/>
          <w:szCs w:val="24"/>
        </w:rPr>
        <w:fldChar w:fldCharType="separate"/>
      </w:r>
      <w:r>
        <w:rPr>
          <w:rFonts w:hint="eastAsia" w:asciiTheme="majorEastAsia" w:hAnsiTheme="majorEastAsia" w:eastAsiaTheme="majorEastAsia" w:cstheme="majorEastAsia"/>
          <w:sz w:val="24"/>
          <w:szCs w:val="24"/>
        </w:rPr>
        <w:t>22</w:t>
      </w:r>
      <w:r>
        <w:rPr>
          <w:rFonts w:hint="eastAsia" w:asciiTheme="majorEastAsia" w:hAnsiTheme="majorEastAsia" w:eastAsiaTheme="majorEastAsia" w:cstheme="majorEastAsia"/>
          <w:sz w:val="24"/>
          <w:szCs w:val="24"/>
        </w:rPr>
        <w:fldChar w:fldCharType="end"/>
      </w:r>
      <w:r>
        <w:rPr>
          <w:rFonts w:hint="eastAsia" w:asciiTheme="majorEastAsia" w:hAnsiTheme="majorEastAsia" w:eastAsiaTheme="majorEastAsia" w:cstheme="majorEastAsia"/>
          <w:sz w:val="24"/>
          <w:szCs w:val="24"/>
        </w:rPr>
        <w:fldChar w:fldCharType="end"/>
      </w:r>
    </w:p>
    <w:p w14:paraId="2026DF33">
      <w:pPr>
        <w:pStyle w:val="26"/>
        <w:tabs>
          <w:tab w:val="right" w:leader="dot" w:pos="9241"/>
        </w:tabs>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HYPERLINK \l _Toc22490 </w:instrText>
      </w:r>
      <w:r>
        <w:rPr>
          <w:rFonts w:hint="eastAsia" w:asciiTheme="majorEastAsia" w:hAnsiTheme="majorEastAsia" w:eastAsiaTheme="majorEastAsia" w:cstheme="majorEastAsia"/>
          <w:sz w:val="24"/>
          <w:szCs w:val="24"/>
        </w:rPr>
        <w:fldChar w:fldCharType="separate"/>
      </w:r>
      <w:r>
        <w:rPr>
          <w:rFonts w:hint="eastAsia" w:asciiTheme="majorEastAsia" w:hAnsiTheme="majorEastAsia" w:eastAsiaTheme="majorEastAsia" w:cstheme="majorEastAsia"/>
          <w:bCs/>
          <w:sz w:val="24"/>
          <w:szCs w:val="24"/>
        </w:rPr>
        <w:t>第三章  采购需求</w:t>
      </w:r>
      <w:r>
        <w:rPr>
          <w:rFonts w:hint="eastAsia" w:asciiTheme="majorEastAsia" w:hAnsiTheme="majorEastAsia" w:eastAsiaTheme="majorEastAsia" w:cstheme="majorEastAsia"/>
          <w:sz w:val="24"/>
          <w:szCs w:val="24"/>
        </w:rPr>
        <w:tab/>
      </w: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PAGEREF _Toc22490 \h </w:instrText>
      </w:r>
      <w:r>
        <w:rPr>
          <w:rFonts w:hint="eastAsia" w:asciiTheme="majorEastAsia" w:hAnsiTheme="majorEastAsia" w:eastAsiaTheme="majorEastAsia" w:cstheme="majorEastAsia"/>
          <w:sz w:val="24"/>
          <w:szCs w:val="24"/>
        </w:rPr>
        <w:fldChar w:fldCharType="separate"/>
      </w:r>
      <w:r>
        <w:rPr>
          <w:rFonts w:hint="eastAsia" w:asciiTheme="majorEastAsia" w:hAnsiTheme="majorEastAsia" w:eastAsiaTheme="majorEastAsia" w:cstheme="majorEastAsia"/>
          <w:sz w:val="24"/>
          <w:szCs w:val="24"/>
        </w:rPr>
        <w:t>23</w:t>
      </w:r>
      <w:r>
        <w:rPr>
          <w:rFonts w:hint="eastAsia" w:asciiTheme="majorEastAsia" w:hAnsiTheme="majorEastAsia" w:eastAsiaTheme="majorEastAsia" w:cstheme="majorEastAsia"/>
          <w:sz w:val="24"/>
          <w:szCs w:val="24"/>
        </w:rPr>
        <w:fldChar w:fldCharType="end"/>
      </w:r>
      <w:r>
        <w:rPr>
          <w:rFonts w:hint="eastAsia" w:asciiTheme="majorEastAsia" w:hAnsiTheme="majorEastAsia" w:eastAsiaTheme="majorEastAsia" w:cstheme="majorEastAsia"/>
          <w:sz w:val="24"/>
          <w:szCs w:val="24"/>
        </w:rPr>
        <w:fldChar w:fldCharType="end"/>
      </w:r>
    </w:p>
    <w:p w14:paraId="63ED442B">
      <w:pPr>
        <w:pStyle w:val="18"/>
        <w:tabs>
          <w:tab w:val="right" w:leader="dot" w:pos="9241"/>
          <w:tab w:val="clear" w:pos="9060"/>
        </w:tabs>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HYPERLINK \l _Toc29719 </w:instrText>
      </w:r>
      <w:r>
        <w:rPr>
          <w:rFonts w:hint="eastAsia" w:asciiTheme="majorEastAsia" w:hAnsiTheme="majorEastAsia" w:eastAsiaTheme="majorEastAsia" w:cstheme="majorEastAsia"/>
          <w:sz w:val="24"/>
          <w:szCs w:val="24"/>
        </w:rPr>
        <w:fldChar w:fldCharType="separate"/>
      </w:r>
      <w:r>
        <w:rPr>
          <w:rFonts w:hint="eastAsia" w:asciiTheme="majorEastAsia" w:hAnsiTheme="majorEastAsia" w:eastAsiaTheme="majorEastAsia" w:cstheme="majorEastAsia"/>
          <w:sz w:val="24"/>
          <w:szCs w:val="24"/>
        </w:rPr>
        <w:t>一、</w:t>
      </w:r>
      <w:r>
        <w:rPr>
          <w:rFonts w:hint="eastAsia" w:asciiTheme="majorEastAsia" w:hAnsiTheme="majorEastAsia" w:eastAsiaTheme="majorEastAsia" w:cstheme="majorEastAsia"/>
          <w:sz w:val="24"/>
          <w:szCs w:val="24"/>
          <w:lang w:val="en-US" w:eastAsia="zh-CN"/>
        </w:rPr>
        <w:t>项目概况</w:t>
      </w:r>
      <w:r>
        <w:rPr>
          <w:rFonts w:hint="eastAsia" w:asciiTheme="majorEastAsia" w:hAnsiTheme="majorEastAsia" w:eastAsiaTheme="majorEastAsia" w:cstheme="majorEastAsia"/>
          <w:sz w:val="24"/>
          <w:szCs w:val="24"/>
        </w:rPr>
        <w:tab/>
      </w: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PAGEREF _Toc29719 \h </w:instrText>
      </w:r>
      <w:r>
        <w:rPr>
          <w:rFonts w:hint="eastAsia" w:asciiTheme="majorEastAsia" w:hAnsiTheme="majorEastAsia" w:eastAsiaTheme="majorEastAsia" w:cstheme="majorEastAsia"/>
          <w:sz w:val="24"/>
          <w:szCs w:val="24"/>
        </w:rPr>
        <w:fldChar w:fldCharType="separate"/>
      </w:r>
      <w:r>
        <w:rPr>
          <w:rFonts w:hint="eastAsia" w:asciiTheme="majorEastAsia" w:hAnsiTheme="majorEastAsia" w:eastAsiaTheme="majorEastAsia" w:cstheme="majorEastAsia"/>
          <w:sz w:val="24"/>
          <w:szCs w:val="24"/>
        </w:rPr>
        <w:t>23</w:t>
      </w:r>
      <w:r>
        <w:rPr>
          <w:rFonts w:hint="eastAsia" w:asciiTheme="majorEastAsia" w:hAnsiTheme="majorEastAsia" w:eastAsiaTheme="majorEastAsia" w:cstheme="majorEastAsia"/>
          <w:sz w:val="24"/>
          <w:szCs w:val="24"/>
        </w:rPr>
        <w:fldChar w:fldCharType="end"/>
      </w:r>
      <w:r>
        <w:rPr>
          <w:rFonts w:hint="eastAsia" w:asciiTheme="majorEastAsia" w:hAnsiTheme="majorEastAsia" w:eastAsiaTheme="majorEastAsia" w:cstheme="majorEastAsia"/>
          <w:sz w:val="24"/>
          <w:szCs w:val="24"/>
        </w:rPr>
        <w:fldChar w:fldCharType="end"/>
      </w:r>
    </w:p>
    <w:p w14:paraId="3C49B344">
      <w:pPr>
        <w:pStyle w:val="18"/>
        <w:tabs>
          <w:tab w:val="right" w:leader="dot" w:pos="9241"/>
          <w:tab w:val="clear" w:pos="9060"/>
        </w:tabs>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HYPERLINK \l _Toc30483 </w:instrText>
      </w:r>
      <w:r>
        <w:rPr>
          <w:rFonts w:hint="eastAsia" w:asciiTheme="majorEastAsia" w:hAnsiTheme="majorEastAsia" w:eastAsiaTheme="majorEastAsia" w:cstheme="majorEastAsia"/>
          <w:sz w:val="24"/>
          <w:szCs w:val="24"/>
        </w:rPr>
        <w:fldChar w:fldCharType="separate"/>
      </w:r>
      <w:r>
        <w:rPr>
          <w:rFonts w:hint="eastAsia" w:asciiTheme="majorEastAsia" w:hAnsiTheme="majorEastAsia" w:eastAsiaTheme="majorEastAsia" w:cstheme="majorEastAsia"/>
          <w:sz w:val="24"/>
          <w:szCs w:val="24"/>
          <w:lang w:eastAsia="zh-CN"/>
        </w:rPr>
        <w:t>二、</w:t>
      </w:r>
      <w:r>
        <w:rPr>
          <w:rFonts w:hint="eastAsia" w:asciiTheme="majorEastAsia" w:hAnsiTheme="majorEastAsia" w:eastAsiaTheme="majorEastAsia" w:cstheme="majorEastAsia"/>
          <w:sz w:val="24"/>
          <w:szCs w:val="24"/>
          <w:lang w:val="en-US" w:eastAsia="zh-CN"/>
        </w:rPr>
        <w:t>实地测评</w:t>
      </w:r>
      <w:r>
        <w:rPr>
          <w:rFonts w:hint="eastAsia" w:asciiTheme="majorEastAsia" w:hAnsiTheme="majorEastAsia" w:eastAsiaTheme="majorEastAsia" w:cstheme="majorEastAsia"/>
          <w:sz w:val="24"/>
          <w:szCs w:val="24"/>
        </w:rPr>
        <w:tab/>
      </w: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PAGEREF _Toc30483 \h </w:instrText>
      </w:r>
      <w:r>
        <w:rPr>
          <w:rFonts w:hint="eastAsia" w:asciiTheme="majorEastAsia" w:hAnsiTheme="majorEastAsia" w:eastAsiaTheme="majorEastAsia" w:cstheme="majorEastAsia"/>
          <w:sz w:val="24"/>
          <w:szCs w:val="24"/>
        </w:rPr>
        <w:fldChar w:fldCharType="separate"/>
      </w:r>
      <w:r>
        <w:rPr>
          <w:rFonts w:hint="eastAsia" w:asciiTheme="majorEastAsia" w:hAnsiTheme="majorEastAsia" w:eastAsiaTheme="majorEastAsia" w:cstheme="majorEastAsia"/>
          <w:sz w:val="24"/>
          <w:szCs w:val="24"/>
        </w:rPr>
        <w:t>23</w:t>
      </w:r>
      <w:r>
        <w:rPr>
          <w:rFonts w:hint="eastAsia" w:asciiTheme="majorEastAsia" w:hAnsiTheme="majorEastAsia" w:eastAsiaTheme="majorEastAsia" w:cstheme="majorEastAsia"/>
          <w:sz w:val="24"/>
          <w:szCs w:val="24"/>
        </w:rPr>
        <w:fldChar w:fldCharType="end"/>
      </w:r>
      <w:r>
        <w:rPr>
          <w:rFonts w:hint="eastAsia" w:asciiTheme="majorEastAsia" w:hAnsiTheme="majorEastAsia" w:eastAsiaTheme="majorEastAsia" w:cstheme="majorEastAsia"/>
          <w:sz w:val="24"/>
          <w:szCs w:val="24"/>
        </w:rPr>
        <w:fldChar w:fldCharType="end"/>
      </w:r>
    </w:p>
    <w:p w14:paraId="4C151CAD">
      <w:pPr>
        <w:pStyle w:val="18"/>
        <w:tabs>
          <w:tab w:val="right" w:leader="dot" w:pos="9241"/>
          <w:tab w:val="clear" w:pos="9060"/>
        </w:tabs>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HYPERLINK \l _Toc3716 </w:instrText>
      </w:r>
      <w:r>
        <w:rPr>
          <w:rFonts w:hint="eastAsia" w:asciiTheme="majorEastAsia" w:hAnsiTheme="majorEastAsia" w:eastAsiaTheme="majorEastAsia" w:cstheme="majorEastAsia"/>
          <w:sz w:val="24"/>
          <w:szCs w:val="24"/>
        </w:rPr>
        <w:fldChar w:fldCharType="separate"/>
      </w:r>
      <w:r>
        <w:rPr>
          <w:rFonts w:hint="eastAsia" w:asciiTheme="majorEastAsia" w:hAnsiTheme="majorEastAsia" w:eastAsiaTheme="majorEastAsia" w:cstheme="majorEastAsia"/>
          <w:sz w:val="24"/>
          <w:szCs w:val="24"/>
          <w:lang w:val="en-US" w:eastAsia="zh-CN"/>
        </w:rPr>
        <w:t>三、业务座谈</w:t>
      </w:r>
      <w:r>
        <w:rPr>
          <w:rFonts w:hint="eastAsia" w:asciiTheme="majorEastAsia" w:hAnsiTheme="majorEastAsia" w:eastAsiaTheme="majorEastAsia" w:cstheme="majorEastAsia"/>
          <w:sz w:val="24"/>
          <w:szCs w:val="24"/>
        </w:rPr>
        <w:tab/>
      </w: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PAGEREF _Toc3716 \h </w:instrText>
      </w:r>
      <w:r>
        <w:rPr>
          <w:rFonts w:hint="eastAsia" w:asciiTheme="majorEastAsia" w:hAnsiTheme="majorEastAsia" w:eastAsiaTheme="majorEastAsia" w:cstheme="majorEastAsia"/>
          <w:sz w:val="24"/>
          <w:szCs w:val="24"/>
        </w:rPr>
        <w:fldChar w:fldCharType="separate"/>
      </w:r>
      <w:r>
        <w:rPr>
          <w:rFonts w:hint="eastAsia" w:asciiTheme="majorEastAsia" w:hAnsiTheme="majorEastAsia" w:eastAsiaTheme="majorEastAsia" w:cstheme="majorEastAsia"/>
          <w:sz w:val="24"/>
          <w:szCs w:val="24"/>
        </w:rPr>
        <w:t>23</w:t>
      </w:r>
      <w:r>
        <w:rPr>
          <w:rFonts w:hint="eastAsia" w:asciiTheme="majorEastAsia" w:hAnsiTheme="majorEastAsia" w:eastAsiaTheme="majorEastAsia" w:cstheme="majorEastAsia"/>
          <w:sz w:val="24"/>
          <w:szCs w:val="24"/>
        </w:rPr>
        <w:fldChar w:fldCharType="end"/>
      </w:r>
      <w:r>
        <w:rPr>
          <w:rFonts w:hint="eastAsia" w:asciiTheme="majorEastAsia" w:hAnsiTheme="majorEastAsia" w:eastAsiaTheme="majorEastAsia" w:cstheme="majorEastAsia"/>
          <w:sz w:val="24"/>
          <w:szCs w:val="24"/>
        </w:rPr>
        <w:fldChar w:fldCharType="end"/>
      </w:r>
    </w:p>
    <w:p w14:paraId="7EC797FB">
      <w:pPr>
        <w:pStyle w:val="18"/>
        <w:tabs>
          <w:tab w:val="right" w:leader="dot" w:pos="9241"/>
          <w:tab w:val="clear" w:pos="9060"/>
        </w:tabs>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HYPERLINK \l _Toc756 </w:instrText>
      </w:r>
      <w:r>
        <w:rPr>
          <w:rFonts w:hint="eastAsia" w:asciiTheme="majorEastAsia" w:hAnsiTheme="majorEastAsia" w:eastAsiaTheme="majorEastAsia" w:cstheme="majorEastAsia"/>
          <w:sz w:val="24"/>
          <w:szCs w:val="24"/>
        </w:rPr>
        <w:fldChar w:fldCharType="separate"/>
      </w:r>
      <w:r>
        <w:rPr>
          <w:rFonts w:hint="eastAsia" w:asciiTheme="majorEastAsia" w:hAnsiTheme="majorEastAsia" w:eastAsiaTheme="majorEastAsia" w:cstheme="majorEastAsia"/>
          <w:sz w:val="24"/>
          <w:szCs w:val="24"/>
          <w:lang w:val="en-US" w:eastAsia="zh-CN"/>
        </w:rPr>
        <w:t>四、</w:t>
      </w:r>
      <w:r>
        <w:rPr>
          <w:rFonts w:hint="eastAsia" w:asciiTheme="majorEastAsia" w:hAnsiTheme="majorEastAsia" w:eastAsiaTheme="majorEastAsia" w:cstheme="majorEastAsia"/>
          <w:sz w:val="24"/>
          <w:szCs w:val="24"/>
        </w:rPr>
        <w:t>服务期限</w:t>
      </w:r>
      <w:r>
        <w:rPr>
          <w:rFonts w:hint="eastAsia" w:asciiTheme="majorEastAsia" w:hAnsiTheme="majorEastAsia" w:eastAsiaTheme="majorEastAsia" w:cstheme="majorEastAsia"/>
          <w:sz w:val="24"/>
          <w:szCs w:val="24"/>
        </w:rPr>
        <w:tab/>
      </w: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PAGEREF _Toc756 \h </w:instrText>
      </w:r>
      <w:r>
        <w:rPr>
          <w:rFonts w:hint="eastAsia" w:asciiTheme="majorEastAsia" w:hAnsiTheme="majorEastAsia" w:eastAsiaTheme="majorEastAsia" w:cstheme="majorEastAsia"/>
          <w:sz w:val="24"/>
          <w:szCs w:val="24"/>
        </w:rPr>
        <w:fldChar w:fldCharType="separate"/>
      </w:r>
      <w:r>
        <w:rPr>
          <w:rFonts w:hint="eastAsia" w:asciiTheme="majorEastAsia" w:hAnsiTheme="majorEastAsia" w:eastAsiaTheme="majorEastAsia" w:cstheme="majorEastAsia"/>
          <w:sz w:val="24"/>
          <w:szCs w:val="24"/>
        </w:rPr>
        <w:t>24</w:t>
      </w:r>
      <w:r>
        <w:rPr>
          <w:rFonts w:hint="eastAsia" w:asciiTheme="majorEastAsia" w:hAnsiTheme="majorEastAsia" w:eastAsiaTheme="majorEastAsia" w:cstheme="majorEastAsia"/>
          <w:sz w:val="24"/>
          <w:szCs w:val="24"/>
        </w:rPr>
        <w:fldChar w:fldCharType="end"/>
      </w:r>
      <w:r>
        <w:rPr>
          <w:rFonts w:hint="eastAsia" w:asciiTheme="majorEastAsia" w:hAnsiTheme="majorEastAsia" w:eastAsiaTheme="majorEastAsia" w:cstheme="majorEastAsia"/>
          <w:sz w:val="24"/>
          <w:szCs w:val="24"/>
        </w:rPr>
        <w:fldChar w:fldCharType="end"/>
      </w:r>
    </w:p>
    <w:p w14:paraId="7FC713F9">
      <w:pPr>
        <w:pStyle w:val="18"/>
        <w:tabs>
          <w:tab w:val="right" w:leader="dot" w:pos="9241"/>
          <w:tab w:val="clear" w:pos="9060"/>
        </w:tabs>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HYPERLINK \l _Toc14239 </w:instrText>
      </w:r>
      <w:r>
        <w:rPr>
          <w:rFonts w:hint="eastAsia" w:asciiTheme="majorEastAsia" w:hAnsiTheme="majorEastAsia" w:eastAsiaTheme="majorEastAsia" w:cstheme="majorEastAsia"/>
          <w:sz w:val="24"/>
          <w:szCs w:val="24"/>
        </w:rPr>
        <w:fldChar w:fldCharType="separate"/>
      </w:r>
      <w:r>
        <w:rPr>
          <w:rFonts w:hint="eastAsia" w:asciiTheme="majorEastAsia" w:hAnsiTheme="majorEastAsia" w:eastAsiaTheme="majorEastAsia" w:cstheme="majorEastAsia"/>
          <w:sz w:val="24"/>
          <w:szCs w:val="24"/>
          <w:lang w:val="en-US" w:eastAsia="zh-CN"/>
        </w:rPr>
        <w:t>五</w:t>
      </w:r>
      <w:r>
        <w:rPr>
          <w:rFonts w:hint="eastAsia" w:asciiTheme="majorEastAsia" w:hAnsiTheme="majorEastAsia" w:eastAsiaTheme="majorEastAsia" w:cstheme="majorEastAsia"/>
          <w:sz w:val="24"/>
          <w:szCs w:val="24"/>
        </w:rPr>
        <w:t>、付款方式</w:t>
      </w:r>
      <w:r>
        <w:rPr>
          <w:rFonts w:hint="eastAsia" w:asciiTheme="majorEastAsia" w:hAnsiTheme="majorEastAsia" w:eastAsiaTheme="majorEastAsia" w:cstheme="majorEastAsia"/>
          <w:sz w:val="24"/>
          <w:szCs w:val="24"/>
        </w:rPr>
        <w:tab/>
      </w: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PAGEREF _Toc14239 \h </w:instrText>
      </w:r>
      <w:r>
        <w:rPr>
          <w:rFonts w:hint="eastAsia" w:asciiTheme="majorEastAsia" w:hAnsiTheme="majorEastAsia" w:eastAsiaTheme="majorEastAsia" w:cstheme="majorEastAsia"/>
          <w:sz w:val="24"/>
          <w:szCs w:val="24"/>
        </w:rPr>
        <w:fldChar w:fldCharType="separate"/>
      </w:r>
      <w:r>
        <w:rPr>
          <w:rFonts w:hint="eastAsia" w:asciiTheme="majorEastAsia" w:hAnsiTheme="majorEastAsia" w:eastAsiaTheme="majorEastAsia" w:cstheme="majorEastAsia"/>
          <w:sz w:val="24"/>
          <w:szCs w:val="24"/>
        </w:rPr>
        <w:t>24</w:t>
      </w:r>
      <w:r>
        <w:rPr>
          <w:rFonts w:hint="eastAsia" w:asciiTheme="majorEastAsia" w:hAnsiTheme="majorEastAsia" w:eastAsiaTheme="majorEastAsia" w:cstheme="majorEastAsia"/>
          <w:sz w:val="24"/>
          <w:szCs w:val="24"/>
        </w:rPr>
        <w:fldChar w:fldCharType="end"/>
      </w:r>
      <w:r>
        <w:rPr>
          <w:rFonts w:hint="eastAsia" w:asciiTheme="majorEastAsia" w:hAnsiTheme="majorEastAsia" w:eastAsiaTheme="majorEastAsia" w:cstheme="majorEastAsia"/>
          <w:sz w:val="24"/>
          <w:szCs w:val="24"/>
        </w:rPr>
        <w:fldChar w:fldCharType="end"/>
      </w:r>
    </w:p>
    <w:p w14:paraId="2855EFDC">
      <w:pPr>
        <w:pStyle w:val="18"/>
        <w:tabs>
          <w:tab w:val="right" w:leader="dot" w:pos="9241"/>
          <w:tab w:val="clear" w:pos="9060"/>
        </w:tabs>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HYPERLINK \l _Toc14475 </w:instrText>
      </w:r>
      <w:r>
        <w:rPr>
          <w:rFonts w:hint="eastAsia" w:asciiTheme="majorEastAsia" w:hAnsiTheme="majorEastAsia" w:eastAsiaTheme="majorEastAsia" w:cstheme="majorEastAsia"/>
          <w:sz w:val="24"/>
          <w:szCs w:val="24"/>
        </w:rPr>
        <w:fldChar w:fldCharType="separate"/>
      </w:r>
      <w:r>
        <w:rPr>
          <w:rFonts w:hint="eastAsia" w:asciiTheme="majorEastAsia" w:hAnsiTheme="majorEastAsia" w:eastAsiaTheme="majorEastAsia" w:cstheme="majorEastAsia"/>
          <w:sz w:val="24"/>
          <w:szCs w:val="24"/>
          <w:lang w:val="en-US" w:eastAsia="zh-CN"/>
        </w:rPr>
        <w:t>六、保密</w:t>
      </w:r>
      <w:r>
        <w:rPr>
          <w:rFonts w:hint="eastAsia" w:asciiTheme="majorEastAsia" w:hAnsiTheme="majorEastAsia" w:eastAsiaTheme="majorEastAsia" w:cstheme="majorEastAsia"/>
          <w:sz w:val="24"/>
          <w:szCs w:val="24"/>
        </w:rPr>
        <w:tab/>
      </w: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PAGEREF _Toc14475 \h </w:instrText>
      </w:r>
      <w:r>
        <w:rPr>
          <w:rFonts w:hint="eastAsia" w:asciiTheme="majorEastAsia" w:hAnsiTheme="majorEastAsia" w:eastAsiaTheme="majorEastAsia" w:cstheme="majorEastAsia"/>
          <w:sz w:val="24"/>
          <w:szCs w:val="24"/>
        </w:rPr>
        <w:fldChar w:fldCharType="separate"/>
      </w:r>
      <w:r>
        <w:rPr>
          <w:rFonts w:hint="eastAsia" w:asciiTheme="majorEastAsia" w:hAnsiTheme="majorEastAsia" w:eastAsiaTheme="majorEastAsia" w:cstheme="majorEastAsia"/>
          <w:sz w:val="24"/>
          <w:szCs w:val="24"/>
        </w:rPr>
        <w:t>24</w:t>
      </w:r>
      <w:r>
        <w:rPr>
          <w:rFonts w:hint="eastAsia" w:asciiTheme="majorEastAsia" w:hAnsiTheme="majorEastAsia" w:eastAsiaTheme="majorEastAsia" w:cstheme="majorEastAsia"/>
          <w:sz w:val="24"/>
          <w:szCs w:val="24"/>
        </w:rPr>
        <w:fldChar w:fldCharType="end"/>
      </w:r>
      <w:r>
        <w:rPr>
          <w:rFonts w:hint="eastAsia" w:asciiTheme="majorEastAsia" w:hAnsiTheme="majorEastAsia" w:eastAsiaTheme="majorEastAsia" w:cstheme="majorEastAsia"/>
          <w:sz w:val="24"/>
          <w:szCs w:val="24"/>
        </w:rPr>
        <w:fldChar w:fldCharType="end"/>
      </w:r>
    </w:p>
    <w:p w14:paraId="0DB1BA56">
      <w:pPr>
        <w:pStyle w:val="26"/>
        <w:tabs>
          <w:tab w:val="right" w:leader="dot" w:pos="9241"/>
        </w:tabs>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HYPERLINK \l _Toc31729 </w:instrText>
      </w:r>
      <w:r>
        <w:rPr>
          <w:rFonts w:hint="eastAsia" w:asciiTheme="majorEastAsia" w:hAnsiTheme="majorEastAsia" w:eastAsiaTheme="majorEastAsia" w:cstheme="majorEastAsia"/>
          <w:sz w:val="24"/>
          <w:szCs w:val="24"/>
        </w:rPr>
        <w:fldChar w:fldCharType="separate"/>
      </w:r>
      <w:r>
        <w:rPr>
          <w:rFonts w:hint="eastAsia" w:asciiTheme="majorEastAsia" w:hAnsiTheme="majorEastAsia" w:eastAsiaTheme="majorEastAsia" w:cstheme="majorEastAsia"/>
          <w:sz w:val="24"/>
          <w:szCs w:val="24"/>
          <w:highlight w:val="none"/>
        </w:rPr>
        <w:t>第四章  政府采购合同</w:t>
      </w:r>
      <w:r>
        <w:rPr>
          <w:rFonts w:hint="eastAsia" w:asciiTheme="majorEastAsia" w:hAnsiTheme="majorEastAsia" w:eastAsiaTheme="majorEastAsia" w:cstheme="majorEastAsia"/>
          <w:sz w:val="24"/>
          <w:szCs w:val="24"/>
        </w:rPr>
        <w:tab/>
      </w: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PAGEREF _Toc31729 \h </w:instrText>
      </w:r>
      <w:r>
        <w:rPr>
          <w:rFonts w:hint="eastAsia" w:asciiTheme="majorEastAsia" w:hAnsiTheme="majorEastAsia" w:eastAsiaTheme="majorEastAsia" w:cstheme="majorEastAsia"/>
          <w:sz w:val="24"/>
          <w:szCs w:val="24"/>
        </w:rPr>
        <w:fldChar w:fldCharType="separate"/>
      </w:r>
      <w:r>
        <w:rPr>
          <w:rFonts w:hint="eastAsia" w:asciiTheme="majorEastAsia" w:hAnsiTheme="majorEastAsia" w:eastAsiaTheme="majorEastAsia" w:cstheme="majorEastAsia"/>
          <w:sz w:val="24"/>
          <w:szCs w:val="24"/>
        </w:rPr>
        <w:t>25</w:t>
      </w:r>
      <w:r>
        <w:rPr>
          <w:rFonts w:hint="eastAsia" w:asciiTheme="majorEastAsia" w:hAnsiTheme="majorEastAsia" w:eastAsiaTheme="majorEastAsia" w:cstheme="majorEastAsia"/>
          <w:sz w:val="24"/>
          <w:szCs w:val="24"/>
        </w:rPr>
        <w:fldChar w:fldCharType="end"/>
      </w:r>
      <w:r>
        <w:rPr>
          <w:rFonts w:hint="eastAsia" w:asciiTheme="majorEastAsia" w:hAnsiTheme="majorEastAsia" w:eastAsiaTheme="majorEastAsia" w:cstheme="majorEastAsia"/>
          <w:sz w:val="24"/>
          <w:szCs w:val="24"/>
        </w:rPr>
        <w:fldChar w:fldCharType="end"/>
      </w:r>
    </w:p>
    <w:p w14:paraId="520B8B3C">
      <w:pPr>
        <w:pStyle w:val="26"/>
        <w:tabs>
          <w:tab w:val="right" w:leader="dot" w:pos="9241"/>
        </w:tabs>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HYPERLINK \l _Toc1964 </w:instrText>
      </w:r>
      <w:r>
        <w:rPr>
          <w:rFonts w:hint="eastAsia" w:asciiTheme="majorEastAsia" w:hAnsiTheme="majorEastAsia" w:eastAsiaTheme="majorEastAsia" w:cstheme="majorEastAsia"/>
          <w:sz w:val="24"/>
          <w:szCs w:val="24"/>
        </w:rPr>
        <w:fldChar w:fldCharType="separate"/>
      </w:r>
      <w:r>
        <w:rPr>
          <w:rFonts w:hint="eastAsia" w:asciiTheme="majorEastAsia" w:hAnsiTheme="majorEastAsia" w:eastAsiaTheme="majorEastAsia" w:cstheme="majorEastAsia"/>
          <w:sz w:val="24"/>
          <w:szCs w:val="24"/>
        </w:rPr>
        <w:t>第五章　磋商相关文件格式</w:t>
      </w:r>
      <w:r>
        <w:rPr>
          <w:rFonts w:hint="eastAsia" w:asciiTheme="majorEastAsia" w:hAnsiTheme="majorEastAsia" w:eastAsiaTheme="majorEastAsia" w:cstheme="majorEastAsia"/>
          <w:sz w:val="24"/>
          <w:szCs w:val="24"/>
        </w:rPr>
        <w:tab/>
      </w: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PAGEREF _Toc1964 \h </w:instrText>
      </w:r>
      <w:r>
        <w:rPr>
          <w:rFonts w:hint="eastAsia" w:asciiTheme="majorEastAsia" w:hAnsiTheme="majorEastAsia" w:eastAsiaTheme="majorEastAsia" w:cstheme="majorEastAsia"/>
          <w:sz w:val="24"/>
          <w:szCs w:val="24"/>
        </w:rPr>
        <w:fldChar w:fldCharType="separate"/>
      </w:r>
      <w:r>
        <w:rPr>
          <w:rFonts w:hint="eastAsia" w:asciiTheme="majorEastAsia" w:hAnsiTheme="majorEastAsia" w:eastAsiaTheme="majorEastAsia" w:cstheme="majorEastAsia"/>
          <w:sz w:val="24"/>
          <w:szCs w:val="24"/>
        </w:rPr>
        <w:t>32</w:t>
      </w:r>
      <w:r>
        <w:rPr>
          <w:rFonts w:hint="eastAsia" w:asciiTheme="majorEastAsia" w:hAnsiTheme="majorEastAsia" w:eastAsiaTheme="majorEastAsia" w:cstheme="majorEastAsia"/>
          <w:sz w:val="24"/>
          <w:szCs w:val="24"/>
        </w:rPr>
        <w:fldChar w:fldCharType="end"/>
      </w:r>
      <w:r>
        <w:rPr>
          <w:rFonts w:hint="eastAsia" w:asciiTheme="majorEastAsia" w:hAnsiTheme="majorEastAsia" w:eastAsiaTheme="majorEastAsia" w:cstheme="majorEastAsia"/>
          <w:sz w:val="24"/>
          <w:szCs w:val="24"/>
        </w:rPr>
        <w:fldChar w:fldCharType="end"/>
      </w:r>
    </w:p>
    <w:p w14:paraId="1F031E9E">
      <w:pPr>
        <w:pStyle w:val="18"/>
        <w:tabs>
          <w:tab w:val="right" w:leader="dot" w:pos="9241"/>
          <w:tab w:val="clear" w:pos="9060"/>
        </w:tabs>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HYPERLINK \l _Toc1625 </w:instrText>
      </w:r>
      <w:r>
        <w:rPr>
          <w:rFonts w:hint="eastAsia" w:asciiTheme="majorEastAsia" w:hAnsiTheme="majorEastAsia" w:eastAsiaTheme="majorEastAsia" w:cstheme="majorEastAsia"/>
          <w:sz w:val="24"/>
          <w:szCs w:val="24"/>
        </w:rPr>
        <w:fldChar w:fldCharType="separate"/>
      </w:r>
      <w:r>
        <w:rPr>
          <w:rFonts w:hint="eastAsia" w:asciiTheme="majorEastAsia" w:hAnsiTheme="majorEastAsia" w:eastAsiaTheme="majorEastAsia" w:cstheme="majorEastAsia"/>
          <w:sz w:val="24"/>
          <w:szCs w:val="24"/>
        </w:rPr>
        <w:t>一</w:t>
      </w:r>
      <w:r>
        <w:rPr>
          <w:rFonts w:hint="eastAsia" w:asciiTheme="majorEastAsia" w:hAnsiTheme="majorEastAsia" w:eastAsiaTheme="majorEastAsia" w:cstheme="majorEastAsia"/>
          <w:sz w:val="24"/>
          <w:szCs w:val="24"/>
          <w:lang w:val="en-US" w:eastAsia="zh-CN"/>
        </w:rPr>
        <w:t xml:space="preserve">  </w:t>
      </w:r>
      <w:r>
        <w:rPr>
          <w:rFonts w:hint="eastAsia" w:asciiTheme="majorEastAsia" w:hAnsiTheme="majorEastAsia" w:eastAsiaTheme="majorEastAsia" w:cstheme="majorEastAsia"/>
          <w:sz w:val="24"/>
          <w:szCs w:val="24"/>
        </w:rPr>
        <w:t>资格文件格式</w:t>
      </w:r>
      <w:r>
        <w:rPr>
          <w:rFonts w:hint="eastAsia" w:asciiTheme="majorEastAsia" w:hAnsiTheme="majorEastAsia" w:eastAsiaTheme="majorEastAsia" w:cstheme="majorEastAsia"/>
          <w:sz w:val="24"/>
          <w:szCs w:val="24"/>
        </w:rPr>
        <w:tab/>
      </w: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PAGEREF _Toc1625 \h </w:instrText>
      </w:r>
      <w:r>
        <w:rPr>
          <w:rFonts w:hint="eastAsia" w:asciiTheme="majorEastAsia" w:hAnsiTheme="majorEastAsia" w:eastAsiaTheme="majorEastAsia" w:cstheme="majorEastAsia"/>
          <w:sz w:val="24"/>
          <w:szCs w:val="24"/>
        </w:rPr>
        <w:fldChar w:fldCharType="separate"/>
      </w:r>
      <w:r>
        <w:rPr>
          <w:rFonts w:hint="eastAsia" w:asciiTheme="majorEastAsia" w:hAnsiTheme="majorEastAsia" w:eastAsiaTheme="majorEastAsia" w:cstheme="majorEastAsia"/>
          <w:sz w:val="24"/>
          <w:szCs w:val="24"/>
        </w:rPr>
        <w:t>32</w:t>
      </w:r>
      <w:r>
        <w:rPr>
          <w:rFonts w:hint="eastAsia" w:asciiTheme="majorEastAsia" w:hAnsiTheme="majorEastAsia" w:eastAsiaTheme="majorEastAsia" w:cstheme="majorEastAsia"/>
          <w:sz w:val="24"/>
          <w:szCs w:val="24"/>
        </w:rPr>
        <w:fldChar w:fldCharType="end"/>
      </w:r>
      <w:r>
        <w:rPr>
          <w:rFonts w:hint="eastAsia" w:asciiTheme="majorEastAsia" w:hAnsiTheme="majorEastAsia" w:eastAsiaTheme="majorEastAsia" w:cstheme="majorEastAsia"/>
          <w:sz w:val="24"/>
          <w:szCs w:val="24"/>
        </w:rPr>
        <w:fldChar w:fldCharType="end"/>
      </w:r>
    </w:p>
    <w:p w14:paraId="2647CEAD">
      <w:pPr>
        <w:pStyle w:val="18"/>
        <w:tabs>
          <w:tab w:val="right" w:leader="dot" w:pos="9241"/>
          <w:tab w:val="clear" w:pos="9060"/>
        </w:tabs>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HYPERLINK \l _Toc9768 </w:instrText>
      </w:r>
      <w:r>
        <w:rPr>
          <w:rFonts w:hint="eastAsia" w:asciiTheme="majorEastAsia" w:hAnsiTheme="majorEastAsia" w:eastAsiaTheme="majorEastAsia" w:cstheme="majorEastAsia"/>
          <w:sz w:val="24"/>
          <w:szCs w:val="24"/>
        </w:rPr>
        <w:fldChar w:fldCharType="separate"/>
      </w:r>
      <w:r>
        <w:rPr>
          <w:rFonts w:hint="eastAsia" w:asciiTheme="majorEastAsia" w:hAnsiTheme="majorEastAsia" w:eastAsiaTheme="majorEastAsia" w:cstheme="majorEastAsia"/>
          <w:sz w:val="24"/>
          <w:szCs w:val="24"/>
        </w:rPr>
        <w:t>二  商务技术文件格式</w:t>
      </w:r>
      <w:r>
        <w:rPr>
          <w:rFonts w:hint="eastAsia" w:asciiTheme="majorEastAsia" w:hAnsiTheme="majorEastAsia" w:eastAsiaTheme="majorEastAsia" w:cstheme="majorEastAsia"/>
          <w:sz w:val="24"/>
          <w:szCs w:val="24"/>
        </w:rPr>
        <w:tab/>
      </w: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PAGEREF _Toc9768 \h </w:instrText>
      </w:r>
      <w:r>
        <w:rPr>
          <w:rFonts w:hint="eastAsia" w:asciiTheme="majorEastAsia" w:hAnsiTheme="majorEastAsia" w:eastAsiaTheme="majorEastAsia" w:cstheme="majorEastAsia"/>
          <w:sz w:val="24"/>
          <w:szCs w:val="24"/>
        </w:rPr>
        <w:fldChar w:fldCharType="separate"/>
      </w:r>
      <w:r>
        <w:rPr>
          <w:rFonts w:hint="eastAsia" w:asciiTheme="majorEastAsia" w:hAnsiTheme="majorEastAsia" w:eastAsiaTheme="majorEastAsia" w:cstheme="majorEastAsia"/>
          <w:sz w:val="24"/>
          <w:szCs w:val="24"/>
        </w:rPr>
        <w:t>41</w:t>
      </w:r>
      <w:r>
        <w:rPr>
          <w:rFonts w:hint="eastAsia" w:asciiTheme="majorEastAsia" w:hAnsiTheme="majorEastAsia" w:eastAsiaTheme="majorEastAsia" w:cstheme="majorEastAsia"/>
          <w:sz w:val="24"/>
          <w:szCs w:val="24"/>
        </w:rPr>
        <w:fldChar w:fldCharType="end"/>
      </w:r>
      <w:r>
        <w:rPr>
          <w:rFonts w:hint="eastAsia" w:asciiTheme="majorEastAsia" w:hAnsiTheme="majorEastAsia" w:eastAsiaTheme="majorEastAsia" w:cstheme="majorEastAsia"/>
          <w:sz w:val="24"/>
          <w:szCs w:val="24"/>
        </w:rPr>
        <w:fldChar w:fldCharType="end"/>
      </w:r>
    </w:p>
    <w:p w14:paraId="22F39A10">
      <w:pPr>
        <w:pStyle w:val="18"/>
        <w:tabs>
          <w:tab w:val="right" w:leader="dot" w:pos="9241"/>
          <w:tab w:val="clear" w:pos="9060"/>
        </w:tabs>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HYPERLINK \l _Toc5222 </w:instrText>
      </w:r>
      <w:r>
        <w:rPr>
          <w:rFonts w:hint="eastAsia" w:asciiTheme="majorEastAsia" w:hAnsiTheme="majorEastAsia" w:eastAsiaTheme="majorEastAsia" w:cstheme="majorEastAsia"/>
          <w:sz w:val="24"/>
          <w:szCs w:val="24"/>
        </w:rPr>
        <w:fldChar w:fldCharType="separate"/>
      </w:r>
      <w:r>
        <w:rPr>
          <w:rFonts w:hint="eastAsia" w:asciiTheme="majorEastAsia" w:hAnsiTheme="majorEastAsia" w:eastAsiaTheme="majorEastAsia" w:cstheme="majorEastAsia"/>
          <w:sz w:val="24"/>
          <w:szCs w:val="24"/>
        </w:rPr>
        <w:t>三  报价文件格式</w:t>
      </w:r>
      <w:r>
        <w:rPr>
          <w:rFonts w:hint="eastAsia" w:asciiTheme="majorEastAsia" w:hAnsiTheme="majorEastAsia" w:eastAsiaTheme="majorEastAsia" w:cstheme="majorEastAsia"/>
          <w:sz w:val="24"/>
          <w:szCs w:val="24"/>
        </w:rPr>
        <w:tab/>
      </w: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PAGEREF _Toc5222 \h </w:instrText>
      </w:r>
      <w:r>
        <w:rPr>
          <w:rFonts w:hint="eastAsia" w:asciiTheme="majorEastAsia" w:hAnsiTheme="majorEastAsia" w:eastAsiaTheme="majorEastAsia" w:cstheme="majorEastAsia"/>
          <w:sz w:val="24"/>
          <w:szCs w:val="24"/>
        </w:rPr>
        <w:fldChar w:fldCharType="separate"/>
      </w:r>
      <w:r>
        <w:rPr>
          <w:rFonts w:hint="eastAsia" w:asciiTheme="majorEastAsia" w:hAnsiTheme="majorEastAsia" w:eastAsiaTheme="majorEastAsia" w:cstheme="majorEastAsia"/>
          <w:sz w:val="24"/>
          <w:szCs w:val="24"/>
        </w:rPr>
        <w:t>49</w:t>
      </w:r>
      <w:r>
        <w:rPr>
          <w:rFonts w:hint="eastAsia" w:asciiTheme="majorEastAsia" w:hAnsiTheme="majorEastAsia" w:eastAsiaTheme="majorEastAsia" w:cstheme="majorEastAsia"/>
          <w:sz w:val="24"/>
          <w:szCs w:val="24"/>
        </w:rPr>
        <w:fldChar w:fldCharType="end"/>
      </w:r>
      <w:r>
        <w:rPr>
          <w:rFonts w:hint="eastAsia" w:asciiTheme="majorEastAsia" w:hAnsiTheme="majorEastAsia" w:eastAsiaTheme="majorEastAsia" w:cstheme="majorEastAsia"/>
          <w:sz w:val="24"/>
          <w:szCs w:val="24"/>
        </w:rPr>
        <w:fldChar w:fldCharType="end"/>
      </w:r>
    </w:p>
    <w:p w14:paraId="73BAC0AF">
      <w:pPr>
        <w:pStyle w:val="18"/>
        <w:tabs>
          <w:tab w:val="right" w:leader="dot" w:pos="9241"/>
          <w:tab w:val="clear" w:pos="9060"/>
        </w:tabs>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HYPERLINK \l _Toc15639 </w:instrText>
      </w:r>
      <w:r>
        <w:rPr>
          <w:rFonts w:hint="eastAsia" w:asciiTheme="majorEastAsia" w:hAnsiTheme="majorEastAsia" w:eastAsiaTheme="majorEastAsia" w:cstheme="majorEastAsia"/>
          <w:sz w:val="24"/>
          <w:szCs w:val="24"/>
        </w:rPr>
        <w:fldChar w:fldCharType="separate"/>
      </w:r>
      <w:r>
        <w:rPr>
          <w:rFonts w:hint="eastAsia" w:asciiTheme="majorEastAsia" w:hAnsiTheme="majorEastAsia" w:eastAsiaTheme="majorEastAsia" w:cstheme="majorEastAsia"/>
          <w:bCs w:val="0"/>
          <w:sz w:val="24"/>
          <w:szCs w:val="24"/>
        </w:rPr>
        <w:t>四  成交人公告内容</w:t>
      </w:r>
      <w:r>
        <w:rPr>
          <w:rFonts w:hint="eastAsia" w:asciiTheme="majorEastAsia" w:hAnsiTheme="majorEastAsia" w:eastAsiaTheme="majorEastAsia" w:cstheme="majorEastAsia"/>
          <w:sz w:val="24"/>
          <w:szCs w:val="24"/>
        </w:rPr>
        <w:tab/>
      </w: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PAGEREF _Toc15639 \h </w:instrText>
      </w:r>
      <w:r>
        <w:rPr>
          <w:rFonts w:hint="eastAsia" w:asciiTheme="majorEastAsia" w:hAnsiTheme="majorEastAsia" w:eastAsiaTheme="majorEastAsia" w:cstheme="majorEastAsia"/>
          <w:sz w:val="24"/>
          <w:szCs w:val="24"/>
        </w:rPr>
        <w:fldChar w:fldCharType="separate"/>
      </w:r>
      <w:r>
        <w:rPr>
          <w:rFonts w:hint="eastAsia" w:asciiTheme="majorEastAsia" w:hAnsiTheme="majorEastAsia" w:eastAsiaTheme="majorEastAsia" w:cstheme="majorEastAsia"/>
          <w:sz w:val="24"/>
          <w:szCs w:val="24"/>
        </w:rPr>
        <w:t>53</w:t>
      </w:r>
      <w:r>
        <w:rPr>
          <w:rFonts w:hint="eastAsia" w:asciiTheme="majorEastAsia" w:hAnsiTheme="majorEastAsia" w:eastAsiaTheme="majorEastAsia" w:cstheme="majorEastAsia"/>
          <w:sz w:val="24"/>
          <w:szCs w:val="24"/>
        </w:rPr>
        <w:fldChar w:fldCharType="end"/>
      </w:r>
      <w:r>
        <w:rPr>
          <w:rFonts w:hint="eastAsia" w:asciiTheme="majorEastAsia" w:hAnsiTheme="majorEastAsia" w:eastAsiaTheme="majorEastAsia" w:cstheme="majorEastAsia"/>
          <w:sz w:val="24"/>
          <w:szCs w:val="24"/>
        </w:rPr>
        <w:fldChar w:fldCharType="end"/>
      </w:r>
    </w:p>
    <w:p w14:paraId="173DA3CC">
      <w:pPr>
        <w:pStyle w:val="18"/>
        <w:tabs>
          <w:tab w:val="right" w:leader="dot" w:pos="9241"/>
          <w:tab w:val="clear" w:pos="9060"/>
        </w:tabs>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HYPERLINK \l _Toc4981 </w:instrText>
      </w:r>
      <w:r>
        <w:rPr>
          <w:rFonts w:hint="eastAsia" w:asciiTheme="majorEastAsia" w:hAnsiTheme="majorEastAsia" w:eastAsiaTheme="majorEastAsia" w:cstheme="majorEastAsia"/>
          <w:sz w:val="24"/>
          <w:szCs w:val="24"/>
        </w:rPr>
        <w:fldChar w:fldCharType="separate"/>
      </w:r>
      <w:r>
        <w:rPr>
          <w:rFonts w:hint="eastAsia" w:asciiTheme="majorEastAsia" w:hAnsiTheme="majorEastAsia" w:eastAsiaTheme="majorEastAsia" w:cstheme="majorEastAsia"/>
          <w:bCs w:val="0"/>
          <w:sz w:val="24"/>
          <w:szCs w:val="24"/>
        </w:rPr>
        <w:t>五  政府采购活动现场确认声明书</w:t>
      </w:r>
      <w:r>
        <w:rPr>
          <w:rFonts w:hint="eastAsia" w:asciiTheme="majorEastAsia" w:hAnsiTheme="majorEastAsia" w:eastAsiaTheme="majorEastAsia" w:cstheme="majorEastAsia"/>
          <w:sz w:val="24"/>
          <w:szCs w:val="24"/>
        </w:rPr>
        <w:tab/>
      </w: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PAGEREF _Toc4981 \h </w:instrText>
      </w:r>
      <w:r>
        <w:rPr>
          <w:rFonts w:hint="eastAsia" w:asciiTheme="majorEastAsia" w:hAnsiTheme="majorEastAsia" w:eastAsiaTheme="majorEastAsia" w:cstheme="majorEastAsia"/>
          <w:sz w:val="24"/>
          <w:szCs w:val="24"/>
        </w:rPr>
        <w:fldChar w:fldCharType="separate"/>
      </w:r>
      <w:r>
        <w:rPr>
          <w:rFonts w:hint="eastAsia" w:asciiTheme="majorEastAsia" w:hAnsiTheme="majorEastAsia" w:eastAsiaTheme="majorEastAsia" w:cstheme="majorEastAsia"/>
          <w:sz w:val="24"/>
          <w:szCs w:val="24"/>
        </w:rPr>
        <w:t>54</w:t>
      </w:r>
      <w:r>
        <w:rPr>
          <w:rFonts w:hint="eastAsia" w:asciiTheme="majorEastAsia" w:hAnsiTheme="majorEastAsia" w:eastAsiaTheme="majorEastAsia" w:cstheme="majorEastAsia"/>
          <w:sz w:val="24"/>
          <w:szCs w:val="24"/>
        </w:rPr>
        <w:fldChar w:fldCharType="end"/>
      </w:r>
      <w:r>
        <w:rPr>
          <w:rFonts w:hint="eastAsia" w:asciiTheme="majorEastAsia" w:hAnsiTheme="majorEastAsia" w:eastAsiaTheme="majorEastAsia" w:cstheme="majorEastAsia"/>
          <w:sz w:val="24"/>
          <w:szCs w:val="24"/>
        </w:rPr>
        <w:fldChar w:fldCharType="end"/>
      </w:r>
    </w:p>
    <w:p w14:paraId="4B26D7AF">
      <w:pPr>
        <w:pStyle w:val="26"/>
        <w:tabs>
          <w:tab w:val="right" w:leader="dot" w:pos="9241"/>
        </w:tabs>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HYPERLINK \l _Toc24318 </w:instrText>
      </w:r>
      <w:r>
        <w:rPr>
          <w:rFonts w:hint="eastAsia" w:asciiTheme="majorEastAsia" w:hAnsiTheme="majorEastAsia" w:eastAsiaTheme="majorEastAsia" w:cstheme="majorEastAsia"/>
          <w:sz w:val="24"/>
          <w:szCs w:val="24"/>
        </w:rPr>
        <w:fldChar w:fldCharType="separate"/>
      </w:r>
      <w:r>
        <w:rPr>
          <w:rFonts w:hint="eastAsia" w:asciiTheme="majorEastAsia" w:hAnsiTheme="majorEastAsia" w:eastAsiaTheme="majorEastAsia" w:cstheme="majorEastAsia"/>
          <w:sz w:val="24"/>
          <w:szCs w:val="24"/>
        </w:rPr>
        <w:t>第六章</w:t>
      </w:r>
      <w:r>
        <w:rPr>
          <w:rFonts w:hint="eastAsia" w:asciiTheme="majorEastAsia" w:hAnsiTheme="majorEastAsia" w:eastAsiaTheme="majorEastAsia" w:cstheme="majorEastAsia"/>
          <w:sz w:val="24"/>
          <w:szCs w:val="24"/>
          <w:lang w:val="en-US" w:eastAsia="zh-CN"/>
        </w:rPr>
        <w:t xml:space="preserve">  </w:t>
      </w:r>
      <w:r>
        <w:rPr>
          <w:rFonts w:hint="eastAsia" w:asciiTheme="majorEastAsia" w:hAnsiTheme="majorEastAsia" w:eastAsiaTheme="majorEastAsia" w:cstheme="majorEastAsia"/>
          <w:sz w:val="24"/>
          <w:szCs w:val="24"/>
        </w:rPr>
        <w:t>磋商办法和细则</w:t>
      </w:r>
      <w:r>
        <w:rPr>
          <w:rFonts w:hint="eastAsia" w:asciiTheme="majorEastAsia" w:hAnsiTheme="majorEastAsia" w:eastAsiaTheme="majorEastAsia" w:cstheme="majorEastAsia"/>
          <w:sz w:val="24"/>
          <w:szCs w:val="24"/>
        </w:rPr>
        <w:tab/>
      </w: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PAGEREF _Toc24318 \h </w:instrText>
      </w:r>
      <w:r>
        <w:rPr>
          <w:rFonts w:hint="eastAsia" w:asciiTheme="majorEastAsia" w:hAnsiTheme="majorEastAsia" w:eastAsiaTheme="majorEastAsia" w:cstheme="majorEastAsia"/>
          <w:sz w:val="24"/>
          <w:szCs w:val="24"/>
        </w:rPr>
        <w:fldChar w:fldCharType="separate"/>
      </w:r>
      <w:r>
        <w:rPr>
          <w:rFonts w:hint="eastAsia" w:asciiTheme="majorEastAsia" w:hAnsiTheme="majorEastAsia" w:eastAsiaTheme="majorEastAsia" w:cstheme="majorEastAsia"/>
          <w:sz w:val="24"/>
          <w:szCs w:val="24"/>
        </w:rPr>
        <w:t>55</w:t>
      </w:r>
      <w:r>
        <w:rPr>
          <w:rFonts w:hint="eastAsia" w:asciiTheme="majorEastAsia" w:hAnsiTheme="majorEastAsia" w:eastAsiaTheme="majorEastAsia" w:cstheme="majorEastAsia"/>
          <w:sz w:val="24"/>
          <w:szCs w:val="24"/>
        </w:rPr>
        <w:fldChar w:fldCharType="end"/>
      </w:r>
      <w:r>
        <w:rPr>
          <w:rFonts w:hint="eastAsia" w:asciiTheme="majorEastAsia" w:hAnsiTheme="majorEastAsia" w:eastAsiaTheme="majorEastAsia" w:cstheme="majorEastAsia"/>
          <w:sz w:val="24"/>
          <w:szCs w:val="24"/>
        </w:rPr>
        <w:fldChar w:fldCharType="end"/>
      </w:r>
    </w:p>
    <w:p w14:paraId="77E6C6DD">
      <w:pPr>
        <w:pStyle w:val="18"/>
        <w:tabs>
          <w:tab w:val="right" w:leader="dot" w:pos="9241"/>
          <w:tab w:val="clear" w:pos="9060"/>
        </w:tabs>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HYPERLINK \l _Toc4268 </w:instrText>
      </w:r>
      <w:r>
        <w:rPr>
          <w:rFonts w:hint="eastAsia" w:asciiTheme="majorEastAsia" w:hAnsiTheme="majorEastAsia" w:eastAsiaTheme="majorEastAsia" w:cstheme="majorEastAsia"/>
          <w:sz w:val="24"/>
          <w:szCs w:val="24"/>
        </w:rPr>
        <w:fldChar w:fldCharType="separate"/>
      </w:r>
      <w:r>
        <w:rPr>
          <w:rFonts w:hint="eastAsia" w:asciiTheme="majorEastAsia" w:hAnsiTheme="majorEastAsia" w:eastAsiaTheme="majorEastAsia" w:cstheme="majorEastAsia"/>
          <w:sz w:val="24"/>
          <w:szCs w:val="24"/>
        </w:rPr>
        <w:t>一  总则</w:t>
      </w:r>
      <w:r>
        <w:rPr>
          <w:rFonts w:hint="eastAsia" w:asciiTheme="majorEastAsia" w:hAnsiTheme="majorEastAsia" w:eastAsiaTheme="majorEastAsia" w:cstheme="majorEastAsia"/>
          <w:sz w:val="24"/>
          <w:szCs w:val="24"/>
        </w:rPr>
        <w:tab/>
      </w: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PAGEREF _Toc4268 \h </w:instrText>
      </w:r>
      <w:r>
        <w:rPr>
          <w:rFonts w:hint="eastAsia" w:asciiTheme="majorEastAsia" w:hAnsiTheme="majorEastAsia" w:eastAsiaTheme="majorEastAsia" w:cstheme="majorEastAsia"/>
          <w:sz w:val="24"/>
          <w:szCs w:val="24"/>
        </w:rPr>
        <w:fldChar w:fldCharType="separate"/>
      </w:r>
      <w:r>
        <w:rPr>
          <w:rFonts w:hint="eastAsia" w:asciiTheme="majorEastAsia" w:hAnsiTheme="majorEastAsia" w:eastAsiaTheme="majorEastAsia" w:cstheme="majorEastAsia"/>
          <w:sz w:val="24"/>
          <w:szCs w:val="24"/>
        </w:rPr>
        <w:t>55</w:t>
      </w:r>
      <w:r>
        <w:rPr>
          <w:rFonts w:hint="eastAsia" w:asciiTheme="majorEastAsia" w:hAnsiTheme="majorEastAsia" w:eastAsiaTheme="majorEastAsia" w:cstheme="majorEastAsia"/>
          <w:sz w:val="24"/>
          <w:szCs w:val="24"/>
        </w:rPr>
        <w:fldChar w:fldCharType="end"/>
      </w:r>
      <w:r>
        <w:rPr>
          <w:rFonts w:hint="eastAsia" w:asciiTheme="majorEastAsia" w:hAnsiTheme="majorEastAsia" w:eastAsiaTheme="majorEastAsia" w:cstheme="majorEastAsia"/>
          <w:sz w:val="24"/>
          <w:szCs w:val="24"/>
        </w:rPr>
        <w:fldChar w:fldCharType="end"/>
      </w:r>
    </w:p>
    <w:p w14:paraId="18C8D6D2">
      <w:pPr>
        <w:pStyle w:val="18"/>
        <w:tabs>
          <w:tab w:val="right" w:leader="dot" w:pos="9241"/>
          <w:tab w:val="clear" w:pos="9060"/>
        </w:tabs>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HYPERLINK \l _Toc32309 </w:instrText>
      </w:r>
      <w:r>
        <w:rPr>
          <w:rFonts w:hint="eastAsia" w:asciiTheme="majorEastAsia" w:hAnsiTheme="majorEastAsia" w:eastAsiaTheme="majorEastAsia" w:cstheme="majorEastAsia"/>
          <w:sz w:val="24"/>
          <w:szCs w:val="24"/>
        </w:rPr>
        <w:fldChar w:fldCharType="separate"/>
      </w:r>
      <w:r>
        <w:rPr>
          <w:rFonts w:hint="eastAsia" w:asciiTheme="majorEastAsia" w:hAnsiTheme="majorEastAsia" w:eastAsiaTheme="majorEastAsia" w:cstheme="majorEastAsia"/>
          <w:sz w:val="24"/>
          <w:szCs w:val="24"/>
        </w:rPr>
        <w:t>二  磋商小组</w:t>
      </w:r>
      <w:r>
        <w:rPr>
          <w:rFonts w:hint="eastAsia" w:asciiTheme="majorEastAsia" w:hAnsiTheme="majorEastAsia" w:eastAsiaTheme="majorEastAsia" w:cstheme="majorEastAsia"/>
          <w:sz w:val="24"/>
          <w:szCs w:val="24"/>
        </w:rPr>
        <w:tab/>
      </w: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PAGEREF _Toc32309 \h </w:instrText>
      </w:r>
      <w:r>
        <w:rPr>
          <w:rFonts w:hint="eastAsia" w:asciiTheme="majorEastAsia" w:hAnsiTheme="majorEastAsia" w:eastAsiaTheme="majorEastAsia" w:cstheme="majorEastAsia"/>
          <w:sz w:val="24"/>
          <w:szCs w:val="24"/>
        </w:rPr>
        <w:fldChar w:fldCharType="separate"/>
      </w:r>
      <w:r>
        <w:rPr>
          <w:rFonts w:hint="eastAsia" w:asciiTheme="majorEastAsia" w:hAnsiTheme="majorEastAsia" w:eastAsiaTheme="majorEastAsia" w:cstheme="majorEastAsia"/>
          <w:sz w:val="24"/>
          <w:szCs w:val="24"/>
        </w:rPr>
        <w:t>55</w:t>
      </w:r>
      <w:r>
        <w:rPr>
          <w:rFonts w:hint="eastAsia" w:asciiTheme="majorEastAsia" w:hAnsiTheme="majorEastAsia" w:eastAsiaTheme="majorEastAsia" w:cstheme="majorEastAsia"/>
          <w:sz w:val="24"/>
          <w:szCs w:val="24"/>
        </w:rPr>
        <w:fldChar w:fldCharType="end"/>
      </w:r>
      <w:r>
        <w:rPr>
          <w:rFonts w:hint="eastAsia" w:asciiTheme="majorEastAsia" w:hAnsiTheme="majorEastAsia" w:eastAsiaTheme="majorEastAsia" w:cstheme="majorEastAsia"/>
          <w:sz w:val="24"/>
          <w:szCs w:val="24"/>
        </w:rPr>
        <w:fldChar w:fldCharType="end"/>
      </w:r>
    </w:p>
    <w:p w14:paraId="4D0531A4">
      <w:pPr>
        <w:pStyle w:val="18"/>
        <w:tabs>
          <w:tab w:val="right" w:leader="dot" w:pos="9241"/>
          <w:tab w:val="clear" w:pos="9060"/>
        </w:tabs>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HYPERLINK \l _Toc12171 </w:instrText>
      </w:r>
      <w:r>
        <w:rPr>
          <w:rFonts w:hint="eastAsia" w:asciiTheme="majorEastAsia" w:hAnsiTheme="majorEastAsia" w:eastAsiaTheme="majorEastAsia" w:cstheme="majorEastAsia"/>
          <w:sz w:val="24"/>
          <w:szCs w:val="24"/>
        </w:rPr>
        <w:fldChar w:fldCharType="separate"/>
      </w:r>
      <w:r>
        <w:rPr>
          <w:rFonts w:hint="eastAsia" w:asciiTheme="majorEastAsia" w:hAnsiTheme="majorEastAsia" w:eastAsiaTheme="majorEastAsia" w:cstheme="majorEastAsia"/>
          <w:sz w:val="24"/>
          <w:szCs w:val="24"/>
        </w:rPr>
        <w:t>三  磋商程序</w:t>
      </w:r>
      <w:r>
        <w:rPr>
          <w:rFonts w:hint="eastAsia" w:asciiTheme="majorEastAsia" w:hAnsiTheme="majorEastAsia" w:eastAsiaTheme="majorEastAsia" w:cstheme="majorEastAsia"/>
          <w:sz w:val="24"/>
          <w:szCs w:val="24"/>
        </w:rPr>
        <w:tab/>
      </w: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PAGEREF _Toc12171 \h </w:instrText>
      </w:r>
      <w:r>
        <w:rPr>
          <w:rFonts w:hint="eastAsia" w:asciiTheme="majorEastAsia" w:hAnsiTheme="majorEastAsia" w:eastAsiaTheme="majorEastAsia" w:cstheme="majorEastAsia"/>
          <w:sz w:val="24"/>
          <w:szCs w:val="24"/>
        </w:rPr>
        <w:fldChar w:fldCharType="separate"/>
      </w:r>
      <w:r>
        <w:rPr>
          <w:rFonts w:hint="eastAsia" w:asciiTheme="majorEastAsia" w:hAnsiTheme="majorEastAsia" w:eastAsiaTheme="majorEastAsia" w:cstheme="majorEastAsia"/>
          <w:sz w:val="24"/>
          <w:szCs w:val="24"/>
        </w:rPr>
        <w:t>55</w:t>
      </w:r>
      <w:r>
        <w:rPr>
          <w:rFonts w:hint="eastAsia" w:asciiTheme="majorEastAsia" w:hAnsiTheme="majorEastAsia" w:eastAsiaTheme="majorEastAsia" w:cstheme="majorEastAsia"/>
          <w:sz w:val="24"/>
          <w:szCs w:val="24"/>
        </w:rPr>
        <w:fldChar w:fldCharType="end"/>
      </w:r>
      <w:r>
        <w:rPr>
          <w:rFonts w:hint="eastAsia" w:asciiTheme="majorEastAsia" w:hAnsiTheme="majorEastAsia" w:eastAsiaTheme="majorEastAsia" w:cstheme="majorEastAsia"/>
          <w:sz w:val="24"/>
          <w:szCs w:val="24"/>
        </w:rPr>
        <w:fldChar w:fldCharType="end"/>
      </w:r>
    </w:p>
    <w:p w14:paraId="70C6DB9A">
      <w:pPr>
        <w:pStyle w:val="18"/>
        <w:tabs>
          <w:tab w:val="right" w:leader="dot" w:pos="9241"/>
          <w:tab w:val="clear" w:pos="9060"/>
        </w:tabs>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HYPERLINK \l _Toc26788 </w:instrText>
      </w:r>
      <w:r>
        <w:rPr>
          <w:rFonts w:hint="eastAsia" w:asciiTheme="majorEastAsia" w:hAnsiTheme="majorEastAsia" w:eastAsiaTheme="majorEastAsia" w:cstheme="majorEastAsia"/>
          <w:sz w:val="24"/>
          <w:szCs w:val="24"/>
        </w:rPr>
        <w:fldChar w:fldCharType="separate"/>
      </w:r>
      <w:r>
        <w:rPr>
          <w:rFonts w:hint="eastAsia" w:asciiTheme="majorEastAsia" w:hAnsiTheme="majorEastAsia" w:eastAsiaTheme="majorEastAsia" w:cstheme="majorEastAsia"/>
          <w:sz w:val="24"/>
          <w:szCs w:val="24"/>
        </w:rPr>
        <w:t>四  磋商内容及规定</w:t>
      </w:r>
      <w:r>
        <w:rPr>
          <w:rFonts w:hint="eastAsia" w:asciiTheme="majorEastAsia" w:hAnsiTheme="majorEastAsia" w:eastAsiaTheme="majorEastAsia" w:cstheme="majorEastAsia"/>
          <w:sz w:val="24"/>
          <w:szCs w:val="24"/>
        </w:rPr>
        <w:tab/>
      </w: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PAGEREF _Toc26788 \h </w:instrText>
      </w:r>
      <w:r>
        <w:rPr>
          <w:rFonts w:hint="eastAsia" w:asciiTheme="majorEastAsia" w:hAnsiTheme="majorEastAsia" w:eastAsiaTheme="majorEastAsia" w:cstheme="majorEastAsia"/>
          <w:sz w:val="24"/>
          <w:szCs w:val="24"/>
        </w:rPr>
        <w:fldChar w:fldCharType="separate"/>
      </w:r>
      <w:r>
        <w:rPr>
          <w:rFonts w:hint="eastAsia" w:asciiTheme="majorEastAsia" w:hAnsiTheme="majorEastAsia" w:eastAsiaTheme="majorEastAsia" w:cstheme="majorEastAsia"/>
          <w:sz w:val="24"/>
          <w:szCs w:val="24"/>
        </w:rPr>
        <w:t>58</w:t>
      </w:r>
      <w:r>
        <w:rPr>
          <w:rFonts w:hint="eastAsia" w:asciiTheme="majorEastAsia" w:hAnsiTheme="majorEastAsia" w:eastAsiaTheme="majorEastAsia" w:cstheme="majorEastAsia"/>
          <w:sz w:val="24"/>
          <w:szCs w:val="24"/>
        </w:rPr>
        <w:fldChar w:fldCharType="end"/>
      </w:r>
      <w:r>
        <w:rPr>
          <w:rFonts w:hint="eastAsia" w:asciiTheme="majorEastAsia" w:hAnsiTheme="majorEastAsia" w:eastAsiaTheme="majorEastAsia" w:cstheme="majorEastAsia"/>
          <w:sz w:val="24"/>
          <w:szCs w:val="24"/>
        </w:rPr>
        <w:fldChar w:fldCharType="end"/>
      </w:r>
    </w:p>
    <w:p w14:paraId="7B3BD0E3">
      <w:pPr>
        <w:pStyle w:val="18"/>
        <w:tabs>
          <w:tab w:val="right" w:leader="dot" w:pos="9241"/>
          <w:tab w:val="clear" w:pos="9060"/>
        </w:tabs>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HYPERLINK \l _Toc25914 </w:instrText>
      </w:r>
      <w:r>
        <w:rPr>
          <w:rFonts w:hint="eastAsia" w:asciiTheme="majorEastAsia" w:hAnsiTheme="majorEastAsia" w:eastAsiaTheme="majorEastAsia" w:cstheme="majorEastAsia"/>
          <w:sz w:val="24"/>
          <w:szCs w:val="24"/>
        </w:rPr>
        <w:fldChar w:fldCharType="separate"/>
      </w:r>
      <w:r>
        <w:rPr>
          <w:rFonts w:hint="eastAsia" w:asciiTheme="majorEastAsia" w:hAnsiTheme="majorEastAsia" w:eastAsiaTheme="majorEastAsia" w:cstheme="majorEastAsia"/>
          <w:sz w:val="24"/>
          <w:szCs w:val="24"/>
        </w:rPr>
        <w:t>五  评标办法和细则</w:t>
      </w:r>
      <w:r>
        <w:rPr>
          <w:rFonts w:hint="eastAsia" w:asciiTheme="majorEastAsia" w:hAnsiTheme="majorEastAsia" w:eastAsiaTheme="majorEastAsia" w:cstheme="majorEastAsia"/>
          <w:sz w:val="24"/>
          <w:szCs w:val="24"/>
        </w:rPr>
        <w:tab/>
      </w: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PAGEREF _Toc25914 \h </w:instrText>
      </w:r>
      <w:r>
        <w:rPr>
          <w:rFonts w:hint="eastAsia" w:asciiTheme="majorEastAsia" w:hAnsiTheme="majorEastAsia" w:eastAsiaTheme="majorEastAsia" w:cstheme="majorEastAsia"/>
          <w:sz w:val="24"/>
          <w:szCs w:val="24"/>
        </w:rPr>
        <w:fldChar w:fldCharType="separate"/>
      </w:r>
      <w:r>
        <w:rPr>
          <w:rFonts w:hint="eastAsia" w:asciiTheme="majorEastAsia" w:hAnsiTheme="majorEastAsia" w:eastAsiaTheme="majorEastAsia" w:cstheme="majorEastAsia"/>
          <w:sz w:val="24"/>
          <w:szCs w:val="24"/>
        </w:rPr>
        <w:t>58</w:t>
      </w:r>
      <w:r>
        <w:rPr>
          <w:rFonts w:hint="eastAsia" w:asciiTheme="majorEastAsia" w:hAnsiTheme="majorEastAsia" w:eastAsiaTheme="majorEastAsia" w:cstheme="majorEastAsia"/>
          <w:sz w:val="24"/>
          <w:szCs w:val="24"/>
        </w:rPr>
        <w:fldChar w:fldCharType="end"/>
      </w:r>
      <w:r>
        <w:rPr>
          <w:rFonts w:hint="eastAsia" w:asciiTheme="majorEastAsia" w:hAnsiTheme="majorEastAsia" w:eastAsiaTheme="majorEastAsia" w:cstheme="majorEastAsia"/>
          <w:sz w:val="24"/>
          <w:szCs w:val="24"/>
        </w:rPr>
        <w:fldChar w:fldCharType="end"/>
      </w:r>
    </w:p>
    <w:p w14:paraId="62C64B28">
      <w:pPr>
        <w:pStyle w:val="18"/>
        <w:tabs>
          <w:tab w:val="right" w:leader="dot" w:pos="9241"/>
          <w:tab w:val="clear" w:pos="9060"/>
        </w:tabs>
      </w:pP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HYPERLINK \l _Toc5758 </w:instrText>
      </w:r>
      <w:r>
        <w:rPr>
          <w:rFonts w:hint="eastAsia" w:asciiTheme="majorEastAsia" w:hAnsiTheme="majorEastAsia" w:eastAsiaTheme="majorEastAsia" w:cstheme="majorEastAsia"/>
          <w:sz w:val="24"/>
          <w:szCs w:val="24"/>
        </w:rPr>
        <w:fldChar w:fldCharType="separate"/>
      </w:r>
      <w:r>
        <w:rPr>
          <w:rFonts w:hint="eastAsia" w:asciiTheme="majorEastAsia" w:hAnsiTheme="majorEastAsia" w:eastAsiaTheme="majorEastAsia" w:cstheme="majorEastAsia"/>
          <w:sz w:val="24"/>
          <w:szCs w:val="24"/>
        </w:rPr>
        <w:t>六  磋商纪律和要求</w:t>
      </w:r>
      <w:r>
        <w:rPr>
          <w:rFonts w:hint="eastAsia" w:asciiTheme="majorEastAsia" w:hAnsiTheme="majorEastAsia" w:eastAsiaTheme="majorEastAsia" w:cstheme="majorEastAsia"/>
          <w:sz w:val="24"/>
          <w:szCs w:val="24"/>
        </w:rPr>
        <w:tab/>
      </w: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PAGEREF _Toc5758 \h </w:instrText>
      </w:r>
      <w:r>
        <w:rPr>
          <w:rFonts w:hint="eastAsia" w:asciiTheme="majorEastAsia" w:hAnsiTheme="majorEastAsia" w:eastAsiaTheme="majorEastAsia" w:cstheme="majorEastAsia"/>
          <w:sz w:val="24"/>
          <w:szCs w:val="24"/>
        </w:rPr>
        <w:fldChar w:fldCharType="separate"/>
      </w:r>
      <w:r>
        <w:rPr>
          <w:rFonts w:hint="eastAsia" w:asciiTheme="majorEastAsia" w:hAnsiTheme="majorEastAsia" w:eastAsiaTheme="majorEastAsia" w:cstheme="majorEastAsia"/>
          <w:sz w:val="24"/>
          <w:szCs w:val="24"/>
        </w:rPr>
        <w:t>60</w:t>
      </w:r>
      <w:r>
        <w:rPr>
          <w:rFonts w:hint="eastAsia" w:asciiTheme="majorEastAsia" w:hAnsiTheme="majorEastAsia" w:eastAsiaTheme="majorEastAsia" w:cstheme="majorEastAsia"/>
          <w:sz w:val="24"/>
          <w:szCs w:val="24"/>
        </w:rPr>
        <w:fldChar w:fldCharType="end"/>
      </w:r>
      <w:r>
        <w:rPr>
          <w:rFonts w:hint="eastAsia" w:asciiTheme="majorEastAsia" w:hAnsiTheme="majorEastAsia" w:eastAsiaTheme="majorEastAsia" w:cstheme="majorEastAsia"/>
          <w:sz w:val="24"/>
          <w:szCs w:val="24"/>
        </w:rPr>
        <w:fldChar w:fldCharType="end"/>
      </w:r>
    </w:p>
    <w:p w14:paraId="10722226">
      <w:pPr>
        <w:pStyle w:val="2"/>
        <w:ind w:left="0" w:leftChars="0" w:firstLine="0"/>
      </w:pPr>
      <w:r>
        <w:fldChar w:fldCharType="end"/>
      </w:r>
    </w:p>
    <w:p w14:paraId="06029C41">
      <w:pPr>
        <w:pStyle w:val="5"/>
        <w:keepNext w:val="0"/>
        <w:spacing w:line="240" w:lineRule="auto"/>
        <w:jc w:val="center"/>
        <w:rPr>
          <w:rFonts w:hint="eastAsia" w:ascii="宋体" w:hAnsi="宋体"/>
        </w:rPr>
      </w:pPr>
      <w:bookmarkStart w:id="85" w:name="_Toc145493459"/>
      <w:bookmarkStart w:id="86" w:name="_Toc662"/>
      <w:bookmarkStart w:id="87" w:name="_Toc4026"/>
      <w:bookmarkStart w:id="88" w:name="_Toc14149"/>
      <w:bookmarkStart w:id="89" w:name="_Toc17378"/>
      <w:bookmarkStart w:id="90" w:name="_Toc391969406"/>
      <w:bookmarkStart w:id="91" w:name="_Toc94277236"/>
      <w:bookmarkStart w:id="92" w:name="_Toc23579"/>
      <w:r>
        <w:rPr>
          <w:rFonts w:ascii="宋体" w:hAnsi="宋体"/>
        </w:rPr>
        <w:t>第一章  综合说明</w:t>
      </w:r>
      <w:bookmarkEnd w:id="85"/>
      <w:bookmarkEnd w:id="86"/>
      <w:bookmarkEnd w:id="87"/>
      <w:bookmarkEnd w:id="88"/>
      <w:bookmarkEnd w:id="89"/>
      <w:bookmarkEnd w:id="90"/>
      <w:bookmarkEnd w:id="91"/>
      <w:bookmarkEnd w:id="92"/>
    </w:p>
    <w:p w14:paraId="2D311FB7">
      <w:pPr>
        <w:pStyle w:val="7"/>
        <w:ind w:firstLine="600"/>
        <w:jc w:val="center"/>
        <w:rPr>
          <w:rFonts w:hint="eastAsia" w:ascii="宋体" w:hAnsi="宋体" w:cs="宋体"/>
          <w:b w:val="0"/>
        </w:rPr>
      </w:pPr>
      <w:bookmarkStart w:id="93" w:name="_Toc145493460"/>
      <w:bookmarkStart w:id="94" w:name="_Toc391969407"/>
      <w:bookmarkStart w:id="95" w:name="_Toc24161"/>
      <w:bookmarkStart w:id="96" w:name="_Toc19411"/>
      <w:bookmarkStart w:id="97" w:name="_Toc27134"/>
      <w:bookmarkStart w:id="98" w:name="_Toc26089"/>
      <w:bookmarkStart w:id="99" w:name="_Toc1353"/>
      <w:bookmarkStart w:id="100" w:name="_Toc12870"/>
      <w:bookmarkStart w:id="101" w:name="_Toc5681"/>
      <w:bookmarkStart w:id="102" w:name="_Toc17918"/>
      <w:bookmarkStart w:id="103" w:name="_Toc25140"/>
      <w:bookmarkStart w:id="104" w:name="_Toc24541"/>
      <w:bookmarkStart w:id="105" w:name="_Toc26264"/>
      <w:bookmarkStart w:id="106" w:name="_Toc19447"/>
      <w:bookmarkStart w:id="107" w:name="_Toc27881"/>
      <w:bookmarkStart w:id="108" w:name="_Toc18244"/>
      <w:bookmarkStart w:id="109" w:name="_Toc32427"/>
      <w:bookmarkStart w:id="110" w:name="_Toc10647"/>
      <w:bookmarkStart w:id="111" w:name="_Toc14740"/>
      <w:bookmarkStart w:id="112" w:name="_Toc25161"/>
      <w:r>
        <w:rPr>
          <w:rFonts w:hint="eastAsia" w:ascii="宋体" w:hAnsi="宋体" w:cs="宋体"/>
          <w:b w:val="0"/>
        </w:rPr>
        <w:t>一  竞争性磋商</w:t>
      </w:r>
      <w:bookmarkEnd w:id="93"/>
      <w:bookmarkEnd w:id="94"/>
      <w:r>
        <w:rPr>
          <w:rFonts w:hint="eastAsia" w:ascii="宋体" w:hAnsi="宋体" w:cs="宋体"/>
          <w:b w:val="0"/>
        </w:rPr>
        <w:t>公告</w:t>
      </w:r>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p>
    <w:p w14:paraId="509A6880">
      <w:pPr>
        <w:pBdr>
          <w:top w:val="single" w:color="auto" w:sz="4" w:space="1"/>
          <w:left w:val="single" w:color="auto" w:sz="4" w:space="4"/>
          <w:bottom w:val="single" w:color="auto" w:sz="4" w:space="0"/>
          <w:right w:val="single" w:color="auto" w:sz="4" w:space="2"/>
        </w:pBdr>
        <w:spacing w:line="360" w:lineRule="auto"/>
        <w:rPr>
          <w:rFonts w:hint="eastAsia" w:ascii="宋体" w:hAnsi="宋体" w:cs="仿宋_GB2312"/>
          <w:sz w:val="24"/>
        </w:rPr>
      </w:pPr>
      <w:bookmarkStart w:id="113" w:name="_Toc28359079"/>
      <w:bookmarkStart w:id="114" w:name="_Toc35393621"/>
      <w:bookmarkStart w:id="115" w:name="_Toc35393790"/>
      <w:bookmarkStart w:id="116" w:name="_Toc28359002"/>
      <w:bookmarkStart w:id="117" w:name="_Hlk24379207"/>
      <w:r>
        <w:rPr>
          <w:rFonts w:hint="eastAsia" w:ascii="宋体" w:hAnsi="宋体" w:cs="仿宋_GB2312"/>
          <w:sz w:val="24"/>
        </w:rPr>
        <w:t>项目概况：</w:t>
      </w:r>
    </w:p>
    <w:p w14:paraId="4EA7D91B">
      <w:pPr>
        <w:pBdr>
          <w:top w:val="single" w:color="auto" w:sz="4" w:space="1"/>
          <w:left w:val="single" w:color="auto" w:sz="4" w:space="4"/>
          <w:bottom w:val="single" w:color="auto" w:sz="4" w:space="0"/>
          <w:right w:val="single" w:color="auto" w:sz="4" w:space="2"/>
        </w:pBdr>
        <w:spacing w:line="360" w:lineRule="auto"/>
        <w:ind w:firstLine="482" w:firstLineChars="200"/>
        <w:rPr>
          <w:rFonts w:hint="eastAsia" w:ascii="宋体" w:hAnsi="宋体" w:cs="仿宋_GB2312"/>
          <w:sz w:val="24"/>
        </w:rPr>
      </w:pPr>
      <w:r>
        <w:rPr>
          <w:rFonts w:hint="eastAsia" w:ascii="宋体" w:hAnsi="宋体"/>
          <w:b/>
          <w:sz w:val="24"/>
          <w:u w:val="single"/>
          <w:lang w:eastAsia="zh-CN"/>
        </w:rPr>
        <w:t>丽水市经常化创建全国县级文明城市第三方无感评估项目</w:t>
      </w:r>
      <w:r>
        <w:rPr>
          <w:rFonts w:hint="eastAsia" w:ascii="宋体" w:hAnsi="宋体" w:cs="仿宋_GB2312"/>
          <w:sz w:val="24"/>
        </w:rPr>
        <w:t>的潜在供应商应</w:t>
      </w:r>
      <w:r>
        <w:rPr>
          <w:rFonts w:ascii="宋体" w:hAnsi="宋体" w:cs="仿宋_GB2312"/>
          <w:sz w:val="24"/>
        </w:rPr>
        <w:t>在浙江政府采购网（网址：</w:t>
      </w:r>
      <w:r>
        <w:fldChar w:fldCharType="begin"/>
      </w:r>
      <w:r>
        <w:instrText xml:space="preserve"> HYPERLINK "http://zfcg.czt.zj.gov.cn）、丽水市公共资源交易网（http://lssggzy.lishui.gov.cn/lsweb/）采购公告附件中自行获取（下载）采购文件，并于2022年" </w:instrText>
      </w:r>
      <w:r>
        <w:fldChar w:fldCharType="separate"/>
      </w:r>
      <w:r>
        <w:rPr>
          <w:rStyle w:val="39"/>
          <w:rFonts w:ascii="宋体" w:hAnsi="宋体" w:cs="仿宋_GB2312"/>
          <w:color w:val="auto"/>
          <w:sz w:val="24"/>
          <w:u w:val="none"/>
        </w:rPr>
        <w:t>http://zfcg.czt.zj.gov.cn）</w:t>
      </w:r>
      <w:r>
        <w:rPr>
          <w:rStyle w:val="39"/>
          <w:rFonts w:hint="eastAsia" w:ascii="宋体" w:hAnsi="宋体" w:cs="仿宋_GB2312"/>
          <w:color w:val="auto"/>
          <w:sz w:val="24"/>
          <w:u w:val="none"/>
        </w:rPr>
        <w:t>、</w:t>
      </w:r>
      <w:r>
        <w:rPr>
          <w:rFonts w:hint="eastAsia" w:ascii="宋体" w:hAnsi="宋体" w:cs="仿宋_GB2312"/>
          <w:sz w:val="24"/>
        </w:rPr>
        <w:t>丽水市公共资源交易网（http://lssggzy.lishui.gov.cn/）</w:t>
      </w:r>
      <w:r>
        <w:rPr>
          <w:rStyle w:val="39"/>
          <w:rFonts w:hint="eastAsia" w:ascii="宋体" w:hAnsi="宋体" w:cs="仿宋_GB2312"/>
          <w:color w:val="auto"/>
          <w:sz w:val="24"/>
          <w:u w:val="none"/>
        </w:rPr>
        <w:t>采购公告附件中自行</w:t>
      </w:r>
      <w:r>
        <w:rPr>
          <w:rStyle w:val="39"/>
          <w:rFonts w:ascii="宋体" w:hAnsi="宋体" w:cs="仿宋_GB2312"/>
          <w:color w:val="auto"/>
          <w:sz w:val="24"/>
          <w:u w:val="none"/>
        </w:rPr>
        <w:t>获取（下载）采购文件，并于202</w:t>
      </w:r>
      <w:r>
        <w:rPr>
          <w:rStyle w:val="39"/>
          <w:rFonts w:hint="eastAsia" w:ascii="宋体" w:hAnsi="宋体" w:cs="仿宋_GB2312"/>
          <w:color w:val="auto"/>
          <w:sz w:val="24"/>
          <w:u w:val="none"/>
        </w:rPr>
        <w:t>5</w:t>
      </w:r>
      <w:r>
        <w:rPr>
          <w:rStyle w:val="39"/>
          <w:rFonts w:ascii="宋体" w:hAnsi="宋体" w:cs="仿宋_GB2312"/>
          <w:color w:val="auto"/>
          <w:sz w:val="24"/>
          <w:u w:val="none"/>
        </w:rPr>
        <w:t>年</w:t>
      </w:r>
      <w:r>
        <w:rPr>
          <w:rStyle w:val="39"/>
          <w:rFonts w:ascii="宋体" w:hAnsi="宋体" w:cs="仿宋_GB2312"/>
          <w:color w:val="auto"/>
          <w:sz w:val="24"/>
          <w:u w:val="none"/>
        </w:rPr>
        <w:fldChar w:fldCharType="end"/>
      </w:r>
      <w:r>
        <w:rPr>
          <w:rFonts w:hint="eastAsia" w:ascii="宋体" w:hAnsi="宋体" w:cs="仿宋_GB2312"/>
          <w:sz w:val="24"/>
          <w:lang w:val="en-US" w:eastAsia="zh-CN"/>
        </w:rPr>
        <w:t>07</w:t>
      </w:r>
      <w:r>
        <w:rPr>
          <w:rFonts w:ascii="宋体" w:hAnsi="宋体" w:cs="仿宋_GB2312"/>
          <w:sz w:val="24"/>
        </w:rPr>
        <w:t>月</w:t>
      </w:r>
      <w:r>
        <w:rPr>
          <w:rFonts w:hint="eastAsia" w:ascii="宋体" w:hAnsi="宋体" w:cs="仿宋_GB2312"/>
          <w:sz w:val="24"/>
          <w:lang w:val="en-US" w:eastAsia="zh-CN"/>
        </w:rPr>
        <w:t>07</w:t>
      </w:r>
      <w:r>
        <w:rPr>
          <w:rFonts w:ascii="宋体" w:hAnsi="宋体" w:cs="仿宋_GB2312"/>
          <w:sz w:val="24"/>
        </w:rPr>
        <w:t>日</w:t>
      </w:r>
      <w:r>
        <w:rPr>
          <w:rFonts w:hint="eastAsia" w:ascii="宋体" w:hAnsi="宋体" w:cs="仿宋_GB2312"/>
          <w:sz w:val="24"/>
          <w:lang w:val="en-US" w:eastAsia="zh-CN"/>
        </w:rPr>
        <w:t>15</w:t>
      </w:r>
      <w:r>
        <w:rPr>
          <w:rFonts w:ascii="宋体" w:hAnsi="宋体" w:cs="仿宋_GB2312"/>
          <w:sz w:val="24"/>
        </w:rPr>
        <w:t>:</w:t>
      </w:r>
      <w:r>
        <w:rPr>
          <w:rFonts w:hint="eastAsia" w:ascii="宋体" w:hAnsi="宋体" w:cs="仿宋_GB2312"/>
          <w:sz w:val="24"/>
        </w:rPr>
        <w:t>00</w:t>
      </w:r>
      <w:r>
        <w:rPr>
          <w:rFonts w:ascii="宋体" w:hAnsi="宋体" w:cs="仿宋_GB2312"/>
          <w:sz w:val="24"/>
        </w:rPr>
        <w:t>（北京时间）前提交（上传）响应文件。</w:t>
      </w:r>
    </w:p>
    <w:p w14:paraId="1840BC26">
      <w:pPr>
        <w:spacing w:line="360" w:lineRule="auto"/>
        <w:jc w:val="left"/>
        <w:rPr>
          <w:rFonts w:hint="eastAsia" w:ascii="宋体" w:hAnsi="宋体" w:cs="仿宋_GB2312"/>
          <w:b/>
          <w:sz w:val="24"/>
        </w:rPr>
      </w:pPr>
      <w:r>
        <w:rPr>
          <w:rFonts w:hint="eastAsia" w:ascii="宋体" w:hAnsi="宋体" w:cs="仿宋_GB2312"/>
          <w:b/>
          <w:sz w:val="24"/>
        </w:rPr>
        <w:t>一、项目基本情况</w:t>
      </w:r>
      <w:bookmarkEnd w:id="113"/>
      <w:bookmarkEnd w:id="114"/>
      <w:bookmarkEnd w:id="115"/>
      <w:bookmarkEnd w:id="116"/>
    </w:p>
    <w:bookmarkEnd w:id="117"/>
    <w:p w14:paraId="067EC165">
      <w:pPr>
        <w:spacing w:line="360" w:lineRule="auto"/>
        <w:ind w:firstLine="480" w:firstLineChars="200"/>
        <w:rPr>
          <w:rFonts w:hint="eastAsia" w:ascii="宋体" w:hAnsi="宋体" w:cs="仿宋_GB2312"/>
          <w:sz w:val="24"/>
        </w:rPr>
      </w:pPr>
      <w:r>
        <w:rPr>
          <w:rFonts w:hint="eastAsia" w:ascii="宋体" w:hAnsi="宋体" w:cs="仿宋_GB2312"/>
          <w:sz w:val="24"/>
        </w:rPr>
        <w:t>项目编号：卓正丽磋商2025-10</w:t>
      </w:r>
      <w:r>
        <w:rPr>
          <w:rFonts w:hint="eastAsia" w:ascii="宋体" w:hAnsi="宋体" w:cs="仿宋_GB2312"/>
          <w:sz w:val="24"/>
          <w:lang w:val="en-US" w:eastAsia="zh-CN"/>
        </w:rPr>
        <w:t>75</w:t>
      </w:r>
      <w:r>
        <w:rPr>
          <w:rFonts w:hint="eastAsia" w:ascii="宋体" w:hAnsi="宋体" w:cs="仿宋_GB2312"/>
          <w:sz w:val="24"/>
        </w:rPr>
        <w:t>号</w:t>
      </w:r>
    </w:p>
    <w:p w14:paraId="47CDED06">
      <w:pPr>
        <w:spacing w:line="360" w:lineRule="auto"/>
        <w:ind w:left="1679" w:leftChars="228" w:hanging="1200" w:hangingChars="500"/>
        <w:rPr>
          <w:rFonts w:hint="eastAsia" w:ascii="宋体" w:hAnsi="宋体" w:eastAsia="宋体" w:cs="仿宋_GB2312"/>
          <w:sz w:val="24"/>
          <w:lang w:eastAsia="zh-CN"/>
        </w:rPr>
      </w:pPr>
      <w:r>
        <w:rPr>
          <w:rFonts w:hint="eastAsia" w:ascii="宋体" w:hAnsi="宋体" w:cs="仿宋_GB2312"/>
          <w:sz w:val="24"/>
        </w:rPr>
        <w:t>项目名称：</w:t>
      </w:r>
      <w:r>
        <w:rPr>
          <w:rFonts w:hint="eastAsia" w:ascii="宋体" w:hAnsi="宋体" w:cs="仿宋_GB2312"/>
          <w:sz w:val="24"/>
          <w:lang w:eastAsia="zh-CN"/>
        </w:rPr>
        <w:t>丽水市经常化创建全国县级文明城市第三方无感评估项目</w:t>
      </w:r>
    </w:p>
    <w:p w14:paraId="420AD4E6">
      <w:pPr>
        <w:spacing w:line="360" w:lineRule="auto"/>
        <w:ind w:firstLine="480" w:firstLineChars="200"/>
        <w:rPr>
          <w:rFonts w:hint="eastAsia" w:ascii="宋体" w:hAnsi="宋体" w:cs="仿宋_GB2312"/>
          <w:sz w:val="24"/>
        </w:rPr>
      </w:pPr>
      <w:r>
        <w:rPr>
          <w:rFonts w:ascii="宋体" w:hAnsi="宋体" w:cs="仿宋_GB2312"/>
          <w:sz w:val="24"/>
        </w:rPr>
        <w:t>采购方式：竞争性磋商</w:t>
      </w:r>
    </w:p>
    <w:p w14:paraId="34964D9A">
      <w:pPr>
        <w:spacing w:line="360" w:lineRule="auto"/>
        <w:ind w:firstLine="480" w:firstLineChars="200"/>
        <w:rPr>
          <w:rFonts w:hint="eastAsia" w:ascii="宋体" w:hAnsi="宋体"/>
          <w:sz w:val="24"/>
        </w:rPr>
      </w:pPr>
      <w:r>
        <w:rPr>
          <w:rFonts w:hint="eastAsia" w:ascii="宋体" w:hAnsi="宋体"/>
          <w:sz w:val="24"/>
        </w:rPr>
        <w:t>组织形式：分散采购</w:t>
      </w:r>
    </w:p>
    <w:p w14:paraId="4B83C271">
      <w:pPr>
        <w:spacing w:line="360" w:lineRule="auto"/>
        <w:ind w:firstLine="480" w:firstLineChars="200"/>
        <w:rPr>
          <w:rFonts w:ascii="宋体" w:hAnsi="宋体" w:cs="仿宋_GB2312"/>
          <w:color w:val="auto"/>
          <w:sz w:val="24"/>
          <w:highlight w:val="none"/>
        </w:rPr>
      </w:pPr>
      <w:r>
        <w:rPr>
          <w:rFonts w:hint="eastAsia" w:ascii="宋体" w:hAnsi="宋体" w:cs="仿宋_GB2312"/>
          <w:color w:val="auto"/>
          <w:sz w:val="24"/>
          <w:highlight w:val="none"/>
        </w:rPr>
        <w:t>预算</w:t>
      </w:r>
      <w:r>
        <w:rPr>
          <w:rFonts w:ascii="宋体" w:hAnsi="宋体" w:cs="仿宋_GB2312"/>
          <w:color w:val="auto"/>
          <w:sz w:val="24"/>
          <w:highlight w:val="none"/>
        </w:rPr>
        <w:t>金额</w:t>
      </w:r>
      <w:r>
        <w:rPr>
          <w:rFonts w:hint="eastAsia" w:ascii="宋体" w:hAnsi="宋体" w:cs="仿宋_GB2312"/>
          <w:color w:val="auto"/>
          <w:sz w:val="24"/>
          <w:highlight w:val="none"/>
        </w:rPr>
        <w:t>（元）</w:t>
      </w:r>
      <w:r>
        <w:rPr>
          <w:rFonts w:ascii="宋体" w:hAnsi="宋体" w:cs="仿宋_GB2312"/>
          <w:color w:val="auto"/>
          <w:sz w:val="24"/>
          <w:highlight w:val="none"/>
        </w:rPr>
        <w:t>：</w:t>
      </w:r>
      <w:r>
        <w:rPr>
          <w:rFonts w:hint="eastAsia" w:ascii="宋体" w:hAnsi="宋体" w:cs="仿宋_GB2312"/>
          <w:color w:val="auto"/>
          <w:sz w:val="24"/>
          <w:highlight w:val="none"/>
          <w:lang w:val="en-US" w:eastAsia="zh-CN"/>
        </w:rPr>
        <w:t>200</w:t>
      </w:r>
      <w:r>
        <w:rPr>
          <w:rFonts w:hint="eastAsia" w:ascii="宋体" w:hAnsi="宋体" w:cs="仿宋_GB2312"/>
          <w:color w:val="auto"/>
          <w:sz w:val="24"/>
          <w:highlight w:val="none"/>
        </w:rPr>
        <w:t xml:space="preserve">000  </w:t>
      </w:r>
    </w:p>
    <w:p w14:paraId="709D8991">
      <w:pPr>
        <w:spacing w:line="360" w:lineRule="auto"/>
        <w:ind w:firstLine="480" w:firstLineChars="200"/>
        <w:rPr>
          <w:rFonts w:hint="default" w:ascii="宋体" w:hAnsi="宋体" w:eastAsia="宋体"/>
          <w:bCs/>
          <w:snapToGrid w:val="0"/>
          <w:color w:val="auto"/>
          <w:sz w:val="24"/>
          <w:highlight w:val="none"/>
          <w:lang w:val="en-US" w:eastAsia="zh-CN"/>
        </w:rPr>
      </w:pPr>
      <w:r>
        <w:rPr>
          <w:rFonts w:hint="eastAsia" w:ascii="宋体" w:hAnsi="宋体" w:cs="仿宋_GB2312"/>
          <w:color w:val="auto"/>
          <w:sz w:val="24"/>
          <w:highlight w:val="none"/>
        </w:rPr>
        <w:t>最高限价（元）</w:t>
      </w:r>
      <w:r>
        <w:rPr>
          <w:rFonts w:ascii="宋体" w:hAnsi="宋体" w:cs="仿宋_GB2312"/>
          <w:color w:val="auto"/>
          <w:sz w:val="24"/>
          <w:highlight w:val="none"/>
        </w:rPr>
        <w:t>：</w:t>
      </w:r>
      <w:r>
        <w:rPr>
          <w:rFonts w:hint="eastAsia" w:ascii="宋体" w:hAnsi="宋体" w:cs="仿宋_GB2312"/>
          <w:color w:val="auto"/>
          <w:sz w:val="24"/>
          <w:highlight w:val="none"/>
          <w:lang w:val="en-US" w:eastAsia="zh-CN"/>
        </w:rPr>
        <w:t>200</w:t>
      </w:r>
      <w:r>
        <w:rPr>
          <w:rFonts w:hint="eastAsia" w:ascii="宋体" w:hAnsi="宋体" w:cs="仿宋_GB2312"/>
          <w:color w:val="auto"/>
          <w:sz w:val="24"/>
          <w:highlight w:val="none"/>
        </w:rPr>
        <w:t xml:space="preserve">000 </w:t>
      </w:r>
    </w:p>
    <w:p w14:paraId="5A682938">
      <w:pPr>
        <w:spacing w:line="360" w:lineRule="auto"/>
        <w:ind w:firstLine="480" w:firstLineChars="200"/>
        <w:rPr>
          <w:rFonts w:ascii="宋体" w:hAnsi="宋体" w:cs="仿宋_GB2312"/>
          <w:color w:val="auto"/>
          <w:sz w:val="24"/>
          <w:highlight w:val="none"/>
        </w:rPr>
      </w:pPr>
      <w:r>
        <w:rPr>
          <w:rFonts w:hint="eastAsia" w:ascii="宋体" w:hAnsi="宋体" w:cs="仿宋_GB2312"/>
          <w:color w:val="auto"/>
          <w:sz w:val="24"/>
          <w:highlight w:val="none"/>
        </w:rPr>
        <w:t>数量</w:t>
      </w:r>
      <w:r>
        <w:rPr>
          <w:rFonts w:ascii="宋体" w:hAnsi="宋体" w:cs="仿宋_GB2312"/>
          <w:color w:val="auto"/>
          <w:sz w:val="24"/>
          <w:highlight w:val="none"/>
        </w:rPr>
        <w:t>：</w:t>
      </w:r>
      <w:r>
        <w:rPr>
          <w:rFonts w:hint="eastAsia" w:ascii="宋体" w:hAnsi="宋体" w:cs="仿宋_GB2312"/>
          <w:color w:val="auto"/>
          <w:sz w:val="24"/>
          <w:highlight w:val="none"/>
        </w:rPr>
        <w:t>1</w:t>
      </w:r>
    </w:p>
    <w:p w14:paraId="64A4970A">
      <w:pPr>
        <w:spacing w:line="360" w:lineRule="auto"/>
        <w:ind w:firstLine="480" w:firstLineChars="200"/>
        <w:rPr>
          <w:rFonts w:hint="eastAsia" w:ascii="宋体" w:hAnsi="宋体" w:eastAsia="宋体" w:cs="仿宋_GB2312"/>
          <w:color w:val="auto"/>
          <w:sz w:val="24"/>
          <w:highlight w:val="none"/>
          <w:lang w:eastAsia="zh-CN"/>
        </w:rPr>
      </w:pPr>
      <w:r>
        <w:rPr>
          <w:rFonts w:hint="eastAsia" w:ascii="宋体" w:hAnsi="宋体" w:cs="仿宋_GB2312"/>
          <w:color w:val="auto"/>
          <w:sz w:val="24"/>
          <w:highlight w:val="none"/>
        </w:rPr>
        <w:t>单位</w:t>
      </w:r>
      <w:r>
        <w:rPr>
          <w:rFonts w:ascii="宋体" w:hAnsi="宋体" w:cs="仿宋_GB2312"/>
          <w:color w:val="auto"/>
          <w:sz w:val="24"/>
          <w:highlight w:val="none"/>
        </w:rPr>
        <w:t>：</w:t>
      </w:r>
      <w:r>
        <w:rPr>
          <w:rFonts w:hint="eastAsia" w:ascii="宋体" w:hAnsi="宋体" w:cs="仿宋_GB2312"/>
          <w:color w:val="auto"/>
          <w:sz w:val="24"/>
          <w:highlight w:val="none"/>
          <w:lang w:val="en-US" w:eastAsia="zh-CN"/>
        </w:rPr>
        <w:t>项</w:t>
      </w:r>
    </w:p>
    <w:p w14:paraId="4ADF7FD3">
      <w:pPr>
        <w:spacing w:line="360" w:lineRule="auto"/>
        <w:ind w:firstLine="480" w:firstLineChars="200"/>
        <w:rPr>
          <w:rFonts w:ascii="宋体" w:hAnsi="宋体" w:cs="仿宋_GB2312"/>
          <w:color w:val="auto"/>
          <w:sz w:val="24"/>
          <w:highlight w:val="none"/>
        </w:rPr>
      </w:pPr>
      <w:r>
        <w:rPr>
          <w:rFonts w:hint="eastAsia" w:ascii="宋体" w:hAnsi="宋体" w:cs="仿宋_GB2312"/>
          <w:color w:val="auto"/>
          <w:sz w:val="24"/>
          <w:highlight w:val="none"/>
        </w:rPr>
        <w:t>简要规格描述：见第三章采购需求</w:t>
      </w:r>
    </w:p>
    <w:p w14:paraId="40A4F9AB">
      <w:pPr>
        <w:spacing w:line="360" w:lineRule="auto"/>
        <w:ind w:firstLine="480" w:firstLineChars="200"/>
        <w:rPr>
          <w:rFonts w:ascii="宋体" w:hAnsi="宋体" w:cs="仿宋_GB2312"/>
          <w:color w:val="auto"/>
          <w:sz w:val="24"/>
          <w:highlight w:val="none"/>
        </w:rPr>
      </w:pPr>
      <w:r>
        <w:rPr>
          <w:rFonts w:hint="eastAsia" w:ascii="宋体" w:hAnsi="宋体" w:cs="仿宋_GB2312"/>
          <w:color w:val="auto"/>
          <w:sz w:val="24"/>
          <w:highlight w:val="none"/>
        </w:rPr>
        <w:t>备注</w:t>
      </w:r>
      <w:r>
        <w:rPr>
          <w:rFonts w:ascii="宋体" w:hAnsi="宋体" w:cs="仿宋_GB2312"/>
          <w:color w:val="auto"/>
          <w:sz w:val="24"/>
          <w:highlight w:val="none"/>
        </w:rPr>
        <w:t>：</w:t>
      </w:r>
      <w:r>
        <w:rPr>
          <w:rFonts w:hint="eastAsia" w:ascii="宋体" w:hAnsi="宋体" w:cs="仿宋_GB2312"/>
          <w:color w:val="auto"/>
          <w:sz w:val="24"/>
          <w:highlight w:val="none"/>
        </w:rPr>
        <w:t>无</w:t>
      </w:r>
    </w:p>
    <w:p w14:paraId="733C326D">
      <w:pPr>
        <w:spacing w:line="360" w:lineRule="auto"/>
        <w:ind w:firstLine="480" w:firstLineChars="200"/>
        <w:rPr>
          <w:rFonts w:ascii="宋体" w:hAnsi="宋体" w:cs="仿宋_GB2312"/>
          <w:color w:val="auto"/>
          <w:sz w:val="24"/>
          <w:highlight w:val="none"/>
        </w:rPr>
      </w:pPr>
      <w:r>
        <w:rPr>
          <w:rFonts w:hint="eastAsia" w:ascii="宋体" w:hAnsi="宋体" w:cs="仿宋_GB2312"/>
          <w:color w:val="auto"/>
          <w:sz w:val="24"/>
          <w:highlight w:val="none"/>
        </w:rPr>
        <w:t>合同履行期限：见</w:t>
      </w:r>
      <w:r>
        <w:rPr>
          <w:rFonts w:hint="eastAsia" w:ascii="宋体" w:hAnsi="宋体" w:cs="仿宋_GB2312"/>
          <w:color w:val="auto"/>
          <w:sz w:val="24"/>
          <w:highlight w:val="none"/>
          <w:lang w:val="en-US" w:eastAsia="zh-CN"/>
        </w:rPr>
        <w:t>磋商</w:t>
      </w:r>
      <w:r>
        <w:rPr>
          <w:rFonts w:ascii="宋体" w:hAnsi="宋体" w:cs="仿宋_GB2312"/>
          <w:color w:val="auto"/>
          <w:sz w:val="24"/>
          <w:highlight w:val="none"/>
        </w:rPr>
        <w:t>文件第</w:t>
      </w:r>
      <w:r>
        <w:rPr>
          <w:rFonts w:hint="eastAsia" w:ascii="宋体" w:hAnsi="宋体" w:cs="仿宋_GB2312"/>
          <w:color w:val="auto"/>
          <w:sz w:val="24"/>
          <w:highlight w:val="none"/>
        </w:rPr>
        <w:t>三</w:t>
      </w:r>
      <w:r>
        <w:rPr>
          <w:rFonts w:ascii="宋体" w:hAnsi="宋体" w:cs="仿宋_GB2312"/>
          <w:color w:val="auto"/>
          <w:sz w:val="24"/>
          <w:highlight w:val="none"/>
        </w:rPr>
        <w:t>章</w:t>
      </w:r>
    </w:p>
    <w:p w14:paraId="78FAA580">
      <w:pPr>
        <w:spacing w:line="360" w:lineRule="auto"/>
        <w:ind w:firstLine="480"/>
        <w:rPr>
          <w:rFonts w:hint="eastAsia" w:ascii="宋体" w:hAnsi="宋体" w:eastAsia="宋体"/>
          <w:b/>
          <w:bCs/>
          <w:sz w:val="24"/>
          <w:lang w:eastAsia="zh-CN"/>
        </w:rPr>
      </w:pPr>
      <w:r>
        <w:rPr>
          <w:rFonts w:hint="eastAsia" w:ascii="宋体" w:hAnsi="宋体" w:cs="仿宋_GB2312"/>
          <w:color w:val="auto"/>
          <w:sz w:val="24"/>
          <w:highlight w:val="none"/>
        </w:rPr>
        <w:t>本项目</w:t>
      </w:r>
      <w:r>
        <w:rPr>
          <w:rFonts w:hint="eastAsia" w:ascii="宋体" w:hAnsi="宋体" w:cs="仿宋_GB2312"/>
          <w:color w:val="auto"/>
          <w:sz w:val="24"/>
          <w:highlight w:val="none"/>
          <w:lang w:val="en-US" w:eastAsia="zh-CN"/>
        </w:rPr>
        <w:t>不</w:t>
      </w:r>
      <w:r>
        <w:rPr>
          <w:rFonts w:hint="eastAsia" w:ascii="宋体" w:hAnsi="宋体" w:cs="仿宋_GB2312"/>
          <w:color w:val="auto"/>
          <w:sz w:val="24"/>
          <w:highlight w:val="none"/>
        </w:rPr>
        <w:t>接受联合体</w:t>
      </w:r>
      <w:r>
        <w:rPr>
          <w:rFonts w:hint="eastAsia" w:ascii="宋体" w:hAnsi="宋体" w:cs="仿宋_GB2312"/>
          <w:color w:val="auto"/>
          <w:sz w:val="24"/>
          <w:highlight w:val="none"/>
          <w:lang w:val="en-US" w:eastAsia="zh-CN"/>
        </w:rPr>
        <w:t>磋商</w:t>
      </w:r>
    </w:p>
    <w:p w14:paraId="42AC112B">
      <w:pPr>
        <w:spacing w:line="360" w:lineRule="auto"/>
        <w:jc w:val="left"/>
        <w:rPr>
          <w:rFonts w:hint="eastAsia" w:ascii="宋体" w:hAnsi="宋体" w:cs="仿宋_GB2312"/>
          <w:b/>
          <w:sz w:val="24"/>
        </w:rPr>
      </w:pPr>
      <w:r>
        <w:rPr>
          <w:rFonts w:hint="eastAsia" w:ascii="宋体" w:hAnsi="宋体" w:cs="仿宋_GB2312"/>
          <w:b/>
          <w:sz w:val="24"/>
        </w:rPr>
        <w:t>二、申请人的资格要求</w:t>
      </w:r>
    </w:p>
    <w:p w14:paraId="1137D970">
      <w:pPr>
        <w:numPr>
          <w:ilvl w:val="0"/>
          <w:numId w:val="0"/>
        </w:numPr>
        <w:spacing w:line="360" w:lineRule="auto"/>
        <w:ind w:firstLine="480" w:firstLineChars="200"/>
        <w:jc w:val="left"/>
        <w:rPr>
          <w:rFonts w:hint="eastAsia" w:ascii="宋体" w:hAnsi="宋体" w:cs="仿宋_GB2312"/>
          <w:b/>
          <w:sz w:val="24"/>
        </w:rPr>
      </w:pPr>
      <w:bookmarkStart w:id="118" w:name="_Toc28359081"/>
      <w:bookmarkStart w:id="119" w:name="_Toc35393623"/>
      <w:bookmarkStart w:id="120" w:name="_Toc35393792"/>
      <w:bookmarkStart w:id="121" w:name="_Toc28359004"/>
      <w:r>
        <w:rPr>
          <w:rFonts w:hint="eastAsia" w:ascii="宋体" w:hAnsi="宋体" w:eastAsia="宋体" w:cs="仿宋_GB2312"/>
          <w:color w:val="auto"/>
          <w:kern w:val="2"/>
          <w:sz w:val="24"/>
          <w:szCs w:val="24"/>
          <w:highlight w:val="none"/>
          <w:lang w:val="en-US" w:eastAsia="zh-CN" w:bidi="ar-SA"/>
        </w:rPr>
        <w:t>1.满足《中华人民共和国政府采购法》第二十二条规定；未被</w:t>
      </w:r>
      <w:r>
        <w:rPr>
          <w:rFonts w:hint="eastAsia" w:ascii="宋体" w:hAnsi="宋体" w:eastAsia="宋体" w:cs="宋体"/>
          <w:sz w:val="24"/>
          <w:highlight w:val="none"/>
        </w:rPr>
        <w:t>信用中国网（</w:t>
      </w:r>
      <w:r>
        <w:rPr>
          <w:rFonts w:hint="eastAsia" w:ascii="宋体" w:hAnsi="宋体" w:eastAsia="宋体" w:cs="宋体"/>
          <w:sz w:val="24"/>
          <w:highlight w:val="none"/>
          <w:u w:val="single"/>
        </w:rPr>
        <w:t>www.creditchina.gov.cn</w:t>
      </w:r>
      <w:r>
        <w:rPr>
          <w:rFonts w:hint="eastAsia" w:ascii="宋体" w:hAnsi="宋体" w:eastAsia="宋体" w:cs="宋体"/>
          <w:sz w:val="24"/>
          <w:highlight w:val="none"/>
        </w:rPr>
        <w:t>）、中国政府采购网（</w:t>
      </w:r>
      <w:r>
        <w:rPr>
          <w:rFonts w:hint="eastAsia" w:ascii="宋体" w:hAnsi="宋体" w:eastAsia="宋体" w:cs="宋体"/>
          <w:sz w:val="24"/>
          <w:highlight w:val="none"/>
          <w:u w:val="single"/>
        </w:rPr>
        <w:t>www.ccgp.gov.cn</w:t>
      </w:r>
      <w:r>
        <w:rPr>
          <w:rFonts w:hint="eastAsia" w:ascii="宋体" w:hAnsi="宋体" w:eastAsia="宋体" w:cs="宋体"/>
          <w:sz w:val="24"/>
          <w:highlight w:val="none"/>
        </w:rPr>
        <w:t>）列入失信被执行人、</w:t>
      </w:r>
      <w:r>
        <w:rPr>
          <w:rFonts w:hint="eastAsia" w:ascii="宋体" w:hAnsi="宋体" w:eastAsia="宋体" w:cs="宋体"/>
          <w:sz w:val="24"/>
          <w:highlight w:val="none"/>
          <w:lang w:val="en-US" w:eastAsia="zh-CN"/>
        </w:rPr>
        <w:t>重大</w:t>
      </w:r>
      <w:r>
        <w:rPr>
          <w:rFonts w:hint="eastAsia" w:ascii="宋体" w:hAnsi="宋体" w:eastAsia="宋体" w:cs="宋体"/>
          <w:sz w:val="24"/>
          <w:highlight w:val="none"/>
          <w:lang w:eastAsia="zh-CN"/>
        </w:rPr>
        <w:t>税收违法失信主体</w:t>
      </w:r>
      <w:r>
        <w:rPr>
          <w:rFonts w:hint="eastAsia" w:ascii="宋体" w:hAnsi="宋体" w:eastAsia="宋体" w:cs="宋体"/>
          <w:sz w:val="24"/>
          <w:highlight w:val="none"/>
        </w:rPr>
        <w:t>、政府采购严重违法失信行为记录名单</w:t>
      </w:r>
      <w:r>
        <w:rPr>
          <w:rFonts w:hint="eastAsia" w:ascii="宋体" w:hAnsi="宋体" w:eastAsia="宋体" w:cs="仿宋_GB2312"/>
          <w:color w:val="auto"/>
          <w:kern w:val="2"/>
          <w:sz w:val="24"/>
          <w:szCs w:val="24"/>
          <w:highlight w:val="none"/>
          <w:lang w:val="en-US" w:eastAsia="zh-CN" w:bidi="ar-SA"/>
        </w:rPr>
        <w:t>。</w:t>
      </w:r>
      <w:r>
        <w:rPr>
          <w:rFonts w:hint="eastAsia" w:ascii="宋体" w:hAnsi="宋体" w:cs="仿宋_GB2312"/>
          <w:b/>
          <w:color w:val="auto"/>
          <w:sz w:val="24"/>
          <w:highlight w:val="none"/>
        </w:rPr>
        <w:t>（注：本项内容由代理机构在资格审查现场完成查询）</w:t>
      </w:r>
    </w:p>
    <w:bookmarkEnd w:id="118"/>
    <w:bookmarkEnd w:id="119"/>
    <w:bookmarkEnd w:id="120"/>
    <w:bookmarkEnd w:id="121"/>
    <w:p w14:paraId="6777A22A">
      <w:pPr>
        <w:spacing w:line="360" w:lineRule="auto"/>
        <w:ind w:firstLine="480" w:firstLineChars="200"/>
        <w:rPr>
          <w:rFonts w:hint="eastAsia" w:ascii="宋体" w:hAnsi="宋体" w:cs="仿宋_GB2312"/>
          <w:b/>
          <w:sz w:val="24"/>
        </w:rPr>
      </w:pPr>
      <w:r>
        <w:rPr>
          <w:rFonts w:ascii="宋体" w:hAnsi="宋体" w:cs="仿宋_GB2312"/>
          <w:sz w:val="24"/>
        </w:rPr>
        <w:t>2.落实政府采购政策需满足的资格要求：</w:t>
      </w:r>
      <w:r>
        <w:rPr>
          <w:rFonts w:hint="eastAsia" w:ascii="宋体" w:hAnsi="宋体" w:cs="仿宋_GB2312"/>
          <w:b/>
          <w:sz w:val="24"/>
        </w:rPr>
        <w:t>供应商为中小企业/小微企业。</w:t>
      </w:r>
    </w:p>
    <w:p w14:paraId="739505D6">
      <w:pPr>
        <w:spacing w:line="360" w:lineRule="auto"/>
        <w:ind w:firstLine="480" w:firstLineChars="200"/>
        <w:rPr>
          <w:rFonts w:hint="eastAsia" w:ascii="宋体" w:hAnsi="宋体" w:cs="仿宋_GB2312"/>
          <w:sz w:val="24"/>
        </w:rPr>
      </w:pPr>
      <w:r>
        <w:rPr>
          <w:rFonts w:ascii="宋体" w:hAnsi="宋体" w:cs="仿宋_GB2312"/>
          <w:sz w:val="24"/>
        </w:rPr>
        <w:t>3.本项目的特定资格要求：</w:t>
      </w:r>
      <w:r>
        <w:rPr>
          <w:rFonts w:hint="eastAsia" w:ascii="宋体" w:hAnsi="宋体" w:cs="仿宋_GB2312"/>
          <w:b/>
          <w:bCs/>
          <w:sz w:val="24"/>
        </w:rPr>
        <w:t>无</w:t>
      </w:r>
    </w:p>
    <w:p w14:paraId="370DE81E">
      <w:pPr>
        <w:spacing w:line="360" w:lineRule="auto"/>
        <w:jc w:val="left"/>
        <w:rPr>
          <w:rFonts w:hint="eastAsia" w:ascii="宋体" w:hAnsi="宋体" w:cs="仿宋_GB2312"/>
          <w:b/>
          <w:sz w:val="24"/>
        </w:rPr>
      </w:pPr>
      <w:r>
        <w:rPr>
          <w:rFonts w:hint="eastAsia" w:ascii="宋体" w:hAnsi="宋体" w:cs="仿宋_GB2312"/>
          <w:b/>
          <w:sz w:val="24"/>
        </w:rPr>
        <w:t>三、获取（下载）采购文件</w:t>
      </w:r>
    </w:p>
    <w:p w14:paraId="2B8E86AA">
      <w:pPr>
        <w:spacing w:line="360" w:lineRule="auto"/>
        <w:ind w:firstLine="480" w:firstLineChars="200"/>
        <w:rPr>
          <w:rFonts w:hint="eastAsia" w:ascii="宋体" w:hAnsi="宋体" w:cs="仿宋_GB2312"/>
          <w:sz w:val="24"/>
        </w:rPr>
      </w:pPr>
      <w:r>
        <w:rPr>
          <w:rFonts w:hint="eastAsia" w:ascii="宋体" w:hAnsi="宋体" w:cs="仿宋_GB2312"/>
          <w:sz w:val="24"/>
        </w:rPr>
        <w:t>1</w:t>
      </w:r>
      <w:r>
        <w:rPr>
          <w:rFonts w:hint="eastAsia" w:ascii="宋体" w:hAnsi="宋体"/>
          <w:sz w:val="24"/>
        </w:rPr>
        <w:t>.</w:t>
      </w:r>
      <w:r>
        <w:rPr>
          <w:rFonts w:hint="eastAsia" w:ascii="宋体" w:hAnsi="宋体" w:cs="仿宋_GB2312"/>
          <w:b/>
          <w:sz w:val="24"/>
        </w:rPr>
        <w:t>时间：</w:t>
      </w:r>
      <w:r>
        <w:rPr>
          <w:rFonts w:hint="eastAsia" w:ascii="宋体" w:hAnsi="宋体" w:cs="仿宋_GB2312"/>
          <w:sz w:val="24"/>
        </w:rPr>
        <w:t>发布</w:t>
      </w:r>
      <w:r>
        <w:rPr>
          <w:rFonts w:ascii="宋体" w:hAnsi="宋体" w:cs="仿宋_GB2312"/>
          <w:sz w:val="24"/>
        </w:rPr>
        <w:t>公告</w:t>
      </w:r>
      <w:r>
        <w:rPr>
          <w:rFonts w:hint="eastAsia" w:ascii="宋体" w:hAnsi="宋体" w:cs="仿宋_GB2312"/>
          <w:sz w:val="24"/>
        </w:rPr>
        <w:t>之日至</w:t>
      </w:r>
      <w:r>
        <w:rPr>
          <w:rFonts w:ascii="宋体" w:hAnsi="宋体"/>
          <w:bCs/>
          <w:snapToGrid w:val="0"/>
          <w:sz w:val="24"/>
          <w:u w:val="single"/>
        </w:rPr>
        <w:t>202</w:t>
      </w:r>
      <w:r>
        <w:rPr>
          <w:rFonts w:hint="eastAsia" w:ascii="宋体" w:hAnsi="宋体"/>
          <w:bCs/>
          <w:snapToGrid w:val="0"/>
          <w:sz w:val="24"/>
          <w:u w:val="single"/>
        </w:rPr>
        <w:t>5</w:t>
      </w:r>
      <w:r>
        <w:rPr>
          <w:rFonts w:ascii="宋体" w:hAnsi="宋体"/>
          <w:bCs/>
          <w:snapToGrid w:val="0"/>
          <w:sz w:val="24"/>
          <w:u w:val="single"/>
        </w:rPr>
        <w:t>年</w:t>
      </w:r>
      <w:r>
        <w:rPr>
          <w:rFonts w:hint="eastAsia" w:ascii="宋体" w:hAnsi="宋体"/>
          <w:bCs/>
          <w:snapToGrid w:val="0"/>
          <w:sz w:val="24"/>
          <w:u w:val="single"/>
          <w:lang w:val="en-US" w:eastAsia="zh-CN"/>
        </w:rPr>
        <w:t>07</w:t>
      </w:r>
      <w:r>
        <w:rPr>
          <w:rFonts w:ascii="宋体" w:hAnsi="宋体"/>
          <w:bCs/>
          <w:snapToGrid w:val="0"/>
          <w:sz w:val="24"/>
          <w:u w:val="single"/>
        </w:rPr>
        <w:t>月</w:t>
      </w:r>
      <w:r>
        <w:rPr>
          <w:rFonts w:hint="eastAsia" w:ascii="宋体" w:hAnsi="宋体"/>
          <w:bCs/>
          <w:snapToGrid w:val="0"/>
          <w:sz w:val="24"/>
          <w:u w:val="single"/>
          <w:lang w:val="en-US" w:eastAsia="zh-CN"/>
        </w:rPr>
        <w:t>07</w:t>
      </w:r>
      <w:r>
        <w:rPr>
          <w:rFonts w:ascii="宋体" w:hAnsi="宋体"/>
          <w:bCs/>
          <w:snapToGrid w:val="0"/>
          <w:sz w:val="24"/>
          <w:u w:val="single"/>
        </w:rPr>
        <w:t>日</w:t>
      </w:r>
      <w:r>
        <w:rPr>
          <w:rFonts w:hint="eastAsia" w:ascii="宋体" w:hAnsi="宋体"/>
          <w:bCs/>
          <w:snapToGrid w:val="0"/>
          <w:sz w:val="24"/>
          <w:u w:val="single"/>
          <w:lang w:val="en-US" w:eastAsia="zh-CN"/>
        </w:rPr>
        <w:t>15</w:t>
      </w:r>
      <w:r>
        <w:rPr>
          <w:rFonts w:ascii="宋体" w:hAnsi="宋体"/>
          <w:bCs/>
          <w:snapToGrid w:val="0"/>
          <w:sz w:val="24"/>
          <w:u w:val="single"/>
        </w:rPr>
        <w:t>:</w:t>
      </w:r>
      <w:r>
        <w:rPr>
          <w:rFonts w:hint="eastAsia" w:ascii="宋体" w:hAnsi="宋体"/>
          <w:bCs/>
          <w:snapToGrid w:val="0"/>
          <w:sz w:val="24"/>
          <w:u w:val="single"/>
        </w:rPr>
        <w:t>0</w:t>
      </w:r>
      <w:r>
        <w:rPr>
          <w:rFonts w:ascii="宋体" w:hAnsi="宋体"/>
          <w:bCs/>
          <w:snapToGrid w:val="0"/>
          <w:sz w:val="24"/>
          <w:u w:val="single"/>
        </w:rPr>
        <w:t>0</w:t>
      </w:r>
      <w:r>
        <w:rPr>
          <w:rFonts w:hint="eastAsia" w:ascii="宋体" w:hAnsi="宋体" w:cs="仿宋_GB2312"/>
          <w:sz w:val="24"/>
        </w:rPr>
        <w:t>，每天上午00:00至12:00，下午12:00至23:59（北京时间，线上获取法定节假日均可，线下获取文件法定节假日除外）</w:t>
      </w:r>
    </w:p>
    <w:p w14:paraId="15D0F157">
      <w:pPr>
        <w:spacing w:line="360" w:lineRule="auto"/>
        <w:ind w:firstLine="480" w:firstLineChars="200"/>
        <w:rPr>
          <w:rFonts w:hint="eastAsia" w:ascii="宋体" w:hAnsi="宋体" w:cs="仿宋_GB2312"/>
          <w:sz w:val="24"/>
        </w:rPr>
      </w:pPr>
      <w:r>
        <w:rPr>
          <w:rFonts w:hint="eastAsia" w:ascii="宋体" w:hAnsi="宋体" w:cs="仿宋_GB2312"/>
          <w:sz w:val="24"/>
        </w:rPr>
        <w:t>2</w:t>
      </w:r>
      <w:r>
        <w:rPr>
          <w:rFonts w:hint="eastAsia" w:ascii="宋体" w:hAnsi="宋体"/>
          <w:sz w:val="24"/>
        </w:rPr>
        <w:t>.</w:t>
      </w:r>
      <w:r>
        <w:rPr>
          <w:rFonts w:hint="eastAsia" w:ascii="宋体" w:hAnsi="宋体" w:cs="仿宋_GB2312"/>
          <w:b/>
          <w:sz w:val="24"/>
        </w:rPr>
        <w:t>地点（网址）</w:t>
      </w:r>
      <w:r>
        <w:rPr>
          <w:rFonts w:hint="eastAsia" w:ascii="宋体" w:hAnsi="宋体" w:cs="仿宋_GB2312"/>
          <w:sz w:val="24"/>
        </w:rPr>
        <w:t>：浙江政府采购网（</w:t>
      </w:r>
      <w:r>
        <w:fldChar w:fldCharType="begin"/>
      </w:r>
      <w:r>
        <w:instrText xml:space="preserve"> HYPERLINK "http://zfcg.czt.zj.gov.cn" </w:instrText>
      </w:r>
      <w:r>
        <w:fldChar w:fldCharType="separate"/>
      </w:r>
      <w:r>
        <w:rPr>
          <w:rStyle w:val="39"/>
          <w:rFonts w:ascii="宋体" w:hAnsi="宋体"/>
          <w:color w:val="auto"/>
          <w:sz w:val="24"/>
        </w:rPr>
        <w:t>http://</w:t>
      </w:r>
      <w:r>
        <w:rPr>
          <w:rStyle w:val="39"/>
          <w:rFonts w:hint="eastAsia" w:ascii="宋体" w:hAnsi="宋体"/>
          <w:color w:val="auto"/>
          <w:sz w:val="24"/>
        </w:rPr>
        <w:t>zfcg.czt.zj.gov.cn</w:t>
      </w:r>
      <w:r>
        <w:rPr>
          <w:rStyle w:val="39"/>
          <w:rFonts w:hint="eastAsia" w:ascii="宋体" w:hAnsi="宋体"/>
          <w:color w:val="auto"/>
          <w:sz w:val="24"/>
        </w:rPr>
        <w:fldChar w:fldCharType="end"/>
      </w:r>
      <w:r>
        <w:rPr>
          <w:rFonts w:hint="eastAsia" w:ascii="宋体" w:hAnsi="宋体" w:cs="仿宋_GB2312"/>
          <w:sz w:val="24"/>
        </w:rPr>
        <w:t>）,丽水市公共资源交易网（http://lssggzy.lishui.gov.cn/）公告附件</w:t>
      </w:r>
    </w:p>
    <w:p w14:paraId="0BC75852">
      <w:pPr>
        <w:spacing w:line="360" w:lineRule="auto"/>
        <w:ind w:firstLine="480" w:firstLineChars="200"/>
        <w:rPr>
          <w:rFonts w:hint="eastAsia" w:ascii="宋体" w:hAnsi="宋体" w:cs="仿宋_GB2312"/>
          <w:bCs/>
          <w:sz w:val="24"/>
        </w:rPr>
      </w:pPr>
      <w:r>
        <w:rPr>
          <w:rFonts w:hint="eastAsia" w:ascii="宋体" w:hAnsi="宋体" w:cs="仿宋_GB2312"/>
          <w:bCs/>
          <w:sz w:val="24"/>
        </w:rPr>
        <w:t>3.</w:t>
      </w:r>
      <w:r>
        <w:rPr>
          <w:rFonts w:hint="eastAsia" w:ascii="宋体" w:hAnsi="宋体" w:cs="仿宋_GB2312"/>
          <w:b/>
          <w:bCs/>
          <w:sz w:val="24"/>
        </w:rPr>
        <w:t>方式</w:t>
      </w:r>
      <w:r>
        <w:rPr>
          <w:rFonts w:hint="eastAsia" w:ascii="宋体" w:hAnsi="宋体" w:cs="仿宋_GB2312"/>
          <w:bCs/>
          <w:sz w:val="24"/>
        </w:rPr>
        <w:t>：线上获取；</w:t>
      </w:r>
    </w:p>
    <w:p w14:paraId="799400BA">
      <w:pPr>
        <w:spacing w:line="360" w:lineRule="auto"/>
        <w:ind w:firstLine="480" w:firstLineChars="200"/>
        <w:rPr>
          <w:rFonts w:hint="eastAsia" w:ascii="宋体" w:hAnsi="宋体" w:cs="仿宋_GB2312"/>
          <w:bCs/>
          <w:sz w:val="24"/>
        </w:rPr>
      </w:pPr>
      <w:r>
        <w:rPr>
          <w:rFonts w:hint="eastAsia" w:ascii="宋体" w:hAnsi="宋体" w:cs="仿宋_GB2312"/>
          <w:bCs/>
          <w:sz w:val="24"/>
        </w:rPr>
        <w:t>（1）潜在供应商完成“政府采购云平台”账号注册后，通过浙江政府采购网公告下方“潜在供应商获取采购文件”跳转登陆或直接登陆“政府采购云平台”（账号或短信验证码或CA方式登录），依次进入「项目采购」-「获取采购文件」-「申请获取采购文件」后在线登记、获取采购文件；</w:t>
      </w:r>
    </w:p>
    <w:p w14:paraId="3DECCF97">
      <w:pPr>
        <w:spacing w:line="360" w:lineRule="auto"/>
        <w:ind w:firstLine="480" w:firstLineChars="200"/>
        <w:rPr>
          <w:rFonts w:hint="eastAsia" w:ascii="宋体" w:hAnsi="宋体" w:cs="仿宋_GB2312"/>
          <w:b/>
          <w:bCs/>
          <w:sz w:val="24"/>
        </w:rPr>
      </w:pPr>
      <w:r>
        <w:rPr>
          <w:rFonts w:hint="eastAsia" w:ascii="宋体" w:hAnsi="宋体" w:cs="仿宋_GB2312"/>
          <w:bCs/>
          <w:sz w:val="24"/>
        </w:rPr>
        <w:t>（2）浙江政府采购网采购公告下方“游客浏览采购文件”内公告的采购文件仅供社会公众查阅使用，</w:t>
      </w:r>
      <w:r>
        <w:rPr>
          <w:rFonts w:hint="eastAsia" w:ascii="宋体" w:hAnsi="宋体" w:cs="仿宋_GB2312"/>
          <w:b/>
          <w:bCs/>
          <w:sz w:val="24"/>
        </w:rPr>
        <w:t>潜在供应商只有通过“政府采购云平台”在线登记并获取了采购文件后才被视作“获取采购文件”</w:t>
      </w:r>
      <w:r>
        <w:rPr>
          <w:rFonts w:hint="eastAsia" w:ascii="宋体" w:hAnsi="宋体" w:cs="仿宋_GB2312"/>
          <w:bCs/>
          <w:sz w:val="24"/>
        </w:rPr>
        <w:t>。法律法规所指的供应商获取采购文件时间以供应商通过“政府采购云平台”在线下载获取采购文件的时间为准。</w:t>
      </w:r>
      <w:r>
        <w:rPr>
          <w:rFonts w:hint="eastAsia" w:ascii="宋体" w:hAnsi="宋体" w:cs="仿宋_GB2312"/>
          <w:b/>
          <w:bCs/>
          <w:sz w:val="24"/>
        </w:rPr>
        <w:t>未按规定获取采购文件的供应商，对采购文件提起的质疑、投诉将不予受理。</w:t>
      </w:r>
    </w:p>
    <w:p w14:paraId="40E49C9C">
      <w:pPr>
        <w:spacing w:line="360" w:lineRule="auto"/>
        <w:ind w:firstLine="480" w:firstLineChars="200"/>
        <w:rPr>
          <w:rFonts w:hint="eastAsia" w:ascii="宋体" w:hAnsi="宋体" w:cs="仿宋_GB2312"/>
          <w:sz w:val="24"/>
        </w:rPr>
      </w:pPr>
      <w:r>
        <w:rPr>
          <w:rFonts w:hint="eastAsia" w:ascii="宋体" w:hAnsi="宋体" w:cs="仿宋_GB2312"/>
          <w:sz w:val="24"/>
        </w:rPr>
        <w:t>4</w:t>
      </w:r>
      <w:r>
        <w:rPr>
          <w:rFonts w:hint="eastAsia" w:ascii="宋体" w:hAnsi="宋体"/>
          <w:sz w:val="24"/>
        </w:rPr>
        <w:t>.</w:t>
      </w:r>
      <w:r>
        <w:rPr>
          <w:rFonts w:hint="eastAsia" w:ascii="宋体" w:hAnsi="宋体" w:cs="仿宋_GB2312"/>
          <w:b/>
          <w:sz w:val="24"/>
        </w:rPr>
        <w:t>售价</w:t>
      </w:r>
      <w:r>
        <w:rPr>
          <w:rFonts w:hint="eastAsia" w:ascii="宋体" w:hAnsi="宋体" w:cs="仿宋_GB2312"/>
          <w:sz w:val="24"/>
        </w:rPr>
        <w:t>：0元</w:t>
      </w:r>
    </w:p>
    <w:p w14:paraId="1D58F4D3">
      <w:pPr>
        <w:spacing w:line="360" w:lineRule="auto"/>
        <w:rPr>
          <w:rFonts w:hint="eastAsia" w:ascii="宋体" w:hAnsi="宋体" w:cs="仿宋_GB2312"/>
          <w:b/>
          <w:sz w:val="24"/>
        </w:rPr>
      </w:pPr>
      <w:bookmarkStart w:id="122" w:name="_Toc28359084"/>
      <w:bookmarkStart w:id="123" w:name="_Toc35393794"/>
      <w:bookmarkStart w:id="124" w:name="_Toc35393625"/>
      <w:bookmarkStart w:id="125" w:name="_Toc28359007"/>
      <w:r>
        <w:rPr>
          <w:rFonts w:hint="eastAsia" w:ascii="宋体" w:hAnsi="宋体" w:cs="仿宋_GB2312"/>
          <w:b/>
          <w:sz w:val="24"/>
        </w:rPr>
        <w:t>四、响应文件提交（上传）</w:t>
      </w:r>
    </w:p>
    <w:p w14:paraId="78B5088F">
      <w:pPr>
        <w:spacing w:line="360" w:lineRule="auto"/>
        <w:ind w:firstLine="480" w:firstLineChars="200"/>
        <w:rPr>
          <w:rFonts w:hint="eastAsia" w:ascii="宋体" w:hAnsi="宋体" w:cs="仿宋_GB2312"/>
          <w:bCs/>
          <w:sz w:val="24"/>
          <w:u w:val="single"/>
        </w:rPr>
      </w:pPr>
      <w:r>
        <w:rPr>
          <w:rFonts w:hint="eastAsia" w:ascii="宋体" w:hAnsi="宋体" w:cs="仿宋_GB2312"/>
          <w:bCs/>
          <w:sz w:val="24"/>
        </w:rPr>
        <w:t>1</w:t>
      </w:r>
      <w:r>
        <w:rPr>
          <w:rFonts w:hint="eastAsia" w:ascii="宋体" w:hAnsi="宋体"/>
          <w:sz w:val="24"/>
        </w:rPr>
        <w:t>.</w:t>
      </w:r>
      <w:r>
        <w:rPr>
          <w:rFonts w:hint="eastAsia" w:ascii="宋体" w:hAnsi="宋体" w:cs="仿宋_GB2312"/>
          <w:bCs/>
          <w:sz w:val="24"/>
        </w:rPr>
        <w:t>截止时间：</w:t>
      </w:r>
      <w:r>
        <w:rPr>
          <w:rFonts w:ascii="宋体" w:hAnsi="宋体"/>
          <w:bCs/>
          <w:snapToGrid w:val="0"/>
          <w:sz w:val="24"/>
          <w:u w:val="single"/>
        </w:rPr>
        <w:t>202</w:t>
      </w:r>
      <w:r>
        <w:rPr>
          <w:rFonts w:hint="eastAsia" w:ascii="宋体" w:hAnsi="宋体"/>
          <w:bCs/>
          <w:snapToGrid w:val="0"/>
          <w:sz w:val="24"/>
          <w:u w:val="single"/>
        </w:rPr>
        <w:t>5</w:t>
      </w:r>
      <w:r>
        <w:rPr>
          <w:rFonts w:ascii="宋体" w:hAnsi="宋体"/>
          <w:bCs/>
          <w:snapToGrid w:val="0"/>
          <w:sz w:val="24"/>
          <w:u w:val="single"/>
        </w:rPr>
        <w:t>年</w:t>
      </w:r>
      <w:r>
        <w:rPr>
          <w:rFonts w:hint="eastAsia" w:ascii="宋体" w:hAnsi="宋体"/>
          <w:bCs/>
          <w:snapToGrid w:val="0"/>
          <w:sz w:val="24"/>
          <w:u w:val="single"/>
          <w:lang w:val="en-US" w:eastAsia="zh-CN"/>
        </w:rPr>
        <w:t>07</w:t>
      </w:r>
      <w:r>
        <w:rPr>
          <w:rFonts w:ascii="宋体" w:hAnsi="宋体"/>
          <w:bCs/>
          <w:snapToGrid w:val="0"/>
          <w:sz w:val="24"/>
          <w:u w:val="single"/>
        </w:rPr>
        <w:t>月</w:t>
      </w:r>
      <w:r>
        <w:rPr>
          <w:rFonts w:hint="eastAsia" w:ascii="宋体" w:hAnsi="宋体"/>
          <w:bCs/>
          <w:snapToGrid w:val="0"/>
          <w:sz w:val="24"/>
          <w:u w:val="single"/>
          <w:lang w:val="en-US" w:eastAsia="zh-CN"/>
        </w:rPr>
        <w:t>07</w:t>
      </w:r>
      <w:r>
        <w:rPr>
          <w:rFonts w:ascii="宋体" w:hAnsi="宋体"/>
          <w:bCs/>
          <w:snapToGrid w:val="0"/>
          <w:sz w:val="24"/>
          <w:u w:val="single"/>
        </w:rPr>
        <w:t>日</w:t>
      </w:r>
      <w:r>
        <w:rPr>
          <w:rFonts w:hint="eastAsia" w:ascii="宋体" w:hAnsi="宋体"/>
          <w:bCs/>
          <w:snapToGrid w:val="0"/>
          <w:sz w:val="24"/>
          <w:u w:val="single"/>
          <w:lang w:val="en-US" w:eastAsia="zh-CN"/>
        </w:rPr>
        <w:t>15</w:t>
      </w:r>
      <w:r>
        <w:rPr>
          <w:rFonts w:ascii="宋体" w:hAnsi="宋体"/>
          <w:bCs/>
          <w:snapToGrid w:val="0"/>
          <w:sz w:val="24"/>
          <w:u w:val="single"/>
        </w:rPr>
        <w:t>:</w:t>
      </w:r>
      <w:r>
        <w:rPr>
          <w:rFonts w:hint="eastAsia" w:ascii="宋体" w:hAnsi="宋体"/>
          <w:bCs/>
          <w:snapToGrid w:val="0"/>
          <w:sz w:val="24"/>
          <w:u w:val="single"/>
        </w:rPr>
        <w:t>0</w:t>
      </w:r>
      <w:r>
        <w:rPr>
          <w:rFonts w:ascii="宋体" w:hAnsi="宋体"/>
          <w:bCs/>
          <w:snapToGrid w:val="0"/>
          <w:sz w:val="24"/>
          <w:u w:val="single"/>
        </w:rPr>
        <w:t>0</w:t>
      </w:r>
      <w:r>
        <w:rPr>
          <w:rFonts w:hint="eastAsia" w:ascii="宋体" w:hAnsi="宋体" w:cs="仿宋_GB2312"/>
          <w:bCs/>
          <w:sz w:val="24"/>
        </w:rPr>
        <w:t>（北京时间）</w:t>
      </w:r>
    </w:p>
    <w:p w14:paraId="541641D8">
      <w:pPr>
        <w:spacing w:line="360" w:lineRule="auto"/>
        <w:ind w:firstLine="480" w:firstLineChars="200"/>
        <w:rPr>
          <w:rFonts w:hint="eastAsia" w:ascii="宋体" w:hAnsi="宋体" w:cs="仿宋_GB2312"/>
          <w:sz w:val="24"/>
        </w:rPr>
      </w:pPr>
      <w:r>
        <w:rPr>
          <w:rFonts w:hint="eastAsia" w:ascii="宋体" w:hAnsi="宋体" w:cs="仿宋_GB2312"/>
          <w:sz w:val="24"/>
        </w:rPr>
        <w:t>2</w:t>
      </w:r>
      <w:r>
        <w:rPr>
          <w:rFonts w:hint="eastAsia" w:ascii="宋体" w:hAnsi="宋体"/>
          <w:sz w:val="24"/>
        </w:rPr>
        <w:t>.</w:t>
      </w:r>
      <w:r>
        <w:rPr>
          <w:rFonts w:hint="eastAsia" w:ascii="宋体" w:hAnsi="宋体" w:cs="仿宋_GB2312"/>
          <w:sz w:val="24"/>
        </w:rPr>
        <w:t>地点（网址）：</w:t>
      </w:r>
    </w:p>
    <w:p w14:paraId="74E8EAE2">
      <w:pPr>
        <w:spacing w:line="360" w:lineRule="auto"/>
        <w:ind w:firstLine="480" w:firstLineChars="200"/>
        <w:rPr>
          <w:rFonts w:hint="eastAsia" w:ascii="宋体" w:hAnsi="宋体" w:cs="仿宋_GB2312"/>
          <w:sz w:val="24"/>
        </w:rPr>
      </w:pPr>
      <w:r>
        <w:rPr>
          <w:rFonts w:hint="eastAsia" w:ascii="宋体" w:hAnsi="宋体" w:cs="仿宋_GB2312"/>
          <w:sz w:val="24"/>
        </w:rPr>
        <w:fldChar w:fldCharType="begin"/>
      </w:r>
      <w:r>
        <w:rPr>
          <w:rFonts w:hint="eastAsia" w:ascii="宋体" w:hAnsi="宋体" w:cs="仿宋_GB2312"/>
          <w:sz w:val="24"/>
        </w:rPr>
        <w:instrText xml:space="preserve"> = 1 \* GB2 </w:instrText>
      </w:r>
      <w:r>
        <w:rPr>
          <w:rFonts w:hint="eastAsia" w:ascii="宋体" w:hAnsi="宋体" w:cs="仿宋_GB2312"/>
          <w:sz w:val="24"/>
        </w:rPr>
        <w:fldChar w:fldCharType="separate"/>
      </w:r>
      <w:r>
        <w:rPr>
          <w:rFonts w:hint="eastAsia" w:ascii="宋体" w:hAnsi="宋体" w:cs="仿宋_GB2312"/>
          <w:sz w:val="24"/>
        </w:rPr>
        <w:t>⑴</w:t>
      </w:r>
      <w:r>
        <w:rPr>
          <w:rFonts w:hint="eastAsia" w:ascii="宋体" w:hAnsi="宋体" w:cs="仿宋_GB2312"/>
          <w:sz w:val="24"/>
        </w:rPr>
        <w:fldChar w:fldCharType="end"/>
      </w:r>
      <w:r>
        <w:rPr>
          <w:rFonts w:hint="eastAsia" w:ascii="宋体" w:hAnsi="宋体" w:cs="仿宋_GB2312"/>
          <w:sz w:val="24"/>
        </w:rPr>
        <w:t xml:space="preserve"> 电子加密响应文件：在“政府采购云平台”上传提交，“电子加密响应文件”成功上传提交后，供应商自行打印响应文件接收回执；</w:t>
      </w:r>
    </w:p>
    <w:p w14:paraId="2687E421">
      <w:pPr>
        <w:pStyle w:val="19"/>
        <w:adjustRightInd w:val="0"/>
        <w:snapToGrid w:val="0"/>
        <w:spacing w:line="360" w:lineRule="auto"/>
        <w:ind w:firstLine="480" w:firstLineChars="200"/>
        <w:rPr>
          <w:rFonts w:hint="eastAsia" w:hAnsi="宋体" w:cs="仿宋_GB2312"/>
          <w:sz w:val="24"/>
          <w:szCs w:val="24"/>
        </w:rPr>
      </w:pPr>
      <w:r>
        <w:rPr>
          <w:rFonts w:hint="eastAsia" w:hAnsi="宋体" w:cs="仿宋_GB2312"/>
          <w:sz w:val="24"/>
          <w:szCs w:val="24"/>
        </w:rPr>
        <w:fldChar w:fldCharType="begin"/>
      </w:r>
      <w:r>
        <w:rPr>
          <w:rFonts w:hint="eastAsia" w:hAnsi="宋体" w:cs="仿宋_GB2312"/>
          <w:sz w:val="24"/>
          <w:szCs w:val="24"/>
        </w:rPr>
        <w:instrText xml:space="preserve"> = 2 \* GB2 </w:instrText>
      </w:r>
      <w:r>
        <w:rPr>
          <w:rFonts w:hint="eastAsia" w:hAnsi="宋体" w:cs="仿宋_GB2312"/>
          <w:sz w:val="24"/>
          <w:szCs w:val="24"/>
        </w:rPr>
        <w:fldChar w:fldCharType="separate"/>
      </w:r>
      <w:r>
        <w:rPr>
          <w:rFonts w:hint="eastAsia" w:hAnsi="宋体" w:cs="仿宋_GB2312"/>
          <w:sz w:val="24"/>
          <w:szCs w:val="24"/>
        </w:rPr>
        <w:t>⑵</w:t>
      </w:r>
      <w:r>
        <w:rPr>
          <w:rFonts w:hint="eastAsia" w:hAnsi="宋体" w:cs="仿宋_GB2312"/>
          <w:sz w:val="24"/>
          <w:szCs w:val="24"/>
        </w:rPr>
        <w:fldChar w:fldCharType="end"/>
      </w:r>
      <w:r>
        <w:rPr>
          <w:rFonts w:hint="eastAsia" w:hAnsi="宋体" w:cs="仿宋_GB2312"/>
          <w:sz w:val="24"/>
          <w:szCs w:val="24"/>
        </w:rPr>
        <w:t xml:space="preserve"> 备份响应文件：</w:t>
      </w:r>
    </w:p>
    <w:p w14:paraId="46477B90">
      <w:pPr>
        <w:pStyle w:val="19"/>
        <w:adjustRightInd w:val="0"/>
        <w:snapToGrid w:val="0"/>
        <w:spacing w:line="360" w:lineRule="auto"/>
        <w:ind w:firstLine="480" w:firstLineChars="200"/>
        <w:rPr>
          <w:rFonts w:hint="eastAsia" w:ascii="新宋体" w:hAnsi="新宋体" w:eastAsia="新宋体"/>
          <w:bCs/>
          <w:sz w:val="24"/>
          <w:szCs w:val="24"/>
        </w:rPr>
      </w:pPr>
      <w:r>
        <w:rPr>
          <w:rFonts w:hint="eastAsia" w:hAnsi="宋体"/>
          <w:bCs/>
          <w:sz w:val="24"/>
        </w:rPr>
        <w:t>备份响应文件是否提交由供应商自行决定，如不提交的，当电子响应文件无法解密时，将导致无备份响应文件而失去投标资格。</w:t>
      </w:r>
      <w:r>
        <w:rPr>
          <w:rFonts w:hint="eastAsia" w:ascii="新宋体" w:hAnsi="新宋体" w:eastAsia="新宋体"/>
          <w:bCs/>
          <w:sz w:val="24"/>
          <w:szCs w:val="24"/>
        </w:rPr>
        <w:t>如提交备份</w:t>
      </w:r>
      <w:r>
        <w:rPr>
          <w:rFonts w:hint="eastAsia" w:hAnsi="宋体"/>
          <w:bCs/>
          <w:sz w:val="24"/>
        </w:rPr>
        <w:t>响应文件</w:t>
      </w:r>
      <w:r>
        <w:rPr>
          <w:rFonts w:hint="eastAsia" w:ascii="新宋体" w:hAnsi="新宋体" w:eastAsia="新宋体"/>
          <w:bCs/>
          <w:sz w:val="24"/>
          <w:szCs w:val="24"/>
        </w:rPr>
        <w:t>的，应在</w:t>
      </w:r>
      <w:r>
        <w:rPr>
          <w:rFonts w:hint="eastAsia" w:hAnsi="宋体"/>
          <w:bCs/>
          <w:sz w:val="24"/>
        </w:rPr>
        <w:t>投标</w:t>
      </w:r>
      <w:r>
        <w:rPr>
          <w:rFonts w:hint="eastAsia" w:ascii="新宋体" w:hAnsi="新宋体" w:eastAsia="新宋体"/>
          <w:bCs/>
          <w:sz w:val="24"/>
          <w:szCs w:val="24"/>
        </w:rPr>
        <w:t>截止时间前将最后生成的具有电子签章的备份</w:t>
      </w:r>
      <w:r>
        <w:rPr>
          <w:rFonts w:hint="eastAsia" w:hAnsi="宋体"/>
          <w:bCs/>
          <w:sz w:val="24"/>
        </w:rPr>
        <w:t>响应文件</w:t>
      </w:r>
      <w:r>
        <w:rPr>
          <w:rFonts w:hint="eastAsia" w:ascii="新宋体" w:hAnsi="新宋体" w:eastAsia="新宋体"/>
          <w:bCs/>
          <w:sz w:val="24"/>
          <w:szCs w:val="24"/>
        </w:rPr>
        <w:t>通过电子邮件方式传送至代理机构邮箱</w:t>
      </w:r>
      <w:r>
        <w:rPr>
          <w:rFonts w:hint="eastAsia" w:ascii="新宋体" w:hAnsi="新宋体" w:eastAsia="新宋体"/>
          <w:b/>
          <w:sz w:val="24"/>
          <w:szCs w:val="24"/>
        </w:rPr>
        <w:t>（lszzzbzx@126.com）</w:t>
      </w:r>
      <w:r>
        <w:rPr>
          <w:rFonts w:hint="eastAsia" w:ascii="新宋体" w:hAnsi="新宋体" w:eastAsia="新宋体"/>
          <w:bCs/>
          <w:sz w:val="24"/>
          <w:szCs w:val="24"/>
        </w:rPr>
        <w:t>，传送的备份</w:t>
      </w:r>
      <w:r>
        <w:rPr>
          <w:rFonts w:hint="eastAsia" w:hAnsi="宋体"/>
          <w:bCs/>
          <w:sz w:val="24"/>
        </w:rPr>
        <w:t>响应文件</w:t>
      </w:r>
      <w:r>
        <w:rPr>
          <w:rFonts w:hint="eastAsia" w:ascii="新宋体" w:hAnsi="新宋体" w:eastAsia="新宋体"/>
          <w:bCs/>
          <w:sz w:val="24"/>
          <w:szCs w:val="24"/>
        </w:rPr>
        <w:t>须打包压缩并加密，</w:t>
      </w:r>
      <w:r>
        <w:rPr>
          <w:rFonts w:hint="eastAsia" w:ascii="新宋体" w:hAnsi="新宋体" w:eastAsia="新宋体"/>
          <w:sz w:val="24"/>
          <w:szCs w:val="24"/>
        </w:rPr>
        <w:t>密码由供应商自行保管，</w:t>
      </w:r>
      <w:r>
        <w:rPr>
          <w:rFonts w:hint="eastAsia" w:ascii="新宋体" w:hAnsi="新宋体" w:eastAsia="新宋体"/>
          <w:b/>
          <w:sz w:val="24"/>
          <w:szCs w:val="24"/>
        </w:rPr>
        <w:t>压缩包命名为“备份</w:t>
      </w:r>
      <w:r>
        <w:rPr>
          <w:rFonts w:hint="eastAsia" w:hAnsi="宋体"/>
          <w:b/>
          <w:sz w:val="24"/>
        </w:rPr>
        <w:t>响应文件</w:t>
      </w:r>
      <w:r>
        <w:rPr>
          <w:rFonts w:hint="eastAsia" w:ascii="新宋体" w:hAnsi="新宋体" w:eastAsia="新宋体"/>
          <w:b/>
          <w:sz w:val="24"/>
          <w:szCs w:val="24"/>
        </w:rPr>
        <w:t>”</w:t>
      </w:r>
      <w:r>
        <w:rPr>
          <w:rFonts w:hint="eastAsia" w:ascii="新宋体" w:hAnsi="新宋体" w:eastAsia="新宋体"/>
          <w:sz w:val="24"/>
          <w:szCs w:val="24"/>
        </w:rPr>
        <w:t>，并在邮件中注明项目名称及供应商名称。</w:t>
      </w:r>
    </w:p>
    <w:p w14:paraId="3F5C1848">
      <w:pPr>
        <w:spacing w:line="360" w:lineRule="auto"/>
        <w:rPr>
          <w:rFonts w:hint="eastAsia" w:ascii="宋体" w:hAnsi="宋体" w:cs="仿宋_GB2312"/>
          <w:b/>
          <w:sz w:val="24"/>
        </w:rPr>
      </w:pPr>
      <w:r>
        <w:rPr>
          <w:rFonts w:hint="eastAsia" w:ascii="宋体" w:hAnsi="宋体" w:cs="仿宋_GB2312"/>
          <w:b/>
          <w:sz w:val="24"/>
        </w:rPr>
        <w:t>五、响应文件开启</w:t>
      </w:r>
    </w:p>
    <w:p w14:paraId="4B1C5B3F">
      <w:pPr>
        <w:spacing w:line="360" w:lineRule="auto"/>
        <w:ind w:firstLine="480" w:firstLineChars="200"/>
        <w:rPr>
          <w:rFonts w:hint="eastAsia" w:ascii="宋体" w:hAnsi="宋体" w:cs="仿宋_GB2312"/>
          <w:kern w:val="0"/>
          <w:sz w:val="24"/>
        </w:rPr>
      </w:pPr>
      <w:r>
        <w:rPr>
          <w:rFonts w:hint="eastAsia" w:ascii="宋体" w:hAnsi="宋体" w:cs="仿宋_GB2312"/>
          <w:kern w:val="0"/>
          <w:sz w:val="24"/>
        </w:rPr>
        <w:t>1.</w:t>
      </w:r>
      <w:r>
        <w:rPr>
          <w:rFonts w:ascii="宋体" w:hAnsi="宋体" w:cs="仿宋_GB2312"/>
          <w:kern w:val="0"/>
          <w:sz w:val="24"/>
        </w:rPr>
        <w:t>开启时间：</w:t>
      </w:r>
      <w:r>
        <w:rPr>
          <w:rFonts w:ascii="宋体" w:hAnsi="宋体"/>
          <w:bCs/>
          <w:snapToGrid w:val="0"/>
          <w:sz w:val="24"/>
          <w:u w:val="single"/>
        </w:rPr>
        <w:t>202</w:t>
      </w:r>
      <w:r>
        <w:rPr>
          <w:rFonts w:hint="eastAsia" w:ascii="宋体" w:hAnsi="宋体"/>
          <w:bCs/>
          <w:snapToGrid w:val="0"/>
          <w:sz w:val="24"/>
          <w:u w:val="single"/>
        </w:rPr>
        <w:t>5</w:t>
      </w:r>
      <w:r>
        <w:rPr>
          <w:rFonts w:ascii="宋体" w:hAnsi="宋体"/>
          <w:bCs/>
          <w:snapToGrid w:val="0"/>
          <w:sz w:val="24"/>
          <w:u w:val="single"/>
        </w:rPr>
        <w:t>年</w:t>
      </w:r>
      <w:r>
        <w:rPr>
          <w:rFonts w:hint="eastAsia" w:ascii="宋体" w:hAnsi="宋体"/>
          <w:bCs/>
          <w:snapToGrid w:val="0"/>
          <w:sz w:val="24"/>
          <w:u w:val="single"/>
          <w:lang w:val="en-US" w:eastAsia="zh-CN"/>
        </w:rPr>
        <w:t>07</w:t>
      </w:r>
      <w:r>
        <w:rPr>
          <w:rFonts w:ascii="宋体" w:hAnsi="宋体"/>
          <w:bCs/>
          <w:snapToGrid w:val="0"/>
          <w:sz w:val="24"/>
          <w:u w:val="single"/>
        </w:rPr>
        <w:t>月</w:t>
      </w:r>
      <w:r>
        <w:rPr>
          <w:rFonts w:hint="eastAsia" w:ascii="宋体" w:hAnsi="宋体"/>
          <w:bCs/>
          <w:snapToGrid w:val="0"/>
          <w:sz w:val="24"/>
          <w:u w:val="single"/>
          <w:lang w:val="en-US" w:eastAsia="zh-CN"/>
        </w:rPr>
        <w:t>07</w:t>
      </w:r>
      <w:r>
        <w:rPr>
          <w:rFonts w:ascii="宋体" w:hAnsi="宋体"/>
          <w:bCs/>
          <w:snapToGrid w:val="0"/>
          <w:sz w:val="24"/>
          <w:u w:val="single"/>
        </w:rPr>
        <w:t>日</w:t>
      </w:r>
      <w:r>
        <w:rPr>
          <w:rFonts w:hint="eastAsia" w:ascii="宋体" w:hAnsi="宋体" w:cs="仿宋_GB2312"/>
          <w:sz w:val="24"/>
          <w:u w:val="single"/>
          <w:lang w:val="en-US" w:eastAsia="zh-CN"/>
        </w:rPr>
        <w:t>15</w:t>
      </w:r>
      <w:r>
        <w:rPr>
          <w:rFonts w:ascii="宋体" w:hAnsi="宋体" w:cs="仿宋_GB2312"/>
          <w:sz w:val="24"/>
          <w:u w:val="single"/>
        </w:rPr>
        <w:t>:</w:t>
      </w:r>
      <w:r>
        <w:rPr>
          <w:rFonts w:hint="eastAsia" w:ascii="宋体" w:hAnsi="宋体" w:cs="仿宋_GB2312"/>
          <w:sz w:val="24"/>
          <w:u w:val="single"/>
        </w:rPr>
        <w:t>00</w:t>
      </w:r>
      <w:r>
        <w:rPr>
          <w:rFonts w:ascii="宋体" w:hAnsi="宋体" w:cs="仿宋_GB2312"/>
          <w:sz w:val="24"/>
        </w:rPr>
        <w:t>（北京时间）</w:t>
      </w:r>
    </w:p>
    <w:p w14:paraId="19E5589B">
      <w:pPr>
        <w:spacing w:line="360" w:lineRule="auto"/>
        <w:ind w:firstLine="480" w:firstLineChars="200"/>
        <w:rPr>
          <w:rFonts w:hint="eastAsia" w:ascii="宋体" w:hAnsi="宋体" w:cs="仿宋_GB2312"/>
          <w:kern w:val="0"/>
          <w:sz w:val="24"/>
        </w:rPr>
      </w:pPr>
      <w:r>
        <w:rPr>
          <w:rFonts w:hint="eastAsia" w:ascii="宋体" w:hAnsi="宋体" w:cs="仿宋_GB2312"/>
          <w:kern w:val="0"/>
          <w:sz w:val="24"/>
        </w:rPr>
        <w:t>2.开启地点：“政府采购云平台（</w:t>
      </w:r>
      <w:r>
        <w:rPr>
          <w:rFonts w:hint="eastAsia"/>
        </w:rPr>
        <w:fldChar w:fldCharType="begin"/>
      </w:r>
      <w:r>
        <w:instrText xml:space="preserve"> HYPERLINK "http://www.zcygov.cn/" \h </w:instrText>
      </w:r>
      <w:r>
        <w:rPr>
          <w:rFonts w:hint="eastAsia"/>
        </w:rPr>
        <w:fldChar w:fldCharType="separate"/>
      </w:r>
      <w:r>
        <w:rPr>
          <w:rFonts w:hint="eastAsia" w:ascii="宋体" w:hAnsi="宋体" w:cs="仿宋_GB2312"/>
          <w:kern w:val="0"/>
          <w:sz w:val="24"/>
        </w:rPr>
        <w:t>www.zcygov.cn</w:t>
      </w:r>
      <w:r>
        <w:rPr>
          <w:rFonts w:hint="eastAsia" w:ascii="宋体" w:hAnsi="宋体" w:cs="仿宋_GB2312"/>
          <w:kern w:val="0"/>
          <w:sz w:val="24"/>
        </w:rPr>
        <w:fldChar w:fldCharType="end"/>
      </w:r>
      <w:r>
        <w:rPr>
          <w:rFonts w:hint="eastAsia" w:ascii="宋体" w:hAnsi="宋体" w:cs="仿宋_GB2312"/>
          <w:kern w:val="0"/>
          <w:sz w:val="24"/>
        </w:rPr>
        <w:t>）”在线开标，</w:t>
      </w:r>
      <w:r>
        <w:rPr>
          <w:rFonts w:hint="eastAsia" w:ascii="宋体" w:hAnsi="宋体" w:cs="仿宋_GB2312"/>
          <w:sz w:val="24"/>
        </w:rPr>
        <w:t>浙江政府采购网—用户入驻/登录—用户登录—项目采购—开标评标—进入开标大厅</w:t>
      </w:r>
    </w:p>
    <w:p w14:paraId="0E84E82F">
      <w:pPr>
        <w:spacing w:line="360" w:lineRule="auto"/>
        <w:ind w:firstLine="480" w:firstLineChars="200"/>
        <w:rPr>
          <w:rFonts w:hint="eastAsia" w:ascii="宋体" w:hAnsi="宋体" w:cs="仿宋_GB2312"/>
          <w:kern w:val="0"/>
          <w:sz w:val="24"/>
        </w:rPr>
      </w:pPr>
      <w:r>
        <w:rPr>
          <w:rFonts w:hint="eastAsia" w:ascii="宋体" w:hAnsi="宋体" w:cs="仿宋_GB2312"/>
          <w:kern w:val="0"/>
          <w:sz w:val="24"/>
        </w:rPr>
        <w:t>3.现场开标地点：</w:t>
      </w:r>
      <w:r>
        <w:rPr>
          <w:rFonts w:hint="eastAsia" w:ascii="宋体" w:hAnsi="宋体" w:cs="宋体"/>
          <w:sz w:val="24"/>
        </w:rPr>
        <w:t>卓正招标咨询（丽水）有限公司（和平路78号艾莱依工业园区2号楼7楼）</w:t>
      </w:r>
    </w:p>
    <w:p w14:paraId="1BCC1D8E">
      <w:pPr>
        <w:spacing w:line="360" w:lineRule="auto"/>
        <w:ind w:firstLine="482" w:firstLineChars="200"/>
        <w:rPr>
          <w:rFonts w:hint="eastAsia" w:ascii="宋体" w:hAnsi="宋体" w:cs="仿宋_GB2312"/>
          <w:b/>
          <w:kern w:val="0"/>
          <w:sz w:val="24"/>
        </w:rPr>
      </w:pPr>
      <w:r>
        <w:rPr>
          <w:rFonts w:hint="eastAsia" w:ascii="宋体" w:hAnsi="宋体" w:cs="仿宋_GB2312"/>
          <w:b/>
          <w:kern w:val="0"/>
          <w:sz w:val="24"/>
        </w:rPr>
        <w:t>注：供应商应按磋商文件规定的方式和时间在线解密。</w:t>
      </w:r>
    </w:p>
    <w:p w14:paraId="00969932">
      <w:pPr>
        <w:spacing w:line="360" w:lineRule="auto"/>
        <w:jc w:val="left"/>
        <w:rPr>
          <w:rFonts w:hint="eastAsia" w:ascii="宋体" w:hAnsi="宋体" w:cs="仿宋_GB2312"/>
          <w:b/>
          <w:sz w:val="24"/>
        </w:rPr>
      </w:pPr>
      <w:r>
        <w:rPr>
          <w:rFonts w:hint="eastAsia" w:ascii="宋体" w:hAnsi="宋体" w:cs="仿宋_GB2312"/>
          <w:b/>
          <w:sz w:val="24"/>
        </w:rPr>
        <w:t>六、公告期限</w:t>
      </w:r>
      <w:bookmarkEnd w:id="122"/>
      <w:bookmarkEnd w:id="123"/>
      <w:bookmarkEnd w:id="124"/>
      <w:bookmarkEnd w:id="125"/>
    </w:p>
    <w:p w14:paraId="2C7FC704">
      <w:pPr>
        <w:spacing w:line="360" w:lineRule="auto"/>
        <w:ind w:firstLine="480" w:firstLineChars="200"/>
        <w:rPr>
          <w:rFonts w:hint="eastAsia" w:ascii="宋体" w:hAnsi="宋体" w:cs="仿宋_GB2312"/>
          <w:kern w:val="0"/>
          <w:sz w:val="24"/>
        </w:rPr>
      </w:pPr>
      <w:r>
        <w:rPr>
          <w:rFonts w:hint="eastAsia" w:ascii="宋体" w:hAnsi="宋体" w:cs="仿宋_GB2312"/>
          <w:kern w:val="0"/>
          <w:sz w:val="24"/>
        </w:rPr>
        <w:t>自本公告发布之日起3个工作日。</w:t>
      </w:r>
    </w:p>
    <w:p w14:paraId="3D02B29B">
      <w:pPr>
        <w:numPr>
          <w:ilvl w:val="0"/>
          <w:numId w:val="1"/>
        </w:numPr>
        <w:spacing w:line="360" w:lineRule="auto"/>
        <w:jc w:val="left"/>
        <w:rPr>
          <w:rFonts w:hint="eastAsia" w:ascii="宋体" w:hAnsi="宋体" w:cs="仿宋_GB2312"/>
          <w:b/>
          <w:sz w:val="24"/>
        </w:rPr>
      </w:pPr>
      <w:bookmarkStart w:id="126" w:name="_Toc35393626"/>
      <w:bookmarkStart w:id="127" w:name="_Toc35393795"/>
      <w:r>
        <w:rPr>
          <w:rFonts w:hint="eastAsia" w:ascii="宋体" w:hAnsi="宋体" w:cs="仿宋_GB2312"/>
          <w:b/>
          <w:sz w:val="24"/>
        </w:rPr>
        <w:t>其他补充事宜</w:t>
      </w:r>
      <w:bookmarkEnd w:id="126"/>
      <w:bookmarkEnd w:id="127"/>
    </w:p>
    <w:p w14:paraId="2B8AB499">
      <w:pPr>
        <w:wordWrap w:val="0"/>
        <w:snapToGrid w:val="0"/>
        <w:spacing w:line="360" w:lineRule="auto"/>
        <w:ind w:firstLine="510"/>
        <w:rPr>
          <w:rFonts w:hint="eastAsia" w:ascii="宋体" w:hAnsi="宋体"/>
          <w:sz w:val="24"/>
        </w:rPr>
      </w:pPr>
      <w:r>
        <w:rPr>
          <w:rFonts w:hint="eastAsia" w:ascii="宋体" w:hAnsi="宋体"/>
          <w:sz w:val="24"/>
        </w:rPr>
        <w:t>1.《浙江省财政厅关于进一步发挥政府采购政策功能全力推动经济稳进提质的通知》（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14:paraId="033F09EF">
      <w:pPr>
        <w:wordWrap w:val="0"/>
        <w:snapToGrid w:val="0"/>
        <w:spacing w:line="360" w:lineRule="auto"/>
        <w:ind w:firstLine="510"/>
        <w:rPr>
          <w:rFonts w:hint="eastAsia" w:ascii="宋体" w:hAnsi="宋体"/>
          <w:sz w:val="24"/>
        </w:rPr>
      </w:pPr>
      <w:r>
        <w:rPr>
          <w:rFonts w:hint="eastAsia" w:ascii="宋体" w:hAnsi="宋体"/>
          <w:sz w:val="24"/>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246CB9B8">
      <w:pPr>
        <w:spacing w:line="360" w:lineRule="auto"/>
        <w:ind w:firstLine="480" w:firstLineChars="200"/>
        <w:rPr>
          <w:rFonts w:hint="eastAsia" w:ascii="宋体" w:hAnsi="宋体"/>
          <w:sz w:val="24"/>
        </w:rPr>
      </w:pPr>
      <w:r>
        <w:rPr>
          <w:rFonts w:ascii="宋体" w:hAnsi="宋体"/>
          <w:sz w:val="24"/>
        </w:rPr>
        <w:t>3</w:t>
      </w:r>
      <w:r>
        <w:rPr>
          <w:rFonts w:hint="eastAsia" w:ascii="宋体" w:hAnsi="宋体"/>
          <w:sz w:val="24"/>
        </w:rPr>
        <w:t>.</w:t>
      </w:r>
      <w:r>
        <w:rPr>
          <w:rFonts w:ascii="宋体" w:hAnsi="宋体"/>
          <w:sz w:val="24"/>
        </w:rPr>
        <w:t>供应商认为采购文件使自己的权益受到损害的，可以自获取采购文件之日或者采购文件公告期限届满之日（公告期限届满后获取采购文件的，以公告期限届满之日为准）起7个工作日内，对采购文件需求的以书面形式</w:t>
      </w:r>
      <w:r>
        <w:rPr>
          <w:rFonts w:hint="eastAsia" w:ascii="宋体" w:hAnsi="宋体"/>
          <w:sz w:val="24"/>
        </w:rPr>
        <w:t>一次性</w:t>
      </w:r>
      <w:r>
        <w:rPr>
          <w:rFonts w:ascii="宋体" w:hAnsi="宋体"/>
          <w:sz w:val="24"/>
        </w:rPr>
        <w:t>向采购人</w:t>
      </w:r>
      <w:r>
        <w:rPr>
          <w:rFonts w:hint="eastAsia"/>
          <w:sz w:val="24"/>
        </w:rPr>
        <w:t>、采购代理机构</w:t>
      </w:r>
      <w:r>
        <w:rPr>
          <w:sz w:val="24"/>
        </w:rPr>
        <w:t>提出质疑</w:t>
      </w:r>
      <w:r>
        <w:rPr>
          <w:rFonts w:hint="eastAsia"/>
          <w:sz w:val="24"/>
        </w:rPr>
        <w:t>（未按规定获取采购文件的供应商对采购文件提起的质疑将不予受理）</w:t>
      </w:r>
      <w:r>
        <w:rPr>
          <w:sz w:val="24"/>
        </w:rPr>
        <w:t>。质疑供应商对</w:t>
      </w:r>
      <w:r>
        <w:rPr>
          <w:rFonts w:ascii="宋体" w:hAnsi="宋体"/>
          <w:sz w:val="24"/>
        </w:rPr>
        <w:t>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7A1D7B8B">
      <w:pPr>
        <w:spacing w:line="360" w:lineRule="auto"/>
        <w:ind w:firstLine="482" w:firstLineChars="200"/>
        <w:rPr>
          <w:rFonts w:hint="eastAsia" w:ascii="宋体" w:hAnsi="宋体" w:cs="仿宋_GB2312"/>
          <w:b/>
          <w:kern w:val="0"/>
          <w:sz w:val="24"/>
        </w:rPr>
      </w:pPr>
      <w:r>
        <w:rPr>
          <w:rFonts w:ascii="宋体" w:hAnsi="宋体" w:cs="仿宋_GB2312"/>
          <w:b/>
          <w:kern w:val="0"/>
          <w:sz w:val="24"/>
        </w:rPr>
        <w:t>4</w:t>
      </w:r>
      <w:r>
        <w:rPr>
          <w:rFonts w:hint="eastAsia" w:ascii="宋体" w:hAnsi="宋体" w:cs="仿宋_GB2312"/>
          <w:b/>
          <w:kern w:val="0"/>
          <w:sz w:val="24"/>
        </w:rPr>
        <w:t>.其他注意事项</w:t>
      </w:r>
    </w:p>
    <w:p w14:paraId="58198113">
      <w:pPr>
        <w:spacing w:line="360" w:lineRule="auto"/>
        <w:ind w:firstLine="482" w:firstLineChars="200"/>
        <w:jc w:val="left"/>
        <w:rPr>
          <w:rFonts w:hint="eastAsia" w:ascii="宋体" w:hAnsi="宋体"/>
          <w:b/>
          <w:sz w:val="24"/>
        </w:rPr>
      </w:pPr>
      <w:r>
        <w:rPr>
          <w:rFonts w:ascii="宋体" w:hAnsi="宋体"/>
          <w:b/>
          <w:sz w:val="24"/>
        </w:rPr>
        <w:t>4</w:t>
      </w:r>
      <w:r>
        <w:rPr>
          <w:rFonts w:hint="eastAsia" w:ascii="宋体" w:hAnsi="宋体"/>
          <w:b/>
          <w:sz w:val="24"/>
        </w:rPr>
        <w:t>.1本项目全程电子招投标，相关的操作规程务必关注《政府采购项目电子交易管理操作指南-供应商》（网址：https://service.zcygov.cn/#/knowledges/CW1EtGwBFdiHxlNd6I3m/6IMVAG0BFdiHxlNdQ8Na），供应商自行决定是否安排人员赴现场参与磋商。</w:t>
      </w:r>
    </w:p>
    <w:p w14:paraId="6579A039">
      <w:pPr>
        <w:spacing w:line="360" w:lineRule="auto"/>
        <w:ind w:firstLine="472" w:firstLineChars="196"/>
        <w:rPr>
          <w:rFonts w:hint="eastAsia" w:ascii="宋体" w:hAnsi="宋体"/>
          <w:b/>
          <w:sz w:val="24"/>
        </w:rPr>
      </w:pPr>
      <w:r>
        <w:rPr>
          <w:rFonts w:ascii="宋体" w:hAnsi="宋体"/>
          <w:b/>
          <w:sz w:val="24"/>
        </w:rPr>
        <w:t>4</w:t>
      </w:r>
      <w:r>
        <w:rPr>
          <w:rFonts w:hint="eastAsia" w:ascii="宋体" w:hAnsi="宋体"/>
          <w:b/>
          <w:sz w:val="24"/>
        </w:rPr>
        <w:t>.2政采云平台注册注意事项：</w:t>
      </w:r>
    </w:p>
    <w:p w14:paraId="0604A13F">
      <w:pPr>
        <w:spacing w:line="360" w:lineRule="auto"/>
        <w:ind w:firstLine="480" w:firstLineChars="200"/>
        <w:rPr>
          <w:rFonts w:hint="eastAsia" w:ascii="宋体" w:hAnsi="宋体"/>
          <w:sz w:val="24"/>
        </w:rPr>
      </w:pPr>
      <w:r>
        <w:rPr>
          <w:rFonts w:ascii="宋体" w:hAnsi="宋体"/>
          <w:sz w:val="24"/>
        </w:rPr>
        <w:t>4</w:t>
      </w:r>
      <w:r>
        <w:rPr>
          <w:rFonts w:hint="eastAsia" w:ascii="宋体" w:hAnsi="宋体"/>
          <w:sz w:val="24"/>
        </w:rPr>
        <w:t>.2.1供应商未在浙江政府采购网（http://zfcg.czt.zj.gov.cn/）注册成为正式供应商，需前往注册；</w:t>
      </w:r>
    </w:p>
    <w:p w14:paraId="7AAAAEFF">
      <w:pPr>
        <w:spacing w:line="360" w:lineRule="auto"/>
        <w:ind w:firstLine="480" w:firstLineChars="200"/>
        <w:rPr>
          <w:rFonts w:hint="eastAsia" w:ascii="宋体" w:hAnsi="宋体"/>
          <w:sz w:val="24"/>
        </w:rPr>
      </w:pPr>
      <w:r>
        <w:rPr>
          <w:rFonts w:ascii="宋体" w:hAnsi="宋体"/>
          <w:sz w:val="24"/>
        </w:rPr>
        <w:t>4</w:t>
      </w:r>
      <w:r>
        <w:rPr>
          <w:rFonts w:hint="eastAsia" w:ascii="宋体" w:hAnsi="宋体"/>
          <w:sz w:val="24"/>
        </w:rPr>
        <w:t>.2.2本项目成交供应商未注册成为浙江政府采购网“正式供应商”的，将无法实现该项目合同备案及付款，由此造成的不利影响由供应商自行承担；</w:t>
      </w:r>
    </w:p>
    <w:p w14:paraId="010866ED">
      <w:pPr>
        <w:spacing w:line="360" w:lineRule="auto"/>
        <w:ind w:firstLine="480" w:firstLineChars="200"/>
        <w:rPr>
          <w:rFonts w:hint="eastAsia" w:ascii="宋体" w:hAnsi="宋体"/>
          <w:sz w:val="24"/>
        </w:rPr>
      </w:pPr>
      <w:r>
        <w:rPr>
          <w:rFonts w:ascii="宋体" w:hAnsi="宋体"/>
          <w:sz w:val="24"/>
        </w:rPr>
        <w:t>4</w:t>
      </w:r>
      <w:r>
        <w:rPr>
          <w:rFonts w:hint="eastAsia" w:ascii="宋体" w:hAnsi="宋体"/>
          <w:sz w:val="24"/>
        </w:rPr>
        <w:t>.2.3营业执照注册地为浙江省内的供应商请咨询注册地公共资源交易中心（或采购中心），营业执照注册地为浙江省外的供应商请咨询浙江省政府采购中心。</w:t>
      </w:r>
    </w:p>
    <w:p w14:paraId="3A612FFF">
      <w:pPr>
        <w:spacing w:line="360" w:lineRule="auto"/>
        <w:jc w:val="left"/>
        <w:rPr>
          <w:rFonts w:hint="eastAsia" w:ascii="宋体" w:hAnsi="宋体" w:cs="仿宋_GB2312"/>
          <w:b/>
          <w:sz w:val="24"/>
        </w:rPr>
      </w:pPr>
      <w:bookmarkStart w:id="128" w:name="_Toc28359085"/>
      <w:bookmarkStart w:id="129" w:name="_Toc28359008"/>
      <w:bookmarkStart w:id="130" w:name="_Toc35393796"/>
      <w:bookmarkStart w:id="131" w:name="_Toc35393627"/>
      <w:r>
        <w:rPr>
          <w:rFonts w:hint="eastAsia" w:ascii="宋体" w:hAnsi="宋体" w:cs="仿宋_GB2312"/>
          <w:b/>
          <w:sz w:val="24"/>
        </w:rPr>
        <w:t>八、</w:t>
      </w:r>
      <w:bookmarkEnd w:id="128"/>
      <w:bookmarkEnd w:id="129"/>
      <w:bookmarkEnd w:id="130"/>
      <w:bookmarkEnd w:id="131"/>
      <w:r>
        <w:rPr>
          <w:rFonts w:hint="eastAsia" w:ascii="宋体" w:hAnsi="宋体" w:cs="仿宋_GB2312"/>
          <w:b/>
          <w:bCs/>
          <w:sz w:val="24"/>
        </w:rPr>
        <w:t>凡对本次采购提出询问、质疑、投诉，请按以下方式联系</w:t>
      </w:r>
    </w:p>
    <w:p w14:paraId="3D7B0F52">
      <w:pPr>
        <w:pStyle w:val="19"/>
        <w:adjustRightInd w:val="0"/>
        <w:snapToGrid w:val="0"/>
        <w:spacing w:line="360" w:lineRule="auto"/>
        <w:ind w:firstLine="480" w:firstLineChars="200"/>
        <w:rPr>
          <w:rFonts w:hint="eastAsia" w:hAnsi="宋体"/>
          <w:sz w:val="24"/>
        </w:rPr>
      </w:pPr>
      <w:r>
        <w:rPr>
          <w:rFonts w:hAnsi="宋体"/>
          <w:bCs/>
          <w:sz w:val="24"/>
        </w:rPr>
        <w:t xml:space="preserve">1. </w:t>
      </w:r>
      <w:r>
        <w:rPr>
          <w:rFonts w:hint="eastAsia" w:hAnsi="宋体"/>
          <w:sz w:val="24"/>
        </w:rPr>
        <w:t>采购人名称：</w:t>
      </w:r>
      <w:r>
        <w:rPr>
          <w:rFonts w:hint="eastAsia" w:hAnsi="宋体"/>
          <w:sz w:val="24"/>
          <w:lang w:eastAsia="zh-CN"/>
        </w:rPr>
        <w:t>中共丽水市委宣传部</w:t>
      </w:r>
    </w:p>
    <w:p w14:paraId="35079F3F">
      <w:pPr>
        <w:adjustRightInd w:val="0"/>
        <w:snapToGrid w:val="0"/>
        <w:spacing w:line="360" w:lineRule="auto"/>
        <w:ind w:firstLine="849" w:firstLineChars="354"/>
        <w:rPr>
          <w:rFonts w:hint="eastAsia" w:ascii="宋体" w:hAnsi="宋体" w:cs="宋体"/>
          <w:color w:val="auto"/>
          <w:sz w:val="24"/>
          <w:highlight w:val="none"/>
        </w:rPr>
      </w:pPr>
      <w:r>
        <w:rPr>
          <w:rFonts w:hint="eastAsia" w:ascii="宋体" w:hAnsi="宋体" w:cs="宋体"/>
          <w:color w:val="auto"/>
          <w:sz w:val="24"/>
          <w:highlight w:val="none"/>
        </w:rPr>
        <w:t>项目联系人</w:t>
      </w:r>
      <w:r>
        <w:rPr>
          <w:rFonts w:hint="eastAsia" w:ascii="宋体" w:hAnsi="宋体" w:cs="宋体"/>
          <w:color w:val="auto"/>
          <w:sz w:val="24"/>
          <w:highlight w:val="none"/>
          <w:lang w:eastAsia="zh-CN"/>
        </w:rPr>
        <w:t>：</w:t>
      </w:r>
      <w:r>
        <w:rPr>
          <w:rFonts w:hint="eastAsia" w:ascii="宋体" w:hAnsi="宋体" w:eastAsia="宋体" w:cs="仿宋_GB2312"/>
          <w:color w:val="auto"/>
          <w:kern w:val="0"/>
          <w:sz w:val="24"/>
          <w:szCs w:val="20"/>
          <w:highlight w:val="none"/>
          <w:lang w:val="en-US" w:eastAsia="zh-CN" w:bidi="ar-SA"/>
        </w:rPr>
        <w:t>夏贻索 </w:t>
      </w:r>
      <w:r>
        <w:rPr>
          <w:rFonts w:hint="eastAsia" w:ascii="宋体" w:hAnsi="宋体" w:cs="宋体"/>
          <w:color w:val="auto"/>
          <w:sz w:val="24"/>
          <w:highlight w:val="none"/>
        </w:rPr>
        <w:t xml:space="preserve">      联系电话：</w:t>
      </w:r>
      <w:r>
        <w:rPr>
          <w:rFonts w:hint="eastAsia" w:ascii="宋体" w:hAnsi="宋体" w:cs="Times New Roman"/>
          <w:color w:val="auto"/>
          <w:sz w:val="24"/>
          <w:highlight w:val="none"/>
        </w:rPr>
        <w:t>0578</w:t>
      </w:r>
      <w:r>
        <w:rPr>
          <w:rFonts w:hint="eastAsia" w:ascii="宋体" w:hAnsi="宋体" w:eastAsia="宋体" w:cs="仿宋_GB2312"/>
          <w:color w:val="auto"/>
          <w:kern w:val="0"/>
          <w:sz w:val="24"/>
          <w:szCs w:val="20"/>
          <w:highlight w:val="none"/>
          <w:lang w:val="en-US" w:eastAsia="zh-CN" w:bidi="ar-SA"/>
        </w:rPr>
        <w:t>-2090752 </w:t>
      </w:r>
    </w:p>
    <w:p w14:paraId="0075014B">
      <w:pPr>
        <w:tabs>
          <w:tab w:val="left" w:pos="540"/>
        </w:tabs>
        <w:snapToGrid w:val="0"/>
        <w:spacing w:line="360" w:lineRule="auto"/>
        <w:ind w:firstLine="84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质疑联系人：蓝炜霞</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lang w:val="en-US" w:eastAsia="zh-CN"/>
        </w:rPr>
        <w:t>0578-2098547</w:t>
      </w:r>
    </w:p>
    <w:p w14:paraId="23BF3FB6">
      <w:pPr>
        <w:pStyle w:val="19"/>
        <w:adjustRightInd w:val="0"/>
        <w:snapToGrid w:val="0"/>
        <w:spacing w:line="360" w:lineRule="auto"/>
        <w:ind w:firstLine="840" w:firstLineChars="350"/>
        <w:rPr>
          <w:rFonts w:hint="eastAsia" w:hAnsi="宋体"/>
          <w:sz w:val="24"/>
        </w:rPr>
      </w:pPr>
      <w:r>
        <w:rPr>
          <w:rFonts w:hint="eastAsia" w:hAnsi="宋体"/>
          <w:sz w:val="24"/>
        </w:rPr>
        <w:t>地址：</w:t>
      </w:r>
      <w:r>
        <w:rPr>
          <w:rFonts w:ascii="宋体" w:hAnsi="宋体"/>
          <w:sz w:val="24"/>
        </w:rPr>
        <w:t>丽水市花园路1号</w:t>
      </w:r>
    </w:p>
    <w:p w14:paraId="7AFBFC10">
      <w:pPr>
        <w:pStyle w:val="19"/>
        <w:adjustRightInd w:val="0"/>
        <w:snapToGrid w:val="0"/>
        <w:spacing w:line="360" w:lineRule="auto"/>
        <w:ind w:firstLine="480" w:firstLineChars="200"/>
        <w:rPr>
          <w:rFonts w:hint="eastAsia" w:hAnsi="宋体"/>
          <w:sz w:val="24"/>
        </w:rPr>
      </w:pPr>
      <w:r>
        <w:rPr>
          <w:rFonts w:hAnsi="宋体"/>
          <w:bCs/>
          <w:sz w:val="24"/>
        </w:rPr>
        <w:t xml:space="preserve">2. </w:t>
      </w:r>
      <w:r>
        <w:rPr>
          <w:rFonts w:hint="eastAsia" w:hAnsi="宋体"/>
          <w:sz w:val="24"/>
        </w:rPr>
        <w:t>采购代理机构名称：</w:t>
      </w:r>
      <w:r>
        <w:rPr>
          <w:rFonts w:hint="eastAsia" w:hAnsi="宋体" w:cs="仿宋_GB2312"/>
          <w:kern w:val="0"/>
          <w:sz w:val="24"/>
        </w:rPr>
        <w:t>卓正招标咨询（丽水）有限公司</w:t>
      </w:r>
    </w:p>
    <w:p w14:paraId="3001DA14">
      <w:pPr>
        <w:spacing w:line="360" w:lineRule="auto"/>
        <w:ind w:firstLine="840" w:firstLineChars="350"/>
        <w:rPr>
          <w:rFonts w:hint="eastAsia" w:ascii="宋体" w:hAnsi="宋体"/>
          <w:sz w:val="24"/>
        </w:rPr>
      </w:pPr>
      <w:r>
        <w:rPr>
          <w:rFonts w:hint="eastAsia" w:ascii="宋体" w:hAnsi="宋体"/>
          <w:sz w:val="24"/>
        </w:rPr>
        <w:t>项目负责人：</w:t>
      </w:r>
      <w:r>
        <w:rPr>
          <w:rFonts w:hint="eastAsia" w:ascii="宋体" w:hAnsi="宋体"/>
          <w:sz w:val="24"/>
          <w:lang w:val="en-US" w:eastAsia="zh-CN"/>
        </w:rPr>
        <w:t>陈伟央</w:t>
      </w:r>
      <w:r>
        <w:rPr>
          <w:rFonts w:hint="eastAsia" w:ascii="宋体" w:hAnsi="宋体"/>
          <w:sz w:val="24"/>
        </w:rPr>
        <w:t xml:space="preserve">    联系电话：0578-206291</w:t>
      </w:r>
      <w:r>
        <w:rPr>
          <w:rFonts w:hint="eastAsia" w:ascii="宋体" w:hAnsi="宋体"/>
          <w:sz w:val="24"/>
          <w:lang w:val="en-US" w:eastAsia="zh-CN"/>
        </w:rPr>
        <w:t>5</w:t>
      </w:r>
      <w:r>
        <w:rPr>
          <w:rFonts w:hint="eastAsia" w:ascii="宋体" w:hAnsi="宋体"/>
          <w:sz w:val="24"/>
        </w:rPr>
        <w:t xml:space="preserve">   传真：0578-2062917</w:t>
      </w:r>
    </w:p>
    <w:p w14:paraId="5217EE7B">
      <w:pPr>
        <w:spacing w:line="360" w:lineRule="auto"/>
        <w:ind w:firstLine="840" w:firstLineChars="350"/>
        <w:rPr>
          <w:rFonts w:hint="eastAsia" w:ascii="宋体" w:hAnsi="宋体"/>
          <w:sz w:val="24"/>
        </w:rPr>
      </w:pPr>
      <w:r>
        <w:rPr>
          <w:rFonts w:hint="eastAsia" w:ascii="宋体" w:hAnsi="宋体"/>
          <w:sz w:val="24"/>
        </w:rPr>
        <w:t>质疑联系人：</w:t>
      </w:r>
      <w:r>
        <w:rPr>
          <w:rFonts w:hint="eastAsia" w:ascii="宋体" w:hAnsi="宋体"/>
          <w:sz w:val="24"/>
          <w:lang w:val="en-US" w:eastAsia="zh-CN"/>
        </w:rPr>
        <w:t>钟爱媚</w:t>
      </w:r>
      <w:r>
        <w:rPr>
          <w:rFonts w:hint="eastAsia" w:ascii="宋体" w:hAnsi="宋体"/>
          <w:sz w:val="24"/>
        </w:rPr>
        <w:t xml:space="preserve">    联系电话：0578-2062913   传真：0578-2062917</w:t>
      </w:r>
    </w:p>
    <w:p w14:paraId="7B24CDE1">
      <w:pPr>
        <w:spacing w:line="360" w:lineRule="auto"/>
        <w:ind w:firstLine="840" w:firstLineChars="350"/>
        <w:rPr>
          <w:rFonts w:hint="eastAsia" w:ascii="宋体" w:hAnsi="宋体"/>
          <w:sz w:val="24"/>
        </w:rPr>
      </w:pPr>
      <w:r>
        <w:rPr>
          <w:rFonts w:hint="eastAsia" w:ascii="宋体" w:hAnsi="宋体"/>
          <w:sz w:val="24"/>
        </w:rPr>
        <w:t>地址：丽水市和平路78号艾莱依工业园区2号楼7楼</w:t>
      </w:r>
    </w:p>
    <w:p w14:paraId="4DFB31D7">
      <w:pPr>
        <w:pStyle w:val="19"/>
        <w:adjustRightInd w:val="0"/>
        <w:snapToGrid w:val="0"/>
        <w:spacing w:line="360" w:lineRule="auto"/>
        <w:ind w:firstLine="480" w:firstLineChars="200"/>
        <w:rPr>
          <w:rFonts w:hint="eastAsia" w:hAnsi="宋体"/>
          <w:bCs/>
          <w:sz w:val="24"/>
        </w:rPr>
      </w:pPr>
      <w:r>
        <w:rPr>
          <w:rFonts w:hAnsi="宋体"/>
          <w:bCs/>
          <w:sz w:val="24"/>
        </w:rPr>
        <w:t>3. 同级政府采购监督管理部门</w:t>
      </w:r>
      <w:r>
        <w:rPr>
          <w:rFonts w:hint="eastAsia" w:hAnsi="宋体"/>
          <w:bCs/>
          <w:sz w:val="24"/>
        </w:rPr>
        <w:t>名称：丽水市财政局政府采购监管处</w:t>
      </w:r>
    </w:p>
    <w:p w14:paraId="38B3DDBF">
      <w:pPr>
        <w:tabs>
          <w:tab w:val="left" w:pos="540"/>
        </w:tabs>
        <w:snapToGrid w:val="0"/>
        <w:spacing w:line="360" w:lineRule="auto"/>
        <w:ind w:firstLine="868" w:firstLineChars="362"/>
        <w:rPr>
          <w:rFonts w:hint="eastAsia" w:ascii="宋体" w:hAnsi="宋体"/>
          <w:sz w:val="24"/>
        </w:rPr>
      </w:pPr>
      <w:r>
        <w:rPr>
          <w:rFonts w:hint="eastAsia" w:ascii="宋体" w:hAnsi="宋体"/>
          <w:sz w:val="24"/>
        </w:rPr>
        <w:t>联系人：</w:t>
      </w:r>
      <w:r>
        <w:rPr>
          <w:rFonts w:hint="eastAsia" w:ascii="宋体" w:hAnsi="宋体" w:cs="宋体"/>
          <w:sz w:val="24"/>
        </w:rPr>
        <w:t>吴先生、叶先生</w:t>
      </w:r>
      <w:r>
        <w:rPr>
          <w:rFonts w:hint="eastAsia" w:ascii="宋体" w:hAnsi="宋体"/>
          <w:sz w:val="24"/>
        </w:rPr>
        <w:t xml:space="preserve">      </w:t>
      </w:r>
    </w:p>
    <w:p w14:paraId="674EBDA7">
      <w:pPr>
        <w:tabs>
          <w:tab w:val="left" w:pos="540"/>
        </w:tabs>
        <w:snapToGrid w:val="0"/>
        <w:spacing w:line="360" w:lineRule="auto"/>
        <w:ind w:firstLine="840" w:firstLineChars="350"/>
        <w:rPr>
          <w:rFonts w:hint="eastAsia" w:ascii="宋体" w:hAnsi="宋体" w:cs="宋体"/>
          <w:sz w:val="24"/>
        </w:rPr>
      </w:pPr>
      <w:r>
        <w:rPr>
          <w:rFonts w:hint="eastAsia" w:ascii="宋体" w:hAnsi="宋体" w:cs="宋体"/>
          <w:sz w:val="24"/>
        </w:rPr>
        <w:t>监督投诉电话：0578-2669165   传真：0578-2669165</w:t>
      </w:r>
    </w:p>
    <w:p w14:paraId="52CEA4A1">
      <w:pPr>
        <w:tabs>
          <w:tab w:val="left" w:pos="540"/>
        </w:tabs>
        <w:snapToGrid w:val="0"/>
        <w:spacing w:line="360" w:lineRule="auto"/>
        <w:ind w:firstLine="840" w:firstLineChars="350"/>
        <w:rPr>
          <w:rFonts w:hint="eastAsia" w:ascii="宋体" w:hAnsi="宋体"/>
          <w:sz w:val="24"/>
        </w:rPr>
      </w:pPr>
      <w:r>
        <w:rPr>
          <w:rFonts w:hint="eastAsia" w:ascii="宋体" w:hAnsi="宋体" w:cs="宋体"/>
          <w:sz w:val="24"/>
        </w:rPr>
        <w:t>地 址：丽水市北苑路190号</w:t>
      </w:r>
    </w:p>
    <w:p w14:paraId="5C8EA315">
      <w:pPr>
        <w:pStyle w:val="19"/>
        <w:adjustRightInd w:val="0"/>
        <w:snapToGrid w:val="0"/>
        <w:spacing w:line="360" w:lineRule="auto"/>
        <w:ind w:firstLine="480" w:firstLineChars="200"/>
        <w:rPr>
          <w:rFonts w:hint="eastAsia" w:hAnsi="宋体"/>
          <w:sz w:val="24"/>
        </w:rPr>
      </w:pPr>
      <w:r>
        <w:rPr>
          <w:rFonts w:hint="eastAsia" w:hAnsi="宋体"/>
          <w:sz w:val="24"/>
        </w:rPr>
        <w:t>若对项目采购电子交易系统操作有疑问，可登录政采云（https://www.zcygov.cn/），点击右侧咨询小采，获取采小蜜智能服务管家帮助，或拨打政采云服务热线95763获取热线服务帮助。</w:t>
      </w:r>
    </w:p>
    <w:p w14:paraId="67133A5D">
      <w:pPr>
        <w:pStyle w:val="104"/>
        <w:spacing w:line="360" w:lineRule="auto"/>
        <w:ind w:left="0" w:right="480" w:firstLine="0"/>
        <w:rPr>
          <w:rFonts w:hint="eastAsia" w:hAnsi="宋体"/>
          <w:bCs/>
          <w:color w:val="auto"/>
          <w:sz w:val="24"/>
        </w:rPr>
      </w:pPr>
      <w:r>
        <w:rPr>
          <w:rFonts w:hint="eastAsia" w:hAnsi="宋体"/>
          <w:sz w:val="24"/>
        </w:rPr>
        <w:t>CA问题联系电话（人工）：汇信CA 400-888-4636；天谷CA 400-087-8198。</w:t>
      </w:r>
    </w:p>
    <w:p w14:paraId="67B2E48A">
      <w:pPr>
        <w:spacing w:line="500" w:lineRule="exact"/>
      </w:pPr>
      <w:r>
        <w:rPr>
          <w:rFonts w:hint="eastAsia" w:hAnsi="宋体"/>
          <w:bCs/>
          <w:sz w:val="24"/>
        </w:rPr>
        <w:t xml:space="preserve">        </w:t>
      </w:r>
    </w:p>
    <w:p w14:paraId="54F66B68">
      <w:pPr>
        <w:pStyle w:val="104"/>
        <w:spacing w:line="500" w:lineRule="exact"/>
        <w:ind w:left="0" w:right="480" w:firstLine="0"/>
        <w:jc w:val="right"/>
        <w:rPr>
          <w:rFonts w:hint="eastAsia" w:hAnsi="宋体"/>
          <w:sz w:val="24"/>
        </w:rPr>
      </w:pPr>
      <w:r>
        <w:rPr>
          <w:rFonts w:hint="eastAsia" w:hAnsi="宋体"/>
          <w:bCs/>
          <w:color w:val="auto"/>
          <w:sz w:val="24"/>
        </w:rPr>
        <w:t xml:space="preserve">                               </w:t>
      </w:r>
      <w:r>
        <w:rPr>
          <w:rFonts w:hint="eastAsia"/>
          <w:bCs/>
        </w:rPr>
        <w:t xml:space="preserve">             </w:t>
      </w:r>
      <w:r>
        <w:rPr>
          <w:rFonts w:hint="eastAsia" w:hAnsi="宋体"/>
          <w:sz w:val="24"/>
        </w:rPr>
        <w:t>采购人：</w:t>
      </w:r>
      <w:r>
        <w:rPr>
          <w:rFonts w:hint="eastAsia" w:hAnsi="宋体"/>
          <w:sz w:val="24"/>
          <w:lang w:eastAsia="zh-CN"/>
        </w:rPr>
        <w:t>中共丽水市委宣传部</w:t>
      </w:r>
    </w:p>
    <w:p w14:paraId="0C83567E">
      <w:pPr>
        <w:spacing w:line="500" w:lineRule="exact"/>
        <w:jc w:val="right"/>
        <w:rPr>
          <w:rFonts w:hint="eastAsia" w:ascii="宋体" w:hAnsi="宋体"/>
          <w:sz w:val="24"/>
        </w:rPr>
      </w:pPr>
      <w:r>
        <w:rPr>
          <w:rFonts w:hint="eastAsia" w:ascii="宋体" w:hAnsi="宋体"/>
          <w:sz w:val="24"/>
        </w:rPr>
        <w:t xml:space="preserve">                             采购代理机构：卓正招标咨询（丽水）有限公司 </w:t>
      </w:r>
    </w:p>
    <w:p w14:paraId="2599CDDB">
      <w:pPr>
        <w:wordWrap w:val="0"/>
        <w:spacing w:line="500" w:lineRule="exact"/>
        <w:jc w:val="right"/>
        <w:rPr>
          <w:rFonts w:hint="eastAsia" w:ascii="宋体" w:hAnsi="宋体"/>
          <w:sz w:val="24"/>
        </w:rPr>
      </w:pPr>
      <w:r>
        <w:rPr>
          <w:rFonts w:hint="eastAsia" w:ascii="宋体" w:hAnsi="宋体"/>
          <w:sz w:val="24"/>
        </w:rPr>
        <w:t xml:space="preserve">   日期：2025年</w:t>
      </w:r>
      <w:r>
        <w:rPr>
          <w:rFonts w:hint="eastAsia" w:ascii="宋体" w:hAnsi="宋体"/>
          <w:sz w:val="24"/>
          <w:lang w:val="en-US" w:eastAsia="zh-CN"/>
        </w:rPr>
        <w:t>06</w:t>
      </w:r>
      <w:r>
        <w:rPr>
          <w:rFonts w:hint="eastAsia" w:ascii="宋体" w:hAnsi="宋体"/>
          <w:sz w:val="24"/>
        </w:rPr>
        <w:t>月</w:t>
      </w:r>
      <w:r>
        <w:rPr>
          <w:rFonts w:hint="eastAsia" w:ascii="宋体" w:hAnsi="宋体"/>
          <w:sz w:val="24"/>
          <w:lang w:val="en-US" w:eastAsia="zh-CN"/>
        </w:rPr>
        <w:t>24</w:t>
      </w:r>
      <w:r>
        <w:rPr>
          <w:rFonts w:hint="eastAsia" w:ascii="宋体" w:hAnsi="宋体"/>
          <w:sz w:val="24"/>
        </w:rPr>
        <w:t xml:space="preserve">日 </w:t>
      </w:r>
      <w:bookmarkStart w:id="132" w:name="_Toc391969408"/>
    </w:p>
    <w:p w14:paraId="187B193C">
      <w:pPr>
        <w:spacing w:line="360" w:lineRule="auto"/>
        <w:jc w:val="right"/>
        <w:rPr>
          <w:rFonts w:hint="eastAsia" w:ascii="宋体" w:hAnsi="宋体"/>
          <w:sz w:val="24"/>
        </w:rPr>
      </w:pPr>
    </w:p>
    <w:p w14:paraId="4583E1FF">
      <w:pPr>
        <w:spacing w:line="360" w:lineRule="auto"/>
        <w:jc w:val="center"/>
        <w:outlineLvl w:val="0"/>
        <w:rPr>
          <w:rFonts w:hint="eastAsia" w:ascii="宋体" w:hAnsi="宋体"/>
          <w:b/>
          <w:bCs/>
          <w:sz w:val="32"/>
          <w:szCs w:val="32"/>
        </w:rPr>
      </w:pPr>
      <w:bookmarkStart w:id="133" w:name="_Toc10250"/>
      <w:bookmarkStart w:id="134" w:name="_Toc94277238"/>
    </w:p>
    <w:p w14:paraId="55090881">
      <w:pPr>
        <w:rPr>
          <w:rFonts w:hint="eastAsia" w:ascii="宋体" w:hAnsi="宋体"/>
          <w:b/>
          <w:bCs/>
          <w:sz w:val="32"/>
          <w:szCs w:val="32"/>
        </w:rPr>
      </w:pPr>
      <w:bookmarkStart w:id="135" w:name="_Toc16055"/>
      <w:r>
        <w:rPr>
          <w:rFonts w:hint="eastAsia" w:ascii="宋体" w:hAnsi="宋体"/>
          <w:b/>
          <w:bCs/>
          <w:sz w:val="32"/>
          <w:szCs w:val="32"/>
        </w:rPr>
        <w:br w:type="page"/>
      </w:r>
    </w:p>
    <w:p w14:paraId="6F81CD40">
      <w:pPr>
        <w:spacing w:line="360" w:lineRule="auto"/>
        <w:jc w:val="center"/>
        <w:outlineLvl w:val="0"/>
        <w:rPr>
          <w:rFonts w:hint="eastAsia" w:ascii="宋体" w:hAnsi="宋体"/>
          <w:b/>
          <w:bCs/>
          <w:sz w:val="32"/>
          <w:szCs w:val="32"/>
        </w:rPr>
      </w:pPr>
      <w:bookmarkStart w:id="136" w:name="_Toc12235"/>
      <w:bookmarkStart w:id="137" w:name="_Toc8178"/>
      <w:bookmarkStart w:id="138" w:name="_Toc4285"/>
      <w:r>
        <w:rPr>
          <w:rFonts w:hint="eastAsia" w:ascii="宋体" w:hAnsi="宋体"/>
          <w:b/>
          <w:bCs/>
          <w:sz w:val="32"/>
          <w:szCs w:val="32"/>
        </w:rPr>
        <w:t>第二章</w:t>
      </w:r>
      <w:r>
        <w:rPr>
          <w:rFonts w:ascii="宋体" w:hAnsi="宋体"/>
          <w:b/>
          <w:bCs/>
          <w:sz w:val="32"/>
          <w:szCs w:val="32"/>
        </w:rPr>
        <w:t xml:space="preserve">  </w:t>
      </w:r>
      <w:r>
        <w:rPr>
          <w:rFonts w:hint="eastAsia" w:ascii="宋体" w:hAnsi="宋体"/>
          <w:b/>
          <w:bCs/>
          <w:sz w:val="32"/>
          <w:szCs w:val="32"/>
        </w:rPr>
        <w:t>供应商须知</w:t>
      </w:r>
      <w:bookmarkEnd w:id="132"/>
      <w:bookmarkEnd w:id="133"/>
      <w:bookmarkEnd w:id="134"/>
      <w:bookmarkEnd w:id="135"/>
      <w:bookmarkEnd w:id="136"/>
      <w:bookmarkEnd w:id="137"/>
      <w:bookmarkEnd w:id="138"/>
      <w:bookmarkStart w:id="139" w:name="_Toc94277239"/>
    </w:p>
    <w:p w14:paraId="61ABF361">
      <w:pPr>
        <w:pStyle w:val="7"/>
        <w:tabs>
          <w:tab w:val="left" w:pos="1080"/>
        </w:tabs>
        <w:spacing w:before="0" w:after="120" w:afterLines="50" w:line="240" w:lineRule="auto"/>
        <w:ind w:firstLine="0" w:firstLineChars="0"/>
        <w:jc w:val="center"/>
        <w:rPr>
          <w:rFonts w:hint="eastAsia" w:ascii="宋体" w:hAnsi="宋体"/>
        </w:rPr>
      </w:pPr>
      <w:bookmarkStart w:id="140" w:name="_Toc3146"/>
      <w:bookmarkStart w:id="141" w:name="_Toc13307"/>
      <w:bookmarkStart w:id="142" w:name="_Toc26981"/>
      <w:bookmarkStart w:id="143" w:name="_Toc7815"/>
      <w:bookmarkStart w:id="144" w:name="_Toc6523"/>
      <w:r>
        <w:rPr>
          <w:rFonts w:hint="eastAsia" w:ascii="宋体" w:hAnsi="宋体"/>
        </w:rPr>
        <w:t>前附表</w:t>
      </w:r>
      <w:bookmarkEnd w:id="139"/>
      <w:bookmarkEnd w:id="140"/>
      <w:bookmarkEnd w:id="141"/>
      <w:bookmarkEnd w:id="142"/>
      <w:bookmarkEnd w:id="143"/>
      <w:bookmarkEnd w:id="144"/>
    </w:p>
    <w:tbl>
      <w:tblPr>
        <w:tblStyle w:val="33"/>
        <w:tblW w:w="10265"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635"/>
        <w:gridCol w:w="1987"/>
        <w:gridCol w:w="2176"/>
        <w:gridCol w:w="1263"/>
        <w:gridCol w:w="4204"/>
      </w:tblGrid>
      <w:tr w14:paraId="38724E8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29" w:hRule="exact"/>
          <w:jc w:val="center"/>
        </w:trPr>
        <w:tc>
          <w:tcPr>
            <w:tcW w:w="635" w:type="dxa"/>
            <w:tcBorders>
              <w:top w:val="double" w:color="auto" w:sz="4" w:space="0"/>
              <w:left w:val="double" w:color="auto" w:sz="4" w:space="0"/>
              <w:bottom w:val="single" w:color="auto" w:sz="4" w:space="0"/>
              <w:right w:val="single" w:color="auto" w:sz="4" w:space="0"/>
            </w:tcBorders>
            <w:vAlign w:val="center"/>
          </w:tcPr>
          <w:p w14:paraId="1CA4B611">
            <w:pPr>
              <w:jc w:val="center"/>
              <w:rPr>
                <w:rFonts w:hint="eastAsia" w:ascii="宋体" w:hAnsi="宋体"/>
                <w:b/>
                <w:bCs/>
                <w:snapToGrid w:val="0"/>
                <w:sz w:val="24"/>
              </w:rPr>
            </w:pPr>
            <w:bookmarkStart w:id="145" w:name="_Toc391969409"/>
            <w:bookmarkStart w:id="146" w:name="_Toc172608433"/>
            <w:r>
              <w:rPr>
                <w:rFonts w:hint="eastAsia" w:ascii="宋体" w:hAnsi="宋体"/>
                <w:b/>
                <w:bCs/>
                <w:snapToGrid w:val="0"/>
                <w:sz w:val="24"/>
              </w:rPr>
              <w:t>序号</w:t>
            </w:r>
          </w:p>
        </w:tc>
        <w:tc>
          <w:tcPr>
            <w:tcW w:w="1987" w:type="dxa"/>
            <w:tcBorders>
              <w:top w:val="double" w:color="auto" w:sz="4" w:space="0"/>
              <w:left w:val="single" w:color="auto" w:sz="4" w:space="0"/>
              <w:bottom w:val="single" w:color="auto" w:sz="4" w:space="0"/>
              <w:right w:val="single" w:color="auto" w:sz="4" w:space="0"/>
            </w:tcBorders>
            <w:vAlign w:val="center"/>
          </w:tcPr>
          <w:p w14:paraId="75E97E3E">
            <w:pPr>
              <w:jc w:val="center"/>
              <w:rPr>
                <w:rFonts w:hint="eastAsia" w:ascii="宋体" w:hAnsi="宋体"/>
                <w:b/>
                <w:bCs/>
                <w:sz w:val="24"/>
              </w:rPr>
            </w:pPr>
            <w:r>
              <w:rPr>
                <w:rFonts w:hint="eastAsia" w:ascii="宋体" w:hAnsi="宋体"/>
                <w:b/>
                <w:bCs/>
                <w:sz w:val="24"/>
              </w:rPr>
              <w:t>须知项目</w:t>
            </w:r>
          </w:p>
        </w:tc>
        <w:tc>
          <w:tcPr>
            <w:tcW w:w="7643" w:type="dxa"/>
            <w:gridSpan w:val="3"/>
            <w:tcBorders>
              <w:top w:val="double" w:color="auto" w:sz="4" w:space="0"/>
              <w:left w:val="single" w:color="auto" w:sz="4" w:space="0"/>
              <w:bottom w:val="single" w:color="auto" w:sz="4" w:space="0"/>
              <w:right w:val="double" w:color="auto" w:sz="4" w:space="0"/>
            </w:tcBorders>
            <w:vAlign w:val="center"/>
          </w:tcPr>
          <w:p w14:paraId="199D0916">
            <w:pPr>
              <w:jc w:val="center"/>
              <w:rPr>
                <w:rFonts w:hint="eastAsia" w:ascii="宋体" w:hAnsi="宋体"/>
                <w:b/>
                <w:bCs/>
                <w:sz w:val="24"/>
              </w:rPr>
            </w:pPr>
            <w:r>
              <w:rPr>
                <w:rFonts w:hint="eastAsia" w:ascii="宋体" w:hAnsi="宋体"/>
                <w:b/>
                <w:bCs/>
                <w:sz w:val="24"/>
              </w:rPr>
              <w:t>内容、要求和时间</w:t>
            </w:r>
          </w:p>
        </w:tc>
      </w:tr>
      <w:tr w14:paraId="325B381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635" w:type="dxa"/>
            <w:tcBorders>
              <w:top w:val="single" w:color="auto" w:sz="4" w:space="0"/>
              <w:left w:val="double" w:color="auto" w:sz="4" w:space="0"/>
              <w:bottom w:val="single" w:color="auto" w:sz="4" w:space="0"/>
              <w:right w:val="single" w:color="auto" w:sz="4" w:space="0"/>
            </w:tcBorders>
            <w:vAlign w:val="center"/>
          </w:tcPr>
          <w:p w14:paraId="143AAFF0">
            <w:pPr>
              <w:jc w:val="center"/>
              <w:rPr>
                <w:rFonts w:hint="eastAsia" w:ascii="宋体" w:hAnsi="宋体"/>
                <w:bCs/>
                <w:snapToGrid w:val="0"/>
                <w:sz w:val="24"/>
              </w:rPr>
            </w:pPr>
            <w:r>
              <w:rPr>
                <w:rFonts w:hint="eastAsia" w:ascii="宋体" w:hAnsi="宋体"/>
                <w:bCs/>
                <w:snapToGrid w:val="0"/>
                <w:sz w:val="24"/>
              </w:rPr>
              <w:t>1</w:t>
            </w:r>
          </w:p>
        </w:tc>
        <w:tc>
          <w:tcPr>
            <w:tcW w:w="1987" w:type="dxa"/>
            <w:tcBorders>
              <w:top w:val="single" w:color="auto" w:sz="4" w:space="0"/>
              <w:left w:val="single" w:color="auto" w:sz="4" w:space="0"/>
              <w:bottom w:val="single" w:color="auto" w:sz="4" w:space="0"/>
              <w:right w:val="single" w:color="auto" w:sz="4" w:space="0"/>
            </w:tcBorders>
            <w:vAlign w:val="center"/>
          </w:tcPr>
          <w:p w14:paraId="2A7C5471">
            <w:pPr>
              <w:jc w:val="center"/>
              <w:rPr>
                <w:rFonts w:hint="eastAsia" w:ascii="宋体" w:hAnsi="宋体"/>
                <w:bCs/>
                <w:snapToGrid w:val="0"/>
                <w:sz w:val="24"/>
              </w:rPr>
            </w:pPr>
            <w:r>
              <w:rPr>
                <w:rFonts w:hint="eastAsia" w:ascii="宋体" w:hAnsi="宋体"/>
                <w:bCs/>
                <w:snapToGrid w:val="0"/>
                <w:sz w:val="24"/>
              </w:rPr>
              <w:t>项目名称</w:t>
            </w:r>
          </w:p>
        </w:tc>
        <w:tc>
          <w:tcPr>
            <w:tcW w:w="7643" w:type="dxa"/>
            <w:gridSpan w:val="3"/>
            <w:tcBorders>
              <w:top w:val="single" w:color="auto" w:sz="4" w:space="0"/>
              <w:left w:val="single" w:color="auto" w:sz="4" w:space="0"/>
              <w:bottom w:val="single" w:color="auto" w:sz="4" w:space="0"/>
              <w:right w:val="double" w:color="auto" w:sz="4" w:space="0"/>
            </w:tcBorders>
            <w:vAlign w:val="center"/>
          </w:tcPr>
          <w:p w14:paraId="7EC04D1C">
            <w:pPr>
              <w:rPr>
                <w:rFonts w:hint="eastAsia" w:ascii="宋体" w:hAnsi="宋体" w:eastAsia="宋体"/>
                <w:bCs/>
                <w:snapToGrid w:val="0"/>
                <w:sz w:val="24"/>
                <w:lang w:eastAsia="zh-CN"/>
              </w:rPr>
            </w:pPr>
            <w:r>
              <w:rPr>
                <w:rFonts w:hint="eastAsia" w:ascii="宋体" w:hAnsi="宋体"/>
                <w:sz w:val="24"/>
                <w:lang w:eastAsia="zh-CN"/>
              </w:rPr>
              <w:t>丽水市经常化创建全国县级文明城市第三方无感评估项目</w:t>
            </w:r>
          </w:p>
        </w:tc>
      </w:tr>
      <w:tr w14:paraId="7151AD0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24" w:hRule="atLeast"/>
          <w:jc w:val="center"/>
        </w:trPr>
        <w:tc>
          <w:tcPr>
            <w:tcW w:w="635" w:type="dxa"/>
            <w:tcBorders>
              <w:top w:val="single" w:color="auto" w:sz="4" w:space="0"/>
              <w:left w:val="double" w:color="auto" w:sz="4" w:space="0"/>
              <w:bottom w:val="single" w:color="auto" w:sz="4" w:space="0"/>
              <w:right w:val="single" w:color="auto" w:sz="4" w:space="0"/>
            </w:tcBorders>
            <w:vAlign w:val="center"/>
          </w:tcPr>
          <w:p w14:paraId="70847DA2">
            <w:pPr>
              <w:jc w:val="center"/>
              <w:rPr>
                <w:rFonts w:hint="eastAsia" w:ascii="宋体" w:hAnsi="宋体"/>
                <w:bCs/>
                <w:snapToGrid w:val="0"/>
                <w:sz w:val="24"/>
              </w:rPr>
            </w:pPr>
            <w:r>
              <w:rPr>
                <w:rFonts w:hint="eastAsia" w:ascii="宋体" w:hAnsi="宋体"/>
                <w:bCs/>
                <w:snapToGrid w:val="0"/>
                <w:sz w:val="24"/>
              </w:rPr>
              <w:t>2</w:t>
            </w:r>
          </w:p>
        </w:tc>
        <w:tc>
          <w:tcPr>
            <w:tcW w:w="1987" w:type="dxa"/>
            <w:tcBorders>
              <w:top w:val="single" w:color="auto" w:sz="4" w:space="0"/>
              <w:left w:val="single" w:color="auto" w:sz="4" w:space="0"/>
              <w:bottom w:val="single" w:color="auto" w:sz="4" w:space="0"/>
              <w:right w:val="single" w:color="auto" w:sz="4" w:space="0"/>
            </w:tcBorders>
            <w:vAlign w:val="center"/>
          </w:tcPr>
          <w:p w14:paraId="25D4AC89">
            <w:pPr>
              <w:jc w:val="center"/>
              <w:rPr>
                <w:rFonts w:hint="eastAsia" w:ascii="宋体" w:hAnsi="宋体"/>
                <w:sz w:val="24"/>
              </w:rPr>
            </w:pPr>
            <w:r>
              <w:rPr>
                <w:rFonts w:hint="eastAsia" w:ascii="宋体" w:hAnsi="宋体"/>
                <w:sz w:val="24"/>
              </w:rPr>
              <w:t>采购人</w:t>
            </w:r>
          </w:p>
        </w:tc>
        <w:tc>
          <w:tcPr>
            <w:tcW w:w="7643" w:type="dxa"/>
            <w:gridSpan w:val="3"/>
            <w:tcBorders>
              <w:top w:val="single" w:color="auto" w:sz="4" w:space="0"/>
              <w:left w:val="single" w:color="auto" w:sz="4" w:space="0"/>
              <w:bottom w:val="single" w:color="auto" w:sz="4" w:space="0"/>
              <w:right w:val="double" w:color="auto" w:sz="4" w:space="0"/>
            </w:tcBorders>
            <w:vAlign w:val="center"/>
          </w:tcPr>
          <w:p w14:paraId="6AEBC0D5">
            <w:pPr>
              <w:rPr>
                <w:rFonts w:hint="eastAsia" w:ascii="宋体" w:hAnsi="宋体"/>
                <w:sz w:val="24"/>
              </w:rPr>
            </w:pPr>
            <w:r>
              <w:rPr>
                <w:rFonts w:hint="eastAsia" w:hAnsi="宋体"/>
                <w:sz w:val="24"/>
                <w:lang w:eastAsia="zh-CN"/>
              </w:rPr>
              <w:t>中共丽水市委宣传部</w:t>
            </w:r>
          </w:p>
        </w:tc>
      </w:tr>
      <w:tr w14:paraId="27F95CA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81" w:hRule="atLeast"/>
          <w:jc w:val="center"/>
        </w:trPr>
        <w:tc>
          <w:tcPr>
            <w:tcW w:w="635" w:type="dxa"/>
            <w:tcBorders>
              <w:top w:val="single" w:color="auto" w:sz="4" w:space="0"/>
              <w:left w:val="double" w:color="auto" w:sz="4" w:space="0"/>
              <w:bottom w:val="single" w:color="auto" w:sz="4" w:space="0"/>
              <w:right w:val="single" w:color="auto" w:sz="4" w:space="0"/>
            </w:tcBorders>
            <w:vAlign w:val="center"/>
          </w:tcPr>
          <w:p w14:paraId="6566E27E">
            <w:pPr>
              <w:jc w:val="center"/>
              <w:rPr>
                <w:rFonts w:hint="eastAsia" w:ascii="宋体" w:hAnsi="宋体"/>
                <w:bCs/>
                <w:snapToGrid w:val="0"/>
                <w:sz w:val="24"/>
              </w:rPr>
            </w:pPr>
            <w:r>
              <w:rPr>
                <w:rFonts w:hint="eastAsia" w:ascii="宋体" w:hAnsi="宋体"/>
                <w:bCs/>
                <w:snapToGrid w:val="0"/>
                <w:sz w:val="24"/>
              </w:rPr>
              <w:t>3</w:t>
            </w:r>
          </w:p>
        </w:tc>
        <w:tc>
          <w:tcPr>
            <w:tcW w:w="1987" w:type="dxa"/>
            <w:tcBorders>
              <w:top w:val="single" w:color="auto" w:sz="4" w:space="0"/>
              <w:left w:val="single" w:color="auto" w:sz="4" w:space="0"/>
              <w:bottom w:val="single" w:color="auto" w:sz="4" w:space="0"/>
              <w:right w:val="single" w:color="auto" w:sz="4" w:space="0"/>
            </w:tcBorders>
            <w:vAlign w:val="center"/>
          </w:tcPr>
          <w:p w14:paraId="370BE19A">
            <w:pPr>
              <w:jc w:val="center"/>
              <w:rPr>
                <w:rFonts w:hint="eastAsia" w:ascii="宋体" w:hAnsi="宋体"/>
                <w:bCs/>
                <w:snapToGrid w:val="0"/>
                <w:sz w:val="24"/>
              </w:rPr>
            </w:pPr>
            <w:r>
              <w:rPr>
                <w:rFonts w:hint="eastAsia" w:ascii="宋体" w:hAnsi="宋体"/>
                <w:bCs/>
                <w:snapToGrid w:val="0"/>
                <w:sz w:val="24"/>
              </w:rPr>
              <w:t>采购代理机构</w:t>
            </w:r>
          </w:p>
        </w:tc>
        <w:tc>
          <w:tcPr>
            <w:tcW w:w="7643" w:type="dxa"/>
            <w:gridSpan w:val="3"/>
            <w:tcBorders>
              <w:top w:val="single" w:color="auto" w:sz="4" w:space="0"/>
              <w:left w:val="single" w:color="auto" w:sz="4" w:space="0"/>
              <w:bottom w:val="single" w:color="auto" w:sz="4" w:space="0"/>
              <w:right w:val="double" w:color="auto" w:sz="4" w:space="0"/>
            </w:tcBorders>
            <w:vAlign w:val="center"/>
          </w:tcPr>
          <w:p w14:paraId="5DDAA503">
            <w:pPr>
              <w:rPr>
                <w:rFonts w:hint="eastAsia" w:ascii="宋体" w:hAnsi="宋体"/>
                <w:bCs/>
                <w:snapToGrid w:val="0"/>
                <w:sz w:val="24"/>
              </w:rPr>
            </w:pPr>
            <w:r>
              <w:rPr>
                <w:rFonts w:hint="eastAsia" w:ascii="宋体" w:hAnsi="宋体"/>
                <w:bCs/>
                <w:snapToGrid w:val="0"/>
                <w:sz w:val="24"/>
              </w:rPr>
              <w:t>卓正招标咨询（丽水）有限公司</w:t>
            </w:r>
          </w:p>
        </w:tc>
      </w:tr>
      <w:tr w14:paraId="095D33D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635" w:type="dxa"/>
            <w:tcBorders>
              <w:top w:val="single" w:color="auto" w:sz="4" w:space="0"/>
              <w:left w:val="double" w:color="auto" w:sz="4" w:space="0"/>
              <w:bottom w:val="single" w:color="auto" w:sz="4" w:space="0"/>
              <w:right w:val="single" w:color="auto" w:sz="4" w:space="0"/>
            </w:tcBorders>
            <w:vAlign w:val="center"/>
          </w:tcPr>
          <w:p w14:paraId="2464301C">
            <w:pPr>
              <w:jc w:val="center"/>
              <w:rPr>
                <w:rFonts w:hint="eastAsia" w:ascii="宋体" w:hAnsi="宋体"/>
                <w:bCs/>
                <w:snapToGrid w:val="0"/>
                <w:sz w:val="24"/>
              </w:rPr>
            </w:pPr>
            <w:r>
              <w:rPr>
                <w:rFonts w:hint="eastAsia" w:ascii="宋体" w:hAnsi="宋体"/>
                <w:bCs/>
                <w:snapToGrid w:val="0"/>
                <w:sz w:val="24"/>
              </w:rPr>
              <w:t>4</w:t>
            </w:r>
          </w:p>
        </w:tc>
        <w:tc>
          <w:tcPr>
            <w:tcW w:w="1987" w:type="dxa"/>
            <w:tcBorders>
              <w:top w:val="single" w:color="auto" w:sz="4" w:space="0"/>
              <w:left w:val="single" w:color="auto" w:sz="4" w:space="0"/>
              <w:bottom w:val="single" w:color="auto" w:sz="4" w:space="0"/>
              <w:right w:val="single" w:color="auto" w:sz="4" w:space="0"/>
            </w:tcBorders>
            <w:vAlign w:val="center"/>
          </w:tcPr>
          <w:p w14:paraId="329679EA">
            <w:pPr>
              <w:jc w:val="center"/>
              <w:rPr>
                <w:rFonts w:hint="eastAsia" w:ascii="宋体" w:hAnsi="宋体"/>
                <w:bCs/>
                <w:snapToGrid w:val="0"/>
                <w:sz w:val="24"/>
              </w:rPr>
            </w:pPr>
            <w:r>
              <w:rPr>
                <w:rFonts w:hint="eastAsia" w:ascii="宋体" w:hAnsi="宋体"/>
                <w:bCs/>
                <w:snapToGrid w:val="0"/>
                <w:sz w:val="24"/>
              </w:rPr>
              <w:t>采购方式</w:t>
            </w:r>
          </w:p>
        </w:tc>
        <w:tc>
          <w:tcPr>
            <w:tcW w:w="2176" w:type="dxa"/>
            <w:tcBorders>
              <w:top w:val="single" w:color="auto" w:sz="4" w:space="0"/>
              <w:left w:val="single" w:color="auto" w:sz="4" w:space="0"/>
              <w:bottom w:val="single" w:color="auto" w:sz="4" w:space="0"/>
              <w:right w:val="single" w:color="auto" w:sz="4" w:space="0"/>
            </w:tcBorders>
            <w:vAlign w:val="center"/>
          </w:tcPr>
          <w:p w14:paraId="51CFD462">
            <w:pPr>
              <w:rPr>
                <w:rFonts w:hint="eastAsia" w:ascii="宋体" w:hAnsi="宋体"/>
                <w:bCs/>
                <w:sz w:val="24"/>
              </w:rPr>
            </w:pPr>
            <w:r>
              <w:rPr>
                <w:rFonts w:hint="eastAsia" w:ascii="宋体" w:hAnsi="宋体"/>
                <w:bCs/>
                <w:sz w:val="24"/>
              </w:rPr>
              <w:t>竞争性磋商</w:t>
            </w:r>
          </w:p>
        </w:tc>
        <w:tc>
          <w:tcPr>
            <w:tcW w:w="1263" w:type="dxa"/>
            <w:tcBorders>
              <w:top w:val="single" w:color="auto" w:sz="4" w:space="0"/>
              <w:left w:val="single" w:color="auto" w:sz="4" w:space="0"/>
              <w:bottom w:val="single" w:color="auto" w:sz="4" w:space="0"/>
              <w:right w:val="single" w:color="auto" w:sz="4" w:space="0"/>
            </w:tcBorders>
            <w:vAlign w:val="center"/>
          </w:tcPr>
          <w:p w14:paraId="2D138D4B">
            <w:pPr>
              <w:rPr>
                <w:rFonts w:hint="eastAsia" w:ascii="宋体" w:hAnsi="宋体"/>
                <w:bCs/>
                <w:sz w:val="24"/>
              </w:rPr>
            </w:pPr>
            <w:r>
              <w:rPr>
                <w:rFonts w:hint="eastAsia" w:ascii="宋体" w:hAnsi="宋体"/>
                <w:bCs/>
                <w:sz w:val="24"/>
              </w:rPr>
              <w:t>组织方式</w:t>
            </w:r>
          </w:p>
        </w:tc>
        <w:tc>
          <w:tcPr>
            <w:tcW w:w="4204" w:type="dxa"/>
            <w:tcBorders>
              <w:top w:val="single" w:color="auto" w:sz="4" w:space="0"/>
              <w:left w:val="single" w:color="auto" w:sz="4" w:space="0"/>
              <w:bottom w:val="single" w:color="auto" w:sz="4" w:space="0"/>
              <w:right w:val="double" w:color="auto" w:sz="4" w:space="0"/>
            </w:tcBorders>
            <w:vAlign w:val="center"/>
          </w:tcPr>
          <w:p w14:paraId="622039FB">
            <w:pPr>
              <w:rPr>
                <w:rFonts w:hint="eastAsia" w:ascii="宋体" w:hAnsi="宋体"/>
                <w:bCs/>
                <w:sz w:val="24"/>
              </w:rPr>
            </w:pPr>
            <w:r>
              <w:rPr>
                <w:rFonts w:hint="eastAsia" w:ascii="宋体" w:hAnsi="宋体"/>
                <w:bCs/>
                <w:sz w:val="24"/>
              </w:rPr>
              <w:t>分散采购</w:t>
            </w:r>
          </w:p>
        </w:tc>
      </w:tr>
      <w:tr w14:paraId="073327F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635" w:type="dxa"/>
            <w:tcBorders>
              <w:top w:val="single" w:color="auto" w:sz="4" w:space="0"/>
              <w:left w:val="double" w:color="auto" w:sz="4" w:space="0"/>
              <w:bottom w:val="single" w:color="auto" w:sz="4" w:space="0"/>
              <w:right w:val="single" w:color="auto" w:sz="4" w:space="0"/>
            </w:tcBorders>
            <w:vAlign w:val="center"/>
          </w:tcPr>
          <w:p w14:paraId="5799A667">
            <w:pPr>
              <w:jc w:val="center"/>
              <w:rPr>
                <w:rFonts w:hint="eastAsia" w:ascii="宋体" w:hAnsi="宋体"/>
                <w:bCs/>
                <w:snapToGrid w:val="0"/>
                <w:sz w:val="24"/>
              </w:rPr>
            </w:pPr>
            <w:r>
              <w:rPr>
                <w:rFonts w:hint="eastAsia" w:ascii="宋体" w:hAnsi="宋体"/>
                <w:bCs/>
                <w:snapToGrid w:val="0"/>
                <w:sz w:val="24"/>
              </w:rPr>
              <w:t>5</w:t>
            </w:r>
          </w:p>
        </w:tc>
        <w:tc>
          <w:tcPr>
            <w:tcW w:w="1987" w:type="dxa"/>
            <w:tcBorders>
              <w:top w:val="single" w:color="auto" w:sz="4" w:space="0"/>
              <w:left w:val="single" w:color="auto" w:sz="4" w:space="0"/>
              <w:bottom w:val="single" w:color="auto" w:sz="4" w:space="0"/>
              <w:right w:val="single" w:color="auto" w:sz="4" w:space="0"/>
            </w:tcBorders>
            <w:vAlign w:val="center"/>
          </w:tcPr>
          <w:p w14:paraId="3C919037">
            <w:pPr>
              <w:jc w:val="center"/>
              <w:rPr>
                <w:rFonts w:hint="eastAsia" w:ascii="宋体" w:hAnsi="宋体"/>
                <w:bCs/>
                <w:snapToGrid w:val="0"/>
                <w:sz w:val="24"/>
              </w:rPr>
            </w:pPr>
            <w:r>
              <w:rPr>
                <w:rFonts w:hint="eastAsia" w:ascii="宋体" w:hAnsi="宋体"/>
                <w:bCs/>
                <w:snapToGrid w:val="0"/>
                <w:sz w:val="24"/>
              </w:rPr>
              <w:t>资格审查方式</w:t>
            </w:r>
          </w:p>
        </w:tc>
        <w:tc>
          <w:tcPr>
            <w:tcW w:w="7643" w:type="dxa"/>
            <w:gridSpan w:val="3"/>
            <w:tcBorders>
              <w:top w:val="single" w:color="auto" w:sz="4" w:space="0"/>
              <w:left w:val="single" w:color="auto" w:sz="4" w:space="0"/>
              <w:bottom w:val="single" w:color="auto" w:sz="4" w:space="0"/>
              <w:right w:val="double" w:color="auto" w:sz="4" w:space="0"/>
            </w:tcBorders>
            <w:vAlign w:val="center"/>
          </w:tcPr>
          <w:p w14:paraId="37565CCE">
            <w:pPr>
              <w:rPr>
                <w:rFonts w:hint="eastAsia" w:ascii="宋体" w:hAnsi="宋体"/>
                <w:bCs/>
                <w:snapToGrid w:val="0"/>
                <w:sz w:val="24"/>
              </w:rPr>
            </w:pPr>
            <w:r>
              <w:rPr>
                <w:rFonts w:hint="eastAsia" w:ascii="宋体" w:hAnsi="宋体"/>
                <w:bCs/>
                <w:snapToGrid w:val="0"/>
                <w:sz w:val="24"/>
              </w:rPr>
              <w:t>采用资格后审，供应商获取竞争性磋商文件或提交响应文件不表明已获取磋商资格，磋商会上通过资格审查的供应商才具有磋商资格。</w:t>
            </w:r>
          </w:p>
        </w:tc>
      </w:tr>
      <w:tr w14:paraId="5C9BDF2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24" w:hRule="atLeast"/>
          <w:jc w:val="center"/>
        </w:trPr>
        <w:tc>
          <w:tcPr>
            <w:tcW w:w="635" w:type="dxa"/>
            <w:tcBorders>
              <w:top w:val="single" w:color="auto" w:sz="4" w:space="0"/>
              <w:left w:val="double" w:color="auto" w:sz="4" w:space="0"/>
              <w:bottom w:val="single" w:color="auto" w:sz="4" w:space="0"/>
              <w:right w:val="single" w:color="auto" w:sz="4" w:space="0"/>
            </w:tcBorders>
            <w:vAlign w:val="center"/>
          </w:tcPr>
          <w:p w14:paraId="50914CD4">
            <w:pPr>
              <w:jc w:val="center"/>
              <w:rPr>
                <w:rFonts w:hint="eastAsia" w:ascii="宋体" w:hAnsi="宋体"/>
                <w:bCs/>
                <w:snapToGrid w:val="0"/>
                <w:sz w:val="24"/>
              </w:rPr>
            </w:pPr>
            <w:r>
              <w:rPr>
                <w:rFonts w:hint="eastAsia" w:ascii="宋体" w:hAnsi="宋体"/>
                <w:bCs/>
                <w:snapToGrid w:val="0"/>
                <w:sz w:val="24"/>
              </w:rPr>
              <w:t>6</w:t>
            </w:r>
          </w:p>
        </w:tc>
        <w:tc>
          <w:tcPr>
            <w:tcW w:w="1987" w:type="dxa"/>
            <w:tcBorders>
              <w:top w:val="single" w:color="auto" w:sz="4" w:space="0"/>
              <w:left w:val="single" w:color="auto" w:sz="4" w:space="0"/>
              <w:bottom w:val="single" w:color="auto" w:sz="4" w:space="0"/>
              <w:right w:val="single" w:color="auto" w:sz="4" w:space="0"/>
            </w:tcBorders>
            <w:vAlign w:val="center"/>
          </w:tcPr>
          <w:p w14:paraId="713D44E4">
            <w:pPr>
              <w:jc w:val="center"/>
              <w:rPr>
                <w:rFonts w:hint="eastAsia" w:ascii="宋体" w:hAnsi="宋体"/>
                <w:bCs/>
                <w:snapToGrid w:val="0"/>
                <w:sz w:val="24"/>
              </w:rPr>
            </w:pPr>
            <w:r>
              <w:rPr>
                <w:rFonts w:hint="eastAsia" w:ascii="宋体" w:hAnsi="宋体"/>
                <w:bCs/>
                <w:snapToGrid w:val="0"/>
                <w:sz w:val="24"/>
              </w:rPr>
              <w:t>磋商有效期</w:t>
            </w:r>
          </w:p>
        </w:tc>
        <w:tc>
          <w:tcPr>
            <w:tcW w:w="7643" w:type="dxa"/>
            <w:gridSpan w:val="3"/>
            <w:tcBorders>
              <w:top w:val="single" w:color="auto" w:sz="4" w:space="0"/>
              <w:left w:val="single" w:color="auto" w:sz="4" w:space="0"/>
              <w:bottom w:val="single" w:color="auto" w:sz="4" w:space="0"/>
              <w:right w:val="double" w:color="auto" w:sz="4" w:space="0"/>
            </w:tcBorders>
            <w:vAlign w:val="center"/>
          </w:tcPr>
          <w:p w14:paraId="5688E3E6">
            <w:pPr>
              <w:rPr>
                <w:rFonts w:hint="eastAsia" w:ascii="宋体" w:hAnsi="宋体"/>
                <w:bCs/>
                <w:snapToGrid w:val="0"/>
                <w:sz w:val="24"/>
              </w:rPr>
            </w:pPr>
            <w:r>
              <w:rPr>
                <w:rFonts w:hint="eastAsia" w:ascii="宋体" w:hAnsi="宋体"/>
                <w:sz w:val="24"/>
              </w:rPr>
              <w:t>响应文件提交截止</w:t>
            </w:r>
            <w:r>
              <w:rPr>
                <w:rFonts w:hint="eastAsia" w:ascii="宋体" w:hAnsi="宋体"/>
                <w:bCs/>
                <w:snapToGrid w:val="0"/>
                <w:sz w:val="24"/>
              </w:rPr>
              <w:t>之日起90天内有效</w:t>
            </w:r>
          </w:p>
        </w:tc>
      </w:tr>
      <w:tr w14:paraId="53D41A1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905" w:hRule="exact"/>
          <w:jc w:val="center"/>
        </w:trPr>
        <w:tc>
          <w:tcPr>
            <w:tcW w:w="635" w:type="dxa"/>
            <w:tcBorders>
              <w:top w:val="single" w:color="auto" w:sz="4" w:space="0"/>
              <w:left w:val="double" w:color="auto" w:sz="4" w:space="0"/>
              <w:bottom w:val="single" w:color="auto" w:sz="4" w:space="0"/>
              <w:right w:val="single" w:color="auto" w:sz="4" w:space="0"/>
            </w:tcBorders>
            <w:vAlign w:val="center"/>
          </w:tcPr>
          <w:p w14:paraId="62CD750C">
            <w:pPr>
              <w:jc w:val="center"/>
              <w:rPr>
                <w:rFonts w:hint="eastAsia" w:ascii="宋体" w:hAnsi="宋体"/>
                <w:bCs/>
                <w:snapToGrid w:val="0"/>
                <w:sz w:val="24"/>
              </w:rPr>
            </w:pPr>
            <w:r>
              <w:rPr>
                <w:rFonts w:hint="eastAsia" w:ascii="宋体" w:hAnsi="宋体"/>
                <w:bCs/>
                <w:snapToGrid w:val="0"/>
                <w:sz w:val="24"/>
              </w:rPr>
              <w:t>7</w:t>
            </w:r>
          </w:p>
        </w:tc>
        <w:tc>
          <w:tcPr>
            <w:tcW w:w="1987" w:type="dxa"/>
            <w:tcBorders>
              <w:top w:val="single" w:color="auto" w:sz="4" w:space="0"/>
              <w:left w:val="single" w:color="auto" w:sz="4" w:space="0"/>
              <w:bottom w:val="single" w:color="auto" w:sz="4" w:space="0"/>
              <w:right w:val="single" w:color="auto" w:sz="4" w:space="0"/>
            </w:tcBorders>
            <w:vAlign w:val="center"/>
          </w:tcPr>
          <w:p w14:paraId="7F1033EF">
            <w:pPr>
              <w:jc w:val="center"/>
              <w:rPr>
                <w:rFonts w:hint="eastAsia" w:ascii="宋体" w:hAnsi="宋体"/>
                <w:bCs/>
                <w:sz w:val="24"/>
              </w:rPr>
            </w:pPr>
            <w:r>
              <w:rPr>
                <w:rFonts w:hint="eastAsia" w:ascii="宋体" w:hAnsi="宋体"/>
                <w:bCs/>
                <w:sz w:val="24"/>
              </w:rPr>
              <w:t>磋商文件质疑</w:t>
            </w:r>
          </w:p>
        </w:tc>
        <w:tc>
          <w:tcPr>
            <w:tcW w:w="7643" w:type="dxa"/>
            <w:gridSpan w:val="3"/>
            <w:tcBorders>
              <w:top w:val="single" w:color="auto" w:sz="4" w:space="0"/>
              <w:left w:val="single" w:color="auto" w:sz="4" w:space="0"/>
              <w:bottom w:val="single" w:color="auto" w:sz="4" w:space="0"/>
              <w:right w:val="double" w:color="auto" w:sz="4" w:space="0"/>
            </w:tcBorders>
            <w:vAlign w:val="center"/>
          </w:tcPr>
          <w:p w14:paraId="2BA54B37">
            <w:pPr>
              <w:rPr>
                <w:rFonts w:hint="eastAsia" w:ascii="宋体" w:hAnsi="宋体"/>
                <w:sz w:val="24"/>
              </w:rPr>
            </w:pPr>
            <w:r>
              <w:rPr>
                <w:rFonts w:hint="eastAsia" w:ascii="宋体" w:hAnsi="宋体"/>
                <w:sz w:val="24"/>
              </w:rPr>
              <w:t>1、只有通过电子交易平台“潜在供应商”栏获取竞争性磋商文件的供应商才能对竞争性磋商文件提出质疑（质疑时间详见前附表），否则不予受理。</w:t>
            </w:r>
          </w:p>
          <w:p w14:paraId="7F434C53">
            <w:pPr>
              <w:rPr>
                <w:rFonts w:hint="eastAsia" w:ascii="宋体" w:hAnsi="宋体"/>
                <w:bCs/>
                <w:sz w:val="24"/>
              </w:rPr>
            </w:pPr>
            <w:r>
              <w:rPr>
                <w:rFonts w:hint="eastAsia" w:ascii="宋体" w:hAnsi="宋体"/>
                <w:sz w:val="24"/>
              </w:rPr>
              <w:t>2、质疑期限为自磋商公告期限届满之日（磋商公告届满日为公告发布后的第4个工作日）起7个工作日内，以书面形式向采购人和采购代理机构一次性提出质疑。</w:t>
            </w:r>
          </w:p>
        </w:tc>
      </w:tr>
      <w:tr w14:paraId="65DD96E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19" w:hRule="exact"/>
          <w:jc w:val="center"/>
        </w:trPr>
        <w:tc>
          <w:tcPr>
            <w:tcW w:w="635" w:type="dxa"/>
            <w:tcBorders>
              <w:top w:val="single" w:color="auto" w:sz="4" w:space="0"/>
              <w:left w:val="double" w:color="auto" w:sz="4" w:space="0"/>
              <w:bottom w:val="single" w:color="auto" w:sz="4" w:space="0"/>
              <w:right w:val="single" w:color="auto" w:sz="4" w:space="0"/>
            </w:tcBorders>
            <w:vAlign w:val="center"/>
          </w:tcPr>
          <w:p w14:paraId="0AF8D938">
            <w:pPr>
              <w:jc w:val="center"/>
              <w:rPr>
                <w:rFonts w:hint="eastAsia" w:ascii="宋体" w:hAnsi="宋体"/>
                <w:bCs/>
                <w:snapToGrid w:val="0"/>
                <w:sz w:val="24"/>
              </w:rPr>
            </w:pPr>
            <w:r>
              <w:rPr>
                <w:rFonts w:hint="eastAsia" w:ascii="宋体" w:hAnsi="宋体"/>
                <w:bCs/>
                <w:snapToGrid w:val="0"/>
                <w:sz w:val="24"/>
              </w:rPr>
              <w:t>8</w:t>
            </w:r>
          </w:p>
        </w:tc>
        <w:tc>
          <w:tcPr>
            <w:tcW w:w="1987" w:type="dxa"/>
            <w:tcBorders>
              <w:top w:val="single" w:color="auto" w:sz="4" w:space="0"/>
              <w:left w:val="single" w:color="auto" w:sz="4" w:space="0"/>
              <w:bottom w:val="single" w:color="auto" w:sz="4" w:space="0"/>
              <w:right w:val="single" w:color="auto" w:sz="4" w:space="0"/>
            </w:tcBorders>
            <w:vAlign w:val="center"/>
          </w:tcPr>
          <w:p w14:paraId="07B1E10F">
            <w:pPr>
              <w:jc w:val="center"/>
              <w:rPr>
                <w:rFonts w:hint="eastAsia" w:ascii="宋体" w:hAnsi="宋体"/>
                <w:bCs/>
                <w:snapToGrid w:val="0"/>
                <w:sz w:val="24"/>
              </w:rPr>
            </w:pPr>
            <w:r>
              <w:rPr>
                <w:rFonts w:hint="eastAsia" w:ascii="宋体" w:hAnsi="宋体"/>
                <w:bCs/>
                <w:snapToGrid w:val="0"/>
                <w:sz w:val="24"/>
              </w:rPr>
              <w:t>磋商文件澄清或修改时间</w:t>
            </w:r>
          </w:p>
        </w:tc>
        <w:tc>
          <w:tcPr>
            <w:tcW w:w="7643" w:type="dxa"/>
            <w:gridSpan w:val="3"/>
            <w:tcBorders>
              <w:top w:val="single" w:color="auto" w:sz="4" w:space="0"/>
              <w:left w:val="single" w:color="auto" w:sz="4" w:space="0"/>
              <w:bottom w:val="single" w:color="auto" w:sz="4" w:space="0"/>
              <w:right w:val="double" w:color="auto" w:sz="4" w:space="0"/>
            </w:tcBorders>
            <w:vAlign w:val="center"/>
          </w:tcPr>
          <w:p w14:paraId="4E13BA44">
            <w:pPr>
              <w:rPr>
                <w:rFonts w:hint="eastAsia" w:ascii="宋体" w:hAnsi="宋体"/>
                <w:bCs/>
                <w:snapToGrid w:val="0"/>
                <w:sz w:val="24"/>
              </w:rPr>
            </w:pPr>
            <w:r>
              <w:rPr>
                <w:rFonts w:hint="eastAsia" w:ascii="宋体" w:hAnsi="宋体"/>
                <w:bCs/>
                <w:sz w:val="24"/>
              </w:rPr>
              <w:t>提交响应文件截止时间</w:t>
            </w:r>
            <w:r>
              <w:rPr>
                <w:rFonts w:ascii="宋体" w:hAnsi="宋体"/>
                <w:bCs/>
                <w:sz w:val="24"/>
              </w:rPr>
              <w:t>5</w:t>
            </w:r>
            <w:r>
              <w:rPr>
                <w:rFonts w:hint="eastAsia" w:ascii="宋体" w:hAnsi="宋体"/>
                <w:bCs/>
                <w:sz w:val="24"/>
              </w:rPr>
              <w:t>日前，</w:t>
            </w:r>
            <w:r>
              <w:rPr>
                <w:rFonts w:hint="eastAsia" w:ascii="宋体" w:hAnsi="宋体"/>
                <w:sz w:val="24"/>
              </w:rPr>
              <w:t>发布网址同磋商公告发布网址。</w:t>
            </w:r>
          </w:p>
        </w:tc>
      </w:tr>
      <w:tr w14:paraId="23DF00C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395" w:hRule="atLeast"/>
          <w:jc w:val="center"/>
        </w:trPr>
        <w:tc>
          <w:tcPr>
            <w:tcW w:w="635" w:type="dxa"/>
            <w:tcBorders>
              <w:top w:val="single" w:color="auto" w:sz="4" w:space="0"/>
              <w:left w:val="double" w:color="auto" w:sz="4" w:space="0"/>
              <w:bottom w:val="single" w:color="auto" w:sz="4" w:space="0"/>
              <w:right w:val="single" w:color="auto" w:sz="4" w:space="0"/>
            </w:tcBorders>
            <w:vAlign w:val="center"/>
          </w:tcPr>
          <w:p w14:paraId="00F3BBDF">
            <w:pPr>
              <w:jc w:val="center"/>
              <w:rPr>
                <w:rFonts w:hint="eastAsia" w:ascii="宋体" w:hAnsi="宋体"/>
                <w:bCs/>
                <w:snapToGrid w:val="0"/>
                <w:sz w:val="24"/>
              </w:rPr>
            </w:pPr>
            <w:r>
              <w:rPr>
                <w:rFonts w:hint="eastAsia" w:ascii="宋体" w:hAnsi="宋体"/>
                <w:bCs/>
                <w:snapToGrid w:val="0"/>
                <w:sz w:val="24"/>
              </w:rPr>
              <w:t>9</w:t>
            </w:r>
          </w:p>
        </w:tc>
        <w:tc>
          <w:tcPr>
            <w:tcW w:w="1987" w:type="dxa"/>
            <w:tcBorders>
              <w:top w:val="single" w:color="auto" w:sz="4" w:space="0"/>
              <w:left w:val="single" w:color="auto" w:sz="4" w:space="0"/>
              <w:bottom w:val="single" w:color="auto" w:sz="4" w:space="0"/>
              <w:right w:val="single" w:color="auto" w:sz="4" w:space="0"/>
            </w:tcBorders>
            <w:vAlign w:val="center"/>
          </w:tcPr>
          <w:p w14:paraId="217B0F37">
            <w:pPr>
              <w:jc w:val="center"/>
              <w:rPr>
                <w:rFonts w:hint="eastAsia" w:ascii="宋体" w:hAnsi="宋体"/>
                <w:bCs/>
                <w:snapToGrid w:val="0"/>
                <w:sz w:val="24"/>
              </w:rPr>
            </w:pPr>
            <w:r>
              <w:rPr>
                <w:rFonts w:hint="eastAsia" w:ascii="宋体" w:hAnsi="宋体"/>
                <w:bCs/>
                <w:snapToGrid w:val="0"/>
                <w:sz w:val="24"/>
              </w:rPr>
              <w:t>响应文件</w:t>
            </w:r>
          </w:p>
          <w:p w14:paraId="0903631D">
            <w:pPr>
              <w:jc w:val="center"/>
              <w:rPr>
                <w:rFonts w:hint="eastAsia" w:ascii="宋体" w:hAnsi="宋体"/>
                <w:bCs/>
                <w:snapToGrid w:val="0"/>
                <w:sz w:val="24"/>
              </w:rPr>
            </w:pPr>
            <w:r>
              <w:rPr>
                <w:rFonts w:hint="eastAsia" w:ascii="宋体" w:hAnsi="宋体"/>
                <w:bCs/>
                <w:snapToGrid w:val="0"/>
                <w:sz w:val="24"/>
              </w:rPr>
              <w:t>提交方式</w:t>
            </w:r>
          </w:p>
        </w:tc>
        <w:tc>
          <w:tcPr>
            <w:tcW w:w="7643" w:type="dxa"/>
            <w:gridSpan w:val="3"/>
            <w:tcBorders>
              <w:top w:val="single" w:color="auto" w:sz="4" w:space="0"/>
              <w:left w:val="single" w:color="auto" w:sz="4" w:space="0"/>
              <w:bottom w:val="single" w:color="auto" w:sz="4" w:space="0"/>
              <w:right w:val="double" w:color="auto" w:sz="4" w:space="0"/>
            </w:tcBorders>
            <w:vAlign w:val="center"/>
          </w:tcPr>
          <w:p w14:paraId="61FDFC01">
            <w:pPr>
              <w:pStyle w:val="93"/>
              <w:rPr>
                <w:rFonts w:hint="eastAsia" w:ascii="宋体" w:hAnsi="宋体" w:cs="Tahoma"/>
                <w:szCs w:val="24"/>
              </w:rPr>
            </w:pPr>
            <w:r>
              <w:rPr>
                <w:rFonts w:hint="eastAsia" w:ascii="宋体" w:hAnsi="宋体" w:cs="Tahoma"/>
                <w:szCs w:val="24"/>
              </w:rPr>
              <w:t xml:space="preserve">接收人：卓正招标咨询（丽水）有限公司  </w:t>
            </w:r>
          </w:p>
          <w:p w14:paraId="67B997DA">
            <w:pPr>
              <w:ind w:left="118" w:hanging="118" w:hangingChars="49"/>
              <w:rPr>
                <w:rFonts w:hint="eastAsia" w:ascii="宋体" w:hAnsi="宋体"/>
                <w:sz w:val="24"/>
              </w:rPr>
            </w:pPr>
            <w:r>
              <w:rPr>
                <w:rFonts w:hint="eastAsia" w:ascii="宋体" w:hAnsi="宋体" w:cs="仿宋_GB2312"/>
                <w:b/>
                <w:sz w:val="24"/>
              </w:rPr>
              <w:t>提交响应文件截止时间（即磋商截止时间）</w:t>
            </w:r>
            <w:r>
              <w:rPr>
                <w:rFonts w:hint="eastAsia" w:ascii="宋体" w:hAnsi="宋体"/>
                <w:sz w:val="24"/>
              </w:rPr>
              <w:t>：</w:t>
            </w:r>
            <w:r>
              <w:rPr>
                <w:rFonts w:hint="eastAsia" w:ascii="宋体" w:hAnsi="宋体"/>
                <w:b/>
                <w:sz w:val="24"/>
                <w:u w:val="single"/>
              </w:rPr>
              <w:t>2025年</w:t>
            </w:r>
            <w:r>
              <w:rPr>
                <w:rFonts w:hint="eastAsia" w:ascii="宋体" w:hAnsi="宋体"/>
                <w:b/>
                <w:sz w:val="24"/>
                <w:u w:val="single"/>
                <w:lang w:val="en-US" w:eastAsia="zh-CN"/>
              </w:rPr>
              <w:t>07</w:t>
            </w:r>
            <w:r>
              <w:rPr>
                <w:rFonts w:hint="eastAsia" w:ascii="宋体" w:hAnsi="宋体"/>
                <w:b/>
                <w:sz w:val="24"/>
                <w:u w:val="single"/>
              </w:rPr>
              <w:t>月</w:t>
            </w:r>
            <w:r>
              <w:rPr>
                <w:rFonts w:hint="eastAsia" w:ascii="宋体" w:hAnsi="宋体"/>
                <w:b/>
                <w:sz w:val="24"/>
                <w:u w:val="single"/>
                <w:lang w:val="en-US" w:eastAsia="zh-CN"/>
              </w:rPr>
              <w:t>07</w:t>
            </w:r>
            <w:r>
              <w:rPr>
                <w:rFonts w:hint="eastAsia" w:ascii="宋体" w:hAnsi="宋体"/>
                <w:b/>
                <w:sz w:val="24"/>
                <w:u w:val="single"/>
              </w:rPr>
              <w:t>日</w:t>
            </w:r>
            <w:r>
              <w:rPr>
                <w:rFonts w:hint="eastAsia" w:ascii="宋体" w:hAnsi="宋体"/>
                <w:b/>
                <w:sz w:val="24"/>
                <w:u w:val="single"/>
                <w:lang w:val="en-US" w:eastAsia="zh-CN"/>
              </w:rPr>
              <w:t>15</w:t>
            </w:r>
            <w:r>
              <w:rPr>
                <w:rFonts w:hint="eastAsia" w:ascii="宋体" w:hAnsi="宋体"/>
                <w:b/>
                <w:sz w:val="24"/>
                <w:u w:val="single"/>
              </w:rPr>
              <w:t>时00分</w:t>
            </w:r>
          </w:p>
          <w:p w14:paraId="5603747D">
            <w:pPr>
              <w:tabs>
                <w:tab w:val="left" w:pos="0"/>
                <w:tab w:val="left" w:pos="1134"/>
              </w:tabs>
              <w:adjustRightInd w:val="0"/>
              <w:snapToGrid w:val="0"/>
              <w:rPr>
                <w:rFonts w:hint="eastAsia" w:ascii="宋体" w:hAnsi="宋体"/>
                <w:b/>
                <w:bCs/>
                <w:sz w:val="24"/>
              </w:rPr>
            </w:pPr>
            <w:r>
              <w:rPr>
                <w:rFonts w:hint="eastAsia" w:ascii="宋体" w:hAnsi="宋体"/>
                <w:b/>
                <w:bCs/>
                <w:sz w:val="24"/>
              </w:rPr>
              <w:t>提交响应文件地点：</w:t>
            </w:r>
          </w:p>
          <w:p w14:paraId="5D98C7A2">
            <w:pPr>
              <w:pStyle w:val="19"/>
              <w:adjustRightInd w:val="0"/>
              <w:snapToGrid w:val="0"/>
              <w:ind w:firstLine="480" w:firstLineChars="200"/>
              <w:rPr>
                <w:rFonts w:hint="eastAsia" w:hAnsi="宋体"/>
                <w:sz w:val="24"/>
                <w:szCs w:val="24"/>
              </w:rPr>
            </w:pPr>
            <w:r>
              <w:rPr>
                <w:rFonts w:hint="eastAsia" w:hAnsi="宋体"/>
                <w:sz w:val="24"/>
                <w:szCs w:val="24"/>
              </w:rPr>
              <w:t>（1）电子响应文件：磋商截止时间前在政采云平台完成电子响应文件的传输提交；</w:t>
            </w:r>
          </w:p>
          <w:p w14:paraId="492F8517">
            <w:pPr>
              <w:pStyle w:val="19"/>
              <w:adjustRightInd w:val="0"/>
              <w:snapToGrid w:val="0"/>
              <w:ind w:firstLine="480" w:firstLineChars="200"/>
              <w:rPr>
                <w:rFonts w:hint="eastAsia" w:hAnsi="宋体"/>
                <w:sz w:val="24"/>
                <w:szCs w:val="24"/>
              </w:rPr>
            </w:pPr>
            <w:r>
              <w:rPr>
                <w:rFonts w:hint="eastAsia" w:hAnsi="宋体"/>
                <w:sz w:val="24"/>
                <w:szCs w:val="24"/>
              </w:rPr>
              <w:t>（2）备份响应文件：</w:t>
            </w:r>
          </w:p>
          <w:p w14:paraId="3F11AB22">
            <w:pPr>
              <w:pStyle w:val="19"/>
              <w:adjustRightInd w:val="0"/>
              <w:snapToGrid w:val="0"/>
              <w:ind w:firstLine="480" w:firstLineChars="200"/>
              <w:rPr>
                <w:rFonts w:hint="eastAsia" w:ascii="新宋体" w:hAnsi="新宋体" w:eastAsia="新宋体"/>
                <w:sz w:val="24"/>
                <w:szCs w:val="24"/>
              </w:rPr>
            </w:pPr>
            <w:r>
              <w:rPr>
                <w:rFonts w:hint="eastAsia" w:hAnsi="宋体"/>
                <w:sz w:val="24"/>
              </w:rPr>
              <w:t>备份响应文件是否提交由供应商自行决定，如不提交的，当电子响应文件无法解密时，将导致无备份响应文件而失去磋商资格。</w:t>
            </w:r>
            <w:r>
              <w:rPr>
                <w:rFonts w:hint="eastAsia" w:ascii="新宋体" w:hAnsi="新宋体" w:eastAsia="新宋体"/>
                <w:sz w:val="24"/>
                <w:szCs w:val="24"/>
              </w:rPr>
              <w:t>如提交备份响应文件的，应在磋商截止时间前将最后生成的具有电子签章的备份响应文件通过电子邮件方式传送至代理机构邮箱</w:t>
            </w:r>
            <w:r>
              <w:rPr>
                <w:rFonts w:hint="eastAsia" w:ascii="新宋体" w:hAnsi="新宋体" w:eastAsia="新宋体"/>
                <w:b/>
                <w:bCs/>
                <w:sz w:val="24"/>
                <w:szCs w:val="24"/>
              </w:rPr>
              <w:t>（lszzzbzx@126.com）</w:t>
            </w:r>
            <w:r>
              <w:rPr>
                <w:rFonts w:hint="eastAsia" w:ascii="新宋体" w:hAnsi="新宋体" w:eastAsia="新宋体"/>
                <w:sz w:val="24"/>
                <w:szCs w:val="24"/>
              </w:rPr>
              <w:t>，传送的备份响应文件须打包压缩并加密，密码由供应商自行保管。压缩包命名为“</w:t>
            </w:r>
            <w:r>
              <w:rPr>
                <w:rFonts w:hint="eastAsia" w:ascii="新宋体" w:hAnsi="新宋体" w:eastAsia="新宋体"/>
                <w:b/>
                <w:sz w:val="24"/>
                <w:szCs w:val="24"/>
              </w:rPr>
              <w:t>备份响应文件</w:t>
            </w:r>
            <w:r>
              <w:rPr>
                <w:rFonts w:hint="eastAsia" w:ascii="新宋体" w:hAnsi="新宋体" w:eastAsia="新宋体"/>
                <w:sz w:val="24"/>
                <w:szCs w:val="24"/>
              </w:rPr>
              <w:t>”，并在邮件中注明项目名称及供应商名称。</w:t>
            </w:r>
          </w:p>
        </w:tc>
      </w:tr>
      <w:tr w14:paraId="5463D0E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47" w:hRule="atLeast"/>
          <w:jc w:val="center"/>
        </w:trPr>
        <w:tc>
          <w:tcPr>
            <w:tcW w:w="635" w:type="dxa"/>
            <w:tcBorders>
              <w:top w:val="single" w:color="auto" w:sz="4" w:space="0"/>
              <w:left w:val="double" w:color="auto" w:sz="4" w:space="0"/>
              <w:bottom w:val="single" w:color="auto" w:sz="4" w:space="0"/>
              <w:right w:val="single" w:color="auto" w:sz="4" w:space="0"/>
            </w:tcBorders>
            <w:vAlign w:val="center"/>
          </w:tcPr>
          <w:p w14:paraId="3D2DD2CC">
            <w:pPr>
              <w:jc w:val="center"/>
              <w:rPr>
                <w:rFonts w:hint="eastAsia" w:ascii="宋体" w:hAnsi="宋体"/>
                <w:bCs/>
                <w:snapToGrid w:val="0"/>
                <w:sz w:val="24"/>
              </w:rPr>
            </w:pPr>
            <w:r>
              <w:rPr>
                <w:rFonts w:hint="eastAsia" w:ascii="宋体" w:hAnsi="宋体"/>
                <w:bCs/>
                <w:snapToGrid w:val="0"/>
                <w:sz w:val="24"/>
              </w:rPr>
              <w:t>10</w:t>
            </w:r>
          </w:p>
        </w:tc>
        <w:tc>
          <w:tcPr>
            <w:tcW w:w="1987" w:type="dxa"/>
            <w:tcBorders>
              <w:top w:val="single" w:color="auto" w:sz="4" w:space="0"/>
              <w:left w:val="single" w:color="auto" w:sz="4" w:space="0"/>
              <w:bottom w:val="single" w:color="auto" w:sz="4" w:space="0"/>
              <w:right w:val="single" w:color="auto" w:sz="4" w:space="0"/>
            </w:tcBorders>
            <w:vAlign w:val="center"/>
          </w:tcPr>
          <w:p w14:paraId="21FCA34B">
            <w:pPr>
              <w:jc w:val="center"/>
              <w:rPr>
                <w:rFonts w:hint="eastAsia" w:ascii="宋体" w:hAnsi="宋体"/>
                <w:bCs/>
                <w:snapToGrid w:val="0"/>
                <w:sz w:val="24"/>
              </w:rPr>
            </w:pPr>
            <w:r>
              <w:rPr>
                <w:rFonts w:hint="eastAsia" w:ascii="宋体" w:hAnsi="宋体"/>
                <w:bCs/>
                <w:sz w:val="24"/>
              </w:rPr>
              <w:t>履约保证金</w:t>
            </w:r>
          </w:p>
        </w:tc>
        <w:tc>
          <w:tcPr>
            <w:tcW w:w="7643" w:type="dxa"/>
            <w:gridSpan w:val="3"/>
            <w:tcBorders>
              <w:top w:val="single" w:color="auto" w:sz="4" w:space="0"/>
              <w:left w:val="single" w:color="auto" w:sz="4" w:space="0"/>
              <w:bottom w:val="single" w:color="auto" w:sz="4" w:space="0"/>
              <w:right w:val="double" w:color="auto" w:sz="4" w:space="0"/>
            </w:tcBorders>
            <w:vAlign w:val="center"/>
          </w:tcPr>
          <w:p w14:paraId="74113D26">
            <w:pPr>
              <w:pStyle w:val="93"/>
              <w:rPr>
                <w:rFonts w:hint="eastAsia" w:ascii="宋体" w:hAnsi="宋体" w:cs="Tahoma"/>
                <w:szCs w:val="24"/>
              </w:rPr>
            </w:pPr>
            <w:r>
              <w:rPr>
                <w:rFonts w:hint="eastAsia" w:ascii="宋体" w:hAnsi="宋体" w:cs="Tahoma"/>
                <w:szCs w:val="24"/>
              </w:rPr>
              <w:t>无</w:t>
            </w:r>
          </w:p>
        </w:tc>
      </w:tr>
      <w:tr w14:paraId="039DB69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508" w:hRule="exact"/>
          <w:jc w:val="center"/>
        </w:trPr>
        <w:tc>
          <w:tcPr>
            <w:tcW w:w="635" w:type="dxa"/>
            <w:tcBorders>
              <w:top w:val="single" w:color="auto" w:sz="4" w:space="0"/>
              <w:left w:val="double" w:color="auto" w:sz="4" w:space="0"/>
              <w:bottom w:val="single" w:color="auto" w:sz="4" w:space="0"/>
              <w:right w:val="single" w:color="auto" w:sz="4" w:space="0"/>
            </w:tcBorders>
            <w:vAlign w:val="center"/>
          </w:tcPr>
          <w:p w14:paraId="14519EDC">
            <w:pPr>
              <w:rPr>
                <w:rFonts w:hint="eastAsia" w:ascii="宋体" w:hAnsi="宋体"/>
                <w:bCs/>
                <w:snapToGrid w:val="0"/>
                <w:sz w:val="24"/>
              </w:rPr>
            </w:pPr>
            <w:r>
              <w:rPr>
                <w:rFonts w:hint="eastAsia" w:ascii="宋体" w:hAnsi="宋体"/>
                <w:bCs/>
                <w:snapToGrid w:val="0"/>
                <w:sz w:val="24"/>
              </w:rPr>
              <w:t>11</w:t>
            </w:r>
          </w:p>
        </w:tc>
        <w:tc>
          <w:tcPr>
            <w:tcW w:w="1987" w:type="dxa"/>
            <w:tcBorders>
              <w:top w:val="single" w:color="auto" w:sz="4" w:space="0"/>
              <w:left w:val="single" w:color="auto" w:sz="4" w:space="0"/>
              <w:bottom w:val="single" w:color="auto" w:sz="4" w:space="0"/>
              <w:right w:val="single" w:color="auto" w:sz="4" w:space="0"/>
            </w:tcBorders>
            <w:vAlign w:val="center"/>
          </w:tcPr>
          <w:p w14:paraId="1A482435">
            <w:pPr>
              <w:jc w:val="center"/>
              <w:rPr>
                <w:rFonts w:hint="eastAsia" w:ascii="宋体" w:hAnsi="宋体"/>
                <w:bCs/>
                <w:snapToGrid w:val="0"/>
                <w:sz w:val="24"/>
              </w:rPr>
            </w:pPr>
            <w:r>
              <w:rPr>
                <w:rFonts w:hint="eastAsia" w:ascii="宋体" w:hAnsi="宋体"/>
                <w:bCs/>
                <w:snapToGrid w:val="0"/>
                <w:sz w:val="24"/>
              </w:rPr>
              <w:t>磋商时间</w:t>
            </w:r>
          </w:p>
          <w:p w14:paraId="5CA1C744">
            <w:pPr>
              <w:jc w:val="center"/>
              <w:rPr>
                <w:rFonts w:hint="eastAsia" w:ascii="宋体" w:hAnsi="宋体"/>
                <w:bCs/>
                <w:snapToGrid w:val="0"/>
                <w:sz w:val="24"/>
              </w:rPr>
            </w:pPr>
            <w:r>
              <w:rPr>
                <w:rFonts w:hint="eastAsia" w:ascii="宋体" w:hAnsi="宋体"/>
                <w:bCs/>
                <w:snapToGrid w:val="0"/>
                <w:sz w:val="24"/>
              </w:rPr>
              <w:t>及地点</w:t>
            </w:r>
          </w:p>
        </w:tc>
        <w:tc>
          <w:tcPr>
            <w:tcW w:w="7643" w:type="dxa"/>
            <w:gridSpan w:val="3"/>
            <w:tcBorders>
              <w:top w:val="single" w:color="auto" w:sz="4" w:space="0"/>
              <w:left w:val="single" w:color="auto" w:sz="4" w:space="0"/>
              <w:bottom w:val="single" w:color="auto" w:sz="4" w:space="0"/>
              <w:right w:val="double" w:color="auto" w:sz="4" w:space="0"/>
            </w:tcBorders>
            <w:vAlign w:val="center"/>
          </w:tcPr>
          <w:p w14:paraId="45665684">
            <w:pPr>
              <w:spacing w:line="360" w:lineRule="auto"/>
              <w:rPr>
                <w:rFonts w:hint="eastAsia" w:ascii="宋体" w:hAnsi="宋体"/>
                <w:b/>
                <w:sz w:val="24"/>
                <w:u w:val="single"/>
              </w:rPr>
            </w:pPr>
            <w:r>
              <w:rPr>
                <w:rFonts w:hint="eastAsia" w:ascii="宋体" w:hAnsi="宋体"/>
                <w:b/>
                <w:sz w:val="24"/>
                <w:u w:val="single"/>
              </w:rPr>
              <w:t>时间：2025年</w:t>
            </w:r>
            <w:r>
              <w:rPr>
                <w:rFonts w:hint="eastAsia" w:ascii="宋体" w:hAnsi="宋体"/>
                <w:b/>
                <w:sz w:val="24"/>
                <w:u w:val="single"/>
                <w:lang w:val="en-US" w:eastAsia="zh-CN"/>
              </w:rPr>
              <w:t>07</w:t>
            </w:r>
            <w:r>
              <w:rPr>
                <w:rFonts w:hint="eastAsia" w:ascii="宋体" w:hAnsi="宋体"/>
                <w:b/>
                <w:sz w:val="24"/>
                <w:u w:val="single"/>
              </w:rPr>
              <w:t>月</w:t>
            </w:r>
            <w:r>
              <w:rPr>
                <w:rFonts w:hint="eastAsia" w:ascii="宋体" w:hAnsi="宋体"/>
                <w:b/>
                <w:sz w:val="24"/>
                <w:u w:val="single"/>
                <w:lang w:val="en-US" w:eastAsia="zh-CN"/>
              </w:rPr>
              <w:t>07</w:t>
            </w:r>
            <w:r>
              <w:rPr>
                <w:rFonts w:hint="eastAsia" w:ascii="宋体" w:hAnsi="宋体"/>
                <w:b/>
                <w:sz w:val="24"/>
                <w:u w:val="single"/>
              </w:rPr>
              <w:t>日</w:t>
            </w:r>
            <w:r>
              <w:rPr>
                <w:rFonts w:hint="eastAsia" w:ascii="宋体" w:hAnsi="宋体"/>
                <w:b/>
                <w:sz w:val="24"/>
                <w:u w:val="single"/>
                <w:lang w:val="en-US" w:eastAsia="zh-CN"/>
              </w:rPr>
              <w:t>15</w:t>
            </w:r>
            <w:r>
              <w:rPr>
                <w:rFonts w:hint="eastAsia" w:ascii="宋体" w:hAnsi="宋体"/>
                <w:b/>
                <w:sz w:val="24"/>
                <w:u w:val="single"/>
              </w:rPr>
              <w:t>时00 分开始</w:t>
            </w:r>
          </w:p>
          <w:p w14:paraId="0211E57E">
            <w:pPr>
              <w:rPr>
                <w:rFonts w:hint="eastAsia" w:ascii="宋体" w:hAnsi="宋体"/>
                <w:bCs/>
                <w:sz w:val="24"/>
              </w:rPr>
            </w:pPr>
            <w:r>
              <w:rPr>
                <w:rFonts w:hint="eastAsia" w:ascii="宋体" w:hAnsi="宋体"/>
                <w:bCs/>
                <w:kern w:val="0"/>
                <w:sz w:val="24"/>
              </w:rPr>
              <w:t>开标地点（网址）：政府采购云平台（</w:t>
            </w:r>
            <w:r>
              <w:rPr>
                <w:rFonts w:hint="eastAsia"/>
              </w:rPr>
              <w:fldChar w:fldCharType="begin"/>
            </w:r>
            <w:r>
              <w:instrText xml:space="preserve"> HYPERLINK "http://www.zcygov.cn/" </w:instrText>
            </w:r>
            <w:r>
              <w:rPr>
                <w:rFonts w:hint="eastAsia"/>
              </w:rPr>
              <w:fldChar w:fldCharType="separate"/>
            </w:r>
            <w:r>
              <w:rPr>
                <w:rFonts w:hint="eastAsia" w:ascii="宋体" w:hAnsi="宋体"/>
                <w:bCs/>
                <w:kern w:val="0"/>
                <w:sz w:val="24"/>
              </w:rPr>
              <w:t>www.zcygov.cn</w:t>
            </w:r>
            <w:r>
              <w:rPr>
                <w:rFonts w:hint="eastAsia" w:ascii="宋体" w:hAnsi="宋体"/>
                <w:bCs/>
                <w:kern w:val="0"/>
                <w:sz w:val="24"/>
              </w:rPr>
              <w:fldChar w:fldCharType="end"/>
            </w:r>
            <w:r>
              <w:rPr>
                <w:rFonts w:hint="eastAsia" w:ascii="宋体" w:hAnsi="宋体"/>
                <w:bCs/>
                <w:kern w:val="0"/>
                <w:sz w:val="24"/>
              </w:rPr>
              <w:t>），</w:t>
            </w:r>
            <w:r>
              <w:rPr>
                <w:rFonts w:hint="eastAsia" w:ascii="宋体" w:hAnsi="宋体" w:cs="宋体"/>
                <w:sz w:val="24"/>
              </w:rPr>
              <w:t>卓正招标咨询（丽水）有限公司（和平路78号艾莱依工业园区2号楼7楼）</w:t>
            </w:r>
            <w:r>
              <w:rPr>
                <w:rFonts w:hint="eastAsia" w:ascii="宋体" w:hAnsi="宋体"/>
                <w:sz w:val="24"/>
              </w:rPr>
              <w:t xml:space="preserve"> </w:t>
            </w:r>
          </w:p>
        </w:tc>
      </w:tr>
      <w:tr w14:paraId="3E3E301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591" w:hRule="exact"/>
          <w:jc w:val="center"/>
        </w:trPr>
        <w:tc>
          <w:tcPr>
            <w:tcW w:w="635" w:type="dxa"/>
            <w:tcBorders>
              <w:top w:val="single" w:color="auto" w:sz="4" w:space="0"/>
              <w:left w:val="double" w:color="auto" w:sz="4" w:space="0"/>
              <w:bottom w:val="single" w:color="auto" w:sz="4" w:space="0"/>
              <w:right w:val="single" w:color="auto" w:sz="4" w:space="0"/>
            </w:tcBorders>
            <w:vAlign w:val="center"/>
          </w:tcPr>
          <w:p w14:paraId="547291F4">
            <w:pPr>
              <w:rPr>
                <w:rFonts w:hint="eastAsia" w:ascii="宋体" w:hAnsi="宋体"/>
                <w:bCs/>
                <w:snapToGrid w:val="0"/>
                <w:sz w:val="24"/>
              </w:rPr>
            </w:pPr>
            <w:r>
              <w:rPr>
                <w:rFonts w:hint="eastAsia" w:ascii="宋体" w:hAnsi="宋体"/>
                <w:bCs/>
                <w:snapToGrid w:val="0"/>
                <w:sz w:val="24"/>
              </w:rPr>
              <w:t>12</w:t>
            </w:r>
          </w:p>
        </w:tc>
        <w:tc>
          <w:tcPr>
            <w:tcW w:w="1987" w:type="dxa"/>
            <w:tcBorders>
              <w:top w:val="single" w:color="auto" w:sz="4" w:space="0"/>
              <w:left w:val="single" w:color="auto" w:sz="4" w:space="0"/>
              <w:bottom w:val="single" w:color="auto" w:sz="4" w:space="0"/>
              <w:right w:val="single" w:color="auto" w:sz="4" w:space="0"/>
            </w:tcBorders>
            <w:vAlign w:val="center"/>
          </w:tcPr>
          <w:p w14:paraId="4A5618F8">
            <w:pPr>
              <w:jc w:val="center"/>
              <w:rPr>
                <w:rFonts w:hint="eastAsia" w:ascii="宋体" w:hAnsi="宋体"/>
                <w:bCs/>
                <w:sz w:val="24"/>
              </w:rPr>
            </w:pPr>
            <w:r>
              <w:rPr>
                <w:rFonts w:hint="eastAsia" w:ascii="宋体" w:hAnsi="宋体"/>
                <w:bCs/>
                <w:sz w:val="24"/>
              </w:rPr>
              <w:t>成交结果公告及成交通知书</w:t>
            </w:r>
          </w:p>
        </w:tc>
        <w:tc>
          <w:tcPr>
            <w:tcW w:w="7643" w:type="dxa"/>
            <w:gridSpan w:val="3"/>
            <w:tcBorders>
              <w:top w:val="single" w:color="auto" w:sz="4" w:space="0"/>
              <w:left w:val="single" w:color="auto" w:sz="4" w:space="0"/>
              <w:bottom w:val="single" w:color="auto" w:sz="4" w:space="0"/>
              <w:right w:val="double" w:color="auto" w:sz="4" w:space="0"/>
            </w:tcBorders>
            <w:vAlign w:val="center"/>
          </w:tcPr>
          <w:p w14:paraId="6408BCC1">
            <w:pPr>
              <w:rPr>
                <w:rFonts w:hint="eastAsia" w:ascii="宋体" w:hAnsi="宋体"/>
                <w:bCs/>
                <w:sz w:val="24"/>
              </w:rPr>
            </w:pPr>
            <w:r>
              <w:rPr>
                <w:rFonts w:hint="eastAsia" w:ascii="宋体" w:hAnsi="宋体"/>
                <w:bCs/>
                <w:kern w:val="0"/>
                <w:sz w:val="24"/>
              </w:rPr>
              <w:t>评审报告经采购人确认后2个工作日内，成交公告在浙江政府采购网</w:t>
            </w:r>
            <w:r>
              <w:rPr>
                <w:rFonts w:ascii="宋体" w:hAnsi="宋体"/>
                <w:bCs/>
                <w:kern w:val="0"/>
                <w:sz w:val="24"/>
              </w:rPr>
              <w:t>http://zfcg.czt.zj.gov.cn</w:t>
            </w:r>
            <w:r>
              <w:rPr>
                <w:rFonts w:hint="eastAsia" w:ascii="宋体" w:hAnsi="宋体"/>
                <w:bCs/>
                <w:kern w:val="0"/>
                <w:sz w:val="24"/>
              </w:rPr>
              <w:t>/、丽水市公共资源交易网（http://lssggzy.lishui.gov.cn/lsweb/）等媒体上发布，并同时发出成交通知书。</w:t>
            </w:r>
          </w:p>
        </w:tc>
      </w:tr>
      <w:tr w14:paraId="6B4F351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849" w:hRule="exact"/>
          <w:jc w:val="center"/>
        </w:trPr>
        <w:tc>
          <w:tcPr>
            <w:tcW w:w="635" w:type="dxa"/>
            <w:tcBorders>
              <w:top w:val="single" w:color="auto" w:sz="4" w:space="0"/>
              <w:left w:val="double" w:color="auto" w:sz="4" w:space="0"/>
              <w:bottom w:val="single" w:color="auto" w:sz="4" w:space="0"/>
              <w:right w:val="single" w:color="auto" w:sz="4" w:space="0"/>
            </w:tcBorders>
            <w:vAlign w:val="center"/>
          </w:tcPr>
          <w:p w14:paraId="72C71B52">
            <w:pPr>
              <w:rPr>
                <w:rFonts w:hint="eastAsia" w:ascii="宋体" w:hAnsi="宋体"/>
                <w:bCs/>
                <w:snapToGrid w:val="0"/>
                <w:sz w:val="24"/>
              </w:rPr>
            </w:pPr>
            <w:r>
              <w:rPr>
                <w:rFonts w:hint="eastAsia" w:ascii="宋体" w:hAnsi="宋体"/>
                <w:bCs/>
                <w:snapToGrid w:val="0"/>
                <w:sz w:val="24"/>
              </w:rPr>
              <w:t>13</w:t>
            </w:r>
          </w:p>
        </w:tc>
        <w:tc>
          <w:tcPr>
            <w:tcW w:w="1987" w:type="dxa"/>
            <w:tcBorders>
              <w:top w:val="single" w:color="auto" w:sz="4" w:space="0"/>
              <w:left w:val="single" w:color="auto" w:sz="4" w:space="0"/>
              <w:bottom w:val="single" w:color="auto" w:sz="4" w:space="0"/>
              <w:right w:val="single" w:color="auto" w:sz="4" w:space="0"/>
            </w:tcBorders>
            <w:vAlign w:val="center"/>
          </w:tcPr>
          <w:p w14:paraId="5B70117F">
            <w:pPr>
              <w:jc w:val="center"/>
              <w:rPr>
                <w:rFonts w:hint="eastAsia" w:ascii="宋体" w:hAnsi="宋体"/>
                <w:bCs/>
                <w:snapToGrid w:val="0"/>
                <w:sz w:val="24"/>
              </w:rPr>
            </w:pPr>
            <w:r>
              <w:rPr>
                <w:rFonts w:hint="eastAsia" w:ascii="宋体" w:hAnsi="宋体"/>
                <w:bCs/>
                <w:snapToGrid w:val="0"/>
                <w:sz w:val="24"/>
              </w:rPr>
              <w:t xml:space="preserve">  评审办法和细则</w:t>
            </w:r>
          </w:p>
        </w:tc>
        <w:tc>
          <w:tcPr>
            <w:tcW w:w="7643" w:type="dxa"/>
            <w:gridSpan w:val="3"/>
            <w:tcBorders>
              <w:top w:val="single" w:color="auto" w:sz="4" w:space="0"/>
              <w:left w:val="single" w:color="auto" w:sz="4" w:space="0"/>
              <w:bottom w:val="single" w:color="auto" w:sz="4" w:space="0"/>
              <w:right w:val="double" w:color="auto" w:sz="4" w:space="0"/>
            </w:tcBorders>
            <w:vAlign w:val="center"/>
          </w:tcPr>
          <w:p w14:paraId="755C26F3">
            <w:pPr>
              <w:rPr>
                <w:rFonts w:hint="eastAsia" w:ascii="宋体" w:hAnsi="宋体"/>
                <w:bCs/>
                <w:sz w:val="24"/>
              </w:rPr>
            </w:pPr>
            <w:r>
              <w:rPr>
                <w:rFonts w:hint="eastAsia" w:ascii="宋体" w:hAnsi="宋体"/>
                <w:bCs/>
                <w:sz w:val="24"/>
              </w:rPr>
              <w:t>详见本磋商文件第六章</w:t>
            </w:r>
          </w:p>
        </w:tc>
      </w:tr>
      <w:tr w14:paraId="3B3416C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846" w:hRule="exact"/>
          <w:jc w:val="center"/>
        </w:trPr>
        <w:tc>
          <w:tcPr>
            <w:tcW w:w="635" w:type="dxa"/>
            <w:tcBorders>
              <w:top w:val="single" w:color="auto" w:sz="4" w:space="0"/>
              <w:left w:val="double" w:color="auto" w:sz="4" w:space="0"/>
              <w:bottom w:val="single" w:color="auto" w:sz="4" w:space="0"/>
              <w:right w:val="single" w:color="auto" w:sz="4" w:space="0"/>
            </w:tcBorders>
            <w:vAlign w:val="center"/>
          </w:tcPr>
          <w:p w14:paraId="58B53E53">
            <w:pPr>
              <w:rPr>
                <w:rFonts w:hint="eastAsia" w:ascii="宋体" w:hAnsi="宋体"/>
                <w:bCs/>
                <w:snapToGrid w:val="0"/>
                <w:sz w:val="24"/>
              </w:rPr>
            </w:pPr>
            <w:r>
              <w:rPr>
                <w:rFonts w:hint="eastAsia" w:ascii="宋体" w:hAnsi="宋体"/>
                <w:bCs/>
                <w:snapToGrid w:val="0"/>
                <w:sz w:val="24"/>
              </w:rPr>
              <w:t>14</w:t>
            </w:r>
          </w:p>
        </w:tc>
        <w:tc>
          <w:tcPr>
            <w:tcW w:w="1987" w:type="dxa"/>
            <w:tcBorders>
              <w:top w:val="single" w:color="auto" w:sz="4" w:space="0"/>
              <w:left w:val="single" w:color="auto" w:sz="4" w:space="0"/>
              <w:bottom w:val="single" w:color="auto" w:sz="4" w:space="0"/>
              <w:right w:val="single" w:color="auto" w:sz="4" w:space="0"/>
            </w:tcBorders>
            <w:vAlign w:val="center"/>
          </w:tcPr>
          <w:p w14:paraId="3C24D72F">
            <w:pPr>
              <w:jc w:val="center"/>
              <w:rPr>
                <w:rFonts w:hint="eastAsia" w:ascii="宋体" w:hAnsi="宋体"/>
                <w:bCs/>
                <w:sz w:val="24"/>
              </w:rPr>
            </w:pPr>
            <w:r>
              <w:rPr>
                <w:rFonts w:hint="eastAsia" w:ascii="宋体" w:hAnsi="宋体"/>
                <w:bCs/>
                <w:sz w:val="24"/>
              </w:rPr>
              <w:t>签订合同</w:t>
            </w:r>
          </w:p>
        </w:tc>
        <w:tc>
          <w:tcPr>
            <w:tcW w:w="7643" w:type="dxa"/>
            <w:gridSpan w:val="3"/>
            <w:tcBorders>
              <w:top w:val="single" w:color="auto" w:sz="4" w:space="0"/>
              <w:left w:val="single" w:color="auto" w:sz="4" w:space="0"/>
              <w:bottom w:val="single" w:color="auto" w:sz="4" w:space="0"/>
              <w:right w:val="double" w:color="auto" w:sz="4" w:space="0"/>
            </w:tcBorders>
            <w:vAlign w:val="center"/>
          </w:tcPr>
          <w:p w14:paraId="6C600887">
            <w:pPr>
              <w:rPr>
                <w:rFonts w:hint="eastAsia" w:ascii="宋体" w:hAnsi="宋体"/>
                <w:bCs/>
                <w:sz w:val="24"/>
              </w:rPr>
            </w:pPr>
            <w:r>
              <w:rPr>
                <w:rFonts w:hint="eastAsia" w:ascii="宋体" w:hAnsi="宋体"/>
                <w:bCs/>
                <w:sz w:val="24"/>
              </w:rPr>
              <w:t>成交通知书发出之日起30个工作日内，按照磋商文件确定的事项签订政府采购合同</w:t>
            </w:r>
          </w:p>
        </w:tc>
      </w:tr>
      <w:tr w14:paraId="7EA64F3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95" w:hRule="exact"/>
          <w:jc w:val="center"/>
        </w:trPr>
        <w:tc>
          <w:tcPr>
            <w:tcW w:w="635" w:type="dxa"/>
            <w:tcBorders>
              <w:top w:val="single" w:color="auto" w:sz="4" w:space="0"/>
              <w:left w:val="double" w:color="auto" w:sz="4" w:space="0"/>
              <w:bottom w:val="single" w:color="auto" w:sz="4" w:space="0"/>
              <w:right w:val="single" w:color="auto" w:sz="4" w:space="0"/>
            </w:tcBorders>
            <w:vAlign w:val="center"/>
          </w:tcPr>
          <w:p w14:paraId="585BCF1A">
            <w:pPr>
              <w:rPr>
                <w:rFonts w:hint="eastAsia" w:ascii="宋体" w:hAnsi="宋体"/>
                <w:bCs/>
                <w:snapToGrid w:val="0"/>
                <w:sz w:val="24"/>
              </w:rPr>
            </w:pPr>
            <w:r>
              <w:rPr>
                <w:rFonts w:hint="eastAsia" w:ascii="宋体" w:hAnsi="宋体"/>
                <w:bCs/>
                <w:snapToGrid w:val="0"/>
                <w:sz w:val="24"/>
              </w:rPr>
              <w:t>15</w:t>
            </w:r>
          </w:p>
        </w:tc>
        <w:tc>
          <w:tcPr>
            <w:tcW w:w="1987" w:type="dxa"/>
            <w:tcBorders>
              <w:top w:val="single" w:color="auto" w:sz="4" w:space="0"/>
              <w:left w:val="single" w:color="auto" w:sz="4" w:space="0"/>
              <w:bottom w:val="single" w:color="auto" w:sz="4" w:space="0"/>
              <w:right w:val="single" w:color="auto" w:sz="4" w:space="0"/>
            </w:tcBorders>
            <w:vAlign w:val="center"/>
          </w:tcPr>
          <w:p w14:paraId="5524F25C">
            <w:pPr>
              <w:jc w:val="center"/>
              <w:rPr>
                <w:rFonts w:hint="eastAsia" w:ascii="宋体" w:hAnsi="宋体"/>
                <w:bCs/>
                <w:sz w:val="24"/>
              </w:rPr>
            </w:pPr>
            <w:r>
              <w:rPr>
                <w:rFonts w:hint="eastAsia" w:ascii="宋体" w:hAnsi="宋体"/>
                <w:bCs/>
                <w:sz w:val="24"/>
              </w:rPr>
              <w:t>是否专门面向</w:t>
            </w:r>
          </w:p>
          <w:p w14:paraId="05728C11">
            <w:pPr>
              <w:jc w:val="center"/>
              <w:rPr>
                <w:rFonts w:hint="eastAsia" w:ascii="宋体" w:hAnsi="宋体"/>
                <w:bCs/>
                <w:sz w:val="24"/>
              </w:rPr>
            </w:pPr>
            <w:r>
              <w:rPr>
                <w:rFonts w:hint="eastAsia" w:ascii="宋体" w:hAnsi="宋体"/>
                <w:bCs/>
                <w:sz w:val="24"/>
              </w:rPr>
              <w:t>中小企业采购</w:t>
            </w:r>
          </w:p>
        </w:tc>
        <w:tc>
          <w:tcPr>
            <w:tcW w:w="7643" w:type="dxa"/>
            <w:gridSpan w:val="3"/>
            <w:tcBorders>
              <w:top w:val="single" w:color="auto" w:sz="4" w:space="0"/>
              <w:left w:val="single" w:color="auto" w:sz="4" w:space="0"/>
              <w:bottom w:val="single" w:color="auto" w:sz="4" w:space="0"/>
              <w:right w:val="double" w:color="auto" w:sz="4" w:space="0"/>
            </w:tcBorders>
            <w:vAlign w:val="center"/>
          </w:tcPr>
          <w:p w14:paraId="16741715">
            <w:pPr>
              <w:jc w:val="left"/>
              <w:rPr>
                <w:rFonts w:hint="eastAsia" w:ascii="宋体" w:hAnsi="宋体"/>
                <w:bCs/>
                <w:sz w:val="24"/>
              </w:rPr>
            </w:pPr>
            <w:r>
              <w:rPr>
                <w:rFonts w:hint="eastAsia" w:ascii="宋体" w:hAnsi="宋体"/>
                <w:bCs/>
                <w:sz w:val="24"/>
              </w:rPr>
              <w:t>是</w:t>
            </w:r>
          </w:p>
        </w:tc>
      </w:tr>
      <w:tr w14:paraId="5D4C415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26" w:hRule="exact"/>
          <w:jc w:val="center"/>
        </w:trPr>
        <w:tc>
          <w:tcPr>
            <w:tcW w:w="635" w:type="dxa"/>
            <w:tcBorders>
              <w:top w:val="single" w:color="auto" w:sz="4" w:space="0"/>
              <w:left w:val="double" w:color="auto" w:sz="4" w:space="0"/>
              <w:bottom w:val="single" w:color="auto" w:sz="4" w:space="0"/>
              <w:right w:val="single" w:color="auto" w:sz="4" w:space="0"/>
            </w:tcBorders>
            <w:vAlign w:val="center"/>
          </w:tcPr>
          <w:p w14:paraId="4D3A52AA">
            <w:pPr>
              <w:rPr>
                <w:rFonts w:hint="eastAsia" w:ascii="宋体" w:hAnsi="宋体"/>
                <w:bCs/>
                <w:snapToGrid w:val="0"/>
                <w:sz w:val="24"/>
              </w:rPr>
            </w:pPr>
            <w:r>
              <w:rPr>
                <w:rFonts w:hint="eastAsia" w:ascii="宋体" w:hAnsi="宋体"/>
                <w:bCs/>
                <w:snapToGrid w:val="0"/>
                <w:sz w:val="24"/>
              </w:rPr>
              <w:t>16</w:t>
            </w:r>
          </w:p>
        </w:tc>
        <w:tc>
          <w:tcPr>
            <w:tcW w:w="1987" w:type="dxa"/>
            <w:tcBorders>
              <w:top w:val="single" w:color="auto" w:sz="4" w:space="0"/>
              <w:left w:val="single" w:color="auto" w:sz="4" w:space="0"/>
              <w:bottom w:val="single" w:color="auto" w:sz="4" w:space="0"/>
              <w:right w:val="single" w:color="auto" w:sz="4" w:space="0"/>
            </w:tcBorders>
            <w:vAlign w:val="center"/>
          </w:tcPr>
          <w:p w14:paraId="5182217E">
            <w:pPr>
              <w:jc w:val="center"/>
              <w:rPr>
                <w:rFonts w:hint="eastAsia" w:ascii="宋体" w:hAnsi="宋体"/>
                <w:bCs/>
                <w:sz w:val="24"/>
              </w:rPr>
            </w:pPr>
            <w:r>
              <w:rPr>
                <w:rFonts w:hint="eastAsia" w:ascii="宋体" w:hAnsi="宋体"/>
                <w:bCs/>
                <w:sz w:val="24"/>
              </w:rPr>
              <w:t>本项目所属行业</w:t>
            </w:r>
          </w:p>
        </w:tc>
        <w:tc>
          <w:tcPr>
            <w:tcW w:w="7643" w:type="dxa"/>
            <w:gridSpan w:val="3"/>
            <w:tcBorders>
              <w:top w:val="single" w:color="auto" w:sz="4" w:space="0"/>
              <w:left w:val="single" w:color="auto" w:sz="4" w:space="0"/>
              <w:bottom w:val="single" w:color="auto" w:sz="4" w:space="0"/>
              <w:right w:val="double" w:color="auto" w:sz="4" w:space="0"/>
            </w:tcBorders>
            <w:vAlign w:val="center"/>
          </w:tcPr>
          <w:p w14:paraId="084BC188">
            <w:pPr>
              <w:snapToGrid w:val="0"/>
              <w:jc w:val="left"/>
              <w:rPr>
                <w:rFonts w:hint="eastAsia" w:ascii="宋体" w:hAnsi="宋体"/>
                <w:bCs/>
                <w:sz w:val="24"/>
              </w:rPr>
            </w:pPr>
            <w:r>
              <w:rPr>
                <w:rFonts w:hint="eastAsia" w:ascii="宋体" w:hAnsi="宋体"/>
                <w:bCs/>
                <w:sz w:val="24"/>
              </w:rPr>
              <w:t>其他未列明行业</w:t>
            </w:r>
          </w:p>
        </w:tc>
      </w:tr>
      <w:tr w14:paraId="350569F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899" w:hRule="exact"/>
          <w:jc w:val="center"/>
        </w:trPr>
        <w:tc>
          <w:tcPr>
            <w:tcW w:w="635" w:type="dxa"/>
            <w:tcBorders>
              <w:top w:val="single" w:color="auto" w:sz="4" w:space="0"/>
              <w:left w:val="double" w:color="auto" w:sz="4" w:space="0"/>
              <w:bottom w:val="single" w:color="auto" w:sz="4" w:space="0"/>
              <w:right w:val="single" w:color="auto" w:sz="4" w:space="0"/>
            </w:tcBorders>
            <w:vAlign w:val="center"/>
          </w:tcPr>
          <w:p w14:paraId="5172A222">
            <w:pPr>
              <w:rPr>
                <w:rFonts w:hint="eastAsia" w:ascii="宋体" w:hAnsi="宋体"/>
                <w:bCs/>
                <w:snapToGrid w:val="0"/>
                <w:sz w:val="24"/>
              </w:rPr>
            </w:pPr>
            <w:r>
              <w:rPr>
                <w:rFonts w:hint="eastAsia" w:ascii="宋体" w:hAnsi="宋体"/>
                <w:bCs/>
                <w:snapToGrid w:val="0"/>
                <w:sz w:val="24"/>
              </w:rPr>
              <w:t>17</w:t>
            </w:r>
          </w:p>
        </w:tc>
        <w:tc>
          <w:tcPr>
            <w:tcW w:w="1987" w:type="dxa"/>
            <w:tcBorders>
              <w:top w:val="single" w:color="auto" w:sz="4" w:space="0"/>
              <w:left w:val="single" w:color="auto" w:sz="4" w:space="0"/>
              <w:bottom w:val="single" w:color="auto" w:sz="4" w:space="0"/>
              <w:right w:val="single" w:color="auto" w:sz="4" w:space="0"/>
            </w:tcBorders>
            <w:vAlign w:val="center"/>
          </w:tcPr>
          <w:p w14:paraId="35C2C6CC">
            <w:pPr>
              <w:jc w:val="center"/>
              <w:rPr>
                <w:rFonts w:hint="eastAsia" w:ascii="宋体" w:hAnsi="宋体"/>
                <w:bCs/>
                <w:sz w:val="24"/>
              </w:rPr>
            </w:pPr>
            <w:r>
              <w:rPr>
                <w:rFonts w:hint="eastAsia" w:ascii="宋体" w:hAnsi="宋体"/>
                <w:bCs/>
                <w:sz w:val="24"/>
              </w:rPr>
              <w:t>供应商信用信息 查询、存档与使用</w:t>
            </w:r>
          </w:p>
          <w:p w14:paraId="0C514ECA">
            <w:pPr>
              <w:jc w:val="center"/>
              <w:rPr>
                <w:rFonts w:hint="eastAsia" w:ascii="宋体" w:hAnsi="宋体"/>
                <w:bCs/>
                <w:sz w:val="24"/>
              </w:rPr>
            </w:pPr>
          </w:p>
        </w:tc>
        <w:tc>
          <w:tcPr>
            <w:tcW w:w="7643" w:type="dxa"/>
            <w:gridSpan w:val="3"/>
            <w:tcBorders>
              <w:top w:val="single" w:color="auto" w:sz="4" w:space="0"/>
              <w:left w:val="single" w:color="auto" w:sz="4" w:space="0"/>
              <w:bottom w:val="single" w:color="auto" w:sz="4" w:space="0"/>
              <w:right w:val="double" w:color="auto" w:sz="4" w:space="0"/>
            </w:tcBorders>
            <w:vAlign w:val="center"/>
          </w:tcPr>
          <w:p w14:paraId="26484438">
            <w:pPr>
              <w:jc w:val="left"/>
              <w:rPr>
                <w:rFonts w:hint="eastAsia" w:ascii="宋体" w:hAnsi="宋体"/>
                <w:bCs/>
                <w:sz w:val="24"/>
              </w:rPr>
            </w:pPr>
            <w:r>
              <w:rPr>
                <w:rFonts w:hint="eastAsia" w:ascii="宋体" w:hAnsi="宋体"/>
                <w:bCs/>
                <w:sz w:val="24"/>
              </w:rPr>
              <w:t xml:space="preserve">信用记录：根据财库[2016]125号《关于在政府采购活动中查询及使用信用记录有关问题的通知》要求，采购代理机构会对供应商信用记录进行查询并甄别。 </w:t>
            </w:r>
          </w:p>
          <w:p w14:paraId="3D6DF1F5">
            <w:pPr>
              <w:jc w:val="left"/>
              <w:rPr>
                <w:rFonts w:hint="eastAsia" w:ascii="宋体" w:hAnsi="宋体"/>
                <w:bCs/>
                <w:sz w:val="24"/>
              </w:rPr>
            </w:pPr>
            <w:r>
              <w:rPr>
                <w:rFonts w:hint="eastAsia" w:ascii="宋体" w:hAnsi="宋体"/>
                <w:bCs/>
                <w:sz w:val="24"/>
              </w:rPr>
              <w:t xml:space="preserve">（1）信用信息查询的截止时点：从本项目投标截止日往前追溯三年，期间被列入失信被执行人名单、税收违法黑名单、政府采购严重违法失信行为记录名单等供应商信用信息均将用于本项目； </w:t>
            </w:r>
          </w:p>
          <w:p w14:paraId="3DE82722">
            <w:pPr>
              <w:jc w:val="left"/>
              <w:rPr>
                <w:rFonts w:hint="eastAsia" w:ascii="宋体" w:hAnsi="宋体"/>
                <w:bCs/>
                <w:sz w:val="24"/>
              </w:rPr>
            </w:pPr>
            <w:r>
              <w:rPr>
                <w:rFonts w:hint="eastAsia" w:ascii="宋体" w:hAnsi="宋体"/>
                <w:bCs/>
                <w:sz w:val="24"/>
              </w:rPr>
              <w:t xml:space="preserve">（2）查询渠道：“信用中国”（www.creditchina.gov.cn）、“中国政府采购网”； </w:t>
            </w:r>
          </w:p>
          <w:p w14:paraId="0E32291C">
            <w:pPr>
              <w:jc w:val="left"/>
              <w:rPr>
                <w:rFonts w:hint="eastAsia" w:ascii="宋体" w:hAnsi="宋体"/>
                <w:bCs/>
                <w:sz w:val="24"/>
              </w:rPr>
            </w:pPr>
            <w:r>
              <w:rPr>
                <w:rFonts w:hint="eastAsia" w:ascii="宋体" w:hAnsi="宋体"/>
                <w:bCs/>
                <w:sz w:val="24"/>
              </w:rPr>
              <w:t xml:space="preserve">（3）信用信息查询记录和证据留存具体方式：以网页截图等方式留存； </w:t>
            </w:r>
          </w:p>
          <w:p w14:paraId="355FBDE9">
            <w:pPr>
              <w:jc w:val="left"/>
              <w:rPr>
                <w:rFonts w:hint="eastAsia" w:ascii="宋体" w:hAnsi="宋体"/>
                <w:bCs/>
                <w:sz w:val="24"/>
              </w:rPr>
            </w:pPr>
            <w:r>
              <w:rPr>
                <w:rFonts w:hint="eastAsia" w:ascii="宋体" w:hAnsi="宋体"/>
                <w:bCs/>
                <w:sz w:val="24"/>
              </w:rPr>
              <w:t xml:space="preserve">（4）信用信息的使用规则：供应商存在不良信用记录的，其投标将被作为无效投标被拒绝。不良信用记录指：被列入失信被执行人、税收违法黑名单、政府采购严重违法失信行为记录名单。 </w:t>
            </w:r>
          </w:p>
        </w:tc>
      </w:tr>
      <w:tr w14:paraId="6EC80A9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807" w:hRule="exact"/>
          <w:jc w:val="center"/>
        </w:trPr>
        <w:tc>
          <w:tcPr>
            <w:tcW w:w="635" w:type="dxa"/>
            <w:tcBorders>
              <w:top w:val="single" w:color="auto" w:sz="4" w:space="0"/>
              <w:left w:val="double" w:color="auto" w:sz="4" w:space="0"/>
              <w:bottom w:val="single" w:color="auto" w:sz="4" w:space="0"/>
              <w:right w:val="single" w:color="auto" w:sz="4" w:space="0"/>
            </w:tcBorders>
            <w:vAlign w:val="center"/>
          </w:tcPr>
          <w:p w14:paraId="2BBEE5CC">
            <w:pPr>
              <w:rPr>
                <w:rFonts w:hint="eastAsia" w:ascii="宋体" w:hAnsi="宋体"/>
                <w:bCs/>
                <w:snapToGrid w:val="0"/>
                <w:sz w:val="24"/>
              </w:rPr>
            </w:pPr>
            <w:r>
              <w:rPr>
                <w:rFonts w:hint="eastAsia" w:ascii="宋体" w:hAnsi="宋体"/>
                <w:bCs/>
                <w:snapToGrid w:val="0"/>
                <w:sz w:val="24"/>
              </w:rPr>
              <w:t>18</w:t>
            </w:r>
          </w:p>
        </w:tc>
        <w:tc>
          <w:tcPr>
            <w:tcW w:w="1987" w:type="dxa"/>
            <w:tcBorders>
              <w:top w:val="single" w:color="auto" w:sz="4" w:space="0"/>
              <w:left w:val="single" w:color="auto" w:sz="4" w:space="0"/>
              <w:bottom w:val="single" w:color="auto" w:sz="4" w:space="0"/>
              <w:right w:val="single" w:color="auto" w:sz="4" w:space="0"/>
            </w:tcBorders>
            <w:vAlign w:val="center"/>
          </w:tcPr>
          <w:p w14:paraId="55829E5F">
            <w:pPr>
              <w:jc w:val="center"/>
              <w:rPr>
                <w:rFonts w:hint="eastAsia" w:ascii="宋体" w:hAnsi="宋体"/>
                <w:bCs/>
                <w:snapToGrid w:val="0"/>
                <w:sz w:val="24"/>
              </w:rPr>
            </w:pPr>
            <w:r>
              <w:rPr>
                <w:rFonts w:hint="eastAsia" w:ascii="宋体" w:hAnsi="宋体"/>
                <w:bCs/>
                <w:snapToGrid w:val="0"/>
                <w:sz w:val="24"/>
              </w:rPr>
              <w:t>发布媒体</w:t>
            </w:r>
          </w:p>
        </w:tc>
        <w:tc>
          <w:tcPr>
            <w:tcW w:w="7643" w:type="dxa"/>
            <w:gridSpan w:val="3"/>
            <w:tcBorders>
              <w:top w:val="single" w:color="auto" w:sz="4" w:space="0"/>
              <w:left w:val="single" w:color="auto" w:sz="4" w:space="0"/>
              <w:bottom w:val="single" w:color="auto" w:sz="4" w:space="0"/>
              <w:right w:val="double" w:color="auto" w:sz="4" w:space="0"/>
            </w:tcBorders>
            <w:vAlign w:val="center"/>
          </w:tcPr>
          <w:p w14:paraId="0F02857F">
            <w:pPr>
              <w:rPr>
                <w:rFonts w:hint="eastAsia" w:ascii="宋体" w:hAnsi="宋体"/>
                <w:bCs/>
                <w:sz w:val="24"/>
              </w:rPr>
            </w:pPr>
            <w:r>
              <w:rPr>
                <w:rFonts w:hint="eastAsia" w:ascii="宋体" w:hAnsi="宋体"/>
                <w:bCs/>
                <w:sz w:val="24"/>
              </w:rPr>
              <w:t>浙江政府采购网（</w:t>
            </w:r>
            <w:r>
              <w:fldChar w:fldCharType="begin"/>
            </w:r>
            <w:r>
              <w:instrText xml:space="preserve"> HYPERLINK "http://zfcg.czt.zj.gov.cn/" </w:instrText>
            </w:r>
            <w:r>
              <w:fldChar w:fldCharType="separate"/>
            </w:r>
            <w:r>
              <w:rPr>
                <w:rFonts w:ascii="宋体" w:hAnsi="宋体"/>
                <w:bCs/>
                <w:sz w:val="24"/>
              </w:rPr>
              <w:t>http://zfcg.czt.zj.gov.cn</w:t>
            </w:r>
            <w:r>
              <w:rPr>
                <w:rFonts w:hint="eastAsia" w:ascii="宋体" w:hAnsi="宋体"/>
                <w:bCs/>
                <w:sz w:val="24"/>
              </w:rPr>
              <w:t>/</w:t>
            </w:r>
            <w:r>
              <w:rPr>
                <w:rFonts w:hint="eastAsia" w:ascii="宋体" w:hAnsi="宋体"/>
                <w:bCs/>
                <w:sz w:val="24"/>
              </w:rPr>
              <w:fldChar w:fldCharType="end"/>
            </w:r>
            <w:r>
              <w:rPr>
                <w:rFonts w:hint="eastAsia" w:ascii="宋体" w:hAnsi="宋体"/>
                <w:bCs/>
                <w:sz w:val="24"/>
              </w:rPr>
              <w:t>）</w:t>
            </w:r>
            <w:r>
              <w:rPr>
                <w:rFonts w:hint="eastAsia" w:ascii="宋体" w:hAnsi="宋体"/>
                <w:bCs/>
                <w:kern w:val="0"/>
                <w:sz w:val="24"/>
              </w:rPr>
              <w:t>、丽水市公共资源交易网（http://lssggzy.lishui.gov.cn/lsweb/）</w:t>
            </w:r>
          </w:p>
        </w:tc>
      </w:tr>
      <w:tr w14:paraId="642978C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97" w:hRule="exact"/>
          <w:jc w:val="center"/>
        </w:trPr>
        <w:tc>
          <w:tcPr>
            <w:tcW w:w="635" w:type="dxa"/>
            <w:tcBorders>
              <w:top w:val="single" w:color="auto" w:sz="4" w:space="0"/>
              <w:left w:val="double" w:color="auto" w:sz="4" w:space="0"/>
              <w:bottom w:val="single" w:color="auto" w:sz="4" w:space="0"/>
              <w:right w:val="single" w:color="auto" w:sz="4" w:space="0"/>
            </w:tcBorders>
            <w:vAlign w:val="center"/>
          </w:tcPr>
          <w:p w14:paraId="0B4B1834">
            <w:pPr>
              <w:rPr>
                <w:rFonts w:hint="eastAsia" w:ascii="宋体" w:hAnsi="宋体"/>
                <w:bCs/>
                <w:snapToGrid w:val="0"/>
                <w:sz w:val="24"/>
              </w:rPr>
            </w:pPr>
            <w:r>
              <w:rPr>
                <w:rFonts w:hint="eastAsia" w:ascii="宋体" w:hAnsi="宋体"/>
                <w:bCs/>
                <w:snapToGrid w:val="0"/>
                <w:sz w:val="24"/>
              </w:rPr>
              <w:t>19</w:t>
            </w:r>
          </w:p>
        </w:tc>
        <w:tc>
          <w:tcPr>
            <w:tcW w:w="1987" w:type="dxa"/>
            <w:tcBorders>
              <w:top w:val="single" w:color="auto" w:sz="4" w:space="0"/>
              <w:left w:val="single" w:color="auto" w:sz="4" w:space="0"/>
              <w:bottom w:val="single" w:color="auto" w:sz="4" w:space="0"/>
              <w:right w:val="single" w:color="auto" w:sz="4" w:space="0"/>
            </w:tcBorders>
            <w:vAlign w:val="center"/>
          </w:tcPr>
          <w:p w14:paraId="5AEC322B">
            <w:pPr>
              <w:jc w:val="center"/>
              <w:rPr>
                <w:rFonts w:hint="eastAsia" w:ascii="宋体" w:hAnsi="宋体"/>
                <w:bCs/>
                <w:snapToGrid w:val="0"/>
                <w:sz w:val="24"/>
              </w:rPr>
            </w:pPr>
            <w:r>
              <w:rPr>
                <w:rFonts w:hint="eastAsia" w:ascii="宋体" w:hAnsi="宋体"/>
                <w:bCs/>
                <w:snapToGrid w:val="0"/>
                <w:sz w:val="24"/>
              </w:rPr>
              <w:t>纸质响应文件</w:t>
            </w:r>
          </w:p>
        </w:tc>
        <w:tc>
          <w:tcPr>
            <w:tcW w:w="7643" w:type="dxa"/>
            <w:gridSpan w:val="3"/>
            <w:tcBorders>
              <w:top w:val="single" w:color="auto" w:sz="4" w:space="0"/>
              <w:left w:val="single" w:color="auto" w:sz="4" w:space="0"/>
              <w:bottom w:val="single" w:color="auto" w:sz="4" w:space="0"/>
              <w:right w:val="double" w:color="auto" w:sz="4" w:space="0"/>
            </w:tcBorders>
            <w:vAlign w:val="center"/>
          </w:tcPr>
          <w:p w14:paraId="324D8D10">
            <w:pPr>
              <w:rPr>
                <w:rFonts w:hint="eastAsia" w:ascii="宋体" w:hAnsi="宋体"/>
                <w:bCs/>
                <w:sz w:val="24"/>
              </w:rPr>
            </w:pPr>
            <w:r>
              <w:rPr>
                <w:rFonts w:hint="eastAsia" w:ascii="宋体" w:hAnsi="宋体"/>
                <w:sz w:val="24"/>
              </w:rPr>
              <w:t>成交供应商在领取成交通知书的同时，向采购代理机构递交纸质版响应文件：资格文件、商务技术文件、报价文件三部分各2份</w:t>
            </w:r>
          </w:p>
        </w:tc>
      </w:tr>
      <w:tr w14:paraId="335CAEC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65" w:hRule="exact"/>
          <w:jc w:val="center"/>
        </w:trPr>
        <w:tc>
          <w:tcPr>
            <w:tcW w:w="635" w:type="dxa"/>
            <w:tcBorders>
              <w:top w:val="single" w:color="auto" w:sz="4" w:space="0"/>
              <w:left w:val="double" w:color="auto" w:sz="4" w:space="0"/>
              <w:bottom w:val="single" w:color="auto" w:sz="4" w:space="0"/>
              <w:right w:val="single" w:color="auto" w:sz="4" w:space="0"/>
            </w:tcBorders>
            <w:vAlign w:val="center"/>
          </w:tcPr>
          <w:p w14:paraId="260C3015">
            <w:pPr>
              <w:rPr>
                <w:rFonts w:hint="eastAsia" w:ascii="宋体" w:hAnsi="宋体"/>
                <w:bCs/>
                <w:snapToGrid w:val="0"/>
                <w:sz w:val="24"/>
              </w:rPr>
            </w:pPr>
            <w:r>
              <w:rPr>
                <w:rFonts w:hint="eastAsia" w:ascii="宋体" w:hAnsi="宋体"/>
                <w:bCs/>
                <w:snapToGrid w:val="0"/>
                <w:sz w:val="24"/>
              </w:rPr>
              <w:t>20</w:t>
            </w:r>
          </w:p>
        </w:tc>
        <w:tc>
          <w:tcPr>
            <w:tcW w:w="1987" w:type="dxa"/>
            <w:tcBorders>
              <w:top w:val="single" w:color="auto" w:sz="4" w:space="0"/>
              <w:left w:val="single" w:color="auto" w:sz="4" w:space="0"/>
              <w:bottom w:val="single" w:color="auto" w:sz="4" w:space="0"/>
              <w:right w:val="single" w:color="auto" w:sz="4" w:space="0"/>
            </w:tcBorders>
            <w:vAlign w:val="center"/>
          </w:tcPr>
          <w:p w14:paraId="3C9D66C7">
            <w:pPr>
              <w:jc w:val="center"/>
              <w:rPr>
                <w:rFonts w:hint="eastAsia" w:ascii="宋体" w:hAnsi="宋体"/>
                <w:bCs/>
                <w:snapToGrid w:val="0"/>
                <w:sz w:val="24"/>
              </w:rPr>
            </w:pPr>
            <w:r>
              <w:rPr>
                <w:rFonts w:hint="eastAsia" w:ascii="宋体" w:hAnsi="宋体"/>
                <w:bCs/>
                <w:sz w:val="24"/>
              </w:rPr>
              <w:t>竞争性磋商文件</w:t>
            </w:r>
            <w:r>
              <w:rPr>
                <w:rFonts w:hint="eastAsia" w:ascii="宋体" w:hAnsi="宋体"/>
                <w:bCs/>
                <w:snapToGrid w:val="0"/>
                <w:sz w:val="24"/>
              </w:rPr>
              <w:t>解释</w:t>
            </w:r>
          </w:p>
        </w:tc>
        <w:tc>
          <w:tcPr>
            <w:tcW w:w="7643" w:type="dxa"/>
            <w:gridSpan w:val="3"/>
            <w:tcBorders>
              <w:top w:val="single" w:color="auto" w:sz="4" w:space="0"/>
              <w:left w:val="single" w:color="auto" w:sz="4" w:space="0"/>
              <w:bottom w:val="single" w:color="auto" w:sz="4" w:space="0"/>
              <w:right w:val="double" w:color="auto" w:sz="4" w:space="0"/>
            </w:tcBorders>
            <w:vAlign w:val="center"/>
          </w:tcPr>
          <w:p w14:paraId="7D7CAF44">
            <w:pPr>
              <w:rPr>
                <w:rFonts w:hint="eastAsia" w:ascii="宋体" w:hAnsi="宋体"/>
                <w:bCs/>
                <w:sz w:val="24"/>
              </w:rPr>
            </w:pPr>
            <w:r>
              <w:rPr>
                <w:rFonts w:hint="eastAsia" w:ascii="宋体" w:hAnsi="宋体"/>
                <w:bCs/>
                <w:sz w:val="24"/>
              </w:rPr>
              <w:t>本项目竞争性磋商文件的解释权属于卓正招标咨询（丽水）有限公司</w:t>
            </w:r>
          </w:p>
        </w:tc>
      </w:tr>
      <w:tr w14:paraId="5FC6D6B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825" w:hRule="exact"/>
          <w:jc w:val="center"/>
        </w:trPr>
        <w:tc>
          <w:tcPr>
            <w:tcW w:w="635" w:type="dxa"/>
            <w:tcBorders>
              <w:top w:val="single" w:color="auto" w:sz="4" w:space="0"/>
              <w:left w:val="double" w:color="auto" w:sz="4" w:space="0"/>
              <w:bottom w:val="double" w:color="auto" w:sz="4" w:space="0"/>
              <w:right w:val="single" w:color="auto" w:sz="4" w:space="0"/>
            </w:tcBorders>
            <w:vAlign w:val="center"/>
          </w:tcPr>
          <w:p w14:paraId="05A9D180">
            <w:pPr>
              <w:rPr>
                <w:rFonts w:hint="eastAsia" w:ascii="宋体" w:hAnsi="宋体"/>
                <w:b/>
                <w:bCs/>
                <w:snapToGrid w:val="0"/>
                <w:sz w:val="24"/>
              </w:rPr>
            </w:pPr>
            <w:r>
              <w:rPr>
                <w:rFonts w:hint="eastAsia" w:ascii="宋体" w:hAnsi="宋体"/>
                <w:b/>
                <w:bCs/>
                <w:snapToGrid w:val="0"/>
                <w:sz w:val="24"/>
              </w:rPr>
              <w:t>21</w:t>
            </w:r>
          </w:p>
        </w:tc>
        <w:tc>
          <w:tcPr>
            <w:tcW w:w="1987" w:type="dxa"/>
            <w:tcBorders>
              <w:top w:val="single" w:color="auto" w:sz="4" w:space="0"/>
              <w:left w:val="single" w:color="auto" w:sz="4" w:space="0"/>
              <w:bottom w:val="double" w:color="auto" w:sz="4" w:space="0"/>
              <w:right w:val="single" w:color="auto" w:sz="4" w:space="0"/>
            </w:tcBorders>
            <w:vAlign w:val="center"/>
          </w:tcPr>
          <w:p w14:paraId="5ED6E0BB">
            <w:pPr>
              <w:jc w:val="center"/>
              <w:rPr>
                <w:rFonts w:hint="eastAsia" w:ascii="宋体" w:hAnsi="宋体"/>
                <w:b/>
                <w:bCs/>
                <w:sz w:val="24"/>
              </w:rPr>
            </w:pPr>
            <w:r>
              <w:rPr>
                <w:rFonts w:hint="eastAsia" w:ascii="宋体" w:hAnsi="宋体"/>
                <w:b/>
                <w:bCs/>
                <w:sz w:val="24"/>
              </w:rPr>
              <w:t>供应商解密硬件准备</w:t>
            </w:r>
          </w:p>
        </w:tc>
        <w:tc>
          <w:tcPr>
            <w:tcW w:w="7643" w:type="dxa"/>
            <w:gridSpan w:val="3"/>
            <w:tcBorders>
              <w:top w:val="single" w:color="auto" w:sz="4" w:space="0"/>
              <w:left w:val="single" w:color="auto" w:sz="4" w:space="0"/>
              <w:bottom w:val="double" w:color="auto" w:sz="4" w:space="0"/>
              <w:right w:val="double" w:color="auto" w:sz="4" w:space="0"/>
            </w:tcBorders>
            <w:vAlign w:val="center"/>
          </w:tcPr>
          <w:p w14:paraId="74785FD7">
            <w:pPr>
              <w:rPr>
                <w:rFonts w:hint="eastAsia" w:ascii="宋体" w:hAnsi="宋体"/>
                <w:b/>
                <w:bCs/>
                <w:sz w:val="24"/>
              </w:rPr>
            </w:pPr>
            <w:r>
              <w:rPr>
                <w:rFonts w:hint="eastAsia" w:ascii="宋体" w:hAnsi="宋体"/>
                <w:b/>
                <w:bCs/>
                <w:sz w:val="24"/>
              </w:rPr>
              <w:t>1.电脑、网络（供电子响应文件解密和澄清答疑使用）；</w:t>
            </w:r>
          </w:p>
          <w:p w14:paraId="4901A940">
            <w:pPr>
              <w:rPr>
                <w:rFonts w:hint="eastAsia" w:ascii="宋体" w:hAnsi="宋体"/>
                <w:b/>
                <w:bCs/>
                <w:sz w:val="24"/>
              </w:rPr>
            </w:pPr>
            <w:r>
              <w:rPr>
                <w:rFonts w:hint="eastAsia" w:ascii="宋体" w:hAnsi="宋体"/>
                <w:b/>
                <w:bCs/>
                <w:sz w:val="24"/>
              </w:rPr>
              <w:t>2.电子响应文件解密CA锁(即原编制电子响应文件加密的CA锁)。</w:t>
            </w:r>
          </w:p>
        </w:tc>
      </w:tr>
      <w:bookmarkEnd w:id="145"/>
      <w:bookmarkEnd w:id="146"/>
    </w:tbl>
    <w:p w14:paraId="6A2700FE">
      <w:pPr>
        <w:pStyle w:val="7"/>
        <w:ind w:firstLine="0" w:firstLineChars="0"/>
        <w:rPr>
          <w:rFonts w:hint="eastAsia" w:ascii="宋体" w:hAnsi="宋体"/>
        </w:rPr>
      </w:pPr>
      <w:bookmarkStart w:id="147" w:name="_Toc390938575"/>
      <w:bookmarkStart w:id="148" w:name="_Toc94277240"/>
      <w:bookmarkStart w:id="149" w:name="_Toc32189"/>
      <w:bookmarkStart w:id="150" w:name="_Toc10824"/>
      <w:bookmarkStart w:id="151" w:name="_Toc5453"/>
      <w:bookmarkStart w:id="152" w:name="_Toc24641"/>
      <w:bookmarkStart w:id="153" w:name="_Toc13678"/>
      <w:r>
        <w:rPr>
          <w:rFonts w:hint="eastAsia" w:ascii="宋体" w:hAnsi="宋体"/>
        </w:rPr>
        <w:t xml:space="preserve">一   </w:t>
      </w:r>
      <w:bookmarkEnd w:id="147"/>
      <w:r>
        <w:rPr>
          <w:rFonts w:hint="eastAsia" w:ascii="宋体" w:hAnsi="宋体"/>
        </w:rPr>
        <w:t>总则</w:t>
      </w:r>
      <w:bookmarkEnd w:id="148"/>
      <w:bookmarkEnd w:id="149"/>
      <w:bookmarkEnd w:id="150"/>
      <w:bookmarkEnd w:id="151"/>
      <w:bookmarkEnd w:id="152"/>
      <w:bookmarkEnd w:id="153"/>
    </w:p>
    <w:p w14:paraId="755DEF0E">
      <w:pPr>
        <w:spacing w:line="360" w:lineRule="auto"/>
        <w:ind w:firstLine="482" w:firstLineChars="200"/>
        <w:rPr>
          <w:rFonts w:hint="eastAsia" w:ascii="宋体" w:hAnsi="宋体"/>
          <w:b/>
          <w:sz w:val="24"/>
        </w:rPr>
      </w:pPr>
      <w:r>
        <w:rPr>
          <w:rFonts w:ascii="宋体" w:hAnsi="宋体"/>
          <w:b/>
          <w:sz w:val="24"/>
        </w:rPr>
        <w:t xml:space="preserve">1. </w:t>
      </w:r>
      <w:r>
        <w:rPr>
          <w:rFonts w:hint="eastAsia" w:ascii="宋体" w:hAnsi="宋体"/>
          <w:b/>
          <w:sz w:val="24"/>
        </w:rPr>
        <w:t>适用范围</w:t>
      </w:r>
    </w:p>
    <w:p w14:paraId="2FA8E3AC">
      <w:pPr>
        <w:spacing w:line="360" w:lineRule="auto"/>
        <w:ind w:firstLine="480" w:firstLineChars="200"/>
        <w:rPr>
          <w:rFonts w:hint="eastAsia" w:ascii="宋体" w:hAnsi="宋体"/>
          <w:sz w:val="24"/>
        </w:rPr>
      </w:pPr>
      <w:r>
        <w:rPr>
          <w:rFonts w:ascii="宋体" w:hAnsi="宋体"/>
          <w:sz w:val="24"/>
        </w:rPr>
        <w:t>1</w:t>
      </w:r>
      <w:r>
        <w:rPr>
          <w:rFonts w:hint="eastAsia" w:ascii="宋体" w:hAnsi="宋体"/>
          <w:sz w:val="24"/>
        </w:rPr>
        <w:t>.1</w:t>
      </w:r>
      <w:r>
        <w:rPr>
          <w:rFonts w:ascii="宋体" w:hAnsi="宋体"/>
          <w:sz w:val="24"/>
        </w:rPr>
        <w:t xml:space="preserve"> </w:t>
      </w:r>
      <w:r>
        <w:rPr>
          <w:rFonts w:hint="eastAsia" w:ascii="宋体" w:hAnsi="宋体"/>
          <w:sz w:val="24"/>
        </w:rPr>
        <w:t>磋商文件适用于本次所述项目的采购行为（法律、法规另有规定的，从其规定）。</w:t>
      </w:r>
    </w:p>
    <w:p w14:paraId="7D33136C">
      <w:pPr>
        <w:spacing w:line="360" w:lineRule="auto"/>
        <w:ind w:firstLine="482" w:firstLineChars="200"/>
        <w:rPr>
          <w:rFonts w:hint="eastAsia" w:ascii="宋体" w:hAnsi="宋体"/>
          <w:b/>
          <w:sz w:val="24"/>
        </w:rPr>
      </w:pPr>
      <w:r>
        <w:rPr>
          <w:rFonts w:ascii="宋体" w:hAnsi="宋体"/>
          <w:b/>
          <w:sz w:val="24"/>
        </w:rPr>
        <w:t xml:space="preserve">2. </w:t>
      </w:r>
      <w:r>
        <w:rPr>
          <w:rFonts w:hint="eastAsia" w:ascii="宋体" w:hAnsi="宋体"/>
          <w:b/>
          <w:sz w:val="24"/>
        </w:rPr>
        <w:t>定义</w:t>
      </w:r>
    </w:p>
    <w:p w14:paraId="2B7D238D">
      <w:pPr>
        <w:spacing w:line="360" w:lineRule="auto"/>
        <w:ind w:firstLine="480" w:firstLineChars="200"/>
        <w:rPr>
          <w:rFonts w:hint="eastAsia" w:ascii="宋体" w:hAnsi="宋体"/>
          <w:sz w:val="24"/>
        </w:rPr>
      </w:pPr>
      <w:r>
        <w:rPr>
          <w:rFonts w:ascii="宋体" w:hAnsi="宋体"/>
          <w:sz w:val="24"/>
        </w:rPr>
        <w:t xml:space="preserve">2. 1 </w:t>
      </w:r>
      <w:r>
        <w:rPr>
          <w:rFonts w:hint="eastAsia" w:ascii="宋体" w:hAnsi="宋体"/>
          <w:sz w:val="24"/>
        </w:rPr>
        <w:t>“采购人”系指</w:t>
      </w:r>
      <w:r>
        <w:rPr>
          <w:rFonts w:hint="eastAsia" w:hAnsi="宋体"/>
          <w:sz w:val="24"/>
          <w:lang w:eastAsia="zh-CN"/>
        </w:rPr>
        <w:t>中共丽水市委宣传部</w:t>
      </w:r>
      <w:r>
        <w:rPr>
          <w:rFonts w:hint="eastAsia" w:ascii="宋体" w:hAnsi="宋体"/>
          <w:sz w:val="24"/>
        </w:rPr>
        <w:t>。</w:t>
      </w:r>
    </w:p>
    <w:p w14:paraId="7AC9A1E0">
      <w:pPr>
        <w:spacing w:line="360" w:lineRule="auto"/>
        <w:ind w:firstLine="480" w:firstLineChars="200"/>
        <w:rPr>
          <w:rFonts w:hint="eastAsia" w:ascii="宋体" w:hAnsi="宋体"/>
          <w:sz w:val="24"/>
        </w:rPr>
      </w:pPr>
      <w:r>
        <w:rPr>
          <w:rFonts w:hint="eastAsia" w:ascii="宋体" w:hAnsi="宋体"/>
          <w:sz w:val="24"/>
        </w:rPr>
        <w:t>2.2</w:t>
      </w:r>
      <w:r>
        <w:rPr>
          <w:rFonts w:ascii="宋体" w:hAnsi="宋体"/>
          <w:sz w:val="24"/>
        </w:rPr>
        <w:t xml:space="preserve"> </w:t>
      </w:r>
      <w:r>
        <w:rPr>
          <w:rFonts w:hint="eastAsia" w:ascii="宋体" w:hAnsi="宋体"/>
          <w:sz w:val="24"/>
        </w:rPr>
        <w:t>“采购代理机构”系指卓正招标咨询（丽水）有限公司 。</w:t>
      </w:r>
    </w:p>
    <w:p w14:paraId="2453FD6C">
      <w:pPr>
        <w:spacing w:line="360" w:lineRule="auto"/>
        <w:ind w:firstLine="480" w:firstLineChars="200"/>
        <w:rPr>
          <w:rFonts w:hint="eastAsia" w:ascii="宋体" w:hAnsi="宋体"/>
          <w:sz w:val="24"/>
        </w:rPr>
      </w:pPr>
      <w:r>
        <w:rPr>
          <w:rFonts w:ascii="宋体" w:hAnsi="宋体"/>
          <w:sz w:val="24"/>
        </w:rPr>
        <w:t>2.</w:t>
      </w:r>
      <w:r>
        <w:rPr>
          <w:rFonts w:hint="eastAsia" w:ascii="宋体" w:hAnsi="宋体"/>
          <w:sz w:val="24"/>
        </w:rPr>
        <w:t>3</w:t>
      </w:r>
      <w:r>
        <w:rPr>
          <w:rFonts w:ascii="宋体" w:hAnsi="宋体"/>
          <w:sz w:val="24"/>
        </w:rPr>
        <w:t xml:space="preserve"> </w:t>
      </w:r>
      <w:r>
        <w:rPr>
          <w:rFonts w:hint="eastAsia" w:ascii="宋体" w:hAnsi="宋体"/>
          <w:sz w:val="24"/>
        </w:rPr>
        <w:t>“供应商”系指符合本项目资格要求，依法获取竞争性磋商文件并参与项目磋商的供应商。“供应商代表”系指响应文件中的负责人或其授权的委托代理人。</w:t>
      </w:r>
    </w:p>
    <w:p w14:paraId="452DD334">
      <w:pPr>
        <w:spacing w:line="360" w:lineRule="auto"/>
        <w:ind w:firstLine="480" w:firstLineChars="200"/>
        <w:rPr>
          <w:rFonts w:hint="eastAsia" w:ascii="宋体" w:hAnsi="宋体"/>
          <w:sz w:val="24"/>
        </w:rPr>
      </w:pPr>
      <w:r>
        <w:rPr>
          <w:rFonts w:hint="eastAsia" w:ascii="宋体" w:hAnsi="宋体"/>
          <w:sz w:val="24"/>
        </w:rPr>
        <w:t>2.4</w:t>
      </w:r>
      <w:r>
        <w:rPr>
          <w:rFonts w:ascii="宋体" w:hAnsi="宋体"/>
          <w:sz w:val="24"/>
        </w:rPr>
        <w:t xml:space="preserve"> </w:t>
      </w:r>
      <w:r>
        <w:rPr>
          <w:rFonts w:hint="eastAsia" w:ascii="宋体" w:hAnsi="宋体"/>
          <w:sz w:val="24"/>
        </w:rPr>
        <w:t>“负责人”系指法人企业的法定代表人，或其他组织为</w:t>
      </w:r>
      <w:r>
        <w:rPr>
          <w:rFonts w:ascii="宋体" w:hAnsi="宋体"/>
          <w:sz w:val="24"/>
        </w:rPr>
        <w:t>法律、行政法规规定代表单位行使职权的主要负责人</w:t>
      </w:r>
      <w:r>
        <w:rPr>
          <w:rFonts w:hint="eastAsia" w:ascii="宋体" w:hAnsi="宋体"/>
          <w:sz w:val="24"/>
        </w:rPr>
        <w:t>。</w:t>
      </w:r>
    </w:p>
    <w:p w14:paraId="0A0C49DC">
      <w:pPr>
        <w:spacing w:line="360" w:lineRule="auto"/>
        <w:ind w:firstLine="480" w:firstLineChars="200"/>
        <w:rPr>
          <w:rFonts w:hint="eastAsia" w:ascii="宋体" w:hAnsi="宋体"/>
          <w:sz w:val="24"/>
        </w:rPr>
      </w:pPr>
      <w:r>
        <w:rPr>
          <w:rFonts w:hint="eastAsia" w:ascii="宋体" w:hAnsi="宋体"/>
          <w:sz w:val="24"/>
        </w:rPr>
        <w:t>2.5“联合体”系指两个以上供应商组成联合体，以一个供应商的身份参加投标。</w:t>
      </w:r>
    </w:p>
    <w:p w14:paraId="147A39D7">
      <w:pPr>
        <w:spacing w:line="360" w:lineRule="auto"/>
        <w:ind w:firstLine="480" w:firstLineChars="200"/>
        <w:rPr>
          <w:rFonts w:hint="eastAsia" w:ascii="宋体" w:hAnsi="宋体"/>
          <w:sz w:val="24"/>
        </w:rPr>
      </w:pPr>
      <w:r>
        <w:rPr>
          <w:rFonts w:hint="eastAsia" w:ascii="宋体" w:hAnsi="宋体"/>
          <w:sz w:val="24"/>
        </w:rPr>
        <w:t>2.6“中小企业（含中型、小型、微型）”系指符合国家统计局关于印发《统计上大中小微型企业划分办法（2017）》的通知的企业。</w:t>
      </w:r>
    </w:p>
    <w:p w14:paraId="3009BA6F">
      <w:pPr>
        <w:spacing w:line="360" w:lineRule="auto"/>
        <w:ind w:firstLine="480" w:firstLineChars="200"/>
        <w:rPr>
          <w:rFonts w:hint="eastAsia" w:ascii="宋体" w:hAnsi="宋体"/>
          <w:sz w:val="24"/>
        </w:rPr>
      </w:pPr>
      <w:r>
        <w:rPr>
          <w:rFonts w:hint="eastAsia" w:ascii="宋体" w:hAnsi="宋体"/>
          <w:sz w:val="24"/>
        </w:rPr>
        <w:t>2. 7 “监狱企业” 系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0041F930">
      <w:pPr>
        <w:spacing w:line="360" w:lineRule="auto"/>
        <w:ind w:firstLine="480" w:firstLineChars="200"/>
        <w:rPr>
          <w:rFonts w:hint="eastAsia" w:ascii="宋体" w:hAnsi="宋体"/>
          <w:sz w:val="24"/>
        </w:rPr>
      </w:pPr>
      <w:r>
        <w:rPr>
          <w:rFonts w:hint="eastAsia" w:ascii="宋体" w:hAnsi="宋体"/>
          <w:sz w:val="24"/>
        </w:rPr>
        <w:t>2. 8“残疾人福利性单位” 系指符合《财政部 民政部 中国残疾人联合会关于促进残疾人就业政府采购政策的通知》（财库〔2017〕141 号）的规定单位。</w:t>
      </w:r>
    </w:p>
    <w:p w14:paraId="7E015723">
      <w:pPr>
        <w:spacing w:line="360" w:lineRule="auto"/>
        <w:ind w:firstLine="480" w:firstLineChars="200"/>
        <w:rPr>
          <w:rFonts w:hint="eastAsia" w:ascii="宋体" w:hAnsi="宋体"/>
          <w:sz w:val="24"/>
        </w:rPr>
      </w:pPr>
      <w:r>
        <w:rPr>
          <w:rFonts w:hint="eastAsia" w:ascii="宋体" w:hAnsi="宋体"/>
          <w:sz w:val="24"/>
        </w:rPr>
        <w:t>2.9</w:t>
      </w:r>
      <w:r>
        <w:rPr>
          <w:rFonts w:ascii="宋体" w:hAnsi="宋体"/>
          <w:sz w:val="24"/>
        </w:rPr>
        <w:t xml:space="preserve"> </w:t>
      </w:r>
      <w:r>
        <w:rPr>
          <w:rFonts w:hint="eastAsia" w:ascii="宋体" w:hAnsi="宋体"/>
          <w:sz w:val="24"/>
        </w:rPr>
        <w:t>“合同”系指采购人与成交人双方签署的规定双方权利与义务的协议，以及所有附件、附录、磋商文件和响应文件所提到的构成合同的所有文件。</w:t>
      </w:r>
    </w:p>
    <w:p w14:paraId="1478DC78">
      <w:pPr>
        <w:spacing w:line="360" w:lineRule="auto"/>
        <w:ind w:firstLine="480" w:firstLineChars="200"/>
        <w:rPr>
          <w:rFonts w:hint="eastAsia" w:ascii="宋体" w:hAnsi="宋体"/>
          <w:sz w:val="24"/>
        </w:rPr>
      </w:pPr>
      <w:r>
        <w:rPr>
          <w:rFonts w:ascii="宋体" w:hAnsi="宋体"/>
          <w:sz w:val="24"/>
        </w:rPr>
        <w:t>2.</w:t>
      </w:r>
      <w:r>
        <w:rPr>
          <w:rFonts w:hint="eastAsia" w:ascii="宋体" w:hAnsi="宋体"/>
          <w:sz w:val="24"/>
        </w:rPr>
        <w:t>10</w:t>
      </w:r>
      <w:r>
        <w:rPr>
          <w:rFonts w:ascii="宋体" w:hAnsi="宋体"/>
          <w:sz w:val="24"/>
        </w:rPr>
        <w:t xml:space="preserve"> </w:t>
      </w:r>
      <w:r>
        <w:rPr>
          <w:rFonts w:hint="eastAsia" w:ascii="宋体" w:hAnsi="宋体"/>
          <w:sz w:val="24"/>
        </w:rPr>
        <w:t>“产品”系指供应商按磋商文件规定，须向采购人提供的一切产品（包括：虚拟产品），以及产品相关的保险、税金、备品备件、附件、耗材、工具、手册及其它有关技术资料和材料等。</w:t>
      </w:r>
    </w:p>
    <w:p w14:paraId="7BAEA81B">
      <w:pPr>
        <w:spacing w:line="360" w:lineRule="auto"/>
        <w:ind w:firstLine="480" w:firstLineChars="200"/>
        <w:rPr>
          <w:rFonts w:hint="eastAsia" w:ascii="宋体" w:hAnsi="宋体"/>
          <w:sz w:val="24"/>
        </w:rPr>
      </w:pPr>
      <w:r>
        <w:rPr>
          <w:rFonts w:ascii="宋体" w:hAnsi="宋体"/>
          <w:sz w:val="24"/>
        </w:rPr>
        <w:t>2.</w:t>
      </w:r>
      <w:r>
        <w:rPr>
          <w:rFonts w:hint="eastAsia" w:ascii="宋体" w:hAnsi="宋体"/>
          <w:sz w:val="24"/>
        </w:rPr>
        <w:t>11</w:t>
      </w:r>
      <w:r>
        <w:rPr>
          <w:rFonts w:ascii="宋体" w:hAnsi="宋体"/>
          <w:sz w:val="24"/>
        </w:rPr>
        <w:t xml:space="preserve"> </w:t>
      </w:r>
      <w:r>
        <w:rPr>
          <w:rFonts w:hint="eastAsia" w:ascii="宋体" w:hAnsi="宋体"/>
          <w:sz w:val="24"/>
        </w:rPr>
        <w:t>“服务”系指供应商按磋商文件规定应承担的送货上门、安装、调试、技术协助、校准、培训、技术指导以及其他类似的附随义务。</w:t>
      </w:r>
    </w:p>
    <w:p w14:paraId="7673FCB5">
      <w:pPr>
        <w:spacing w:line="360" w:lineRule="auto"/>
        <w:ind w:firstLine="480" w:firstLineChars="200"/>
        <w:rPr>
          <w:rFonts w:hint="eastAsia" w:ascii="宋体" w:hAnsi="宋体"/>
          <w:sz w:val="24"/>
        </w:rPr>
      </w:pPr>
      <w:r>
        <w:rPr>
          <w:rFonts w:hint="eastAsia" w:ascii="宋体" w:hAnsi="宋体"/>
          <w:sz w:val="24"/>
        </w:rPr>
        <w:t>2.12 “重大偏离”或“保留” 系指将会影响到采购文件规定的服务范围、质量标准，或会给合同中规定的采购人的权利和投标供应商的责任造成实质性限制，而纠正这些偏离或保留将对其他提交了实质性响应的投标文件的投标供应商产生不公平影响的。</w:t>
      </w:r>
    </w:p>
    <w:p w14:paraId="5AB290FB">
      <w:pPr>
        <w:spacing w:line="360" w:lineRule="auto"/>
        <w:ind w:firstLine="480" w:firstLineChars="200"/>
        <w:rPr>
          <w:rFonts w:hint="eastAsia" w:ascii="宋体" w:hAnsi="宋体"/>
          <w:sz w:val="24"/>
        </w:rPr>
      </w:pPr>
      <w:r>
        <w:rPr>
          <w:rFonts w:hint="eastAsia" w:ascii="宋体" w:hAnsi="宋体"/>
          <w:sz w:val="24"/>
        </w:rPr>
        <w:t>2.13“细微偏离” 系指投标文件对采购文件的非实质性内容存在不完全响应或不响</w:t>
      </w:r>
      <w:r>
        <w:rPr>
          <w:rFonts w:ascii="宋体" w:hAnsi="宋体"/>
          <w:sz w:val="24"/>
        </w:rPr>
        <w:t>应。</w:t>
      </w:r>
    </w:p>
    <w:p w14:paraId="0F70D650">
      <w:pPr>
        <w:spacing w:line="360" w:lineRule="auto"/>
        <w:ind w:firstLine="480" w:firstLineChars="200"/>
        <w:rPr>
          <w:rFonts w:hint="eastAsia" w:ascii="宋体" w:hAnsi="宋体"/>
          <w:sz w:val="24"/>
          <w:highlight w:val="yellow"/>
        </w:rPr>
      </w:pPr>
      <w:r>
        <w:rPr>
          <w:rFonts w:hint="eastAsia" w:ascii="宋体" w:hAnsi="宋体"/>
          <w:sz w:val="24"/>
        </w:rPr>
        <w:t>2.14 “▲” 系指实质性要求条款。供应商投标时应对所有“实质性条款（或要求）”作出实质性响应，且不得出现负偏离，否则磋商无效。</w:t>
      </w:r>
    </w:p>
    <w:p w14:paraId="76DA6877">
      <w:pPr>
        <w:spacing w:line="360" w:lineRule="auto"/>
        <w:ind w:firstLine="480" w:firstLineChars="200"/>
        <w:rPr>
          <w:rFonts w:hint="eastAsia" w:ascii="宋体" w:hAnsi="宋体"/>
          <w:b/>
          <w:bCs/>
          <w:sz w:val="24"/>
        </w:rPr>
      </w:pPr>
      <w:r>
        <w:rPr>
          <w:rFonts w:hint="eastAsia" w:ascii="宋体" w:hAnsi="宋体"/>
          <w:bCs/>
          <w:sz w:val="24"/>
        </w:rPr>
        <w:t>2.15  本文件所指的公章均指供应商的</w:t>
      </w:r>
      <w:r>
        <w:rPr>
          <w:rFonts w:hint="eastAsia" w:ascii="宋体" w:hAnsi="宋体"/>
          <w:b/>
          <w:bCs/>
          <w:sz w:val="24"/>
        </w:rPr>
        <w:t>CA</w:t>
      </w:r>
      <w:r>
        <w:rPr>
          <w:rFonts w:hint="eastAsia" w:ascii="宋体" w:hAnsi="宋体"/>
          <w:bCs/>
          <w:sz w:val="24"/>
        </w:rPr>
        <w:t>电子章</w:t>
      </w:r>
      <w:r>
        <w:rPr>
          <w:rFonts w:hint="eastAsia" w:ascii="宋体" w:hAnsi="宋体"/>
          <w:b/>
          <w:bCs/>
          <w:sz w:val="24"/>
        </w:rPr>
        <w:t>（格式另有要求的除外）。</w:t>
      </w:r>
    </w:p>
    <w:p w14:paraId="33E6A048">
      <w:pPr>
        <w:spacing w:line="360" w:lineRule="auto"/>
        <w:ind w:firstLine="482" w:firstLineChars="200"/>
        <w:rPr>
          <w:rFonts w:hint="eastAsia" w:ascii="宋体" w:hAnsi="宋体"/>
          <w:b/>
          <w:sz w:val="24"/>
        </w:rPr>
      </w:pPr>
      <w:r>
        <w:rPr>
          <w:rFonts w:ascii="宋体" w:hAnsi="宋体"/>
          <w:b/>
          <w:sz w:val="24"/>
        </w:rPr>
        <w:t>3.</w:t>
      </w:r>
      <w:r>
        <w:rPr>
          <w:rFonts w:hint="eastAsia" w:ascii="宋体" w:hAnsi="宋体"/>
          <w:b/>
          <w:sz w:val="24"/>
        </w:rPr>
        <w:t>供应商基本要求</w:t>
      </w:r>
    </w:p>
    <w:p w14:paraId="319FB828">
      <w:pPr>
        <w:spacing w:line="360" w:lineRule="auto"/>
        <w:ind w:firstLine="480" w:firstLineChars="200"/>
        <w:rPr>
          <w:rFonts w:hint="eastAsia" w:ascii="宋体" w:hAnsi="宋体"/>
          <w:sz w:val="24"/>
        </w:rPr>
      </w:pPr>
      <w:r>
        <w:rPr>
          <w:rFonts w:ascii="宋体" w:hAnsi="宋体"/>
          <w:sz w:val="24"/>
        </w:rPr>
        <w:t xml:space="preserve">3.1 </w:t>
      </w:r>
      <w:r>
        <w:rPr>
          <w:rFonts w:hint="eastAsia" w:ascii="宋体" w:hAnsi="宋体"/>
          <w:sz w:val="24"/>
        </w:rPr>
        <w:t>符合本文件第一章 采购公告第“二”条的规定；</w:t>
      </w:r>
    </w:p>
    <w:p w14:paraId="5768B3BE">
      <w:pPr>
        <w:spacing w:line="360" w:lineRule="auto"/>
        <w:ind w:firstLine="480" w:firstLineChars="200"/>
        <w:rPr>
          <w:rFonts w:hint="eastAsia" w:ascii="宋体" w:hAnsi="宋体"/>
          <w:sz w:val="24"/>
        </w:rPr>
      </w:pPr>
      <w:r>
        <w:rPr>
          <w:rFonts w:hint="eastAsia" w:ascii="宋体" w:hAnsi="宋体"/>
          <w:sz w:val="24"/>
        </w:rPr>
        <w:t>3.2</w:t>
      </w:r>
      <w:r>
        <w:rPr>
          <w:rFonts w:ascii="宋体" w:hAnsi="宋体"/>
          <w:sz w:val="24"/>
        </w:rPr>
        <w:t xml:space="preserve"> </w:t>
      </w:r>
      <w:r>
        <w:rPr>
          <w:rFonts w:hint="eastAsia" w:ascii="宋体" w:hAnsi="宋体"/>
          <w:sz w:val="24"/>
        </w:rPr>
        <w:t>供应商应遵守有关的法律、法规和规章条例。</w:t>
      </w:r>
    </w:p>
    <w:p w14:paraId="66C4585D">
      <w:pPr>
        <w:spacing w:line="360" w:lineRule="auto"/>
        <w:ind w:firstLine="482" w:firstLineChars="200"/>
        <w:rPr>
          <w:rFonts w:hint="eastAsia" w:ascii="宋体" w:hAnsi="宋体"/>
          <w:b/>
          <w:sz w:val="24"/>
        </w:rPr>
      </w:pPr>
      <w:r>
        <w:rPr>
          <w:rFonts w:hint="eastAsia" w:ascii="宋体" w:hAnsi="宋体"/>
          <w:b/>
          <w:sz w:val="24"/>
        </w:rPr>
        <w:t>4</w:t>
      </w:r>
      <w:r>
        <w:rPr>
          <w:rFonts w:ascii="宋体" w:hAnsi="宋体"/>
          <w:b/>
          <w:sz w:val="24"/>
        </w:rPr>
        <w:t>.</w:t>
      </w:r>
      <w:r>
        <w:rPr>
          <w:rFonts w:hint="eastAsia" w:ascii="宋体" w:hAnsi="宋体"/>
          <w:b/>
          <w:sz w:val="24"/>
        </w:rPr>
        <w:t>联合体说明</w:t>
      </w:r>
    </w:p>
    <w:p w14:paraId="157EC78C">
      <w:pPr>
        <w:spacing w:line="360" w:lineRule="auto"/>
        <w:ind w:firstLine="480" w:firstLineChars="200"/>
        <w:rPr>
          <w:rFonts w:hint="eastAsia" w:ascii="宋体" w:hAnsi="宋体"/>
          <w:sz w:val="24"/>
        </w:rPr>
      </w:pPr>
      <w:r>
        <w:rPr>
          <w:rFonts w:ascii="宋体" w:hAnsi="宋体"/>
          <w:sz w:val="24"/>
        </w:rPr>
        <w:t>本项目</w:t>
      </w:r>
      <w:r>
        <w:rPr>
          <w:rFonts w:hint="eastAsia" w:ascii="宋体" w:hAnsi="宋体"/>
          <w:sz w:val="24"/>
        </w:rPr>
        <w:t>不</w:t>
      </w:r>
      <w:r>
        <w:rPr>
          <w:rFonts w:ascii="宋体" w:hAnsi="宋体"/>
          <w:sz w:val="24"/>
        </w:rPr>
        <w:t>接受联合体</w:t>
      </w:r>
      <w:r>
        <w:rPr>
          <w:rFonts w:hint="eastAsia" w:ascii="宋体" w:hAnsi="宋体"/>
          <w:sz w:val="24"/>
        </w:rPr>
        <w:t>参加磋商</w:t>
      </w:r>
      <w:r>
        <w:rPr>
          <w:rFonts w:ascii="宋体" w:hAnsi="宋体"/>
          <w:sz w:val="24"/>
        </w:rPr>
        <w:t>。</w:t>
      </w:r>
    </w:p>
    <w:p w14:paraId="3BB9FE95">
      <w:pPr>
        <w:spacing w:line="360" w:lineRule="auto"/>
        <w:ind w:firstLine="482" w:firstLineChars="200"/>
        <w:rPr>
          <w:rFonts w:hint="eastAsia" w:ascii="宋体" w:hAnsi="宋体"/>
          <w:b/>
          <w:sz w:val="24"/>
        </w:rPr>
      </w:pPr>
      <w:r>
        <w:rPr>
          <w:rFonts w:hint="eastAsia" w:ascii="宋体" w:hAnsi="宋体"/>
          <w:b/>
          <w:sz w:val="24"/>
        </w:rPr>
        <w:t>5</w:t>
      </w:r>
      <w:r>
        <w:rPr>
          <w:rFonts w:ascii="宋体" w:hAnsi="宋体"/>
          <w:b/>
          <w:sz w:val="24"/>
        </w:rPr>
        <w:t>.</w:t>
      </w:r>
      <w:r>
        <w:rPr>
          <w:rFonts w:hint="eastAsia" w:ascii="宋体" w:hAnsi="宋体"/>
          <w:b/>
          <w:sz w:val="24"/>
        </w:rPr>
        <w:t>特别说明</w:t>
      </w:r>
    </w:p>
    <w:p w14:paraId="696860DC">
      <w:pPr>
        <w:spacing w:line="360" w:lineRule="auto"/>
        <w:ind w:firstLine="482" w:firstLineChars="200"/>
        <w:rPr>
          <w:rFonts w:hint="eastAsia" w:ascii="宋体" w:hAnsi="宋体"/>
          <w:sz w:val="24"/>
        </w:rPr>
      </w:pPr>
      <w:r>
        <w:rPr>
          <w:rFonts w:hint="eastAsia" w:ascii="宋体" w:hAnsi="宋体"/>
          <w:b/>
          <w:bCs/>
          <w:sz w:val="24"/>
        </w:rPr>
        <w:t>▲</w:t>
      </w:r>
      <w:r>
        <w:rPr>
          <w:rFonts w:hint="eastAsia" w:ascii="宋体" w:hAnsi="宋体"/>
          <w:sz w:val="24"/>
        </w:rPr>
        <w:t>5.1</w:t>
      </w:r>
      <w:r>
        <w:rPr>
          <w:rFonts w:ascii="宋体" w:hAnsi="宋体"/>
          <w:bCs/>
          <w:sz w:val="24"/>
        </w:rPr>
        <w:t>单位</w:t>
      </w:r>
      <w:r>
        <w:rPr>
          <w:rFonts w:ascii="宋体" w:hAnsi="宋体" w:cs="宋体"/>
          <w:kern w:val="0"/>
          <w:sz w:val="24"/>
        </w:rPr>
        <w:t>负责人为同一人或者存在直接控股、管理关系的不同供应商，不得参加同一合同项下的政府采购活动。</w:t>
      </w:r>
    </w:p>
    <w:p w14:paraId="6458C3BE">
      <w:pPr>
        <w:spacing w:line="360" w:lineRule="auto"/>
        <w:ind w:firstLine="482" w:firstLineChars="200"/>
        <w:rPr>
          <w:rFonts w:hint="eastAsia" w:ascii="宋体" w:hAnsi="宋体"/>
          <w:sz w:val="24"/>
        </w:rPr>
      </w:pPr>
      <w:r>
        <w:rPr>
          <w:rFonts w:hint="eastAsia" w:ascii="宋体" w:hAnsi="宋体"/>
          <w:b/>
          <w:bCs/>
          <w:sz w:val="24"/>
        </w:rPr>
        <w:t>▲</w:t>
      </w:r>
      <w:r>
        <w:rPr>
          <w:rFonts w:hint="eastAsia" w:ascii="宋体" w:hAnsi="宋体"/>
          <w:sz w:val="24"/>
        </w:rPr>
        <w:t>5.2</w:t>
      </w:r>
      <w:r>
        <w:rPr>
          <w:rFonts w:ascii="宋体" w:hAnsi="宋体"/>
          <w:sz w:val="24"/>
        </w:rPr>
        <w:t xml:space="preserve"> </w:t>
      </w:r>
      <w:r>
        <w:rPr>
          <w:rFonts w:hint="eastAsia" w:ascii="宋体" w:hAnsi="宋体"/>
          <w:sz w:val="24"/>
        </w:rPr>
        <w:t>为采购项目提供整体设计、规范编制或者项目管理、监理、检测等服务的供应商，不得再参加该采购项目的其他采购活动。</w:t>
      </w:r>
    </w:p>
    <w:p w14:paraId="3C5A3879">
      <w:pPr>
        <w:spacing w:line="360" w:lineRule="auto"/>
        <w:ind w:firstLine="480" w:firstLineChars="200"/>
        <w:rPr>
          <w:rFonts w:hint="eastAsia" w:ascii="宋体" w:hAnsi="宋体"/>
          <w:bCs/>
          <w:sz w:val="24"/>
        </w:rPr>
      </w:pPr>
      <w:r>
        <w:rPr>
          <w:rFonts w:hint="eastAsia" w:ascii="宋体" w:hAnsi="宋体"/>
          <w:bCs/>
          <w:sz w:val="24"/>
        </w:rPr>
        <w:t>▲5.3 根据《关于规范政府采购供应商资格设定及资格审查的通知》（浙财采监[2013]24号）第6条规定接受金融、保险、通讯等特定行业的全国性企业所设立的区域性分支机构（应依法办理了工商、税务和社保登记手续，获得总公司（总机构）授权或能够提供房产权证或其他有效财产证明材料，能证明其具备实际承担责任的能力和法定的缔结合同能力）、以及个体工商户、个人独资企业、合伙企业（应依法办理了工商、税务和社保登记手续，能够提供房产权证或其他有效财产证明材料，能证明其具备实际承担责任的能力和法定的缔结合同能力），上述单位参加本项目投标并由单位负责人签署的相关投标资料与本采购文件规定由法定代表人签署的文件材料具有同等效力。</w:t>
      </w:r>
    </w:p>
    <w:p w14:paraId="6C355BBC">
      <w:pPr>
        <w:spacing w:line="360" w:lineRule="auto"/>
        <w:ind w:firstLine="480" w:firstLineChars="200"/>
        <w:rPr>
          <w:rFonts w:hint="eastAsia" w:ascii="宋体" w:hAnsi="宋体"/>
          <w:bCs/>
          <w:sz w:val="24"/>
        </w:rPr>
      </w:pPr>
      <w:r>
        <w:rPr>
          <w:rFonts w:hint="eastAsia" w:ascii="宋体" w:hAnsi="宋体"/>
          <w:bCs/>
          <w:sz w:val="24"/>
        </w:rPr>
        <w:t>▲5.4公益一类事业单位不属于政府购买服务的承接主体，不得参与承接购买服务。</w:t>
      </w:r>
    </w:p>
    <w:p w14:paraId="560D3D12">
      <w:pPr>
        <w:spacing w:line="360" w:lineRule="auto"/>
        <w:ind w:firstLine="480" w:firstLineChars="200"/>
        <w:rPr>
          <w:rFonts w:hint="eastAsia" w:ascii="宋体" w:hAnsi="宋体"/>
          <w:bCs/>
          <w:sz w:val="24"/>
        </w:rPr>
      </w:pPr>
      <w:r>
        <w:rPr>
          <w:rFonts w:hint="eastAsia" w:ascii="宋体" w:hAnsi="宋体"/>
          <w:bCs/>
          <w:sz w:val="24"/>
        </w:rPr>
        <w:t>5.5供应商自行承担所有与磋商有关的全部费用。</w:t>
      </w:r>
    </w:p>
    <w:p w14:paraId="54ECCC74">
      <w:pPr>
        <w:spacing w:line="360" w:lineRule="auto"/>
        <w:ind w:firstLine="480" w:firstLineChars="200"/>
        <w:rPr>
          <w:rFonts w:hint="eastAsia" w:ascii="宋体" w:hAnsi="宋体"/>
          <w:bCs/>
          <w:sz w:val="24"/>
        </w:rPr>
      </w:pPr>
      <w:r>
        <w:rPr>
          <w:rFonts w:hint="eastAsia" w:ascii="宋体" w:hAnsi="宋体"/>
          <w:bCs/>
          <w:sz w:val="24"/>
        </w:rPr>
        <w:t>5.6参与招投标活动的各方应对采购文件和投标文件中的商业和技术等秘密保密，违者应对此造成的后果承担法律责任。</w:t>
      </w:r>
    </w:p>
    <w:p w14:paraId="1B6C7415">
      <w:pPr>
        <w:pStyle w:val="7"/>
        <w:ind w:firstLine="517" w:firstLineChars="161"/>
        <w:rPr>
          <w:rFonts w:hint="eastAsia" w:ascii="宋体" w:hAnsi="宋体"/>
          <w:sz w:val="32"/>
        </w:rPr>
      </w:pPr>
      <w:bookmarkStart w:id="154" w:name="_Toc11962"/>
      <w:bookmarkStart w:id="155" w:name="_Toc495479093"/>
      <w:bookmarkStart w:id="156" w:name="_Toc29205"/>
      <w:bookmarkStart w:id="157" w:name="_Toc18727"/>
      <w:bookmarkStart w:id="158" w:name="_Toc1718"/>
      <w:bookmarkStart w:id="159" w:name="_Toc5005"/>
      <w:bookmarkStart w:id="160" w:name="_Toc390938576"/>
      <w:bookmarkStart w:id="161" w:name="_Toc94277241"/>
      <w:r>
        <w:rPr>
          <w:rFonts w:hint="eastAsia" w:ascii="宋体" w:hAnsi="宋体"/>
          <w:sz w:val="32"/>
        </w:rPr>
        <w:t>二</w:t>
      </w:r>
      <w:r>
        <w:rPr>
          <w:rFonts w:ascii="宋体" w:hAnsi="宋体"/>
          <w:sz w:val="32"/>
        </w:rPr>
        <w:t xml:space="preserve">  </w:t>
      </w:r>
      <w:r>
        <w:rPr>
          <w:rFonts w:hint="eastAsia" w:ascii="宋体" w:hAnsi="宋体"/>
          <w:sz w:val="32"/>
        </w:rPr>
        <w:t xml:space="preserve"> 磋商文件说明</w:t>
      </w:r>
      <w:bookmarkEnd w:id="154"/>
      <w:bookmarkEnd w:id="155"/>
      <w:bookmarkEnd w:id="156"/>
      <w:bookmarkEnd w:id="157"/>
      <w:bookmarkEnd w:id="158"/>
      <w:bookmarkEnd w:id="159"/>
      <w:bookmarkEnd w:id="160"/>
      <w:bookmarkEnd w:id="161"/>
    </w:p>
    <w:p w14:paraId="2AADF95C">
      <w:pPr>
        <w:spacing w:line="360" w:lineRule="auto"/>
        <w:ind w:firstLine="482" w:firstLineChars="200"/>
        <w:rPr>
          <w:rFonts w:hint="eastAsia" w:ascii="宋体" w:hAnsi="宋体"/>
          <w:b/>
          <w:sz w:val="24"/>
        </w:rPr>
      </w:pPr>
      <w:r>
        <w:rPr>
          <w:rFonts w:hint="eastAsia" w:ascii="宋体" w:hAnsi="宋体"/>
          <w:b/>
          <w:sz w:val="24"/>
        </w:rPr>
        <w:t>6</w:t>
      </w:r>
      <w:r>
        <w:rPr>
          <w:rFonts w:ascii="宋体" w:hAnsi="宋体"/>
          <w:b/>
          <w:sz w:val="24"/>
        </w:rPr>
        <w:t>.</w:t>
      </w:r>
      <w:r>
        <w:rPr>
          <w:rFonts w:hint="eastAsia" w:ascii="宋体" w:hAnsi="宋体"/>
          <w:sz w:val="24"/>
        </w:rPr>
        <w:t xml:space="preserve"> </w:t>
      </w:r>
      <w:r>
        <w:rPr>
          <w:rFonts w:hint="eastAsia" w:ascii="宋体" w:hAnsi="宋体"/>
          <w:b/>
          <w:sz w:val="24"/>
        </w:rPr>
        <w:t>磋商文件的构成</w:t>
      </w:r>
    </w:p>
    <w:p w14:paraId="6F440CF2">
      <w:pPr>
        <w:spacing w:line="360" w:lineRule="auto"/>
        <w:ind w:firstLine="480" w:firstLineChars="200"/>
        <w:rPr>
          <w:rFonts w:hint="eastAsia" w:ascii="宋体" w:hAnsi="宋体"/>
          <w:sz w:val="24"/>
        </w:rPr>
      </w:pPr>
      <w:r>
        <w:rPr>
          <w:rFonts w:hint="eastAsia" w:ascii="宋体" w:hAnsi="宋体"/>
          <w:sz w:val="24"/>
        </w:rPr>
        <w:t>6</w:t>
      </w:r>
      <w:r>
        <w:rPr>
          <w:rFonts w:ascii="宋体" w:hAnsi="宋体"/>
          <w:sz w:val="24"/>
        </w:rPr>
        <w:t>.1</w:t>
      </w:r>
      <w:r>
        <w:rPr>
          <w:rFonts w:hint="eastAsia" w:ascii="宋体" w:hAnsi="宋体"/>
          <w:sz w:val="24"/>
        </w:rPr>
        <w:t>磋商文件用以阐明所需货物及服务、磋商、磋商程序和合同条款等。本磋商文件由下述部分组成：</w:t>
      </w:r>
    </w:p>
    <w:p w14:paraId="20B1878B">
      <w:pPr>
        <w:tabs>
          <w:tab w:val="left" w:pos="6585"/>
        </w:tabs>
        <w:spacing w:line="360" w:lineRule="auto"/>
        <w:ind w:firstLine="480" w:firstLineChars="200"/>
        <w:rPr>
          <w:rFonts w:hint="eastAsia" w:ascii="宋体" w:hAnsi="宋体"/>
          <w:sz w:val="24"/>
        </w:rPr>
      </w:pPr>
      <w:r>
        <w:rPr>
          <w:rFonts w:hint="eastAsia" w:ascii="宋体" w:hAnsi="宋体"/>
          <w:sz w:val="24"/>
        </w:rPr>
        <w:t>6.1.1竞争性</w:t>
      </w:r>
      <w:r>
        <w:rPr>
          <w:rFonts w:ascii="宋体" w:hAnsi="宋体"/>
          <w:sz w:val="24"/>
        </w:rPr>
        <w:t>磋商</w:t>
      </w:r>
      <w:r>
        <w:rPr>
          <w:rFonts w:hint="eastAsia" w:ascii="宋体" w:hAnsi="宋体"/>
          <w:sz w:val="24"/>
        </w:rPr>
        <w:t>公告</w:t>
      </w:r>
    </w:p>
    <w:p w14:paraId="55A99B10">
      <w:pPr>
        <w:spacing w:line="360" w:lineRule="auto"/>
        <w:ind w:firstLine="480" w:firstLineChars="200"/>
        <w:rPr>
          <w:rFonts w:hint="eastAsia" w:ascii="宋体" w:hAnsi="宋体"/>
          <w:sz w:val="24"/>
        </w:rPr>
      </w:pPr>
      <w:r>
        <w:rPr>
          <w:rFonts w:hint="eastAsia" w:ascii="宋体" w:hAnsi="宋体"/>
          <w:sz w:val="24"/>
        </w:rPr>
        <w:t>6.1.2供应商须知</w:t>
      </w:r>
    </w:p>
    <w:p w14:paraId="66AE9E29">
      <w:pPr>
        <w:spacing w:line="360" w:lineRule="auto"/>
        <w:ind w:firstLine="480" w:firstLineChars="200"/>
        <w:rPr>
          <w:rFonts w:hint="eastAsia" w:ascii="宋体" w:hAnsi="宋体"/>
          <w:sz w:val="24"/>
        </w:rPr>
      </w:pPr>
      <w:r>
        <w:rPr>
          <w:rFonts w:hint="eastAsia" w:ascii="宋体" w:hAnsi="宋体"/>
          <w:sz w:val="24"/>
        </w:rPr>
        <w:t>6.1.3采购需求</w:t>
      </w:r>
    </w:p>
    <w:p w14:paraId="53F67392">
      <w:pPr>
        <w:spacing w:line="360" w:lineRule="auto"/>
        <w:ind w:firstLine="480" w:firstLineChars="200"/>
        <w:rPr>
          <w:rFonts w:hint="eastAsia" w:ascii="宋体" w:hAnsi="宋体"/>
          <w:sz w:val="24"/>
        </w:rPr>
      </w:pPr>
      <w:r>
        <w:rPr>
          <w:rFonts w:hint="eastAsia" w:ascii="宋体" w:hAnsi="宋体"/>
          <w:sz w:val="24"/>
        </w:rPr>
        <w:t>6.1.4政府采购合同</w:t>
      </w:r>
    </w:p>
    <w:p w14:paraId="30BC785D">
      <w:pPr>
        <w:spacing w:line="360" w:lineRule="auto"/>
        <w:ind w:firstLine="480" w:firstLineChars="200"/>
        <w:rPr>
          <w:rFonts w:hint="eastAsia" w:ascii="宋体" w:hAnsi="宋体"/>
          <w:sz w:val="24"/>
        </w:rPr>
      </w:pPr>
      <w:r>
        <w:rPr>
          <w:rFonts w:hint="eastAsia" w:ascii="宋体" w:hAnsi="宋体"/>
          <w:sz w:val="24"/>
        </w:rPr>
        <w:t>6.1.5磋商相关文件格式</w:t>
      </w:r>
    </w:p>
    <w:p w14:paraId="496256D6">
      <w:pPr>
        <w:spacing w:line="360" w:lineRule="auto"/>
        <w:ind w:firstLine="480" w:firstLineChars="200"/>
        <w:rPr>
          <w:rFonts w:hint="eastAsia" w:ascii="宋体" w:hAnsi="宋体"/>
          <w:sz w:val="24"/>
        </w:rPr>
      </w:pPr>
      <w:r>
        <w:rPr>
          <w:rFonts w:hint="eastAsia" w:ascii="宋体" w:hAnsi="宋体"/>
          <w:sz w:val="24"/>
        </w:rPr>
        <w:t>6.1.6磋商办法和细则</w:t>
      </w:r>
    </w:p>
    <w:p w14:paraId="5CAA1B6B">
      <w:pPr>
        <w:spacing w:line="360" w:lineRule="auto"/>
        <w:ind w:firstLine="480" w:firstLineChars="200"/>
        <w:rPr>
          <w:rFonts w:hint="eastAsia" w:ascii="宋体" w:hAnsi="宋体"/>
          <w:sz w:val="24"/>
        </w:rPr>
      </w:pPr>
      <w:r>
        <w:rPr>
          <w:rFonts w:hint="eastAsia" w:ascii="宋体" w:hAnsi="宋体"/>
          <w:sz w:val="24"/>
        </w:rPr>
        <w:t>6.1.7与本项目有关的磋商文件澄清、答复、更正、补充的内容</w:t>
      </w:r>
    </w:p>
    <w:p w14:paraId="04EAC33F">
      <w:pPr>
        <w:spacing w:line="360" w:lineRule="auto"/>
        <w:ind w:firstLine="482" w:firstLineChars="200"/>
        <w:rPr>
          <w:rFonts w:hint="eastAsia" w:ascii="宋体" w:hAnsi="宋体"/>
          <w:b/>
          <w:sz w:val="24"/>
        </w:rPr>
      </w:pPr>
      <w:r>
        <w:rPr>
          <w:rFonts w:hint="eastAsia" w:ascii="宋体" w:hAnsi="宋体"/>
          <w:b/>
          <w:sz w:val="24"/>
        </w:rPr>
        <w:t>7.供应商的风险</w:t>
      </w:r>
    </w:p>
    <w:p w14:paraId="3D510687">
      <w:pPr>
        <w:spacing w:line="360" w:lineRule="auto"/>
        <w:ind w:firstLine="480" w:firstLineChars="200"/>
        <w:rPr>
          <w:rFonts w:hint="eastAsia" w:ascii="宋体" w:hAnsi="宋体"/>
          <w:sz w:val="24"/>
        </w:rPr>
      </w:pPr>
      <w:r>
        <w:rPr>
          <w:rFonts w:hint="eastAsia" w:ascii="宋体" w:hAnsi="宋体"/>
          <w:sz w:val="24"/>
        </w:rPr>
        <w:t>7.1</w:t>
      </w:r>
      <w:r>
        <w:rPr>
          <w:rFonts w:ascii="宋体" w:hAnsi="宋体"/>
          <w:sz w:val="24"/>
        </w:rPr>
        <w:t xml:space="preserve"> </w:t>
      </w:r>
      <w:r>
        <w:rPr>
          <w:rFonts w:hint="eastAsia" w:ascii="宋体" w:hAnsi="宋体"/>
          <w:sz w:val="24"/>
        </w:rPr>
        <w:t>供应商应认真阅读磋商文件中的所有条款。供应商没有按照磋商文件的要求提供全部资料，或者供应商没有对磋商文件在各方面作出实质性响应是供应商的风险，并可能导致其磋商被拒绝。</w:t>
      </w:r>
    </w:p>
    <w:p w14:paraId="68743D2F">
      <w:pPr>
        <w:spacing w:line="360" w:lineRule="auto"/>
        <w:ind w:firstLine="482" w:firstLineChars="200"/>
        <w:rPr>
          <w:rFonts w:hint="eastAsia" w:ascii="宋体" w:hAnsi="宋体"/>
          <w:b/>
          <w:sz w:val="24"/>
        </w:rPr>
      </w:pPr>
      <w:r>
        <w:rPr>
          <w:rFonts w:hint="eastAsia" w:ascii="宋体" w:hAnsi="宋体"/>
          <w:b/>
          <w:sz w:val="24"/>
        </w:rPr>
        <w:t>8</w:t>
      </w:r>
      <w:r>
        <w:rPr>
          <w:rFonts w:ascii="宋体" w:hAnsi="宋体"/>
          <w:b/>
          <w:sz w:val="24"/>
        </w:rPr>
        <w:t>.</w:t>
      </w:r>
      <w:r>
        <w:rPr>
          <w:rFonts w:hint="eastAsia" w:ascii="宋体" w:hAnsi="宋体"/>
          <w:sz w:val="24"/>
        </w:rPr>
        <w:t xml:space="preserve"> </w:t>
      </w:r>
      <w:r>
        <w:rPr>
          <w:rFonts w:hint="eastAsia" w:ascii="宋体" w:hAnsi="宋体"/>
          <w:b/>
          <w:sz w:val="24"/>
        </w:rPr>
        <w:t>磋商文件的澄清和修改</w:t>
      </w:r>
    </w:p>
    <w:p w14:paraId="4E5C339A">
      <w:pPr>
        <w:spacing w:line="360" w:lineRule="auto"/>
        <w:ind w:firstLine="480" w:firstLineChars="200"/>
        <w:rPr>
          <w:rFonts w:hint="eastAsia" w:ascii="宋体" w:hAnsi="宋体"/>
          <w:sz w:val="24"/>
        </w:rPr>
      </w:pPr>
      <w:r>
        <w:rPr>
          <w:rFonts w:hint="eastAsia" w:ascii="宋体" w:hAnsi="宋体"/>
          <w:sz w:val="24"/>
        </w:rPr>
        <w:t>8</w:t>
      </w:r>
      <w:r>
        <w:rPr>
          <w:rFonts w:ascii="宋体" w:hAnsi="宋体"/>
          <w:sz w:val="24"/>
        </w:rPr>
        <w:t>.1</w:t>
      </w:r>
      <w:r>
        <w:rPr>
          <w:rFonts w:hint="eastAsia" w:ascii="宋体" w:hAnsi="宋体"/>
          <w:sz w:val="24"/>
        </w:rPr>
        <w:t>磋商文件澄清、答复、修改、补充的内容为磋商文件的组成部分。</w:t>
      </w:r>
    </w:p>
    <w:p w14:paraId="42347AA1">
      <w:pPr>
        <w:snapToGrid w:val="0"/>
        <w:spacing w:line="360" w:lineRule="auto"/>
        <w:ind w:firstLine="480" w:firstLineChars="200"/>
        <w:rPr>
          <w:rFonts w:hint="eastAsia" w:ascii="宋体" w:hAnsi="宋体"/>
          <w:sz w:val="24"/>
        </w:rPr>
      </w:pPr>
      <w:r>
        <w:rPr>
          <w:rFonts w:hint="eastAsia" w:ascii="宋体" w:hAnsi="宋体"/>
          <w:sz w:val="24"/>
        </w:rPr>
        <w:t>8.2依法获取竞争性磋商文件的</w:t>
      </w:r>
      <w:r>
        <w:rPr>
          <w:rFonts w:hint="eastAsia" w:ascii="宋体" w:hAnsi="宋体"/>
          <w:bCs/>
          <w:sz w:val="24"/>
        </w:rPr>
        <w:t>供应商认真阅读</w:t>
      </w:r>
      <w:r>
        <w:rPr>
          <w:rFonts w:hint="eastAsia" w:ascii="宋体" w:hAnsi="宋体"/>
          <w:sz w:val="24"/>
        </w:rPr>
        <w:t>磋商</w:t>
      </w:r>
      <w:r>
        <w:rPr>
          <w:rFonts w:hint="eastAsia" w:ascii="宋体" w:hAnsi="宋体"/>
          <w:bCs/>
          <w:sz w:val="24"/>
        </w:rPr>
        <w:t>文件，如有疑问应于</w:t>
      </w:r>
      <w:r>
        <w:rPr>
          <w:rFonts w:hint="eastAsia" w:ascii="宋体" w:hAnsi="宋体"/>
          <w:b/>
          <w:snapToGrid w:val="0"/>
          <w:sz w:val="24"/>
          <w:u w:val="single"/>
        </w:rPr>
        <w:t>提交响应文件的截止时间5日前</w:t>
      </w:r>
      <w:r>
        <w:rPr>
          <w:rFonts w:hint="eastAsia" w:ascii="宋体" w:hAnsi="宋体"/>
          <w:bCs/>
          <w:sz w:val="24"/>
        </w:rPr>
        <w:t>向采购代理机构（可传真）提出澄清申请。采购代理机构对已发出的竞争性磋商文件进行必要澄清或修改，</w:t>
      </w:r>
      <w:r>
        <w:rPr>
          <w:rFonts w:hint="eastAsia" w:ascii="宋体" w:hAnsi="宋体"/>
          <w:sz w:val="24"/>
        </w:rPr>
        <w:t>澄清或者修改内容可能影响响应文件编制的，采购代理机构在磋商截止时间5日前,在“浙江政府采购网</w:t>
      </w:r>
      <w:r>
        <w:rPr>
          <w:rFonts w:hint="eastAsia"/>
        </w:rPr>
        <w:fldChar w:fldCharType="begin"/>
      </w:r>
      <w:r>
        <w:instrText xml:space="preserve"> HYPERLINK "http://60.190.126.3:8080/wcm/WCMV6/editor/editor/招标文件（新版）.doc" </w:instrText>
      </w:r>
      <w:r>
        <w:rPr>
          <w:rFonts w:hint="eastAsia"/>
        </w:rPr>
        <w:fldChar w:fldCharType="separate"/>
      </w:r>
      <w:r>
        <w:rPr>
          <w:rFonts w:hint="eastAsia" w:ascii="宋体" w:hAnsi="宋体"/>
          <w:sz w:val="24"/>
        </w:rPr>
        <w:t>http://zfcg.czt.zj.gov.cn/</w:t>
      </w:r>
      <w:r>
        <w:rPr>
          <w:rFonts w:hint="eastAsia" w:ascii="宋体" w:hAnsi="宋体"/>
          <w:sz w:val="24"/>
        </w:rPr>
        <w:fldChar w:fldCharType="end"/>
      </w:r>
      <w:r>
        <w:rPr>
          <w:rFonts w:hint="eastAsia" w:ascii="宋体" w:hAnsi="宋体"/>
          <w:bCs/>
          <w:kern w:val="0"/>
          <w:sz w:val="24"/>
        </w:rPr>
        <w:t>、丽水市公共资源交易网（http://lssggzy.lishui.gov.cn/lsweb/）</w:t>
      </w:r>
      <w:r>
        <w:rPr>
          <w:rFonts w:hint="eastAsia" w:ascii="宋体" w:hAnsi="宋体"/>
          <w:sz w:val="24"/>
        </w:rPr>
        <w:t>”发布更正公告，并对其具有约束力。不足5日的，采购代理机构有权顺延提交响应文件的截止时间。</w:t>
      </w:r>
    </w:p>
    <w:p w14:paraId="72514A9A">
      <w:pPr>
        <w:pStyle w:val="7"/>
        <w:ind w:firstLine="517" w:firstLineChars="161"/>
        <w:rPr>
          <w:rFonts w:hint="eastAsia" w:ascii="宋体" w:hAnsi="宋体"/>
          <w:sz w:val="32"/>
        </w:rPr>
      </w:pPr>
      <w:bookmarkStart w:id="162" w:name="_Toc94277242"/>
      <w:bookmarkStart w:id="163" w:name="_Toc26868"/>
      <w:bookmarkStart w:id="164" w:name="_Toc26367"/>
      <w:bookmarkStart w:id="165" w:name="_Toc30458"/>
      <w:bookmarkStart w:id="166" w:name="_Toc390938577"/>
      <w:bookmarkStart w:id="167" w:name="_Toc495479094"/>
      <w:bookmarkStart w:id="168" w:name="_Toc13559"/>
      <w:bookmarkStart w:id="169" w:name="_Toc20339"/>
      <w:r>
        <w:rPr>
          <w:rFonts w:hint="eastAsia" w:ascii="宋体" w:hAnsi="宋体"/>
          <w:sz w:val="32"/>
        </w:rPr>
        <w:t>三</w:t>
      </w:r>
      <w:r>
        <w:rPr>
          <w:rFonts w:ascii="宋体" w:hAnsi="宋体"/>
          <w:sz w:val="32"/>
        </w:rPr>
        <w:t xml:space="preserve">   </w:t>
      </w:r>
      <w:r>
        <w:rPr>
          <w:rFonts w:hint="eastAsia" w:ascii="宋体" w:hAnsi="宋体"/>
          <w:sz w:val="32"/>
        </w:rPr>
        <w:t>响应文件的编制</w:t>
      </w:r>
      <w:bookmarkEnd w:id="162"/>
      <w:bookmarkEnd w:id="163"/>
      <w:bookmarkEnd w:id="164"/>
      <w:bookmarkEnd w:id="165"/>
      <w:bookmarkEnd w:id="166"/>
      <w:bookmarkEnd w:id="167"/>
      <w:bookmarkEnd w:id="168"/>
      <w:bookmarkEnd w:id="169"/>
    </w:p>
    <w:p w14:paraId="33A7E72A">
      <w:pPr>
        <w:spacing w:line="360" w:lineRule="auto"/>
        <w:ind w:firstLine="482" w:firstLineChars="200"/>
        <w:rPr>
          <w:rFonts w:hint="eastAsia" w:ascii="宋体" w:hAnsi="宋体"/>
          <w:b/>
          <w:sz w:val="24"/>
        </w:rPr>
      </w:pPr>
      <w:r>
        <w:rPr>
          <w:rFonts w:hint="eastAsia" w:ascii="宋体" w:hAnsi="宋体"/>
          <w:b/>
          <w:sz w:val="24"/>
        </w:rPr>
        <w:t>9</w:t>
      </w:r>
      <w:r>
        <w:rPr>
          <w:rFonts w:ascii="宋体" w:hAnsi="宋体"/>
          <w:b/>
          <w:sz w:val="24"/>
        </w:rPr>
        <w:t>.</w:t>
      </w:r>
      <w:r>
        <w:rPr>
          <w:rFonts w:hint="eastAsia" w:ascii="宋体" w:hAnsi="宋体"/>
          <w:b/>
          <w:sz w:val="24"/>
        </w:rPr>
        <w:t>要求</w:t>
      </w:r>
    </w:p>
    <w:p w14:paraId="4B5BFB6B">
      <w:pPr>
        <w:spacing w:line="360" w:lineRule="auto"/>
        <w:ind w:firstLine="480" w:firstLineChars="200"/>
        <w:rPr>
          <w:rFonts w:hint="eastAsia" w:ascii="宋体" w:hAnsi="宋体"/>
          <w:sz w:val="24"/>
        </w:rPr>
      </w:pPr>
      <w:r>
        <w:rPr>
          <w:rFonts w:hint="eastAsia" w:ascii="宋体" w:hAnsi="宋体"/>
          <w:sz w:val="24"/>
        </w:rPr>
        <w:t>9.1</w:t>
      </w:r>
      <w:r>
        <w:rPr>
          <w:rFonts w:ascii="宋体" w:hAnsi="宋体"/>
          <w:sz w:val="24"/>
        </w:rPr>
        <w:t xml:space="preserve"> </w:t>
      </w:r>
      <w:r>
        <w:rPr>
          <w:rFonts w:hint="eastAsia" w:ascii="宋体" w:hAnsi="宋体"/>
          <w:sz w:val="24"/>
        </w:rPr>
        <w:t>供应商应仔细阅读磋商文件的所有内容，按照磋商文件的要求提交响应文件，并对所提供的全部资料的真实性承担法律责任。</w:t>
      </w:r>
    </w:p>
    <w:p w14:paraId="22C90473">
      <w:pPr>
        <w:spacing w:line="360" w:lineRule="auto"/>
        <w:ind w:firstLine="480" w:firstLineChars="200"/>
        <w:rPr>
          <w:rFonts w:hint="eastAsia" w:ascii="宋体" w:hAnsi="宋体"/>
          <w:sz w:val="24"/>
        </w:rPr>
      </w:pPr>
      <w:r>
        <w:rPr>
          <w:rFonts w:hint="eastAsia" w:ascii="宋体" w:hAnsi="宋体"/>
          <w:sz w:val="24"/>
        </w:rPr>
        <w:t>9.2响应文件、供应商与采购有关的往来通知、函件和文件均应使用中文。如涉及非中文内容的，供应商有义务将其内容翻译成中文，一切对非中文内容的误解，都将由供应商承担。</w:t>
      </w:r>
    </w:p>
    <w:p w14:paraId="14BC7BAF">
      <w:pPr>
        <w:spacing w:line="360" w:lineRule="auto"/>
        <w:ind w:firstLine="482" w:firstLineChars="200"/>
        <w:rPr>
          <w:rFonts w:hint="eastAsia" w:ascii="宋体" w:hAnsi="宋体"/>
          <w:b/>
          <w:sz w:val="24"/>
        </w:rPr>
      </w:pPr>
      <w:r>
        <w:rPr>
          <w:rFonts w:hint="eastAsia" w:ascii="宋体" w:hAnsi="宋体"/>
          <w:b/>
          <w:sz w:val="24"/>
        </w:rPr>
        <w:t>9.3响应文件的形式和效力</w:t>
      </w:r>
    </w:p>
    <w:p w14:paraId="1DE19C21">
      <w:pPr>
        <w:snapToGrid w:val="0"/>
        <w:spacing w:line="360" w:lineRule="auto"/>
        <w:ind w:firstLine="482" w:firstLineChars="200"/>
        <w:rPr>
          <w:rFonts w:hint="eastAsia" w:ascii="宋体" w:hAnsi="宋体"/>
          <w:b/>
          <w:sz w:val="24"/>
        </w:rPr>
      </w:pPr>
      <w:r>
        <w:rPr>
          <w:rFonts w:hint="eastAsia" w:ascii="宋体" w:hAnsi="宋体"/>
          <w:b/>
          <w:sz w:val="24"/>
        </w:rPr>
        <w:t>9.3.1 响应文件的形式：响应文件分为电子响应文件、备份响应文件。</w:t>
      </w:r>
    </w:p>
    <w:p w14:paraId="732F5043">
      <w:pPr>
        <w:snapToGrid w:val="0"/>
        <w:spacing w:line="360" w:lineRule="auto"/>
        <w:ind w:firstLine="482" w:firstLineChars="200"/>
        <w:rPr>
          <w:rFonts w:hint="eastAsia" w:ascii="宋体" w:hAnsi="宋体"/>
          <w:b/>
          <w:sz w:val="24"/>
        </w:rPr>
      </w:pPr>
      <w:r>
        <w:rPr>
          <w:rFonts w:hint="eastAsia" w:ascii="宋体" w:hAnsi="宋体"/>
          <w:b/>
          <w:sz w:val="24"/>
        </w:rPr>
        <w:t>9.3.2 响应文件的效力</w:t>
      </w:r>
    </w:p>
    <w:p w14:paraId="792715F8">
      <w:pPr>
        <w:snapToGrid w:val="0"/>
        <w:spacing w:line="360" w:lineRule="auto"/>
        <w:ind w:firstLine="482" w:firstLineChars="200"/>
        <w:rPr>
          <w:rFonts w:hint="eastAsia" w:ascii="宋体" w:hAnsi="宋体"/>
          <w:b/>
          <w:sz w:val="24"/>
        </w:rPr>
      </w:pPr>
      <w:r>
        <w:rPr>
          <w:rFonts w:hint="eastAsia" w:ascii="宋体" w:hAnsi="宋体"/>
          <w:b/>
          <w:sz w:val="24"/>
        </w:rPr>
        <w:t>响应文件的启用，按先后顺位分别为电子响应文件、备份响应文件。</w:t>
      </w:r>
    </w:p>
    <w:p w14:paraId="6B82C034">
      <w:pPr>
        <w:spacing w:line="360" w:lineRule="auto"/>
        <w:ind w:firstLine="482" w:firstLineChars="200"/>
        <w:rPr>
          <w:rFonts w:hint="eastAsia" w:ascii="宋体" w:hAnsi="宋体"/>
          <w:sz w:val="24"/>
        </w:rPr>
      </w:pPr>
      <w:r>
        <w:rPr>
          <w:rFonts w:hint="eastAsia" w:ascii="宋体" w:hAnsi="宋体"/>
          <w:b/>
          <w:sz w:val="24"/>
        </w:rPr>
        <w:t>电子响应文件未按时解密，供应商已在规定时间内按规定方式提交了备份响应文件，且经代理机构工作人员通知后提供备份响应文件密码的，以备份响应文件为依据，否则视为响应文件撤回；电子响应文件已按时解密的，备份响应文件自动失效。</w:t>
      </w:r>
      <w:r>
        <w:rPr>
          <w:rFonts w:ascii="宋体" w:hAnsi="宋体"/>
          <w:sz w:val="24"/>
        </w:rPr>
        <w:t xml:space="preserve"> </w:t>
      </w:r>
    </w:p>
    <w:p w14:paraId="12148780">
      <w:pPr>
        <w:spacing w:line="360" w:lineRule="auto"/>
        <w:ind w:firstLine="482" w:firstLineChars="200"/>
        <w:rPr>
          <w:rFonts w:hint="eastAsia" w:ascii="宋体" w:hAnsi="宋体"/>
          <w:b/>
          <w:sz w:val="24"/>
        </w:rPr>
      </w:pPr>
      <w:r>
        <w:rPr>
          <w:rFonts w:hint="eastAsia" w:ascii="宋体" w:hAnsi="宋体"/>
          <w:b/>
          <w:sz w:val="24"/>
        </w:rPr>
        <w:t>10</w:t>
      </w:r>
      <w:r>
        <w:rPr>
          <w:rFonts w:ascii="宋体" w:hAnsi="宋体"/>
          <w:b/>
          <w:sz w:val="24"/>
        </w:rPr>
        <w:t>.</w:t>
      </w:r>
      <w:r>
        <w:rPr>
          <w:rFonts w:hint="eastAsia" w:ascii="宋体" w:hAnsi="宋体"/>
          <w:b/>
          <w:sz w:val="24"/>
        </w:rPr>
        <w:t>响应文件的组成</w:t>
      </w:r>
    </w:p>
    <w:p w14:paraId="389EEFAD">
      <w:pPr>
        <w:spacing w:line="360" w:lineRule="auto"/>
        <w:ind w:firstLine="480" w:firstLineChars="200"/>
        <w:rPr>
          <w:rFonts w:hint="eastAsia" w:ascii="宋体" w:hAnsi="宋体"/>
          <w:sz w:val="24"/>
        </w:rPr>
      </w:pPr>
      <w:r>
        <w:rPr>
          <w:rFonts w:hint="eastAsia" w:ascii="宋体" w:hAnsi="宋体"/>
          <w:sz w:val="24"/>
        </w:rPr>
        <w:t>▲10</w:t>
      </w:r>
      <w:r>
        <w:rPr>
          <w:rFonts w:ascii="宋体" w:hAnsi="宋体"/>
          <w:sz w:val="24"/>
        </w:rPr>
        <w:t>.</w:t>
      </w:r>
      <w:r>
        <w:rPr>
          <w:rFonts w:hint="eastAsia" w:ascii="宋体" w:hAnsi="宋体"/>
          <w:sz w:val="24"/>
        </w:rPr>
        <w:t>1提交的响应文件应分为</w:t>
      </w:r>
      <w:r>
        <w:rPr>
          <w:rFonts w:hint="eastAsia" w:ascii="宋体" w:hAnsi="宋体"/>
          <w:b/>
          <w:kern w:val="0"/>
          <w:sz w:val="24"/>
        </w:rPr>
        <w:t>资格文件、</w:t>
      </w:r>
      <w:r>
        <w:rPr>
          <w:rFonts w:hint="eastAsia" w:ascii="宋体" w:hAnsi="宋体"/>
          <w:b/>
          <w:sz w:val="24"/>
        </w:rPr>
        <w:t>商务技术文件、报价文件</w:t>
      </w:r>
      <w:r>
        <w:rPr>
          <w:rFonts w:hint="eastAsia" w:ascii="宋体" w:hAnsi="宋体"/>
          <w:sz w:val="24"/>
        </w:rPr>
        <w:t>三部分，报价文件如有商务技术文件内容, 其商务技术文件内容在评审时将作为无效内容。</w:t>
      </w:r>
    </w:p>
    <w:p w14:paraId="445D7FD6">
      <w:pPr>
        <w:spacing w:line="360" w:lineRule="auto"/>
        <w:ind w:firstLine="482" w:firstLineChars="200"/>
        <w:rPr>
          <w:rFonts w:hint="eastAsia" w:ascii="宋体" w:hAnsi="宋体"/>
          <w:b/>
          <w:sz w:val="24"/>
        </w:rPr>
      </w:pPr>
      <w:r>
        <w:rPr>
          <w:rFonts w:hint="eastAsia" w:ascii="宋体" w:hAnsi="宋体"/>
          <w:b/>
          <w:sz w:val="24"/>
        </w:rPr>
        <w:t>11.响应文件编制的内容和要求。</w:t>
      </w:r>
    </w:p>
    <w:p w14:paraId="51FE133A">
      <w:pPr>
        <w:spacing w:line="360" w:lineRule="auto"/>
        <w:ind w:firstLine="482" w:firstLineChars="200"/>
        <w:rPr>
          <w:rFonts w:hint="eastAsia" w:ascii="宋体" w:hAnsi="宋体"/>
          <w:b/>
          <w:sz w:val="24"/>
        </w:rPr>
      </w:pPr>
      <w:r>
        <w:rPr>
          <w:rFonts w:hint="eastAsia" w:ascii="宋体" w:hAnsi="宋体"/>
          <w:b/>
          <w:sz w:val="24"/>
        </w:rPr>
        <w:t>11.1资格文件编制的内容和要求：详见第五章格式</w:t>
      </w:r>
    </w:p>
    <w:p w14:paraId="1B3473C9">
      <w:pPr>
        <w:spacing w:line="360" w:lineRule="auto"/>
        <w:ind w:firstLine="482" w:firstLineChars="200"/>
        <w:rPr>
          <w:rFonts w:hint="eastAsia" w:ascii="宋体" w:hAnsi="宋体"/>
          <w:b/>
          <w:sz w:val="24"/>
        </w:rPr>
      </w:pPr>
      <w:r>
        <w:rPr>
          <w:rFonts w:hint="eastAsia" w:ascii="宋体" w:hAnsi="宋体"/>
          <w:b/>
          <w:sz w:val="24"/>
        </w:rPr>
        <w:t>11.2商务技术文件编制内容和要求：</w:t>
      </w:r>
    </w:p>
    <w:p w14:paraId="464AA615">
      <w:pPr>
        <w:spacing w:line="360" w:lineRule="auto"/>
        <w:ind w:firstLine="482" w:firstLineChars="200"/>
        <w:rPr>
          <w:rFonts w:hint="eastAsia" w:ascii="宋体" w:hAnsi="宋体"/>
          <w:b/>
          <w:sz w:val="24"/>
        </w:rPr>
      </w:pPr>
      <w:r>
        <w:rPr>
          <w:rFonts w:hint="eastAsia" w:ascii="宋体" w:hAnsi="宋体"/>
          <w:b/>
          <w:sz w:val="24"/>
        </w:rPr>
        <w:t>11.2.1资信商务部分详见第五章格式。</w:t>
      </w:r>
    </w:p>
    <w:p w14:paraId="38D25915">
      <w:pPr>
        <w:spacing w:line="360" w:lineRule="auto"/>
        <w:ind w:firstLine="482" w:firstLineChars="200"/>
        <w:rPr>
          <w:rFonts w:hint="eastAsia" w:ascii="宋体" w:hAnsi="宋体"/>
          <w:b/>
          <w:sz w:val="24"/>
        </w:rPr>
      </w:pPr>
      <w:r>
        <w:rPr>
          <w:rFonts w:hint="eastAsia" w:ascii="宋体" w:hAnsi="宋体"/>
          <w:b/>
          <w:sz w:val="24"/>
        </w:rPr>
        <w:t>11.2.2技术部分编制内容和要求（包含但不限于）：</w:t>
      </w:r>
    </w:p>
    <w:p w14:paraId="78B05238">
      <w:pPr>
        <w:spacing w:line="360" w:lineRule="auto"/>
        <w:ind w:firstLine="480" w:firstLineChars="200"/>
        <w:rPr>
          <w:rFonts w:hint="eastAsia" w:ascii="宋体" w:hAnsi="宋体"/>
          <w:sz w:val="24"/>
        </w:rPr>
      </w:pPr>
      <w:r>
        <w:rPr>
          <w:rFonts w:hint="eastAsia" w:ascii="宋体" w:hAnsi="宋体"/>
          <w:sz w:val="24"/>
        </w:rPr>
        <w:t>11.2.2.1按磋商文件“第五章 磋商相关文件格式”所列的内容和格式。</w:t>
      </w:r>
    </w:p>
    <w:p w14:paraId="1F4F1526">
      <w:pPr>
        <w:spacing w:line="360" w:lineRule="auto"/>
        <w:ind w:firstLine="480" w:firstLineChars="200"/>
        <w:rPr>
          <w:rFonts w:hint="eastAsia" w:ascii="宋体" w:hAnsi="宋体"/>
          <w:sz w:val="24"/>
        </w:rPr>
      </w:pPr>
      <w:r>
        <w:rPr>
          <w:rFonts w:hint="eastAsia" w:ascii="宋体" w:hAnsi="宋体"/>
          <w:sz w:val="24"/>
        </w:rPr>
        <w:t>11.2.2.2供应商应对照磋商文件 “第三章 采购需求”所列的内容提供完整产品、服务、技术指标等。</w:t>
      </w:r>
    </w:p>
    <w:p w14:paraId="37EB0E60">
      <w:pPr>
        <w:spacing w:line="360" w:lineRule="auto"/>
        <w:ind w:firstLine="480" w:firstLineChars="200"/>
        <w:rPr>
          <w:rFonts w:hint="eastAsia" w:ascii="宋体" w:hAnsi="宋体"/>
          <w:sz w:val="24"/>
        </w:rPr>
      </w:pPr>
      <w:r>
        <w:rPr>
          <w:rFonts w:hint="eastAsia" w:ascii="宋体" w:hAnsi="宋体"/>
          <w:sz w:val="24"/>
        </w:rPr>
        <w:t>11.2.2.3项目承诺：磋商文件规定的要求仅为基本要求，供应商可以作出优于或高于磋商文件中所要求的承诺。</w:t>
      </w:r>
    </w:p>
    <w:p w14:paraId="4F933BDC">
      <w:pPr>
        <w:spacing w:line="360" w:lineRule="auto"/>
        <w:ind w:firstLine="480" w:firstLineChars="200"/>
        <w:rPr>
          <w:rFonts w:hint="eastAsia" w:ascii="宋体" w:hAnsi="宋体"/>
          <w:sz w:val="24"/>
        </w:rPr>
      </w:pPr>
      <w:r>
        <w:rPr>
          <w:rFonts w:hint="eastAsia" w:ascii="宋体" w:hAnsi="宋体"/>
          <w:sz w:val="24"/>
        </w:rPr>
        <w:t>11.2.2.</w:t>
      </w:r>
      <w:r>
        <w:rPr>
          <w:rFonts w:ascii="宋体" w:hAnsi="宋体"/>
          <w:sz w:val="24"/>
        </w:rPr>
        <w:t xml:space="preserve">4 </w:t>
      </w:r>
      <w:r>
        <w:rPr>
          <w:rFonts w:hint="eastAsia" w:ascii="宋体" w:hAnsi="宋体"/>
          <w:sz w:val="24"/>
        </w:rPr>
        <w:t>供应商认为有必要提交的其他技术证明资料。</w:t>
      </w:r>
    </w:p>
    <w:p w14:paraId="5E6C4F98">
      <w:pPr>
        <w:spacing w:line="360" w:lineRule="auto"/>
        <w:ind w:firstLine="482" w:firstLineChars="200"/>
        <w:rPr>
          <w:rFonts w:hint="eastAsia" w:ascii="宋体" w:hAnsi="宋体"/>
          <w:b/>
          <w:sz w:val="24"/>
        </w:rPr>
      </w:pPr>
      <w:r>
        <w:rPr>
          <w:rFonts w:hint="eastAsia" w:ascii="宋体" w:hAnsi="宋体"/>
          <w:b/>
          <w:sz w:val="24"/>
        </w:rPr>
        <w:t>11.2.3报价文件的编制内容和要求详见第五章格式</w:t>
      </w:r>
    </w:p>
    <w:p w14:paraId="7C3670E7">
      <w:pPr>
        <w:spacing w:line="360" w:lineRule="auto"/>
        <w:ind w:firstLine="480" w:firstLineChars="200"/>
        <w:rPr>
          <w:rFonts w:hint="eastAsia" w:ascii="宋体" w:hAnsi="宋体"/>
          <w:sz w:val="24"/>
        </w:rPr>
      </w:pPr>
      <w:r>
        <w:rPr>
          <w:rFonts w:ascii="宋体" w:hAnsi="宋体"/>
          <w:sz w:val="24"/>
        </w:rPr>
        <w:t>1</w:t>
      </w:r>
      <w:r>
        <w:rPr>
          <w:rFonts w:hint="eastAsia" w:ascii="宋体" w:hAnsi="宋体"/>
          <w:sz w:val="24"/>
        </w:rPr>
        <w:t>1.3磋商报价</w:t>
      </w:r>
    </w:p>
    <w:p w14:paraId="4F964354">
      <w:pPr>
        <w:spacing w:line="360" w:lineRule="auto"/>
        <w:ind w:firstLine="482" w:firstLineChars="200"/>
        <w:rPr>
          <w:rFonts w:hint="eastAsia" w:ascii="宋体" w:hAnsi="宋体"/>
          <w:bCs/>
          <w:sz w:val="24"/>
        </w:rPr>
      </w:pPr>
      <w:r>
        <w:rPr>
          <w:rFonts w:hint="eastAsia" w:ascii="宋体" w:hAnsi="宋体"/>
          <w:b/>
          <w:bCs/>
          <w:sz w:val="24"/>
        </w:rPr>
        <w:t>▲</w:t>
      </w:r>
      <w:r>
        <w:rPr>
          <w:rFonts w:ascii="宋体" w:hAnsi="宋体"/>
          <w:sz w:val="24"/>
        </w:rPr>
        <w:t>1</w:t>
      </w:r>
      <w:r>
        <w:rPr>
          <w:rFonts w:hint="eastAsia" w:ascii="宋体" w:hAnsi="宋体"/>
          <w:sz w:val="24"/>
        </w:rPr>
        <w:t>1.3</w:t>
      </w:r>
      <w:r>
        <w:rPr>
          <w:rFonts w:ascii="宋体" w:hAnsi="宋体"/>
          <w:bCs/>
          <w:sz w:val="24"/>
        </w:rPr>
        <w:t>.1</w:t>
      </w:r>
      <w:r>
        <w:rPr>
          <w:rFonts w:hint="eastAsia" w:ascii="宋体" w:hAnsi="宋体"/>
          <w:b/>
          <w:bCs/>
          <w:sz w:val="24"/>
        </w:rPr>
        <w:t>供应商应在磋商文件所附的报价书上写明磋商报价，只允许有一个报价,采购人不接受任何选择性的报价。最终报价高于最高限价的作无效标处理。</w:t>
      </w:r>
    </w:p>
    <w:p w14:paraId="52A1DFA1">
      <w:pPr>
        <w:spacing w:line="360" w:lineRule="auto"/>
        <w:ind w:firstLine="480"/>
        <w:rPr>
          <w:rFonts w:hint="eastAsia" w:ascii="宋体" w:hAnsi="宋体"/>
          <w:sz w:val="24"/>
          <w:highlight w:val="yellow"/>
        </w:rPr>
      </w:pPr>
      <w:r>
        <w:rPr>
          <w:rFonts w:hint="eastAsia" w:ascii="宋体" w:hAnsi="宋体"/>
          <w:sz w:val="24"/>
        </w:rPr>
        <w:t>11.3.2</w:t>
      </w:r>
      <w:r>
        <w:rPr>
          <w:rFonts w:ascii="宋体" w:hAnsi="宋体"/>
          <w:sz w:val="24"/>
        </w:rPr>
        <w:t xml:space="preserve"> </w:t>
      </w:r>
      <w:r>
        <w:rPr>
          <w:rFonts w:hint="eastAsia" w:ascii="宋体" w:hAnsi="宋体"/>
          <w:sz w:val="24"/>
        </w:rPr>
        <w:t>最终报价是履行合同的最终价格，除磋商文件特殊说明外，</w:t>
      </w:r>
      <w:r>
        <w:rPr>
          <w:rFonts w:hint="eastAsia" w:ascii="宋体" w:hAnsi="宋体" w:cs="Times New Roman"/>
          <w:sz w:val="24"/>
        </w:rPr>
        <w:t>应包含人工费，服务费、物料费、利润、税费等各项费用及不可预见费等所需的一切费用。</w:t>
      </w:r>
    </w:p>
    <w:p w14:paraId="270D15D5">
      <w:pPr>
        <w:spacing w:line="360" w:lineRule="auto"/>
        <w:ind w:firstLine="482" w:firstLineChars="200"/>
        <w:rPr>
          <w:rFonts w:hint="eastAsia" w:ascii="宋体" w:hAnsi="宋体"/>
          <w:sz w:val="24"/>
        </w:rPr>
      </w:pPr>
      <w:r>
        <w:rPr>
          <w:rFonts w:hint="eastAsia" w:ascii="宋体" w:hAnsi="宋体"/>
          <w:b/>
          <w:sz w:val="24"/>
        </w:rPr>
        <w:t>11.4</w:t>
      </w:r>
      <w:r>
        <w:rPr>
          <w:rFonts w:ascii="宋体" w:hAnsi="宋体"/>
          <w:b/>
          <w:sz w:val="24"/>
        </w:rPr>
        <w:t>排版</w:t>
      </w:r>
      <w:r>
        <w:rPr>
          <w:rFonts w:ascii="宋体" w:hAnsi="宋体"/>
          <w:sz w:val="24"/>
        </w:rPr>
        <w:t>：</w:t>
      </w:r>
      <w:r>
        <w:rPr>
          <w:rFonts w:hint="eastAsia" w:ascii="宋体" w:hAnsi="宋体"/>
          <w:kern w:val="0"/>
          <w:sz w:val="24"/>
        </w:rPr>
        <w:t>所有文字及表格建议采用黑色，正文字体采用宋体小四号字体，标题字体采用宋体小二号字体，页码应逐页连续编注。</w:t>
      </w:r>
    </w:p>
    <w:p w14:paraId="3C0B46E6">
      <w:pPr>
        <w:spacing w:line="360" w:lineRule="auto"/>
        <w:ind w:firstLine="480"/>
        <w:rPr>
          <w:rFonts w:hint="eastAsia" w:ascii="宋体" w:hAnsi="宋体"/>
          <w:sz w:val="24"/>
        </w:rPr>
      </w:pPr>
      <w:r>
        <w:rPr>
          <w:rFonts w:hint="eastAsia" w:ascii="宋体" w:hAnsi="宋体"/>
          <w:b/>
          <w:sz w:val="24"/>
        </w:rPr>
        <w:t>11.5封面</w:t>
      </w:r>
      <w:r>
        <w:rPr>
          <w:rFonts w:hint="eastAsia" w:ascii="宋体" w:hAnsi="宋体"/>
          <w:sz w:val="24"/>
        </w:rPr>
        <w:t>：按照</w:t>
      </w:r>
      <w:r>
        <w:rPr>
          <w:rFonts w:ascii="宋体" w:hAnsi="宋体"/>
          <w:sz w:val="24"/>
        </w:rPr>
        <w:t>磋商文件</w:t>
      </w:r>
      <w:r>
        <w:rPr>
          <w:rFonts w:hint="eastAsia" w:ascii="宋体" w:hAnsi="宋体"/>
          <w:sz w:val="24"/>
        </w:rPr>
        <w:t>第五章提供的格式制作</w:t>
      </w:r>
      <w:r>
        <w:rPr>
          <w:rFonts w:ascii="宋体" w:hAnsi="宋体"/>
          <w:sz w:val="24"/>
        </w:rPr>
        <w:t>封面</w:t>
      </w:r>
      <w:r>
        <w:rPr>
          <w:rFonts w:hint="eastAsia" w:ascii="宋体" w:hAnsi="宋体"/>
          <w:sz w:val="24"/>
        </w:rPr>
        <w:t>。</w:t>
      </w:r>
    </w:p>
    <w:p w14:paraId="17ABBA14">
      <w:pPr>
        <w:spacing w:line="360" w:lineRule="auto"/>
        <w:ind w:firstLine="482" w:firstLineChars="200"/>
        <w:rPr>
          <w:rFonts w:hint="eastAsia" w:ascii="宋体" w:hAnsi="宋体"/>
          <w:b/>
          <w:sz w:val="24"/>
        </w:rPr>
      </w:pPr>
      <w:r>
        <w:rPr>
          <w:rFonts w:hint="eastAsia" w:ascii="宋体" w:hAnsi="宋体"/>
          <w:b/>
          <w:sz w:val="24"/>
        </w:rPr>
        <w:t>12</w:t>
      </w:r>
      <w:r>
        <w:rPr>
          <w:rFonts w:ascii="宋体" w:hAnsi="宋体"/>
          <w:b/>
          <w:sz w:val="24"/>
        </w:rPr>
        <w:t>.</w:t>
      </w:r>
      <w:r>
        <w:rPr>
          <w:rFonts w:hint="eastAsia" w:ascii="宋体" w:hAnsi="宋体"/>
          <w:b/>
          <w:sz w:val="24"/>
        </w:rPr>
        <w:t>响应文件格式</w:t>
      </w:r>
    </w:p>
    <w:p w14:paraId="320E408C">
      <w:pPr>
        <w:spacing w:line="360" w:lineRule="auto"/>
        <w:ind w:firstLine="480" w:firstLineChars="200"/>
        <w:rPr>
          <w:rFonts w:hint="eastAsia" w:ascii="宋体" w:hAnsi="宋体"/>
          <w:sz w:val="24"/>
        </w:rPr>
      </w:pPr>
      <w:r>
        <w:rPr>
          <w:rFonts w:hint="eastAsia" w:ascii="宋体" w:hAnsi="宋体"/>
          <w:sz w:val="24"/>
        </w:rPr>
        <w:t>12.1供应商应按竞争性磋商文件规定的文件格式、内容和要求制作响应文件。</w:t>
      </w:r>
    </w:p>
    <w:p w14:paraId="67CF05EF">
      <w:pPr>
        <w:spacing w:line="360" w:lineRule="auto"/>
        <w:ind w:firstLine="482" w:firstLineChars="200"/>
        <w:rPr>
          <w:rFonts w:hint="eastAsia" w:ascii="宋体" w:hAnsi="宋体"/>
          <w:b/>
          <w:sz w:val="24"/>
        </w:rPr>
      </w:pPr>
      <w:r>
        <w:rPr>
          <w:rFonts w:hint="eastAsia" w:ascii="宋体" w:hAnsi="宋体"/>
          <w:b/>
          <w:sz w:val="24"/>
        </w:rPr>
        <w:t>13</w:t>
      </w:r>
      <w:r>
        <w:rPr>
          <w:rFonts w:ascii="宋体" w:hAnsi="宋体"/>
          <w:b/>
          <w:sz w:val="24"/>
        </w:rPr>
        <w:t>.</w:t>
      </w:r>
      <w:r>
        <w:rPr>
          <w:rFonts w:hint="eastAsia" w:ascii="宋体" w:hAnsi="宋体"/>
          <w:b/>
          <w:sz w:val="24"/>
        </w:rPr>
        <w:t>竞争性磋商有效期</w:t>
      </w:r>
    </w:p>
    <w:p w14:paraId="0C23A22E">
      <w:pPr>
        <w:spacing w:line="360" w:lineRule="auto"/>
        <w:ind w:firstLine="480" w:firstLineChars="200"/>
        <w:rPr>
          <w:rFonts w:hint="eastAsia" w:ascii="宋体" w:hAnsi="宋体"/>
          <w:sz w:val="24"/>
        </w:rPr>
      </w:pPr>
      <w:r>
        <w:rPr>
          <w:rFonts w:hint="eastAsia" w:ascii="宋体" w:hAnsi="宋体"/>
          <w:sz w:val="24"/>
        </w:rPr>
        <w:t>▲</w:t>
      </w:r>
      <w:r>
        <w:rPr>
          <w:rFonts w:ascii="宋体" w:hAnsi="宋体"/>
          <w:sz w:val="24"/>
        </w:rPr>
        <w:t>1</w:t>
      </w:r>
      <w:r>
        <w:rPr>
          <w:rFonts w:hint="eastAsia" w:ascii="宋体" w:hAnsi="宋体"/>
          <w:sz w:val="24"/>
        </w:rPr>
        <w:t>3</w:t>
      </w:r>
      <w:r>
        <w:rPr>
          <w:rFonts w:ascii="宋体" w:hAnsi="宋体"/>
          <w:sz w:val="24"/>
        </w:rPr>
        <w:t>.1</w:t>
      </w:r>
      <w:r>
        <w:rPr>
          <w:rFonts w:hint="eastAsia" w:ascii="宋体" w:hAnsi="宋体"/>
          <w:sz w:val="24"/>
        </w:rPr>
        <w:t>响应文件提交截止</w:t>
      </w:r>
      <w:r>
        <w:rPr>
          <w:rFonts w:hint="eastAsia" w:ascii="宋体" w:hAnsi="宋体"/>
          <w:bCs/>
          <w:snapToGrid w:val="0"/>
          <w:sz w:val="24"/>
        </w:rPr>
        <w:t>之日起90天内有效</w:t>
      </w:r>
      <w:r>
        <w:rPr>
          <w:rFonts w:hint="eastAsia" w:ascii="宋体" w:hAnsi="宋体"/>
          <w:sz w:val="24"/>
        </w:rPr>
        <w:t>。</w:t>
      </w:r>
    </w:p>
    <w:p w14:paraId="4E1177F5">
      <w:pPr>
        <w:spacing w:line="360" w:lineRule="auto"/>
        <w:ind w:firstLine="482" w:firstLineChars="200"/>
        <w:rPr>
          <w:rFonts w:hint="eastAsia" w:ascii="宋体" w:hAnsi="宋体"/>
          <w:b/>
          <w:sz w:val="24"/>
        </w:rPr>
      </w:pPr>
      <w:r>
        <w:rPr>
          <w:rFonts w:ascii="宋体" w:hAnsi="宋体"/>
          <w:b/>
          <w:sz w:val="24"/>
        </w:rPr>
        <w:t>1</w:t>
      </w:r>
      <w:r>
        <w:rPr>
          <w:rFonts w:hint="eastAsia" w:ascii="宋体" w:hAnsi="宋体"/>
          <w:b/>
          <w:sz w:val="24"/>
        </w:rPr>
        <w:t>4</w:t>
      </w:r>
      <w:r>
        <w:rPr>
          <w:rFonts w:ascii="宋体" w:hAnsi="宋体"/>
          <w:b/>
          <w:sz w:val="24"/>
        </w:rPr>
        <w:t>.</w:t>
      </w:r>
      <w:r>
        <w:rPr>
          <w:rFonts w:hint="eastAsia" w:ascii="宋体" w:hAnsi="宋体"/>
          <w:b/>
          <w:sz w:val="24"/>
        </w:rPr>
        <w:t>响应文件的签署及规定</w:t>
      </w:r>
    </w:p>
    <w:p w14:paraId="0F33C328">
      <w:pPr>
        <w:spacing w:line="360" w:lineRule="auto"/>
        <w:ind w:firstLine="480" w:firstLineChars="200"/>
        <w:rPr>
          <w:rFonts w:hint="eastAsia" w:ascii="宋体" w:hAnsi="宋体"/>
          <w:sz w:val="24"/>
        </w:rPr>
      </w:pPr>
      <w:bookmarkStart w:id="170" w:name="_Toc390938578"/>
      <w:r>
        <w:rPr>
          <w:rFonts w:ascii="宋体" w:hAnsi="宋体"/>
          <w:sz w:val="24"/>
        </w:rPr>
        <w:t>1</w:t>
      </w:r>
      <w:r>
        <w:rPr>
          <w:rFonts w:hint="eastAsia" w:ascii="宋体" w:hAnsi="宋体"/>
          <w:sz w:val="24"/>
        </w:rPr>
        <w:t>4</w:t>
      </w:r>
      <w:r>
        <w:rPr>
          <w:rFonts w:ascii="宋体" w:hAnsi="宋体"/>
          <w:sz w:val="24"/>
        </w:rPr>
        <w:t xml:space="preserve">.1 </w:t>
      </w:r>
      <w:r>
        <w:rPr>
          <w:rFonts w:hint="eastAsia" w:ascii="宋体" w:hAnsi="宋体"/>
          <w:sz w:val="24"/>
        </w:rPr>
        <w:t>供应商应按磋商文件规定的内容和要求编制响应文件，响应文件须清楚的标明“</w:t>
      </w:r>
      <w:r>
        <w:rPr>
          <w:rFonts w:hint="eastAsia" w:ascii="宋体" w:hAnsi="宋体"/>
          <w:kern w:val="0"/>
          <w:sz w:val="24"/>
        </w:rPr>
        <w:t>资格文件”、“</w:t>
      </w:r>
      <w:r>
        <w:rPr>
          <w:rFonts w:hint="eastAsia" w:ascii="宋体" w:hAnsi="宋体"/>
          <w:sz w:val="24"/>
        </w:rPr>
        <w:t>商务技术文件”、“报价文件”。</w:t>
      </w:r>
    </w:p>
    <w:p w14:paraId="4FD27E24">
      <w:pPr>
        <w:spacing w:line="360" w:lineRule="auto"/>
        <w:ind w:firstLine="480" w:firstLineChars="200"/>
        <w:rPr>
          <w:rFonts w:hint="eastAsia" w:ascii="宋体" w:hAnsi="宋体"/>
          <w:bCs/>
          <w:sz w:val="24"/>
        </w:rPr>
      </w:pPr>
      <w:r>
        <w:rPr>
          <w:rFonts w:hint="eastAsia" w:ascii="宋体" w:hAnsi="宋体"/>
          <w:sz w:val="24"/>
        </w:rPr>
        <w:t>14.2</w:t>
      </w:r>
      <w:r>
        <w:rPr>
          <w:rFonts w:hint="eastAsia" w:ascii="宋体" w:hAnsi="宋体"/>
          <w:bCs/>
          <w:sz w:val="24"/>
        </w:rPr>
        <w:t>电子响应文件及备份响应文件中须加盖公章部分均采用</w:t>
      </w:r>
      <w:r>
        <w:rPr>
          <w:rFonts w:hint="eastAsia" w:ascii="宋体" w:hAnsi="宋体"/>
          <w:b/>
          <w:bCs/>
          <w:sz w:val="24"/>
        </w:rPr>
        <w:t>CA</w:t>
      </w:r>
      <w:r>
        <w:rPr>
          <w:rFonts w:hint="eastAsia" w:ascii="宋体" w:hAnsi="宋体"/>
          <w:bCs/>
          <w:sz w:val="24"/>
        </w:rPr>
        <w:t>签章（格式另有要求的除外）。</w:t>
      </w:r>
    </w:p>
    <w:p w14:paraId="593E1626">
      <w:pPr>
        <w:spacing w:line="360" w:lineRule="auto"/>
        <w:ind w:firstLine="480" w:firstLineChars="200"/>
        <w:rPr>
          <w:rFonts w:hint="eastAsia" w:ascii="宋体" w:hAnsi="宋体"/>
          <w:sz w:val="24"/>
        </w:rPr>
      </w:pPr>
      <w:r>
        <w:rPr>
          <w:rFonts w:ascii="宋体" w:hAnsi="宋体"/>
          <w:sz w:val="24"/>
        </w:rPr>
        <w:t>1</w:t>
      </w:r>
      <w:r>
        <w:rPr>
          <w:rFonts w:hint="eastAsia" w:ascii="宋体" w:hAnsi="宋体"/>
          <w:sz w:val="24"/>
        </w:rPr>
        <w:t>4</w:t>
      </w:r>
      <w:r>
        <w:rPr>
          <w:rFonts w:ascii="宋体" w:hAnsi="宋体"/>
          <w:sz w:val="24"/>
        </w:rPr>
        <w:t>.</w:t>
      </w:r>
      <w:r>
        <w:rPr>
          <w:rFonts w:hint="eastAsia" w:ascii="宋体" w:hAnsi="宋体"/>
          <w:sz w:val="24"/>
        </w:rPr>
        <w:t>3</w:t>
      </w:r>
      <w:r>
        <w:rPr>
          <w:rFonts w:ascii="宋体" w:hAnsi="宋体"/>
          <w:sz w:val="24"/>
        </w:rPr>
        <w:t xml:space="preserve"> </w:t>
      </w:r>
      <w:r>
        <w:rPr>
          <w:rFonts w:hint="eastAsia" w:ascii="宋体" w:hAnsi="宋体"/>
          <w:sz w:val="24"/>
        </w:rPr>
        <w:t>电报、电话、传真形式的磋商概不接受。</w:t>
      </w:r>
    </w:p>
    <w:bookmarkEnd w:id="170"/>
    <w:p w14:paraId="3DE49F4C">
      <w:pPr>
        <w:pStyle w:val="7"/>
        <w:ind w:firstLine="643"/>
        <w:rPr>
          <w:rFonts w:hint="eastAsia" w:ascii="宋体" w:hAnsi="宋体"/>
          <w:sz w:val="32"/>
        </w:rPr>
      </w:pPr>
      <w:bookmarkStart w:id="171" w:name="_Toc107820049"/>
      <w:bookmarkStart w:id="172" w:name="_Toc56928685"/>
      <w:bookmarkStart w:id="173" w:name="_Toc1085"/>
      <w:bookmarkStart w:id="174" w:name="_Toc28255"/>
      <w:bookmarkStart w:id="175" w:name="_Toc94277243"/>
      <w:bookmarkStart w:id="176" w:name="_Toc15689"/>
      <w:bookmarkStart w:id="177" w:name="_Toc390938579"/>
      <w:bookmarkStart w:id="178" w:name="_Toc495479096"/>
      <w:bookmarkStart w:id="179" w:name="_Toc30496"/>
      <w:bookmarkStart w:id="180" w:name="_Toc16212"/>
      <w:r>
        <w:rPr>
          <w:rFonts w:hint="eastAsia" w:ascii="宋体" w:hAnsi="宋体"/>
          <w:sz w:val="32"/>
        </w:rPr>
        <w:t>四</w:t>
      </w:r>
      <w:r>
        <w:rPr>
          <w:rFonts w:ascii="宋体" w:hAnsi="宋体"/>
          <w:sz w:val="32"/>
        </w:rPr>
        <w:t xml:space="preserve">  </w:t>
      </w:r>
      <w:r>
        <w:rPr>
          <w:rFonts w:hint="eastAsia" w:ascii="宋体" w:hAnsi="宋体"/>
          <w:sz w:val="32"/>
        </w:rPr>
        <w:t xml:space="preserve"> 响应文件的加密、提交</w:t>
      </w:r>
      <w:bookmarkEnd w:id="171"/>
      <w:bookmarkEnd w:id="172"/>
      <w:r>
        <w:rPr>
          <w:rFonts w:hint="eastAsia" w:ascii="宋体" w:hAnsi="宋体"/>
          <w:sz w:val="32"/>
        </w:rPr>
        <w:t>、修改和撤回</w:t>
      </w:r>
      <w:bookmarkEnd w:id="173"/>
      <w:bookmarkEnd w:id="174"/>
      <w:bookmarkEnd w:id="175"/>
      <w:bookmarkEnd w:id="176"/>
      <w:bookmarkEnd w:id="177"/>
      <w:bookmarkEnd w:id="178"/>
      <w:bookmarkEnd w:id="179"/>
      <w:bookmarkEnd w:id="180"/>
    </w:p>
    <w:p w14:paraId="06C00B3E">
      <w:pPr>
        <w:spacing w:line="360" w:lineRule="auto"/>
        <w:ind w:firstLine="482" w:firstLineChars="200"/>
        <w:rPr>
          <w:rFonts w:hint="eastAsia" w:ascii="宋体" w:hAnsi="宋体"/>
          <w:b/>
          <w:sz w:val="24"/>
        </w:rPr>
      </w:pPr>
      <w:r>
        <w:rPr>
          <w:rFonts w:ascii="宋体" w:hAnsi="宋体"/>
          <w:b/>
          <w:sz w:val="24"/>
        </w:rPr>
        <w:t>1</w:t>
      </w:r>
      <w:r>
        <w:rPr>
          <w:rFonts w:hint="eastAsia" w:ascii="宋体" w:hAnsi="宋体"/>
          <w:b/>
          <w:sz w:val="24"/>
        </w:rPr>
        <w:t>5</w:t>
      </w:r>
      <w:r>
        <w:rPr>
          <w:rFonts w:ascii="宋体" w:hAnsi="宋体"/>
          <w:b/>
          <w:sz w:val="24"/>
        </w:rPr>
        <w:t>.</w:t>
      </w:r>
      <w:r>
        <w:rPr>
          <w:rFonts w:hint="eastAsia" w:ascii="宋体" w:hAnsi="宋体"/>
          <w:b/>
          <w:sz w:val="24"/>
        </w:rPr>
        <w:t>响应文件的加密</w:t>
      </w:r>
    </w:p>
    <w:p w14:paraId="107BFAD4">
      <w:pPr>
        <w:spacing w:line="360" w:lineRule="auto"/>
        <w:ind w:firstLine="480" w:firstLineChars="200"/>
        <w:rPr>
          <w:rFonts w:hint="eastAsia" w:ascii="宋体" w:hAnsi="宋体"/>
          <w:sz w:val="24"/>
        </w:rPr>
      </w:pPr>
      <w:r>
        <w:rPr>
          <w:rFonts w:hint="eastAsia" w:ascii="宋体" w:hAnsi="宋体"/>
          <w:sz w:val="24"/>
        </w:rPr>
        <w:t>15.1供应商应当将资格文件、商务技术文件和报价文件三部分分别导入相应位置，各文件之间不得混装；</w:t>
      </w:r>
    </w:p>
    <w:p w14:paraId="7F525E6B">
      <w:pPr>
        <w:spacing w:line="360" w:lineRule="auto"/>
        <w:ind w:firstLine="480" w:firstLineChars="200"/>
        <w:rPr>
          <w:rFonts w:hint="eastAsia" w:ascii="宋体" w:hAnsi="宋体"/>
          <w:b/>
          <w:sz w:val="24"/>
        </w:rPr>
      </w:pPr>
      <w:r>
        <w:rPr>
          <w:rFonts w:hint="eastAsia" w:ascii="宋体" w:hAnsi="宋体"/>
          <w:sz w:val="24"/>
        </w:rPr>
        <w:t>15.2</w:t>
      </w:r>
      <w:r>
        <w:rPr>
          <w:rFonts w:hint="eastAsia" w:ascii="宋体" w:hAnsi="宋体"/>
          <w:b/>
          <w:sz w:val="24"/>
        </w:rPr>
        <w:t>电子响应文件按政采云平台供应商项目采购-电子招投标操作指南进行加密；</w:t>
      </w:r>
      <w:r>
        <w:rPr>
          <w:rFonts w:hint="eastAsia" w:ascii="新宋体" w:hAnsi="新宋体" w:eastAsia="新宋体"/>
          <w:sz w:val="24"/>
        </w:rPr>
        <w:t>将最后生成的具有电子签章的备份响应文件进行压缩并加密。</w:t>
      </w:r>
    </w:p>
    <w:p w14:paraId="15FD330C">
      <w:pPr>
        <w:spacing w:line="360" w:lineRule="auto"/>
        <w:ind w:firstLine="482" w:firstLineChars="200"/>
        <w:rPr>
          <w:rFonts w:hint="eastAsia" w:ascii="宋体" w:hAnsi="宋体"/>
          <w:b/>
          <w:sz w:val="24"/>
        </w:rPr>
      </w:pPr>
      <w:r>
        <w:rPr>
          <w:rFonts w:hint="eastAsia" w:ascii="宋体" w:hAnsi="宋体"/>
          <w:b/>
          <w:sz w:val="24"/>
        </w:rPr>
        <w:t>16</w:t>
      </w:r>
      <w:r>
        <w:rPr>
          <w:rFonts w:ascii="宋体" w:hAnsi="宋体"/>
          <w:b/>
          <w:sz w:val="24"/>
        </w:rPr>
        <w:t>.</w:t>
      </w:r>
      <w:r>
        <w:rPr>
          <w:rFonts w:hint="eastAsia" w:ascii="宋体" w:hAnsi="宋体"/>
          <w:b/>
          <w:sz w:val="24"/>
        </w:rPr>
        <w:t>响应文件的提交</w:t>
      </w:r>
    </w:p>
    <w:p w14:paraId="2D9C16B9">
      <w:pPr>
        <w:spacing w:line="360" w:lineRule="auto"/>
        <w:ind w:firstLine="240" w:firstLineChars="100"/>
        <w:rPr>
          <w:rFonts w:hint="eastAsia" w:ascii="宋体" w:hAnsi="宋体"/>
          <w:sz w:val="24"/>
        </w:rPr>
      </w:pPr>
      <w:r>
        <w:rPr>
          <w:rFonts w:hint="eastAsia" w:ascii="宋体" w:hAnsi="宋体"/>
          <w:bCs/>
          <w:sz w:val="24"/>
        </w:rPr>
        <w:t>▲</w:t>
      </w:r>
      <w:r>
        <w:rPr>
          <w:rFonts w:hint="eastAsia" w:ascii="宋体" w:hAnsi="宋体"/>
          <w:sz w:val="24"/>
        </w:rPr>
        <w:t>16.1响应文件提交截止时间和提交地点详见本章前附表。</w:t>
      </w:r>
    </w:p>
    <w:p w14:paraId="582075FF">
      <w:pPr>
        <w:spacing w:line="360" w:lineRule="auto"/>
        <w:ind w:firstLine="480" w:firstLineChars="200"/>
        <w:rPr>
          <w:rFonts w:hint="eastAsia" w:ascii="宋体" w:hAnsi="宋体"/>
          <w:sz w:val="24"/>
        </w:rPr>
      </w:pPr>
      <w:r>
        <w:rPr>
          <w:rFonts w:hint="eastAsia" w:ascii="宋体" w:hAnsi="宋体"/>
          <w:sz w:val="24"/>
        </w:rPr>
        <w:t>16.2不予</w:t>
      </w:r>
      <w:r>
        <w:rPr>
          <w:rFonts w:ascii="宋体" w:hAnsi="宋体"/>
          <w:sz w:val="24"/>
        </w:rPr>
        <w:t>接收</w:t>
      </w:r>
      <w:r>
        <w:rPr>
          <w:rFonts w:hint="eastAsia" w:ascii="宋体" w:hAnsi="宋体"/>
          <w:sz w:val="24"/>
        </w:rPr>
        <w:t>的电子响应</w:t>
      </w:r>
      <w:r>
        <w:rPr>
          <w:rFonts w:ascii="宋体" w:hAnsi="宋体"/>
          <w:sz w:val="24"/>
        </w:rPr>
        <w:t>文件</w:t>
      </w:r>
      <w:r>
        <w:rPr>
          <w:rFonts w:hint="eastAsia" w:ascii="宋体" w:hAnsi="宋体"/>
          <w:sz w:val="24"/>
        </w:rPr>
        <w:t>情形：</w:t>
      </w:r>
    </w:p>
    <w:p w14:paraId="705B99B7">
      <w:pPr>
        <w:spacing w:line="360" w:lineRule="auto"/>
        <w:ind w:firstLine="480" w:firstLineChars="200"/>
        <w:rPr>
          <w:rFonts w:hint="eastAsia" w:ascii="宋体" w:hAnsi="宋体"/>
          <w:sz w:val="24"/>
        </w:rPr>
      </w:pPr>
      <w:r>
        <w:rPr>
          <w:rFonts w:ascii="宋体" w:hAnsi="宋体"/>
          <w:sz w:val="24"/>
        </w:rPr>
        <w:fldChar w:fldCharType="begin"/>
      </w:r>
      <w:r>
        <w:rPr>
          <w:rFonts w:ascii="宋体" w:hAnsi="宋体"/>
          <w:sz w:val="24"/>
        </w:rPr>
        <w:instrText xml:space="preserve"> </w:instrText>
      </w:r>
      <w:r>
        <w:rPr>
          <w:rFonts w:hint="eastAsia" w:ascii="宋体" w:hAnsi="宋体"/>
          <w:sz w:val="24"/>
        </w:rPr>
        <w:instrText xml:space="preserve">= 1 \* GB2</w:instrText>
      </w:r>
      <w:r>
        <w:rPr>
          <w:rFonts w:ascii="宋体" w:hAnsi="宋体"/>
          <w:sz w:val="24"/>
        </w:rPr>
        <w:instrText xml:space="preserve"> </w:instrText>
      </w:r>
      <w:r>
        <w:rPr>
          <w:rFonts w:ascii="宋体" w:hAnsi="宋体"/>
          <w:sz w:val="24"/>
        </w:rPr>
        <w:fldChar w:fldCharType="separate"/>
      </w:r>
      <w:r>
        <w:rPr>
          <w:rFonts w:hint="eastAsia" w:ascii="宋体" w:hAnsi="宋体"/>
          <w:sz w:val="24"/>
        </w:rPr>
        <w:t>⑴</w:t>
      </w:r>
      <w:r>
        <w:rPr>
          <w:rFonts w:ascii="宋体" w:hAnsi="宋体"/>
          <w:sz w:val="24"/>
        </w:rPr>
        <w:fldChar w:fldCharType="end"/>
      </w:r>
      <w:r>
        <w:rPr>
          <w:rFonts w:hint="eastAsia" w:ascii="宋体" w:hAnsi="宋体"/>
          <w:sz w:val="24"/>
        </w:rPr>
        <w:t>磋商截止时间前未完成传输的电子响应文件；</w:t>
      </w:r>
    </w:p>
    <w:p w14:paraId="0524F8C5">
      <w:pPr>
        <w:spacing w:line="360" w:lineRule="auto"/>
        <w:ind w:firstLine="480" w:firstLineChars="200"/>
        <w:rPr>
          <w:rFonts w:hint="eastAsia" w:ascii="宋体" w:hAnsi="宋体"/>
          <w:sz w:val="24"/>
        </w:rPr>
      </w:pPr>
      <w:r>
        <w:rPr>
          <w:rFonts w:ascii="宋体" w:hAnsi="宋体"/>
          <w:sz w:val="24"/>
        </w:rPr>
        <w:fldChar w:fldCharType="begin"/>
      </w:r>
      <w:r>
        <w:rPr>
          <w:rFonts w:ascii="宋体" w:hAnsi="宋体"/>
          <w:sz w:val="24"/>
        </w:rPr>
        <w:instrText xml:space="preserve"> </w:instrText>
      </w:r>
      <w:r>
        <w:rPr>
          <w:rFonts w:hint="eastAsia" w:ascii="宋体" w:hAnsi="宋体"/>
          <w:sz w:val="24"/>
        </w:rPr>
        <w:instrText xml:space="preserve">= 2 \* GB2</w:instrText>
      </w:r>
      <w:r>
        <w:rPr>
          <w:rFonts w:ascii="宋体" w:hAnsi="宋体"/>
          <w:sz w:val="24"/>
        </w:rPr>
        <w:instrText xml:space="preserve"> </w:instrText>
      </w:r>
      <w:r>
        <w:rPr>
          <w:rFonts w:ascii="宋体" w:hAnsi="宋体"/>
          <w:sz w:val="24"/>
        </w:rPr>
        <w:fldChar w:fldCharType="separate"/>
      </w:r>
      <w:r>
        <w:rPr>
          <w:rFonts w:hint="eastAsia" w:ascii="宋体" w:hAnsi="宋体"/>
          <w:sz w:val="24"/>
        </w:rPr>
        <w:t>⑵</w:t>
      </w:r>
      <w:r>
        <w:rPr>
          <w:rFonts w:ascii="宋体" w:hAnsi="宋体"/>
          <w:sz w:val="24"/>
        </w:rPr>
        <w:fldChar w:fldCharType="end"/>
      </w:r>
      <w:r>
        <w:rPr>
          <w:rFonts w:hint="eastAsia" w:ascii="宋体" w:hAnsi="宋体"/>
          <w:sz w:val="24"/>
        </w:rPr>
        <w:t>未生成加密的电子响应文件；</w:t>
      </w:r>
    </w:p>
    <w:p w14:paraId="766857A2">
      <w:pPr>
        <w:spacing w:line="360" w:lineRule="auto"/>
        <w:ind w:firstLine="480" w:firstLineChars="200"/>
        <w:rPr>
          <w:rFonts w:hint="eastAsia" w:ascii="宋体" w:hAnsi="宋体"/>
          <w:sz w:val="24"/>
        </w:rPr>
      </w:pPr>
      <w:r>
        <w:rPr>
          <w:rFonts w:hint="eastAsia" w:ascii="宋体" w:hAnsi="宋体"/>
          <w:sz w:val="24"/>
        </w:rPr>
        <w:t>⑶在规定时间内未解密的电子响应文件或者解密不成功又未在规定时间内提交备份响应文件的。</w:t>
      </w:r>
    </w:p>
    <w:p w14:paraId="1BF6D94A">
      <w:pPr>
        <w:spacing w:line="360" w:lineRule="auto"/>
        <w:ind w:firstLine="482" w:firstLineChars="200"/>
        <w:rPr>
          <w:rFonts w:hint="eastAsia" w:ascii="宋体" w:hAnsi="宋体"/>
          <w:b/>
          <w:sz w:val="24"/>
        </w:rPr>
      </w:pPr>
      <w:r>
        <w:rPr>
          <w:rFonts w:hint="eastAsia" w:ascii="宋体" w:hAnsi="宋体"/>
          <w:b/>
          <w:sz w:val="24"/>
        </w:rPr>
        <w:t>17</w:t>
      </w:r>
      <w:r>
        <w:rPr>
          <w:rFonts w:ascii="宋体" w:hAnsi="宋体"/>
          <w:b/>
          <w:sz w:val="24"/>
        </w:rPr>
        <w:t>.</w:t>
      </w:r>
      <w:r>
        <w:rPr>
          <w:rFonts w:hint="eastAsia" w:ascii="宋体" w:hAnsi="宋体"/>
          <w:b/>
          <w:sz w:val="24"/>
        </w:rPr>
        <w:t>响应文件的修改和撤回</w:t>
      </w:r>
    </w:p>
    <w:p w14:paraId="67FAB409">
      <w:pPr>
        <w:spacing w:line="360" w:lineRule="auto"/>
        <w:ind w:firstLine="480" w:firstLineChars="200"/>
        <w:rPr>
          <w:rFonts w:hint="eastAsia" w:ascii="宋体" w:hAnsi="宋体"/>
          <w:sz w:val="24"/>
        </w:rPr>
      </w:pPr>
      <w:r>
        <w:rPr>
          <w:rFonts w:hint="eastAsia" w:ascii="宋体" w:hAnsi="宋体"/>
          <w:sz w:val="24"/>
        </w:rPr>
        <w:t>17</w:t>
      </w:r>
      <w:r>
        <w:rPr>
          <w:rFonts w:ascii="宋体" w:hAnsi="宋体"/>
          <w:sz w:val="24"/>
        </w:rPr>
        <w:t>.1</w:t>
      </w:r>
      <w:r>
        <w:rPr>
          <w:rFonts w:hint="eastAsia" w:ascii="宋体" w:hAnsi="宋体"/>
          <w:sz w:val="24"/>
        </w:rPr>
        <w:t>在提交响应文件截止时间前，可以修改或撤回其响应文件：</w:t>
      </w:r>
      <w:r>
        <w:rPr>
          <w:rFonts w:hint="eastAsia" w:ascii="宋体" w:hAnsi="宋体"/>
          <w:b/>
          <w:sz w:val="24"/>
        </w:rPr>
        <w:t>（1）电子响应文件补充、修改或撤回的，应当先行撤回原文件，补充、修改后重新传输提交；（2）备份响应文件补充、修改或撤回的应以书面形式通知采购代理机构。</w:t>
      </w:r>
    </w:p>
    <w:p w14:paraId="17D9BA67">
      <w:pPr>
        <w:spacing w:line="360" w:lineRule="auto"/>
        <w:ind w:firstLine="480" w:firstLineChars="200"/>
        <w:rPr>
          <w:rFonts w:hint="eastAsia" w:ascii="宋体" w:hAnsi="宋体"/>
          <w:sz w:val="24"/>
        </w:rPr>
      </w:pPr>
      <w:r>
        <w:rPr>
          <w:rFonts w:hint="eastAsia" w:ascii="宋体" w:hAnsi="宋体"/>
          <w:sz w:val="24"/>
        </w:rPr>
        <w:t>17</w:t>
      </w:r>
      <w:r>
        <w:rPr>
          <w:rFonts w:ascii="宋体" w:hAnsi="宋体"/>
          <w:sz w:val="24"/>
        </w:rPr>
        <w:t>.2</w:t>
      </w:r>
      <w:r>
        <w:rPr>
          <w:rFonts w:hint="eastAsia" w:ascii="宋体" w:hAnsi="宋体"/>
          <w:sz w:val="24"/>
        </w:rPr>
        <w:t>修改后重新提交的响应文件应按磋商文件的规定编制、标记和提交。</w:t>
      </w:r>
    </w:p>
    <w:p w14:paraId="16D0C1EF">
      <w:pPr>
        <w:spacing w:line="360" w:lineRule="auto"/>
        <w:ind w:firstLine="236" w:firstLineChars="98"/>
        <w:rPr>
          <w:rFonts w:hint="eastAsia" w:ascii="宋体" w:hAnsi="宋体"/>
          <w:sz w:val="24"/>
        </w:rPr>
      </w:pPr>
      <w:r>
        <w:rPr>
          <w:rFonts w:hint="eastAsia" w:ascii="宋体" w:hAnsi="宋体"/>
          <w:b/>
          <w:bCs/>
          <w:sz w:val="24"/>
        </w:rPr>
        <w:t>▲</w:t>
      </w:r>
      <w:r>
        <w:rPr>
          <w:rFonts w:hint="eastAsia" w:ascii="宋体" w:hAnsi="宋体"/>
          <w:sz w:val="24"/>
        </w:rPr>
        <w:t>17</w:t>
      </w:r>
      <w:r>
        <w:rPr>
          <w:rFonts w:ascii="宋体" w:hAnsi="宋体"/>
          <w:sz w:val="24"/>
        </w:rPr>
        <w:t>.3</w:t>
      </w:r>
      <w:r>
        <w:rPr>
          <w:rFonts w:hint="eastAsia" w:ascii="宋体" w:hAnsi="宋体"/>
          <w:sz w:val="24"/>
        </w:rPr>
        <w:t>在提交响应文件截止时间后,供应商不得修改、撤回已提交的响应文件。</w:t>
      </w:r>
    </w:p>
    <w:p w14:paraId="61ACB05C">
      <w:pPr>
        <w:spacing w:line="360" w:lineRule="auto"/>
        <w:ind w:firstLine="236" w:firstLineChars="98"/>
        <w:rPr>
          <w:rFonts w:hint="eastAsia" w:ascii="宋体" w:hAnsi="宋体"/>
        </w:rPr>
      </w:pPr>
      <w:r>
        <w:rPr>
          <w:rFonts w:hint="eastAsia" w:ascii="宋体" w:hAnsi="宋体"/>
          <w:b/>
          <w:sz w:val="24"/>
        </w:rPr>
        <w:t>▲17.4补充、修改后的电子响应文件、备份响应文件内容均应相同。</w:t>
      </w:r>
    </w:p>
    <w:p w14:paraId="38F69EA7">
      <w:pPr>
        <w:pStyle w:val="7"/>
        <w:ind w:firstLine="643"/>
        <w:rPr>
          <w:rFonts w:hint="eastAsia" w:ascii="宋体" w:hAnsi="宋体"/>
          <w:sz w:val="32"/>
        </w:rPr>
      </w:pPr>
      <w:bookmarkStart w:id="181" w:name="_Toc107820050"/>
      <w:bookmarkStart w:id="182" w:name="_Toc495479097"/>
      <w:bookmarkStart w:id="183" w:name="_Toc390938580"/>
      <w:bookmarkStart w:id="184" w:name="_Toc23114"/>
      <w:bookmarkStart w:id="185" w:name="_Toc11005"/>
      <w:bookmarkStart w:id="186" w:name="_Toc26253"/>
      <w:bookmarkStart w:id="187" w:name="_Toc10956"/>
      <w:bookmarkStart w:id="188" w:name="_Toc94277244"/>
      <w:bookmarkStart w:id="189" w:name="_Toc27550"/>
      <w:r>
        <w:rPr>
          <w:rFonts w:hint="eastAsia" w:ascii="宋体" w:hAnsi="宋体"/>
          <w:sz w:val="32"/>
        </w:rPr>
        <w:t>五</w:t>
      </w:r>
      <w:r>
        <w:rPr>
          <w:rFonts w:ascii="宋体" w:hAnsi="宋体"/>
          <w:sz w:val="32"/>
        </w:rPr>
        <w:t xml:space="preserve">  </w:t>
      </w:r>
      <w:r>
        <w:rPr>
          <w:rFonts w:hint="eastAsia" w:ascii="宋体" w:hAnsi="宋体"/>
          <w:sz w:val="32"/>
        </w:rPr>
        <w:t xml:space="preserve"> </w:t>
      </w:r>
      <w:bookmarkEnd w:id="181"/>
      <w:r>
        <w:rPr>
          <w:rFonts w:hint="eastAsia" w:ascii="宋体" w:hAnsi="宋体"/>
          <w:sz w:val="32"/>
        </w:rPr>
        <w:t>磋商会议和磋商</w:t>
      </w:r>
      <w:bookmarkEnd w:id="182"/>
      <w:bookmarkEnd w:id="183"/>
      <w:r>
        <w:rPr>
          <w:rFonts w:hint="eastAsia" w:ascii="宋体" w:hAnsi="宋体"/>
          <w:sz w:val="32"/>
        </w:rPr>
        <w:t>评审</w:t>
      </w:r>
      <w:bookmarkEnd w:id="184"/>
      <w:bookmarkEnd w:id="185"/>
      <w:bookmarkEnd w:id="186"/>
      <w:bookmarkEnd w:id="187"/>
      <w:bookmarkEnd w:id="188"/>
      <w:bookmarkEnd w:id="189"/>
    </w:p>
    <w:p w14:paraId="68312F5A">
      <w:pPr>
        <w:spacing w:line="360" w:lineRule="auto"/>
        <w:ind w:firstLine="482" w:firstLineChars="200"/>
        <w:rPr>
          <w:rFonts w:hint="eastAsia" w:ascii="宋体" w:hAnsi="宋体"/>
          <w:b/>
          <w:sz w:val="24"/>
        </w:rPr>
      </w:pPr>
      <w:r>
        <w:rPr>
          <w:rFonts w:hint="eastAsia" w:ascii="宋体" w:hAnsi="宋体"/>
          <w:b/>
          <w:sz w:val="24"/>
        </w:rPr>
        <w:t>18．磋商会议</w:t>
      </w:r>
    </w:p>
    <w:p w14:paraId="41F282DC">
      <w:pPr>
        <w:spacing w:line="360" w:lineRule="auto"/>
        <w:ind w:firstLine="482" w:firstLineChars="200"/>
        <w:rPr>
          <w:rFonts w:hint="eastAsia" w:ascii="宋体" w:hAnsi="宋体"/>
          <w:b/>
          <w:sz w:val="24"/>
        </w:rPr>
      </w:pPr>
      <w:r>
        <w:rPr>
          <w:rFonts w:hint="eastAsia" w:ascii="宋体" w:hAnsi="宋体"/>
          <w:b/>
          <w:sz w:val="24"/>
        </w:rPr>
        <w:t>18.1优先采用电子响应文件进行磋商、评审，电子响应文件未按时解密的，采用备份响应文件磋商、评审。</w:t>
      </w:r>
    </w:p>
    <w:p w14:paraId="0F9312BC">
      <w:pPr>
        <w:snapToGrid w:val="0"/>
        <w:spacing w:line="360" w:lineRule="auto"/>
        <w:ind w:firstLine="480" w:firstLineChars="200"/>
        <w:jc w:val="left"/>
        <w:rPr>
          <w:rFonts w:hint="eastAsia" w:ascii="宋体" w:hAnsi="宋体" w:cs="Arial"/>
          <w:b/>
          <w:kern w:val="0"/>
          <w:szCs w:val="21"/>
        </w:rPr>
      </w:pPr>
      <w:r>
        <w:rPr>
          <w:rFonts w:hint="eastAsia" w:ascii="宋体" w:hAnsi="宋体"/>
          <w:sz w:val="24"/>
        </w:rPr>
        <w:t>18</w:t>
      </w:r>
      <w:r>
        <w:rPr>
          <w:rFonts w:ascii="宋体" w:hAnsi="宋体"/>
          <w:sz w:val="24"/>
        </w:rPr>
        <w:t>.</w:t>
      </w:r>
      <w:r>
        <w:rPr>
          <w:rFonts w:hint="eastAsia" w:ascii="宋体" w:hAnsi="宋体"/>
          <w:sz w:val="24"/>
        </w:rPr>
        <w:t>2采购代理机构在磋商文件规定的时间和地点组织磋商会议，建议</w:t>
      </w:r>
      <w:r>
        <w:rPr>
          <w:rFonts w:hint="eastAsia" w:ascii="新宋体" w:hAnsi="新宋体" w:eastAsia="新宋体"/>
          <w:sz w:val="24"/>
        </w:rPr>
        <w:t>供应商安排授权代表前往磋商会议现场，供应商若不安排人员到场的须准时在线参加，否则产生的风险由供应商自行承担。</w:t>
      </w:r>
    </w:p>
    <w:p w14:paraId="18425D7D">
      <w:pPr>
        <w:spacing w:line="360" w:lineRule="auto"/>
        <w:ind w:firstLine="480" w:firstLineChars="200"/>
        <w:rPr>
          <w:rFonts w:hint="eastAsia" w:ascii="宋体" w:hAnsi="宋体"/>
          <w:sz w:val="24"/>
        </w:rPr>
      </w:pPr>
      <w:r>
        <w:rPr>
          <w:rFonts w:hint="eastAsia" w:ascii="宋体" w:hAnsi="宋体"/>
          <w:sz w:val="24"/>
        </w:rPr>
        <w:t>18</w:t>
      </w:r>
      <w:r>
        <w:rPr>
          <w:rFonts w:ascii="宋体" w:hAnsi="宋体"/>
          <w:sz w:val="24"/>
        </w:rPr>
        <w:t>.</w:t>
      </w:r>
      <w:r>
        <w:rPr>
          <w:rFonts w:hint="eastAsia" w:ascii="宋体" w:hAnsi="宋体"/>
          <w:sz w:val="24"/>
        </w:rPr>
        <w:t>3</w:t>
      </w:r>
      <w:r>
        <w:rPr>
          <w:rFonts w:ascii="宋体" w:hAnsi="宋体"/>
          <w:sz w:val="24"/>
        </w:rPr>
        <w:t xml:space="preserve"> </w:t>
      </w:r>
      <w:r>
        <w:rPr>
          <w:rFonts w:hint="eastAsia" w:ascii="宋体" w:hAnsi="宋体"/>
          <w:sz w:val="24"/>
        </w:rPr>
        <w:t>磋商会议由采购代理机构主持，主持人介绍项目前期基本情况，宣布评审期间的有关事项。</w:t>
      </w:r>
      <w:r>
        <w:rPr>
          <w:rFonts w:hint="eastAsia" w:ascii="宋体" w:hAnsi="宋体" w:cs="仿宋_GB2312"/>
          <w:bCs/>
          <w:sz w:val="24"/>
        </w:rPr>
        <w:t>由代理机构工作人员开启</w:t>
      </w:r>
      <w:r>
        <w:rPr>
          <w:rFonts w:hint="eastAsia" w:ascii="宋体" w:hAnsi="宋体"/>
          <w:bCs/>
          <w:sz w:val="24"/>
        </w:rPr>
        <w:t>电子响应文件解密通道，解密时限以政采云电子交易平台为准</w:t>
      </w:r>
      <w:r>
        <w:rPr>
          <w:rFonts w:hint="eastAsia" w:ascii="宋体" w:hAnsi="宋体"/>
          <w:sz w:val="24"/>
        </w:rPr>
        <w:t>。</w:t>
      </w:r>
    </w:p>
    <w:p w14:paraId="450937D0">
      <w:pPr>
        <w:spacing w:line="360" w:lineRule="auto"/>
        <w:ind w:firstLine="480" w:firstLineChars="200"/>
        <w:rPr>
          <w:rFonts w:hint="eastAsia" w:ascii="宋体" w:hAnsi="宋体"/>
          <w:bCs/>
          <w:sz w:val="24"/>
        </w:rPr>
      </w:pPr>
      <w:r>
        <w:rPr>
          <w:rFonts w:hint="eastAsia" w:ascii="宋体" w:hAnsi="宋体" w:cs="仿宋_GB2312"/>
          <w:bCs/>
          <w:sz w:val="24"/>
        </w:rPr>
        <w:t>18.4电子响应文件无法解密的，代理机构</w:t>
      </w:r>
      <w:r>
        <w:rPr>
          <w:rFonts w:hint="eastAsia" w:ascii="宋体" w:hAnsi="宋体"/>
          <w:bCs/>
          <w:sz w:val="24"/>
        </w:rPr>
        <w:t>通过电子交易平台“异常处理”通道上传备份响应文件，上传之前须由供应商代表提供备份响应文件密码进行解密。</w:t>
      </w:r>
    </w:p>
    <w:p w14:paraId="0DAEF145">
      <w:pPr>
        <w:spacing w:line="360" w:lineRule="auto"/>
        <w:ind w:firstLine="480" w:firstLineChars="200"/>
        <w:rPr>
          <w:rFonts w:hint="eastAsia" w:ascii="宋体" w:hAnsi="宋体"/>
          <w:sz w:val="24"/>
        </w:rPr>
      </w:pPr>
      <w:r>
        <w:rPr>
          <w:rFonts w:hint="eastAsia" w:ascii="宋体" w:hAnsi="宋体" w:cs="仿宋_GB2312"/>
          <w:sz w:val="24"/>
        </w:rPr>
        <w:t>18.5</w:t>
      </w:r>
      <w:r>
        <w:rPr>
          <w:rFonts w:hint="eastAsia" w:ascii="宋体" w:hAnsi="宋体" w:cs="仿宋_GB2312"/>
          <w:kern w:val="0"/>
          <w:sz w:val="24"/>
        </w:rPr>
        <w:t>解密成功的供应商不足三家的，按相关规定重新组织采购。</w:t>
      </w:r>
    </w:p>
    <w:p w14:paraId="0B6A9B38">
      <w:pPr>
        <w:spacing w:line="360" w:lineRule="auto"/>
        <w:ind w:firstLine="480" w:firstLineChars="200"/>
        <w:rPr>
          <w:rFonts w:hint="eastAsia" w:ascii="宋体" w:hAnsi="宋体"/>
          <w:sz w:val="24"/>
        </w:rPr>
      </w:pPr>
      <w:r>
        <w:rPr>
          <w:rFonts w:hint="eastAsia" w:ascii="宋体" w:hAnsi="宋体"/>
          <w:sz w:val="24"/>
        </w:rPr>
        <w:t>18.6供应商根据解密后交易平台公布的供应商名单及信息，通过现场或邮件方式提交《政府采购活动现场确认声明书》（详见第五章格式），提交时间在名单公布后的20分钟内。</w:t>
      </w:r>
    </w:p>
    <w:p w14:paraId="13D15AD6">
      <w:pPr>
        <w:spacing w:line="360" w:lineRule="auto"/>
        <w:ind w:firstLine="480" w:firstLineChars="200"/>
        <w:rPr>
          <w:rFonts w:hint="eastAsia" w:ascii="宋体" w:hAnsi="宋体"/>
          <w:sz w:val="24"/>
        </w:rPr>
      </w:pPr>
      <w:r>
        <w:rPr>
          <w:rFonts w:hint="eastAsia" w:ascii="宋体" w:hAnsi="宋体"/>
          <w:sz w:val="24"/>
        </w:rPr>
        <w:t>18.7供应商认为采购人员及相关人员与其他供应商有利害关系的，可通过现场或邮件方式向采购代理机构提出回避申请，并说明理由，申请须由供应商代表签字或盖章。</w:t>
      </w:r>
    </w:p>
    <w:p w14:paraId="61966CA7">
      <w:pPr>
        <w:spacing w:line="360" w:lineRule="auto"/>
        <w:ind w:firstLine="480" w:firstLineChars="200"/>
        <w:jc w:val="left"/>
        <w:rPr>
          <w:rFonts w:hint="eastAsia" w:ascii="宋体" w:hAnsi="宋体"/>
          <w:kern w:val="0"/>
          <w:sz w:val="24"/>
        </w:rPr>
      </w:pPr>
      <w:r>
        <w:rPr>
          <w:rFonts w:hint="eastAsia" w:ascii="宋体" w:hAnsi="宋体"/>
          <w:kern w:val="0"/>
          <w:sz w:val="24"/>
        </w:rPr>
        <w:t>18</w:t>
      </w:r>
      <w:r>
        <w:rPr>
          <w:rFonts w:ascii="宋体" w:hAnsi="宋体"/>
          <w:kern w:val="0"/>
          <w:sz w:val="24"/>
        </w:rPr>
        <w:t>.</w:t>
      </w:r>
      <w:r>
        <w:rPr>
          <w:rFonts w:hint="eastAsia" w:ascii="宋体" w:hAnsi="宋体"/>
          <w:kern w:val="0"/>
          <w:sz w:val="24"/>
        </w:rPr>
        <w:t>8采购</w:t>
      </w:r>
      <w:r>
        <w:rPr>
          <w:rFonts w:ascii="宋体" w:hAnsi="宋体"/>
          <w:kern w:val="0"/>
          <w:sz w:val="24"/>
        </w:rPr>
        <w:t>代理机构做好</w:t>
      </w:r>
      <w:r>
        <w:rPr>
          <w:rFonts w:hint="eastAsia" w:ascii="宋体" w:hAnsi="宋体"/>
          <w:kern w:val="0"/>
          <w:sz w:val="24"/>
        </w:rPr>
        <w:t>会议记录，供应商在解密完成后可查看供应商名单。</w:t>
      </w:r>
    </w:p>
    <w:p w14:paraId="62D32340">
      <w:pPr>
        <w:spacing w:line="360" w:lineRule="auto"/>
        <w:ind w:firstLine="480" w:firstLineChars="200"/>
        <w:rPr>
          <w:rFonts w:hint="eastAsia" w:ascii="宋体" w:hAnsi="宋体"/>
          <w:kern w:val="0"/>
          <w:sz w:val="24"/>
        </w:rPr>
      </w:pPr>
      <w:r>
        <w:rPr>
          <w:rFonts w:hint="eastAsia" w:ascii="宋体" w:hAnsi="宋体"/>
          <w:kern w:val="0"/>
          <w:sz w:val="24"/>
        </w:rPr>
        <w:t>18.9供应商对记录表有疑义的，</w:t>
      </w:r>
      <w:r>
        <w:rPr>
          <w:rFonts w:hint="eastAsia" w:ascii="宋体" w:hAnsi="宋体"/>
          <w:sz w:val="24"/>
        </w:rPr>
        <w:t>供应商代表在磋商会议结束前可以向采购代理机构通过现场或邮件方式</w:t>
      </w:r>
      <w:r>
        <w:rPr>
          <w:rFonts w:hint="eastAsia" w:ascii="宋体" w:hAnsi="宋体"/>
          <w:b/>
          <w:bCs/>
          <w:sz w:val="24"/>
        </w:rPr>
        <w:t>（lszzzbzx@126.com）</w:t>
      </w:r>
      <w:r>
        <w:rPr>
          <w:rFonts w:hint="eastAsia" w:ascii="宋体" w:hAnsi="宋体"/>
          <w:sz w:val="24"/>
        </w:rPr>
        <w:t>提出申请，并说明理由，申请须由供应商代表签字或盖章。</w:t>
      </w:r>
    </w:p>
    <w:p w14:paraId="58FC2D42">
      <w:pPr>
        <w:spacing w:line="360" w:lineRule="auto"/>
        <w:ind w:firstLine="480" w:firstLineChars="200"/>
        <w:rPr>
          <w:rFonts w:hint="eastAsia" w:ascii="宋体" w:hAnsi="宋体"/>
          <w:kern w:val="0"/>
          <w:sz w:val="24"/>
        </w:rPr>
      </w:pPr>
      <w:r>
        <w:rPr>
          <w:rFonts w:hint="eastAsia" w:ascii="宋体" w:hAnsi="宋体"/>
          <w:kern w:val="0"/>
          <w:sz w:val="24"/>
        </w:rPr>
        <w:t>18.10 磋商</w:t>
      </w:r>
      <w:r>
        <w:rPr>
          <w:rFonts w:ascii="宋体" w:hAnsi="宋体"/>
          <w:kern w:val="0"/>
          <w:sz w:val="24"/>
        </w:rPr>
        <w:t>会议结束。</w:t>
      </w:r>
    </w:p>
    <w:p w14:paraId="5D61231A">
      <w:pPr>
        <w:spacing w:line="360" w:lineRule="auto"/>
        <w:ind w:firstLine="482" w:firstLineChars="200"/>
        <w:rPr>
          <w:rFonts w:hint="eastAsia" w:ascii="宋体" w:hAnsi="宋体"/>
          <w:b/>
          <w:sz w:val="24"/>
        </w:rPr>
      </w:pPr>
      <w:r>
        <w:rPr>
          <w:rFonts w:hint="eastAsia" w:ascii="宋体" w:hAnsi="宋体"/>
          <w:b/>
          <w:sz w:val="24"/>
        </w:rPr>
        <w:t>19</w:t>
      </w:r>
      <w:r>
        <w:rPr>
          <w:rFonts w:ascii="宋体" w:hAnsi="宋体"/>
          <w:b/>
          <w:sz w:val="24"/>
        </w:rPr>
        <w:t xml:space="preserve">. </w:t>
      </w:r>
      <w:r>
        <w:rPr>
          <w:rFonts w:hint="eastAsia" w:ascii="宋体" w:hAnsi="宋体"/>
          <w:b/>
          <w:sz w:val="24"/>
        </w:rPr>
        <w:t>资格审查</w:t>
      </w:r>
    </w:p>
    <w:p w14:paraId="728C8C63">
      <w:pPr>
        <w:spacing w:line="360" w:lineRule="auto"/>
        <w:ind w:firstLine="480" w:firstLineChars="200"/>
        <w:rPr>
          <w:rFonts w:hint="eastAsia" w:ascii="宋体" w:hAnsi="宋体"/>
          <w:sz w:val="24"/>
        </w:rPr>
      </w:pPr>
      <w:r>
        <w:rPr>
          <w:rFonts w:hint="eastAsia" w:ascii="宋体" w:hAnsi="宋体"/>
          <w:sz w:val="24"/>
        </w:rPr>
        <w:t>19</w:t>
      </w:r>
      <w:r>
        <w:rPr>
          <w:rFonts w:ascii="宋体" w:hAnsi="宋体"/>
          <w:sz w:val="24"/>
        </w:rPr>
        <w:t xml:space="preserve">.1 </w:t>
      </w:r>
      <w:r>
        <w:rPr>
          <w:rFonts w:hint="eastAsia" w:ascii="宋体" w:hAnsi="宋体"/>
          <w:sz w:val="24"/>
        </w:rPr>
        <w:t>采购人</w:t>
      </w:r>
      <w:r>
        <w:rPr>
          <w:rFonts w:ascii="宋体" w:hAnsi="宋体"/>
          <w:sz w:val="24"/>
        </w:rPr>
        <w:t>或采购代理</w:t>
      </w:r>
      <w:r>
        <w:rPr>
          <w:rFonts w:hint="eastAsia" w:ascii="宋体" w:hAnsi="宋体"/>
          <w:sz w:val="24"/>
        </w:rPr>
        <w:t>按资格</w:t>
      </w:r>
      <w:r>
        <w:rPr>
          <w:rFonts w:ascii="宋体" w:hAnsi="宋体"/>
          <w:sz w:val="24"/>
        </w:rPr>
        <w:t>要求对</w:t>
      </w:r>
      <w:r>
        <w:rPr>
          <w:rFonts w:hint="eastAsia" w:ascii="宋体" w:hAnsi="宋体"/>
          <w:sz w:val="24"/>
        </w:rPr>
        <w:t>供应商</w:t>
      </w:r>
      <w:r>
        <w:rPr>
          <w:rFonts w:ascii="宋体" w:hAnsi="宋体"/>
          <w:sz w:val="24"/>
        </w:rPr>
        <w:t>进行资格</w:t>
      </w:r>
      <w:r>
        <w:rPr>
          <w:rFonts w:hint="eastAsia" w:ascii="宋体" w:hAnsi="宋体"/>
          <w:sz w:val="24"/>
        </w:rPr>
        <w:t>审查及记录，资格审查顺序为电子交易平台解密后自动生成的“投标（响应）文件签收登记表”名单顺序。</w:t>
      </w:r>
    </w:p>
    <w:p w14:paraId="14F29A0B">
      <w:pPr>
        <w:spacing w:line="360" w:lineRule="auto"/>
        <w:ind w:firstLine="480" w:firstLineChars="200"/>
        <w:rPr>
          <w:rFonts w:hint="eastAsia" w:ascii="宋体" w:hAnsi="宋体"/>
          <w:sz w:val="24"/>
        </w:rPr>
      </w:pPr>
      <w:r>
        <w:rPr>
          <w:rFonts w:hint="eastAsia" w:ascii="宋体" w:hAnsi="宋体"/>
          <w:sz w:val="24"/>
        </w:rPr>
        <w:t>19</w:t>
      </w:r>
      <w:r>
        <w:rPr>
          <w:rFonts w:ascii="宋体" w:hAnsi="宋体"/>
          <w:sz w:val="24"/>
        </w:rPr>
        <w:t xml:space="preserve">.2 </w:t>
      </w:r>
      <w:r>
        <w:rPr>
          <w:rFonts w:hint="eastAsia" w:ascii="宋体" w:hAnsi="宋体"/>
          <w:sz w:val="24"/>
        </w:rPr>
        <w:t>经资格审查合格</w:t>
      </w:r>
      <w:r>
        <w:rPr>
          <w:rFonts w:ascii="宋体" w:hAnsi="宋体"/>
          <w:sz w:val="24"/>
        </w:rPr>
        <w:t>的</w:t>
      </w:r>
      <w:r>
        <w:rPr>
          <w:rFonts w:hint="eastAsia" w:ascii="宋体" w:hAnsi="宋体"/>
          <w:sz w:val="24"/>
        </w:rPr>
        <w:t>供应商</w:t>
      </w:r>
      <w:r>
        <w:rPr>
          <w:rFonts w:ascii="宋体" w:hAnsi="宋体"/>
          <w:sz w:val="24"/>
        </w:rPr>
        <w:t>不足</w:t>
      </w:r>
      <w:r>
        <w:rPr>
          <w:rFonts w:hint="eastAsia" w:ascii="宋体" w:hAnsi="宋体"/>
          <w:sz w:val="24"/>
        </w:rPr>
        <w:t>三家</w:t>
      </w:r>
      <w:r>
        <w:rPr>
          <w:rFonts w:ascii="宋体" w:hAnsi="宋体"/>
          <w:sz w:val="24"/>
        </w:rPr>
        <w:t>的，</w:t>
      </w:r>
      <w:r>
        <w:rPr>
          <w:rFonts w:hint="eastAsia" w:ascii="宋体" w:hAnsi="宋体" w:cs="宋体"/>
          <w:sz w:val="24"/>
        </w:rPr>
        <w:t>按相关规定重新组织采购。</w:t>
      </w:r>
    </w:p>
    <w:p w14:paraId="3A0C5703">
      <w:pPr>
        <w:spacing w:line="360" w:lineRule="auto"/>
        <w:ind w:firstLine="482" w:firstLineChars="200"/>
        <w:rPr>
          <w:rFonts w:hint="eastAsia" w:ascii="宋体" w:hAnsi="宋体"/>
          <w:b/>
          <w:sz w:val="24"/>
        </w:rPr>
      </w:pPr>
      <w:r>
        <w:rPr>
          <w:rFonts w:hint="eastAsia" w:ascii="宋体" w:hAnsi="宋体"/>
          <w:b/>
          <w:sz w:val="24"/>
        </w:rPr>
        <w:t>20</w:t>
      </w:r>
      <w:r>
        <w:rPr>
          <w:rFonts w:ascii="宋体" w:hAnsi="宋体"/>
          <w:b/>
          <w:sz w:val="24"/>
        </w:rPr>
        <w:t xml:space="preserve">. </w:t>
      </w:r>
      <w:r>
        <w:rPr>
          <w:rFonts w:hint="eastAsia" w:ascii="宋体" w:hAnsi="宋体"/>
          <w:b/>
          <w:sz w:val="24"/>
        </w:rPr>
        <w:t>磋商流程：详见第六章。</w:t>
      </w:r>
    </w:p>
    <w:p w14:paraId="0672DEB7">
      <w:pPr>
        <w:spacing w:line="360" w:lineRule="auto"/>
        <w:ind w:firstLine="482" w:firstLineChars="200"/>
        <w:rPr>
          <w:rFonts w:hint="eastAsia" w:ascii="宋体" w:hAnsi="宋体"/>
          <w:b/>
          <w:sz w:val="24"/>
        </w:rPr>
      </w:pPr>
      <w:r>
        <w:rPr>
          <w:rFonts w:ascii="宋体" w:hAnsi="宋体"/>
          <w:b/>
          <w:sz w:val="24"/>
        </w:rPr>
        <w:t>2</w:t>
      </w:r>
      <w:r>
        <w:rPr>
          <w:rFonts w:hint="eastAsia" w:ascii="宋体" w:hAnsi="宋体"/>
          <w:b/>
          <w:sz w:val="24"/>
        </w:rPr>
        <w:t>1</w:t>
      </w:r>
      <w:r>
        <w:rPr>
          <w:rFonts w:ascii="宋体" w:hAnsi="宋体"/>
          <w:b/>
          <w:sz w:val="24"/>
        </w:rPr>
        <w:t>.</w:t>
      </w:r>
      <w:r>
        <w:rPr>
          <w:rFonts w:hint="eastAsia" w:ascii="宋体" w:hAnsi="宋体"/>
          <w:b/>
          <w:sz w:val="24"/>
        </w:rPr>
        <w:t>响应文件的澄清</w:t>
      </w:r>
    </w:p>
    <w:p w14:paraId="7FD6D709">
      <w:pPr>
        <w:spacing w:line="360" w:lineRule="auto"/>
        <w:ind w:firstLine="480" w:firstLineChars="200"/>
        <w:rPr>
          <w:rFonts w:hint="eastAsia" w:ascii="宋体" w:hAnsi="宋体"/>
          <w:sz w:val="24"/>
        </w:rPr>
      </w:pPr>
      <w:r>
        <w:rPr>
          <w:rFonts w:hint="eastAsia" w:ascii="宋体" w:hAnsi="宋体"/>
          <w:sz w:val="24"/>
          <w:szCs w:val="22"/>
        </w:rPr>
        <w:t>21.1</w:t>
      </w:r>
      <w:r>
        <w:rPr>
          <w:rFonts w:ascii="宋体" w:hAnsi="宋体"/>
          <w:sz w:val="24"/>
          <w:szCs w:val="22"/>
        </w:rPr>
        <w:t xml:space="preserve"> </w:t>
      </w:r>
      <w:r>
        <w:rPr>
          <w:rFonts w:hint="eastAsia" w:ascii="宋体" w:hAnsi="宋体"/>
          <w:sz w:val="24"/>
          <w:szCs w:val="22"/>
        </w:rPr>
        <w:t>对响应文件中含义不明确、同类问题表述不一致或者有明显文字和计算错误的内容，</w:t>
      </w:r>
      <w:r>
        <w:rPr>
          <w:rFonts w:hint="eastAsia" w:ascii="宋体" w:hAnsi="宋体"/>
          <w:sz w:val="24"/>
        </w:rPr>
        <w:t>磋商小组应当通过电子交易平台交换数据电文的形式要求供应商作出必要的澄清、说明或者补正。澄清、说明或者补正应当采用电子交易平台交换数据电文的形式提交，供应商的澄清、说明或者补正不得超出响应文件的范围或者改变响应文件的实质性内容。供应商的澄清、说明或补正将作为响应文件的一部分。</w:t>
      </w:r>
    </w:p>
    <w:p w14:paraId="70047C30">
      <w:pPr>
        <w:spacing w:line="360" w:lineRule="auto"/>
        <w:ind w:firstLine="480" w:firstLineChars="200"/>
        <w:rPr>
          <w:rFonts w:hint="eastAsia" w:ascii="宋体" w:hAnsi="宋体"/>
          <w:sz w:val="24"/>
        </w:rPr>
      </w:pPr>
      <w:r>
        <w:rPr>
          <w:rFonts w:hint="eastAsia" w:ascii="宋体" w:hAnsi="宋体"/>
          <w:sz w:val="24"/>
        </w:rPr>
        <w:t>21.2</w:t>
      </w:r>
      <w:r>
        <w:rPr>
          <w:rFonts w:ascii="宋体" w:hAnsi="宋体"/>
          <w:sz w:val="24"/>
        </w:rPr>
        <w:t xml:space="preserve"> </w:t>
      </w:r>
      <w:r>
        <w:rPr>
          <w:rFonts w:hint="eastAsia" w:ascii="宋体" w:hAnsi="宋体"/>
          <w:sz w:val="24"/>
        </w:rPr>
        <w:t>磋商过程</w:t>
      </w:r>
      <w:r>
        <w:rPr>
          <w:rFonts w:ascii="宋体" w:hAnsi="宋体"/>
          <w:sz w:val="24"/>
        </w:rPr>
        <w:t>中，实</w:t>
      </w:r>
      <w:r>
        <w:rPr>
          <w:rFonts w:hint="eastAsia" w:ascii="宋体" w:hAnsi="宋体"/>
          <w:sz w:val="24"/>
        </w:rPr>
        <w:t>质</w:t>
      </w:r>
      <w:r>
        <w:rPr>
          <w:rFonts w:ascii="宋体" w:hAnsi="宋体"/>
          <w:sz w:val="24"/>
        </w:rPr>
        <w:t>性变动的</w:t>
      </w:r>
      <w:r>
        <w:rPr>
          <w:rFonts w:hint="eastAsia" w:ascii="宋体" w:hAnsi="宋体"/>
          <w:sz w:val="24"/>
        </w:rPr>
        <w:t>内容</w:t>
      </w:r>
      <w:r>
        <w:rPr>
          <w:rFonts w:ascii="宋体" w:hAnsi="宋体"/>
          <w:sz w:val="24"/>
        </w:rPr>
        <w:t>，经采购人</w:t>
      </w:r>
      <w:r>
        <w:rPr>
          <w:rFonts w:hint="eastAsia" w:ascii="宋体" w:hAnsi="宋体"/>
          <w:sz w:val="24"/>
        </w:rPr>
        <w:t>代表确认后，</w:t>
      </w:r>
      <w:r>
        <w:rPr>
          <w:rFonts w:ascii="宋体" w:hAnsi="宋体"/>
          <w:sz w:val="24"/>
        </w:rPr>
        <w:t>磋商小组可以根据磋商文件和磋商情况</w:t>
      </w:r>
      <w:r>
        <w:rPr>
          <w:rFonts w:hint="eastAsia" w:ascii="宋体" w:hAnsi="宋体"/>
          <w:sz w:val="24"/>
        </w:rPr>
        <w:t>实质性</w:t>
      </w:r>
      <w:r>
        <w:rPr>
          <w:rFonts w:ascii="宋体" w:hAnsi="宋体"/>
          <w:sz w:val="24"/>
        </w:rPr>
        <w:t>变动</w:t>
      </w:r>
      <w:r>
        <w:rPr>
          <w:rFonts w:hint="eastAsia" w:ascii="宋体" w:hAnsi="宋体"/>
          <w:sz w:val="24"/>
        </w:rPr>
        <w:t>采购</w:t>
      </w:r>
      <w:r>
        <w:rPr>
          <w:rFonts w:ascii="宋体" w:hAnsi="宋体"/>
          <w:sz w:val="24"/>
        </w:rPr>
        <w:t>需求中的技术、服务要求以及合同草案条款，但不得变动磋商文件中其他内容</w:t>
      </w:r>
      <w:r>
        <w:rPr>
          <w:rFonts w:hint="eastAsia" w:ascii="宋体" w:hAnsi="宋体"/>
          <w:sz w:val="24"/>
        </w:rPr>
        <w:t>，</w:t>
      </w:r>
      <w:r>
        <w:rPr>
          <w:rFonts w:ascii="宋体" w:hAnsi="宋体"/>
          <w:sz w:val="24"/>
        </w:rPr>
        <w:t>否则</w:t>
      </w:r>
      <w:r>
        <w:rPr>
          <w:rFonts w:hint="eastAsia" w:ascii="宋体" w:hAnsi="宋体"/>
          <w:sz w:val="24"/>
        </w:rPr>
        <w:t>磋商</w:t>
      </w:r>
      <w:r>
        <w:rPr>
          <w:rFonts w:ascii="宋体" w:hAnsi="宋体"/>
          <w:sz w:val="24"/>
        </w:rPr>
        <w:t>小组不得变动</w:t>
      </w:r>
      <w:r>
        <w:rPr>
          <w:rFonts w:hint="eastAsia" w:ascii="宋体" w:hAnsi="宋体"/>
          <w:sz w:val="24"/>
        </w:rPr>
        <w:t>磋商</w:t>
      </w:r>
      <w:r>
        <w:rPr>
          <w:rFonts w:ascii="宋体" w:hAnsi="宋体"/>
          <w:sz w:val="24"/>
        </w:rPr>
        <w:t>文件中的实质性内容。</w:t>
      </w:r>
      <w:r>
        <w:rPr>
          <w:rFonts w:hint="eastAsia" w:ascii="宋体" w:hAnsi="宋体"/>
          <w:sz w:val="24"/>
        </w:rPr>
        <w:t>供应商应当</w:t>
      </w:r>
      <w:r>
        <w:rPr>
          <w:rFonts w:ascii="宋体" w:hAnsi="宋体"/>
          <w:sz w:val="24"/>
        </w:rPr>
        <w:t>根据</w:t>
      </w:r>
      <w:r>
        <w:rPr>
          <w:rFonts w:hint="eastAsia" w:ascii="宋体" w:hAnsi="宋体"/>
          <w:sz w:val="24"/>
        </w:rPr>
        <w:t>磋商</w:t>
      </w:r>
      <w:r>
        <w:rPr>
          <w:rFonts w:ascii="宋体" w:hAnsi="宋体"/>
          <w:sz w:val="24"/>
        </w:rPr>
        <w:t>变动</w:t>
      </w:r>
      <w:r>
        <w:rPr>
          <w:rFonts w:hint="eastAsia" w:ascii="宋体" w:hAnsi="宋体"/>
          <w:sz w:val="24"/>
        </w:rPr>
        <w:t>情况</w:t>
      </w:r>
      <w:r>
        <w:rPr>
          <w:rFonts w:ascii="宋体" w:hAnsi="宋体"/>
          <w:sz w:val="24"/>
        </w:rPr>
        <w:t>和</w:t>
      </w:r>
      <w:r>
        <w:rPr>
          <w:rFonts w:hint="eastAsia" w:ascii="宋体" w:hAnsi="宋体"/>
          <w:sz w:val="24"/>
        </w:rPr>
        <w:t>磋商</w:t>
      </w:r>
      <w:r>
        <w:rPr>
          <w:rFonts w:ascii="宋体" w:hAnsi="宋体"/>
          <w:sz w:val="24"/>
        </w:rPr>
        <w:t>小组的要求重新提交</w:t>
      </w:r>
      <w:r>
        <w:rPr>
          <w:rFonts w:hint="eastAsia" w:ascii="宋体" w:hAnsi="宋体"/>
          <w:sz w:val="24"/>
        </w:rPr>
        <w:t>响应</w:t>
      </w:r>
      <w:r>
        <w:rPr>
          <w:rFonts w:ascii="宋体" w:hAnsi="宋体"/>
          <w:sz w:val="24"/>
        </w:rPr>
        <w:t>内容，响应内容</w:t>
      </w:r>
      <w:r>
        <w:rPr>
          <w:rFonts w:hint="eastAsia" w:ascii="宋体" w:hAnsi="宋体"/>
          <w:sz w:val="24"/>
        </w:rPr>
        <w:t>应当通过电子交易平台交换数据电文的形式提交。</w:t>
      </w:r>
    </w:p>
    <w:p w14:paraId="771D2A75">
      <w:pPr>
        <w:spacing w:line="460" w:lineRule="exact"/>
        <w:ind w:firstLine="480" w:firstLineChars="200"/>
        <w:rPr>
          <w:rFonts w:hint="eastAsia" w:ascii="宋体" w:hAnsi="宋体"/>
          <w:sz w:val="24"/>
        </w:rPr>
      </w:pPr>
      <w:r>
        <w:rPr>
          <w:rFonts w:hint="eastAsia" w:ascii="宋体" w:hAnsi="宋体"/>
          <w:sz w:val="24"/>
        </w:rPr>
        <w:t>21.</w:t>
      </w:r>
      <w:r>
        <w:rPr>
          <w:rFonts w:ascii="宋体" w:hAnsi="宋体"/>
          <w:sz w:val="24"/>
        </w:rPr>
        <w:t xml:space="preserve">3 </w:t>
      </w:r>
      <w:r>
        <w:rPr>
          <w:rFonts w:hint="eastAsia" w:ascii="宋体" w:hAnsi="宋体"/>
          <w:sz w:val="24"/>
        </w:rPr>
        <w:t>报价算术错误将按以下方法修正：</w:t>
      </w:r>
    </w:p>
    <w:p w14:paraId="34F2AF6F">
      <w:pPr>
        <w:spacing w:line="460" w:lineRule="exact"/>
        <w:ind w:firstLine="480" w:firstLineChars="200"/>
        <w:rPr>
          <w:rFonts w:hint="eastAsia" w:ascii="宋体" w:hAnsi="宋体"/>
          <w:sz w:val="24"/>
        </w:rPr>
      </w:pPr>
      <w:r>
        <w:rPr>
          <w:rFonts w:hint="eastAsia" w:ascii="宋体" w:hAnsi="宋体"/>
          <w:sz w:val="24"/>
        </w:rPr>
        <w:t>（1）政采云系统填写的首轮报价和上传的报价不一致的，以上传的报价文件为准；</w:t>
      </w:r>
    </w:p>
    <w:p w14:paraId="5D410293">
      <w:pPr>
        <w:spacing w:line="460" w:lineRule="exact"/>
        <w:ind w:firstLine="436" w:firstLineChars="182"/>
        <w:rPr>
          <w:rFonts w:hint="eastAsia" w:ascii="宋体" w:hAnsi="宋体"/>
          <w:bCs/>
          <w:sz w:val="24"/>
        </w:rPr>
      </w:pPr>
      <w:r>
        <w:rPr>
          <w:rFonts w:hint="eastAsia" w:ascii="宋体" w:hAnsi="宋体"/>
          <w:sz w:val="24"/>
        </w:rPr>
        <w:t>（2）</w:t>
      </w:r>
      <w:r>
        <w:rPr>
          <w:rFonts w:hint="eastAsia" w:ascii="宋体" w:hAnsi="宋体"/>
          <w:kern w:val="0"/>
          <w:sz w:val="24"/>
        </w:rPr>
        <w:t>报价文件</w:t>
      </w:r>
      <w:r>
        <w:rPr>
          <w:rFonts w:hint="eastAsia" w:ascii="宋体" w:hAnsi="宋体"/>
          <w:bCs/>
          <w:sz w:val="24"/>
        </w:rPr>
        <w:t>中开标一览表（报价表）内容与</w:t>
      </w:r>
      <w:r>
        <w:rPr>
          <w:rFonts w:hint="eastAsia" w:ascii="宋体" w:hAnsi="宋体"/>
          <w:kern w:val="0"/>
          <w:sz w:val="24"/>
        </w:rPr>
        <w:t>报价文件</w:t>
      </w:r>
      <w:r>
        <w:rPr>
          <w:rFonts w:hint="eastAsia" w:ascii="宋体" w:hAnsi="宋体"/>
          <w:bCs/>
          <w:sz w:val="24"/>
        </w:rPr>
        <w:t>中明细表相应内容不一致的，以开标一览表（报价表）为准；</w:t>
      </w:r>
    </w:p>
    <w:p w14:paraId="220CA5A9">
      <w:pPr>
        <w:spacing w:line="460" w:lineRule="exact"/>
        <w:ind w:firstLine="436" w:firstLineChars="182"/>
        <w:rPr>
          <w:rFonts w:hint="eastAsia" w:ascii="宋体" w:hAnsi="宋体"/>
          <w:bCs/>
          <w:sz w:val="24"/>
        </w:rPr>
      </w:pPr>
      <w:r>
        <w:rPr>
          <w:rFonts w:hint="eastAsia" w:ascii="宋体" w:hAnsi="宋体"/>
          <w:bCs/>
          <w:sz w:val="24"/>
        </w:rPr>
        <w:t>（3）报价文件的大写金额和小写金额不一致的，以大写金额为准；</w:t>
      </w:r>
    </w:p>
    <w:p w14:paraId="5A3BF938">
      <w:pPr>
        <w:spacing w:line="460" w:lineRule="exact"/>
        <w:ind w:firstLine="436" w:firstLineChars="182"/>
        <w:rPr>
          <w:rFonts w:hint="eastAsia" w:ascii="宋体" w:hAnsi="宋体"/>
          <w:bCs/>
          <w:sz w:val="24"/>
        </w:rPr>
      </w:pPr>
      <w:r>
        <w:rPr>
          <w:rFonts w:hint="eastAsia" w:ascii="宋体" w:hAnsi="宋体"/>
          <w:bCs/>
          <w:sz w:val="24"/>
        </w:rPr>
        <w:t>（4）单价金额</w:t>
      </w:r>
      <w:r>
        <w:rPr>
          <w:rFonts w:ascii="宋体" w:hAnsi="宋体"/>
          <w:bCs/>
          <w:sz w:val="24"/>
        </w:rPr>
        <w:t>小数点或者百分</w:t>
      </w:r>
      <w:r>
        <w:rPr>
          <w:rFonts w:hint="eastAsia" w:ascii="宋体" w:hAnsi="宋体"/>
          <w:bCs/>
          <w:sz w:val="24"/>
        </w:rPr>
        <w:t>比</w:t>
      </w:r>
      <w:r>
        <w:rPr>
          <w:rFonts w:ascii="宋体" w:hAnsi="宋体"/>
          <w:bCs/>
          <w:sz w:val="24"/>
        </w:rPr>
        <w:t>有明显错位的，以开标</w:t>
      </w:r>
      <w:r>
        <w:rPr>
          <w:rFonts w:hint="eastAsia" w:ascii="宋体" w:hAnsi="宋体"/>
          <w:bCs/>
          <w:sz w:val="24"/>
        </w:rPr>
        <w:t>一览表（报价</w:t>
      </w:r>
      <w:r>
        <w:rPr>
          <w:rFonts w:ascii="宋体" w:hAnsi="宋体"/>
          <w:bCs/>
          <w:sz w:val="24"/>
        </w:rPr>
        <w:t>表</w:t>
      </w:r>
      <w:r>
        <w:rPr>
          <w:rFonts w:hint="eastAsia" w:ascii="宋体" w:hAnsi="宋体"/>
          <w:bCs/>
          <w:sz w:val="24"/>
        </w:rPr>
        <w:t>）</w:t>
      </w:r>
      <w:r>
        <w:rPr>
          <w:rFonts w:ascii="宋体" w:hAnsi="宋体"/>
          <w:bCs/>
          <w:sz w:val="24"/>
        </w:rPr>
        <w:t>的总价</w:t>
      </w:r>
      <w:r>
        <w:rPr>
          <w:rFonts w:hint="eastAsia" w:ascii="宋体" w:hAnsi="宋体"/>
          <w:bCs/>
          <w:sz w:val="24"/>
        </w:rPr>
        <w:t>为准</w:t>
      </w:r>
      <w:r>
        <w:rPr>
          <w:rFonts w:ascii="宋体" w:hAnsi="宋体"/>
          <w:bCs/>
          <w:sz w:val="24"/>
        </w:rPr>
        <w:t>，并修改单价；</w:t>
      </w:r>
    </w:p>
    <w:p w14:paraId="49D4B55B">
      <w:pPr>
        <w:spacing w:line="460" w:lineRule="exact"/>
        <w:ind w:firstLine="436" w:firstLineChars="182"/>
        <w:rPr>
          <w:rFonts w:hint="eastAsia" w:ascii="宋体" w:hAnsi="宋体"/>
          <w:bCs/>
          <w:sz w:val="24"/>
        </w:rPr>
      </w:pPr>
      <w:r>
        <w:rPr>
          <w:rFonts w:hint="eastAsia" w:ascii="宋体" w:hAnsi="宋体"/>
          <w:bCs/>
          <w:sz w:val="24"/>
        </w:rPr>
        <w:t>（5）总价</w:t>
      </w:r>
      <w:r>
        <w:rPr>
          <w:rFonts w:ascii="宋体" w:hAnsi="宋体"/>
          <w:bCs/>
          <w:sz w:val="24"/>
        </w:rPr>
        <w:t>金额与</w:t>
      </w:r>
      <w:r>
        <w:rPr>
          <w:rFonts w:hint="eastAsia" w:ascii="宋体" w:hAnsi="宋体"/>
          <w:bCs/>
          <w:sz w:val="24"/>
        </w:rPr>
        <w:t>按</w:t>
      </w:r>
      <w:r>
        <w:rPr>
          <w:rFonts w:ascii="宋体" w:hAnsi="宋体"/>
          <w:bCs/>
          <w:sz w:val="24"/>
        </w:rPr>
        <w:t>单价</w:t>
      </w:r>
      <w:r>
        <w:rPr>
          <w:rFonts w:hint="eastAsia" w:ascii="宋体" w:hAnsi="宋体"/>
          <w:bCs/>
          <w:sz w:val="24"/>
        </w:rPr>
        <w:t>汇总</w:t>
      </w:r>
      <w:r>
        <w:rPr>
          <w:rFonts w:ascii="宋体" w:hAnsi="宋体"/>
          <w:bCs/>
          <w:sz w:val="24"/>
        </w:rPr>
        <w:t>金额不一致的，以单价金额计算</w:t>
      </w:r>
      <w:r>
        <w:rPr>
          <w:rFonts w:hint="eastAsia" w:ascii="宋体" w:hAnsi="宋体"/>
          <w:bCs/>
          <w:sz w:val="24"/>
        </w:rPr>
        <w:t>结果</w:t>
      </w:r>
      <w:r>
        <w:rPr>
          <w:rFonts w:ascii="宋体" w:hAnsi="宋体"/>
          <w:bCs/>
          <w:sz w:val="24"/>
        </w:rPr>
        <w:t>为准</w:t>
      </w:r>
      <w:r>
        <w:rPr>
          <w:rFonts w:hint="eastAsia" w:ascii="宋体" w:hAnsi="宋体"/>
          <w:bCs/>
          <w:sz w:val="24"/>
        </w:rPr>
        <w:t>；</w:t>
      </w:r>
    </w:p>
    <w:p w14:paraId="003E4000">
      <w:pPr>
        <w:spacing w:line="460" w:lineRule="exact"/>
        <w:ind w:firstLine="436" w:firstLineChars="182"/>
        <w:rPr>
          <w:rFonts w:hint="eastAsia" w:ascii="宋体" w:hAnsi="宋体"/>
          <w:bCs/>
          <w:sz w:val="24"/>
        </w:rPr>
      </w:pPr>
      <w:r>
        <w:rPr>
          <w:rFonts w:hint="eastAsia" w:ascii="宋体" w:hAnsi="宋体"/>
          <w:bCs/>
          <w:sz w:val="24"/>
        </w:rPr>
        <w:t>（6）同时</w:t>
      </w:r>
      <w:r>
        <w:rPr>
          <w:rFonts w:ascii="宋体" w:hAnsi="宋体"/>
          <w:bCs/>
          <w:sz w:val="24"/>
        </w:rPr>
        <w:t>出现</w:t>
      </w:r>
      <w:r>
        <w:rPr>
          <w:rFonts w:hint="eastAsia" w:ascii="宋体" w:hAnsi="宋体"/>
          <w:bCs/>
          <w:sz w:val="24"/>
        </w:rPr>
        <w:t>两种</w:t>
      </w:r>
      <w:r>
        <w:rPr>
          <w:rFonts w:ascii="宋体" w:hAnsi="宋体"/>
          <w:bCs/>
          <w:sz w:val="24"/>
        </w:rPr>
        <w:t>以上</w:t>
      </w:r>
      <w:r>
        <w:rPr>
          <w:rFonts w:hint="eastAsia" w:ascii="宋体" w:hAnsi="宋体"/>
          <w:bCs/>
          <w:sz w:val="24"/>
        </w:rPr>
        <w:t>不一致</w:t>
      </w:r>
      <w:r>
        <w:rPr>
          <w:rFonts w:ascii="宋体" w:hAnsi="宋体"/>
          <w:bCs/>
          <w:sz w:val="24"/>
        </w:rPr>
        <w:t>的，按</w:t>
      </w:r>
      <w:r>
        <w:rPr>
          <w:rFonts w:hint="eastAsia" w:ascii="宋体" w:hAnsi="宋体"/>
          <w:bCs/>
          <w:sz w:val="24"/>
        </w:rPr>
        <w:t>上述顺序</w:t>
      </w:r>
      <w:r>
        <w:rPr>
          <w:rFonts w:ascii="宋体" w:hAnsi="宋体"/>
          <w:bCs/>
          <w:sz w:val="24"/>
        </w:rPr>
        <w:t>修正</w:t>
      </w:r>
      <w:r>
        <w:rPr>
          <w:rFonts w:hint="eastAsia" w:ascii="宋体" w:hAnsi="宋体"/>
          <w:bCs/>
          <w:sz w:val="24"/>
        </w:rPr>
        <w:t>。</w:t>
      </w:r>
    </w:p>
    <w:p w14:paraId="6F29EE9A">
      <w:pPr>
        <w:spacing w:line="460" w:lineRule="exact"/>
        <w:ind w:firstLine="436" w:firstLineChars="182"/>
        <w:rPr>
          <w:rFonts w:hint="eastAsia" w:ascii="宋体" w:hAnsi="宋体"/>
          <w:sz w:val="24"/>
        </w:rPr>
      </w:pPr>
      <w:r>
        <w:rPr>
          <w:rFonts w:hint="eastAsia" w:ascii="宋体" w:hAnsi="宋体"/>
          <w:bCs/>
          <w:sz w:val="24"/>
        </w:rPr>
        <w:t>（7）对不同文字文本</w:t>
      </w:r>
      <w:r>
        <w:rPr>
          <w:rFonts w:hint="eastAsia" w:ascii="宋体" w:hAnsi="宋体"/>
          <w:kern w:val="0"/>
          <w:sz w:val="24"/>
        </w:rPr>
        <w:t>响应文件</w:t>
      </w:r>
      <w:r>
        <w:rPr>
          <w:rFonts w:hint="eastAsia" w:ascii="宋体" w:hAnsi="宋体"/>
          <w:bCs/>
          <w:sz w:val="24"/>
        </w:rPr>
        <w:t>的解释发生异议的，以中文文本为准</w:t>
      </w:r>
      <w:r>
        <w:rPr>
          <w:rFonts w:ascii="宋体" w:hAnsi="宋体"/>
          <w:bCs/>
          <w:sz w:val="24"/>
        </w:rPr>
        <w:t>。</w:t>
      </w:r>
    </w:p>
    <w:p w14:paraId="36B38967">
      <w:pPr>
        <w:spacing w:line="460" w:lineRule="exact"/>
        <w:ind w:firstLine="480" w:firstLineChars="200"/>
        <w:rPr>
          <w:rFonts w:hint="eastAsia" w:ascii="宋体" w:hAnsi="宋体"/>
          <w:sz w:val="24"/>
        </w:rPr>
      </w:pPr>
      <w:r>
        <w:rPr>
          <w:rFonts w:hint="eastAsia" w:ascii="宋体" w:hAnsi="宋体"/>
          <w:sz w:val="24"/>
        </w:rPr>
        <w:t>（8）修正错误的磋商最终报价，供应商应当通过电子交易平台交换数据电文的形式提交，调整后的磋商最终报价对供应商具有约束作用。若供应商不接受修正后的磋商最终报价，则其响应</w:t>
      </w:r>
      <w:r>
        <w:rPr>
          <w:rFonts w:ascii="宋体" w:hAnsi="宋体"/>
          <w:sz w:val="24"/>
        </w:rPr>
        <w:t>文件</w:t>
      </w:r>
      <w:r>
        <w:rPr>
          <w:rFonts w:hint="eastAsia" w:ascii="宋体" w:hAnsi="宋体"/>
          <w:sz w:val="24"/>
        </w:rPr>
        <w:t>将作为无效响应处理。</w:t>
      </w:r>
    </w:p>
    <w:p w14:paraId="20AAF53C">
      <w:pPr>
        <w:spacing w:line="360" w:lineRule="auto"/>
        <w:ind w:firstLine="361" w:firstLineChars="150"/>
        <w:rPr>
          <w:rFonts w:hint="eastAsia" w:ascii="宋体" w:hAnsi="宋体"/>
          <w:b/>
          <w:sz w:val="24"/>
        </w:rPr>
      </w:pPr>
      <w:r>
        <w:rPr>
          <w:rFonts w:ascii="宋体" w:hAnsi="宋体"/>
          <w:b/>
          <w:sz w:val="24"/>
        </w:rPr>
        <w:t xml:space="preserve"> </w:t>
      </w:r>
      <w:r>
        <w:rPr>
          <w:rFonts w:hint="eastAsia" w:ascii="宋体" w:hAnsi="宋体"/>
          <w:b/>
          <w:sz w:val="24"/>
        </w:rPr>
        <w:t>22</w:t>
      </w:r>
      <w:r>
        <w:rPr>
          <w:rFonts w:ascii="宋体" w:hAnsi="宋体"/>
          <w:b/>
          <w:sz w:val="24"/>
        </w:rPr>
        <w:t>.</w:t>
      </w:r>
      <w:r>
        <w:rPr>
          <w:rFonts w:hint="eastAsia" w:ascii="宋体" w:hAnsi="宋体"/>
          <w:b/>
          <w:sz w:val="24"/>
        </w:rPr>
        <w:t>对响应文件的比较和评估</w:t>
      </w:r>
    </w:p>
    <w:p w14:paraId="598EB6D8">
      <w:pPr>
        <w:spacing w:line="360" w:lineRule="auto"/>
        <w:ind w:firstLine="480" w:firstLineChars="200"/>
        <w:rPr>
          <w:rFonts w:hint="eastAsia" w:ascii="宋体" w:hAnsi="宋体"/>
          <w:sz w:val="24"/>
        </w:rPr>
      </w:pPr>
      <w:r>
        <w:rPr>
          <w:rFonts w:hint="eastAsia" w:ascii="宋体" w:hAnsi="宋体"/>
          <w:sz w:val="24"/>
        </w:rPr>
        <w:t>磋商小组根据磋商文件</w:t>
      </w:r>
      <w:r>
        <w:rPr>
          <w:rFonts w:ascii="宋体" w:hAnsi="宋体"/>
          <w:sz w:val="24"/>
        </w:rPr>
        <w:t>规定的评审办法和标准、对符合性审查</w:t>
      </w:r>
      <w:r>
        <w:rPr>
          <w:rFonts w:hint="eastAsia" w:ascii="宋体" w:hAnsi="宋体"/>
          <w:sz w:val="24"/>
        </w:rPr>
        <w:t>合格供应商</w:t>
      </w:r>
      <w:r>
        <w:rPr>
          <w:rFonts w:ascii="宋体" w:hAnsi="宋体"/>
          <w:sz w:val="24"/>
        </w:rPr>
        <w:t>的</w:t>
      </w:r>
      <w:r>
        <w:rPr>
          <w:rFonts w:hint="eastAsia" w:ascii="宋体" w:hAnsi="宋体"/>
          <w:sz w:val="24"/>
        </w:rPr>
        <w:t>响应文件、</w:t>
      </w:r>
      <w:r>
        <w:rPr>
          <w:rFonts w:ascii="宋体" w:hAnsi="宋体"/>
          <w:sz w:val="24"/>
        </w:rPr>
        <w:t>澄清答复内容</w:t>
      </w:r>
      <w:r>
        <w:rPr>
          <w:rFonts w:hint="eastAsia" w:ascii="宋体" w:hAnsi="宋体"/>
          <w:sz w:val="24"/>
        </w:rPr>
        <w:t>及</w:t>
      </w:r>
      <w:r>
        <w:rPr>
          <w:rFonts w:ascii="宋体" w:hAnsi="宋体"/>
          <w:sz w:val="24"/>
        </w:rPr>
        <w:t>重新承诺情况进行商务和技术评估，综合比较与评价</w:t>
      </w:r>
      <w:r>
        <w:rPr>
          <w:rFonts w:hint="eastAsia" w:ascii="宋体" w:hAnsi="宋体"/>
          <w:sz w:val="24"/>
        </w:rPr>
        <w:t>，并</w:t>
      </w:r>
      <w:r>
        <w:rPr>
          <w:rFonts w:ascii="宋体" w:hAnsi="宋体"/>
          <w:sz w:val="24"/>
        </w:rPr>
        <w:t>按照平等</w:t>
      </w:r>
      <w:r>
        <w:rPr>
          <w:rFonts w:hint="eastAsia" w:ascii="宋体" w:hAnsi="宋体"/>
          <w:sz w:val="24"/>
        </w:rPr>
        <w:t>、</w:t>
      </w:r>
      <w:r>
        <w:rPr>
          <w:rFonts w:ascii="宋体" w:hAnsi="宋体"/>
          <w:sz w:val="24"/>
        </w:rPr>
        <w:t>客观</w:t>
      </w:r>
      <w:r>
        <w:rPr>
          <w:rFonts w:hint="eastAsia" w:ascii="宋体" w:hAnsi="宋体"/>
          <w:sz w:val="24"/>
        </w:rPr>
        <w:t>、</w:t>
      </w:r>
      <w:r>
        <w:rPr>
          <w:rFonts w:ascii="宋体" w:hAnsi="宋体"/>
          <w:sz w:val="24"/>
        </w:rPr>
        <w:t>公正的原则对响应文件</w:t>
      </w:r>
      <w:r>
        <w:rPr>
          <w:rFonts w:hint="eastAsia" w:ascii="宋体" w:hAnsi="宋体"/>
          <w:sz w:val="24"/>
        </w:rPr>
        <w:t>进行</w:t>
      </w:r>
      <w:r>
        <w:rPr>
          <w:rFonts w:ascii="宋体" w:hAnsi="宋体"/>
          <w:sz w:val="24"/>
        </w:rPr>
        <w:t>综合评审</w:t>
      </w:r>
      <w:r>
        <w:rPr>
          <w:rFonts w:hint="eastAsia" w:ascii="宋体" w:hAnsi="宋体"/>
          <w:sz w:val="24"/>
        </w:rPr>
        <w:t>和</w:t>
      </w:r>
      <w:r>
        <w:rPr>
          <w:rFonts w:ascii="宋体" w:hAnsi="宋体"/>
          <w:sz w:val="24"/>
        </w:rPr>
        <w:t>评分。</w:t>
      </w:r>
    </w:p>
    <w:p w14:paraId="53095136">
      <w:pPr>
        <w:spacing w:line="360" w:lineRule="auto"/>
        <w:ind w:firstLine="482" w:firstLineChars="200"/>
        <w:rPr>
          <w:rFonts w:hint="eastAsia" w:ascii="宋体" w:hAnsi="宋体"/>
          <w:b/>
          <w:sz w:val="24"/>
        </w:rPr>
      </w:pPr>
      <w:r>
        <w:rPr>
          <w:rFonts w:hint="eastAsia" w:ascii="宋体" w:hAnsi="宋体"/>
          <w:b/>
          <w:sz w:val="24"/>
        </w:rPr>
        <w:t>23．评审报告</w:t>
      </w:r>
    </w:p>
    <w:p w14:paraId="277D6F2B">
      <w:pPr>
        <w:spacing w:line="360" w:lineRule="auto"/>
        <w:ind w:firstLine="480" w:firstLineChars="200"/>
        <w:rPr>
          <w:rFonts w:hint="eastAsia" w:ascii="宋体" w:hAnsi="宋体"/>
          <w:sz w:val="24"/>
        </w:rPr>
      </w:pPr>
      <w:r>
        <w:rPr>
          <w:rFonts w:hint="eastAsia" w:ascii="宋体" w:hAnsi="宋体"/>
          <w:sz w:val="24"/>
        </w:rPr>
        <w:t>磋商小组</w:t>
      </w:r>
      <w:r>
        <w:rPr>
          <w:rFonts w:ascii="宋体" w:hAnsi="宋体"/>
          <w:sz w:val="24"/>
        </w:rPr>
        <w:t>根据</w:t>
      </w:r>
      <w:r>
        <w:rPr>
          <w:rFonts w:hint="eastAsia" w:ascii="宋体" w:hAnsi="宋体"/>
          <w:sz w:val="24"/>
        </w:rPr>
        <w:t>磋商</w:t>
      </w:r>
      <w:r>
        <w:rPr>
          <w:rFonts w:ascii="宋体" w:hAnsi="宋体"/>
          <w:sz w:val="24"/>
        </w:rPr>
        <w:t>记录</w:t>
      </w:r>
      <w:r>
        <w:rPr>
          <w:rFonts w:hint="eastAsia" w:ascii="宋体" w:hAnsi="宋体"/>
          <w:sz w:val="24"/>
        </w:rPr>
        <w:t>、</w:t>
      </w:r>
      <w:r>
        <w:rPr>
          <w:rFonts w:ascii="宋体" w:hAnsi="宋体"/>
          <w:sz w:val="24"/>
        </w:rPr>
        <w:t>全体</w:t>
      </w:r>
      <w:r>
        <w:rPr>
          <w:rFonts w:hint="eastAsia" w:ascii="宋体" w:hAnsi="宋体"/>
          <w:sz w:val="24"/>
        </w:rPr>
        <w:t>磋商小组</w:t>
      </w:r>
      <w:r>
        <w:rPr>
          <w:rFonts w:ascii="宋体" w:hAnsi="宋体"/>
          <w:sz w:val="24"/>
        </w:rPr>
        <w:t>成员签字的原始</w:t>
      </w:r>
      <w:r>
        <w:rPr>
          <w:rFonts w:hint="eastAsia" w:ascii="宋体" w:hAnsi="宋体"/>
          <w:sz w:val="24"/>
        </w:rPr>
        <w:t>评审</w:t>
      </w:r>
      <w:r>
        <w:rPr>
          <w:rFonts w:ascii="宋体" w:hAnsi="宋体"/>
          <w:sz w:val="24"/>
        </w:rPr>
        <w:t>记录</w:t>
      </w:r>
      <w:r>
        <w:rPr>
          <w:rFonts w:hint="eastAsia" w:ascii="宋体" w:hAnsi="宋体"/>
          <w:sz w:val="24"/>
        </w:rPr>
        <w:t>、</w:t>
      </w:r>
      <w:r>
        <w:rPr>
          <w:rFonts w:ascii="宋体" w:hAnsi="宋体"/>
          <w:sz w:val="24"/>
        </w:rPr>
        <w:t>评</w:t>
      </w:r>
      <w:r>
        <w:rPr>
          <w:rFonts w:hint="eastAsia" w:ascii="宋体" w:hAnsi="宋体"/>
          <w:sz w:val="24"/>
        </w:rPr>
        <w:t>审</w:t>
      </w:r>
      <w:r>
        <w:rPr>
          <w:rFonts w:ascii="宋体" w:hAnsi="宋体"/>
          <w:sz w:val="24"/>
        </w:rPr>
        <w:t>结果</w:t>
      </w:r>
      <w:r>
        <w:rPr>
          <w:rFonts w:hint="eastAsia" w:ascii="宋体" w:hAnsi="宋体"/>
          <w:sz w:val="24"/>
        </w:rPr>
        <w:t>编写评审</w:t>
      </w:r>
      <w:r>
        <w:rPr>
          <w:rFonts w:ascii="宋体" w:hAnsi="宋体"/>
          <w:sz w:val="24"/>
        </w:rPr>
        <w:t>报告</w:t>
      </w:r>
      <w:r>
        <w:rPr>
          <w:rFonts w:hint="eastAsia" w:ascii="宋体" w:hAnsi="宋体"/>
          <w:sz w:val="24"/>
        </w:rPr>
        <w:t>，</w:t>
      </w:r>
      <w:r>
        <w:rPr>
          <w:rFonts w:ascii="宋体" w:hAnsi="宋体"/>
          <w:sz w:val="24"/>
        </w:rPr>
        <w:t>并</w:t>
      </w:r>
      <w:r>
        <w:rPr>
          <w:rFonts w:hint="eastAsia" w:ascii="宋体" w:hAnsi="宋体"/>
          <w:sz w:val="24"/>
        </w:rPr>
        <w:t>推荐成交</w:t>
      </w:r>
      <w:r>
        <w:rPr>
          <w:rFonts w:ascii="宋体" w:hAnsi="宋体"/>
          <w:sz w:val="24"/>
        </w:rPr>
        <w:t>候选人</w:t>
      </w:r>
      <w:r>
        <w:rPr>
          <w:rFonts w:hint="eastAsia" w:ascii="宋体" w:hAnsi="宋体"/>
          <w:sz w:val="24"/>
        </w:rPr>
        <w:t>，评审</w:t>
      </w:r>
      <w:r>
        <w:rPr>
          <w:rFonts w:ascii="宋体" w:hAnsi="宋体"/>
          <w:sz w:val="24"/>
        </w:rPr>
        <w:t>报告由磋商小组成员签字</w:t>
      </w:r>
      <w:r>
        <w:rPr>
          <w:rFonts w:hint="eastAsia" w:ascii="宋体" w:hAnsi="宋体"/>
          <w:sz w:val="24"/>
        </w:rPr>
        <w:t>确认后</w:t>
      </w:r>
      <w:r>
        <w:rPr>
          <w:rFonts w:ascii="宋体" w:hAnsi="宋体"/>
          <w:sz w:val="24"/>
        </w:rPr>
        <w:t>提交。</w:t>
      </w:r>
    </w:p>
    <w:p w14:paraId="121E8357">
      <w:pPr>
        <w:spacing w:line="360" w:lineRule="auto"/>
        <w:ind w:firstLine="482" w:firstLineChars="200"/>
        <w:rPr>
          <w:rFonts w:hint="eastAsia" w:ascii="宋体" w:hAnsi="宋体"/>
          <w:b/>
          <w:sz w:val="24"/>
        </w:rPr>
      </w:pPr>
      <w:r>
        <w:rPr>
          <w:rFonts w:hint="eastAsia" w:ascii="宋体" w:hAnsi="宋体"/>
          <w:b/>
          <w:sz w:val="24"/>
        </w:rPr>
        <w:t>24.采购过程中出现以下情形，导致电子交易平台无法正常运行，或者无法保证电子交易的公平、公正和安全时，可中止电子交易活动：</w:t>
      </w:r>
    </w:p>
    <w:p w14:paraId="37A1555B">
      <w:pPr>
        <w:spacing w:line="360" w:lineRule="auto"/>
        <w:ind w:firstLine="240" w:firstLineChars="100"/>
        <w:rPr>
          <w:rFonts w:hint="eastAsia" w:ascii="宋体" w:hAnsi="宋体"/>
          <w:sz w:val="24"/>
        </w:rPr>
      </w:pPr>
      <w:r>
        <w:rPr>
          <w:rFonts w:hint="eastAsia" w:ascii="宋体" w:hAnsi="宋体"/>
          <w:sz w:val="24"/>
        </w:rPr>
        <w:t>（一）电子交易平台发生故障而无法登录访问的； </w:t>
      </w:r>
    </w:p>
    <w:p w14:paraId="4354591A">
      <w:pPr>
        <w:spacing w:line="360" w:lineRule="auto"/>
        <w:ind w:firstLine="240" w:firstLineChars="100"/>
        <w:rPr>
          <w:rFonts w:hint="eastAsia" w:ascii="宋体" w:hAnsi="宋体"/>
          <w:sz w:val="24"/>
        </w:rPr>
      </w:pPr>
      <w:r>
        <w:rPr>
          <w:rFonts w:hint="eastAsia" w:ascii="宋体" w:hAnsi="宋体"/>
          <w:sz w:val="24"/>
        </w:rPr>
        <w:t>（二）电子交易平台应用或数据库出现错误，不能进行正常操作的；</w:t>
      </w:r>
    </w:p>
    <w:p w14:paraId="15EB1A82">
      <w:pPr>
        <w:spacing w:line="360" w:lineRule="auto"/>
        <w:ind w:firstLine="240" w:firstLineChars="100"/>
        <w:rPr>
          <w:rFonts w:hint="eastAsia" w:ascii="宋体" w:hAnsi="宋体"/>
          <w:sz w:val="24"/>
        </w:rPr>
      </w:pPr>
      <w:r>
        <w:rPr>
          <w:rFonts w:hint="eastAsia" w:ascii="宋体" w:hAnsi="宋体"/>
          <w:sz w:val="24"/>
        </w:rPr>
        <w:t>（三）电子交易平台发现严重安全漏洞，有潜在泄密危险的；</w:t>
      </w:r>
    </w:p>
    <w:p w14:paraId="77649B74">
      <w:pPr>
        <w:spacing w:line="360" w:lineRule="auto"/>
        <w:ind w:firstLine="240" w:firstLineChars="100"/>
        <w:rPr>
          <w:rFonts w:hint="eastAsia" w:ascii="宋体" w:hAnsi="宋体"/>
          <w:sz w:val="24"/>
        </w:rPr>
      </w:pPr>
      <w:r>
        <w:rPr>
          <w:rFonts w:hint="eastAsia" w:ascii="宋体" w:hAnsi="宋体"/>
          <w:sz w:val="24"/>
        </w:rPr>
        <w:t>（四）病毒发作导致不能进行正常操作的； </w:t>
      </w:r>
    </w:p>
    <w:p w14:paraId="69ACB41D">
      <w:pPr>
        <w:spacing w:line="360" w:lineRule="auto"/>
        <w:ind w:firstLine="240" w:firstLineChars="100"/>
        <w:rPr>
          <w:rFonts w:hint="eastAsia" w:ascii="宋体" w:hAnsi="宋体"/>
          <w:sz w:val="24"/>
        </w:rPr>
      </w:pPr>
      <w:r>
        <w:rPr>
          <w:rFonts w:hint="eastAsia" w:ascii="宋体" w:hAnsi="宋体"/>
          <w:sz w:val="24"/>
        </w:rPr>
        <w:t>（五）其他无法保证电子交易的公平、公正和安全的情况。</w:t>
      </w:r>
    </w:p>
    <w:p w14:paraId="2186A9DC">
      <w:pPr>
        <w:spacing w:line="360" w:lineRule="auto"/>
        <w:ind w:firstLine="480" w:firstLineChars="200"/>
        <w:rPr>
          <w:rFonts w:hint="eastAsia" w:ascii="宋体" w:hAnsi="宋体"/>
          <w:sz w:val="24"/>
        </w:rPr>
      </w:pPr>
      <w:r>
        <w:rPr>
          <w:rFonts w:hint="eastAsia" w:ascii="宋体" w:hAnsi="宋体"/>
          <w:sz w:val="24"/>
        </w:rPr>
        <w:t>出现前款规定情形，不影响采购公平、公正性的，采购代理机构可以待上述情形消除后继续组织电子交易活动；影响或可能影响采购公平、公正性的，重新组织采购。</w:t>
      </w:r>
    </w:p>
    <w:p w14:paraId="462F10EC">
      <w:pPr>
        <w:spacing w:line="360" w:lineRule="auto"/>
        <w:rPr>
          <w:rFonts w:hint="eastAsia" w:ascii="宋体" w:hAnsi="宋体"/>
          <w:sz w:val="24"/>
        </w:rPr>
      </w:pPr>
      <w:r>
        <w:rPr>
          <w:rFonts w:ascii="宋体" w:hAnsi="宋体"/>
          <w:sz w:val="24"/>
        </w:rPr>
        <w:t xml:space="preserve"> </w:t>
      </w:r>
      <w:r>
        <w:rPr>
          <w:rFonts w:hint="eastAsia" w:ascii="宋体" w:hAnsi="宋体"/>
          <w:sz w:val="24"/>
        </w:rPr>
        <w:t xml:space="preserve">  25.</w:t>
      </w:r>
      <w:r>
        <w:rPr>
          <w:rFonts w:ascii="宋体" w:hAnsi="宋体"/>
          <w:sz w:val="24"/>
        </w:rPr>
        <w:t xml:space="preserve"> </w:t>
      </w:r>
      <w:r>
        <w:rPr>
          <w:rFonts w:hint="eastAsia" w:ascii="宋体" w:hAnsi="宋体"/>
          <w:sz w:val="24"/>
        </w:rPr>
        <w:t>采购代理机构或评审小组因不可抗力（不可抗力包括但不限于自然灾害、断电、传播疫病等）原因造成电子交易活动无法正常运行的，将采取以下措施：</w:t>
      </w:r>
    </w:p>
    <w:p w14:paraId="16A909D3">
      <w:pPr>
        <w:spacing w:line="360" w:lineRule="auto"/>
        <w:ind w:firstLine="360" w:firstLineChars="150"/>
        <w:rPr>
          <w:rFonts w:hint="eastAsia" w:ascii="宋体" w:hAnsi="宋体"/>
          <w:sz w:val="24"/>
        </w:rPr>
      </w:pPr>
      <w:r>
        <w:rPr>
          <w:rFonts w:hint="eastAsia" w:ascii="宋体" w:hAnsi="宋体"/>
          <w:sz w:val="24"/>
        </w:rPr>
        <w:t>⑴短时间内能消除不可抗力因素的，采购代理机构或评审小组在消除不可抗力因素后继续组织电子交易活动。</w:t>
      </w:r>
    </w:p>
    <w:p w14:paraId="6DEAA031">
      <w:pPr>
        <w:spacing w:line="360" w:lineRule="auto"/>
        <w:ind w:firstLine="360" w:firstLineChars="150"/>
        <w:rPr>
          <w:rFonts w:hint="eastAsia" w:ascii="宋体" w:hAnsi="宋体"/>
          <w:sz w:val="24"/>
        </w:rPr>
      </w:pPr>
      <w:r>
        <w:rPr>
          <w:rFonts w:hint="eastAsia" w:ascii="宋体" w:hAnsi="宋体"/>
          <w:sz w:val="24"/>
        </w:rPr>
        <w:t>⑵长时间内无法消除不可抗力因素的，采购代理机构或评审小组将中止电子交易活动。中止电子交易活动的，采购人应当重新组织政府采购活动。</w:t>
      </w:r>
    </w:p>
    <w:p w14:paraId="5D106F03">
      <w:pPr>
        <w:spacing w:line="360" w:lineRule="auto"/>
        <w:ind w:firstLine="482" w:firstLineChars="200"/>
        <w:rPr>
          <w:rFonts w:hint="eastAsia" w:ascii="宋体" w:hAnsi="宋体"/>
          <w:b/>
          <w:sz w:val="24"/>
        </w:rPr>
      </w:pPr>
      <w:r>
        <w:rPr>
          <w:rFonts w:ascii="宋体" w:hAnsi="宋体"/>
          <w:b/>
          <w:sz w:val="24"/>
        </w:rPr>
        <w:t>2</w:t>
      </w:r>
      <w:r>
        <w:rPr>
          <w:rFonts w:hint="eastAsia" w:ascii="宋体" w:hAnsi="宋体"/>
          <w:b/>
          <w:sz w:val="24"/>
        </w:rPr>
        <w:t>6</w:t>
      </w:r>
      <w:r>
        <w:rPr>
          <w:rFonts w:ascii="宋体" w:hAnsi="宋体"/>
          <w:b/>
          <w:sz w:val="24"/>
        </w:rPr>
        <w:t>.</w:t>
      </w:r>
      <w:r>
        <w:rPr>
          <w:rFonts w:hint="eastAsia" w:ascii="宋体" w:hAnsi="宋体"/>
          <w:b/>
          <w:sz w:val="24"/>
        </w:rPr>
        <w:t>保密和磋商过程的监控</w:t>
      </w:r>
    </w:p>
    <w:p w14:paraId="5A7F9FA1">
      <w:pPr>
        <w:spacing w:line="360" w:lineRule="auto"/>
        <w:ind w:firstLine="480" w:firstLineChars="200"/>
        <w:rPr>
          <w:rFonts w:hint="eastAsia" w:ascii="宋体" w:hAnsi="宋体"/>
          <w:bCs/>
          <w:sz w:val="24"/>
        </w:rPr>
      </w:pPr>
      <w:r>
        <w:rPr>
          <w:rFonts w:ascii="宋体" w:hAnsi="宋体"/>
          <w:bCs/>
          <w:sz w:val="24"/>
        </w:rPr>
        <w:t>2</w:t>
      </w:r>
      <w:r>
        <w:rPr>
          <w:rFonts w:hint="eastAsia" w:ascii="宋体" w:hAnsi="宋体"/>
          <w:bCs/>
          <w:sz w:val="24"/>
        </w:rPr>
        <w:t>6</w:t>
      </w:r>
      <w:r>
        <w:rPr>
          <w:rFonts w:ascii="宋体" w:hAnsi="宋体"/>
          <w:bCs/>
          <w:sz w:val="24"/>
        </w:rPr>
        <w:t>.1</w:t>
      </w:r>
      <w:r>
        <w:rPr>
          <w:rFonts w:hint="eastAsia" w:ascii="宋体" w:hAnsi="宋体"/>
          <w:bCs/>
          <w:sz w:val="24"/>
        </w:rPr>
        <w:t>自</w:t>
      </w:r>
      <w:r>
        <w:rPr>
          <w:rFonts w:hint="eastAsia" w:ascii="宋体" w:hAnsi="宋体"/>
          <w:sz w:val="24"/>
        </w:rPr>
        <w:t>磋商</w:t>
      </w:r>
      <w:r>
        <w:rPr>
          <w:rFonts w:hint="eastAsia" w:ascii="宋体" w:hAnsi="宋体"/>
          <w:bCs/>
          <w:sz w:val="24"/>
        </w:rPr>
        <w:t>时间起至成交公告发布时间止,凡属于审查、澄清、评估和比较</w:t>
      </w:r>
      <w:r>
        <w:rPr>
          <w:rFonts w:hint="eastAsia" w:ascii="宋体" w:hAnsi="宋体"/>
          <w:sz w:val="24"/>
        </w:rPr>
        <w:t>磋商</w:t>
      </w:r>
      <w:r>
        <w:rPr>
          <w:rFonts w:hint="eastAsia" w:ascii="宋体" w:hAnsi="宋体"/>
          <w:bCs/>
          <w:sz w:val="24"/>
        </w:rPr>
        <w:t>的有关资料，且与授予合同有关的信息都不得向任何供应商或与上述评审过程无关的人员透露。</w:t>
      </w:r>
    </w:p>
    <w:p w14:paraId="6D1BBFA6">
      <w:pPr>
        <w:spacing w:line="360" w:lineRule="auto"/>
        <w:ind w:firstLine="480" w:firstLineChars="200"/>
        <w:rPr>
          <w:rFonts w:hint="eastAsia" w:ascii="宋体" w:hAnsi="宋体"/>
          <w:sz w:val="24"/>
        </w:rPr>
      </w:pPr>
      <w:r>
        <w:rPr>
          <w:rFonts w:ascii="宋体" w:hAnsi="宋体"/>
          <w:sz w:val="24"/>
        </w:rPr>
        <w:t>2</w:t>
      </w:r>
      <w:r>
        <w:rPr>
          <w:rFonts w:hint="eastAsia" w:ascii="宋体" w:hAnsi="宋体"/>
          <w:sz w:val="24"/>
        </w:rPr>
        <w:t>6</w:t>
      </w:r>
      <w:r>
        <w:rPr>
          <w:rFonts w:ascii="宋体" w:hAnsi="宋体"/>
          <w:sz w:val="24"/>
        </w:rPr>
        <w:t>.2</w:t>
      </w:r>
      <w:r>
        <w:rPr>
          <w:rFonts w:hint="eastAsia" w:ascii="宋体" w:hAnsi="宋体"/>
          <w:sz w:val="24"/>
        </w:rPr>
        <w:t>本项目磋商过程实行全程录音、录像监控，供应商在磋商过程中所进行的试图影响评审结果的不公正行为或授予合同决定的过程施加影响的企图和行为，可能导致其磋商被拒绝。</w:t>
      </w:r>
    </w:p>
    <w:p w14:paraId="5C942D2D">
      <w:pPr>
        <w:pStyle w:val="7"/>
        <w:ind w:firstLine="301" w:firstLineChars="100"/>
        <w:rPr>
          <w:rFonts w:hint="eastAsia" w:ascii="宋体" w:hAnsi="宋体"/>
        </w:rPr>
      </w:pPr>
      <w:bookmarkStart w:id="190" w:name="_Toc390938581"/>
      <w:bookmarkStart w:id="191" w:name="_Toc11704"/>
      <w:bookmarkStart w:id="192" w:name="_Toc495479098"/>
      <w:bookmarkStart w:id="193" w:name="_Toc94277245"/>
      <w:bookmarkStart w:id="194" w:name="_Toc12591"/>
      <w:bookmarkStart w:id="195" w:name="_Toc29596"/>
      <w:bookmarkStart w:id="196" w:name="_Toc11008"/>
      <w:bookmarkStart w:id="197" w:name="_Toc28788"/>
      <w:r>
        <w:rPr>
          <w:rFonts w:hint="eastAsia" w:ascii="宋体" w:hAnsi="宋体"/>
        </w:rPr>
        <w:t>六   磋商无效的情形</w:t>
      </w:r>
      <w:bookmarkEnd w:id="190"/>
      <w:bookmarkEnd w:id="191"/>
      <w:bookmarkEnd w:id="192"/>
      <w:bookmarkEnd w:id="193"/>
      <w:bookmarkEnd w:id="194"/>
      <w:bookmarkEnd w:id="195"/>
      <w:bookmarkEnd w:id="196"/>
      <w:bookmarkEnd w:id="197"/>
    </w:p>
    <w:p w14:paraId="365CF893">
      <w:pPr>
        <w:spacing w:line="360" w:lineRule="auto"/>
        <w:ind w:firstLine="480" w:firstLineChars="200"/>
        <w:rPr>
          <w:rFonts w:ascii="宋体" w:hAnsi="宋体"/>
          <w:color w:val="auto"/>
          <w:sz w:val="24"/>
          <w:highlight w:val="none"/>
        </w:rPr>
      </w:pPr>
      <w:bookmarkStart w:id="198" w:name="_Toc390938582"/>
      <w:bookmarkStart w:id="199" w:name="_Toc20042"/>
      <w:bookmarkStart w:id="200" w:name="_Toc29518"/>
      <w:bookmarkStart w:id="201" w:name="_Toc94277246"/>
      <w:bookmarkStart w:id="202" w:name="_Toc495479099"/>
      <w:bookmarkStart w:id="203" w:name="_Toc24116"/>
      <w:r>
        <w:rPr>
          <w:rFonts w:hint="eastAsia" w:ascii="宋体" w:hAnsi="宋体"/>
          <w:color w:val="auto"/>
          <w:sz w:val="24"/>
          <w:highlight w:val="none"/>
        </w:rPr>
        <w:t>27. 实质上没有响应磋商文件要求的响应文件将被视为无效。供应商如有下列情形之一的，其磋商将被拒绝，响应文件无效：</w:t>
      </w:r>
    </w:p>
    <w:p w14:paraId="6377A184">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27.1</w:t>
      </w:r>
      <w:r>
        <w:rPr>
          <w:rFonts w:ascii="宋体" w:hAnsi="宋体"/>
          <w:color w:val="auto"/>
          <w:sz w:val="24"/>
          <w:highlight w:val="none"/>
        </w:rPr>
        <w:t xml:space="preserve"> </w:t>
      </w:r>
      <w:r>
        <w:rPr>
          <w:rFonts w:hint="eastAsia" w:ascii="宋体" w:hAnsi="宋体"/>
          <w:color w:val="auto"/>
          <w:sz w:val="24"/>
          <w:highlight w:val="none"/>
        </w:rPr>
        <w:t>电报、电话、传真形式提交响应文件的；</w:t>
      </w:r>
    </w:p>
    <w:p w14:paraId="3C75E934">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27.2 供应商没有按磋商文件规定的时间和地点提交电子响应文件的；</w:t>
      </w:r>
    </w:p>
    <w:p w14:paraId="2EF36963">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27.3未按竞争性磋商文件规定要求签署、盖章的；</w:t>
      </w:r>
    </w:p>
    <w:p w14:paraId="0074F8A3">
      <w:pPr>
        <w:spacing w:line="360" w:lineRule="auto"/>
        <w:ind w:firstLine="480" w:firstLineChars="200"/>
        <w:rPr>
          <w:rFonts w:ascii="宋体" w:hAnsi="宋体"/>
          <w:color w:val="auto"/>
          <w:sz w:val="24"/>
          <w:highlight w:val="none"/>
        </w:rPr>
      </w:pPr>
      <w:r>
        <w:rPr>
          <w:rFonts w:ascii="宋体" w:hAnsi="宋体"/>
          <w:color w:val="auto"/>
          <w:sz w:val="24"/>
          <w:highlight w:val="none"/>
        </w:rPr>
        <w:t>2</w:t>
      </w:r>
      <w:r>
        <w:rPr>
          <w:rFonts w:hint="eastAsia" w:ascii="宋体" w:hAnsi="宋体"/>
          <w:color w:val="auto"/>
          <w:sz w:val="24"/>
          <w:highlight w:val="none"/>
        </w:rPr>
        <w:t>7</w:t>
      </w:r>
      <w:r>
        <w:rPr>
          <w:rFonts w:ascii="宋体" w:hAnsi="宋体"/>
          <w:color w:val="auto"/>
          <w:sz w:val="24"/>
          <w:highlight w:val="none"/>
        </w:rPr>
        <w:t>.</w:t>
      </w:r>
      <w:r>
        <w:rPr>
          <w:rFonts w:hint="eastAsia" w:ascii="宋体" w:hAnsi="宋体"/>
          <w:color w:val="auto"/>
          <w:sz w:val="24"/>
          <w:highlight w:val="none"/>
        </w:rPr>
        <w:t>4不具备竞争性磋商文件规定的资格要求的；</w:t>
      </w:r>
    </w:p>
    <w:p w14:paraId="0672DE89">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27.5磋商有效期不足的；</w:t>
      </w:r>
    </w:p>
    <w:p w14:paraId="7219DCF2">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27.6资格审查中（适用于专门面向中小企业项目），发现《中小企业声明函》填写的企业类型错误的；填写行业明显错误（错填为“采购文件确定的行业”的除外）或者未填写行业的；本年度新成立的公司，未对企业类型以及是否与大企业的负责人为同一人，或者是否与大企业存在直接控股、管理关系进行声明的；制造厂商在声明函中表示使用他人授权品牌或者授权他人实际生产的。</w:t>
      </w:r>
    </w:p>
    <w:p w14:paraId="02E5B09F">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27.7磋商小组在符合性审查中，发现与磋商文件有重大偏离、未满足“▲”实质性要求的，经采购人代表确认后不作变动的；</w:t>
      </w:r>
    </w:p>
    <w:p w14:paraId="6E9D1645">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27.8</w:t>
      </w:r>
      <w:r>
        <w:rPr>
          <w:rFonts w:hint="eastAsia" w:ascii="宋体" w:hAnsi="宋体" w:cs="宋体"/>
          <w:color w:val="auto"/>
          <w:sz w:val="24"/>
          <w:highlight w:val="none"/>
        </w:rPr>
        <w:t>响应文件出现两个或两个以上投标方案的；</w:t>
      </w:r>
    </w:p>
    <w:p w14:paraId="26660450">
      <w:pPr>
        <w:spacing w:line="360" w:lineRule="auto"/>
        <w:ind w:firstLine="480" w:firstLineChars="200"/>
        <w:rPr>
          <w:rFonts w:ascii="宋体" w:hAnsi="宋体"/>
          <w:color w:val="auto"/>
          <w:sz w:val="24"/>
          <w:highlight w:val="none"/>
        </w:rPr>
      </w:pPr>
      <w:r>
        <w:rPr>
          <w:rFonts w:ascii="宋体" w:hAnsi="宋体"/>
          <w:color w:val="auto"/>
          <w:sz w:val="24"/>
          <w:highlight w:val="none"/>
        </w:rPr>
        <w:t>2</w:t>
      </w:r>
      <w:r>
        <w:rPr>
          <w:rFonts w:hint="eastAsia" w:ascii="宋体" w:hAnsi="宋体"/>
          <w:color w:val="auto"/>
          <w:sz w:val="24"/>
          <w:highlight w:val="none"/>
        </w:rPr>
        <w:t>7</w:t>
      </w:r>
      <w:r>
        <w:rPr>
          <w:rFonts w:ascii="宋体" w:hAnsi="宋体"/>
          <w:color w:val="auto"/>
          <w:sz w:val="24"/>
          <w:highlight w:val="none"/>
        </w:rPr>
        <w:t>.</w:t>
      </w:r>
      <w:r>
        <w:rPr>
          <w:rFonts w:hint="eastAsia" w:ascii="宋体" w:hAnsi="宋体"/>
          <w:color w:val="auto"/>
          <w:sz w:val="24"/>
          <w:highlight w:val="none"/>
        </w:rPr>
        <w:t>9响应</w:t>
      </w:r>
      <w:r>
        <w:rPr>
          <w:rFonts w:ascii="宋体" w:hAnsi="宋体"/>
          <w:color w:val="auto"/>
          <w:sz w:val="24"/>
          <w:highlight w:val="none"/>
        </w:rPr>
        <w:t>文件含有采购人不能接受的附加</w:t>
      </w:r>
      <w:r>
        <w:rPr>
          <w:rFonts w:hint="eastAsia" w:ascii="宋体" w:hAnsi="宋体"/>
          <w:color w:val="auto"/>
          <w:sz w:val="24"/>
          <w:highlight w:val="none"/>
        </w:rPr>
        <w:t>条款</w:t>
      </w:r>
      <w:r>
        <w:rPr>
          <w:rFonts w:ascii="宋体" w:hAnsi="宋体"/>
          <w:color w:val="auto"/>
          <w:sz w:val="24"/>
          <w:highlight w:val="none"/>
        </w:rPr>
        <w:t>的</w:t>
      </w:r>
      <w:r>
        <w:rPr>
          <w:rFonts w:hint="eastAsia" w:ascii="宋体" w:hAnsi="宋体"/>
          <w:color w:val="auto"/>
          <w:sz w:val="24"/>
          <w:highlight w:val="none"/>
        </w:rPr>
        <w:t>；</w:t>
      </w:r>
    </w:p>
    <w:p w14:paraId="20883554">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27.10最终报价高于磋商文件中规定的预算金额或者最高限价的；</w:t>
      </w:r>
    </w:p>
    <w:p w14:paraId="291A488A">
      <w:pPr>
        <w:spacing w:line="360" w:lineRule="auto"/>
        <w:ind w:firstLine="482" w:firstLineChars="200"/>
        <w:rPr>
          <w:rFonts w:ascii="宋体" w:hAnsi="宋体"/>
          <w:b/>
          <w:color w:val="auto"/>
          <w:sz w:val="24"/>
          <w:highlight w:val="none"/>
        </w:rPr>
      </w:pPr>
      <w:r>
        <w:rPr>
          <w:rFonts w:hint="eastAsia" w:ascii="宋体" w:hAnsi="宋体"/>
          <w:b/>
          <w:color w:val="auto"/>
          <w:sz w:val="24"/>
          <w:highlight w:val="none"/>
        </w:rPr>
        <w:t>27.11磋商文件中未要求，但供应商给予赠品、回扣或与采购无关的其他商品、服务的。</w:t>
      </w:r>
    </w:p>
    <w:p w14:paraId="45591BA4">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27.</w:t>
      </w:r>
      <w:r>
        <w:rPr>
          <w:rFonts w:ascii="宋体" w:hAnsi="宋体"/>
          <w:color w:val="auto"/>
          <w:sz w:val="24"/>
          <w:highlight w:val="none"/>
        </w:rPr>
        <w:t>1</w:t>
      </w:r>
      <w:r>
        <w:rPr>
          <w:rFonts w:hint="eastAsia" w:ascii="宋体" w:hAnsi="宋体"/>
          <w:color w:val="auto"/>
          <w:sz w:val="24"/>
          <w:highlight w:val="none"/>
        </w:rPr>
        <w:t>2磋商报价存在漏项或报价数量少于采购要求的；</w:t>
      </w:r>
    </w:p>
    <w:p w14:paraId="78C61884">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27.13</w:t>
      </w:r>
      <w:r>
        <w:rPr>
          <w:rFonts w:hint="eastAsia" w:ascii="宋体" w:hAnsi="宋体" w:cs="宋体"/>
          <w:color w:val="auto"/>
          <w:sz w:val="24"/>
          <w:highlight w:val="none"/>
        </w:rPr>
        <w:t>报价文件中出现 “0元”或“免费赠送”等形式的无偿报价的；</w:t>
      </w:r>
    </w:p>
    <w:p w14:paraId="20965006">
      <w:pPr>
        <w:spacing w:line="360" w:lineRule="auto"/>
        <w:ind w:firstLine="482" w:firstLineChars="200"/>
        <w:rPr>
          <w:rFonts w:ascii="宋体" w:hAnsi="宋体"/>
          <w:b/>
          <w:color w:val="auto"/>
          <w:sz w:val="24"/>
          <w:highlight w:val="none"/>
        </w:rPr>
      </w:pPr>
      <w:r>
        <w:rPr>
          <w:rFonts w:hint="eastAsia" w:ascii="宋体" w:hAnsi="宋体"/>
          <w:b/>
          <w:color w:val="auto"/>
          <w:sz w:val="24"/>
          <w:highlight w:val="none"/>
        </w:rPr>
        <w:t>27.14报价明显低于其他通过符合性审查供应商的报价，有可能影响产品质量或者不能诚信履约的，供应商代表应在磋商小组规定的时间内通过电子交易平台提交说明，必要时提交相关证明材料；供应商不能证明其报价合理性的，磋商小组应当将其作为无效磋商处理。</w:t>
      </w:r>
    </w:p>
    <w:p w14:paraId="000D0A72">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27.15供应商已明知采购期间或之后企业将发生兼并改制，或提供的产品将停产、淘汰，或必须有偿使用专供的备品备件和试剂耗材的，及其他应当告知采购人可能影响采购项目实施或损害采购人利益的信息，不在响应文件中予以特别说明的；</w:t>
      </w:r>
    </w:p>
    <w:p w14:paraId="64B8C204">
      <w:pPr>
        <w:spacing w:line="360" w:lineRule="auto"/>
        <w:ind w:firstLine="480" w:firstLineChars="200"/>
        <w:rPr>
          <w:rFonts w:ascii="宋体" w:hAnsi="宋体"/>
          <w:color w:val="auto"/>
          <w:kern w:val="0"/>
          <w:sz w:val="24"/>
          <w:highlight w:val="none"/>
        </w:rPr>
      </w:pPr>
      <w:r>
        <w:rPr>
          <w:rFonts w:hint="eastAsia" w:ascii="宋体" w:hAnsi="宋体"/>
          <w:color w:val="auto"/>
          <w:kern w:val="0"/>
          <w:sz w:val="24"/>
          <w:highlight w:val="none"/>
        </w:rPr>
        <w:t>27.16</w:t>
      </w:r>
      <w:r>
        <w:rPr>
          <w:rFonts w:hint="eastAsia" w:ascii="宋体" w:hAnsi="宋体"/>
          <w:color w:val="auto"/>
          <w:sz w:val="24"/>
          <w:highlight w:val="none"/>
        </w:rPr>
        <w:t>提供虚假材料谋取成交的；</w:t>
      </w:r>
    </w:p>
    <w:p w14:paraId="5AB780D3">
      <w:pPr>
        <w:spacing w:line="360" w:lineRule="auto"/>
        <w:ind w:firstLine="480" w:firstLineChars="200"/>
        <w:rPr>
          <w:rFonts w:hint="eastAsia" w:ascii="宋体" w:hAnsi="宋体"/>
          <w:b/>
          <w:color w:val="auto"/>
          <w:sz w:val="24"/>
          <w:highlight w:val="none"/>
          <w:shd w:val="pct15" w:color="auto" w:fill="FFFFFF"/>
        </w:rPr>
      </w:pPr>
      <w:r>
        <w:rPr>
          <w:rFonts w:hint="eastAsia" w:ascii="宋体" w:hAnsi="宋体"/>
          <w:color w:val="auto"/>
          <w:sz w:val="24"/>
          <w:highlight w:val="none"/>
        </w:rPr>
        <w:t>27.17不按磋商文件和成交人的响应文件订立合同，或者与采购人另行订立背离合同实质性内容的协议的；</w:t>
      </w:r>
    </w:p>
    <w:p w14:paraId="46CC121B">
      <w:pPr>
        <w:spacing w:line="360" w:lineRule="auto"/>
        <w:ind w:firstLine="482" w:firstLineChars="200"/>
        <w:rPr>
          <w:rFonts w:ascii="宋体" w:hAnsi="宋体"/>
          <w:b/>
          <w:color w:val="auto"/>
          <w:sz w:val="24"/>
          <w:highlight w:val="none"/>
          <w:shd w:val="pct15" w:color="auto" w:fill="FFFFFF"/>
        </w:rPr>
      </w:pPr>
      <w:r>
        <w:rPr>
          <w:rFonts w:hint="eastAsia" w:ascii="宋体" w:hAnsi="宋体"/>
          <w:b/>
          <w:color w:val="auto"/>
          <w:sz w:val="24"/>
          <w:highlight w:val="none"/>
          <w:shd w:val="pct15" w:color="auto" w:fill="FFFFFF"/>
        </w:rPr>
        <w:t>27.18不同供应商IP地址相同的，且无法合理解释的；</w:t>
      </w:r>
    </w:p>
    <w:p w14:paraId="367ED37C">
      <w:pPr>
        <w:spacing w:line="360" w:lineRule="auto"/>
        <w:ind w:firstLine="482" w:firstLineChars="200"/>
        <w:rPr>
          <w:rFonts w:ascii="宋体" w:hAnsi="宋体"/>
          <w:b/>
          <w:color w:val="auto"/>
          <w:sz w:val="24"/>
          <w:highlight w:val="none"/>
          <w:shd w:val="pct15" w:color="auto" w:fill="FFFFFF"/>
        </w:rPr>
      </w:pPr>
      <w:r>
        <w:rPr>
          <w:rFonts w:hint="eastAsia" w:ascii="宋体" w:hAnsi="宋体"/>
          <w:b/>
          <w:color w:val="auto"/>
          <w:sz w:val="24"/>
          <w:highlight w:val="none"/>
          <w:shd w:val="pct15" w:color="auto" w:fill="FFFFFF"/>
        </w:rPr>
        <w:t>27.19不同供应商的电子响应文件上传计算机的网卡MAC地址或硬盘序列号等硬件信息相同，且无法合理解释的；</w:t>
      </w:r>
    </w:p>
    <w:p w14:paraId="7DC851D7">
      <w:pPr>
        <w:spacing w:line="360" w:lineRule="auto"/>
        <w:ind w:firstLine="482" w:firstLineChars="200"/>
        <w:rPr>
          <w:rFonts w:hint="eastAsia" w:ascii="宋体" w:hAnsi="宋体"/>
          <w:b/>
          <w:color w:val="auto"/>
          <w:sz w:val="24"/>
          <w:highlight w:val="none"/>
          <w:shd w:val="pct15" w:color="auto" w:fill="FFFFFF"/>
        </w:rPr>
      </w:pPr>
      <w:r>
        <w:rPr>
          <w:rFonts w:hint="eastAsia" w:ascii="宋体" w:hAnsi="宋体"/>
          <w:b/>
          <w:color w:val="auto"/>
          <w:sz w:val="24"/>
          <w:highlight w:val="none"/>
          <w:shd w:val="pct15" w:color="auto" w:fill="FFFFFF"/>
        </w:rPr>
        <w:t>27.20上传的电子响应文件若出现使用本项目其他供应商的数字证书加密，或者加盖本项目其他供应商的电子印章，且无法合理解释的；</w:t>
      </w:r>
    </w:p>
    <w:p w14:paraId="632CDF31">
      <w:pPr>
        <w:spacing w:line="360" w:lineRule="auto"/>
        <w:ind w:firstLine="482" w:firstLineChars="200"/>
        <w:rPr>
          <w:rFonts w:hint="eastAsia" w:ascii="宋体" w:hAnsi="宋体"/>
          <w:b/>
          <w:color w:val="auto"/>
          <w:sz w:val="24"/>
          <w:highlight w:val="none"/>
          <w:shd w:val="pct15" w:color="auto" w:fill="FFFFFF"/>
        </w:rPr>
      </w:pPr>
      <w:r>
        <w:rPr>
          <w:rFonts w:hint="eastAsia" w:ascii="宋体" w:hAnsi="宋体"/>
          <w:b/>
          <w:color w:val="auto"/>
          <w:sz w:val="24"/>
          <w:highlight w:val="none"/>
          <w:shd w:val="pct15" w:color="auto" w:fill="FFFFFF"/>
        </w:rPr>
        <w:t>27.21不同供应商的响应文件的内容存在3处（含）以上错误一致，且无法合理解释的；</w:t>
      </w:r>
    </w:p>
    <w:p w14:paraId="08F88BC2">
      <w:pPr>
        <w:spacing w:line="360" w:lineRule="auto"/>
        <w:ind w:firstLine="482" w:firstLineChars="200"/>
        <w:rPr>
          <w:rFonts w:hint="eastAsia" w:ascii="宋体" w:hAnsi="宋体" w:eastAsia="宋体"/>
          <w:b/>
          <w:color w:val="auto"/>
          <w:sz w:val="24"/>
          <w:highlight w:val="none"/>
          <w:shd w:val="pct15" w:color="auto" w:fill="FFFFFF"/>
          <w:lang w:eastAsia="zh-CN"/>
        </w:rPr>
      </w:pPr>
      <w:r>
        <w:rPr>
          <w:rFonts w:hint="eastAsia" w:ascii="宋体" w:hAnsi="宋体"/>
          <w:b/>
          <w:color w:val="auto"/>
          <w:sz w:val="24"/>
          <w:highlight w:val="none"/>
          <w:shd w:val="pct15" w:color="auto" w:fill="FFFFFF"/>
        </w:rPr>
        <w:t>27.22 不同供应商的联系人为同一人或不同联系人的联系电话一致，且无法合理解释的</w:t>
      </w:r>
      <w:r>
        <w:rPr>
          <w:rFonts w:hint="eastAsia" w:ascii="宋体" w:hAnsi="宋体"/>
          <w:b/>
          <w:color w:val="auto"/>
          <w:sz w:val="24"/>
          <w:highlight w:val="none"/>
          <w:shd w:val="pct15" w:color="auto" w:fill="FFFFFF"/>
          <w:lang w:eastAsia="zh-CN"/>
        </w:rPr>
        <w:t>；</w:t>
      </w:r>
    </w:p>
    <w:p w14:paraId="167B22B1">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27.23 磋商文件规定的其他响应文件无效情形。</w:t>
      </w:r>
    </w:p>
    <w:p w14:paraId="1CB04C95">
      <w:pPr>
        <w:pStyle w:val="7"/>
        <w:ind w:firstLine="643"/>
        <w:rPr>
          <w:rFonts w:hint="eastAsia" w:ascii="宋体" w:hAnsi="宋体"/>
          <w:b w:val="0"/>
          <w:bCs w:val="0"/>
          <w:sz w:val="32"/>
        </w:rPr>
      </w:pPr>
      <w:bookmarkStart w:id="204" w:name="_Toc2093"/>
      <w:bookmarkStart w:id="205" w:name="_Toc29181"/>
      <w:r>
        <w:rPr>
          <w:rFonts w:hint="eastAsia" w:ascii="宋体" w:hAnsi="宋体"/>
          <w:sz w:val="32"/>
        </w:rPr>
        <w:t>七   法律责任</w:t>
      </w:r>
      <w:bookmarkEnd w:id="198"/>
      <w:bookmarkEnd w:id="199"/>
      <w:bookmarkEnd w:id="200"/>
      <w:bookmarkEnd w:id="201"/>
      <w:bookmarkEnd w:id="202"/>
      <w:bookmarkEnd w:id="203"/>
      <w:bookmarkEnd w:id="204"/>
      <w:bookmarkEnd w:id="205"/>
    </w:p>
    <w:p w14:paraId="3276BCB5">
      <w:pPr>
        <w:spacing w:line="360" w:lineRule="auto"/>
        <w:ind w:firstLine="480" w:firstLineChars="200"/>
        <w:rPr>
          <w:rFonts w:hint="eastAsia" w:ascii="宋体" w:hAnsi="宋体"/>
          <w:sz w:val="24"/>
        </w:rPr>
      </w:pPr>
      <w:bookmarkStart w:id="206" w:name="_Toc390938583"/>
      <w:r>
        <w:rPr>
          <w:rFonts w:hint="eastAsia" w:ascii="宋体" w:hAnsi="宋体"/>
          <w:sz w:val="24"/>
        </w:rPr>
        <w:t>28.</w:t>
      </w:r>
      <w:r>
        <w:rPr>
          <w:rFonts w:ascii="宋体" w:hAnsi="宋体"/>
          <w:sz w:val="24"/>
        </w:rPr>
        <w:t xml:space="preserve"> </w:t>
      </w:r>
      <w:r>
        <w:rPr>
          <w:rFonts w:hint="eastAsia" w:ascii="宋体" w:hAnsi="宋体"/>
          <w:sz w:val="24"/>
        </w:rPr>
        <w:t>供应商有下列情形之一的，处以政府采购项目成交金额千分之五以上千分之十以下的罚款，列入不良行为记录名单，在一至三年内禁止参加政府采购活动，并予以公告，有违法所得的，并处没收违法所得，情节严重的，由市场监管部门吊销营业执照；构成犯罪的，依法追究刑事责任：</w:t>
      </w:r>
    </w:p>
    <w:p w14:paraId="103237A9">
      <w:pPr>
        <w:spacing w:line="360" w:lineRule="auto"/>
        <w:ind w:firstLine="480" w:firstLineChars="200"/>
        <w:rPr>
          <w:rFonts w:hint="eastAsia" w:ascii="宋体" w:hAnsi="宋体"/>
          <w:sz w:val="24"/>
        </w:rPr>
      </w:pPr>
      <w:r>
        <w:rPr>
          <w:rFonts w:hint="eastAsia" w:ascii="宋体" w:hAnsi="宋体"/>
          <w:sz w:val="24"/>
        </w:rPr>
        <w:t>28.1</w:t>
      </w:r>
      <w:r>
        <w:rPr>
          <w:rFonts w:ascii="宋体" w:hAnsi="宋体"/>
          <w:sz w:val="24"/>
        </w:rPr>
        <w:t xml:space="preserve"> </w:t>
      </w:r>
      <w:r>
        <w:rPr>
          <w:rFonts w:hint="eastAsia" w:ascii="宋体" w:hAnsi="宋体"/>
          <w:sz w:val="24"/>
        </w:rPr>
        <w:t>提供虚假材料谋取成交的；</w:t>
      </w:r>
    </w:p>
    <w:p w14:paraId="718E01F1">
      <w:pPr>
        <w:spacing w:line="360" w:lineRule="auto"/>
        <w:ind w:firstLine="480" w:firstLineChars="200"/>
        <w:rPr>
          <w:rFonts w:hint="eastAsia" w:ascii="宋体" w:hAnsi="宋体"/>
          <w:sz w:val="24"/>
        </w:rPr>
      </w:pPr>
      <w:r>
        <w:rPr>
          <w:rFonts w:hint="eastAsia" w:ascii="宋体" w:hAnsi="宋体"/>
          <w:sz w:val="24"/>
        </w:rPr>
        <w:t>28.2</w:t>
      </w:r>
      <w:r>
        <w:rPr>
          <w:rFonts w:ascii="宋体" w:hAnsi="宋体"/>
          <w:sz w:val="24"/>
        </w:rPr>
        <w:t xml:space="preserve"> </w:t>
      </w:r>
      <w:r>
        <w:rPr>
          <w:rFonts w:hint="eastAsia" w:ascii="宋体" w:hAnsi="宋体"/>
          <w:sz w:val="24"/>
        </w:rPr>
        <w:t>采取不正当手段诋毁、排挤其他供应商的；</w:t>
      </w:r>
    </w:p>
    <w:p w14:paraId="6FED798D">
      <w:pPr>
        <w:spacing w:line="360" w:lineRule="auto"/>
        <w:ind w:firstLine="480" w:firstLineChars="200"/>
        <w:rPr>
          <w:rFonts w:hint="eastAsia" w:ascii="宋体" w:hAnsi="宋体"/>
          <w:sz w:val="24"/>
        </w:rPr>
      </w:pPr>
      <w:r>
        <w:rPr>
          <w:rFonts w:hint="eastAsia" w:ascii="宋体" w:hAnsi="宋体"/>
          <w:sz w:val="24"/>
        </w:rPr>
        <w:t>28.3</w:t>
      </w:r>
      <w:r>
        <w:rPr>
          <w:rFonts w:ascii="宋体" w:hAnsi="宋体"/>
          <w:sz w:val="24"/>
        </w:rPr>
        <w:t xml:space="preserve"> </w:t>
      </w:r>
      <w:r>
        <w:rPr>
          <w:rFonts w:hint="eastAsia" w:ascii="宋体" w:hAnsi="宋体"/>
          <w:sz w:val="24"/>
        </w:rPr>
        <w:t>与采购人、其他供应商或者采购代理机构恶意串通的；</w:t>
      </w:r>
    </w:p>
    <w:p w14:paraId="045D11EF">
      <w:pPr>
        <w:spacing w:line="360" w:lineRule="auto"/>
        <w:ind w:firstLine="480" w:firstLineChars="200"/>
        <w:rPr>
          <w:rFonts w:hint="eastAsia" w:ascii="宋体" w:hAnsi="宋体"/>
          <w:sz w:val="24"/>
        </w:rPr>
      </w:pPr>
      <w:r>
        <w:rPr>
          <w:rFonts w:hint="eastAsia" w:ascii="宋体" w:hAnsi="宋体"/>
          <w:sz w:val="24"/>
        </w:rPr>
        <w:t>28.4</w:t>
      </w:r>
      <w:r>
        <w:rPr>
          <w:rFonts w:ascii="宋体" w:hAnsi="宋体"/>
          <w:sz w:val="24"/>
        </w:rPr>
        <w:t xml:space="preserve"> </w:t>
      </w:r>
      <w:r>
        <w:rPr>
          <w:rFonts w:hint="eastAsia" w:ascii="宋体" w:hAnsi="宋体"/>
          <w:sz w:val="24"/>
        </w:rPr>
        <w:t>向采购人、采购代理机构行贿或者提供其他不正当利益的；</w:t>
      </w:r>
    </w:p>
    <w:p w14:paraId="0185AD1C">
      <w:pPr>
        <w:spacing w:line="360" w:lineRule="auto"/>
        <w:ind w:firstLine="480" w:firstLineChars="200"/>
        <w:rPr>
          <w:rFonts w:hint="eastAsia" w:ascii="宋体" w:hAnsi="宋体"/>
          <w:sz w:val="24"/>
        </w:rPr>
      </w:pPr>
      <w:r>
        <w:rPr>
          <w:rFonts w:hint="eastAsia" w:ascii="宋体" w:hAnsi="宋体"/>
          <w:sz w:val="24"/>
        </w:rPr>
        <w:t>28.5</w:t>
      </w:r>
      <w:r>
        <w:rPr>
          <w:rFonts w:ascii="宋体" w:hAnsi="宋体"/>
          <w:sz w:val="24"/>
        </w:rPr>
        <w:t xml:space="preserve"> </w:t>
      </w:r>
      <w:r>
        <w:rPr>
          <w:rFonts w:hint="eastAsia" w:ascii="宋体" w:hAnsi="宋体"/>
          <w:sz w:val="24"/>
        </w:rPr>
        <w:t>在采购过程中与采购人进行协商谈判的；</w:t>
      </w:r>
    </w:p>
    <w:p w14:paraId="004EAFE4">
      <w:pPr>
        <w:spacing w:line="360" w:lineRule="auto"/>
        <w:ind w:firstLine="480" w:firstLineChars="200"/>
        <w:rPr>
          <w:rFonts w:hint="eastAsia" w:ascii="宋体" w:hAnsi="宋体"/>
          <w:sz w:val="24"/>
        </w:rPr>
      </w:pPr>
      <w:r>
        <w:rPr>
          <w:rFonts w:hint="eastAsia" w:ascii="宋体" w:hAnsi="宋体"/>
          <w:sz w:val="24"/>
        </w:rPr>
        <w:t>28.6</w:t>
      </w:r>
      <w:r>
        <w:rPr>
          <w:rFonts w:ascii="宋体" w:hAnsi="宋体"/>
          <w:sz w:val="24"/>
        </w:rPr>
        <w:t xml:space="preserve"> </w:t>
      </w:r>
      <w:r>
        <w:rPr>
          <w:rFonts w:hint="eastAsia" w:ascii="宋体" w:hAnsi="宋体"/>
          <w:sz w:val="24"/>
        </w:rPr>
        <w:t>拒绝有关部门监督检查或者提供虚假情况的；</w:t>
      </w:r>
    </w:p>
    <w:p w14:paraId="65BE7174">
      <w:pPr>
        <w:spacing w:line="360" w:lineRule="auto"/>
        <w:ind w:firstLine="480" w:firstLineChars="200"/>
        <w:rPr>
          <w:rFonts w:hint="eastAsia" w:ascii="宋体" w:hAnsi="宋体"/>
          <w:sz w:val="24"/>
        </w:rPr>
      </w:pPr>
      <w:r>
        <w:rPr>
          <w:rFonts w:hint="eastAsia" w:ascii="宋体" w:hAnsi="宋体"/>
          <w:sz w:val="24"/>
        </w:rPr>
        <w:t>供应商有前款28.1至28.5项情形之一的，成交无效。</w:t>
      </w:r>
    </w:p>
    <w:p w14:paraId="56135A3F">
      <w:pPr>
        <w:spacing w:line="360" w:lineRule="auto"/>
        <w:ind w:firstLine="480" w:firstLineChars="200"/>
        <w:rPr>
          <w:rFonts w:hint="eastAsia" w:ascii="宋体" w:hAnsi="宋体"/>
          <w:sz w:val="24"/>
        </w:rPr>
      </w:pPr>
      <w:r>
        <w:rPr>
          <w:rFonts w:hint="eastAsia" w:ascii="宋体" w:hAnsi="宋体"/>
          <w:sz w:val="24"/>
        </w:rPr>
        <w:t>29.</w:t>
      </w:r>
      <w:r>
        <w:rPr>
          <w:rFonts w:ascii="宋体" w:hAnsi="宋体"/>
          <w:sz w:val="24"/>
        </w:rPr>
        <w:t xml:space="preserve"> </w:t>
      </w:r>
      <w:r>
        <w:rPr>
          <w:rFonts w:hint="eastAsia" w:ascii="宋体" w:hAnsi="宋体"/>
          <w:sz w:val="24"/>
        </w:rPr>
        <w:t>供应商有下列情形之一的，依照政府采购法第七十七条第一款的规定追究法律责任：</w:t>
      </w:r>
    </w:p>
    <w:p w14:paraId="3F7A14EE">
      <w:pPr>
        <w:spacing w:line="360" w:lineRule="auto"/>
        <w:ind w:firstLine="480" w:firstLineChars="200"/>
        <w:rPr>
          <w:rFonts w:hint="eastAsia" w:ascii="宋体" w:hAnsi="宋体"/>
          <w:sz w:val="24"/>
        </w:rPr>
      </w:pPr>
      <w:r>
        <w:rPr>
          <w:rFonts w:hint="eastAsia" w:ascii="宋体" w:hAnsi="宋体"/>
          <w:sz w:val="24"/>
        </w:rPr>
        <w:t>29.1</w:t>
      </w:r>
      <w:r>
        <w:rPr>
          <w:rFonts w:ascii="宋体" w:hAnsi="宋体"/>
          <w:sz w:val="24"/>
        </w:rPr>
        <w:t xml:space="preserve"> </w:t>
      </w:r>
      <w:r>
        <w:rPr>
          <w:rFonts w:hint="eastAsia" w:ascii="宋体" w:hAnsi="宋体"/>
          <w:sz w:val="24"/>
        </w:rPr>
        <w:t>向磋商小组或者磋商小组成员行贿或者提供其他不正当利益；</w:t>
      </w:r>
    </w:p>
    <w:p w14:paraId="4981B378">
      <w:pPr>
        <w:spacing w:line="360" w:lineRule="auto"/>
        <w:ind w:firstLine="480" w:firstLineChars="200"/>
        <w:rPr>
          <w:rFonts w:hint="eastAsia" w:ascii="宋体" w:hAnsi="宋体"/>
          <w:sz w:val="24"/>
        </w:rPr>
      </w:pPr>
      <w:r>
        <w:rPr>
          <w:rFonts w:hint="eastAsia" w:ascii="宋体" w:hAnsi="宋体"/>
          <w:sz w:val="24"/>
        </w:rPr>
        <w:t>29.2</w:t>
      </w:r>
      <w:r>
        <w:rPr>
          <w:rFonts w:ascii="宋体" w:hAnsi="宋体"/>
          <w:sz w:val="24"/>
        </w:rPr>
        <w:t xml:space="preserve"> </w:t>
      </w:r>
      <w:r>
        <w:rPr>
          <w:rFonts w:hint="eastAsia" w:ascii="宋体" w:hAnsi="宋体"/>
          <w:sz w:val="24"/>
        </w:rPr>
        <w:t>成交或者成交后无正当理由拒不与采购人签订政府采购合同；</w:t>
      </w:r>
    </w:p>
    <w:p w14:paraId="0FCEE79A">
      <w:pPr>
        <w:spacing w:line="360" w:lineRule="auto"/>
        <w:ind w:firstLine="480" w:firstLineChars="200"/>
        <w:rPr>
          <w:rFonts w:hint="eastAsia" w:ascii="宋体" w:hAnsi="宋体"/>
          <w:sz w:val="24"/>
        </w:rPr>
      </w:pPr>
      <w:r>
        <w:rPr>
          <w:rFonts w:hint="eastAsia" w:ascii="宋体" w:hAnsi="宋体"/>
          <w:sz w:val="24"/>
        </w:rPr>
        <w:t>29.3</w:t>
      </w:r>
      <w:r>
        <w:rPr>
          <w:rFonts w:ascii="宋体" w:hAnsi="宋体"/>
          <w:sz w:val="24"/>
        </w:rPr>
        <w:t xml:space="preserve"> </w:t>
      </w:r>
      <w:r>
        <w:rPr>
          <w:rFonts w:hint="eastAsia" w:ascii="宋体" w:hAnsi="宋体"/>
          <w:sz w:val="24"/>
        </w:rPr>
        <w:t>未按照磋商文件确定的事项签订政府采购合同；</w:t>
      </w:r>
    </w:p>
    <w:p w14:paraId="0F97ACBB">
      <w:pPr>
        <w:spacing w:line="360" w:lineRule="auto"/>
        <w:ind w:firstLine="480" w:firstLineChars="200"/>
        <w:rPr>
          <w:rFonts w:hint="eastAsia" w:ascii="宋体" w:hAnsi="宋体"/>
          <w:sz w:val="24"/>
        </w:rPr>
      </w:pPr>
      <w:r>
        <w:rPr>
          <w:rFonts w:hint="eastAsia" w:ascii="宋体" w:hAnsi="宋体"/>
          <w:sz w:val="24"/>
        </w:rPr>
        <w:t>29.4</w:t>
      </w:r>
      <w:r>
        <w:rPr>
          <w:rFonts w:ascii="宋体" w:hAnsi="宋体"/>
          <w:sz w:val="24"/>
        </w:rPr>
        <w:t xml:space="preserve"> </w:t>
      </w:r>
      <w:r>
        <w:rPr>
          <w:rFonts w:hint="eastAsia" w:ascii="宋体" w:hAnsi="宋体"/>
          <w:sz w:val="24"/>
        </w:rPr>
        <w:t>将政府采购合同转包；</w:t>
      </w:r>
    </w:p>
    <w:p w14:paraId="48CA34BC">
      <w:pPr>
        <w:spacing w:line="360" w:lineRule="auto"/>
        <w:ind w:firstLine="480" w:firstLineChars="200"/>
        <w:rPr>
          <w:rFonts w:hint="eastAsia" w:ascii="宋体" w:hAnsi="宋体"/>
          <w:sz w:val="24"/>
        </w:rPr>
      </w:pPr>
      <w:r>
        <w:rPr>
          <w:rFonts w:hint="eastAsia" w:ascii="宋体" w:hAnsi="宋体"/>
          <w:sz w:val="24"/>
        </w:rPr>
        <w:t>29.5</w:t>
      </w:r>
      <w:r>
        <w:rPr>
          <w:rFonts w:ascii="宋体" w:hAnsi="宋体"/>
          <w:sz w:val="24"/>
        </w:rPr>
        <w:t xml:space="preserve"> </w:t>
      </w:r>
      <w:r>
        <w:rPr>
          <w:rFonts w:hint="eastAsia" w:ascii="宋体" w:hAnsi="宋体"/>
          <w:sz w:val="24"/>
        </w:rPr>
        <w:t>提供假冒伪劣产品；</w:t>
      </w:r>
    </w:p>
    <w:p w14:paraId="1055EFFC">
      <w:pPr>
        <w:spacing w:line="360" w:lineRule="auto"/>
        <w:ind w:firstLine="480" w:firstLineChars="200"/>
        <w:rPr>
          <w:rFonts w:hint="eastAsia" w:ascii="宋体" w:hAnsi="宋体"/>
          <w:sz w:val="24"/>
        </w:rPr>
      </w:pPr>
      <w:r>
        <w:rPr>
          <w:rFonts w:hint="eastAsia" w:ascii="宋体" w:hAnsi="宋体"/>
          <w:sz w:val="24"/>
        </w:rPr>
        <w:t>29.6</w:t>
      </w:r>
      <w:r>
        <w:rPr>
          <w:rFonts w:ascii="宋体" w:hAnsi="宋体"/>
          <w:sz w:val="24"/>
        </w:rPr>
        <w:t xml:space="preserve"> </w:t>
      </w:r>
      <w:r>
        <w:rPr>
          <w:rFonts w:hint="eastAsia" w:ascii="宋体" w:hAnsi="宋体"/>
          <w:sz w:val="24"/>
        </w:rPr>
        <w:t>擅自变更、中止或者终止政府采购合同。</w:t>
      </w:r>
    </w:p>
    <w:p w14:paraId="4BE4484D">
      <w:pPr>
        <w:spacing w:line="360" w:lineRule="auto"/>
        <w:ind w:firstLine="480" w:firstLineChars="200"/>
        <w:rPr>
          <w:rFonts w:hint="eastAsia" w:ascii="宋体" w:hAnsi="宋体"/>
          <w:sz w:val="24"/>
        </w:rPr>
      </w:pPr>
      <w:r>
        <w:rPr>
          <w:rFonts w:hint="eastAsia" w:ascii="宋体" w:hAnsi="宋体"/>
          <w:sz w:val="24"/>
        </w:rPr>
        <w:t>供应商有前款第一项规定情形的，成交无效。评审阶段资格发生变化，供应商未依照《中华人民共和国政府采购法实施条例》第二十一条的规定通知采购人和采购代理机构的，处以采购金额5‰的罚款，列入不良行为记录名单，成交无效。</w:t>
      </w:r>
    </w:p>
    <w:p w14:paraId="0FB67CD4">
      <w:pPr>
        <w:spacing w:line="360" w:lineRule="auto"/>
        <w:ind w:firstLine="480" w:firstLineChars="200"/>
        <w:rPr>
          <w:rFonts w:hint="eastAsia" w:ascii="宋体" w:hAnsi="宋体"/>
          <w:sz w:val="24"/>
        </w:rPr>
      </w:pPr>
      <w:r>
        <w:rPr>
          <w:rFonts w:hint="eastAsia" w:ascii="宋体" w:hAnsi="宋体"/>
          <w:sz w:val="24"/>
        </w:rPr>
        <w:t>30.</w:t>
      </w:r>
      <w:r>
        <w:rPr>
          <w:rFonts w:ascii="宋体" w:hAnsi="宋体"/>
          <w:sz w:val="24"/>
        </w:rPr>
        <w:t xml:space="preserve"> </w:t>
      </w:r>
      <w:r>
        <w:rPr>
          <w:rFonts w:hint="eastAsia" w:ascii="宋体" w:hAnsi="宋体"/>
          <w:sz w:val="24"/>
        </w:rPr>
        <w:t>供应商捏造事实、提供虚假材料或者以非法手段取得证明材料进行投诉的，由财政部门列入不良行为记录名单，禁止其1至3年内参加政府采购活动。</w:t>
      </w:r>
    </w:p>
    <w:p w14:paraId="66DF9619">
      <w:pPr>
        <w:spacing w:line="360" w:lineRule="auto"/>
        <w:ind w:firstLine="480" w:firstLineChars="200"/>
        <w:rPr>
          <w:rFonts w:hint="eastAsia" w:ascii="宋体" w:hAnsi="宋体"/>
          <w:sz w:val="24"/>
        </w:rPr>
      </w:pPr>
      <w:r>
        <w:rPr>
          <w:rFonts w:ascii="宋体" w:hAnsi="宋体"/>
          <w:sz w:val="24"/>
        </w:rPr>
        <w:t>3</w:t>
      </w:r>
      <w:r>
        <w:rPr>
          <w:rFonts w:hint="eastAsia" w:ascii="宋体" w:hAnsi="宋体"/>
          <w:sz w:val="24"/>
        </w:rPr>
        <w:t>1.</w:t>
      </w:r>
      <w:r>
        <w:rPr>
          <w:rFonts w:ascii="宋体" w:hAnsi="宋体"/>
          <w:sz w:val="24"/>
        </w:rPr>
        <w:t xml:space="preserve"> </w:t>
      </w:r>
      <w:r>
        <w:rPr>
          <w:rFonts w:hint="eastAsia" w:ascii="宋体" w:hAnsi="宋体"/>
          <w:sz w:val="24"/>
        </w:rPr>
        <w:t>有下列情形之一的，属于恶意串通，对供应商依照政府采购法第七十七条第一款的规定追究法律责任，对采购人、采购代理机构及其工作人员依照政府采购法第七十二条的规定追究法律责任：</w:t>
      </w:r>
    </w:p>
    <w:p w14:paraId="2A8E290E">
      <w:pPr>
        <w:spacing w:line="360" w:lineRule="auto"/>
        <w:ind w:firstLine="480" w:firstLineChars="200"/>
        <w:rPr>
          <w:rFonts w:hint="eastAsia" w:ascii="宋体" w:hAnsi="宋体"/>
          <w:sz w:val="24"/>
        </w:rPr>
      </w:pPr>
      <w:r>
        <w:rPr>
          <w:rFonts w:hint="eastAsia" w:ascii="宋体" w:hAnsi="宋体"/>
          <w:sz w:val="24"/>
        </w:rPr>
        <w:t>31.1</w:t>
      </w:r>
      <w:r>
        <w:rPr>
          <w:rFonts w:ascii="宋体" w:hAnsi="宋体"/>
          <w:sz w:val="24"/>
        </w:rPr>
        <w:t xml:space="preserve"> </w:t>
      </w:r>
      <w:r>
        <w:rPr>
          <w:rFonts w:hint="eastAsia" w:ascii="宋体" w:hAnsi="宋体"/>
          <w:sz w:val="24"/>
        </w:rPr>
        <w:t>供应商直接或者间接从采购人或者采购代理机构处获得其他供应商的相关情况并修改其响应文件；</w:t>
      </w:r>
    </w:p>
    <w:p w14:paraId="2AC9CE1C">
      <w:pPr>
        <w:spacing w:line="360" w:lineRule="auto"/>
        <w:ind w:firstLine="480" w:firstLineChars="200"/>
        <w:rPr>
          <w:rFonts w:hint="eastAsia" w:ascii="宋体" w:hAnsi="宋体"/>
          <w:sz w:val="24"/>
        </w:rPr>
      </w:pPr>
      <w:r>
        <w:rPr>
          <w:rFonts w:hint="eastAsia" w:ascii="宋体" w:hAnsi="宋体"/>
          <w:sz w:val="24"/>
        </w:rPr>
        <w:t>31.2</w:t>
      </w:r>
      <w:r>
        <w:rPr>
          <w:rFonts w:ascii="宋体" w:hAnsi="宋体"/>
          <w:sz w:val="24"/>
        </w:rPr>
        <w:t xml:space="preserve"> </w:t>
      </w:r>
      <w:r>
        <w:rPr>
          <w:rFonts w:hint="eastAsia" w:ascii="宋体" w:hAnsi="宋体"/>
          <w:sz w:val="24"/>
        </w:rPr>
        <w:t>供应商按照采购人或者采购代理机构的授意撤换、修改响应文件；</w:t>
      </w:r>
    </w:p>
    <w:p w14:paraId="1AF4E1B7">
      <w:pPr>
        <w:spacing w:line="360" w:lineRule="auto"/>
        <w:ind w:firstLine="480" w:firstLineChars="200"/>
        <w:rPr>
          <w:rFonts w:hint="eastAsia" w:ascii="宋体" w:hAnsi="宋体"/>
          <w:sz w:val="24"/>
        </w:rPr>
      </w:pPr>
      <w:r>
        <w:rPr>
          <w:rFonts w:hint="eastAsia" w:ascii="宋体" w:hAnsi="宋体"/>
          <w:sz w:val="24"/>
        </w:rPr>
        <w:t>31.3</w:t>
      </w:r>
      <w:r>
        <w:rPr>
          <w:rFonts w:ascii="宋体" w:hAnsi="宋体"/>
          <w:sz w:val="24"/>
        </w:rPr>
        <w:t xml:space="preserve"> </w:t>
      </w:r>
      <w:r>
        <w:rPr>
          <w:rFonts w:hint="eastAsia" w:ascii="宋体" w:hAnsi="宋体"/>
          <w:sz w:val="24"/>
        </w:rPr>
        <w:t>供应商之间协商报价、技术方案等响应文件或者响应文件的实质性内容；</w:t>
      </w:r>
    </w:p>
    <w:p w14:paraId="3F83DF48">
      <w:pPr>
        <w:spacing w:line="360" w:lineRule="auto"/>
        <w:ind w:firstLine="480" w:firstLineChars="200"/>
        <w:rPr>
          <w:rFonts w:hint="eastAsia" w:ascii="宋体" w:hAnsi="宋体"/>
          <w:sz w:val="24"/>
        </w:rPr>
      </w:pPr>
      <w:r>
        <w:rPr>
          <w:rFonts w:hint="eastAsia" w:ascii="宋体" w:hAnsi="宋体"/>
          <w:sz w:val="24"/>
        </w:rPr>
        <w:t>31.4</w:t>
      </w:r>
      <w:r>
        <w:rPr>
          <w:rFonts w:ascii="宋体" w:hAnsi="宋体"/>
          <w:sz w:val="24"/>
        </w:rPr>
        <w:t xml:space="preserve"> </w:t>
      </w:r>
      <w:r>
        <w:rPr>
          <w:rFonts w:hint="eastAsia" w:ascii="宋体" w:hAnsi="宋体"/>
          <w:sz w:val="24"/>
        </w:rPr>
        <w:t>属于同一集团、协会、商会等组织成员的供应商按照该组织要求协同参加政府采购活动；</w:t>
      </w:r>
    </w:p>
    <w:p w14:paraId="411990AB">
      <w:pPr>
        <w:spacing w:line="360" w:lineRule="auto"/>
        <w:ind w:firstLine="480" w:firstLineChars="200"/>
        <w:rPr>
          <w:rFonts w:hint="eastAsia" w:ascii="宋体" w:hAnsi="宋体"/>
          <w:sz w:val="24"/>
        </w:rPr>
      </w:pPr>
      <w:r>
        <w:rPr>
          <w:rFonts w:hint="eastAsia" w:ascii="宋体" w:hAnsi="宋体"/>
          <w:sz w:val="24"/>
        </w:rPr>
        <w:t>31.5</w:t>
      </w:r>
      <w:r>
        <w:rPr>
          <w:rFonts w:ascii="宋体" w:hAnsi="宋体"/>
          <w:sz w:val="24"/>
        </w:rPr>
        <w:t xml:space="preserve"> </w:t>
      </w:r>
      <w:r>
        <w:rPr>
          <w:rFonts w:hint="eastAsia" w:ascii="宋体" w:hAnsi="宋体"/>
          <w:sz w:val="24"/>
        </w:rPr>
        <w:t>供应商之间事先约定由某一特定供应商成交；</w:t>
      </w:r>
    </w:p>
    <w:p w14:paraId="0CCFBCDA">
      <w:pPr>
        <w:spacing w:line="360" w:lineRule="auto"/>
        <w:ind w:firstLine="480" w:firstLineChars="200"/>
        <w:rPr>
          <w:rFonts w:hint="eastAsia" w:ascii="宋体" w:hAnsi="宋体"/>
          <w:sz w:val="24"/>
        </w:rPr>
      </w:pPr>
      <w:r>
        <w:rPr>
          <w:rFonts w:ascii="宋体" w:hAnsi="宋体"/>
          <w:sz w:val="24"/>
        </w:rPr>
        <w:t>3</w:t>
      </w:r>
      <w:r>
        <w:rPr>
          <w:rFonts w:hint="eastAsia" w:ascii="宋体" w:hAnsi="宋体"/>
          <w:sz w:val="24"/>
        </w:rPr>
        <w:t>1.6</w:t>
      </w:r>
      <w:r>
        <w:rPr>
          <w:rFonts w:ascii="宋体" w:hAnsi="宋体"/>
          <w:sz w:val="24"/>
        </w:rPr>
        <w:t xml:space="preserve"> </w:t>
      </w:r>
      <w:r>
        <w:rPr>
          <w:rFonts w:hint="eastAsia" w:ascii="宋体" w:hAnsi="宋体"/>
          <w:sz w:val="24"/>
        </w:rPr>
        <w:t>供应商之间商定部分供应商放弃参加政府采购活动或者放弃成交；</w:t>
      </w:r>
    </w:p>
    <w:p w14:paraId="188CAAAC">
      <w:pPr>
        <w:spacing w:line="360" w:lineRule="auto"/>
        <w:ind w:firstLine="480" w:firstLineChars="200"/>
        <w:rPr>
          <w:rFonts w:hint="eastAsia" w:ascii="宋体" w:hAnsi="宋体"/>
          <w:sz w:val="24"/>
        </w:rPr>
      </w:pPr>
      <w:r>
        <w:rPr>
          <w:rFonts w:hint="eastAsia" w:ascii="宋体" w:hAnsi="宋体"/>
          <w:sz w:val="24"/>
        </w:rPr>
        <w:t>31.7</w:t>
      </w:r>
      <w:r>
        <w:rPr>
          <w:rFonts w:ascii="宋体" w:hAnsi="宋体"/>
          <w:sz w:val="24"/>
        </w:rPr>
        <w:t xml:space="preserve"> </w:t>
      </w:r>
      <w:r>
        <w:rPr>
          <w:rFonts w:hint="eastAsia" w:ascii="宋体" w:hAnsi="宋体"/>
          <w:sz w:val="24"/>
        </w:rPr>
        <w:t>供应商与采购人或者采购代理机构之间、供应商相互之间，为谋求特定供应商成交或者排斥其他供应商的其他串通行为；</w:t>
      </w:r>
    </w:p>
    <w:p w14:paraId="677C5A27">
      <w:pPr>
        <w:spacing w:line="360" w:lineRule="auto"/>
        <w:ind w:firstLine="480" w:firstLineChars="200"/>
        <w:rPr>
          <w:rFonts w:hint="eastAsia" w:ascii="宋体" w:hAnsi="宋体"/>
          <w:sz w:val="24"/>
        </w:rPr>
      </w:pPr>
      <w:r>
        <w:rPr>
          <w:rFonts w:hint="eastAsia" w:ascii="宋体" w:hAnsi="宋体"/>
          <w:sz w:val="24"/>
        </w:rPr>
        <w:t>31.</w:t>
      </w:r>
      <w:r>
        <w:rPr>
          <w:rFonts w:ascii="宋体" w:hAnsi="宋体"/>
          <w:sz w:val="24"/>
        </w:rPr>
        <w:t xml:space="preserve">8 </w:t>
      </w:r>
      <w:r>
        <w:rPr>
          <w:rFonts w:hint="eastAsia" w:ascii="宋体" w:hAnsi="宋体"/>
          <w:sz w:val="24"/>
        </w:rPr>
        <w:t>不同供应商的响应文件由同一单位或者个人编制；</w:t>
      </w:r>
    </w:p>
    <w:p w14:paraId="289B89EC">
      <w:pPr>
        <w:spacing w:line="360" w:lineRule="auto"/>
        <w:ind w:firstLine="480" w:firstLineChars="200"/>
        <w:rPr>
          <w:rFonts w:hint="eastAsia" w:ascii="宋体" w:hAnsi="宋体"/>
          <w:sz w:val="24"/>
        </w:rPr>
      </w:pPr>
      <w:r>
        <w:rPr>
          <w:rFonts w:hint="eastAsia" w:ascii="宋体" w:hAnsi="宋体"/>
          <w:sz w:val="24"/>
        </w:rPr>
        <w:t>31.</w:t>
      </w:r>
      <w:r>
        <w:rPr>
          <w:rFonts w:ascii="宋体" w:hAnsi="宋体"/>
          <w:sz w:val="24"/>
        </w:rPr>
        <w:t xml:space="preserve">9 </w:t>
      </w:r>
      <w:r>
        <w:rPr>
          <w:rFonts w:hint="eastAsia" w:ascii="宋体" w:hAnsi="宋体"/>
          <w:sz w:val="24"/>
        </w:rPr>
        <w:t>不同供应商委托同一单位或者个人办理磋商事宜；</w:t>
      </w:r>
    </w:p>
    <w:p w14:paraId="7206F0F5">
      <w:pPr>
        <w:spacing w:line="360" w:lineRule="auto"/>
        <w:ind w:firstLine="480" w:firstLineChars="200"/>
        <w:rPr>
          <w:rFonts w:hint="eastAsia" w:ascii="宋体" w:hAnsi="宋体"/>
          <w:sz w:val="24"/>
        </w:rPr>
      </w:pPr>
      <w:r>
        <w:rPr>
          <w:rFonts w:hint="eastAsia" w:ascii="宋体" w:hAnsi="宋体"/>
          <w:sz w:val="24"/>
        </w:rPr>
        <w:t>31.</w:t>
      </w:r>
      <w:r>
        <w:rPr>
          <w:rFonts w:ascii="宋体" w:hAnsi="宋体"/>
          <w:sz w:val="24"/>
        </w:rPr>
        <w:t xml:space="preserve">10 </w:t>
      </w:r>
      <w:r>
        <w:rPr>
          <w:rFonts w:hint="eastAsia" w:ascii="宋体" w:hAnsi="宋体"/>
          <w:sz w:val="24"/>
        </w:rPr>
        <w:t>不同供应商的响应文件载明的项目管理成员或者联系人员为同一人；</w:t>
      </w:r>
    </w:p>
    <w:p w14:paraId="0F56D91F">
      <w:pPr>
        <w:spacing w:line="360" w:lineRule="auto"/>
        <w:ind w:firstLine="480" w:firstLineChars="200"/>
        <w:rPr>
          <w:rFonts w:hint="eastAsia" w:ascii="宋体" w:hAnsi="宋体"/>
          <w:sz w:val="24"/>
        </w:rPr>
      </w:pPr>
      <w:r>
        <w:rPr>
          <w:rFonts w:hint="eastAsia" w:ascii="宋体" w:hAnsi="宋体"/>
          <w:sz w:val="24"/>
        </w:rPr>
        <w:t>31.</w:t>
      </w:r>
      <w:r>
        <w:rPr>
          <w:rFonts w:ascii="宋体" w:hAnsi="宋体"/>
          <w:sz w:val="24"/>
        </w:rPr>
        <w:t xml:space="preserve">11 </w:t>
      </w:r>
      <w:r>
        <w:rPr>
          <w:rFonts w:hint="eastAsia" w:ascii="宋体" w:hAnsi="宋体"/>
          <w:sz w:val="24"/>
        </w:rPr>
        <w:t>不同供应商的响应文件异常一致或者磋商报价呈规律性差异；</w:t>
      </w:r>
    </w:p>
    <w:p w14:paraId="11D44651">
      <w:pPr>
        <w:spacing w:line="360" w:lineRule="auto"/>
        <w:ind w:firstLine="480" w:firstLineChars="200"/>
        <w:rPr>
          <w:rFonts w:hint="eastAsia" w:ascii="宋体" w:hAnsi="宋体"/>
          <w:sz w:val="24"/>
        </w:rPr>
      </w:pPr>
      <w:r>
        <w:rPr>
          <w:rFonts w:hint="eastAsia" w:ascii="宋体" w:hAnsi="宋体"/>
          <w:sz w:val="24"/>
        </w:rPr>
        <w:t>31.</w:t>
      </w:r>
      <w:r>
        <w:rPr>
          <w:rFonts w:ascii="宋体" w:hAnsi="宋体"/>
          <w:sz w:val="24"/>
        </w:rPr>
        <w:t xml:space="preserve">12 </w:t>
      </w:r>
      <w:r>
        <w:rPr>
          <w:rFonts w:hint="eastAsia" w:ascii="宋体" w:hAnsi="宋体"/>
          <w:sz w:val="24"/>
        </w:rPr>
        <w:t>不同供应商的响应文件相互混装。</w:t>
      </w:r>
    </w:p>
    <w:p w14:paraId="179A52EA">
      <w:pPr>
        <w:pStyle w:val="7"/>
        <w:rPr>
          <w:rFonts w:hint="eastAsia" w:ascii="宋体" w:hAnsi="宋体"/>
        </w:rPr>
      </w:pPr>
      <w:bookmarkStart w:id="207" w:name="_Toc495479100"/>
      <w:bookmarkStart w:id="208" w:name="_Toc94277247"/>
      <w:bookmarkStart w:id="209" w:name="_Toc22507"/>
      <w:bookmarkStart w:id="210" w:name="_Toc15206"/>
      <w:bookmarkStart w:id="211" w:name="_Toc8892"/>
      <w:bookmarkStart w:id="212" w:name="_Toc9055"/>
      <w:bookmarkStart w:id="213" w:name="_Toc9921"/>
      <w:r>
        <w:rPr>
          <w:rFonts w:hint="eastAsia" w:ascii="宋体" w:hAnsi="宋体"/>
        </w:rPr>
        <w:t xml:space="preserve">八   </w:t>
      </w:r>
      <w:bookmarkEnd w:id="206"/>
      <w:bookmarkEnd w:id="207"/>
      <w:r>
        <w:rPr>
          <w:rFonts w:hint="eastAsia" w:ascii="宋体" w:hAnsi="宋体"/>
        </w:rPr>
        <w:t>澄清、修改发布媒体</w:t>
      </w:r>
      <w:bookmarkEnd w:id="208"/>
      <w:bookmarkEnd w:id="209"/>
      <w:bookmarkEnd w:id="210"/>
      <w:bookmarkEnd w:id="211"/>
      <w:bookmarkEnd w:id="212"/>
      <w:bookmarkEnd w:id="213"/>
    </w:p>
    <w:p w14:paraId="166BAB69">
      <w:pPr>
        <w:snapToGrid w:val="0"/>
        <w:spacing w:line="360" w:lineRule="auto"/>
        <w:ind w:firstLine="480" w:firstLineChars="200"/>
        <w:rPr>
          <w:rFonts w:ascii="仿宋_GB2312" w:eastAsia="仿宋_GB2312"/>
          <w:kern w:val="0"/>
          <w:sz w:val="24"/>
        </w:rPr>
      </w:pPr>
      <w:bookmarkStart w:id="214" w:name="_Toc390938584"/>
      <w:bookmarkStart w:id="215" w:name="_Toc334087237"/>
      <w:bookmarkStart w:id="216" w:name="_Toc335664279"/>
      <w:bookmarkStart w:id="217" w:name="_Toc176659672"/>
      <w:bookmarkStart w:id="218" w:name="_Toc495479101"/>
      <w:bookmarkStart w:id="219" w:name="_Toc107820051"/>
      <w:r>
        <w:rPr>
          <w:rFonts w:hint="eastAsia" w:ascii="宋体" w:hAnsi="宋体"/>
          <w:sz w:val="24"/>
        </w:rPr>
        <w:t>32.1针对潜在供应商提出的询问，采购代理机构一般在3个工作日内作出答复，如需澄清或</w:t>
      </w:r>
      <w:r>
        <w:rPr>
          <w:rFonts w:hint="eastAsia" w:ascii="宋体" w:hAnsi="宋体"/>
          <w:bCs/>
          <w:kern w:val="0"/>
          <w:sz w:val="24"/>
        </w:rPr>
        <w:t>修改的，采购代理机构将在磋商截止</w:t>
      </w:r>
      <w:r>
        <w:rPr>
          <w:rFonts w:hint="eastAsia" w:ascii="宋体" w:hAnsi="宋体"/>
          <w:sz w:val="24"/>
        </w:rPr>
        <w:t>时间五日前将澄清或修改内容在浙江政府采购网</w:t>
      </w:r>
      <w:r>
        <w:fldChar w:fldCharType="begin"/>
      </w:r>
      <w:r>
        <w:instrText xml:space="preserve"> HYPERLINK "http://60.190.126.3:8080/wcm/WCMV6/editor/editor/招标文件（新版）.doc" </w:instrText>
      </w:r>
      <w:r>
        <w:fldChar w:fldCharType="separate"/>
      </w:r>
      <w:r>
        <w:rPr>
          <w:rFonts w:hint="eastAsia" w:ascii="宋体" w:hAnsi="宋体"/>
          <w:sz w:val="24"/>
        </w:rPr>
        <w:t>http://zfcg.czt.zj.gov.cn/</w:t>
      </w:r>
      <w:r>
        <w:rPr>
          <w:rFonts w:hint="eastAsia" w:ascii="宋体" w:hAnsi="宋体"/>
          <w:sz w:val="24"/>
        </w:rPr>
        <w:fldChar w:fldCharType="end"/>
      </w:r>
      <w:r>
        <w:rPr>
          <w:rFonts w:hint="eastAsia" w:ascii="宋体" w:hAnsi="宋体"/>
          <w:sz w:val="24"/>
        </w:rPr>
        <w:t>、丽水市公共资源交易网（http://lssggzy.lishui.gov.cn/lsweb/）上予以公布</w:t>
      </w:r>
      <w:r>
        <w:rPr>
          <w:rFonts w:hint="eastAsia" w:ascii="宋体" w:hAnsi="宋体"/>
          <w:bCs/>
          <w:kern w:val="0"/>
          <w:sz w:val="24"/>
        </w:rPr>
        <w:t>，潜在供应商应自行关注网站更正公告等内容，采购代理机构不再一一通知。</w:t>
      </w:r>
    </w:p>
    <w:p w14:paraId="3B9B8ACD">
      <w:pPr>
        <w:snapToGrid w:val="0"/>
        <w:spacing w:line="360" w:lineRule="auto"/>
        <w:ind w:firstLine="480" w:firstLineChars="200"/>
        <w:rPr>
          <w:rFonts w:hint="eastAsia" w:ascii="宋体" w:hAnsi="宋体"/>
          <w:sz w:val="24"/>
        </w:rPr>
      </w:pPr>
      <w:r>
        <w:rPr>
          <w:rFonts w:hint="eastAsia" w:ascii="宋体" w:hAnsi="宋体"/>
          <w:sz w:val="24"/>
        </w:rPr>
        <w:t>32.2潜在供应商提出的询问超出采购人对采购代理机构委托授权范围的，供应商应向采购人提出。</w:t>
      </w:r>
    </w:p>
    <w:p w14:paraId="5928A207">
      <w:pPr>
        <w:pStyle w:val="7"/>
        <w:ind w:firstLine="446" w:firstLineChars="148"/>
        <w:rPr>
          <w:rFonts w:hint="eastAsia" w:ascii="宋体" w:hAnsi="宋体"/>
        </w:rPr>
      </w:pPr>
      <w:bookmarkStart w:id="220" w:name="_Toc19921"/>
      <w:bookmarkStart w:id="221" w:name="_Toc29873"/>
      <w:bookmarkStart w:id="222" w:name="_Toc94"/>
      <w:bookmarkStart w:id="223" w:name="_Toc20603"/>
      <w:bookmarkStart w:id="224" w:name="_Toc5251"/>
      <w:bookmarkStart w:id="225" w:name="_Toc94277248"/>
      <w:r>
        <w:rPr>
          <w:rFonts w:hint="eastAsia" w:ascii="宋体" w:hAnsi="宋体"/>
        </w:rPr>
        <w:t>九   质疑</w:t>
      </w:r>
      <w:bookmarkEnd w:id="214"/>
      <w:bookmarkEnd w:id="215"/>
      <w:bookmarkEnd w:id="216"/>
      <w:bookmarkEnd w:id="217"/>
      <w:bookmarkEnd w:id="218"/>
      <w:bookmarkEnd w:id="220"/>
      <w:bookmarkEnd w:id="221"/>
      <w:bookmarkEnd w:id="222"/>
      <w:bookmarkEnd w:id="223"/>
      <w:bookmarkEnd w:id="224"/>
      <w:bookmarkEnd w:id="225"/>
    </w:p>
    <w:p w14:paraId="06DCD24B">
      <w:pPr>
        <w:pStyle w:val="19"/>
        <w:spacing w:line="360" w:lineRule="auto"/>
        <w:ind w:firstLine="480" w:firstLineChars="200"/>
        <w:rPr>
          <w:rFonts w:hint="eastAsia" w:hAnsi="宋体"/>
          <w:sz w:val="24"/>
          <w:szCs w:val="21"/>
        </w:rPr>
      </w:pPr>
      <w:bookmarkStart w:id="226" w:name="_Toc390938585"/>
      <w:bookmarkStart w:id="227" w:name="_Toc335664280"/>
      <w:bookmarkStart w:id="228" w:name="_Toc334087238"/>
      <w:r>
        <w:rPr>
          <w:rFonts w:hint="eastAsia" w:hAnsi="宋体"/>
          <w:sz w:val="24"/>
          <w:szCs w:val="21"/>
        </w:rPr>
        <w:t>33.1</w:t>
      </w:r>
      <w:r>
        <w:rPr>
          <w:rFonts w:hAnsi="宋体"/>
          <w:sz w:val="24"/>
          <w:szCs w:val="21"/>
        </w:rPr>
        <w:t xml:space="preserve"> </w:t>
      </w:r>
      <w:r>
        <w:rPr>
          <w:rFonts w:hint="eastAsia" w:hAnsi="宋体"/>
          <w:sz w:val="24"/>
          <w:szCs w:val="21"/>
        </w:rPr>
        <w:t>供应商认为磋商文件、采购过程和成交结果使自己的权益受到损害的，可以在知道或者应知其权益受到损害之日起七个工作日内，以书面形式向采购代理机构提出质疑。</w:t>
      </w:r>
    </w:p>
    <w:p w14:paraId="607C425D">
      <w:pPr>
        <w:pStyle w:val="19"/>
        <w:spacing w:line="360" w:lineRule="auto"/>
        <w:ind w:firstLine="480" w:firstLineChars="200"/>
        <w:rPr>
          <w:rFonts w:hint="eastAsia" w:hAnsi="宋体"/>
          <w:sz w:val="24"/>
          <w:szCs w:val="21"/>
        </w:rPr>
      </w:pPr>
      <w:r>
        <w:rPr>
          <w:rFonts w:hint="eastAsia" w:hAnsi="宋体"/>
          <w:sz w:val="24"/>
          <w:szCs w:val="21"/>
        </w:rPr>
        <w:t>33.</w:t>
      </w:r>
      <w:r>
        <w:rPr>
          <w:rFonts w:hAnsi="宋体"/>
          <w:sz w:val="24"/>
          <w:szCs w:val="21"/>
        </w:rPr>
        <w:t xml:space="preserve">2 </w:t>
      </w:r>
      <w:r>
        <w:rPr>
          <w:rFonts w:hint="eastAsia" w:hAnsi="宋体"/>
          <w:sz w:val="24"/>
          <w:szCs w:val="21"/>
        </w:rPr>
        <w:t>质疑的主要内容应符合相关法律法规以及浙江省和丽水市相关文件的规定。质疑内容涉及保密事项，质疑供应商应提供有效的信息来源或有效证据。</w:t>
      </w:r>
    </w:p>
    <w:p w14:paraId="1A0ACFB1">
      <w:pPr>
        <w:pStyle w:val="19"/>
        <w:spacing w:line="360" w:lineRule="auto"/>
        <w:ind w:firstLine="480" w:firstLineChars="200"/>
        <w:rPr>
          <w:rFonts w:hint="eastAsia" w:hAnsi="宋体"/>
          <w:sz w:val="24"/>
          <w:szCs w:val="21"/>
        </w:rPr>
      </w:pPr>
      <w:r>
        <w:rPr>
          <w:rFonts w:hint="eastAsia" w:hAnsi="宋体"/>
          <w:sz w:val="24"/>
          <w:szCs w:val="21"/>
        </w:rPr>
        <w:t>33.</w:t>
      </w:r>
      <w:r>
        <w:rPr>
          <w:rFonts w:hAnsi="宋体"/>
          <w:sz w:val="24"/>
          <w:szCs w:val="21"/>
        </w:rPr>
        <w:t xml:space="preserve">3 </w:t>
      </w:r>
      <w:r>
        <w:rPr>
          <w:rFonts w:hint="eastAsia" w:hAnsi="宋体"/>
          <w:sz w:val="24"/>
          <w:szCs w:val="21"/>
        </w:rPr>
        <w:t>质疑供应商可直接提交、传真或邮寄方式提交质疑书（一式三份以上）。以其他方式提出的质疑，采购代理机构</w:t>
      </w:r>
      <w:r>
        <w:rPr>
          <w:rFonts w:hAnsi="宋体"/>
          <w:sz w:val="24"/>
          <w:szCs w:val="21"/>
        </w:rPr>
        <w:t>可不予接受、答复。</w:t>
      </w:r>
    </w:p>
    <w:p w14:paraId="2BCE6DFA">
      <w:pPr>
        <w:pStyle w:val="19"/>
        <w:spacing w:line="360" w:lineRule="auto"/>
        <w:ind w:firstLine="480" w:firstLineChars="200"/>
        <w:rPr>
          <w:rFonts w:hint="eastAsia" w:hAnsi="宋体"/>
          <w:sz w:val="24"/>
          <w:szCs w:val="21"/>
        </w:rPr>
      </w:pPr>
      <w:r>
        <w:rPr>
          <w:rFonts w:hint="eastAsia" w:hAnsi="宋体"/>
          <w:sz w:val="24"/>
          <w:szCs w:val="21"/>
        </w:rPr>
        <w:t>33.</w:t>
      </w:r>
      <w:r>
        <w:rPr>
          <w:rFonts w:hAnsi="宋体"/>
          <w:sz w:val="24"/>
          <w:szCs w:val="21"/>
        </w:rPr>
        <w:t>3</w:t>
      </w:r>
      <w:r>
        <w:rPr>
          <w:rFonts w:hint="eastAsia" w:hAnsi="宋体"/>
          <w:sz w:val="24"/>
          <w:szCs w:val="21"/>
        </w:rPr>
        <w:t>.1</w:t>
      </w:r>
      <w:r>
        <w:rPr>
          <w:rFonts w:hAnsi="宋体"/>
          <w:sz w:val="24"/>
          <w:szCs w:val="21"/>
        </w:rPr>
        <w:t xml:space="preserve"> 邮寄方式送达质疑书的，以</w:t>
      </w:r>
      <w:r>
        <w:rPr>
          <w:rFonts w:hint="eastAsia" w:hAnsi="宋体"/>
          <w:sz w:val="24"/>
          <w:szCs w:val="21"/>
        </w:rPr>
        <w:t>采购代理机构</w:t>
      </w:r>
      <w:r>
        <w:rPr>
          <w:rFonts w:hAnsi="宋体"/>
          <w:sz w:val="24"/>
          <w:szCs w:val="21"/>
        </w:rPr>
        <w:t>实际收到邮件之日作为收到质疑的日期。</w:t>
      </w:r>
    </w:p>
    <w:p w14:paraId="295DDDE6">
      <w:pPr>
        <w:pStyle w:val="19"/>
        <w:spacing w:line="360" w:lineRule="auto"/>
        <w:ind w:firstLine="480" w:firstLineChars="200"/>
        <w:rPr>
          <w:rFonts w:hint="eastAsia" w:hAnsi="宋体"/>
          <w:sz w:val="24"/>
          <w:szCs w:val="21"/>
        </w:rPr>
      </w:pPr>
      <w:r>
        <w:rPr>
          <w:rFonts w:hint="eastAsia" w:hAnsi="宋体"/>
          <w:sz w:val="24"/>
          <w:szCs w:val="21"/>
        </w:rPr>
        <w:t>33.</w:t>
      </w:r>
      <w:r>
        <w:rPr>
          <w:rFonts w:hAnsi="宋体"/>
          <w:sz w:val="24"/>
          <w:szCs w:val="21"/>
        </w:rPr>
        <w:t>3</w:t>
      </w:r>
      <w:r>
        <w:rPr>
          <w:rFonts w:hint="eastAsia" w:hAnsi="宋体"/>
          <w:sz w:val="24"/>
          <w:szCs w:val="21"/>
        </w:rPr>
        <w:t>.2</w:t>
      </w:r>
      <w:r>
        <w:rPr>
          <w:rFonts w:hAnsi="宋体"/>
          <w:sz w:val="24"/>
          <w:szCs w:val="21"/>
        </w:rPr>
        <w:t xml:space="preserve"> 传真方式送达质疑书的，质疑供应商应当取得</w:t>
      </w:r>
      <w:r>
        <w:rPr>
          <w:rFonts w:hint="eastAsia" w:hAnsi="宋体"/>
          <w:sz w:val="24"/>
          <w:szCs w:val="21"/>
        </w:rPr>
        <w:t>采购代理机构</w:t>
      </w:r>
      <w:r>
        <w:rPr>
          <w:rFonts w:hAnsi="宋体"/>
          <w:sz w:val="24"/>
          <w:szCs w:val="21"/>
        </w:rPr>
        <w:t>确认收到传真的意见，并及时将质疑书原件送达</w:t>
      </w:r>
      <w:r>
        <w:rPr>
          <w:rFonts w:hint="eastAsia" w:hAnsi="宋体"/>
          <w:sz w:val="24"/>
          <w:szCs w:val="21"/>
        </w:rPr>
        <w:t>采购代理机构</w:t>
      </w:r>
      <w:r>
        <w:rPr>
          <w:rFonts w:hAnsi="宋体"/>
          <w:sz w:val="24"/>
          <w:szCs w:val="21"/>
        </w:rPr>
        <w:t>。</w:t>
      </w:r>
      <w:r>
        <w:rPr>
          <w:rFonts w:hint="eastAsia" w:hAnsi="宋体"/>
          <w:sz w:val="24"/>
          <w:szCs w:val="21"/>
        </w:rPr>
        <w:t>采购代理机构</w:t>
      </w:r>
      <w:r>
        <w:rPr>
          <w:rFonts w:hAnsi="宋体"/>
          <w:sz w:val="24"/>
          <w:szCs w:val="21"/>
        </w:rPr>
        <w:t>以实际收到原件之日作为收到质疑的日期。</w:t>
      </w:r>
    </w:p>
    <w:p w14:paraId="11167E60">
      <w:pPr>
        <w:pStyle w:val="19"/>
        <w:spacing w:line="360" w:lineRule="auto"/>
        <w:ind w:firstLine="480" w:firstLineChars="200"/>
        <w:rPr>
          <w:rFonts w:hint="eastAsia" w:hAnsi="宋体"/>
          <w:sz w:val="24"/>
          <w:szCs w:val="21"/>
        </w:rPr>
      </w:pPr>
      <w:r>
        <w:rPr>
          <w:rFonts w:hint="eastAsia" w:hAnsi="宋体"/>
          <w:sz w:val="24"/>
          <w:szCs w:val="21"/>
        </w:rPr>
        <w:t>33.</w:t>
      </w:r>
      <w:r>
        <w:rPr>
          <w:rFonts w:hAnsi="宋体"/>
          <w:sz w:val="24"/>
          <w:szCs w:val="21"/>
        </w:rPr>
        <w:t>3</w:t>
      </w:r>
      <w:r>
        <w:rPr>
          <w:rFonts w:hint="eastAsia" w:hAnsi="宋体"/>
          <w:sz w:val="24"/>
          <w:szCs w:val="21"/>
        </w:rPr>
        <w:t>.3</w:t>
      </w:r>
      <w:r>
        <w:rPr>
          <w:rFonts w:hAnsi="宋体"/>
          <w:sz w:val="24"/>
          <w:szCs w:val="21"/>
        </w:rPr>
        <w:t xml:space="preserve"> 在质疑期限届满前，质疑书已经邮寄或传真成功的，质疑不视为过期。</w:t>
      </w:r>
    </w:p>
    <w:p w14:paraId="26FAD6BC">
      <w:pPr>
        <w:pStyle w:val="19"/>
        <w:spacing w:line="360" w:lineRule="auto"/>
        <w:ind w:firstLine="480" w:firstLineChars="200"/>
        <w:rPr>
          <w:rFonts w:hint="eastAsia" w:hAnsi="宋体"/>
          <w:sz w:val="24"/>
          <w:szCs w:val="21"/>
        </w:rPr>
      </w:pPr>
      <w:r>
        <w:rPr>
          <w:rFonts w:hint="eastAsia" w:hAnsi="宋体"/>
          <w:sz w:val="24"/>
          <w:szCs w:val="21"/>
        </w:rPr>
        <w:t>33.</w:t>
      </w:r>
      <w:r>
        <w:rPr>
          <w:rFonts w:hAnsi="宋体"/>
          <w:sz w:val="24"/>
          <w:szCs w:val="21"/>
        </w:rPr>
        <w:t xml:space="preserve">4 </w:t>
      </w:r>
      <w:r>
        <w:rPr>
          <w:rFonts w:hint="eastAsia" w:hAnsi="宋体"/>
          <w:sz w:val="24"/>
          <w:szCs w:val="21"/>
        </w:rPr>
        <w:t>质疑供应商提供的相关材料中有外文资料的，应将与质疑相关的外文资料完整、客观、真实地翻译为中文，并注明翻译人员姓名、工作单位、联系方式等信息。</w:t>
      </w:r>
    </w:p>
    <w:p w14:paraId="000CA412">
      <w:pPr>
        <w:pStyle w:val="19"/>
        <w:spacing w:line="360" w:lineRule="auto"/>
        <w:ind w:firstLine="480" w:firstLineChars="200"/>
        <w:rPr>
          <w:rFonts w:hint="eastAsia" w:hAnsi="宋体"/>
          <w:sz w:val="24"/>
          <w:szCs w:val="21"/>
        </w:rPr>
      </w:pPr>
      <w:r>
        <w:rPr>
          <w:rFonts w:hint="eastAsia" w:hAnsi="宋体"/>
          <w:sz w:val="24"/>
          <w:szCs w:val="21"/>
        </w:rPr>
        <w:t>33.</w:t>
      </w:r>
      <w:r>
        <w:rPr>
          <w:rFonts w:hAnsi="宋体"/>
          <w:sz w:val="24"/>
          <w:szCs w:val="21"/>
        </w:rPr>
        <w:t xml:space="preserve">5 </w:t>
      </w:r>
      <w:r>
        <w:rPr>
          <w:rFonts w:hint="eastAsia" w:hAnsi="宋体"/>
          <w:sz w:val="24"/>
          <w:szCs w:val="21"/>
        </w:rPr>
        <w:t>采购代理机构在收到质疑供应商的书面质疑后7个工作日内作出答复，并以书面形式答复质疑供应商</w:t>
      </w:r>
      <w:r>
        <w:rPr>
          <w:rFonts w:hAnsi="宋体"/>
          <w:sz w:val="24"/>
          <w:szCs w:val="21"/>
        </w:rPr>
        <w:t>。</w:t>
      </w:r>
    </w:p>
    <w:p w14:paraId="7FFEFBBC">
      <w:pPr>
        <w:pStyle w:val="19"/>
        <w:spacing w:line="360" w:lineRule="auto"/>
        <w:ind w:firstLine="480" w:firstLineChars="200"/>
        <w:rPr>
          <w:rFonts w:hint="eastAsia" w:hAnsi="宋体"/>
          <w:sz w:val="24"/>
          <w:szCs w:val="21"/>
        </w:rPr>
      </w:pPr>
      <w:r>
        <w:rPr>
          <w:rFonts w:hint="eastAsia" w:hAnsi="宋体"/>
          <w:sz w:val="24"/>
          <w:szCs w:val="21"/>
        </w:rPr>
        <w:t>33.</w:t>
      </w:r>
      <w:r>
        <w:rPr>
          <w:rFonts w:hAnsi="宋体"/>
          <w:sz w:val="24"/>
          <w:szCs w:val="21"/>
        </w:rPr>
        <w:t xml:space="preserve">6 </w:t>
      </w:r>
      <w:r>
        <w:rPr>
          <w:rFonts w:hint="eastAsia" w:hAnsi="宋体"/>
          <w:sz w:val="24"/>
          <w:szCs w:val="21"/>
        </w:rPr>
        <w:t>质疑供应商捏造事实、提供虚假材料进行质疑的，采购代理机构报告同级财政部门，由同级财政部门审查，情况属实的，应列入不良行为记录，并在指定的媒体上公告。</w:t>
      </w:r>
    </w:p>
    <w:p w14:paraId="740C5A26">
      <w:pPr>
        <w:pStyle w:val="7"/>
        <w:ind w:firstLine="321" w:firstLineChars="100"/>
        <w:rPr>
          <w:rFonts w:hint="eastAsia" w:ascii="宋体" w:hAnsi="宋体"/>
          <w:sz w:val="32"/>
        </w:rPr>
      </w:pPr>
      <w:bookmarkStart w:id="229" w:name="_Toc23205"/>
      <w:bookmarkStart w:id="230" w:name="_Toc6012"/>
      <w:bookmarkStart w:id="231" w:name="_Toc20277"/>
      <w:bookmarkStart w:id="232" w:name="_Toc24282"/>
      <w:bookmarkStart w:id="233" w:name="_Toc495479102"/>
      <w:bookmarkStart w:id="234" w:name="_Toc94277249"/>
      <w:bookmarkStart w:id="235" w:name="_Toc30394"/>
      <w:r>
        <w:rPr>
          <w:rFonts w:hint="eastAsia" w:ascii="宋体" w:hAnsi="宋体"/>
          <w:sz w:val="32"/>
        </w:rPr>
        <w:t>十   投诉</w:t>
      </w:r>
      <w:bookmarkEnd w:id="226"/>
      <w:bookmarkEnd w:id="227"/>
      <w:bookmarkEnd w:id="228"/>
      <w:bookmarkEnd w:id="229"/>
      <w:bookmarkEnd w:id="230"/>
      <w:bookmarkEnd w:id="231"/>
      <w:bookmarkEnd w:id="232"/>
      <w:bookmarkEnd w:id="233"/>
      <w:bookmarkEnd w:id="234"/>
      <w:bookmarkEnd w:id="235"/>
    </w:p>
    <w:p w14:paraId="18EB5F37">
      <w:pPr>
        <w:spacing w:line="360" w:lineRule="auto"/>
        <w:ind w:firstLine="480" w:firstLineChars="200"/>
        <w:rPr>
          <w:rFonts w:hint="eastAsia" w:ascii="宋体" w:hAnsi="宋体"/>
          <w:sz w:val="24"/>
        </w:rPr>
      </w:pPr>
      <w:bookmarkStart w:id="236" w:name="_Toc335664281"/>
      <w:bookmarkStart w:id="237" w:name="_Toc334087239"/>
      <w:bookmarkStart w:id="238" w:name="_Toc390938586"/>
      <w:r>
        <w:rPr>
          <w:rFonts w:hint="eastAsia" w:ascii="宋体" w:hAnsi="宋体"/>
          <w:sz w:val="24"/>
        </w:rPr>
        <w:t>34.质疑供应商对采购代理机构的答复不满意或者采购代理机构未在规定时间内答复的，可以在答复期满后十五个工作日内按有关规定，以书面形式向同级监督管理部门投诉。</w:t>
      </w:r>
    </w:p>
    <w:p w14:paraId="18B07AC1">
      <w:pPr>
        <w:pStyle w:val="7"/>
        <w:ind w:firstLine="321" w:firstLineChars="100"/>
        <w:rPr>
          <w:rFonts w:hint="eastAsia" w:ascii="宋体" w:hAnsi="宋体"/>
          <w:sz w:val="32"/>
        </w:rPr>
      </w:pPr>
      <w:bookmarkStart w:id="239" w:name="_Toc94277250"/>
      <w:bookmarkStart w:id="240" w:name="_Toc32069"/>
      <w:bookmarkStart w:id="241" w:name="_Toc8909"/>
      <w:bookmarkStart w:id="242" w:name="_Toc21422"/>
      <w:bookmarkStart w:id="243" w:name="_Toc241"/>
      <w:bookmarkStart w:id="244" w:name="_Toc816"/>
      <w:bookmarkStart w:id="245" w:name="_Toc495479103"/>
      <w:r>
        <w:rPr>
          <w:rFonts w:hint="eastAsia" w:ascii="宋体" w:hAnsi="宋体"/>
          <w:sz w:val="32"/>
        </w:rPr>
        <w:t>十一  授予合同</w:t>
      </w:r>
      <w:bookmarkEnd w:id="219"/>
      <w:bookmarkEnd w:id="236"/>
      <w:bookmarkEnd w:id="237"/>
      <w:bookmarkEnd w:id="238"/>
      <w:bookmarkEnd w:id="239"/>
      <w:bookmarkEnd w:id="240"/>
      <w:bookmarkEnd w:id="241"/>
      <w:bookmarkEnd w:id="242"/>
      <w:bookmarkEnd w:id="243"/>
      <w:bookmarkEnd w:id="244"/>
      <w:bookmarkEnd w:id="245"/>
    </w:p>
    <w:p w14:paraId="4561F350">
      <w:pPr>
        <w:spacing w:line="360" w:lineRule="auto"/>
        <w:ind w:firstLine="480" w:firstLineChars="200"/>
        <w:rPr>
          <w:rFonts w:hint="eastAsia" w:ascii="宋体" w:hAnsi="宋体"/>
          <w:sz w:val="24"/>
        </w:rPr>
      </w:pPr>
      <w:bookmarkStart w:id="246" w:name="_Toc334087240"/>
      <w:bookmarkStart w:id="247" w:name="_Toc390938587"/>
      <w:bookmarkStart w:id="248" w:name="_Toc15813254"/>
      <w:bookmarkStart w:id="249" w:name="_Toc47756031"/>
      <w:bookmarkStart w:id="250" w:name="_Toc107820052"/>
      <w:bookmarkStart w:id="251" w:name="_Toc335664282"/>
      <w:bookmarkStart w:id="252" w:name="_Toc15805937"/>
      <w:bookmarkStart w:id="253" w:name="_Toc45506731"/>
      <w:r>
        <w:rPr>
          <w:rFonts w:ascii="宋体" w:hAnsi="宋体"/>
          <w:sz w:val="24"/>
        </w:rPr>
        <w:t>3</w:t>
      </w:r>
      <w:r>
        <w:rPr>
          <w:rFonts w:hint="eastAsia" w:ascii="宋体" w:hAnsi="宋体"/>
          <w:sz w:val="24"/>
        </w:rPr>
        <w:t>5.</w:t>
      </w:r>
      <w:r>
        <w:rPr>
          <w:rFonts w:ascii="宋体" w:hAnsi="宋体"/>
          <w:sz w:val="24"/>
        </w:rPr>
        <w:t xml:space="preserve"> </w:t>
      </w:r>
      <w:r>
        <w:rPr>
          <w:rFonts w:hint="eastAsia" w:ascii="宋体" w:hAnsi="宋体"/>
          <w:sz w:val="24"/>
        </w:rPr>
        <w:t>成交结果公告及成交通知书</w:t>
      </w:r>
    </w:p>
    <w:p w14:paraId="59C01C8D">
      <w:pPr>
        <w:spacing w:line="360" w:lineRule="auto"/>
        <w:ind w:firstLine="480" w:firstLineChars="200"/>
        <w:rPr>
          <w:rFonts w:hint="eastAsia" w:ascii="宋体" w:hAnsi="宋体"/>
          <w:sz w:val="24"/>
        </w:rPr>
      </w:pPr>
      <w:r>
        <w:rPr>
          <w:rFonts w:ascii="宋体" w:hAnsi="宋体"/>
          <w:sz w:val="24"/>
        </w:rPr>
        <w:t>3</w:t>
      </w:r>
      <w:r>
        <w:rPr>
          <w:rFonts w:hint="eastAsia" w:ascii="宋体" w:hAnsi="宋体"/>
          <w:sz w:val="24"/>
        </w:rPr>
        <w:t>5.1</w:t>
      </w:r>
      <w:r>
        <w:rPr>
          <w:rFonts w:ascii="宋体" w:hAnsi="宋体"/>
          <w:sz w:val="24"/>
        </w:rPr>
        <w:t xml:space="preserve"> </w:t>
      </w:r>
      <w:r>
        <w:rPr>
          <w:rFonts w:hint="eastAsia" w:ascii="宋体" w:hAnsi="宋体"/>
          <w:sz w:val="24"/>
        </w:rPr>
        <w:t>采购代理机构将在“浙江政府采购网、丽水市公共资源交易网”上发布成交结果公告，同时向成交供应商发出成交通知书。</w:t>
      </w:r>
    </w:p>
    <w:p w14:paraId="3A143AEB">
      <w:pPr>
        <w:spacing w:line="360" w:lineRule="auto"/>
        <w:ind w:firstLine="480" w:firstLineChars="200"/>
        <w:rPr>
          <w:rFonts w:hint="eastAsia" w:ascii="宋体" w:hAnsi="宋体"/>
          <w:sz w:val="24"/>
        </w:rPr>
      </w:pPr>
      <w:r>
        <w:rPr>
          <w:rFonts w:ascii="宋体" w:hAnsi="宋体"/>
          <w:sz w:val="24"/>
        </w:rPr>
        <w:t>3</w:t>
      </w:r>
      <w:r>
        <w:rPr>
          <w:rFonts w:hint="eastAsia" w:ascii="宋体" w:hAnsi="宋体"/>
          <w:sz w:val="24"/>
        </w:rPr>
        <w:t>6</w:t>
      </w:r>
      <w:r>
        <w:rPr>
          <w:rFonts w:ascii="宋体" w:hAnsi="宋体"/>
          <w:sz w:val="24"/>
        </w:rPr>
        <w:t xml:space="preserve">. </w:t>
      </w:r>
      <w:r>
        <w:rPr>
          <w:rFonts w:hint="eastAsia" w:ascii="宋体" w:hAnsi="宋体"/>
          <w:sz w:val="24"/>
        </w:rPr>
        <w:t>授予合同时变更数量的权力</w:t>
      </w:r>
    </w:p>
    <w:p w14:paraId="35252037">
      <w:pPr>
        <w:spacing w:line="360" w:lineRule="auto"/>
        <w:ind w:firstLine="480" w:firstLineChars="200"/>
        <w:rPr>
          <w:rFonts w:hint="eastAsia" w:ascii="宋体" w:hAnsi="宋体"/>
          <w:sz w:val="24"/>
        </w:rPr>
      </w:pPr>
      <w:r>
        <w:rPr>
          <w:rFonts w:ascii="宋体" w:hAnsi="宋体"/>
          <w:sz w:val="24"/>
        </w:rPr>
        <w:t>3</w:t>
      </w:r>
      <w:r>
        <w:rPr>
          <w:rFonts w:hint="eastAsia" w:ascii="宋体" w:hAnsi="宋体"/>
          <w:sz w:val="24"/>
        </w:rPr>
        <w:t>6</w:t>
      </w:r>
      <w:r>
        <w:rPr>
          <w:rFonts w:ascii="宋体" w:hAnsi="宋体"/>
          <w:sz w:val="24"/>
        </w:rPr>
        <w:t xml:space="preserve">.1 </w:t>
      </w:r>
      <w:r>
        <w:rPr>
          <w:rFonts w:hint="eastAsia" w:ascii="宋体" w:hAnsi="宋体"/>
          <w:sz w:val="24"/>
        </w:rPr>
        <w:t>采购人需追加与合同标的相同的货物、工程或者服务，在不改变合同其他条款的前提下，可以与成交人签订补充合同，但所有补充合同的采购总额不得超过原合同采购金额的百分之十。签订补充合同之前，采购人经同级财政局政府采购监管处同意，补充合同交同级财政局政府采购监管处备案。</w:t>
      </w:r>
    </w:p>
    <w:p w14:paraId="6C51A576">
      <w:pPr>
        <w:spacing w:line="360" w:lineRule="auto"/>
        <w:ind w:firstLine="480" w:firstLineChars="200"/>
        <w:rPr>
          <w:rFonts w:hint="eastAsia" w:ascii="宋体" w:hAnsi="宋体"/>
          <w:sz w:val="24"/>
        </w:rPr>
      </w:pPr>
      <w:r>
        <w:rPr>
          <w:rFonts w:ascii="宋体" w:hAnsi="宋体"/>
          <w:sz w:val="24"/>
        </w:rPr>
        <w:t>3</w:t>
      </w:r>
      <w:r>
        <w:rPr>
          <w:rFonts w:hint="eastAsia" w:ascii="宋体" w:hAnsi="宋体"/>
          <w:sz w:val="24"/>
        </w:rPr>
        <w:t>7</w:t>
      </w:r>
      <w:r>
        <w:rPr>
          <w:rFonts w:ascii="宋体" w:hAnsi="宋体"/>
          <w:sz w:val="24"/>
        </w:rPr>
        <w:t xml:space="preserve">. </w:t>
      </w:r>
      <w:r>
        <w:rPr>
          <w:rFonts w:hint="eastAsia" w:ascii="宋体" w:hAnsi="宋体"/>
          <w:sz w:val="24"/>
        </w:rPr>
        <w:t>签订合同</w:t>
      </w:r>
    </w:p>
    <w:bookmarkEnd w:id="246"/>
    <w:bookmarkEnd w:id="247"/>
    <w:bookmarkEnd w:id="248"/>
    <w:bookmarkEnd w:id="249"/>
    <w:bookmarkEnd w:id="250"/>
    <w:bookmarkEnd w:id="251"/>
    <w:bookmarkEnd w:id="252"/>
    <w:bookmarkEnd w:id="253"/>
    <w:p w14:paraId="134584A6">
      <w:pPr>
        <w:spacing w:line="460" w:lineRule="exact"/>
        <w:ind w:left="479" w:leftChars="228"/>
        <w:rPr>
          <w:rFonts w:hint="eastAsia" w:ascii="宋体" w:hAnsi="宋体"/>
          <w:sz w:val="24"/>
        </w:rPr>
      </w:pPr>
      <w:bookmarkStart w:id="254" w:name="_Toc494558365"/>
      <w:bookmarkStart w:id="255" w:name="_Toc9002"/>
      <w:bookmarkStart w:id="256" w:name="_Toc493955970"/>
      <w:bookmarkStart w:id="257" w:name="_Toc495479104"/>
      <w:bookmarkStart w:id="258" w:name="_Toc94277251"/>
      <w:r>
        <w:rPr>
          <w:rFonts w:ascii="宋体" w:hAnsi="宋体"/>
          <w:sz w:val="24"/>
        </w:rPr>
        <w:t>3</w:t>
      </w:r>
      <w:r>
        <w:rPr>
          <w:rFonts w:hint="eastAsia" w:ascii="宋体" w:hAnsi="宋体"/>
          <w:sz w:val="24"/>
        </w:rPr>
        <w:t>7</w:t>
      </w:r>
      <w:r>
        <w:rPr>
          <w:rFonts w:ascii="宋体" w:hAnsi="宋体"/>
          <w:sz w:val="24"/>
        </w:rPr>
        <w:t>.1</w:t>
      </w:r>
      <w:r>
        <w:rPr>
          <w:rFonts w:hint="eastAsia" w:ascii="宋体" w:hAnsi="宋体"/>
          <w:sz w:val="24"/>
        </w:rPr>
        <w:t>成交人自成交通知书发出之日起30日内与采购人签订合同。</w:t>
      </w:r>
    </w:p>
    <w:p w14:paraId="6CFE939E">
      <w:pPr>
        <w:spacing w:line="460" w:lineRule="exact"/>
        <w:ind w:left="479" w:leftChars="228"/>
        <w:rPr>
          <w:rFonts w:hint="eastAsia" w:ascii="宋体" w:hAnsi="宋体"/>
          <w:sz w:val="24"/>
        </w:rPr>
      </w:pPr>
      <w:r>
        <w:rPr>
          <w:rFonts w:ascii="宋体" w:hAnsi="宋体"/>
          <w:sz w:val="24"/>
        </w:rPr>
        <w:t>3</w:t>
      </w:r>
      <w:r>
        <w:rPr>
          <w:rFonts w:hint="eastAsia" w:ascii="宋体" w:hAnsi="宋体"/>
          <w:sz w:val="24"/>
        </w:rPr>
        <w:t>7</w:t>
      </w:r>
      <w:r>
        <w:rPr>
          <w:rFonts w:ascii="宋体" w:hAnsi="宋体"/>
          <w:sz w:val="24"/>
        </w:rPr>
        <w:t xml:space="preserve">.2 </w:t>
      </w:r>
      <w:r>
        <w:rPr>
          <w:rFonts w:hint="eastAsia" w:ascii="宋体" w:hAnsi="宋体"/>
          <w:sz w:val="24"/>
        </w:rPr>
        <w:t>磋商文件、成交人的响应文件及其澄清文件等，均为签订合同的依据。</w:t>
      </w:r>
    </w:p>
    <w:p w14:paraId="7D7200E4">
      <w:pPr>
        <w:spacing w:line="460" w:lineRule="exact"/>
        <w:ind w:firstLine="480" w:firstLineChars="200"/>
        <w:rPr>
          <w:rFonts w:hint="eastAsia" w:ascii="宋体" w:hAnsi="宋体"/>
          <w:sz w:val="24"/>
        </w:rPr>
      </w:pPr>
      <w:r>
        <w:rPr>
          <w:rFonts w:ascii="宋体" w:hAnsi="宋体"/>
          <w:sz w:val="24"/>
        </w:rPr>
        <w:t>3</w:t>
      </w:r>
      <w:r>
        <w:rPr>
          <w:rFonts w:hint="eastAsia" w:ascii="宋体" w:hAnsi="宋体"/>
          <w:sz w:val="24"/>
        </w:rPr>
        <w:t>7</w:t>
      </w:r>
      <w:r>
        <w:rPr>
          <w:rFonts w:ascii="宋体" w:hAnsi="宋体"/>
          <w:sz w:val="24"/>
        </w:rPr>
        <w:t xml:space="preserve">.3 </w:t>
      </w:r>
      <w:r>
        <w:rPr>
          <w:rFonts w:hint="eastAsia" w:ascii="宋体" w:hAnsi="宋体"/>
          <w:sz w:val="24"/>
        </w:rPr>
        <w:t>成交人不遵守磋商文件和响应文件的要约条款及所作的承诺，擅自修改报价或在成交通知书发出之日起30日内，无故拖延、拒签合同者，采购代理机构和采购人有权取消供应商的成交资格。</w:t>
      </w:r>
    </w:p>
    <w:p w14:paraId="19992BA2">
      <w:pPr>
        <w:spacing w:line="460" w:lineRule="exact"/>
        <w:ind w:firstLine="480" w:firstLineChars="200"/>
        <w:rPr>
          <w:rFonts w:hint="eastAsia" w:ascii="宋体" w:hAnsi="宋体"/>
          <w:sz w:val="24"/>
        </w:rPr>
      </w:pPr>
      <w:r>
        <w:rPr>
          <w:rFonts w:hint="eastAsia" w:ascii="宋体" w:hAnsi="宋体"/>
          <w:sz w:val="24"/>
        </w:rPr>
        <w:t>按有关法律法规成交人拒绝与采购人签订合同的，采购人可以按照评审报告推荐的成交候选人名单排序，确定下一候选人为成交人，也可以重新开展政府采购活动。</w:t>
      </w:r>
    </w:p>
    <w:p w14:paraId="242BA29F">
      <w:pPr>
        <w:spacing w:line="460" w:lineRule="exact"/>
        <w:ind w:firstLine="480" w:firstLineChars="200"/>
        <w:rPr>
          <w:rFonts w:hint="eastAsia" w:ascii="宋体" w:hAnsi="宋体"/>
          <w:sz w:val="24"/>
        </w:rPr>
      </w:pPr>
      <w:r>
        <w:rPr>
          <w:rFonts w:hint="eastAsia" w:ascii="宋体" w:hAnsi="宋体"/>
          <w:sz w:val="24"/>
        </w:rPr>
        <w:t>37.4</w:t>
      </w:r>
      <w:r>
        <w:rPr>
          <w:rFonts w:ascii="宋体" w:hAnsi="宋体"/>
          <w:sz w:val="24"/>
        </w:rPr>
        <w:t xml:space="preserve"> </w:t>
      </w:r>
      <w:r>
        <w:rPr>
          <w:rFonts w:hint="eastAsia" w:ascii="宋体" w:hAnsi="宋体"/>
          <w:sz w:val="24"/>
        </w:rPr>
        <w:t>询问或者质疑事项可能影响成交结果的，采购人应当暂停签订合同，已经签订合同的，应当中止履行合同。（成交结果的质疑期为成交结果公告期限届满之日起七个工作日）。</w:t>
      </w:r>
    </w:p>
    <w:p w14:paraId="390A6D27">
      <w:pPr>
        <w:spacing w:line="460" w:lineRule="exact"/>
        <w:ind w:firstLine="480" w:firstLineChars="200"/>
        <w:rPr>
          <w:rFonts w:hint="eastAsia" w:ascii="宋体" w:hAnsi="宋体"/>
          <w:sz w:val="24"/>
        </w:rPr>
      </w:pPr>
      <w:r>
        <w:rPr>
          <w:rFonts w:hint="eastAsia" w:ascii="宋体" w:hAnsi="宋体"/>
          <w:sz w:val="24"/>
        </w:rPr>
        <w:t>37.5采购人自政府采购合同签订之日起2个工作日内，将政府采购合同在省级以上人民政府财政部门指定的媒体上公告，但政府采购合同中涉及国家秘密、商业秘密的内容除外。</w:t>
      </w:r>
    </w:p>
    <w:p w14:paraId="600A3E44">
      <w:pPr>
        <w:pStyle w:val="7"/>
        <w:spacing w:after="0"/>
        <w:ind w:firstLine="321" w:firstLineChars="100"/>
        <w:rPr>
          <w:rFonts w:hint="eastAsia" w:ascii="宋体" w:hAnsi="宋体"/>
          <w:sz w:val="32"/>
        </w:rPr>
      </w:pPr>
      <w:bookmarkStart w:id="259" w:name="_Toc19430"/>
      <w:bookmarkStart w:id="260" w:name="_Toc29661"/>
      <w:bookmarkStart w:id="261" w:name="_Toc16605"/>
      <w:bookmarkStart w:id="262" w:name="_Toc17817"/>
      <w:r>
        <w:rPr>
          <w:rFonts w:hint="eastAsia" w:ascii="宋体" w:hAnsi="宋体"/>
          <w:sz w:val="32"/>
        </w:rPr>
        <w:t>十二  验收</w:t>
      </w:r>
      <w:bookmarkEnd w:id="254"/>
      <w:bookmarkEnd w:id="255"/>
      <w:bookmarkEnd w:id="256"/>
      <w:bookmarkEnd w:id="257"/>
      <w:bookmarkEnd w:id="258"/>
      <w:bookmarkEnd w:id="259"/>
      <w:bookmarkEnd w:id="260"/>
      <w:bookmarkEnd w:id="261"/>
      <w:bookmarkEnd w:id="262"/>
    </w:p>
    <w:p w14:paraId="0403B363">
      <w:pPr>
        <w:spacing w:line="360" w:lineRule="auto"/>
        <w:ind w:firstLine="480" w:firstLineChars="200"/>
        <w:rPr>
          <w:rFonts w:hint="eastAsia" w:ascii="宋体" w:hAnsi="宋体"/>
          <w:sz w:val="24"/>
        </w:rPr>
      </w:pPr>
      <w:r>
        <w:rPr>
          <w:rFonts w:hint="eastAsia" w:ascii="宋体" w:hAnsi="宋体"/>
          <w:sz w:val="24"/>
        </w:rPr>
        <w:t>38.</w:t>
      </w:r>
      <w:r>
        <w:rPr>
          <w:rFonts w:ascii="宋体" w:hAnsi="宋体"/>
          <w:sz w:val="24"/>
        </w:rPr>
        <w:t xml:space="preserve"> </w:t>
      </w:r>
      <w:r>
        <w:rPr>
          <w:rFonts w:hint="eastAsia" w:ascii="宋体" w:hAnsi="宋体"/>
          <w:sz w:val="24"/>
        </w:rPr>
        <w:t>采购人应当按照政府采购合同规定的技术、服务、安全标准组织对供应商履约情况进行验收（考核），并出具验收书（考核结果确认表）。验收书（考核结果确认表）应当包括每一项技术、服务、安全标准的履约情况。</w:t>
      </w:r>
    </w:p>
    <w:p w14:paraId="1D059A09">
      <w:pPr>
        <w:pStyle w:val="29"/>
        <w:snapToGrid w:val="0"/>
        <w:spacing w:before="0" w:beforeAutospacing="0" w:after="0" w:afterAutospacing="0" w:line="360" w:lineRule="auto"/>
        <w:ind w:firstLine="480" w:firstLineChars="200"/>
        <w:rPr>
          <w:rFonts w:hint="eastAsia"/>
          <w:kern w:val="2"/>
        </w:rPr>
      </w:pPr>
      <w:r>
        <w:rPr>
          <w:rFonts w:hint="eastAsia"/>
          <w:kern w:val="2"/>
        </w:rPr>
        <w:t>38.1</w:t>
      </w:r>
      <w:r>
        <w:rPr>
          <w:kern w:val="2"/>
        </w:rPr>
        <w:t xml:space="preserve"> </w:t>
      </w:r>
      <w:r>
        <w:rPr>
          <w:rFonts w:hint="eastAsia"/>
          <w:kern w:val="2"/>
        </w:rPr>
        <w:t>如本项目采购人将邀请其他供应商</w:t>
      </w:r>
      <w:r>
        <w:rPr>
          <w:kern w:val="2"/>
        </w:rPr>
        <w:t>或者第三</w:t>
      </w:r>
      <w:r>
        <w:rPr>
          <w:rFonts w:hint="eastAsia"/>
          <w:kern w:val="2"/>
        </w:rPr>
        <w:t>方</w:t>
      </w:r>
      <w:r>
        <w:rPr>
          <w:kern w:val="2"/>
        </w:rPr>
        <w:t>机构</w:t>
      </w:r>
      <w:r>
        <w:rPr>
          <w:rFonts w:hint="eastAsia"/>
          <w:kern w:val="2"/>
        </w:rPr>
        <w:t>参与验收、核对成交标的的技术指标、承诺等内容，是否和磋商文件、成交人响应文件的内容相符合。</w:t>
      </w:r>
    </w:p>
    <w:p w14:paraId="7AF3002A">
      <w:pPr>
        <w:pStyle w:val="29"/>
        <w:snapToGrid w:val="0"/>
        <w:spacing w:before="0" w:beforeAutospacing="0" w:after="0" w:afterAutospacing="0" w:line="360" w:lineRule="auto"/>
        <w:ind w:firstLine="480" w:firstLineChars="200"/>
        <w:rPr>
          <w:rFonts w:hint="eastAsia"/>
          <w:kern w:val="2"/>
        </w:rPr>
      </w:pPr>
      <w:r>
        <w:rPr>
          <w:rFonts w:hint="eastAsia"/>
          <w:kern w:val="2"/>
        </w:rPr>
        <w:t>38</w:t>
      </w:r>
      <w:r>
        <w:rPr>
          <w:kern w:val="2"/>
        </w:rPr>
        <w:t>.</w:t>
      </w:r>
      <w:r>
        <w:rPr>
          <w:rFonts w:hint="eastAsia"/>
          <w:kern w:val="2"/>
        </w:rPr>
        <w:t>2其他供应商如要参与验收，在项目成交结果公告前将参与验收的人员名单、联系方式等相关信息书面告知采购人。采购人在验收二日前告知其参加验收的具体时间和地址。参加验收工作的人员，应提供供应商出具的授权委托书。</w:t>
      </w:r>
    </w:p>
    <w:p w14:paraId="575A549A">
      <w:pPr>
        <w:spacing w:line="360" w:lineRule="auto"/>
        <w:ind w:firstLine="480" w:firstLineChars="200"/>
        <w:rPr>
          <w:rFonts w:hint="eastAsia" w:ascii="宋体" w:hAnsi="宋体"/>
          <w:sz w:val="24"/>
        </w:rPr>
      </w:pPr>
      <w:r>
        <w:rPr>
          <w:rFonts w:hint="eastAsia" w:ascii="宋体" w:hAnsi="宋体"/>
          <w:sz w:val="24"/>
        </w:rPr>
        <w:t>38.3其他供应商应遵守诚实信用、实事求是的原则，在验收期间积极配合采购人组织的验收工作，不得影响或阻扰验收工作的正常进行。参与验收的一切费用，原则上由供应商自行承担。</w:t>
      </w:r>
    </w:p>
    <w:p w14:paraId="3F6C6FD6">
      <w:pPr>
        <w:pStyle w:val="7"/>
        <w:spacing w:after="0"/>
        <w:ind w:firstLine="321" w:firstLineChars="100"/>
        <w:rPr>
          <w:rFonts w:hint="eastAsia" w:ascii="宋体" w:hAnsi="宋体"/>
          <w:sz w:val="32"/>
        </w:rPr>
      </w:pPr>
      <w:bookmarkStart w:id="263" w:name="_Toc22654"/>
      <w:bookmarkStart w:id="264" w:name="_Toc94277252"/>
      <w:bookmarkStart w:id="265" w:name="_Toc25535"/>
      <w:bookmarkStart w:id="266" w:name="_Toc19784"/>
      <w:bookmarkStart w:id="267" w:name="_Toc19152"/>
      <w:bookmarkStart w:id="268" w:name="_Toc26430"/>
      <w:bookmarkStart w:id="269" w:name="_Toc493955972"/>
      <w:bookmarkStart w:id="270" w:name="_Toc494558367"/>
      <w:bookmarkStart w:id="271" w:name="_Toc495479106"/>
      <w:r>
        <w:rPr>
          <w:rFonts w:hint="eastAsia" w:ascii="宋体" w:hAnsi="宋体"/>
          <w:sz w:val="32"/>
        </w:rPr>
        <w:t>十三  政府采购政策</w:t>
      </w:r>
      <w:bookmarkEnd w:id="263"/>
      <w:bookmarkEnd w:id="264"/>
      <w:bookmarkEnd w:id="265"/>
      <w:bookmarkEnd w:id="266"/>
      <w:bookmarkEnd w:id="267"/>
      <w:bookmarkEnd w:id="268"/>
    </w:p>
    <w:p w14:paraId="3E0B410E">
      <w:pPr>
        <w:spacing w:line="360" w:lineRule="auto"/>
        <w:ind w:firstLine="480" w:firstLineChars="200"/>
        <w:rPr>
          <w:rFonts w:hint="eastAsia" w:ascii="宋体" w:hAnsi="宋体"/>
          <w:sz w:val="24"/>
        </w:rPr>
      </w:pPr>
      <w:r>
        <w:rPr>
          <w:rFonts w:hint="eastAsia" w:ascii="宋体" w:hAnsi="宋体"/>
          <w:sz w:val="24"/>
        </w:rPr>
        <w:t>39. 关于中小企业参与政府采购活动的规定</w:t>
      </w:r>
    </w:p>
    <w:p w14:paraId="50CB8788">
      <w:pPr>
        <w:adjustRightInd w:val="0"/>
        <w:snapToGrid w:val="0"/>
        <w:spacing w:line="360" w:lineRule="auto"/>
        <w:ind w:firstLine="480" w:firstLineChars="200"/>
        <w:rPr>
          <w:rFonts w:hint="eastAsia" w:ascii="宋体" w:hAnsi="宋体"/>
          <w:sz w:val="24"/>
        </w:rPr>
      </w:pPr>
      <w:r>
        <w:rPr>
          <w:rFonts w:hint="eastAsia" w:ascii="宋体" w:hAnsi="宋体"/>
          <w:sz w:val="24"/>
        </w:rPr>
        <w:t>39.1本项目</w:t>
      </w:r>
      <w:r>
        <w:rPr>
          <w:rFonts w:hint="eastAsia" w:ascii="宋体" w:hAnsi="宋体"/>
          <w:sz w:val="24"/>
          <w:u w:val="single"/>
        </w:rPr>
        <w:t xml:space="preserve"> 是 </w:t>
      </w:r>
      <w:r>
        <w:rPr>
          <w:rFonts w:hint="eastAsia" w:ascii="宋体" w:hAnsi="宋体"/>
          <w:sz w:val="24"/>
        </w:rPr>
        <w:t>专门面向中小企业采购。</w:t>
      </w:r>
    </w:p>
    <w:p w14:paraId="2B1B5741">
      <w:pPr>
        <w:adjustRightInd w:val="0"/>
        <w:snapToGrid w:val="0"/>
        <w:spacing w:line="360" w:lineRule="auto"/>
        <w:ind w:firstLine="480" w:firstLineChars="200"/>
        <w:rPr>
          <w:rFonts w:hint="eastAsia" w:ascii="宋体" w:hAnsi="宋体"/>
          <w:sz w:val="24"/>
          <w:u w:val="single"/>
        </w:rPr>
      </w:pPr>
      <w:r>
        <w:rPr>
          <w:rFonts w:hint="eastAsia" w:ascii="宋体" w:hAnsi="宋体"/>
          <w:sz w:val="24"/>
        </w:rPr>
        <w:t>39.2本项目对应的中小企业划分标准所属行业：</w:t>
      </w:r>
      <w:r>
        <w:rPr>
          <w:rFonts w:hint="eastAsia" w:ascii="宋体" w:hAnsi="宋体" w:cs="宋体"/>
          <w:kern w:val="0"/>
          <w:sz w:val="24"/>
          <w:u w:val="single"/>
          <w:lang w:bidi="ar"/>
        </w:rPr>
        <w:t>其他未列明行业</w:t>
      </w:r>
      <w:r>
        <w:rPr>
          <w:rFonts w:hint="eastAsia" w:ascii="宋体" w:hAnsi="宋体"/>
          <w:sz w:val="24"/>
        </w:rPr>
        <w:t xml:space="preserve">。 </w:t>
      </w:r>
    </w:p>
    <w:p w14:paraId="52EF3333">
      <w:pPr>
        <w:adjustRightInd w:val="0"/>
        <w:snapToGrid w:val="0"/>
        <w:spacing w:line="360" w:lineRule="auto"/>
        <w:ind w:firstLine="480" w:firstLineChars="200"/>
        <w:rPr>
          <w:rFonts w:hint="eastAsia" w:ascii="宋体" w:hAnsi="宋体"/>
          <w:sz w:val="24"/>
        </w:rPr>
      </w:pPr>
      <w:r>
        <w:rPr>
          <w:rFonts w:hint="eastAsia" w:ascii="宋体" w:hAnsi="宋体"/>
          <w:sz w:val="24"/>
        </w:rPr>
        <w:t>39.3中小企业是指在中华人民共和国境内依法设立，依据国务院批准的中小企业划分标准确定的中型企业、小型企业和微型企业，但与大企业的负责人为同一人，或者与大企业存在直接控股、管理关系的除外。</w:t>
      </w:r>
    </w:p>
    <w:p w14:paraId="3D8C1C85">
      <w:pPr>
        <w:adjustRightInd w:val="0"/>
        <w:snapToGrid w:val="0"/>
        <w:spacing w:line="360" w:lineRule="auto"/>
        <w:ind w:firstLine="480" w:firstLineChars="200"/>
        <w:rPr>
          <w:rFonts w:hint="eastAsia" w:ascii="宋体" w:hAnsi="宋体"/>
          <w:sz w:val="24"/>
        </w:rPr>
      </w:pPr>
      <w:r>
        <w:rPr>
          <w:rFonts w:hint="eastAsia" w:ascii="宋体" w:hAnsi="宋体"/>
          <w:sz w:val="24"/>
        </w:rPr>
        <w:t>符合中小企业划分标准的个体工商户，在政府采购活动中视同中小企业。</w:t>
      </w:r>
    </w:p>
    <w:p w14:paraId="432EF0DC">
      <w:pPr>
        <w:adjustRightInd w:val="0"/>
        <w:snapToGrid w:val="0"/>
        <w:spacing w:line="360" w:lineRule="auto"/>
        <w:ind w:firstLine="480" w:firstLineChars="200"/>
        <w:rPr>
          <w:rFonts w:hint="eastAsia" w:ascii="宋体" w:hAnsi="宋体"/>
          <w:sz w:val="24"/>
        </w:rPr>
      </w:pPr>
      <w:r>
        <w:rPr>
          <w:rFonts w:hint="eastAsia" w:ascii="宋体" w:hAnsi="宋体"/>
          <w:sz w:val="24"/>
        </w:rPr>
        <w:t>国务院批准的中小企业划分标准：</w:t>
      </w:r>
      <w:r>
        <w:rPr>
          <w:rFonts w:ascii="宋体" w:hAnsi="宋体"/>
          <w:sz w:val="24"/>
        </w:rPr>
        <w:t>具体见工信部联企业[2011]300号</w:t>
      </w:r>
      <w:r>
        <w:rPr>
          <w:rFonts w:hint="eastAsia" w:ascii="宋体" w:hAnsi="宋体"/>
          <w:sz w:val="24"/>
        </w:rPr>
        <w:t>。</w:t>
      </w:r>
    </w:p>
    <w:p w14:paraId="7ADAF9E4">
      <w:pPr>
        <w:adjustRightInd w:val="0"/>
        <w:snapToGrid w:val="0"/>
        <w:spacing w:line="360" w:lineRule="auto"/>
        <w:ind w:firstLine="480" w:firstLineChars="200"/>
        <w:rPr>
          <w:rFonts w:hint="eastAsia" w:ascii="宋体" w:hAnsi="宋体"/>
          <w:sz w:val="24"/>
        </w:rPr>
      </w:pPr>
      <w:r>
        <w:rPr>
          <w:rFonts w:hint="eastAsia" w:ascii="宋体" w:hAnsi="宋体"/>
          <w:sz w:val="24"/>
        </w:rPr>
        <w:t>39.4在政府采购活动中，供应商提供的货物、工程或者服务符合下列情形的，视为本办法规定的中小企业：</w:t>
      </w:r>
    </w:p>
    <w:p w14:paraId="3DB19517">
      <w:pPr>
        <w:adjustRightInd w:val="0"/>
        <w:snapToGrid w:val="0"/>
        <w:spacing w:line="360" w:lineRule="auto"/>
        <w:ind w:firstLine="480" w:firstLineChars="200"/>
        <w:rPr>
          <w:rFonts w:hint="eastAsia" w:ascii="宋体" w:hAnsi="宋体"/>
          <w:sz w:val="24"/>
        </w:rPr>
      </w:pPr>
      <w:r>
        <w:rPr>
          <w:rFonts w:hint="eastAsia" w:ascii="宋体" w:hAnsi="宋体"/>
          <w:sz w:val="24"/>
        </w:rPr>
        <w:t>（一）在货物采购项目中，货物由中小企业制造，即货物由中小企业生产且使用该中小企业商号或者注册商标；</w:t>
      </w:r>
    </w:p>
    <w:p w14:paraId="60B17788">
      <w:pPr>
        <w:adjustRightInd w:val="0"/>
        <w:snapToGrid w:val="0"/>
        <w:spacing w:line="360" w:lineRule="auto"/>
        <w:ind w:firstLine="480" w:firstLineChars="200"/>
        <w:rPr>
          <w:rFonts w:hint="eastAsia" w:ascii="宋体" w:hAnsi="宋体"/>
          <w:sz w:val="24"/>
        </w:rPr>
      </w:pPr>
      <w:r>
        <w:rPr>
          <w:rFonts w:hint="eastAsia" w:ascii="宋体" w:hAnsi="宋体"/>
          <w:sz w:val="24"/>
        </w:rPr>
        <w:t>（二）在工程采购项目中，工程由中小企业承建，即工程施工单位为中小企业；</w:t>
      </w:r>
    </w:p>
    <w:p w14:paraId="134396FE">
      <w:pPr>
        <w:adjustRightInd w:val="0"/>
        <w:snapToGrid w:val="0"/>
        <w:spacing w:line="360" w:lineRule="auto"/>
        <w:ind w:firstLine="480" w:firstLineChars="200"/>
        <w:rPr>
          <w:rFonts w:hint="eastAsia" w:ascii="宋体" w:hAnsi="宋体"/>
          <w:sz w:val="24"/>
        </w:rPr>
      </w:pPr>
      <w:r>
        <w:rPr>
          <w:rFonts w:hint="eastAsia" w:ascii="宋体" w:hAnsi="宋体"/>
          <w:sz w:val="24"/>
        </w:rPr>
        <w:t>（三）在服务采购项目中，服务由中小企业承接，即提供服务的人员为中小企业依照《中华人民共和国劳动合同法》订立劳动合同的从业人员。</w:t>
      </w:r>
    </w:p>
    <w:p w14:paraId="2304480C">
      <w:pPr>
        <w:adjustRightInd w:val="0"/>
        <w:snapToGrid w:val="0"/>
        <w:spacing w:line="360" w:lineRule="auto"/>
        <w:ind w:firstLine="480" w:firstLineChars="200"/>
        <w:rPr>
          <w:rFonts w:hint="eastAsia" w:ascii="宋体" w:hAnsi="宋体"/>
          <w:sz w:val="24"/>
        </w:rPr>
      </w:pPr>
      <w:r>
        <w:rPr>
          <w:rFonts w:hint="eastAsia" w:ascii="宋体" w:hAnsi="宋体"/>
          <w:sz w:val="24"/>
        </w:rPr>
        <w:t>在货物采购项目中，供应商提供的货物既有中小企业制造货物，也有大型企业制造货物的，视为非中小企业。</w:t>
      </w:r>
    </w:p>
    <w:p w14:paraId="764CA98E">
      <w:pPr>
        <w:adjustRightInd w:val="0"/>
        <w:snapToGrid w:val="0"/>
        <w:spacing w:line="460" w:lineRule="exact"/>
        <w:ind w:firstLine="480" w:firstLineChars="200"/>
        <w:rPr>
          <w:rFonts w:hint="eastAsia" w:ascii="宋体" w:hAnsi="宋体"/>
          <w:sz w:val="24"/>
        </w:rPr>
      </w:pPr>
      <w:bookmarkStart w:id="272" w:name="_Toc94277253"/>
      <w:r>
        <w:rPr>
          <w:rFonts w:hint="eastAsia" w:ascii="宋体" w:hAnsi="宋体"/>
          <w:sz w:val="24"/>
        </w:rPr>
        <w:t>39.5中小企业应按照采购文件格式要求提供《中小企业声明函》</w:t>
      </w:r>
      <w:r>
        <w:rPr>
          <w:rFonts w:hint="eastAsia" w:ascii="宋体" w:hAnsi="宋体" w:cs="宋体"/>
          <w:spacing w:val="8"/>
          <w:kern w:val="0"/>
          <w:sz w:val="24"/>
          <w:szCs w:val="28"/>
        </w:rPr>
        <w:t>，否则</w:t>
      </w:r>
      <w:r>
        <w:rPr>
          <w:rFonts w:hint="eastAsia" w:ascii="宋体" w:hAnsi="宋体"/>
          <w:sz w:val="24"/>
        </w:rPr>
        <w:t>视为非中小企业。</w:t>
      </w:r>
    </w:p>
    <w:p w14:paraId="7611AB70">
      <w:pPr>
        <w:adjustRightInd w:val="0"/>
        <w:snapToGrid w:val="0"/>
        <w:spacing w:line="360" w:lineRule="auto"/>
        <w:ind w:firstLine="480" w:firstLineChars="200"/>
        <w:rPr>
          <w:rFonts w:hint="eastAsia" w:ascii="宋体" w:hAnsi="宋体"/>
          <w:sz w:val="24"/>
        </w:rPr>
      </w:pPr>
      <w:r>
        <w:rPr>
          <w:rFonts w:hint="eastAsia" w:ascii="宋体" w:hAnsi="宋体" w:cs="仿宋"/>
          <w:sz w:val="24"/>
        </w:rPr>
        <w:t>39</w:t>
      </w:r>
      <w:r>
        <w:rPr>
          <w:rFonts w:hint="eastAsia" w:ascii="宋体" w:hAnsi="宋体"/>
          <w:sz w:val="24"/>
        </w:rPr>
        <w:t>.6</w:t>
      </w:r>
      <w:r>
        <w:rPr>
          <w:rFonts w:ascii="宋体" w:hAnsi="宋体"/>
          <w:sz w:val="24"/>
        </w:rPr>
        <w:t>根据《财政部司法部关于政府采购支持监狱企业发展有关问题的通知》（财库〔2014〕68号）规定，监狱企业视同小型、微型企业。监狱企业参加政府采购活动时，应当提供由省级以上监狱管理局、戒毒管理局（含新疆生产建设兵团）出具的属于监狱企业的证明文件。</w:t>
      </w:r>
    </w:p>
    <w:p w14:paraId="1EEAD576">
      <w:pPr>
        <w:adjustRightInd w:val="0"/>
        <w:snapToGrid w:val="0"/>
        <w:spacing w:line="360" w:lineRule="auto"/>
        <w:ind w:firstLine="480" w:firstLineChars="200"/>
        <w:rPr>
          <w:rFonts w:hint="eastAsia" w:ascii="宋体" w:hAnsi="宋体"/>
          <w:sz w:val="24"/>
        </w:rPr>
      </w:pPr>
      <w:r>
        <w:rPr>
          <w:rFonts w:hint="eastAsia" w:ascii="宋体" w:hAnsi="宋体" w:cs="仿宋"/>
          <w:sz w:val="24"/>
        </w:rPr>
        <w:t>39</w:t>
      </w:r>
      <w:r>
        <w:rPr>
          <w:rFonts w:hint="eastAsia" w:ascii="宋体" w:hAnsi="宋体"/>
          <w:sz w:val="24"/>
        </w:rPr>
        <w:t>.7</w:t>
      </w:r>
      <w:r>
        <w:rPr>
          <w:rFonts w:ascii="宋体" w:hAnsi="宋体"/>
          <w:sz w:val="24"/>
        </w:rPr>
        <w:t>根据《关于促进残疾人就业政府采购政策的通知》（财库[201</w:t>
      </w:r>
      <w:r>
        <w:rPr>
          <w:rFonts w:hint="eastAsia" w:ascii="宋体" w:hAnsi="宋体"/>
          <w:sz w:val="24"/>
        </w:rPr>
        <w:t>7</w:t>
      </w:r>
      <w:r>
        <w:rPr>
          <w:rFonts w:ascii="宋体" w:hAnsi="宋体"/>
          <w:sz w:val="24"/>
        </w:rPr>
        <w:t>]141号）规定，在政府采购活动中，残疾人福利性单位视同小型、微型企业。残疾人福利性单位参加政府采购活动时，提供《残疾人福利性单位声明函》。</w:t>
      </w:r>
    </w:p>
    <w:p w14:paraId="320BC764">
      <w:pPr>
        <w:adjustRightInd w:val="0"/>
        <w:snapToGrid w:val="0"/>
        <w:spacing w:line="360" w:lineRule="auto"/>
        <w:ind w:firstLine="480" w:firstLineChars="200"/>
        <w:rPr>
          <w:rFonts w:hint="eastAsia" w:ascii="宋体" w:hAnsi="宋体"/>
          <w:sz w:val="24"/>
        </w:rPr>
      </w:pPr>
      <w:r>
        <w:rPr>
          <w:rFonts w:hint="eastAsia" w:ascii="宋体" w:hAnsi="宋体" w:cs="仿宋"/>
          <w:sz w:val="24"/>
        </w:rPr>
        <w:t>39</w:t>
      </w:r>
      <w:r>
        <w:rPr>
          <w:rFonts w:hint="eastAsia" w:ascii="宋体" w:hAnsi="宋体"/>
          <w:sz w:val="24"/>
        </w:rPr>
        <w:t>.8按规定享受扶持政策获得政府采购合同的，小微企业不得将合同分包给大中型企业，中型企业不得将合同分包给大型企业。</w:t>
      </w:r>
    </w:p>
    <w:p w14:paraId="08ED11A9">
      <w:pPr>
        <w:spacing w:line="360" w:lineRule="auto"/>
        <w:ind w:firstLine="480" w:firstLineChars="200"/>
        <w:rPr>
          <w:rFonts w:hint="eastAsia" w:ascii="宋体" w:hAnsi="宋体" w:cs="宋体"/>
          <w:bCs/>
          <w:sz w:val="24"/>
        </w:rPr>
      </w:pPr>
      <w:r>
        <w:rPr>
          <w:rFonts w:hint="eastAsia" w:ascii="宋体" w:hAnsi="宋体" w:cs="仿宋"/>
          <w:sz w:val="24"/>
        </w:rPr>
        <w:t>39</w:t>
      </w:r>
      <w:r>
        <w:rPr>
          <w:rFonts w:hint="eastAsia" w:ascii="宋体" w:hAnsi="宋体"/>
          <w:sz w:val="24"/>
        </w:rPr>
        <w:t>.9供应商按照《政府采购促进中小企业发展管理办法》（财库﹝2020﹞46号）规定提供声明函内容不实的，属于提供虚假材料谋取中标、成交，依照《中华人民共和国政府采购法》等国家有关规定追究相应责任。</w:t>
      </w:r>
    </w:p>
    <w:p w14:paraId="09CB3B11">
      <w:pPr>
        <w:pStyle w:val="7"/>
        <w:spacing w:after="0"/>
        <w:ind w:firstLine="321" w:firstLineChars="100"/>
        <w:rPr>
          <w:rFonts w:hint="eastAsia" w:ascii="宋体" w:hAnsi="宋体"/>
          <w:sz w:val="32"/>
        </w:rPr>
      </w:pPr>
      <w:bookmarkStart w:id="273" w:name="_Toc23092"/>
      <w:bookmarkStart w:id="274" w:name="_Toc30235"/>
      <w:bookmarkStart w:id="275" w:name="_Toc30607"/>
      <w:bookmarkStart w:id="276" w:name="_Toc14169"/>
      <w:bookmarkStart w:id="277" w:name="_Toc26073"/>
      <w:r>
        <w:rPr>
          <w:rFonts w:hint="eastAsia" w:ascii="宋体" w:hAnsi="宋体"/>
          <w:sz w:val="32"/>
        </w:rPr>
        <w:t>十四  其他事项</w:t>
      </w:r>
      <w:bookmarkEnd w:id="269"/>
      <w:bookmarkEnd w:id="270"/>
      <w:bookmarkEnd w:id="271"/>
      <w:bookmarkEnd w:id="272"/>
      <w:bookmarkEnd w:id="273"/>
      <w:bookmarkEnd w:id="274"/>
      <w:bookmarkEnd w:id="275"/>
      <w:bookmarkEnd w:id="276"/>
      <w:bookmarkEnd w:id="277"/>
    </w:p>
    <w:p w14:paraId="54A5B744">
      <w:pPr>
        <w:spacing w:line="360" w:lineRule="auto"/>
        <w:ind w:firstLine="480" w:firstLineChars="200"/>
        <w:rPr>
          <w:rFonts w:hint="eastAsia" w:ascii="宋体" w:hAnsi="宋体"/>
          <w:sz w:val="24"/>
        </w:rPr>
      </w:pPr>
      <w:r>
        <w:rPr>
          <w:rFonts w:hint="eastAsia" w:ascii="宋体" w:hAnsi="宋体"/>
          <w:bCs/>
          <w:sz w:val="24"/>
        </w:rPr>
        <w:t>40.</w:t>
      </w:r>
      <w:r>
        <w:rPr>
          <w:rFonts w:hint="eastAsia" w:ascii="宋体" w:hAnsi="宋体"/>
          <w:sz w:val="24"/>
        </w:rPr>
        <w:t xml:space="preserve"> 解释权 </w:t>
      </w:r>
    </w:p>
    <w:p w14:paraId="74749F77">
      <w:pPr>
        <w:spacing w:line="360" w:lineRule="auto"/>
        <w:ind w:firstLine="480" w:firstLineChars="200"/>
        <w:rPr>
          <w:rFonts w:hint="eastAsia" w:ascii="宋体" w:hAnsi="宋体"/>
          <w:bCs/>
          <w:sz w:val="24"/>
        </w:rPr>
      </w:pPr>
      <w:r>
        <w:rPr>
          <w:rFonts w:hint="eastAsia" w:ascii="宋体" w:hAnsi="宋体"/>
          <w:bCs/>
          <w:sz w:val="24"/>
        </w:rPr>
        <w:t>40.1本磋商文件是根据国家有关法律、法规、规章和有关规定编制的，解释权属采购代理机构。</w:t>
      </w:r>
    </w:p>
    <w:p w14:paraId="39168A6C">
      <w:pPr>
        <w:spacing w:line="360" w:lineRule="auto"/>
        <w:ind w:firstLine="480" w:firstLineChars="200"/>
        <w:rPr>
          <w:rFonts w:hint="eastAsia" w:ascii="宋体" w:hAnsi="宋体"/>
          <w:sz w:val="24"/>
        </w:rPr>
      </w:pPr>
      <w:r>
        <w:rPr>
          <w:rFonts w:hint="eastAsia" w:ascii="宋体" w:hAnsi="宋体"/>
          <w:bCs/>
          <w:sz w:val="24"/>
        </w:rPr>
        <w:t>40.2.采购代理机构</w:t>
      </w:r>
      <w:r>
        <w:rPr>
          <w:rFonts w:hint="eastAsia" w:ascii="宋体" w:hAnsi="宋体"/>
          <w:sz w:val="24"/>
        </w:rPr>
        <w:t>对决标结果不负责解释。</w:t>
      </w:r>
    </w:p>
    <w:p w14:paraId="30C9242E">
      <w:pPr>
        <w:spacing w:line="560" w:lineRule="exact"/>
        <w:ind w:firstLine="482" w:firstLineChars="200"/>
        <w:rPr>
          <w:rFonts w:hint="eastAsia" w:ascii="宋体" w:hAnsi="宋体" w:cs="宋体"/>
          <w:b/>
          <w:sz w:val="24"/>
          <w:highlight w:val="none"/>
        </w:rPr>
      </w:pPr>
      <w:bookmarkStart w:id="278" w:name="_Toc435628435"/>
      <w:bookmarkStart w:id="279" w:name="_Toc390938588"/>
      <w:bookmarkStart w:id="280" w:name="_Toc390938597"/>
      <w:r>
        <w:rPr>
          <w:rFonts w:hint="eastAsia" w:ascii="宋体" w:hAnsi="宋体" w:cs="宋体"/>
          <w:b/>
          <w:sz w:val="24"/>
          <w:highlight w:val="none"/>
        </w:rPr>
        <w:t>41. 采购代理服务费:</w:t>
      </w:r>
    </w:p>
    <w:p w14:paraId="58408AB3">
      <w:pPr>
        <w:spacing w:line="360" w:lineRule="auto"/>
        <w:ind w:firstLine="482" w:firstLineChars="200"/>
        <w:rPr>
          <w:rFonts w:hint="eastAsia" w:ascii="宋体" w:hAnsi="宋体"/>
          <w:b/>
          <w:bCs/>
          <w:sz w:val="24"/>
          <w:highlight w:val="none"/>
        </w:rPr>
      </w:pPr>
      <w:r>
        <w:rPr>
          <w:rFonts w:hint="eastAsia" w:ascii="宋体" w:hAnsi="宋体"/>
          <w:b/>
          <w:bCs/>
          <w:sz w:val="24"/>
          <w:highlight w:val="none"/>
        </w:rPr>
        <w:t>41.1</w:t>
      </w:r>
      <w:r>
        <w:rPr>
          <w:rFonts w:hint="eastAsia" w:ascii="宋体" w:hAnsi="宋体" w:cs="宋体"/>
          <w:b/>
          <w:bCs/>
          <w:sz w:val="24"/>
          <w:highlight w:val="none"/>
        </w:rPr>
        <w:t>由成交人支付代理服务费，</w:t>
      </w:r>
      <w:r>
        <w:rPr>
          <w:rFonts w:hint="eastAsia" w:ascii="宋体" w:hAnsi="宋体" w:eastAsia="宋体" w:cs="Times New Roman"/>
          <w:b/>
          <w:bCs/>
          <w:sz w:val="24"/>
          <w:highlight w:val="none"/>
        </w:rPr>
        <w:t>代理服务费按人民</w:t>
      </w:r>
      <w:r>
        <w:rPr>
          <w:rFonts w:hint="eastAsia" w:ascii="宋体" w:hAnsi="宋体" w:eastAsia="宋体" w:cs="Times New Roman"/>
          <w:b/>
          <w:bCs/>
          <w:sz w:val="24"/>
          <w:szCs w:val="24"/>
          <w:highlight w:val="none"/>
        </w:rPr>
        <w:t>币</w:t>
      </w:r>
      <w:r>
        <w:rPr>
          <w:rFonts w:hint="eastAsia" w:ascii="宋体" w:hAnsi="宋体" w:cs="Times New Roman"/>
          <w:b/>
          <w:bCs/>
          <w:sz w:val="24"/>
          <w:szCs w:val="24"/>
          <w:highlight w:val="none"/>
          <w:lang w:eastAsia="zh-CN"/>
        </w:rPr>
        <w:fldChar w:fldCharType="begin"/>
      </w:r>
      <w:r>
        <w:rPr>
          <w:rFonts w:hint="eastAsia" w:ascii="宋体" w:hAnsi="宋体" w:cs="Times New Roman"/>
          <w:b/>
          <w:bCs/>
          <w:sz w:val="24"/>
          <w:szCs w:val="24"/>
          <w:highlight w:val="none"/>
          <w:lang w:eastAsia="zh-CN"/>
        </w:rPr>
        <w:instrText xml:space="preserve"> = 4000 \* CHINESENUM4 \* MERGEFORMAT </w:instrText>
      </w:r>
      <w:r>
        <w:rPr>
          <w:rFonts w:hint="eastAsia" w:ascii="宋体" w:hAnsi="宋体" w:cs="Times New Roman"/>
          <w:b/>
          <w:bCs/>
          <w:sz w:val="24"/>
          <w:szCs w:val="24"/>
          <w:highlight w:val="none"/>
          <w:lang w:eastAsia="zh-CN"/>
        </w:rPr>
        <w:fldChar w:fldCharType="separate"/>
      </w:r>
      <w:r>
        <w:rPr>
          <w:rFonts w:hint="eastAsia" w:ascii="宋体" w:hAnsi="宋体" w:cs="Times New Roman"/>
          <w:b/>
          <w:bCs/>
          <w:sz w:val="24"/>
          <w:szCs w:val="24"/>
          <w:highlight w:val="none"/>
          <w:lang w:val="en-US" w:eastAsia="zh-CN"/>
        </w:rPr>
        <w:t>肆仟</w:t>
      </w:r>
      <w:r>
        <w:rPr>
          <w:b/>
          <w:bCs/>
          <w:sz w:val="24"/>
          <w:szCs w:val="24"/>
          <w:highlight w:val="none"/>
        </w:rPr>
        <w:t>元整</w:t>
      </w:r>
      <w:r>
        <w:rPr>
          <w:rFonts w:hint="eastAsia" w:ascii="宋体" w:hAnsi="宋体" w:cs="Times New Roman"/>
          <w:b/>
          <w:bCs/>
          <w:sz w:val="24"/>
          <w:szCs w:val="24"/>
          <w:highlight w:val="none"/>
          <w:lang w:eastAsia="zh-CN"/>
        </w:rPr>
        <w:fldChar w:fldCharType="end"/>
      </w:r>
      <w:r>
        <w:rPr>
          <w:rFonts w:hint="eastAsia" w:ascii="宋体" w:hAnsi="宋体" w:eastAsia="宋体" w:cs="Times New Roman"/>
          <w:b/>
          <w:bCs/>
          <w:color w:val="auto"/>
          <w:sz w:val="24"/>
          <w:highlight w:val="none"/>
          <w:lang w:eastAsia="zh-CN"/>
        </w:rPr>
        <w:t>（¥</w:t>
      </w:r>
      <w:r>
        <w:rPr>
          <w:rFonts w:hint="eastAsia" w:ascii="宋体" w:hAnsi="宋体" w:cs="Times New Roman"/>
          <w:b/>
          <w:bCs/>
          <w:color w:val="auto"/>
          <w:sz w:val="24"/>
          <w:highlight w:val="none"/>
          <w:lang w:val="en-US" w:eastAsia="zh-CN"/>
        </w:rPr>
        <w:t>4000.00</w:t>
      </w:r>
      <w:r>
        <w:rPr>
          <w:rFonts w:hint="eastAsia" w:ascii="宋体" w:hAnsi="宋体" w:eastAsia="宋体" w:cs="Times New Roman"/>
          <w:b/>
          <w:bCs/>
          <w:color w:val="auto"/>
          <w:sz w:val="24"/>
          <w:highlight w:val="none"/>
          <w:lang w:val="en-US" w:eastAsia="zh-CN"/>
        </w:rPr>
        <w:t>0</w:t>
      </w:r>
      <w:r>
        <w:rPr>
          <w:rFonts w:hint="eastAsia" w:ascii="宋体" w:hAnsi="宋体" w:eastAsia="宋体" w:cs="Times New Roman"/>
          <w:b/>
          <w:bCs/>
          <w:color w:val="auto"/>
          <w:sz w:val="24"/>
          <w:highlight w:val="none"/>
          <w:lang w:eastAsia="zh-CN"/>
        </w:rPr>
        <w:t>）</w:t>
      </w:r>
      <w:r>
        <w:rPr>
          <w:rFonts w:hint="eastAsia" w:ascii="宋体" w:hAnsi="宋体" w:eastAsia="宋体" w:cs="Times New Roman"/>
          <w:b/>
          <w:bCs/>
          <w:color w:val="auto"/>
          <w:sz w:val="24"/>
          <w:highlight w:val="none"/>
        </w:rPr>
        <w:t>计取</w:t>
      </w:r>
      <w:r>
        <w:rPr>
          <w:rFonts w:hint="eastAsia" w:ascii="宋体" w:hAnsi="宋体"/>
          <w:b/>
          <w:bCs/>
          <w:color w:val="auto"/>
          <w:sz w:val="24"/>
          <w:highlight w:val="none"/>
        </w:rPr>
        <w:t>，</w:t>
      </w:r>
      <w:r>
        <w:rPr>
          <w:rFonts w:hint="eastAsia" w:ascii="宋体" w:hAnsi="宋体" w:cs="宋体"/>
          <w:b/>
          <w:bCs/>
          <w:sz w:val="24"/>
          <w:highlight w:val="none"/>
        </w:rPr>
        <w:t>成交人在成交公告发布之日起5个工作日内向采购代理机构一次性付清。</w:t>
      </w:r>
    </w:p>
    <w:p w14:paraId="3F15ECD7">
      <w:pPr>
        <w:spacing w:line="360" w:lineRule="auto"/>
        <w:ind w:firstLine="482" w:firstLineChars="200"/>
        <w:rPr>
          <w:rFonts w:hint="eastAsia" w:ascii="宋体" w:hAnsi="宋体"/>
          <w:b/>
          <w:bCs/>
          <w:sz w:val="24"/>
        </w:rPr>
      </w:pPr>
      <w:r>
        <w:rPr>
          <w:rFonts w:hint="eastAsia" w:ascii="宋体" w:hAnsi="宋体"/>
          <w:b/>
          <w:bCs/>
          <w:sz w:val="24"/>
        </w:rPr>
        <w:t>40.2 代理机构账户信息：</w:t>
      </w:r>
    </w:p>
    <w:p w14:paraId="472BB897">
      <w:pPr>
        <w:spacing w:line="360" w:lineRule="auto"/>
        <w:ind w:firstLine="482" w:firstLineChars="200"/>
        <w:jc w:val="left"/>
        <w:rPr>
          <w:rFonts w:hint="eastAsia" w:ascii="宋体" w:hAnsi="宋体"/>
          <w:b/>
          <w:bCs/>
          <w:sz w:val="24"/>
        </w:rPr>
      </w:pPr>
      <w:r>
        <w:rPr>
          <w:rFonts w:hint="eastAsia" w:ascii="宋体" w:hAnsi="宋体"/>
          <w:b/>
          <w:bCs/>
          <w:sz w:val="24"/>
        </w:rPr>
        <w:t>户名：卓正招标咨询（丽水）有限公司</w:t>
      </w:r>
    </w:p>
    <w:p w14:paraId="73555371">
      <w:pPr>
        <w:spacing w:line="360" w:lineRule="auto"/>
        <w:ind w:firstLine="482" w:firstLineChars="200"/>
        <w:jc w:val="left"/>
        <w:rPr>
          <w:rFonts w:hint="eastAsia" w:ascii="宋体" w:hAnsi="宋体"/>
          <w:b/>
          <w:bCs/>
          <w:sz w:val="24"/>
        </w:rPr>
      </w:pPr>
      <w:r>
        <w:rPr>
          <w:rFonts w:hint="eastAsia" w:ascii="宋体" w:hAnsi="宋体"/>
          <w:b/>
          <w:bCs/>
          <w:sz w:val="24"/>
        </w:rPr>
        <w:t>账号：1</w:t>
      </w:r>
      <w:r>
        <w:rPr>
          <w:rFonts w:ascii="宋体" w:hAnsi="宋体"/>
          <w:b/>
          <w:bCs/>
          <w:sz w:val="24"/>
        </w:rPr>
        <w:t>210205009200198220</w:t>
      </w:r>
    </w:p>
    <w:p w14:paraId="2B6F070B">
      <w:pPr>
        <w:spacing w:line="360" w:lineRule="auto"/>
        <w:ind w:firstLine="482" w:firstLineChars="200"/>
        <w:jc w:val="left"/>
        <w:rPr>
          <w:rFonts w:hint="eastAsia" w:ascii="宋体" w:hAnsi="宋体"/>
        </w:rPr>
      </w:pPr>
      <w:r>
        <w:rPr>
          <w:rFonts w:hint="eastAsia" w:ascii="宋体" w:hAnsi="宋体"/>
          <w:b/>
          <w:bCs/>
          <w:sz w:val="24"/>
        </w:rPr>
        <w:t>开户银行：中国工商银行股份有限公司丽水莲城支行</w:t>
      </w:r>
    </w:p>
    <w:p w14:paraId="5D6E0789">
      <w:pPr>
        <w:spacing w:line="560" w:lineRule="exact"/>
        <w:ind w:firstLine="562" w:firstLineChars="200"/>
        <w:jc w:val="center"/>
        <w:outlineLvl w:val="0"/>
        <w:rPr>
          <w:rFonts w:hint="eastAsia" w:ascii="宋体" w:hAnsi="宋体"/>
          <w:sz w:val="36"/>
          <w:szCs w:val="36"/>
        </w:rPr>
      </w:pPr>
      <w:r>
        <w:rPr>
          <w:rFonts w:hint="eastAsia"/>
          <w:b/>
          <w:sz w:val="28"/>
          <w:szCs w:val="28"/>
        </w:rPr>
        <w:br w:type="page"/>
      </w:r>
      <w:bookmarkStart w:id="281" w:name="_Toc1025"/>
      <w:bookmarkStart w:id="282" w:name="_Toc30573"/>
      <w:bookmarkStart w:id="283" w:name="_Toc21163"/>
      <w:bookmarkStart w:id="284" w:name="_Toc94277254"/>
      <w:bookmarkStart w:id="285" w:name="_Toc22490"/>
      <w:r>
        <w:rPr>
          <w:rFonts w:hint="eastAsia" w:ascii="宋体" w:hAnsi="宋体" w:cs="宋体"/>
          <w:b/>
          <w:bCs/>
          <w:sz w:val="36"/>
          <w:szCs w:val="36"/>
        </w:rPr>
        <w:t xml:space="preserve">第三章  </w:t>
      </w:r>
      <w:bookmarkEnd w:id="278"/>
      <w:bookmarkEnd w:id="279"/>
      <w:r>
        <w:rPr>
          <w:rFonts w:hint="eastAsia" w:ascii="宋体" w:hAnsi="宋体" w:cs="宋体"/>
          <w:b/>
          <w:bCs/>
          <w:sz w:val="36"/>
          <w:szCs w:val="36"/>
        </w:rPr>
        <w:t>采购需求</w:t>
      </w:r>
      <w:bookmarkEnd w:id="281"/>
      <w:bookmarkEnd w:id="282"/>
      <w:bookmarkEnd w:id="283"/>
      <w:bookmarkEnd w:id="284"/>
      <w:bookmarkEnd w:id="285"/>
    </w:p>
    <w:p w14:paraId="07DE5259">
      <w:pPr>
        <w:pStyle w:val="7"/>
        <w:spacing w:before="160" w:after="160" w:line="360" w:lineRule="auto"/>
        <w:ind w:firstLine="0" w:firstLineChars="0"/>
        <w:rPr>
          <w:rFonts w:hint="default" w:ascii="宋体" w:hAnsi="宋体" w:eastAsia="宋体" w:cs="宋体"/>
          <w:lang w:val="en-US" w:eastAsia="zh-CN"/>
        </w:rPr>
      </w:pPr>
      <w:bookmarkStart w:id="286" w:name="_Toc12048"/>
      <w:bookmarkStart w:id="287" w:name="_Toc13672"/>
      <w:bookmarkStart w:id="288" w:name="_Toc29648"/>
      <w:bookmarkStart w:id="289" w:name="_Toc29719"/>
      <w:bookmarkStart w:id="290" w:name="_Toc12936"/>
      <w:bookmarkStart w:id="291" w:name="_Toc390874092"/>
      <w:bookmarkStart w:id="292" w:name="_Toc94277257"/>
      <w:bookmarkStart w:id="293" w:name="_Toc435628438"/>
      <w:r>
        <w:rPr>
          <w:rFonts w:hint="eastAsia" w:ascii="宋体" w:hAnsi="宋体" w:cs="宋体"/>
        </w:rPr>
        <w:t>一、</w:t>
      </w:r>
      <w:bookmarkEnd w:id="286"/>
      <w:bookmarkEnd w:id="287"/>
      <w:r>
        <w:rPr>
          <w:rFonts w:hint="eastAsia" w:ascii="宋体" w:hAnsi="宋体" w:cs="宋体"/>
          <w:lang w:val="en-US" w:eastAsia="zh-CN"/>
        </w:rPr>
        <w:t>项目概况</w:t>
      </w:r>
      <w:bookmarkEnd w:id="288"/>
      <w:bookmarkEnd w:id="289"/>
    </w:p>
    <w:p w14:paraId="23C05C64">
      <w:pPr>
        <w:spacing w:line="360" w:lineRule="auto"/>
        <w:ind w:firstLine="480" w:firstLineChars="200"/>
        <w:rPr>
          <w:rFonts w:hint="eastAsia" w:ascii="宋体" w:hAnsi="宋体" w:cs="宋体"/>
          <w:sz w:val="24"/>
        </w:rPr>
      </w:pPr>
      <w:bookmarkStart w:id="294" w:name="_Toc452397289"/>
      <w:bookmarkStart w:id="295" w:name="_Toc29937"/>
      <w:bookmarkStart w:id="296" w:name="_Toc352164004"/>
      <w:bookmarkStart w:id="297" w:name="_Toc21694"/>
      <w:bookmarkStart w:id="298" w:name="_Toc24990"/>
      <w:bookmarkStart w:id="299" w:name="_Toc277446272"/>
      <w:r>
        <w:rPr>
          <w:rFonts w:hint="eastAsia" w:ascii="宋体" w:hAnsi="宋体" w:cs="宋体"/>
          <w:sz w:val="24"/>
        </w:rPr>
        <w:t>坚持以习近平新时代中国特色社会主义思想为指导，锚定丽水全市文明创建建设目标，构建科学化、长效化的文明城市创建测评机制，形成“以测促建、测建联动”的工作格局，推动全域文明创建提速增效。</w:t>
      </w:r>
    </w:p>
    <w:p w14:paraId="61EAA5D2">
      <w:pPr>
        <w:pStyle w:val="7"/>
        <w:numPr>
          <w:ilvl w:val="0"/>
          <w:numId w:val="0"/>
        </w:numPr>
        <w:spacing w:before="160" w:after="160" w:line="360" w:lineRule="auto"/>
        <w:rPr>
          <w:rFonts w:hint="default" w:ascii="宋体" w:hAnsi="宋体" w:eastAsia="宋体" w:cs="宋体"/>
          <w:lang w:val="en-US" w:eastAsia="zh-CN"/>
        </w:rPr>
      </w:pPr>
      <w:bookmarkStart w:id="300" w:name="_Toc8031"/>
      <w:bookmarkStart w:id="301" w:name="_Toc30483"/>
      <w:r>
        <w:rPr>
          <w:rFonts w:hint="eastAsia" w:ascii="宋体" w:hAnsi="宋体" w:cs="宋体"/>
          <w:lang w:eastAsia="zh-CN"/>
        </w:rPr>
        <w:t>二、</w:t>
      </w:r>
      <w:bookmarkEnd w:id="294"/>
      <w:bookmarkEnd w:id="295"/>
      <w:bookmarkEnd w:id="296"/>
      <w:bookmarkEnd w:id="297"/>
      <w:bookmarkEnd w:id="298"/>
      <w:r>
        <w:rPr>
          <w:rFonts w:hint="eastAsia" w:ascii="宋体" w:hAnsi="宋体" w:cs="宋体"/>
          <w:lang w:val="en-US" w:eastAsia="zh-CN"/>
        </w:rPr>
        <w:t>实地测评</w:t>
      </w:r>
      <w:bookmarkEnd w:id="300"/>
      <w:bookmarkEnd w:id="301"/>
    </w:p>
    <w:p w14:paraId="5E51FCDC">
      <w:pPr>
        <w:pStyle w:val="7"/>
        <w:spacing w:before="156" w:after="156" w:line="240" w:lineRule="auto"/>
        <w:rPr>
          <w:rFonts w:hint="eastAsia"/>
          <w:sz w:val="24"/>
          <w:szCs w:val="24"/>
        </w:rPr>
      </w:pPr>
      <w:bookmarkStart w:id="302" w:name="_Toc13368"/>
      <w:bookmarkStart w:id="303" w:name="_Toc15483"/>
      <w:r>
        <w:rPr>
          <w:rFonts w:hint="eastAsia"/>
          <w:sz w:val="24"/>
          <w:szCs w:val="24"/>
        </w:rPr>
        <w:t>（一）测评内容</w:t>
      </w:r>
      <w:bookmarkEnd w:id="302"/>
      <w:bookmarkEnd w:id="303"/>
    </w:p>
    <w:p w14:paraId="5E94BF79">
      <w:pPr>
        <w:spacing w:line="360" w:lineRule="auto"/>
        <w:ind w:firstLine="480" w:firstLineChars="200"/>
        <w:rPr>
          <w:rFonts w:hint="eastAsia" w:ascii="宋体" w:hAnsi="宋体" w:cs="宋体"/>
          <w:sz w:val="24"/>
        </w:rPr>
      </w:pPr>
      <w:r>
        <w:rPr>
          <w:rFonts w:hint="eastAsia" w:ascii="宋体" w:hAnsi="宋体" w:cs="宋体"/>
          <w:sz w:val="24"/>
        </w:rPr>
        <w:t>测评以《全国文明城市测评体系（县级）》为大纲，并结合具有“丽水辨识度”的测评指标体系的具体要求开展实施。</w:t>
      </w:r>
    </w:p>
    <w:p w14:paraId="778D398F">
      <w:pPr>
        <w:pStyle w:val="7"/>
        <w:spacing w:before="156" w:after="156" w:line="360" w:lineRule="auto"/>
        <w:rPr>
          <w:rFonts w:hint="eastAsia"/>
          <w:sz w:val="24"/>
          <w:szCs w:val="24"/>
        </w:rPr>
      </w:pPr>
      <w:bookmarkStart w:id="304" w:name="_Toc16380"/>
      <w:bookmarkStart w:id="305" w:name="_Toc743"/>
      <w:r>
        <w:rPr>
          <w:rFonts w:hint="eastAsia"/>
          <w:sz w:val="24"/>
          <w:szCs w:val="24"/>
        </w:rPr>
        <w:t>（二）测评范围</w:t>
      </w:r>
      <w:bookmarkEnd w:id="304"/>
      <w:bookmarkEnd w:id="305"/>
    </w:p>
    <w:p w14:paraId="76D84D10">
      <w:pPr>
        <w:spacing w:line="360" w:lineRule="auto"/>
        <w:ind w:firstLine="480" w:firstLineChars="200"/>
        <w:rPr>
          <w:rFonts w:hint="eastAsia" w:ascii="宋体" w:hAnsi="宋体" w:cs="宋体"/>
          <w:sz w:val="24"/>
        </w:rPr>
      </w:pPr>
      <w:r>
        <w:rPr>
          <w:rFonts w:hint="eastAsia" w:ascii="宋体" w:hAnsi="宋体" w:cs="宋体"/>
          <w:sz w:val="24"/>
        </w:rPr>
        <w:t>丽水市辖区3-4个县（市），实际测评项目和点位范围根据</w:t>
      </w:r>
      <w:r>
        <w:rPr>
          <w:rFonts w:hint="eastAsia" w:ascii="宋体" w:hAnsi="宋体" w:cs="宋体"/>
          <w:sz w:val="24"/>
          <w:lang w:val="en-US" w:eastAsia="zh-CN"/>
        </w:rPr>
        <w:t>采购人</w:t>
      </w:r>
      <w:r>
        <w:rPr>
          <w:rFonts w:hint="eastAsia" w:ascii="宋体" w:hAnsi="宋体" w:cs="宋体"/>
          <w:sz w:val="24"/>
        </w:rPr>
        <w:t>要求划定。</w:t>
      </w:r>
    </w:p>
    <w:p w14:paraId="44C876D0">
      <w:pPr>
        <w:pStyle w:val="7"/>
        <w:spacing w:before="156" w:after="156" w:line="360" w:lineRule="auto"/>
        <w:rPr>
          <w:rFonts w:hint="eastAsia"/>
          <w:sz w:val="24"/>
          <w:szCs w:val="24"/>
        </w:rPr>
      </w:pPr>
      <w:bookmarkStart w:id="306" w:name="_Toc13928"/>
      <w:bookmarkStart w:id="307" w:name="_Toc15154"/>
      <w:r>
        <w:rPr>
          <w:rFonts w:hint="eastAsia"/>
          <w:sz w:val="24"/>
          <w:szCs w:val="24"/>
        </w:rPr>
        <w:t>（三）时间节点</w:t>
      </w:r>
      <w:bookmarkEnd w:id="306"/>
      <w:bookmarkEnd w:id="307"/>
    </w:p>
    <w:p w14:paraId="6C80EBBF">
      <w:pPr>
        <w:spacing w:line="360" w:lineRule="auto"/>
        <w:ind w:firstLine="480" w:firstLineChars="200"/>
        <w:rPr>
          <w:rFonts w:hint="eastAsia" w:ascii="宋体" w:hAnsi="宋体" w:cs="宋体"/>
          <w:sz w:val="24"/>
        </w:rPr>
      </w:pPr>
      <w:r>
        <w:rPr>
          <w:rFonts w:hint="eastAsia" w:ascii="宋体" w:hAnsi="宋体" w:cs="宋体"/>
          <w:sz w:val="24"/>
        </w:rPr>
        <w:t>在2025年适时组织一次实地评估，具体时间根据</w:t>
      </w:r>
      <w:r>
        <w:rPr>
          <w:rFonts w:hint="eastAsia" w:ascii="宋体" w:hAnsi="宋体" w:cs="宋体"/>
          <w:sz w:val="24"/>
          <w:lang w:val="en-US" w:eastAsia="zh-CN"/>
        </w:rPr>
        <w:t>采购人</w:t>
      </w:r>
      <w:r>
        <w:rPr>
          <w:rFonts w:hint="eastAsia" w:ascii="宋体" w:hAnsi="宋体" w:cs="宋体"/>
          <w:sz w:val="24"/>
        </w:rPr>
        <w:t>要求提前协商确定。</w:t>
      </w:r>
    </w:p>
    <w:p w14:paraId="1FC7D59B">
      <w:pPr>
        <w:spacing w:line="360" w:lineRule="auto"/>
        <w:ind w:firstLine="480" w:firstLineChars="200"/>
        <w:rPr>
          <w:rFonts w:hint="eastAsia" w:ascii="宋体" w:hAnsi="宋体" w:cs="宋体"/>
          <w:sz w:val="24"/>
        </w:rPr>
      </w:pPr>
      <w:r>
        <w:rPr>
          <w:rFonts w:hint="eastAsia" w:ascii="宋体" w:hAnsi="宋体" w:cs="宋体"/>
          <w:sz w:val="24"/>
        </w:rPr>
        <w:t>整体项目在12个工作日内完成前期对接、实地评估和报告递交。</w:t>
      </w:r>
    </w:p>
    <w:p w14:paraId="71926690">
      <w:pPr>
        <w:pStyle w:val="7"/>
        <w:spacing w:before="156" w:after="156" w:line="360" w:lineRule="auto"/>
        <w:rPr>
          <w:rFonts w:hint="eastAsia"/>
        </w:rPr>
      </w:pPr>
      <w:bookmarkStart w:id="308" w:name="_Toc23560"/>
      <w:bookmarkStart w:id="309" w:name="_Toc16701"/>
      <w:r>
        <w:rPr>
          <w:rFonts w:hint="eastAsia"/>
        </w:rPr>
        <w:t>（</w:t>
      </w:r>
      <w:r>
        <w:rPr>
          <w:rFonts w:hint="eastAsia"/>
          <w:sz w:val="24"/>
          <w:szCs w:val="24"/>
        </w:rPr>
        <w:t>四）结果应用</w:t>
      </w:r>
      <w:bookmarkEnd w:id="308"/>
      <w:bookmarkEnd w:id="309"/>
    </w:p>
    <w:p w14:paraId="33023A54">
      <w:pPr>
        <w:spacing w:line="360" w:lineRule="auto"/>
        <w:ind w:firstLine="480" w:firstLineChars="200"/>
        <w:rPr>
          <w:rFonts w:hint="eastAsia" w:ascii="宋体" w:hAnsi="宋体" w:cs="宋体"/>
          <w:sz w:val="24"/>
        </w:rPr>
      </w:pPr>
      <w:r>
        <w:rPr>
          <w:rFonts w:hint="eastAsia" w:ascii="宋体" w:hAnsi="宋体" w:cs="宋体"/>
          <w:sz w:val="24"/>
        </w:rPr>
        <w:t>1.</w:t>
      </w:r>
      <w:r>
        <w:rPr>
          <w:rFonts w:hint="eastAsia" w:ascii="宋体" w:hAnsi="宋体" w:cs="宋体"/>
          <w:b/>
          <w:bCs/>
          <w:sz w:val="24"/>
        </w:rPr>
        <w:t>问题清单：</w:t>
      </w:r>
      <w:r>
        <w:rPr>
          <w:rFonts w:hint="eastAsia" w:ascii="宋体" w:hAnsi="宋体" w:cs="宋体"/>
          <w:sz w:val="24"/>
        </w:rPr>
        <w:t>针对受测点位所有问题进行筛选、说明并统计成问题清单，问题位置精准，问题描述清晰，所有问题均有照片或视频追溯；</w:t>
      </w:r>
    </w:p>
    <w:p w14:paraId="0A659A82">
      <w:pPr>
        <w:spacing w:line="360" w:lineRule="auto"/>
        <w:ind w:firstLine="480" w:firstLineChars="200"/>
        <w:rPr>
          <w:rFonts w:hint="eastAsia" w:ascii="宋体" w:hAnsi="宋体" w:cs="宋体"/>
          <w:sz w:val="24"/>
        </w:rPr>
      </w:pPr>
      <w:r>
        <w:rPr>
          <w:rFonts w:hint="eastAsia" w:ascii="宋体" w:hAnsi="宋体" w:cs="宋体"/>
          <w:sz w:val="24"/>
        </w:rPr>
        <w:t>2．</w:t>
      </w:r>
      <w:r>
        <w:rPr>
          <w:rFonts w:hint="eastAsia" w:ascii="宋体" w:hAnsi="宋体" w:cs="宋体"/>
          <w:b/>
          <w:bCs/>
          <w:sz w:val="24"/>
        </w:rPr>
        <w:t>责任清单：</w:t>
      </w:r>
      <w:r>
        <w:rPr>
          <w:rFonts w:hint="eastAsia" w:ascii="宋体" w:hAnsi="宋体" w:cs="宋体"/>
          <w:sz w:val="24"/>
        </w:rPr>
        <w:t>根据要求将所有问题分类到相关责任部门，形成以部门为单位的责任清单进行交办整改；</w:t>
      </w:r>
    </w:p>
    <w:p w14:paraId="1CAC4627">
      <w:pPr>
        <w:spacing w:line="360" w:lineRule="auto"/>
        <w:ind w:firstLine="480" w:firstLineChars="200"/>
        <w:rPr>
          <w:rFonts w:hint="eastAsia" w:ascii="宋体" w:hAnsi="宋体" w:cs="宋体"/>
          <w:sz w:val="24"/>
        </w:rPr>
      </w:pPr>
      <w:r>
        <w:rPr>
          <w:rFonts w:hint="eastAsia" w:ascii="宋体" w:hAnsi="宋体" w:cs="宋体"/>
          <w:sz w:val="24"/>
        </w:rPr>
        <w:t>3．</w:t>
      </w:r>
      <w:r>
        <w:rPr>
          <w:rFonts w:hint="eastAsia" w:ascii="宋体" w:hAnsi="宋体" w:cs="宋体"/>
          <w:b/>
          <w:bCs/>
          <w:sz w:val="24"/>
        </w:rPr>
        <w:t>点位得分：</w:t>
      </w:r>
      <w:r>
        <w:rPr>
          <w:rFonts w:hint="eastAsia" w:ascii="宋体" w:hAnsi="宋体" w:cs="宋体"/>
          <w:sz w:val="24"/>
        </w:rPr>
        <w:t>对每个点位如主干道、社区、集贸市场、公园广场等点位进行打分；</w:t>
      </w:r>
    </w:p>
    <w:p w14:paraId="6DC9712A">
      <w:pPr>
        <w:spacing w:line="360" w:lineRule="auto"/>
        <w:ind w:firstLine="480" w:firstLineChars="200"/>
        <w:rPr>
          <w:rFonts w:hint="eastAsia" w:ascii="宋体" w:hAnsi="宋体" w:cs="宋体"/>
          <w:sz w:val="24"/>
        </w:rPr>
      </w:pPr>
      <w:r>
        <w:rPr>
          <w:rFonts w:hint="eastAsia" w:ascii="宋体" w:hAnsi="宋体" w:cs="宋体"/>
          <w:sz w:val="24"/>
        </w:rPr>
        <w:t>4．</w:t>
      </w:r>
      <w:r>
        <w:rPr>
          <w:rFonts w:hint="eastAsia" w:ascii="宋体" w:hAnsi="宋体" w:cs="宋体"/>
          <w:b/>
          <w:bCs/>
          <w:sz w:val="24"/>
        </w:rPr>
        <w:t>综合测评报告：</w:t>
      </w:r>
      <w:r>
        <w:rPr>
          <w:rFonts w:hint="eastAsia" w:ascii="宋体" w:hAnsi="宋体" w:cs="宋体"/>
          <w:sz w:val="24"/>
        </w:rPr>
        <w:t>对上述所有信息进行综合汇总，并将测评过程、方法、整改建议等结合，形成综合性测评报告</w:t>
      </w:r>
      <w:r>
        <w:rPr>
          <w:rFonts w:hint="eastAsia" w:ascii="宋体" w:hAnsi="宋体" w:cs="宋体"/>
          <w:sz w:val="24"/>
          <w:lang w:eastAsia="zh-CN"/>
        </w:rPr>
        <w:t>（</w:t>
      </w:r>
      <w:r>
        <w:rPr>
          <w:rFonts w:hint="eastAsia" w:ascii="宋体" w:hAnsi="宋体" w:cs="宋体"/>
          <w:sz w:val="24"/>
          <w:lang w:val="en-US" w:eastAsia="zh-CN"/>
        </w:rPr>
        <w:t>反馈演讲稿和PPT</w:t>
      </w:r>
      <w:r>
        <w:rPr>
          <w:rFonts w:hint="eastAsia" w:ascii="宋体" w:hAnsi="宋体" w:cs="宋体"/>
          <w:sz w:val="24"/>
          <w:lang w:eastAsia="zh-CN"/>
        </w:rPr>
        <w:t>）</w:t>
      </w:r>
      <w:r>
        <w:rPr>
          <w:rFonts w:hint="eastAsia" w:ascii="宋体" w:hAnsi="宋体" w:cs="宋体"/>
          <w:sz w:val="24"/>
        </w:rPr>
        <w:t>；</w:t>
      </w:r>
    </w:p>
    <w:p w14:paraId="3E945C36">
      <w:pPr>
        <w:spacing w:line="360" w:lineRule="auto"/>
        <w:ind w:firstLine="480" w:firstLineChars="200"/>
        <w:rPr>
          <w:rFonts w:hint="eastAsia" w:ascii="宋体" w:hAnsi="宋体" w:cs="宋体"/>
          <w:b/>
          <w:bCs/>
          <w:sz w:val="24"/>
          <w:lang w:eastAsia="zh-CN"/>
        </w:rPr>
      </w:pPr>
      <w:r>
        <w:rPr>
          <w:rFonts w:hint="eastAsia" w:ascii="宋体" w:hAnsi="宋体" w:cs="宋体"/>
          <w:b w:val="0"/>
          <w:bCs w:val="0"/>
          <w:sz w:val="24"/>
        </w:rPr>
        <w:t>5．</w:t>
      </w:r>
      <w:r>
        <w:rPr>
          <w:rFonts w:hint="eastAsia" w:ascii="宋体" w:hAnsi="宋体" w:cs="宋体"/>
          <w:b/>
          <w:bCs/>
          <w:sz w:val="24"/>
        </w:rPr>
        <w:t>常态长效循环机制逐步形成。</w:t>
      </w:r>
    </w:p>
    <w:bookmarkEnd w:id="299"/>
    <w:p w14:paraId="0A07EE68">
      <w:pPr>
        <w:widowControl/>
        <w:numPr>
          <w:ilvl w:val="0"/>
          <w:numId w:val="2"/>
        </w:numPr>
        <w:spacing w:line="360" w:lineRule="auto"/>
        <w:jc w:val="left"/>
        <w:outlineLvl w:val="2"/>
        <w:rPr>
          <w:rFonts w:hint="eastAsia" w:ascii="宋体" w:hAnsi="宋体"/>
          <w:b/>
          <w:sz w:val="32"/>
          <w:lang w:val="en-US" w:eastAsia="zh-CN"/>
        </w:rPr>
      </w:pPr>
      <w:bookmarkStart w:id="310" w:name="_Toc28016"/>
      <w:bookmarkStart w:id="311" w:name="_Toc3716"/>
      <w:bookmarkStart w:id="312" w:name="_Toc2259"/>
      <w:bookmarkStart w:id="313" w:name="_Toc20344"/>
      <w:r>
        <w:rPr>
          <w:rFonts w:hint="eastAsia" w:ascii="宋体" w:hAnsi="宋体"/>
          <w:b/>
          <w:sz w:val="32"/>
          <w:lang w:val="en-US" w:eastAsia="zh-CN"/>
        </w:rPr>
        <w:t>业务座谈</w:t>
      </w:r>
      <w:bookmarkEnd w:id="310"/>
      <w:bookmarkEnd w:id="311"/>
    </w:p>
    <w:p w14:paraId="22495B51">
      <w:pPr>
        <w:pStyle w:val="7"/>
        <w:spacing w:before="156" w:after="156" w:line="360" w:lineRule="auto"/>
        <w:rPr>
          <w:rFonts w:hint="eastAsia"/>
          <w:sz w:val="24"/>
          <w:szCs w:val="24"/>
        </w:rPr>
      </w:pPr>
      <w:bookmarkStart w:id="314" w:name="_Toc7053"/>
      <w:bookmarkStart w:id="315" w:name="_Toc1000"/>
      <w:r>
        <w:rPr>
          <w:rFonts w:hint="eastAsia"/>
          <w:sz w:val="24"/>
          <w:szCs w:val="24"/>
        </w:rPr>
        <w:t>（一）专家</w:t>
      </w:r>
      <w:bookmarkEnd w:id="314"/>
      <w:bookmarkEnd w:id="315"/>
    </w:p>
    <w:p w14:paraId="532A86EE">
      <w:pPr>
        <w:pStyle w:val="7"/>
        <w:spacing w:before="156" w:after="156" w:line="360" w:lineRule="auto"/>
        <w:rPr>
          <w:rFonts w:hint="eastAsia"/>
          <w:b w:val="0"/>
          <w:bCs w:val="0"/>
          <w:sz w:val="24"/>
          <w:szCs w:val="24"/>
        </w:rPr>
      </w:pPr>
      <w:bookmarkStart w:id="316" w:name="_Toc28324"/>
      <w:bookmarkStart w:id="317" w:name="_Toc22982"/>
      <w:r>
        <w:rPr>
          <w:rFonts w:hint="eastAsia"/>
          <w:b w:val="0"/>
          <w:bCs w:val="0"/>
          <w:sz w:val="24"/>
          <w:szCs w:val="24"/>
        </w:rPr>
        <w:t>邀请经历过文明城市创建周期且具备实操经验的专家担任主讲。</w:t>
      </w:r>
      <w:bookmarkEnd w:id="316"/>
      <w:bookmarkEnd w:id="317"/>
    </w:p>
    <w:p w14:paraId="3E155A19">
      <w:pPr>
        <w:pStyle w:val="7"/>
        <w:spacing w:before="156" w:after="156" w:line="360" w:lineRule="auto"/>
        <w:rPr>
          <w:rFonts w:hint="eastAsia"/>
          <w:sz w:val="24"/>
          <w:szCs w:val="24"/>
        </w:rPr>
      </w:pPr>
      <w:bookmarkStart w:id="318" w:name="_Toc4041"/>
      <w:bookmarkStart w:id="319" w:name="_Toc3328"/>
      <w:r>
        <w:rPr>
          <w:rFonts w:hint="eastAsia"/>
          <w:sz w:val="24"/>
          <w:szCs w:val="24"/>
        </w:rPr>
        <w:t>（二）场次</w:t>
      </w:r>
      <w:bookmarkEnd w:id="318"/>
      <w:bookmarkEnd w:id="319"/>
    </w:p>
    <w:p w14:paraId="091A0D42">
      <w:pPr>
        <w:pStyle w:val="7"/>
        <w:spacing w:before="156" w:after="156" w:line="360" w:lineRule="auto"/>
        <w:rPr>
          <w:rFonts w:hint="eastAsia"/>
          <w:b w:val="0"/>
          <w:bCs w:val="0"/>
          <w:sz w:val="24"/>
          <w:szCs w:val="24"/>
        </w:rPr>
      </w:pPr>
      <w:bookmarkStart w:id="320" w:name="_Toc1294"/>
      <w:bookmarkStart w:id="321" w:name="_Toc4098"/>
      <w:r>
        <w:rPr>
          <w:rFonts w:hint="eastAsia"/>
          <w:b w:val="0"/>
          <w:bCs w:val="0"/>
          <w:sz w:val="24"/>
          <w:szCs w:val="24"/>
        </w:rPr>
        <w:t>分2场次专题座谈</w:t>
      </w:r>
      <w:bookmarkEnd w:id="320"/>
      <w:bookmarkEnd w:id="321"/>
    </w:p>
    <w:p w14:paraId="73E4117D">
      <w:pPr>
        <w:pStyle w:val="7"/>
        <w:spacing w:before="156" w:after="156" w:line="240" w:lineRule="auto"/>
        <w:rPr>
          <w:rFonts w:hint="eastAsia"/>
          <w:sz w:val="24"/>
          <w:szCs w:val="24"/>
        </w:rPr>
      </w:pPr>
      <w:bookmarkStart w:id="322" w:name="_Toc25427"/>
      <w:bookmarkStart w:id="323" w:name="_Toc16218"/>
      <w:r>
        <w:rPr>
          <w:rFonts w:hint="eastAsia"/>
          <w:sz w:val="24"/>
          <w:szCs w:val="24"/>
        </w:rPr>
        <w:t>第一场：</w:t>
      </w:r>
      <w:bookmarkEnd w:id="322"/>
      <w:bookmarkEnd w:id="323"/>
    </w:p>
    <w:p w14:paraId="70B0F26E">
      <w:pPr>
        <w:pStyle w:val="7"/>
        <w:spacing w:before="156" w:after="156" w:line="360" w:lineRule="auto"/>
        <w:rPr>
          <w:rFonts w:hint="eastAsia"/>
          <w:b w:val="0"/>
          <w:bCs w:val="0"/>
          <w:sz w:val="24"/>
          <w:szCs w:val="24"/>
        </w:rPr>
      </w:pPr>
      <w:bookmarkStart w:id="324" w:name="_Toc7401"/>
      <w:bookmarkStart w:id="325" w:name="_Toc30139"/>
      <w:r>
        <w:rPr>
          <w:rFonts w:hint="eastAsia"/>
          <w:b w:val="0"/>
          <w:bCs w:val="0"/>
          <w:sz w:val="24"/>
          <w:szCs w:val="24"/>
        </w:rPr>
        <w:t>对象：各县（市、区）文明办主要负责人、市直部门分管领导。</w:t>
      </w:r>
      <w:bookmarkEnd w:id="324"/>
      <w:bookmarkEnd w:id="325"/>
    </w:p>
    <w:p w14:paraId="64B48C1E">
      <w:pPr>
        <w:pStyle w:val="7"/>
        <w:spacing w:before="156" w:after="156" w:line="240" w:lineRule="auto"/>
        <w:rPr>
          <w:rFonts w:hint="eastAsia"/>
          <w:sz w:val="24"/>
          <w:szCs w:val="24"/>
        </w:rPr>
      </w:pPr>
      <w:bookmarkStart w:id="326" w:name="_Toc16525"/>
      <w:bookmarkStart w:id="327" w:name="_Toc17252"/>
      <w:r>
        <w:rPr>
          <w:rFonts w:hint="eastAsia"/>
          <w:sz w:val="24"/>
          <w:szCs w:val="24"/>
        </w:rPr>
        <w:t>第二场：</w:t>
      </w:r>
      <w:bookmarkEnd w:id="326"/>
      <w:bookmarkEnd w:id="327"/>
    </w:p>
    <w:p w14:paraId="7D5272C5">
      <w:pPr>
        <w:pStyle w:val="7"/>
        <w:spacing w:before="156" w:after="156" w:line="360" w:lineRule="auto"/>
        <w:rPr>
          <w:rFonts w:hint="eastAsia"/>
          <w:b w:val="0"/>
          <w:bCs w:val="0"/>
          <w:sz w:val="24"/>
          <w:szCs w:val="24"/>
        </w:rPr>
      </w:pPr>
      <w:bookmarkStart w:id="328" w:name="_Toc19625"/>
      <w:bookmarkStart w:id="329" w:name="_Toc31972"/>
      <w:r>
        <w:rPr>
          <w:rFonts w:hint="eastAsia"/>
          <w:b w:val="0"/>
          <w:bCs w:val="0"/>
          <w:sz w:val="24"/>
          <w:szCs w:val="24"/>
        </w:rPr>
        <w:t>对象：文明办、街道（乡镇）创建骨干、社区代表等。</w:t>
      </w:r>
      <w:bookmarkEnd w:id="328"/>
      <w:bookmarkEnd w:id="329"/>
    </w:p>
    <w:p w14:paraId="19350A48">
      <w:pPr>
        <w:pStyle w:val="7"/>
        <w:spacing w:before="156" w:after="156" w:line="360" w:lineRule="auto"/>
        <w:rPr>
          <w:rFonts w:hint="eastAsia"/>
          <w:b w:val="0"/>
          <w:bCs w:val="0"/>
          <w:sz w:val="24"/>
          <w:szCs w:val="24"/>
        </w:rPr>
      </w:pPr>
      <w:bookmarkStart w:id="330" w:name="_Toc18604"/>
      <w:bookmarkStart w:id="331" w:name="_Toc1895"/>
      <w:r>
        <w:rPr>
          <w:rFonts w:hint="eastAsia"/>
          <w:b w:val="0"/>
          <w:bCs w:val="0"/>
          <w:sz w:val="24"/>
          <w:szCs w:val="24"/>
        </w:rPr>
        <w:t>可灵活调整上述参加座谈的人员。</w:t>
      </w:r>
      <w:bookmarkEnd w:id="330"/>
      <w:bookmarkEnd w:id="331"/>
    </w:p>
    <w:p w14:paraId="06A0679F">
      <w:pPr>
        <w:pStyle w:val="7"/>
        <w:spacing w:before="156" w:after="156" w:line="360" w:lineRule="auto"/>
        <w:rPr>
          <w:rFonts w:hint="eastAsia"/>
          <w:sz w:val="24"/>
          <w:szCs w:val="24"/>
        </w:rPr>
      </w:pPr>
      <w:bookmarkStart w:id="332" w:name="_Toc17756"/>
      <w:bookmarkStart w:id="333" w:name="_Toc7520"/>
      <w:r>
        <w:rPr>
          <w:rFonts w:hint="eastAsia"/>
          <w:sz w:val="24"/>
          <w:szCs w:val="24"/>
        </w:rPr>
        <w:t>（三）内容模块</w:t>
      </w:r>
      <w:bookmarkEnd w:id="332"/>
      <w:bookmarkEnd w:id="333"/>
    </w:p>
    <w:p w14:paraId="7DC9EAD0">
      <w:pPr>
        <w:pStyle w:val="7"/>
        <w:spacing w:before="156" w:after="156" w:line="360" w:lineRule="auto"/>
        <w:rPr>
          <w:rFonts w:hint="eastAsia"/>
          <w:b w:val="0"/>
          <w:bCs w:val="0"/>
          <w:sz w:val="24"/>
          <w:szCs w:val="24"/>
        </w:rPr>
      </w:pPr>
      <w:bookmarkStart w:id="334" w:name="_Toc9651"/>
      <w:bookmarkStart w:id="335" w:name="_Toc1997"/>
      <w:r>
        <w:rPr>
          <w:rFonts w:hint="eastAsia"/>
          <w:b w:val="0"/>
          <w:bCs w:val="0"/>
          <w:sz w:val="24"/>
          <w:szCs w:val="24"/>
        </w:rPr>
        <w:t>1．测评结果深度剖析；</w:t>
      </w:r>
      <w:bookmarkEnd w:id="334"/>
      <w:bookmarkEnd w:id="335"/>
    </w:p>
    <w:p w14:paraId="4DBD4C3B">
      <w:pPr>
        <w:pStyle w:val="7"/>
        <w:spacing w:before="156" w:after="156" w:line="360" w:lineRule="auto"/>
        <w:rPr>
          <w:rFonts w:hint="eastAsia"/>
          <w:b w:val="0"/>
          <w:bCs w:val="0"/>
          <w:sz w:val="24"/>
          <w:szCs w:val="24"/>
        </w:rPr>
      </w:pPr>
      <w:bookmarkStart w:id="336" w:name="_Toc7383"/>
      <w:bookmarkStart w:id="337" w:name="_Toc14970"/>
      <w:r>
        <w:rPr>
          <w:rFonts w:hint="eastAsia"/>
          <w:b w:val="0"/>
          <w:bCs w:val="0"/>
          <w:sz w:val="24"/>
          <w:szCs w:val="24"/>
        </w:rPr>
        <w:t>2．创建要求专项解读；</w:t>
      </w:r>
      <w:bookmarkEnd w:id="336"/>
      <w:bookmarkEnd w:id="337"/>
    </w:p>
    <w:p w14:paraId="4D49BA81">
      <w:pPr>
        <w:pStyle w:val="7"/>
        <w:spacing w:before="156" w:after="156" w:line="360" w:lineRule="auto"/>
        <w:rPr>
          <w:rFonts w:hint="eastAsia"/>
          <w:b w:val="0"/>
          <w:bCs w:val="0"/>
          <w:sz w:val="24"/>
          <w:szCs w:val="24"/>
        </w:rPr>
      </w:pPr>
      <w:bookmarkStart w:id="338" w:name="_Toc3439"/>
      <w:bookmarkStart w:id="339" w:name="_Toc30456"/>
      <w:r>
        <w:rPr>
          <w:rFonts w:hint="eastAsia"/>
          <w:b w:val="0"/>
          <w:bCs w:val="0"/>
          <w:sz w:val="24"/>
          <w:szCs w:val="24"/>
        </w:rPr>
        <w:t>3．优秀经典案例研习；</w:t>
      </w:r>
      <w:bookmarkEnd w:id="338"/>
      <w:bookmarkEnd w:id="339"/>
    </w:p>
    <w:p w14:paraId="6C59858C">
      <w:pPr>
        <w:pStyle w:val="7"/>
        <w:spacing w:before="156" w:after="156" w:line="360" w:lineRule="auto"/>
        <w:rPr>
          <w:rFonts w:hint="eastAsia" w:ascii="宋体" w:hAnsi="宋体" w:eastAsia="宋体"/>
          <w:b/>
          <w:sz w:val="32"/>
          <w:lang w:val="en-US" w:eastAsia="zh-CN"/>
        </w:rPr>
      </w:pPr>
      <w:bookmarkStart w:id="340" w:name="_Toc6725"/>
      <w:bookmarkStart w:id="341" w:name="_Toc2213"/>
      <w:r>
        <w:rPr>
          <w:rFonts w:hint="eastAsia"/>
          <w:b w:val="0"/>
          <w:bCs w:val="0"/>
          <w:sz w:val="24"/>
          <w:szCs w:val="24"/>
        </w:rPr>
        <w:t>4．创建前瞻研讨</w:t>
      </w:r>
      <w:bookmarkEnd w:id="340"/>
      <w:bookmarkEnd w:id="341"/>
      <w:r>
        <w:rPr>
          <w:rFonts w:hint="eastAsia"/>
          <w:b w:val="0"/>
          <w:bCs w:val="0"/>
          <w:sz w:val="24"/>
          <w:szCs w:val="24"/>
          <w:lang w:eastAsia="zh-CN"/>
        </w:rPr>
        <w:t>。</w:t>
      </w:r>
    </w:p>
    <w:p w14:paraId="59A882D1">
      <w:pPr>
        <w:widowControl/>
        <w:spacing w:line="360" w:lineRule="auto"/>
        <w:jc w:val="left"/>
        <w:outlineLvl w:val="2"/>
        <w:rPr>
          <w:rFonts w:hint="eastAsia" w:ascii="宋体" w:hAnsi="宋体"/>
          <w:b/>
          <w:color w:val="auto"/>
          <w:sz w:val="32"/>
          <w:highlight w:val="none"/>
        </w:rPr>
      </w:pPr>
      <w:bookmarkStart w:id="342" w:name="_Toc756"/>
      <w:bookmarkStart w:id="343" w:name="_Toc25347"/>
      <w:r>
        <w:rPr>
          <w:rFonts w:hint="eastAsia" w:ascii="宋体" w:hAnsi="宋体"/>
          <w:b/>
          <w:color w:val="auto"/>
          <w:sz w:val="32"/>
          <w:highlight w:val="none"/>
          <w:lang w:val="en-US" w:eastAsia="zh-CN"/>
        </w:rPr>
        <w:t>四、</w:t>
      </w:r>
      <w:r>
        <w:rPr>
          <w:rFonts w:hint="eastAsia" w:ascii="宋体" w:hAnsi="宋体"/>
          <w:b/>
          <w:color w:val="auto"/>
          <w:sz w:val="32"/>
          <w:highlight w:val="none"/>
        </w:rPr>
        <w:t>服务期限</w:t>
      </w:r>
      <w:bookmarkEnd w:id="312"/>
      <w:bookmarkEnd w:id="313"/>
      <w:bookmarkEnd w:id="342"/>
      <w:bookmarkEnd w:id="343"/>
    </w:p>
    <w:p w14:paraId="0D2DF420">
      <w:pPr>
        <w:widowControl/>
        <w:spacing w:line="360" w:lineRule="auto"/>
        <w:ind w:firstLine="480"/>
        <w:jc w:val="left"/>
        <w:rPr>
          <w:color w:val="auto"/>
          <w:sz w:val="20"/>
          <w:highlight w:val="none"/>
        </w:rPr>
      </w:pPr>
      <w:r>
        <w:rPr>
          <w:rFonts w:hint="eastAsia" w:ascii="宋体" w:hAnsi="宋体" w:cs="宋体"/>
          <w:color w:val="auto"/>
          <w:sz w:val="24"/>
          <w:highlight w:val="none"/>
          <w:lang w:val="en-US" w:eastAsia="zh-CN"/>
        </w:rPr>
        <w:t>2025年11月15日前完成所有工作</w:t>
      </w:r>
      <w:r>
        <w:rPr>
          <w:rFonts w:hint="eastAsia" w:ascii="宋体" w:hAnsi="宋体"/>
          <w:color w:val="auto"/>
          <w:sz w:val="24"/>
          <w:highlight w:val="none"/>
        </w:rPr>
        <w:t>。</w:t>
      </w:r>
    </w:p>
    <w:p w14:paraId="190844F9">
      <w:pPr>
        <w:widowControl/>
        <w:tabs>
          <w:tab w:val="left" w:pos="540"/>
        </w:tabs>
        <w:snapToGrid w:val="0"/>
        <w:spacing w:line="360" w:lineRule="auto"/>
        <w:jc w:val="left"/>
        <w:outlineLvl w:val="2"/>
        <w:rPr>
          <w:rFonts w:ascii="宋体" w:hAnsi="宋体"/>
          <w:b/>
          <w:sz w:val="32"/>
        </w:rPr>
      </w:pPr>
      <w:bookmarkStart w:id="344" w:name="_Toc22984"/>
      <w:bookmarkStart w:id="345" w:name="_Toc14239"/>
      <w:bookmarkStart w:id="346" w:name="_Toc28709"/>
      <w:bookmarkStart w:id="347" w:name="_Toc9132"/>
      <w:r>
        <w:rPr>
          <w:rFonts w:hint="eastAsia" w:ascii="宋体" w:hAnsi="宋体"/>
          <w:b/>
          <w:sz w:val="32"/>
          <w:lang w:val="en-US" w:eastAsia="zh-CN"/>
        </w:rPr>
        <w:t>五</w:t>
      </w:r>
      <w:r>
        <w:rPr>
          <w:rFonts w:hint="eastAsia" w:ascii="宋体" w:hAnsi="宋体"/>
          <w:b/>
          <w:sz w:val="32"/>
        </w:rPr>
        <w:t>、</w:t>
      </w:r>
      <w:r>
        <w:rPr>
          <w:rFonts w:ascii="宋体" w:hAnsi="宋体"/>
          <w:b/>
          <w:sz w:val="32"/>
        </w:rPr>
        <w:t>付款方式</w:t>
      </w:r>
      <w:bookmarkEnd w:id="344"/>
      <w:bookmarkEnd w:id="345"/>
      <w:bookmarkEnd w:id="346"/>
      <w:bookmarkEnd w:id="347"/>
    </w:p>
    <w:p w14:paraId="0DA7FB32">
      <w:pPr>
        <w:spacing w:before="100" w:after="100" w:line="360" w:lineRule="auto"/>
        <w:ind w:firstLine="480" w:firstLineChars="200"/>
        <w:jc w:val="left"/>
        <w:rPr>
          <w:rFonts w:hint="eastAsia" w:ascii="宋体" w:hAnsi="宋体"/>
          <w:sz w:val="24"/>
          <w:szCs w:val="22"/>
          <w:highlight w:val="none"/>
        </w:rPr>
      </w:pPr>
      <w:r>
        <w:rPr>
          <w:rFonts w:hint="eastAsia" w:ascii="宋体" w:hAnsi="宋体" w:cs="宋体"/>
          <w:sz w:val="24"/>
          <w:highlight w:val="none"/>
        </w:rPr>
        <w:t>合同签订且收到供应商发票后七个工作日内支付</w:t>
      </w:r>
      <w:r>
        <w:rPr>
          <w:rFonts w:hint="eastAsia" w:ascii="宋体" w:hAnsi="宋体" w:cs="宋体"/>
          <w:sz w:val="24"/>
          <w:highlight w:val="none"/>
          <w:lang w:val="en-US" w:eastAsia="zh-CN"/>
        </w:rPr>
        <w:t>合同金额</w:t>
      </w:r>
      <w:r>
        <w:rPr>
          <w:rFonts w:hint="eastAsia" w:ascii="宋体" w:hAnsi="宋体" w:cs="宋体"/>
          <w:color w:val="auto"/>
          <w:sz w:val="24"/>
          <w:highlight w:val="none"/>
        </w:rPr>
        <w:t>的</w:t>
      </w:r>
      <w:r>
        <w:rPr>
          <w:rFonts w:hint="eastAsia" w:ascii="宋体" w:hAnsi="宋体" w:cs="宋体"/>
          <w:color w:val="auto"/>
          <w:sz w:val="24"/>
          <w:highlight w:val="none"/>
          <w:lang w:val="en-US" w:eastAsia="zh-CN"/>
        </w:rPr>
        <w:t>6</w:t>
      </w:r>
      <w:r>
        <w:rPr>
          <w:rFonts w:hint="eastAsia" w:ascii="宋体" w:hAnsi="宋体" w:cs="宋体"/>
          <w:color w:val="auto"/>
          <w:sz w:val="24"/>
          <w:highlight w:val="none"/>
        </w:rPr>
        <w:t>0%作</w:t>
      </w:r>
      <w:r>
        <w:rPr>
          <w:rFonts w:hint="eastAsia" w:ascii="宋体" w:hAnsi="宋体" w:cs="宋体"/>
          <w:sz w:val="24"/>
          <w:highlight w:val="none"/>
        </w:rPr>
        <w:t>为预付款；</w:t>
      </w:r>
      <w:r>
        <w:rPr>
          <w:rFonts w:hint="eastAsia" w:ascii="宋体" w:hAnsi="宋体" w:eastAsia="宋体"/>
          <w:b w:val="0"/>
          <w:bCs w:val="0"/>
          <w:color w:val="auto"/>
          <w:sz w:val="24"/>
          <w:szCs w:val="32"/>
          <w:highlight w:val="none"/>
          <w:u w:val="none"/>
        </w:rPr>
        <w:t>项目实施完成</w:t>
      </w:r>
      <w:r>
        <w:rPr>
          <w:rFonts w:hint="eastAsia" w:ascii="宋体" w:hAnsi="宋体"/>
          <w:b w:val="0"/>
          <w:bCs w:val="0"/>
          <w:color w:val="auto"/>
          <w:sz w:val="24"/>
          <w:szCs w:val="32"/>
          <w:highlight w:val="none"/>
          <w:u w:val="none"/>
          <w:lang w:eastAsia="zh-CN"/>
        </w:rPr>
        <w:t>后</w:t>
      </w:r>
      <w:r>
        <w:rPr>
          <w:rFonts w:hint="eastAsia" w:ascii="宋体" w:hAnsi="宋体" w:eastAsia="宋体"/>
          <w:b w:val="0"/>
          <w:bCs w:val="0"/>
          <w:color w:val="auto"/>
          <w:sz w:val="24"/>
          <w:szCs w:val="32"/>
          <w:highlight w:val="none"/>
          <w:u w:val="none"/>
        </w:rPr>
        <w:t>经采购人验收合格</w:t>
      </w:r>
      <w:r>
        <w:rPr>
          <w:rFonts w:hint="eastAsia" w:ascii="宋体" w:hAnsi="宋体" w:eastAsia="宋体"/>
          <w:b w:val="0"/>
          <w:bCs w:val="0"/>
          <w:color w:val="auto"/>
          <w:sz w:val="24"/>
          <w:szCs w:val="32"/>
          <w:highlight w:val="none"/>
          <w:u w:val="none"/>
          <w:lang w:val="en-US" w:eastAsia="zh-CN"/>
        </w:rPr>
        <w:t>后</w:t>
      </w:r>
      <w:r>
        <w:rPr>
          <w:rFonts w:hint="eastAsia" w:ascii="宋体" w:hAnsi="宋体" w:eastAsia="宋体"/>
          <w:b w:val="0"/>
          <w:bCs w:val="0"/>
          <w:color w:val="auto"/>
          <w:sz w:val="24"/>
          <w:szCs w:val="32"/>
          <w:highlight w:val="none"/>
          <w:u w:val="none"/>
        </w:rPr>
        <w:t>且收到</w:t>
      </w:r>
      <w:r>
        <w:rPr>
          <w:rFonts w:hint="eastAsia" w:ascii="宋体" w:hAnsi="宋体"/>
          <w:b w:val="0"/>
          <w:bCs w:val="0"/>
          <w:color w:val="auto"/>
          <w:sz w:val="24"/>
          <w:szCs w:val="32"/>
          <w:highlight w:val="none"/>
          <w:u w:val="none"/>
          <w:lang w:eastAsia="zh-CN"/>
        </w:rPr>
        <w:t>成交供应商</w:t>
      </w:r>
      <w:r>
        <w:rPr>
          <w:rFonts w:hint="eastAsia" w:ascii="宋体" w:hAnsi="宋体" w:eastAsia="宋体"/>
          <w:b w:val="0"/>
          <w:bCs w:val="0"/>
          <w:color w:val="auto"/>
          <w:sz w:val="24"/>
          <w:szCs w:val="32"/>
          <w:highlight w:val="none"/>
          <w:u w:val="none"/>
        </w:rPr>
        <w:t>正式发票后7个工作日内付清剩余的款项</w:t>
      </w:r>
      <w:r>
        <w:rPr>
          <w:rFonts w:hint="eastAsia" w:ascii="宋体" w:hAnsi="宋体"/>
          <w:sz w:val="24"/>
          <w:szCs w:val="22"/>
          <w:highlight w:val="none"/>
        </w:rPr>
        <w:t>。</w:t>
      </w:r>
    </w:p>
    <w:p w14:paraId="47B4CD87">
      <w:pPr>
        <w:widowControl/>
        <w:numPr>
          <w:ilvl w:val="0"/>
          <w:numId w:val="3"/>
        </w:numPr>
        <w:tabs>
          <w:tab w:val="left" w:pos="540"/>
        </w:tabs>
        <w:snapToGrid w:val="0"/>
        <w:spacing w:line="360" w:lineRule="auto"/>
        <w:jc w:val="left"/>
        <w:outlineLvl w:val="2"/>
        <w:rPr>
          <w:rFonts w:hint="eastAsia" w:ascii="宋体" w:hAnsi="宋体" w:eastAsia="宋体" w:cs="Times New Roman"/>
          <w:b/>
          <w:sz w:val="32"/>
          <w:lang w:val="en-US" w:eastAsia="zh-CN"/>
        </w:rPr>
      </w:pPr>
      <w:bookmarkStart w:id="348" w:name="_Toc14475"/>
      <w:r>
        <w:rPr>
          <w:rFonts w:hint="eastAsia" w:ascii="宋体" w:hAnsi="宋体" w:eastAsia="宋体" w:cs="Times New Roman"/>
          <w:b/>
          <w:sz w:val="32"/>
          <w:lang w:val="en-US" w:eastAsia="zh-CN"/>
        </w:rPr>
        <w:t>保密</w:t>
      </w:r>
      <w:bookmarkEnd w:id="348"/>
    </w:p>
    <w:p w14:paraId="33FC5583">
      <w:pPr>
        <w:spacing w:line="360" w:lineRule="auto"/>
        <w:ind w:firstLine="480" w:firstLineChars="200"/>
        <w:rPr>
          <w:rFonts w:hint="eastAsia" w:ascii="宋体" w:hAnsi="宋体" w:eastAsia="宋体" w:cs="宋体"/>
          <w:sz w:val="24"/>
        </w:rPr>
      </w:pPr>
      <w:r>
        <w:rPr>
          <w:rFonts w:hint="eastAsia" w:ascii="宋体" w:hAnsi="宋体" w:eastAsia="宋体" w:cs="宋体"/>
          <w:sz w:val="24"/>
          <w:lang w:val="en-US" w:eastAsia="zh-CN"/>
        </w:rPr>
        <w:t>没有</w:t>
      </w:r>
      <w:r>
        <w:rPr>
          <w:rFonts w:hint="eastAsia" w:ascii="宋体" w:hAnsi="宋体" w:eastAsia="宋体" w:cs="宋体"/>
          <w:sz w:val="24"/>
        </w:rPr>
        <w:t>采购</w:t>
      </w:r>
      <w:r>
        <w:rPr>
          <w:rFonts w:hint="eastAsia" w:ascii="宋体" w:hAnsi="宋体" w:eastAsia="宋体" w:cs="宋体"/>
          <w:sz w:val="24"/>
          <w:lang w:val="en-US" w:eastAsia="zh-CN"/>
        </w:rPr>
        <w:t>人</w:t>
      </w:r>
      <w:r>
        <w:rPr>
          <w:rFonts w:hint="eastAsia" w:ascii="宋体" w:hAnsi="宋体" w:eastAsia="宋体" w:cs="宋体"/>
          <w:sz w:val="24"/>
        </w:rPr>
        <w:t>事先书面同意，成交供应商不得将履行合同相关的任何资料提供给与合同履行无关的任何其他人，即使向履行合同有关的人员提供，也应注意保密并限于履行合同的必需范围。</w:t>
      </w:r>
    </w:p>
    <w:bookmarkEnd w:id="290"/>
    <w:p w14:paraId="351844C4">
      <w:pPr>
        <w:pStyle w:val="15"/>
      </w:pPr>
      <w:r>
        <w:rPr>
          <w:rFonts w:hint="eastAsia"/>
        </w:rPr>
        <w:br w:type="page"/>
      </w:r>
    </w:p>
    <w:bookmarkEnd w:id="291"/>
    <w:bookmarkEnd w:id="292"/>
    <w:bookmarkEnd w:id="293"/>
    <w:p w14:paraId="68A09F97">
      <w:pPr>
        <w:pStyle w:val="5"/>
        <w:bidi w:val="0"/>
        <w:jc w:val="center"/>
        <w:rPr>
          <w:color w:val="auto"/>
          <w:highlight w:val="none"/>
        </w:rPr>
      </w:pPr>
      <w:bookmarkStart w:id="349" w:name="_Toc4705"/>
      <w:bookmarkStart w:id="350" w:name="_Toc6146"/>
      <w:bookmarkStart w:id="351" w:name="_Toc1963"/>
      <w:bookmarkStart w:id="352" w:name="_Toc31729"/>
      <w:bookmarkStart w:id="499" w:name="_GoBack"/>
      <w:bookmarkEnd w:id="499"/>
      <w:r>
        <w:rPr>
          <w:rFonts w:hint="eastAsia"/>
          <w:color w:val="auto"/>
          <w:highlight w:val="none"/>
        </w:rPr>
        <w:t>第四章  政府采购合同</w:t>
      </w:r>
      <w:bookmarkEnd w:id="349"/>
      <w:bookmarkEnd w:id="350"/>
      <w:bookmarkEnd w:id="351"/>
      <w:bookmarkEnd w:id="352"/>
    </w:p>
    <w:p w14:paraId="00C7948D">
      <w:pPr>
        <w:pStyle w:val="118"/>
        <w:spacing w:before="0" w:beforeAutospacing="0" w:after="0" w:afterAutospacing="0" w:line="360" w:lineRule="auto"/>
        <w:ind w:right="720"/>
        <w:jc w:val="right"/>
        <w:rPr>
          <w:b/>
          <w:color w:val="auto"/>
          <w:szCs w:val="28"/>
          <w:highlight w:val="none"/>
        </w:rPr>
      </w:pPr>
      <w:r>
        <w:rPr>
          <w:rFonts w:hint="eastAsia"/>
          <w:color w:val="auto"/>
          <w:highlight w:val="none"/>
        </w:rPr>
        <w:t xml:space="preserve">合同编号： </w:t>
      </w:r>
    </w:p>
    <w:p w14:paraId="55727FB9">
      <w:pPr>
        <w:autoSpaceDE w:val="0"/>
        <w:autoSpaceDN w:val="0"/>
        <w:spacing w:line="360" w:lineRule="auto"/>
        <w:textAlignment w:val="bottom"/>
        <w:outlineLvl w:val="0"/>
        <w:rPr>
          <w:rFonts w:ascii="宋体" w:hAnsi="宋体"/>
          <w:b/>
          <w:color w:val="auto"/>
          <w:sz w:val="24"/>
          <w:szCs w:val="21"/>
          <w:highlight w:val="none"/>
        </w:rPr>
      </w:pPr>
      <w:bookmarkStart w:id="353" w:name="_Toc26280"/>
      <w:bookmarkStart w:id="354" w:name="_Toc27871"/>
      <w:bookmarkStart w:id="355" w:name="_Toc24689"/>
      <w:bookmarkStart w:id="356" w:name="_Toc24109"/>
      <w:bookmarkStart w:id="357" w:name="_Toc4665"/>
      <w:bookmarkStart w:id="358" w:name="_Toc4536"/>
      <w:bookmarkStart w:id="359" w:name="_Toc23202"/>
      <w:bookmarkStart w:id="360" w:name="_Toc7"/>
      <w:bookmarkStart w:id="361" w:name="_Toc23742"/>
      <w:bookmarkStart w:id="362" w:name="_Toc12466"/>
      <w:bookmarkStart w:id="363" w:name="_Toc23739"/>
      <w:bookmarkStart w:id="364" w:name="_Toc29052"/>
      <w:bookmarkStart w:id="365" w:name="_Toc26128"/>
      <w:bookmarkStart w:id="366" w:name="_Toc8951"/>
      <w:bookmarkStart w:id="367" w:name="_Toc872"/>
      <w:bookmarkStart w:id="368" w:name="_Toc23345"/>
      <w:bookmarkStart w:id="369" w:name="_Toc2059"/>
      <w:bookmarkStart w:id="370" w:name="_Toc30686"/>
      <w:bookmarkStart w:id="371" w:name="_Toc13931"/>
      <w:bookmarkStart w:id="372" w:name="_Toc21991"/>
      <w:r>
        <w:rPr>
          <w:rFonts w:hint="eastAsia" w:ascii="宋体" w:hAnsi="宋体"/>
          <w:b/>
          <w:color w:val="auto"/>
          <w:sz w:val="24"/>
          <w:szCs w:val="21"/>
          <w:highlight w:val="none"/>
        </w:rPr>
        <w:t>采购人（以下简称甲方）：</w:t>
      </w:r>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r>
        <w:rPr>
          <w:rFonts w:hint="eastAsia" w:ascii="宋体" w:hAnsi="宋体"/>
          <w:b/>
          <w:sz w:val="24"/>
          <w:szCs w:val="21"/>
          <w:u w:val="single"/>
        </w:rPr>
        <w:t>中共丽水市委宣传部</w:t>
      </w:r>
      <w:bookmarkEnd w:id="370"/>
      <w:bookmarkEnd w:id="371"/>
      <w:bookmarkEnd w:id="372"/>
      <w:r>
        <w:rPr>
          <w:rFonts w:hint="eastAsia" w:ascii="宋体" w:hAnsi="宋体"/>
          <w:b/>
          <w:color w:val="auto"/>
          <w:sz w:val="24"/>
          <w:szCs w:val="21"/>
          <w:highlight w:val="none"/>
          <w:u w:val="single"/>
        </w:rPr>
        <w:t xml:space="preserve">  </w:t>
      </w:r>
    </w:p>
    <w:p w14:paraId="3D2C4CEE">
      <w:pPr>
        <w:pStyle w:val="29"/>
        <w:spacing w:before="0" w:beforeAutospacing="0" w:after="0" w:afterAutospacing="0" w:line="360" w:lineRule="auto"/>
        <w:rPr>
          <w:rFonts w:cs="宋体"/>
          <w:color w:val="auto"/>
          <w:highlight w:val="none"/>
        </w:rPr>
      </w:pPr>
      <w:r>
        <w:rPr>
          <w:rFonts w:hint="eastAsia" w:cs="宋体"/>
          <w:color w:val="auto"/>
          <w:highlight w:val="none"/>
        </w:rPr>
        <w:t>成交人（以下称乙方）：</w:t>
      </w:r>
    </w:p>
    <w:p w14:paraId="1C4A56F3">
      <w:pPr>
        <w:snapToGrid w:val="0"/>
        <w:spacing w:before="119" w:line="360" w:lineRule="auto"/>
        <w:ind w:firstLine="480" w:firstLineChars="200"/>
        <w:rPr>
          <w:rFonts w:ascii="宋体" w:hAnsi="宋体"/>
          <w:color w:val="auto"/>
          <w:sz w:val="24"/>
          <w:szCs w:val="21"/>
          <w:highlight w:val="none"/>
        </w:rPr>
      </w:pPr>
      <w:r>
        <w:rPr>
          <w:rFonts w:hint="eastAsia" w:ascii="宋体" w:hAnsi="宋体" w:cs="Times New Roman"/>
          <w:color w:val="auto"/>
          <w:sz w:val="24"/>
          <w:szCs w:val="21"/>
          <w:highlight w:val="none"/>
          <w:u w:val="single"/>
          <w:lang w:val="zh-CN"/>
        </w:rPr>
        <w:t>丽水市经常化创建全国县级文明城市第三方无感评估项目</w:t>
      </w:r>
      <w:r>
        <w:rPr>
          <w:rFonts w:hint="eastAsia" w:ascii="宋体" w:hAnsi="宋体"/>
          <w:color w:val="auto"/>
          <w:sz w:val="24"/>
          <w:szCs w:val="21"/>
          <w:highlight w:val="none"/>
        </w:rPr>
        <w:t>经</w:t>
      </w:r>
      <w:r>
        <w:rPr>
          <w:rFonts w:hint="eastAsia" w:ascii="宋体" w:hAnsi="宋体"/>
          <w:color w:val="auto"/>
          <w:sz w:val="24"/>
          <w:szCs w:val="21"/>
          <w:highlight w:val="none"/>
          <w:u w:val="single"/>
          <w:lang w:val="zh-CN"/>
        </w:rPr>
        <w:t>卓正招标咨询（丽水）有限公司</w:t>
      </w:r>
      <w:r>
        <w:rPr>
          <w:rFonts w:hint="eastAsia" w:ascii="宋体" w:hAnsi="宋体"/>
          <w:color w:val="auto"/>
          <w:sz w:val="24"/>
          <w:szCs w:val="21"/>
          <w:highlight w:val="none"/>
        </w:rPr>
        <w:t>以</w:t>
      </w:r>
      <w:r>
        <w:rPr>
          <w:rFonts w:hint="eastAsia" w:ascii="宋体" w:hAnsi="宋体"/>
          <w:color w:val="auto"/>
          <w:sz w:val="24"/>
          <w:szCs w:val="21"/>
          <w:highlight w:val="none"/>
          <w:u w:val="single"/>
          <w:lang w:val="zh-CN"/>
        </w:rPr>
        <w:t>卓正丽磋商202</w:t>
      </w:r>
      <w:r>
        <w:rPr>
          <w:rFonts w:hint="eastAsia" w:ascii="宋体" w:hAnsi="宋体"/>
          <w:color w:val="auto"/>
          <w:sz w:val="24"/>
          <w:szCs w:val="21"/>
          <w:highlight w:val="none"/>
          <w:u w:val="single"/>
          <w:lang w:val="en-US" w:eastAsia="zh-CN"/>
        </w:rPr>
        <w:t>5</w:t>
      </w:r>
      <w:r>
        <w:rPr>
          <w:rFonts w:hint="eastAsia" w:ascii="宋体" w:hAnsi="宋体"/>
          <w:color w:val="auto"/>
          <w:sz w:val="24"/>
          <w:szCs w:val="21"/>
          <w:highlight w:val="none"/>
          <w:u w:val="single"/>
          <w:lang w:val="zh-CN"/>
        </w:rPr>
        <w:t>-1</w:t>
      </w:r>
      <w:r>
        <w:rPr>
          <w:rFonts w:hint="eastAsia" w:ascii="宋体" w:hAnsi="宋体"/>
          <w:color w:val="auto"/>
          <w:sz w:val="24"/>
          <w:szCs w:val="21"/>
          <w:highlight w:val="none"/>
          <w:u w:val="single"/>
          <w:lang w:val="en-US" w:eastAsia="zh-CN"/>
        </w:rPr>
        <w:t>075</w:t>
      </w:r>
      <w:r>
        <w:rPr>
          <w:rFonts w:hint="eastAsia" w:ascii="宋体" w:hAnsi="宋体"/>
          <w:color w:val="auto"/>
          <w:sz w:val="24"/>
          <w:szCs w:val="21"/>
          <w:highlight w:val="none"/>
          <w:u w:val="single"/>
          <w:lang w:val="zh-CN"/>
        </w:rPr>
        <w:t>号</w:t>
      </w:r>
      <w:r>
        <w:rPr>
          <w:rFonts w:hint="eastAsia" w:ascii="宋体" w:hAnsi="宋体"/>
          <w:color w:val="auto"/>
          <w:sz w:val="24"/>
          <w:szCs w:val="21"/>
          <w:highlight w:val="none"/>
        </w:rPr>
        <w:t>竞争性磋商文件在</w:t>
      </w:r>
      <w:r>
        <w:rPr>
          <w:rFonts w:hint="eastAsia" w:ascii="宋体" w:hAnsi="宋体"/>
          <w:color w:val="auto"/>
          <w:sz w:val="24"/>
          <w:szCs w:val="21"/>
          <w:highlight w:val="none"/>
          <w:u w:val="single"/>
        </w:rPr>
        <w:t xml:space="preserve">    年   月   日</w:t>
      </w:r>
      <w:r>
        <w:rPr>
          <w:rFonts w:hint="eastAsia" w:ascii="宋体" w:hAnsi="宋体"/>
          <w:color w:val="auto"/>
          <w:sz w:val="24"/>
          <w:szCs w:val="21"/>
          <w:highlight w:val="none"/>
        </w:rPr>
        <w:t>进行采购。经评审委员会评定</w:t>
      </w:r>
      <w:r>
        <w:rPr>
          <w:rFonts w:hint="eastAsia" w:ascii="宋体" w:hAnsi="宋体"/>
          <w:color w:val="auto"/>
          <w:sz w:val="24"/>
          <w:szCs w:val="21"/>
          <w:highlight w:val="none"/>
          <w:u w:val="single"/>
        </w:rPr>
        <w:t xml:space="preserve"> 　　　　  　  </w:t>
      </w:r>
      <w:r>
        <w:rPr>
          <w:rFonts w:hint="eastAsia" w:ascii="宋体" w:hAnsi="宋体"/>
          <w:color w:val="auto"/>
          <w:sz w:val="24"/>
          <w:szCs w:val="21"/>
          <w:highlight w:val="none"/>
        </w:rPr>
        <w:t>(乙方)为成交人。甲乙双方依据《中华人民共和国政府采购法》《中华人民共和国民法典》，在平等自愿的基础上，同意按照下面的条款和条件，签署本合同。</w:t>
      </w:r>
    </w:p>
    <w:p w14:paraId="306F9D30">
      <w:pPr>
        <w:snapToGrid w:val="0"/>
        <w:spacing w:before="119" w:line="360" w:lineRule="auto"/>
        <w:ind w:firstLine="241"/>
        <w:rPr>
          <w:rFonts w:ascii="宋体" w:hAnsi="宋体"/>
          <w:b/>
          <w:color w:val="auto"/>
          <w:sz w:val="24"/>
          <w:szCs w:val="21"/>
          <w:highlight w:val="none"/>
        </w:rPr>
      </w:pPr>
      <w:r>
        <w:rPr>
          <w:rFonts w:hint="eastAsia" w:ascii="宋体" w:hAnsi="宋体"/>
          <w:b/>
          <w:color w:val="auto"/>
          <w:sz w:val="24"/>
          <w:szCs w:val="21"/>
          <w:highlight w:val="none"/>
        </w:rPr>
        <w:t>1.合同文件</w:t>
      </w:r>
    </w:p>
    <w:p w14:paraId="5845C82D">
      <w:pPr>
        <w:snapToGrid w:val="0"/>
        <w:spacing w:before="238" w:line="360" w:lineRule="auto"/>
        <w:ind w:firstLine="480" w:firstLineChars="200"/>
        <w:rPr>
          <w:rFonts w:ascii="宋体" w:hAnsi="宋体"/>
          <w:color w:val="auto"/>
          <w:sz w:val="24"/>
          <w:szCs w:val="21"/>
          <w:highlight w:val="none"/>
        </w:rPr>
      </w:pPr>
      <w:r>
        <w:rPr>
          <w:rFonts w:hint="eastAsia" w:ascii="宋体" w:hAnsi="宋体"/>
          <w:color w:val="auto"/>
          <w:sz w:val="24"/>
          <w:szCs w:val="21"/>
          <w:highlight w:val="none"/>
        </w:rPr>
        <w:t>下列文件构成本合同的组成部分，应该认为是一个整体，彼此相互解释，相互补充。组成合同的多个文件的优先支配地位的次序如下：</w:t>
      </w:r>
    </w:p>
    <w:p w14:paraId="3A5CB4C6">
      <w:pPr>
        <w:snapToGrid w:val="0"/>
        <w:spacing w:before="119" w:line="360" w:lineRule="auto"/>
        <w:ind w:firstLine="241"/>
        <w:rPr>
          <w:rFonts w:ascii="宋体" w:hAnsi="宋体"/>
          <w:color w:val="auto"/>
          <w:sz w:val="24"/>
          <w:szCs w:val="21"/>
          <w:highlight w:val="none"/>
        </w:rPr>
      </w:pPr>
      <w:r>
        <w:rPr>
          <w:rFonts w:hint="eastAsia" w:ascii="宋体" w:hAnsi="宋体"/>
          <w:color w:val="auto"/>
          <w:sz w:val="24"/>
          <w:szCs w:val="21"/>
          <w:highlight w:val="none"/>
        </w:rPr>
        <w:t>a.本合同书　</w:t>
      </w:r>
    </w:p>
    <w:p w14:paraId="71CC6E90">
      <w:pPr>
        <w:snapToGrid w:val="0"/>
        <w:spacing w:before="119" w:line="360" w:lineRule="auto"/>
        <w:ind w:firstLine="241"/>
        <w:rPr>
          <w:rFonts w:ascii="宋体" w:hAnsi="宋体"/>
          <w:color w:val="auto"/>
          <w:sz w:val="24"/>
          <w:szCs w:val="21"/>
          <w:highlight w:val="none"/>
        </w:rPr>
      </w:pPr>
      <w:r>
        <w:rPr>
          <w:rFonts w:hint="eastAsia" w:ascii="宋体" w:hAnsi="宋体"/>
          <w:color w:val="auto"/>
          <w:sz w:val="24"/>
          <w:szCs w:val="21"/>
          <w:highlight w:val="none"/>
        </w:rPr>
        <w:t>b.成交通知书</w:t>
      </w:r>
      <w:r>
        <w:rPr>
          <w:rFonts w:hint="eastAsia" w:ascii="宋体" w:hAnsi="宋体"/>
          <w:color w:val="auto"/>
          <w:sz w:val="24"/>
          <w:szCs w:val="21"/>
          <w:highlight w:val="none"/>
        </w:rPr>
        <w:tab/>
      </w:r>
    </w:p>
    <w:p w14:paraId="49682BD2">
      <w:pPr>
        <w:snapToGrid w:val="0"/>
        <w:spacing w:before="119" w:line="360" w:lineRule="auto"/>
        <w:ind w:firstLine="241"/>
        <w:rPr>
          <w:rFonts w:ascii="宋体" w:hAnsi="宋体"/>
          <w:color w:val="auto"/>
          <w:sz w:val="24"/>
          <w:szCs w:val="21"/>
          <w:highlight w:val="none"/>
        </w:rPr>
      </w:pPr>
      <w:r>
        <w:rPr>
          <w:rFonts w:hint="eastAsia" w:ascii="宋体" w:hAnsi="宋体"/>
          <w:color w:val="auto"/>
          <w:sz w:val="24"/>
          <w:szCs w:val="21"/>
          <w:highlight w:val="none"/>
        </w:rPr>
        <w:t>c.变更补充文件。</w:t>
      </w:r>
      <w:r>
        <w:rPr>
          <w:rFonts w:hint="eastAsia" w:ascii="宋体" w:hAnsi="宋体"/>
          <w:color w:val="auto"/>
          <w:sz w:val="24"/>
          <w:szCs w:val="21"/>
          <w:highlight w:val="none"/>
        </w:rPr>
        <w:tab/>
      </w:r>
      <w:r>
        <w:rPr>
          <w:rFonts w:hint="eastAsia" w:ascii="宋体" w:hAnsi="宋体"/>
          <w:color w:val="auto"/>
          <w:sz w:val="24"/>
          <w:szCs w:val="21"/>
          <w:highlight w:val="none"/>
        </w:rPr>
        <w:tab/>
      </w:r>
      <w:r>
        <w:rPr>
          <w:rFonts w:hint="eastAsia" w:ascii="宋体" w:hAnsi="宋体"/>
          <w:color w:val="auto"/>
          <w:sz w:val="24"/>
          <w:szCs w:val="21"/>
          <w:highlight w:val="none"/>
        </w:rPr>
        <w:tab/>
      </w:r>
      <w:r>
        <w:rPr>
          <w:rFonts w:hint="eastAsia" w:ascii="宋体" w:hAnsi="宋体"/>
          <w:color w:val="auto"/>
          <w:sz w:val="24"/>
          <w:szCs w:val="21"/>
          <w:highlight w:val="none"/>
        </w:rPr>
        <w:tab/>
      </w:r>
    </w:p>
    <w:p w14:paraId="43CAA494">
      <w:pPr>
        <w:snapToGrid w:val="0"/>
        <w:spacing w:before="119" w:line="360" w:lineRule="auto"/>
        <w:ind w:firstLine="241"/>
        <w:rPr>
          <w:rFonts w:ascii="宋体" w:hAnsi="宋体"/>
          <w:color w:val="auto"/>
          <w:sz w:val="24"/>
          <w:szCs w:val="21"/>
          <w:highlight w:val="none"/>
        </w:rPr>
      </w:pPr>
      <w:r>
        <w:rPr>
          <w:rFonts w:hint="eastAsia" w:ascii="宋体" w:hAnsi="宋体"/>
          <w:color w:val="auto"/>
          <w:sz w:val="24"/>
          <w:szCs w:val="21"/>
          <w:highlight w:val="none"/>
        </w:rPr>
        <w:t>d.竞争性磋商文件</w:t>
      </w:r>
      <w:r>
        <w:rPr>
          <w:rFonts w:hint="eastAsia" w:ascii="宋体" w:hAnsi="宋体"/>
          <w:color w:val="auto"/>
          <w:sz w:val="24"/>
          <w:szCs w:val="21"/>
          <w:highlight w:val="none"/>
        </w:rPr>
        <w:tab/>
      </w:r>
      <w:r>
        <w:rPr>
          <w:rFonts w:hint="eastAsia" w:ascii="宋体" w:hAnsi="宋体"/>
          <w:color w:val="auto"/>
          <w:sz w:val="24"/>
          <w:szCs w:val="21"/>
          <w:highlight w:val="none"/>
        </w:rPr>
        <w:tab/>
      </w:r>
      <w:r>
        <w:rPr>
          <w:rFonts w:hint="eastAsia" w:ascii="宋体" w:hAnsi="宋体"/>
          <w:color w:val="auto"/>
          <w:sz w:val="24"/>
          <w:szCs w:val="21"/>
          <w:highlight w:val="none"/>
        </w:rPr>
        <w:tab/>
      </w:r>
      <w:r>
        <w:rPr>
          <w:rFonts w:hint="eastAsia" w:ascii="宋体" w:hAnsi="宋体"/>
          <w:color w:val="auto"/>
          <w:sz w:val="24"/>
          <w:szCs w:val="21"/>
          <w:highlight w:val="none"/>
        </w:rPr>
        <w:tab/>
      </w:r>
      <w:r>
        <w:rPr>
          <w:rFonts w:hint="eastAsia" w:ascii="宋体" w:hAnsi="宋体"/>
          <w:color w:val="auto"/>
          <w:sz w:val="24"/>
          <w:szCs w:val="21"/>
          <w:highlight w:val="none"/>
        </w:rPr>
        <w:t>(含澄清修改文件)</w:t>
      </w:r>
    </w:p>
    <w:p w14:paraId="78447214">
      <w:pPr>
        <w:snapToGrid w:val="0"/>
        <w:spacing w:before="119" w:after="147" w:line="360" w:lineRule="auto"/>
        <w:ind w:firstLine="241"/>
        <w:rPr>
          <w:rFonts w:ascii="宋体" w:hAnsi="宋体"/>
          <w:color w:val="auto"/>
          <w:sz w:val="24"/>
          <w:szCs w:val="21"/>
          <w:highlight w:val="none"/>
        </w:rPr>
      </w:pPr>
      <w:r>
        <w:rPr>
          <w:rFonts w:hint="eastAsia" w:ascii="宋体" w:hAnsi="宋体"/>
          <w:color w:val="auto"/>
          <w:sz w:val="24"/>
          <w:szCs w:val="21"/>
          <w:highlight w:val="none"/>
        </w:rPr>
        <w:t>e.成交人响应文件</w:t>
      </w:r>
      <w:r>
        <w:rPr>
          <w:rFonts w:hint="eastAsia" w:ascii="宋体" w:hAnsi="宋体"/>
          <w:color w:val="auto"/>
          <w:sz w:val="24"/>
          <w:szCs w:val="21"/>
          <w:highlight w:val="none"/>
        </w:rPr>
        <w:tab/>
      </w:r>
      <w:r>
        <w:rPr>
          <w:rFonts w:hint="eastAsia" w:ascii="宋体" w:hAnsi="宋体"/>
          <w:color w:val="auto"/>
          <w:sz w:val="24"/>
          <w:szCs w:val="21"/>
          <w:highlight w:val="none"/>
        </w:rPr>
        <w:t xml:space="preserve">              (含澄清内容)</w:t>
      </w:r>
    </w:p>
    <w:p w14:paraId="5DF7800A">
      <w:pPr>
        <w:snapToGrid w:val="0"/>
        <w:spacing w:before="119" w:line="360" w:lineRule="auto"/>
        <w:ind w:firstLine="241"/>
        <w:rPr>
          <w:rFonts w:hint="default" w:ascii="宋体" w:hAnsi="宋体" w:eastAsia="宋体"/>
          <w:b/>
          <w:color w:val="auto"/>
          <w:sz w:val="24"/>
          <w:szCs w:val="21"/>
          <w:highlight w:val="none"/>
          <w:lang w:val="en-US" w:eastAsia="zh-CN"/>
        </w:rPr>
      </w:pPr>
      <w:r>
        <w:rPr>
          <w:rFonts w:hint="eastAsia" w:ascii="宋体" w:hAnsi="宋体"/>
          <w:b/>
          <w:color w:val="auto"/>
          <w:sz w:val="24"/>
          <w:szCs w:val="21"/>
          <w:highlight w:val="none"/>
        </w:rPr>
        <w:t>2.</w:t>
      </w:r>
      <w:r>
        <w:rPr>
          <w:rFonts w:hint="eastAsia" w:ascii="宋体" w:hAnsi="宋体"/>
          <w:b/>
          <w:color w:val="auto"/>
          <w:sz w:val="24"/>
          <w:szCs w:val="21"/>
          <w:highlight w:val="none"/>
          <w:lang w:val="en-US" w:eastAsia="zh-CN"/>
        </w:rPr>
        <w:t>项目概况及项目内容</w:t>
      </w:r>
    </w:p>
    <w:p w14:paraId="28D33FE1">
      <w:pPr>
        <w:pStyle w:val="126"/>
        <w:adjustRightInd w:val="0"/>
        <w:snapToGrid w:val="0"/>
        <w:spacing w:after="0" w:line="360" w:lineRule="auto"/>
        <w:ind w:firstLine="482" w:firstLineChars="200"/>
        <w:rPr>
          <w:rFonts w:hint="eastAsia" w:ascii="宋体" w:hAnsi="宋体" w:eastAsia="宋体" w:cs="宋体"/>
          <w:b/>
          <w:bCs/>
          <w:i w:val="0"/>
          <w:caps w:val="0"/>
          <w:color w:val="auto"/>
          <w:spacing w:val="0"/>
          <w:kern w:val="0"/>
          <w:sz w:val="24"/>
          <w:szCs w:val="24"/>
          <w:highlight w:val="none"/>
          <w:lang w:val="en-US" w:eastAsia="zh-CN" w:bidi="ar-SA"/>
        </w:rPr>
      </w:pPr>
      <w:r>
        <w:rPr>
          <w:rFonts w:hint="eastAsia" w:ascii="宋体" w:hAnsi="宋体" w:eastAsia="宋体" w:cs="宋体"/>
          <w:b/>
          <w:bCs/>
          <w:i w:val="0"/>
          <w:caps w:val="0"/>
          <w:color w:val="auto"/>
          <w:spacing w:val="0"/>
          <w:kern w:val="0"/>
          <w:sz w:val="24"/>
          <w:szCs w:val="24"/>
          <w:highlight w:val="none"/>
          <w:lang w:val="en-US" w:eastAsia="zh-CN" w:bidi="ar-SA"/>
        </w:rPr>
        <w:t>2.1</w:t>
      </w:r>
      <w:r>
        <w:rPr>
          <w:rFonts w:hint="eastAsia" w:ascii="宋体" w:hAnsi="宋体"/>
          <w:b/>
          <w:color w:val="auto"/>
          <w:sz w:val="24"/>
          <w:szCs w:val="21"/>
          <w:highlight w:val="none"/>
          <w:lang w:val="en-US" w:eastAsia="zh-CN"/>
        </w:rPr>
        <w:t>项目概况</w:t>
      </w:r>
    </w:p>
    <w:p w14:paraId="2FD9DF33">
      <w:pPr>
        <w:spacing w:line="360" w:lineRule="auto"/>
        <w:ind w:firstLine="480" w:firstLineChars="200"/>
        <w:rPr>
          <w:rFonts w:hint="eastAsia" w:ascii="宋体" w:hAnsi="宋体" w:cs="宋体"/>
          <w:sz w:val="24"/>
        </w:rPr>
      </w:pPr>
      <w:r>
        <w:rPr>
          <w:rFonts w:hint="eastAsia" w:ascii="宋体" w:hAnsi="宋体" w:cs="宋体"/>
          <w:sz w:val="24"/>
        </w:rPr>
        <w:t>坚持以习近平新时代中国特色社会主义思想为指导，锚定丽水全市文明创建建设目标，构建科学化、长效化的文明城市创建测评机制，形成“以测促建、测建联动”的工作格局，推动全域文明创建提速增效。</w:t>
      </w:r>
    </w:p>
    <w:p w14:paraId="6C10B1BF">
      <w:pPr>
        <w:pStyle w:val="126"/>
        <w:adjustRightInd w:val="0"/>
        <w:snapToGrid w:val="0"/>
        <w:spacing w:after="0" w:line="360" w:lineRule="auto"/>
        <w:ind w:firstLine="482" w:firstLineChars="200"/>
        <w:rPr>
          <w:rFonts w:hint="eastAsia" w:ascii="宋体" w:hAnsi="宋体" w:eastAsia="宋体" w:cs="宋体"/>
          <w:b/>
          <w:bCs/>
          <w:i w:val="0"/>
          <w:caps w:val="0"/>
          <w:color w:val="auto"/>
          <w:spacing w:val="0"/>
          <w:kern w:val="0"/>
          <w:sz w:val="24"/>
          <w:szCs w:val="24"/>
          <w:highlight w:val="none"/>
          <w:lang w:val="en-US" w:eastAsia="zh-CN" w:bidi="ar-SA"/>
        </w:rPr>
      </w:pPr>
      <w:r>
        <w:rPr>
          <w:rFonts w:hint="eastAsia" w:ascii="宋体" w:hAnsi="宋体" w:eastAsia="宋体" w:cs="宋体"/>
          <w:b/>
          <w:bCs/>
          <w:i w:val="0"/>
          <w:caps w:val="0"/>
          <w:color w:val="auto"/>
          <w:spacing w:val="0"/>
          <w:kern w:val="0"/>
          <w:sz w:val="24"/>
          <w:szCs w:val="24"/>
          <w:highlight w:val="none"/>
          <w:lang w:val="en-US" w:eastAsia="zh-CN" w:bidi="ar-SA"/>
        </w:rPr>
        <w:t>2.2</w:t>
      </w:r>
      <w:r>
        <w:rPr>
          <w:rFonts w:hint="eastAsia" w:cs="宋体"/>
          <w:b/>
          <w:bCs/>
          <w:i w:val="0"/>
          <w:caps w:val="0"/>
          <w:color w:val="auto"/>
          <w:spacing w:val="0"/>
          <w:kern w:val="0"/>
          <w:sz w:val="24"/>
          <w:szCs w:val="24"/>
          <w:highlight w:val="none"/>
          <w:lang w:val="en-US" w:eastAsia="zh-CN" w:bidi="ar-SA"/>
        </w:rPr>
        <w:t>项目内容</w:t>
      </w:r>
    </w:p>
    <w:p w14:paraId="405D106F">
      <w:pPr>
        <w:pStyle w:val="7"/>
        <w:spacing w:before="156" w:after="156"/>
        <w:rPr>
          <w:rFonts w:hint="eastAsia"/>
          <w:sz w:val="24"/>
          <w:szCs w:val="24"/>
        </w:rPr>
      </w:pPr>
      <w:r>
        <w:rPr>
          <w:rFonts w:hint="eastAsia"/>
          <w:sz w:val="24"/>
          <w:szCs w:val="24"/>
        </w:rPr>
        <w:t>（一）测评内容</w:t>
      </w:r>
    </w:p>
    <w:p w14:paraId="69B6CDD7">
      <w:pPr>
        <w:spacing w:line="360" w:lineRule="auto"/>
        <w:ind w:firstLine="480" w:firstLineChars="200"/>
        <w:rPr>
          <w:rFonts w:hint="eastAsia" w:ascii="宋体" w:hAnsi="宋体" w:cs="宋体"/>
          <w:sz w:val="24"/>
        </w:rPr>
      </w:pPr>
      <w:r>
        <w:rPr>
          <w:rFonts w:hint="eastAsia" w:ascii="宋体" w:hAnsi="宋体" w:cs="宋体"/>
          <w:sz w:val="24"/>
        </w:rPr>
        <w:t>测评以《全国文明城市测评体系（县级）》为大纲，并结合具有“丽水辨识度”的测评指标体系的具体要求开展实施。</w:t>
      </w:r>
    </w:p>
    <w:p w14:paraId="378860AB">
      <w:pPr>
        <w:pStyle w:val="7"/>
        <w:spacing w:before="156" w:after="156"/>
        <w:rPr>
          <w:rFonts w:hint="eastAsia"/>
          <w:sz w:val="24"/>
          <w:szCs w:val="24"/>
        </w:rPr>
      </w:pPr>
      <w:r>
        <w:rPr>
          <w:rFonts w:hint="eastAsia"/>
          <w:sz w:val="24"/>
          <w:szCs w:val="24"/>
        </w:rPr>
        <w:t>（二）测评范围</w:t>
      </w:r>
    </w:p>
    <w:p w14:paraId="4B514443">
      <w:pPr>
        <w:spacing w:line="360" w:lineRule="auto"/>
        <w:ind w:firstLine="480" w:firstLineChars="200"/>
        <w:rPr>
          <w:rFonts w:hint="eastAsia" w:ascii="宋体" w:hAnsi="宋体" w:cs="宋体"/>
          <w:sz w:val="24"/>
        </w:rPr>
      </w:pPr>
      <w:r>
        <w:rPr>
          <w:rFonts w:hint="eastAsia" w:ascii="宋体" w:hAnsi="宋体" w:cs="宋体"/>
          <w:sz w:val="24"/>
        </w:rPr>
        <w:t>丽水市辖区3-4个县（市），实际测评项目和点位范围根据</w:t>
      </w:r>
      <w:r>
        <w:rPr>
          <w:rFonts w:hint="eastAsia" w:ascii="宋体" w:hAnsi="宋体" w:cs="宋体"/>
          <w:sz w:val="24"/>
          <w:lang w:val="en-US" w:eastAsia="zh-CN"/>
        </w:rPr>
        <w:t>采购人</w:t>
      </w:r>
      <w:r>
        <w:rPr>
          <w:rFonts w:hint="eastAsia" w:ascii="宋体" w:hAnsi="宋体" w:cs="宋体"/>
          <w:sz w:val="24"/>
        </w:rPr>
        <w:t>要求划定。</w:t>
      </w:r>
    </w:p>
    <w:p w14:paraId="6D859813">
      <w:pPr>
        <w:pStyle w:val="7"/>
        <w:spacing w:before="156" w:after="156"/>
        <w:rPr>
          <w:rFonts w:hint="eastAsia"/>
          <w:sz w:val="24"/>
          <w:szCs w:val="24"/>
        </w:rPr>
      </w:pPr>
      <w:r>
        <w:rPr>
          <w:rFonts w:hint="eastAsia"/>
          <w:sz w:val="24"/>
          <w:szCs w:val="24"/>
        </w:rPr>
        <w:t>（三）时间节点</w:t>
      </w:r>
    </w:p>
    <w:p w14:paraId="203FC29F">
      <w:pPr>
        <w:spacing w:line="360" w:lineRule="auto"/>
        <w:ind w:firstLine="480" w:firstLineChars="200"/>
        <w:rPr>
          <w:rFonts w:hint="eastAsia" w:ascii="宋体" w:hAnsi="宋体" w:cs="宋体"/>
          <w:sz w:val="24"/>
        </w:rPr>
      </w:pPr>
      <w:r>
        <w:rPr>
          <w:rFonts w:hint="eastAsia" w:ascii="宋体" w:hAnsi="宋体" w:cs="宋体"/>
          <w:sz w:val="24"/>
        </w:rPr>
        <w:t>在2025年适时组织一次实地评估，具体时间根据</w:t>
      </w:r>
      <w:r>
        <w:rPr>
          <w:rFonts w:hint="eastAsia" w:ascii="宋体" w:hAnsi="宋体" w:cs="宋体"/>
          <w:sz w:val="24"/>
          <w:lang w:val="en-US" w:eastAsia="zh-CN"/>
        </w:rPr>
        <w:t>采购人</w:t>
      </w:r>
      <w:r>
        <w:rPr>
          <w:rFonts w:hint="eastAsia" w:ascii="宋体" w:hAnsi="宋体" w:cs="宋体"/>
          <w:sz w:val="24"/>
        </w:rPr>
        <w:t>要求提前协商确定。</w:t>
      </w:r>
    </w:p>
    <w:p w14:paraId="1C32A58F">
      <w:pPr>
        <w:spacing w:line="360" w:lineRule="auto"/>
        <w:ind w:firstLine="480" w:firstLineChars="200"/>
        <w:rPr>
          <w:rFonts w:hint="eastAsia" w:ascii="宋体" w:hAnsi="宋体" w:cs="宋体"/>
          <w:sz w:val="24"/>
        </w:rPr>
      </w:pPr>
      <w:r>
        <w:rPr>
          <w:rFonts w:hint="eastAsia" w:ascii="宋体" w:hAnsi="宋体" w:cs="宋体"/>
          <w:sz w:val="24"/>
        </w:rPr>
        <w:t>整体项目在12个工作日内完成前期对接、实地评估和报告递交。</w:t>
      </w:r>
    </w:p>
    <w:p w14:paraId="501A9ECE">
      <w:pPr>
        <w:pStyle w:val="7"/>
        <w:spacing w:before="156" w:after="156"/>
        <w:rPr>
          <w:rFonts w:hint="eastAsia"/>
        </w:rPr>
      </w:pPr>
      <w:r>
        <w:rPr>
          <w:rFonts w:hint="eastAsia"/>
        </w:rPr>
        <w:t>（</w:t>
      </w:r>
      <w:r>
        <w:rPr>
          <w:rFonts w:hint="eastAsia"/>
          <w:sz w:val="24"/>
          <w:szCs w:val="24"/>
        </w:rPr>
        <w:t>四）结果应用</w:t>
      </w:r>
    </w:p>
    <w:p w14:paraId="638D0901">
      <w:pPr>
        <w:spacing w:line="360" w:lineRule="auto"/>
        <w:ind w:firstLine="480" w:firstLineChars="200"/>
        <w:rPr>
          <w:rFonts w:hint="eastAsia" w:ascii="宋体" w:hAnsi="宋体" w:cs="宋体"/>
          <w:sz w:val="24"/>
        </w:rPr>
      </w:pPr>
      <w:r>
        <w:rPr>
          <w:rFonts w:hint="eastAsia" w:ascii="宋体" w:hAnsi="宋体" w:cs="宋体"/>
          <w:sz w:val="24"/>
        </w:rPr>
        <w:t>1.</w:t>
      </w:r>
      <w:r>
        <w:rPr>
          <w:rFonts w:hint="eastAsia" w:ascii="宋体" w:hAnsi="宋体" w:cs="宋体"/>
          <w:b/>
          <w:bCs/>
          <w:sz w:val="24"/>
        </w:rPr>
        <w:t>问题清单：</w:t>
      </w:r>
      <w:r>
        <w:rPr>
          <w:rFonts w:hint="eastAsia" w:ascii="宋体" w:hAnsi="宋体" w:cs="宋体"/>
          <w:sz w:val="24"/>
        </w:rPr>
        <w:t>针对受测点位所有问题进行筛选、说明并统计成问题清单，问题位置精准，问题描述清晰，所有问题均有照片或视频追溯；</w:t>
      </w:r>
    </w:p>
    <w:p w14:paraId="5884042E">
      <w:pPr>
        <w:spacing w:line="360" w:lineRule="auto"/>
        <w:ind w:firstLine="480" w:firstLineChars="200"/>
        <w:rPr>
          <w:rFonts w:hint="eastAsia" w:ascii="宋体" w:hAnsi="宋体" w:cs="宋体"/>
          <w:sz w:val="24"/>
        </w:rPr>
      </w:pPr>
      <w:r>
        <w:rPr>
          <w:rFonts w:hint="eastAsia" w:ascii="宋体" w:hAnsi="宋体" w:cs="宋体"/>
          <w:sz w:val="24"/>
        </w:rPr>
        <w:t>2．</w:t>
      </w:r>
      <w:r>
        <w:rPr>
          <w:rFonts w:hint="eastAsia" w:ascii="宋体" w:hAnsi="宋体" w:cs="宋体"/>
          <w:b/>
          <w:bCs/>
          <w:sz w:val="24"/>
        </w:rPr>
        <w:t>责任清单：</w:t>
      </w:r>
      <w:r>
        <w:rPr>
          <w:rFonts w:hint="eastAsia" w:ascii="宋体" w:hAnsi="宋体" w:cs="宋体"/>
          <w:sz w:val="24"/>
        </w:rPr>
        <w:t>根据要求将所有问题分类到相关责任部门，形成以部门为单位的责任清单进行交办整改；</w:t>
      </w:r>
    </w:p>
    <w:p w14:paraId="7EE07C39">
      <w:pPr>
        <w:spacing w:line="360" w:lineRule="auto"/>
        <w:ind w:firstLine="480" w:firstLineChars="200"/>
        <w:rPr>
          <w:rFonts w:hint="eastAsia" w:ascii="宋体" w:hAnsi="宋体" w:cs="宋体"/>
          <w:sz w:val="24"/>
        </w:rPr>
      </w:pPr>
      <w:r>
        <w:rPr>
          <w:rFonts w:hint="eastAsia" w:ascii="宋体" w:hAnsi="宋体" w:cs="宋体"/>
          <w:sz w:val="24"/>
        </w:rPr>
        <w:t>3．</w:t>
      </w:r>
      <w:r>
        <w:rPr>
          <w:rFonts w:hint="eastAsia" w:ascii="宋体" w:hAnsi="宋体" w:cs="宋体"/>
          <w:b/>
          <w:bCs/>
          <w:sz w:val="24"/>
        </w:rPr>
        <w:t>点位得分：</w:t>
      </w:r>
      <w:r>
        <w:rPr>
          <w:rFonts w:hint="eastAsia" w:ascii="宋体" w:hAnsi="宋体" w:cs="宋体"/>
          <w:sz w:val="24"/>
        </w:rPr>
        <w:t>对每个点位如主干道、社区、集贸市场、公园广场等点位进行打分；</w:t>
      </w:r>
    </w:p>
    <w:p w14:paraId="7986132E">
      <w:pPr>
        <w:spacing w:line="360" w:lineRule="auto"/>
        <w:ind w:firstLine="480" w:firstLineChars="200"/>
        <w:rPr>
          <w:rFonts w:hint="eastAsia" w:ascii="宋体" w:hAnsi="宋体" w:cs="宋体"/>
          <w:sz w:val="24"/>
        </w:rPr>
      </w:pPr>
      <w:r>
        <w:rPr>
          <w:rFonts w:hint="eastAsia" w:ascii="宋体" w:hAnsi="宋体" w:cs="宋体"/>
          <w:sz w:val="24"/>
        </w:rPr>
        <w:t>4．</w:t>
      </w:r>
      <w:r>
        <w:rPr>
          <w:rFonts w:hint="eastAsia" w:ascii="宋体" w:hAnsi="宋体" w:cs="宋体"/>
          <w:b/>
          <w:bCs/>
          <w:sz w:val="24"/>
        </w:rPr>
        <w:t>综合测评报告：</w:t>
      </w:r>
      <w:r>
        <w:rPr>
          <w:rFonts w:hint="eastAsia" w:ascii="宋体" w:hAnsi="宋体" w:cs="宋体"/>
          <w:sz w:val="24"/>
        </w:rPr>
        <w:t>对上述所有信息进行综合汇总，并将测评过程、方法、整改建议等结合，形成综合性测评报告</w:t>
      </w:r>
      <w:r>
        <w:rPr>
          <w:rFonts w:hint="eastAsia" w:ascii="宋体" w:hAnsi="宋体" w:cs="宋体"/>
          <w:sz w:val="24"/>
          <w:lang w:eastAsia="zh-CN"/>
        </w:rPr>
        <w:t>（</w:t>
      </w:r>
      <w:r>
        <w:rPr>
          <w:rFonts w:hint="eastAsia" w:ascii="宋体" w:hAnsi="宋体" w:cs="宋体"/>
          <w:sz w:val="24"/>
          <w:lang w:val="en-US" w:eastAsia="zh-CN"/>
        </w:rPr>
        <w:t>反馈演讲稿和PPT</w:t>
      </w:r>
      <w:r>
        <w:rPr>
          <w:rFonts w:hint="eastAsia" w:ascii="宋体" w:hAnsi="宋体" w:cs="宋体"/>
          <w:sz w:val="24"/>
          <w:lang w:eastAsia="zh-CN"/>
        </w:rPr>
        <w:t>）</w:t>
      </w:r>
      <w:r>
        <w:rPr>
          <w:rFonts w:hint="eastAsia" w:ascii="宋体" w:hAnsi="宋体" w:cs="宋体"/>
          <w:sz w:val="24"/>
        </w:rPr>
        <w:t>；</w:t>
      </w:r>
    </w:p>
    <w:p w14:paraId="1861C255">
      <w:pPr>
        <w:spacing w:line="360" w:lineRule="auto"/>
        <w:ind w:firstLine="480" w:firstLineChars="200"/>
      </w:pPr>
      <w:r>
        <w:rPr>
          <w:rFonts w:hint="eastAsia" w:ascii="宋体" w:hAnsi="宋体" w:cs="宋体"/>
          <w:b w:val="0"/>
          <w:bCs w:val="0"/>
          <w:sz w:val="24"/>
        </w:rPr>
        <w:t>5．</w:t>
      </w:r>
      <w:r>
        <w:rPr>
          <w:rFonts w:hint="eastAsia" w:ascii="宋体" w:hAnsi="宋体" w:cs="宋体"/>
          <w:b/>
          <w:bCs/>
          <w:sz w:val="24"/>
        </w:rPr>
        <w:t>常态长效循环机制逐步形成。</w:t>
      </w:r>
    </w:p>
    <w:p w14:paraId="114AFA52">
      <w:pPr>
        <w:pStyle w:val="126"/>
        <w:adjustRightInd w:val="0"/>
        <w:snapToGrid w:val="0"/>
        <w:spacing w:after="0" w:line="360" w:lineRule="auto"/>
        <w:ind w:firstLine="482" w:firstLineChars="200"/>
        <w:rPr>
          <w:rFonts w:hint="eastAsia" w:ascii="宋体" w:hAnsi="宋体" w:eastAsia="宋体" w:cs="宋体"/>
          <w:b/>
          <w:bCs/>
          <w:i w:val="0"/>
          <w:caps w:val="0"/>
          <w:color w:val="auto"/>
          <w:spacing w:val="0"/>
          <w:kern w:val="0"/>
          <w:sz w:val="24"/>
          <w:szCs w:val="24"/>
          <w:highlight w:val="none"/>
          <w:lang w:val="en-US" w:eastAsia="zh-CN" w:bidi="ar-SA"/>
        </w:rPr>
      </w:pPr>
      <w:bookmarkStart w:id="373" w:name="_Toc13252"/>
      <w:bookmarkStart w:id="374" w:name="_Toc8297"/>
      <w:r>
        <w:rPr>
          <w:rFonts w:hint="eastAsia" w:ascii="宋体" w:hAnsi="宋体" w:eastAsia="宋体" w:cs="宋体"/>
          <w:b/>
          <w:bCs/>
          <w:i w:val="0"/>
          <w:caps w:val="0"/>
          <w:color w:val="auto"/>
          <w:spacing w:val="0"/>
          <w:kern w:val="0"/>
          <w:sz w:val="24"/>
          <w:szCs w:val="24"/>
          <w:highlight w:val="none"/>
          <w:lang w:val="en-US" w:eastAsia="zh-CN" w:bidi="ar-SA"/>
        </w:rPr>
        <w:t>2.3业务座谈</w:t>
      </w:r>
      <w:bookmarkEnd w:id="373"/>
      <w:bookmarkEnd w:id="374"/>
    </w:p>
    <w:p w14:paraId="38A0F14E">
      <w:pPr>
        <w:pStyle w:val="7"/>
        <w:spacing w:before="156" w:after="156"/>
        <w:rPr>
          <w:rFonts w:hint="eastAsia"/>
          <w:sz w:val="24"/>
          <w:szCs w:val="24"/>
        </w:rPr>
      </w:pPr>
      <w:r>
        <w:rPr>
          <w:rFonts w:hint="eastAsia"/>
          <w:sz w:val="24"/>
          <w:szCs w:val="24"/>
        </w:rPr>
        <w:t>（一）专家</w:t>
      </w:r>
    </w:p>
    <w:p w14:paraId="3F9B9EE6">
      <w:pPr>
        <w:pStyle w:val="7"/>
        <w:spacing w:before="156" w:after="156"/>
        <w:rPr>
          <w:rFonts w:hint="eastAsia"/>
          <w:b w:val="0"/>
          <w:bCs w:val="0"/>
          <w:sz w:val="24"/>
          <w:szCs w:val="24"/>
        </w:rPr>
      </w:pPr>
      <w:r>
        <w:rPr>
          <w:rFonts w:hint="eastAsia"/>
          <w:b w:val="0"/>
          <w:bCs w:val="0"/>
          <w:sz w:val="24"/>
          <w:szCs w:val="24"/>
        </w:rPr>
        <w:t>邀请经历过文明城市创建周期且具备实操经验的专家担任主讲。</w:t>
      </w:r>
    </w:p>
    <w:p w14:paraId="59C0A0E3">
      <w:pPr>
        <w:pStyle w:val="7"/>
        <w:spacing w:before="156" w:after="156"/>
        <w:rPr>
          <w:rFonts w:hint="eastAsia"/>
          <w:sz w:val="24"/>
          <w:szCs w:val="24"/>
        </w:rPr>
      </w:pPr>
      <w:r>
        <w:rPr>
          <w:rFonts w:hint="eastAsia"/>
          <w:sz w:val="24"/>
          <w:szCs w:val="24"/>
        </w:rPr>
        <w:t>（二）场次</w:t>
      </w:r>
    </w:p>
    <w:p w14:paraId="2C2674B0">
      <w:pPr>
        <w:pStyle w:val="7"/>
        <w:spacing w:before="156" w:after="156"/>
        <w:rPr>
          <w:rFonts w:hint="eastAsia"/>
          <w:b w:val="0"/>
          <w:bCs w:val="0"/>
          <w:sz w:val="24"/>
          <w:szCs w:val="24"/>
        </w:rPr>
      </w:pPr>
      <w:r>
        <w:rPr>
          <w:rFonts w:hint="eastAsia"/>
          <w:b w:val="0"/>
          <w:bCs w:val="0"/>
          <w:sz w:val="24"/>
          <w:szCs w:val="24"/>
        </w:rPr>
        <w:t>分2场次专题座谈</w:t>
      </w:r>
    </w:p>
    <w:p w14:paraId="012DE052">
      <w:pPr>
        <w:pStyle w:val="7"/>
        <w:spacing w:before="156" w:after="156"/>
        <w:rPr>
          <w:rFonts w:hint="eastAsia"/>
          <w:sz w:val="24"/>
          <w:szCs w:val="24"/>
        </w:rPr>
      </w:pPr>
      <w:r>
        <w:rPr>
          <w:rFonts w:hint="eastAsia"/>
          <w:sz w:val="24"/>
          <w:szCs w:val="24"/>
        </w:rPr>
        <w:t>第一场：</w:t>
      </w:r>
    </w:p>
    <w:p w14:paraId="0E12FF5C">
      <w:pPr>
        <w:pStyle w:val="7"/>
        <w:spacing w:before="156" w:after="156"/>
        <w:rPr>
          <w:rFonts w:hint="eastAsia"/>
          <w:b w:val="0"/>
          <w:bCs w:val="0"/>
          <w:sz w:val="24"/>
          <w:szCs w:val="24"/>
        </w:rPr>
      </w:pPr>
      <w:r>
        <w:rPr>
          <w:rFonts w:hint="eastAsia"/>
          <w:b w:val="0"/>
          <w:bCs w:val="0"/>
          <w:sz w:val="24"/>
          <w:szCs w:val="24"/>
        </w:rPr>
        <w:t>对象：各县（市、区）文明办主要负责人、市直部门分管领导。</w:t>
      </w:r>
    </w:p>
    <w:p w14:paraId="70B8581E">
      <w:pPr>
        <w:pStyle w:val="7"/>
        <w:spacing w:before="156" w:after="156"/>
        <w:rPr>
          <w:rFonts w:hint="eastAsia"/>
          <w:sz w:val="24"/>
          <w:szCs w:val="24"/>
        </w:rPr>
      </w:pPr>
      <w:r>
        <w:rPr>
          <w:rFonts w:hint="eastAsia"/>
          <w:sz w:val="24"/>
          <w:szCs w:val="24"/>
        </w:rPr>
        <w:t>第二场：</w:t>
      </w:r>
    </w:p>
    <w:p w14:paraId="1CDCA22A">
      <w:pPr>
        <w:pStyle w:val="7"/>
        <w:spacing w:before="156" w:after="156"/>
        <w:rPr>
          <w:rFonts w:hint="eastAsia"/>
          <w:b w:val="0"/>
          <w:bCs w:val="0"/>
          <w:sz w:val="24"/>
          <w:szCs w:val="24"/>
        </w:rPr>
      </w:pPr>
      <w:r>
        <w:rPr>
          <w:rFonts w:hint="eastAsia"/>
          <w:b w:val="0"/>
          <w:bCs w:val="0"/>
          <w:sz w:val="24"/>
          <w:szCs w:val="24"/>
        </w:rPr>
        <w:t>对象：文明办、街道（乡镇）创建骨干、社区代表等。</w:t>
      </w:r>
    </w:p>
    <w:p w14:paraId="07E5F0FB">
      <w:pPr>
        <w:pStyle w:val="7"/>
        <w:spacing w:before="156" w:after="156"/>
        <w:rPr>
          <w:rFonts w:hint="eastAsia"/>
          <w:b w:val="0"/>
          <w:bCs w:val="0"/>
          <w:sz w:val="24"/>
          <w:szCs w:val="24"/>
        </w:rPr>
      </w:pPr>
      <w:r>
        <w:rPr>
          <w:rFonts w:hint="eastAsia"/>
          <w:b w:val="0"/>
          <w:bCs w:val="0"/>
          <w:sz w:val="24"/>
          <w:szCs w:val="24"/>
        </w:rPr>
        <w:t>可灵活调整上述参加座谈的人员。</w:t>
      </w:r>
    </w:p>
    <w:p w14:paraId="75F1F6D4">
      <w:pPr>
        <w:pStyle w:val="7"/>
        <w:spacing w:before="156" w:after="156"/>
        <w:rPr>
          <w:rFonts w:hint="eastAsia"/>
          <w:sz w:val="24"/>
          <w:szCs w:val="24"/>
        </w:rPr>
      </w:pPr>
      <w:r>
        <w:rPr>
          <w:rFonts w:hint="eastAsia"/>
          <w:sz w:val="24"/>
          <w:szCs w:val="24"/>
        </w:rPr>
        <w:t>（三）内容模块</w:t>
      </w:r>
    </w:p>
    <w:p w14:paraId="2A8A32F7">
      <w:pPr>
        <w:pStyle w:val="7"/>
        <w:spacing w:before="156" w:after="156"/>
        <w:rPr>
          <w:rFonts w:hint="eastAsia"/>
          <w:b w:val="0"/>
          <w:bCs w:val="0"/>
          <w:sz w:val="24"/>
          <w:szCs w:val="24"/>
        </w:rPr>
      </w:pPr>
      <w:r>
        <w:rPr>
          <w:rFonts w:hint="eastAsia"/>
          <w:b w:val="0"/>
          <w:bCs w:val="0"/>
          <w:sz w:val="24"/>
          <w:szCs w:val="24"/>
        </w:rPr>
        <w:t>1．测评结果深度剖析；</w:t>
      </w:r>
    </w:p>
    <w:p w14:paraId="53CDC3DF">
      <w:pPr>
        <w:pStyle w:val="7"/>
        <w:spacing w:before="156" w:after="156"/>
        <w:rPr>
          <w:rFonts w:hint="eastAsia"/>
          <w:b w:val="0"/>
          <w:bCs w:val="0"/>
          <w:sz w:val="24"/>
          <w:szCs w:val="24"/>
        </w:rPr>
      </w:pPr>
      <w:r>
        <w:rPr>
          <w:rFonts w:hint="eastAsia"/>
          <w:b w:val="0"/>
          <w:bCs w:val="0"/>
          <w:sz w:val="24"/>
          <w:szCs w:val="24"/>
        </w:rPr>
        <w:t>2．创建要求专项解读；</w:t>
      </w:r>
    </w:p>
    <w:p w14:paraId="758913B3">
      <w:pPr>
        <w:pStyle w:val="7"/>
        <w:spacing w:before="156" w:after="156"/>
        <w:rPr>
          <w:rFonts w:hint="eastAsia"/>
          <w:b w:val="0"/>
          <w:bCs w:val="0"/>
          <w:sz w:val="24"/>
          <w:szCs w:val="24"/>
        </w:rPr>
      </w:pPr>
      <w:r>
        <w:rPr>
          <w:rFonts w:hint="eastAsia"/>
          <w:b w:val="0"/>
          <w:bCs w:val="0"/>
          <w:sz w:val="24"/>
          <w:szCs w:val="24"/>
        </w:rPr>
        <w:t>3．优秀经典案例研习；</w:t>
      </w:r>
    </w:p>
    <w:p w14:paraId="02FF7532">
      <w:pPr>
        <w:pStyle w:val="7"/>
        <w:spacing w:before="156" w:after="156"/>
        <w:rPr>
          <w:rFonts w:hint="eastAsia" w:ascii="宋体" w:hAnsi="宋体" w:eastAsia="宋体"/>
          <w:b/>
          <w:sz w:val="32"/>
          <w:lang w:val="en-US" w:eastAsia="zh-CN"/>
        </w:rPr>
      </w:pPr>
      <w:r>
        <w:rPr>
          <w:rFonts w:hint="eastAsia"/>
          <w:b w:val="0"/>
          <w:bCs w:val="0"/>
          <w:sz w:val="24"/>
          <w:szCs w:val="24"/>
        </w:rPr>
        <w:t>4．创建前瞻研讨</w:t>
      </w:r>
      <w:r>
        <w:rPr>
          <w:rFonts w:hint="eastAsia"/>
          <w:b w:val="0"/>
          <w:bCs w:val="0"/>
          <w:sz w:val="24"/>
          <w:szCs w:val="24"/>
          <w:lang w:eastAsia="zh-CN"/>
        </w:rPr>
        <w:t>。</w:t>
      </w:r>
    </w:p>
    <w:p w14:paraId="40927236">
      <w:pPr>
        <w:snapToGrid w:val="0"/>
        <w:spacing w:before="238" w:line="360" w:lineRule="auto"/>
        <w:rPr>
          <w:rFonts w:ascii="宋体" w:hAnsi="宋体"/>
          <w:b/>
          <w:color w:val="auto"/>
          <w:sz w:val="24"/>
          <w:szCs w:val="21"/>
          <w:highlight w:val="none"/>
        </w:rPr>
      </w:pPr>
      <w:r>
        <w:rPr>
          <w:rFonts w:hint="eastAsia" w:ascii="宋体" w:hAnsi="宋体"/>
          <w:b/>
          <w:color w:val="auto"/>
          <w:sz w:val="24"/>
          <w:szCs w:val="21"/>
          <w:highlight w:val="none"/>
        </w:rPr>
        <w:t>3.合同总价</w:t>
      </w:r>
    </w:p>
    <w:p w14:paraId="39361AE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本合同含税金额为（大写）：</w:t>
      </w:r>
      <w:r>
        <w:rPr>
          <w:rFonts w:hint="eastAsia" w:ascii="宋体" w:hAnsi="宋体" w:cs="宋体"/>
          <w:color w:val="auto"/>
          <w:sz w:val="24"/>
          <w:highlight w:val="none"/>
          <w:u w:val="single"/>
        </w:rPr>
        <w:t xml:space="preserve">人民币                 </w:t>
      </w:r>
      <w:r>
        <w:rPr>
          <w:rFonts w:hint="eastAsia" w:ascii="宋体" w:hAnsi="宋体" w:cs="宋体"/>
          <w:color w:val="auto"/>
          <w:sz w:val="24"/>
          <w:highlight w:val="none"/>
        </w:rPr>
        <w:t>元（</w:t>
      </w:r>
      <w:r>
        <w:rPr>
          <w:rFonts w:hint="eastAsia" w:ascii="宋体" w:hAnsi="宋体" w:cs="宋体"/>
          <w:color w:val="auto"/>
          <w:sz w:val="24"/>
          <w:highlight w:val="none"/>
          <w:u w:val="single"/>
        </w:rPr>
        <w:t>¥</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w:t>
      </w:r>
    </w:p>
    <w:p w14:paraId="656FE73A">
      <w:pPr>
        <w:numPr>
          <w:ilvl w:val="0"/>
          <w:numId w:val="0"/>
        </w:numPr>
        <w:snapToGrid w:val="0"/>
        <w:spacing w:before="238" w:line="360" w:lineRule="auto"/>
        <w:rPr>
          <w:rFonts w:hint="eastAsia" w:ascii="宋体" w:hAnsi="宋体"/>
          <w:b/>
          <w:color w:val="000000"/>
          <w:sz w:val="24"/>
          <w:szCs w:val="21"/>
          <w:highlight w:val="none"/>
        </w:rPr>
      </w:pPr>
      <w:r>
        <w:rPr>
          <w:rFonts w:hint="eastAsia" w:ascii="宋体" w:hAnsi="宋体"/>
          <w:b/>
          <w:color w:val="000000"/>
          <w:sz w:val="24"/>
          <w:szCs w:val="21"/>
          <w:highlight w:val="none"/>
          <w:lang w:val="en-US" w:eastAsia="zh-CN"/>
        </w:rPr>
        <w:t>4.</w:t>
      </w:r>
      <w:r>
        <w:rPr>
          <w:rFonts w:hint="eastAsia" w:ascii="宋体" w:hAnsi="宋体"/>
          <w:b/>
          <w:color w:val="000000"/>
          <w:sz w:val="24"/>
          <w:szCs w:val="21"/>
          <w:highlight w:val="none"/>
        </w:rPr>
        <w:t>付款方式</w:t>
      </w:r>
    </w:p>
    <w:p w14:paraId="5542DC43">
      <w:pPr>
        <w:spacing w:before="100" w:after="100" w:line="360" w:lineRule="auto"/>
        <w:ind w:firstLine="480" w:firstLineChars="200"/>
        <w:jc w:val="left"/>
        <w:rPr>
          <w:rFonts w:hint="eastAsia" w:ascii="宋体" w:hAnsi="宋体" w:eastAsia="宋体" w:cs="宋体"/>
          <w:color w:val="auto"/>
          <w:sz w:val="24"/>
          <w:highlight w:val="none"/>
          <w:lang w:eastAsia="zh-CN" w:bidi="ar"/>
        </w:rPr>
      </w:pPr>
      <w:r>
        <w:rPr>
          <w:rFonts w:hint="eastAsia" w:ascii="宋体" w:hAnsi="宋体" w:cs="宋体"/>
          <w:color w:val="auto"/>
          <w:sz w:val="24"/>
          <w:highlight w:val="none"/>
        </w:rPr>
        <w:t>合同签订且收到</w:t>
      </w:r>
      <w:r>
        <w:rPr>
          <w:rFonts w:hint="eastAsia" w:ascii="宋体" w:hAnsi="宋体" w:cs="宋体"/>
          <w:color w:val="auto"/>
          <w:sz w:val="24"/>
          <w:highlight w:val="none"/>
          <w:lang w:val="en-US" w:eastAsia="zh-CN"/>
        </w:rPr>
        <w:t>乙方</w:t>
      </w:r>
      <w:r>
        <w:rPr>
          <w:rFonts w:hint="eastAsia" w:ascii="宋体" w:hAnsi="宋体" w:cs="宋体"/>
          <w:color w:val="auto"/>
          <w:sz w:val="24"/>
          <w:highlight w:val="none"/>
        </w:rPr>
        <w:t>发票后七个工作日内支付</w:t>
      </w:r>
      <w:r>
        <w:rPr>
          <w:rFonts w:hint="eastAsia" w:ascii="宋体" w:hAnsi="宋体" w:cs="宋体"/>
          <w:color w:val="auto"/>
          <w:sz w:val="24"/>
          <w:highlight w:val="none"/>
          <w:lang w:val="en-US" w:eastAsia="zh-CN"/>
        </w:rPr>
        <w:t>合同金额</w:t>
      </w:r>
      <w:r>
        <w:rPr>
          <w:rFonts w:hint="eastAsia" w:ascii="宋体" w:hAnsi="宋体" w:cs="宋体"/>
          <w:color w:val="auto"/>
          <w:sz w:val="24"/>
          <w:highlight w:val="none"/>
        </w:rPr>
        <w:t>的</w:t>
      </w:r>
      <w:r>
        <w:rPr>
          <w:rFonts w:hint="eastAsia" w:ascii="宋体" w:hAnsi="宋体" w:cs="宋体"/>
          <w:color w:val="auto"/>
          <w:sz w:val="24"/>
          <w:highlight w:val="none"/>
          <w:lang w:val="en-US" w:eastAsia="zh-CN"/>
        </w:rPr>
        <w:t>60</w:t>
      </w:r>
      <w:r>
        <w:rPr>
          <w:rFonts w:hint="eastAsia" w:ascii="宋体" w:hAnsi="宋体" w:cs="宋体"/>
          <w:color w:val="auto"/>
          <w:sz w:val="24"/>
          <w:highlight w:val="none"/>
        </w:rPr>
        <w:t>%作为预付款；</w:t>
      </w:r>
      <w:r>
        <w:rPr>
          <w:rFonts w:hint="eastAsia" w:ascii="宋体" w:hAnsi="宋体" w:eastAsia="宋体"/>
          <w:b w:val="0"/>
          <w:bCs w:val="0"/>
          <w:color w:val="auto"/>
          <w:sz w:val="24"/>
          <w:szCs w:val="32"/>
          <w:highlight w:val="none"/>
          <w:u w:val="none"/>
        </w:rPr>
        <w:t>项目实施完成</w:t>
      </w:r>
      <w:r>
        <w:rPr>
          <w:rFonts w:hint="eastAsia" w:ascii="宋体" w:hAnsi="宋体"/>
          <w:b w:val="0"/>
          <w:bCs w:val="0"/>
          <w:color w:val="auto"/>
          <w:sz w:val="24"/>
          <w:szCs w:val="32"/>
          <w:highlight w:val="none"/>
          <w:u w:val="none"/>
          <w:lang w:eastAsia="zh-CN"/>
        </w:rPr>
        <w:t>后</w:t>
      </w:r>
      <w:r>
        <w:rPr>
          <w:rFonts w:hint="eastAsia" w:ascii="宋体" w:hAnsi="宋体" w:eastAsia="宋体"/>
          <w:b w:val="0"/>
          <w:bCs w:val="0"/>
          <w:color w:val="auto"/>
          <w:sz w:val="24"/>
          <w:szCs w:val="32"/>
          <w:highlight w:val="none"/>
          <w:u w:val="none"/>
        </w:rPr>
        <w:t>经</w:t>
      </w:r>
      <w:r>
        <w:rPr>
          <w:rFonts w:hint="eastAsia" w:ascii="宋体" w:hAnsi="宋体"/>
          <w:b w:val="0"/>
          <w:bCs w:val="0"/>
          <w:color w:val="auto"/>
          <w:sz w:val="24"/>
          <w:szCs w:val="32"/>
          <w:highlight w:val="none"/>
          <w:u w:val="none"/>
          <w:lang w:val="en-US" w:eastAsia="zh-CN"/>
        </w:rPr>
        <w:t>甲方</w:t>
      </w:r>
      <w:r>
        <w:rPr>
          <w:rFonts w:hint="eastAsia" w:ascii="宋体" w:hAnsi="宋体" w:eastAsia="宋体"/>
          <w:b w:val="0"/>
          <w:bCs w:val="0"/>
          <w:color w:val="auto"/>
          <w:sz w:val="24"/>
          <w:szCs w:val="32"/>
          <w:highlight w:val="none"/>
          <w:u w:val="none"/>
        </w:rPr>
        <w:t>验收合格</w:t>
      </w:r>
      <w:r>
        <w:rPr>
          <w:rFonts w:hint="eastAsia" w:ascii="宋体" w:hAnsi="宋体" w:eastAsia="宋体"/>
          <w:b w:val="0"/>
          <w:bCs w:val="0"/>
          <w:color w:val="auto"/>
          <w:sz w:val="24"/>
          <w:szCs w:val="32"/>
          <w:highlight w:val="none"/>
          <w:u w:val="none"/>
          <w:lang w:val="en-US" w:eastAsia="zh-CN"/>
        </w:rPr>
        <w:t>后</w:t>
      </w:r>
      <w:r>
        <w:rPr>
          <w:rFonts w:hint="eastAsia" w:ascii="宋体" w:hAnsi="宋体" w:eastAsia="宋体"/>
          <w:b w:val="0"/>
          <w:bCs w:val="0"/>
          <w:color w:val="auto"/>
          <w:sz w:val="24"/>
          <w:szCs w:val="32"/>
          <w:highlight w:val="none"/>
          <w:u w:val="none"/>
        </w:rPr>
        <w:t>且收到</w:t>
      </w:r>
      <w:r>
        <w:rPr>
          <w:rFonts w:hint="eastAsia" w:ascii="宋体" w:hAnsi="宋体"/>
          <w:b w:val="0"/>
          <w:bCs w:val="0"/>
          <w:color w:val="auto"/>
          <w:sz w:val="24"/>
          <w:szCs w:val="32"/>
          <w:highlight w:val="none"/>
          <w:u w:val="none"/>
          <w:lang w:val="en-US" w:eastAsia="zh-CN"/>
        </w:rPr>
        <w:t>乙方</w:t>
      </w:r>
      <w:r>
        <w:rPr>
          <w:rFonts w:hint="eastAsia" w:ascii="宋体" w:hAnsi="宋体" w:eastAsia="宋体"/>
          <w:b w:val="0"/>
          <w:bCs w:val="0"/>
          <w:color w:val="auto"/>
          <w:sz w:val="24"/>
          <w:szCs w:val="32"/>
          <w:highlight w:val="none"/>
          <w:u w:val="none"/>
        </w:rPr>
        <w:t>正式发票后7个工作日内付清剩余的款项</w:t>
      </w:r>
      <w:r>
        <w:rPr>
          <w:rFonts w:hint="eastAsia" w:ascii="宋体" w:hAnsi="宋体"/>
          <w:color w:val="auto"/>
          <w:sz w:val="24"/>
          <w:szCs w:val="22"/>
          <w:highlight w:val="none"/>
        </w:rPr>
        <w:t>。</w:t>
      </w:r>
    </w:p>
    <w:p w14:paraId="42B2C019">
      <w:pPr>
        <w:spacing w:line="360" w:lineRule="auto"/>
        <w:rPr>
          <w:rFonts w:hint="eastAsia" w:ascii="宋体" w:hAnsi="宋体" w:eastAsia="宋体" w:cs="宋体"/>
          <w:color w:val="auto"/>
          <w:sz w:val="24"/>
          <w:highlight w:val="none"/>
          <w:lang w:eastAsia="zh-CN"/>
        </w:rPr>
      </w:pPr>
      <w:r>
        <w:rPr>
          <w:rFonts w:hint="eastAsia" w:ascii="宋体" w:hAnsi="宋体" w:cs="宋体"/>
          <w:b/>
          <w:color w:val="auto"/>
          <w:sz w:val="24"/>
          <w:highlight w:val="none"/>
        </w:rPr>
        <w:t>5.</w:t>
      </w:r>
      <w:r>
        <w:rPr>
          <w:rFonts w:hint="eastAsia" w:ascii="宋体" w:hAnsi="宋体"/>
          <w:b/>
          <w:color w:val="auto"/>
          <w:sz w:val="24"/>
          <w:szCs w:val="21"/>
          <w:highlight w:val="none"/>
        </w:rPr>
        <w:t>服务</w:t>
      </w:r>
      <w:r>
        <w:rPr>
          <w:rFonts w:hint="eastAsia" w:ascii="宋体" w:hAnsi="宋体"/>
          <w:b/>
          <w:color w:val="auto"/>
          <w:sz w:val="24"/>
          <w:szCs w:val="21"/>
          <w:highlight w:val="none"/>
          <w:lang w:eastAsia="zh-CN"/>
        </w:rPr>
        <w:t>期限验收时间</w:t>
      </w:r>
    </w:p>
    <w:p w14:paraId="1862D22C">
      <w:pPr>
        <w:widowControl/>
        <w:spacing w:line="360" w:lineRule="auto"/>
        <w:ind w:firstLine="480"/>
        <w:jc w:val="left"/>
        <w:rPr>
          <w:rFonts w:hint="eastAsia" w:ascii="宋体" w:hAnsi="宋体" w:eastAsia="宋体" w:cs="宋体"/>
          <w:b w:val="0"/>
          <w:bCs w:val="0"/>
          <w:color w:val="auto"/>
          <w:sz w:val="24"/>
          <w:szCs w:val="24"/>
          <w:highlight w:val="none"/>
        </w:rPr>
      </w:pPr>
      <w:r>
        <w:rPr>
          <w:rFonts w:hint="eastAsia" w:ascii="宋体" w:hAnsi="宋体" w:cs="宋体"/>
          <w:color w:val="auto"/>
          <w:sz w:val="24"/>
          <w:highlight w:val="none"/>
        </w:rPr>
        <w:t>5.1</w:t>
      </w:r>
      <w:r>
        <w:rPr>
          <w:rFonts w:hint="eastAsia" w:ascii="宋体" w:hAnsi="宋体" w:eastAsia="宋体" w:cs="宋体"/>
          <w:i w:val="0"/>
          <w:caps w:val="0"/>
          <w:color w:val="auto"/>
          <w:spacing w:val="0"/>
          <w:kern w:val="0"/>
          <w:sz w:val="24"/>
          <w:szCs w:val="24"/>
          <w:highlight w:val="none"/>
          <w:lang w:val="en-US" w:eastAsia="zh-CN" w:bidi="ar-SA"/>
        </w:rPr>
        <w:t>服务期限</w:t>
      </w:r>
      <w:r>
        <w:rPr>
          <w:rFonts w:hint="eastAsia" w:ascii="宋体" w:hAnsi="宋体" w:cs="宋体"/>
          <w:i w:val="0"/>
          <w:caps w:val="0"/>
          <w:color w:val="auto"/>
          <w:spacing w:val="0"/>
          <w:kern w:val="0"/>
          <w:sz w:val="24"/>
          <w:szCs w:val="24"/>
          <w:highlight w:val="none"/>
          <w:lang w:val="en-US" w:eastAsia="zh-CN" w:bidi="ar-SA"/>
        </w:rPr>
        <w:t>：</w:t>
      </w:r>
      <w:r>
        <w:rPr>
          <w:rFonts w:hint="eastAsia" w:ascii="宋体" w:hAnsi="宋体" w:cs="宋体"/>
          <w:color w:val="auto"/>
          <w:sz w:val="24"/>
          <w:highlight w:val="none"/>
          <w:lang w:val="en-US" w:eastAsia="zh-CN"/>
        </w:rPr>
        <w:t>2025年11月15日前完成所有工作</w:t>
      </w:r>
      <w:r>
        <w:rPr>
          <w:rFonts w:hint="eastAsia" w:ascii="宋体" w:hAnsi="宋体"/>
          <w:color w:val="auto"/>
          <w:sz w:val="24"/>
          <w:highlight w:val="none"/>
        </w:rPr>
        <w:t>。</w:t>
      </w:r>
    </w:p>
    <w:p w14:paraId="35855633">
      <w:pPr>
        <w:pStyle w:val="138"/>
        <w:spacing w:line="360" w:lineRule="auto"/>
        <w:ind w:left="0" w:leftChars="0" w:firstLine="480" w:firstLineChars="200"/>
        <w:rPr>
          <w:rFonts w:hint="default" w:eastAsia="宋体"/>
          <w:color w:val="auto"/>
          <w:highlight w:val="none"/>
          <w:lang w:val="en-US" w:eastAsia="zh-CN"/>
        </w:rPr>
      </w:pPr>
      <w:r>
        <w:rPr>
          <w:rFonts w:ascii="宋体" w:hAnsi="宋体" w:cs="宋体"/>
          <w:color w:val="auto"/>
          <w:sz w:val="24"/>
          <w:szCs w:val="24"/>
          <w:highlight w:val="none"/>
        </w:rPr>
        <w:t>5.2</w:t>
      </w:r>
      <w:r>
        <w:rPr>
          <w:rFonts w:hint="eastAsia" w:hAnsi="宋体" w:cs="宋体"/>
          <w:b w:val="0"/>
          <w:bCs w:val="0"/>
          <w:color w:val="auto"/>
          <w:sz w:val="24"/>
          <w:szCs w:val="24"/>
          <w:highlight w:val="none"/>
          <w:lang w:val="en-US" w:eastAsia="zh-CN"/>
        </w:rPr>
        <w:t>验收时间：</w:t>
      </w:r>
    </w:p>
    <w:p w14:paraId="60D30B51">
      <w:pPr>
        <w:snapToGrid w:val="0"/>
        <w:spacing w:before="238" w:line="360" w:lineRule="auto"/>
        <w:rPr>
          <w:rFonts w:ascii="宋体" w:hAnsi="宋体"/>
          <w:b/>
          <w:color w:val="auto"/>
          <w:sz w:val="24"/>
          <w:szCs w:val="21"/>
          <w:highlight w:val="none"/>
        </w:rPr>
      </w:pPr>
      <w:r>
        <w:rPr>
          <w:rFonts w:hint="eastAsia" w:ascii="宋体" w:hAnsi="宋体"/>
          <w:b/>
          <w:color w:val="auto"/>
          <w:sz w:val="24"/>
          <w:szCs w:val="21"/>
          <w:highlight w:val="none"/>
        </w:rPr>
        <w:t>6.使用合同文件和资料：</w:t>
      </w:r>
    </w:p>
    <w:p w14:paraId="532A3D02">
      <w:pPr>
        <w:snapToGrid w:val="0"/>
        <w:spacing w:before="238" w:line="360" w:lineRule="auto"/>
        <w:ind w:firstLine="241"/>
        <w:rPr>
          <w:rFonts w:ascii="宋体" w:hAnsi="宋体"/>
          <w:color w:val="auto"/>
          <w:sz w:val="24"/>
          <w:szCs w:val="21"/>
          <w:highlight w:val="none"/>
        </w:rPr>
      </w:pPr>
      <w:r>
        <w:rPr>
          <w:rFonts w:hint="eastAsia" w:ascii="宋体" w:hAnsi="宋体"/>
          <w:color w:val="auto"/>
          <w:sz w:val="24"/>
          <w:szCs w:val="21"/>
          <w:highlight w:val="none"/>
        </w:rPr>
        <w:t>6.1 没有甲方事先书面同意，乙方不得将由甲方或代表甲方提供的有关合同或任何合同条文、计划、图纸或资料提供给与履行本合同无关的任何其他人。即使向与履行本合同有关的人员提供，也应注意保密并限于履行合同必须的范围。</w:t>
      </w:r>
    </w:p>
    <w:p w14:paraId="554E6B68">
      <w:pPr>
        <w:snapToGrid w:val="0"/>
        <w:spacing w:before="238" w:line="360" w:lineRule="auto"/>
        <w:ind w:firstLine="241"/>
        <w:rPr>
          <w:rFonts w:ascii="宋体" w:hAnsi="宋体"/>
          <w:color w:val="auto"/>
          <w:sz w:val="24"/>
          <w:szCs w:val="21"/>
          <w:highlight w:val="none"/>
        </w:rPr>
      </w:pPr>
      <w:r>
        <w:rPr>
          <w:rFonts w:hint="eastAsia" w:ascii="宋体" w:hAnsi="宋体"/>
          <w:color w:val="auto"/>
          <w:sz w:val="24"/>
          <w:szCs w:val="21"/>
          <w:highlight w:val="none"/>
        </w:rPr>
        <w:t>6.2 没有甲方事先书面同意，除了履行本合同之外，乙方不应使用6.1条款所列举的任何文件和资料。</w:t>
      </w:r>
    </w:p>
    <w:p w14:paraId="2F65CE6B">
      <w:pPr>
        <w:snapToGrid w:val="0"/>
        <w:spacing w:before="238" w:line="360" w:lineRule="auto"/>
        <w:ind w:firstLine="241"/>
        <w:rPr>
          <w:rFonts w:ascii="宋体" w:hAnsi="宋体"/>
          <w:color w:val="auto"/>
          <w:sz w:val="24"/>
          <w:szCs w:val="21"/>
          <w:highlight w:val="none"/>
        </w:rPr>
      </w:pPr>
      <w:r>
        <w:rPr>
          <w:rFonts w:hint="eastAsia" w:ascii="宋体" w:hAnsi="宋体"/>
          <w:color w:val="auto"/>
          <w:sz w:val="24"/>
          <w:szCs w:val="21"/>
          <w:highlight w:val="none"/>
        </w:rPr>
        <w:t>6.3 除了合同本身外， 6.1条款所列举的任何文件是甲方的财产。如果甲方有要求，乙方应在完成合同后将这些文件及全部复制件归还给甲方。</w:t>
      </w:r>
    </w:p>
    <w:p w14:paraId="0E7540F2">
      <w:pPr>
        <w:snapToGrid w:val="0"/>
        <w:spacing w:before="238" w:line="360" w:lineRule="auto"/>
        <w:ind w:firstLine="241"/>
        <w:rPr>
          <w:rFonts w:ascii="宋体" w:hAnsi="宋体"/>
          <w:b/>
          <w:color w:val="auto"/>
          <w:sz w:val="24"/>
          <w:szCs w:val="21"/>
          <w:highlight w:val="none"/>
        </w:rPr>
      </w:pPr>
      <w:r>
        <w:rPr>
          <w:rFonts w:hint="eastAsia" w:ascii="宋体" w:hAnsi="宋体"/>
          <w:b/>
          <w:color w:val="auto"/>
          <w:sz w:val="24"/>
          <w:szCs w:val="21"/>
          <w:highlight w:val="none"/>
        </w:rPr>
        <w:t>7.知识产权</w:t>
      </w:r>
    </w:p>
    <w:p w14:paraId="2E47A511">
      <w:pPr>
        <w:snapToGrid w:val="0"/>
        <w:spacing w:before="238" w:line="360" w:lineRule="auto"/>
        <w:ind w:firstLine="480" w:firstLineChars="200"/>
        <w:rPr>
          <w:rFonts w:ascii="宋体" w:hAnsi="宋体"/>
          <w:color w:val="auto"/>
          <w:sz w:val="24"/>
          <w:szCs w:val="21"/>
          <w:highlight w:val="none"/>
        </w:rPr>
      </w:pPr>
      <w:r>
        <w:rPr>
          <w:rFonts w:hint="eastAsia" w:ascii="宋体" w:hAnsi="宋体"/>
          <w:color w:val="auto"/>
          <w:sz w:val="24"/>
          <w:szCs w:val="21"/>
          <w:highlight w:val="none"/>
        </w:rPr>
        <w:t>乙方应保证提供服务过程中不会侵犯任何第三方的知识产权，如果任何第三方提出侵权指控，乙方须与第三方交涉并承担可能发生的一切法律责任和费用。</w:t>
      </w:r>
    </w:p>
    <w:p w14:paraId="7FBBC2D9">
      <w:pPr>
        <w:snapToGrid w:val="0"/>
        <w:spacing w:before="238" w:line="360" w:lineRule="auto"/>
        <w:ind w:firstLine="241"/>
        <w:rPr>
          <w:rFonts w:ascii="宋体" w:hAnsi="宋体"/>
          <w:b/>
          <w:color w:val="auto"/>
          <w:sz w:val="24"/>
          <w:szCs w:val="21"/>
          <w:highlight w:val="none"/>
        </w:rPr>
      </w:pPr>
      <w:r>
        <w:rPr>
          <w:rFonts w:hint="eastAsia" w:ascii="宋体" w:hAnsi="宋体"/>
          <w:b/>
          <w:color w:val="auto"/>
          <w:sz w:val="24"/>
          <w:szCs w:val="21"/>
          <w:highlight w:val="none"/>
        </w:rPr>
        <w:t>8.不可抗力</w:t>
      </w:r>
    </w:p>
    <w:p w14:paraId="283BCF4F">
      <w:pPr>
        <w:snapToGrid w:val="0"/>
        <w:spacing w:before="238" w:line="360" w:lineRule="auto"/>
        <w:ind w:firstLine="241"/>
        <w:rPr>
          <w:rFonts w:ascii="宋体" w:hAnsi="宋体"/>
          <w:color w:val="auto"/>
          <w:sz w:val="24"/>
          <w:szCs w:val="21"/>
          <w:highlight w:val="none"/>
        </w:rPr>
      </w:pPr>
      <w:r>
        <w:rPr>
          <w:rFonts w:hint="eastAsia" w:ascii="宋体" w:hAnsi="宋体"/>
          <w:color w:val="auto"/>
          <w:sz w:val="24"/>
          <w:szCs w:val="21"/>
          <w:highlight w:val="none"/>
        </w:rPr>
        <w:t>8.1如果双方中任何一方由于战争、严重火灾、水灾、台风和地震以及其它经双方同意属于不可抗力的事故，致使合同履行受阻时，受不可抗力影响导致合同义务延迟或不能履行的一方不承担责任，但应尽快以传真方式将不可抗力事件结束或消除的情况通知另一方，并立即继续履行合同义务，合同的期限也应予相应延长。</w:t>
      </w:r>
    </w:p>
    <w:p w14:paraId="7B396121">
      <w:pPr>
        <w:snapToGrid w:val="0"/>
        <w:spacing w:before="238" w:line="360" w:lineRule="auto"/>
        <w:ind w:firstLine="241"/>
        <w:rPr>
          <w:rFonts w:ascii="宋体" w:hAnsi="宋体"/>
          <w:color w:val="auto"/>
          <w:sz w:val="24"/>
          <w:szCs w:val="21"/>
          <w:highlight w:val="none"/>
        </w:rPr>
      </w:pPr>
      <w:r>
        <w:rPr>
          <w:rFonts w:hint="eastAsia" w:ascii="宋体" w:hAnsi="宋体"/>
          <w:color w:val="auto"/>
          <w:sz w:val="24"/>
          <w:szCs w:val="21"/>
          <w:highlight w:val="none"/>
        </w:rPr>
        <w:t>8.2受事故影响的一方应在不可抗力的事故发生后尽快以传真通知另一方，并在事故发生后14天内，将有关部门出具的证明文件用挂号信邮寄或派人送达另一方。如果不可抗力影响时间超过合同规定的期限的，合同任何一方均有权以书面通知终止合同。</w:t>
      </w:r>
    </w:p>
    <w:p w14:paraId="356373DF">
      <w:pPr>
        <w:snapToGrid w:val="0"/>
        <w:spacing w:before="238" w:line="360" w:lineRule="auto"/>
        <w:ind w:firstLine="241"/>
        <w:rPr>
          <w:rFonts w:ascii="宋体" w:hAnsi="宋体"/>
          <w:b/>
          <w:color w:val="auto"/>
          <w:sz w:val="24"/>
          <w:szCs w:val="21"/>
          <w:highlight w:val="none"/>
        </w:rPr>
      </w:pPr>
      <w:r>
        <w:rPr>
          <w:rFonts w:hint="eastAsia" w:ascii="宋体" w:hAnsi="宋体"/>
          <w:b/>
          <w:color w:val="auto"/>
          <w:sz w:val="24"/>
          <w:szCs w:val="21"/>
          <w:highlight w:val="none"/>
        </w:rPr>
        <w:t>9.税费</w:t>
      </w:r>
    </w:p>
    <w:p w14:paraId="19BFB40A">
      <w:pPr>
        <w:snapToGrid w:val="0"/>
        <w:spacing w:before="238" w:line="360" w:lineRule="auto"/>
        <w:ind w:firstLine="241"/>
        <w:rPr>
          <w:rFonts w:ascii="宋体" w:hAnsi="宋体"/>
          <w:color w:val="auto"/>
          <w:sz w:val="24"/>
          <w:szCs w:val="21"/>
          <w:highlight w:val="none"/>
        </w:rPr>
      </w:pPr>
      <w:r>
        <w:rPr>
          <w:rFonts w:hint="eastAsia" w:ascii="宋体" w:hAnsi="宋体"/>
          <w:color w:val="auto"/>
          <w:sz w:val="24"/>
          <w:szCs w:val="21"/>
          <w:highlight w:val="none"/>
        </w:rPr>
        <w:t>9.1根据国家现行税法对甲方征收的与合同有关的一切税费均由甲方负担。</w:t>
      </w:r>
    </w:p>
    <w:p w14:paraId="4FD097F2">
      <w:pPr>
        <w:snapToGrid w:val="0"/>
        <w:spacing w:before="238" w:line="360" w:lineRule="auto"/>
        <w:ind w:firstLine="241"/>
        <w:rPr>
          <w:rFonts w:ascii="宋体" w:hAnsi="宋体"/>
          <w:color w:val="auto"/>
          <w:sz w:val="24"/>
          <w:szCs w:val="21"/>
          <w:highlight w:val="none"/>
        </w:rPr>
      </w:pPr>
      <w:r>
        <w:rPr>
          <w:rFonts w:hint="eastAsia" w:ascii="宋体" w:hAnsi="宋体"/>
          <w:color w:val="auto"/>
          <w:sz w:val="24"/>
          <w:szCs w:val="21"/>
          <w:highlight w:val="none"/>
        </w:rPr>
        <w:t>9.2根据国家现行税法对乙方征收的与合同有关的一切税费均由乙方负担。</w:t>
      </w:r>
    </w:p>
    <w:p w14:paraId="56CDC30F">
      <w:pPr>
        <w:snapToGrid w:val="0"/>
        <w:spacing w:before="238" w:line="360" w:lineRule="auto"/>
        <w:ind w:firstLine="241"/>
        <w:rPr>
          <w:rFonts w:ascii="宋体" w:hAnsi="宋体"/>
          <w:b/>
          <w:color w:val="auto"/>
          <w:sz w:val="24"/>
          <w:szCs w:val="21"/>
          <w:highlight w:val="none"/>
        </w:rPr>
      </w:pPr>
      <w:r>
        <w:rPr>
          <w:rFonts w:hint="eastAsia" w:ascii="宋体" w:hAnsi="宋体"/>
          <w:b/>
          <w:color w:val="auto"/>
          <w:sz w:val="24"/>
          <w:szCs w:val="21"/>
          <w:highlight w:val="none"/>
        </w:rPr>
        <w:t>10.违约责任</w:t>
      </w:r>
    </w:p>
    <w:p w14:paraId="7C4B2207">
      <w:pPr>
        <w:pStyle w:val="118"/>
        <w:spacing w:before="0" w:beforeAutospacing="0" w:after="0" w:afterAutospacing="0" w:line="360" w:lineRule="auto"/>
        <w:ind w:firstLine="241"/>
        <w:rPr>
          <w:color w:val="auto"/>
          <w:highlight w:val="none"/>
        </w:rPr>
      </w:pPr>
      <w:r>
        <w:rPr>
          <w:rFonts w:hint="eastAsia"/>
          <w:color w:val="auto"/>
          <w:kern w:val="2"/>
          <w:szCs w:val="21"/>
          <w:highlight w:val="none"/>
        </w:rPr>
        <w:t>10.1</w:t>
      </w:r>
      <w:r>
        <w:rPr>
          <w:color w:val="auto"/>
          <w:highlight w:val="none"/>
        </w:rPr>
        <w:t>甲方无正当理由</w:t>
      </w:r>
      <w:r>
        <w:rPr>
          <w:rFonts w:hint="eastAsia"/>
          <w:color w:val="auto"/>
          <w:highlight w:val="none"/>
        </w:rPr>
        <w:t>拒绝拖延验收的</w:t>
      </w:r>
      <w:r>
        <w:rPr>
          <w:color w:val="auto"/>
          <w:highlight w:val="none"/>
        </w:rPr>
        <w:t>，由甲方向乙方偿付合同总价的</w:t>
      </w:r>
      <w:r>
        <w:rPr>
          <w:rFonts w:hint="eastAsia"/>
          <w:color w:val="auto"/>
          <w:highlight w:val="none"/>
          <w:u w:val="single"/>
        </w:rPr>
        <w:t xml:space="preserve">        %</w:t>
      </w:r>
      <w:r>
        <w:rPr>
          <w:color w:val="auto"/>
          <w:highlight w:val="none"/>
        </w:rPr>
        <w:t>违约金。</w:t>
      </w:r>
    </w:p>
    <w:p w14:paraId="2AF1929C">
      <w:pPr>
        <w:pStyle w:val="29"/>
        <w:shd w:val="clear" w:color="auto" w:fill="FFFFFF"/>
        <w:spacing w:before="0" w:beforeAutospacing="0" w:after="0" w:afterAutospacing="0" w:line="360" w:lineRule="auto"/>
        <w:ind w:firstLine="241"/>
        <w:jc w:val="both"/>
        <w:textAlignment w:val="baseline"/>
        <w:rPr>
          <w:color w:val="auto"/>
          <w:kern w:val="2"/>
          <w:szCs w:val="21"/>
          <w:highlight w:val="none"/>
        </w:rPr>
      </w:pPr>
      <w:r>
        <w:rPr>
          <w:rFonts w:hint="eastAsia"/>
          <w:color w:val="auto"/>
          <w:highlight w:val="none"/>
        </w:rPr>
        <w:t>10.2</w:t>
      </w:r>
      <w:r>
        <w:rPr>
          <w:color w:val="auto"/>
          <w:highlight w:val="none"/>
        </w:rPr>
        <w:t>甲方未按合同规定的期限向乙方支付</w:t>
      </w:r>
      <w:r>
        <w:rPr>
          <w:rFonts w:hint="eastAsia"/>
          <w:color w:val="auto"/>
          <w:highlight w:val="none"/>
          <w:lang w:val="en-US" w:eastAsia="zh-CN"/>
        </w:rPr>
        <w:t>合同款项</w:t>
      </w:r>
      <w:r>
        <w:rPr>
          <w:color w:val="auto"/>
          <w:highlight w:val="none"/>
        </w:rPr>
        <w:t>的，每逾期1天甲方向乙方偿付欠款总额的</w:t>
      </w:r>
      <w:r>
        <w:rPr>
          <w:rFonts w:hint="eastAsia"/>
          <w:color w:val="auto"/>
          <w:highlight w:val="none"/>
          <w:u w:val="single"/>
        </w:rPr>
        <w:t xml:space="preserve">        %</w:t>
      </w:r>
      <w:r>
        <w:rPr>
          <w:rFonts w:hint="eastAsia"/>
          <w:color w:val="auto"/>
          <w:highlight w:val="none"/>
        </w:rPr>
        <w:t>违约金</w:t>
      </w:r>
      <w:r>
        <w:rPr>
          <w:color w:val="auto"/>
          <w:highlight w:val="none"/>
        </w:rPr>
        <w:t>，但累计</w:t>
      </w:r>
      <w:r>
        <w:rPr>
          <w:rFonts w:hint="eastAsia"/>
          <w:color w:val="auto"/>
          <w:highlight w:val="none"/>
        </w:rPr>
        <w:t>违约金</w:t>
      </w:r>
      <w:r>
        <w:rPr>
          <w:color w:val="auto"/>
          <w:highlight w:val="none"/>
        </w:rPr>
        <w:t>总额不超过欠款总额的3% 。</w:t>
      </w:r>
    </w:p>
    <w:p w14:paraId="2892B59F">
      <w:pPr>
        <w:pStyle w:val="29"/>
        <w:shd w:val="clear" w:color="auto" w:fill="FFFFFF"/>
        <w:spacing w:before="0" w:beforeAutospacing="0" w:after="0" w:afterAutospacing="0" w:line="360" w:lineRule="auto"/>
        <w:ind w:firstLine="241"/>
        <w:jc w:val="both"/>
        <w:textAlignment w:val="baseline"/>
        <w:rPr>
          <w:color w:val="auto"/>
          <w:highlight w:val="none"/>
        </w:rPr>
      </w:pPr>
      <w:r>
        <w:rPr>
          <w:rFonts w:hint="eastAsia"/>
          <w:color w:val="auto"/>
          <w:highlight w:val="none"/>
        </w:rPr>
        <w:t>10.3 乙方应在本合同规定时间内完成工作量，如因乙方原因未在本合同规定时间内完成并造成损失的，应承担相应赔偿责任</w:t>
      </w:r>
      <w:r>
        <w:rPr>
          <w:color w:val="auto"/>
          <w:highlight w:val="none"/>
        </w:rPr>
        <w:t>，每逾期1天</w:t>
      </w:r>
      <w:r>
        <w:rPr>
          <w:rFonts w:hint="eastAsia"/>
          <w:color w:val="auto"/>
          <w:highlight w:val="none"/>
        </w:rPr>
        <w:t>乙</w:t>
      </w:r>
      <w:r>
        <w:rPr>
          <w:color w:val="auto"/>
          <w:highlight w:val="none"/>
        </w:rPr>
        <w:t>方向</w:t>
      </w:r>
      <w:r>
        <w:rPr>
          <w:rFonts w:hint="eastAsia"/>
          <w:color w:val="auto"/>
          <w:highlight w:val="none"/>
        </w:rPr>
        <w:t>甲</w:t>
      </w:r>
      <w:r>
        <w:rPr>
          <w:color w:val="auto"/>
          <w:highlight w:val="none"/>
        </w:rPr>
        <w:t>方偿付欠款总额的</w:t>
      </w:r>
      <w:r>
        <w:rPr>
          <w:rFonts w:hint="eastAsia"/>
          <w:color w:val="auto"/>
          <w:highlight w:val="none"/>
          <w:u w:val="single"/>
        </w:rPr>
        <w:t xml:space="preserve">        %</w:t>
      </w:r>
      <w:r>
        <w:rPr>
          <w:rFonts w:hint="eastAsia"/>
          <w:color w:val="auto"/>
          <w:highlight w:val="none"/>
        </w:rPr>
        <w:t>违约金</w:t>
      </w:r>
      <w:r>
        <w:rPr>
          <w:color w:val="auto"/>
          <w:highlight w:val="none"/>
        </w:rPr>
        <w:t>，但累计</w:t>
      </w:r>
      <w:r>
        <w:rPr>
          <w:rFonts w:hint="eastAsia"/>
          <w:color w:val="auto"/>
          <w:highlight w:val="none"/>
        </w:rPr>
        <w:t>违约金</w:t>
      </w:r>
      <w:r>
        <w:rPr>
          <w:color w:val="auto"/>
          <w:highlight w:val="none"/>
        </w:rPr>
        <w:t>总额不超过欠款总额3%</w:t>
      </w:r>
      <w:r>
        <w:rPr>
          <w:rFonts w:hint="eastAsia"/>
          <w:color w:val="auto"/>
          <w:highlight w:val="none"/>
        </w:rPr>
        <w:t>；若违约金款总额的达到上限，乙方仍无法继续履行合同的，甲方可单方面解除合同。但由于甲方原因而使乙方不能按照合同期限按时完成工作量，</w:t>
      </w:r>
      <w:r>
        <w:rPr>
          <w:rFonts w:hint="eastAsia"/>
          <w:color w:val="auto"/>
          <w:highlight w:val="none"/>
          <w:lang w:val="en-US" w:eastAsia="zh-CN"/>
        </w:rPr>
        <w:t>则乙方无需承担违约责任</w:t>
      </w:r>
      <w:r>
        <w:rPr>
          <w:rFonts w:hint="eastAsia"/>
          <w:color w:val="auto"/>
          <w:highlight w:val="none"/>
        </w:rPr>
        <w:t>。</w:t>
      </w:r>
    </w:p>
    <w:p w14:paraId="0B29434A">
      <w:pPr>
        <w:pStyle w:val="118"/>
        <w:spacing w:before="0" w:beforeAutospacing="0" w:after="0" w:afterAutospacing="0" w:line="360" w:lineRule="auto"/>
        <w:ind w:firstLine="241"/>
        <w:rPr>
          <w:color w:val="auto"/>
          <w:highlight w:val="none"/>
        </w:rPr>
      </w:pPr>
      <w:r>
        <w:rPr>
          <w:rFonts w:hint="eastAsia"/>
          <w:color w:val="auto"/>
          <w:highlight w:val="none"/>
        </w:rPr>
        <w:t xml:space="preserve">10.4 </w:t>
      </w:r>
      <w:r>
        <w:rPr>
          <w:color w:val="auto"/>
          <w:highlight w:val="none"/>
        </w:rPr>
        <w:t>乙方未按本合同的规定和“服务承诺”提供伴随服务/售后服务的，应按合同总价款的</w:t>
      </w:r>
      <w:r>
        <w:rPr>
          <w:color w:val="auto"/>
          <w:highlight w:val="none"/>
          <w:u w:val="single"/>
        </w:rPr>
        <w:t xml:space="preserve">    %</w:t>
      </w:r>
      <w:r>
        <w:rPr>
          <w:color w:val="auto"/>
          <w:highlight w:val="none"/>
        </w:rPr>
        <w:t>向甲方承担违约责任。</w:t>
      </w:r>
    </w:p>
    <w:p w14:paraId="65BB3A54">
      <w:pPr>
        <w:pStyle w:val="118"/>
        <w:spacing w:before="0" w:beforeAutospacing="0" w:after="0" w:afterAutospacing="0" w:line="360" w:lineRule="auto"/>
        <w:ind w:firstLine="241"/>
        <w:rPr>
          <w:color w:val="auto"/>
          <w:szCs w:val="21"/>
          <w:highlight w:val="none"/>
        </w:rPr>
      </w:pPr>
      <w:r>
        <w:rPr>
          <w:rFonts w:hint="eastAsia"/>
          <w:color w:val="auto"/>
          <w:highlight w:val="none"/>
        </w:rPr>
        <w:t>10.5</w:t>
      </w:r>
      <w:r>
        <w:rPr>
          <w:color w:val="auto"/>
          <w:highlight w:val="none"/>
        </w:rPr>
        <w:t>乙方在承担上述1</w:t>
      </w:r>
      <w:r>
        <w:rPr>
          <w:rFonts w:hint="eastAsia"/>
          <w:color w:val="auto"/>
          <w:highlight w:val="none"/>
        </w:rPr>
        <w:t>0</w:t>
      </w:r>
      <w:r>
        <w:rPr>
          <w:color w:val="auto"/>
          <w:highlight w:val="none"/>
        </w:rPr>
        <w:t>.</w:t>
      </w:r>
      <w:r>
        <w:rPr>
          <w:rFonts w:hint="eastAsia"/>
          <w:color w:val="auto"/>
          <w:highlight w:val="none"/>
        </w:rPr>
        <w:t>1</w:t>
      </w:r>
      <w:r>
        <w:rPr>
          <w:color w:val="auto"/>
          <w:highlight w:val="none"/>
        </w:rPr>
        <w:t>～1</w:t>
      </w:r>
      <w:r>
        <w:rPr>
          <w:rFonts w:hint="eastAsia"/>
          <w:color w:val="auto"/>
          <w:highlight w:val="none"/>
        </w:rPr>
        <w:t>0</w:t>
      </w:r>
      <w:r>
        <w:rPr>
          <w:color w:val="auto"/>
          <w:highlight w:val="none"/>
        </w:rPr>
        <w:t>.</w:t>
      </w:r>
      <w:r>
        <w:rPr>
          <w:rFonts w:hint="eastAsia"/>
          <w:color w:val="auto"/>
          <w:highlight w:val="none"/>
        </w:rPr>
        <w:t>5</w:t>
      </w:r>
      <w:r>
        <w:rPr>
          <w:color w:val="auto"/>
          <w:highlight w:val="none"/>
        </w:rPr>
        <w:t>款一项或多项违约责任后，仍应继续履行合同规定的义务（甲方解除合同的除外）。甲方未能及时追究乙方的任何一项违约责任并不表明甲方放弃追究乙方该项或其他违约责任。</w:t>
      </w:r>
    </w:p>
    <w:p w14:paraId="17870487">
      <w:pPr>
        <w:numPr>
          <w:ilvl w:val="0"/>
          <w:numId w:val="4"/>
        </w:numPr>
        <w:snapToGrid w:val="0"/>
        <w:spacing w:before="238" w:line="360" w:lineRule="auto"/>
        <w:ind w:firstLine="241"/>
        <w:rPr>
          <w:rFonts w:ascii="宋体" w:hAnsi="宋体"/>
          <w:color w:val="auto"/>
          <w:sz w:val="24"/>
          <w:szCs w:val="21"/>
          <w:highlight w:val="none"/>
        </w:rPr>
      </w:pPr>
      <w:r>
        <w:rPr>
          <w:rFonts w:hint="eastAsia" w:ascii="宋体" w:hAnsi="宋体"/>
          <w:b/>
          <w:color w:val="auto"/>
          <w:sz w:val="24"/>
          <w:szCs w:val="21"/>
          <w:highlight w:val="none"/>
        </w:rPr>
        <w:t>其他情况终止合同</w:t>
      </w:r>
    </w:p>
    <w:p w14:paraId="7927927F">
      <w:pPr>
        <w:snapToGrid w:val="0"/>
        <w:spacing w:before="238" w:line="360" w:lineRule="auto"/>
        <w:ind w:firstLine="241"/>
        <w:rPr>
          <w:rFonts w:ascii="宋体" w:hAnsi="宋体"/>
          <w:color w:val="auto"/>
          <w:sz w:val="24"/>
          <w:szCs w:val="21"/>
          <w:highlight w:val="none"/>
        </w:rPr>
      </w:pPr>
      <w:r>
        <w:rPr>
          <w:rFonts w:hint="eastAsia" w:ascii="宋体" w:hAnsi="宋体"/>
          <w:color w:val="auto"/>
          <w:sz w:val="24"/>
          <w:szCs w:val="21"/>
          <w:highlight w:val="none"/>
        </w:rPr>
        <w:t>11.1</w:t>
      </w:r>
      <w:r>
        <w:rPr>
          <w:rFonts w:ascii="宋体" w:hAnsi="宋体"/>
          <w:color w:val="auto"/>
          <w:sz w:val="24"/>
          <w:szCs w:val="21"/>
          <w:highlight w:val="none"/>
        </w:rPr>
        <w:t>如乙方未在规定时间内完成深化设计方案，或深化设计方案未达到甲方要求，即视为不具备展览实施条件，甲方有权单方面解除合同，并追回40%预付款，由此造成的一切损失由乙方承担。</w:t>
      </w:r>
    </w:p>
    <w:p w14:paraId="53758ADB">
      <w:pPr>
        <w:snapToGrid w:val="0"/>
        <w:spacing w:before="238" w:line="360" w:lineRule="auto"/>
        <w:ind w:firstLine="241"/>
        <w:rPr>
          <w:rFonts w:ascii="宋体" w:hAnsi="宋体"/>
          <w:color w:val="auto"/>
          <w:sz w:val="24"/>
          <w:szCs w:val="21"/>
          <w:highlight w:val="none"/>
        </w:rPr>
      </w:pPr>
      <w:r>
        <w:rPr>
          <w:rFonts w:ascii="宋体" w:hAnsi="宋体"/>
          <w:color w:val="auto"/>
          <w:sz w:val="24"/>
          <w:szCs w:val="21"/>
          <w:highlight w:val="none"/>
        </w:rPr>
        <w:t>11.2</w:t>
      </w:r>
      <w:r>
        <w:rPr>
          <w:rFonts w:hint="eastAsia" w:ascii="宋体" w:hAnsi="宋体"/>
          <w:color w:val="auto"/>
          <w:sz w:val="24"/>
          <w:szCs w:val="21"/>
          <w:highlight w:val="none"/>
        </w:rPr>
        <w:t>如果乙方破产或发生资不抵债的情况，甲方可在任何时候以书面通知终止合同，而不给对方补偿。该终止合同将不损害或影响甲方已经采取或将要采取的补救措施的权利。</w:t>
      </w:r>
    </w:p>
    <w:p w14:paraId="71E8C9BD">
      <w:pPr>
        <w:snapToGrid w:val="0"/>
        <w:spacing w:before="238" w:line="360" w:lineRule="auto"/>
        <w:ind w:firstLine="241"/>
        <w:rPr>
          <w:rFonts w:ascii="宋体" w:hAnsi="宋体"/>
          <w:color w:val="auto"/>
          <w:sz w:val="24"/>
          <w:szCs w:val="21"/>
          <w:highlight w:val="none"/>
        </w:rPr>
      </w:pPr>
      <w:r>
        <w:rPr>
          <w:rFonts w:hint="eastAsia" w:ascii="宋体" w:hAnsi="宋体"/>
          <w:color w:val="auto"/>
          <w:sz w:val="24"/>
          <w:szCs w:val="21"/>
          <w:highlight w:val="none"/>
        </w:rPr>
        <w:t xml:space="preserve"> 11.</w:t>
      </w:r>
      <w:r>
        <w:rPr>
          <w:rFonts w:ascii="宋体" w:hAnsi="宋体"/>
          <w:color w:val="auto"/>
          <w:sz w:val="24"/>
          <w:szCs w:val="21"/>
          <w:highlight w:val="none"/>
        </w:rPr>
        <w:t>3</w:t>
      </w:r>
      <w:r>
        <w:rPr>
          <w:rFonts w:hint="eastAsia" w:ascii="宋体" w:hAnsi="宋体"/>
          <w:color w:val="auto"/>
          <w:sz w:val="24"/>
          <w:szCs w:val="21"/>
          <w:highlight w:val="none"/>
        </w:rPr>
        <w:t xml:space="preserve"> 如果甲方认定乙方在竞标、采购和合同执行等过程中有腐败或欺诈行为，甲方有权在任何时候发出书面通知终止合同。</w:t>
      </w:r>
    </w:p>
    <w:p w14:paraId="542B22DF">
      <w:pPr>
        <w:snapToGrid w:val="0"/>
        <w:spacing w:before="238" w:line="360" w:lineRule="auto"/>
        <w:ind w:firstLine="241"/>
        <w:rPr>
          <w:rFonts w:ascii="宋体" w:hAnsi="宋体"/>
          <w:color w:val="auto"/>
          <w:sz w:val="24"/>
          <w:szCs w:val="21"/>
          <w:highlight w:val="none"/>
        </w:rPr>
      </w:pPr>
      <w:r>
        <w:rPr>
          <w:rFonts w:hint="eastAsia" w:ascii="宋体" w:hAnsi="宋体"/>
          <w:color w:val="auto"/>
          <w:sz w:val="24"/>
          <w:szCs w:val="21"/>
          <w:highlight w:val="none"/>
        </w:rPr>
        <w:t xml:space="preserve"> 11.</w:t>
      </w:r>
      <w:r>
        <w:rPr>
          <w:rFonts w:ascii="宋体" w:hAnsi="宋体"/>
          <w:color w:val="auto"/>
          <w:sz w:val="24"/>
          <w:szCs w:val="21"/>
          <w:highlight w:val="none"/>
        </w:rPr>
        <w:t>4</w:t>
      </w:r>
      <w:r>
        <w:rPr>
          <w:rFonts w:hint="eastAsia" w:ascii="宋体" w:hAnsi="宋体"/>
          <w:color w:val="auto"/>
          <w:sz w:val="24"/>
          <w:szCs w:val="21"/>
          <w:highlight w:val="none"/>
        </w:rPr>
        <w:t>如果合同履行过程中出现危害国家利益和社会公众利益的，甲方有权在任何时候发出书面通知终止合同。</w:t>
      </w:r>
    </w:p>
    <w:p w14:paraId="6AB437E3">
      <w:pPr>
        <w:snapToGrid w:val="0"/>
        <w:spacing w:before="238" w:line="360" w:lineRule="auto"/>
        <w:ind w:firstLine="241"/>
        <w:rPr>
          <w:rFonts w:ascii="宋体" w:hAnsi="宋体"/>
          <w:b/>
          <w:color w:val="auto"/>
          <w:sz w:val="24"/>
          <w:szCs w:val="21"/>
          <w:highlight w:val="none"/>
        </w:rPr>
      </w:pPr>
      <w:r>
        <w:rPr>
          <w:rFonts w:hint="eastAsia" w:ascii="宋体" w:hAnsi="宋体"/>
          <w:b/>
          <w:color w:val="auto"/>
          <w:sz w:val="24"/>
          <w:szCs w:val="21"/>
          <w:highlight w:val="none"/>
        </w:rPr>
        <w:t>12.转让和分包</w:t>
      </w:r>
    </w:p>
    <w:p w14:paraId="02316BE2">
      <w:pPr>
        <w:snapToGrid w:val="0"/>
        <w:spacing w:before="238" w:line="360" w:lineRule="auto"/>
        <w:ind w:firstLine="241"/>
        <w:rPr>
          <w:rFonts w:ascii="宋体" w:hAnsi="宋体"/>
          <w:color w:val="auto"/>
          <w:sz w:val="24"/>
          <w:szCs w:val="21"/>
          <w:highlight w:val="none"/>
        </w:rPr>
      </w:pPr>
      <w:r>
        <w:rPr>
          <w:rFonts w:hint="eastAsia" w:ascii="宋体" w:hAnsi="宋体"/>
          <w:color w:val="auto"/>
          <w:sz w:val="24"/>
          <w:szCs w:val="21"/>
          <w:highlight w:val="none"/>
        </w:rPr>
        <w:t xml:space="preserve">    乙方不得部分转让或全部转让其应履行的合同义务。</w:t>
      </w:r>
    </w:p>
    <w:p w14:paraId="5A01E488">
      <w:pPr>
        <w:snapToGrid w:val="0"/>
        <w:spacing w:before="238" w:line="360" w:lineRule="auto"/>
        <w:ind w:firstLine="241"/>
        <w:rPr>
          <w:rFonts w:ascii="宋体" w:hAnsi="宋体"/>
          <w:b/>
          <w:color w:val="auto"/>
          <w:sz w:val="24"/>
          <w:szCs w:val="21"/>
          <w:highlight w:val="none"/>
        </w:rPr>
      </w:pPr>
      <w:r>
        <w:rPr>
          <w:rFonts w:hint="eastAsia" w:ascii="宋体" w:hAnsi="宋体"/>
          <w:b/>
          <w:color w:val="auto"/>
          <w:sz w:val="24"/>
          <w:szCs w:val="21"/>
          <w:highlight w:val="none"/>
        </w:rPr>
        <w:t>13.合同的协商变更与修改</w:t>
      </w:r>
    </w:p>
    <w:p w14:paraId="30006F9A">
      <w:pPr>
        <w:snapToGrid w:val="0"/>
        <w:spacing w:before="238" w:after="240" w:line="360" w:lineRule="auto"/>
        <w:ind w:firstLine="480" w:firstLineChars="200"/>
        <w:rPr>
          <w:rFonts w:ascii="宋体" w:hAnsi="宋体"/>
          <w:color w:val="auto"/>
          <w:sz w:val="24"/>
          <w:szCs w:val="21"/>
          <w:highlight w:val="none"/>
        </w:rPr>
      </w:pPr>
      <w:r>
        <w:rPr>
          <w:rFonts w:hint="eastAsia" w:ascii="宋体" w:hAnsi="宋体"/>
          <w:color w:val="auto"/>
          <w:sz w:val="24"/>
          <w:szCs w:val="21"/>
          <w:highlight w:val="none"/>
        </w:rPr>
        <w:t>甲方可以以书面方式向乙方发出变更要求，协商在本合同的一般范围内变更事项，合同修改书应由双方授权代表签字，具有合同的法律效力。</w:t>
      </w:r>
    </w:p>
    <w:p w14:paraId="1DBEE95C">
      <w:pPr>
        <w:snapToGrid w:val="0"/>
        <w:spacing w:before="238" w:after="240" w:line="360" w:lineRule="auto"/>
        <w:ind w:firstLine="241"/>
        <w:rPr>
          <w:rFonts w:ascii="宋体" w:hAnsi="宋体"/>
          <w:color w:val="auto"/>
          <w:sz w:val="24"/>
          <w:szCs w:val="21"/>
          <w:highlight w:val="none"/>
        </w:rPr>
      </w:pPr>
      <w:r>
        <w:rPr>
          <w:rFonts w:hint="eastAsia" w:ascii="宋体" w:hAnsi="宋体"/>
          <w:b/>
          <w:color w:val="auto"/>
          <w:sz w:val="24"/>
          <w:szCs w:val="21"/>
          <w:highlight w:val="none"/>
        </w:rPr>
        <w:t>14.争端的解决</w:t>
      </w:r>
    </w:p>
    <w:p w14:paraId="5673729B">
      <w:pPr>
        <w:snapToGrid w:val="0"/>
        <w:spacing w:before="238" w:line="360" w:lineRule="auto"/>
        <w:ind w:firstLine="241"/>
        <w:rPr>
          <w:rFonts w:ascii="宋体" w:hAnsi="宋体"/>
          <w:color w:val="auto"/>
          <w:sz w:val="24"/>
          <w:szCs w:val="21"/>
          <w:highlight w:val="none"/>
        </w:rPr>
      </w:pPr>
      <w:r>
        <w:rPr>
          <w:rFonts w:ascii="宋体" w:hAnsi="宋体"/>
          <w:color w:val="auto"/>
          <w:sz w:val="24"/>
          <w:szCs w:val="21"/>
          <w:highlight w:val="none"/>
        </w:rPr>
        <w:t xml:space="preserve">14.1 </w:t>
      </w:r>
      <w:r>
        <w:rPr>
          <w:rFonts w:hint="eastAsia" w:ascii="宋体" w:hAnsi="宋体"/>
          <w:color w:val="auto"/>
          <w:sz w:val="24"/>
          <w:szCs w:val="21"/>
          <w:highlight w:val="none"/>
        </w:rPr>
        <w:t>合同实施或与合同有关的一切争端应依据《中华人民共和国民法典》并通过双方协商解决。如果协商不能解决争议，则采取以下第</w:t>
      </w:r>
      <w:r>
        <w:rPr>
          <w:rFonts w:ascii="宋体" w:hAnsi="宋体"/>
          <w:color w:val="auto"/>
          <w:sz w:val="24"/>
          <w:szCs w:val="21"/>
          <w:highlight w:val="none"/>
          <w:u w:val="single"/>
        </w:rPr>
        <w:t xml:space="preserve">14.2.2 </w:t>
      </w:r>
      <w:r>
        <w:rPr>
          <w:rFonts w:hint="eastAsia" w:ascii="宋体" w:hAnsi="宋体"/>
          <w:color w:val="auto"/>
          <w:sz w:val="24"/>
          <w:szCs w:val="21"/>
          <w:highlight w:val="none"/>
        </w:rPr>
        <w:t>种方式解决争议：</w:t>
      </w:r>
    </w:p>
    <w:p w14:paraId="7E3FA8DD">
      <w:pPr>
        <w:snapToGrid w:val="0"/>
        <w:spacing w:before="238" w:line="360" w:lineRule="auto"/>
        <w:ind w:firstLine="241"/>
        <w:rPr>
          <w:rFonts w:ascii="宋体" w:hAnsi="宋体"/>
          <w:color w:val="auto"/>
          <w:sz w:val="24"/>
          <w:szCs w:val="21"/>
          <w:highlight w:val="none"/>
        </w:rPr>
      </w:pPr>
      <w:r>
        <w:rPr>
          <w:rFonts w:ascii="宋体" w:hAnsi="宋体"/>
          <w:color w:val="auto"/>
          <w:sz w:val="24"/>
          <w:szCs w:val="21"/>
          <w:highlight w:val="none"/>
        </w:rPr>
        <w:t>14.2.1</w:t>
      </w:r>
      <w:r>
        <w:rPr>
          <w:rFonts w:hint="eastAsia" w:ascii="宋体" w:hAnsi="宋体"/>
          <w:color w:val="auto"/>
          <w:sz w:val="24"/>
          <w:szCs w:val="21"/>
          <w:highlight w:val="none"/>
        </w:rPr>
        <w:t>向甲方所在地有管辖权的人民法院提起诉讼；</w:t>
      </w:r>
    </w:p>
    <w:p w14:paraId="485A01CB">
      <w:pPr>
        <w:snapToGrid w:val="0"/>
        <w:spacing w:before="238" w:line="360" w:lineRule="auto"/>
        <w:ind w:firstLine="241"/>
        <w:rPr>
          <w:rFonts w:ascii="宋体" w:hAnsi="宋体"/>
          <w:color w:val="auto"/>
          <w:sz w:val="24"/>
          <w:szCs w:val="21"/>
          <w:highlight w:val="none"/>
        </w:rPr>
      </w:pPr>
      <w:r>
        <w:rPr>
          <w:rFonts w:ascii="宋体" w:hAnsi="宋体"/>
          <w:color w:val="auto"/>
          <w:sz w:val="24"/>
          <w:szCs w:val="21"/>
          <w:highlight w:val="none"/>
        </w:rPr>
        <w:t>14.2.2</w:t>
      </w:r>
      <w:r>
        <w:rPr>
          <w:rFonts w:hint="eastAsia" w:ascii="宋体" w:hAnsi="宋体"/>
          <w:color w:val="auto"/>
          <w:sz w:val="24"/>
          <w:szCs w:val="21"/>
          <w:highlight w:val="none"/>
        </w:rPr>
        <w:t>向</w:t>
      </w:r>
      <w:r>
        <w:rPr>
          <w:rFonts w:hint="eastAsia" w:ascii="宋体" w:hAnsi="宋体"/>
          <w:color w:val="auto"/>
          <w:sz w:val="24"/>
          <w:szCs w:val="21"/>
          <w:highlight w:val="none"/>
          <w:u w:val="single"/>
        </w:rPr>
        <w:t xml:space="preserve">丽水 </w:t>
      </w:r>
      <w:r>
        <w:rPr>
          <w:rFonts w:hint="eastAsia" w:ascii="宋体" w:hAnsi="宋体"/>
          <w:color w:val="auto"/>
          <w:sz w:val="24"/>
          <w:szCs w:val="21"/>
          <w:highlight w:val="none"/>
        </w:rPr>
        <w:t>仲裁委员会按其仲裁规则申请仲裁。</w:t>
      </w:r>
    </w:p>
    <w:p w14:paraId="088AD89E">
      <w:pPr>
        <w:snapToGrid w:val="0"/>
        <w:spacing w:before="238" w:line="360" w:lineRule="auto"/>
        <w:ind w:firstLine="241"/>
        <w:rPr>
          <w:rFonts w:ascii="宋体" w:hAnsi="宋体"/>
          <w:color w:val="auto"/>
          <w:sz w:val="24"/>
          <w:szCs w:val="21"/>
          <w:highlight w:val="none"/>
        </w:rPr>
      </w:pPr>
      <w:r>
        <w:rPr>
          <w:rFonts w:ascii="宋体" w:hAnsi="宋体"/>
          <w:color w:val="auto"/>
          <w:sz w:val="24"/>
          <w:szCs w:val="21"/>
          <w:highlight w:val="none"/>
        </w:rPr>
        <w:t>14.3</w:t>
      </w:r>
      <w:r>
        <w:rPr>
          <w:rFonts w:hint="eastAsia" w:ascii="宋体" w:hAnsi="宋体"/>
          <w:color w:val="auto"/>
          <w:sz w:val="24"/>
          <w:szCs w:val="21"/>
          <w:highlight w:val="none"/>
        </w:rPr>
        <w:t>在仲裁或诉讼期间，除正在进行仲裁或诉讼的部分外，合同其他部分应继续执行。</w:t>
      </w:r>
    </w:p>
    <w:p w14:paraId="3DBB8E1F">
      <w:pPr>
        <w:snapToGrid w:val="0"/>
        <w:spacing w:before="238" w:line="360" w:lineRule="auto"/>
        <w:ind w:firstLine="241"/>
        <w:rPr>
          <w:rFonts w:ascii="宋体" w:hAnsi="宋体"/>
          <w:b/>
          <w:color w:val="auto"/>
          <w:sz w:val="24"/>
          <w:szCs w:val="21"/>
          <w:highlight w:val="none"/>
        </w:rPr>
      </w:pPr>
      <w:r>
        <w:rPr>
          <w:rFonts w:hint="eastAsia" w:ascii="宋体" w:hAnsi="宋体"/>
          <w:b/>
          <w:color w:val="auto"/>
          <w:sz w:val="24"/>
          <w:szCs w:val="21"/>
          <w:highlight w:val="none"/>
        </w:rPr>
        <w:t>15.通知</w:t>
      </w:r>
    </w:p>
    <w:p w14:paraId="35189311">
      <w:pPr>
        <w:snapToGrid w:val="0"/>
        <w:spacing w:before="238" w:line="360" w:lineRule="auto"/>
        <w:ind w:firstLine="241"/>
        <w:rPr>
          <w:rFonts w:ascii="宋体" w:hAnsi="宋体"/>
          <w:color w:val="auto"/>
          <w:sz w:val="24"/>
          <w:szCs w:val="21"/>
          <w:highlight w:val="none"/>
        </w:rPr>
      </w:pPr>
      <w:r>
        <w:rPr>
          <w:rFonts w:hint="eastAsia" w:ascii="宋体" w:hAnsi="宋体"/>
          <w:color w:val="auto"/>
          <w:sz w:val="24"/>
          <w:szCs w:val="21"/>
          <w:highlight w:val="none"/>
        </w:rPr>
        <w:t>15.1本合同任何一方给另一方的通知，都应以书面或传真的形式发送，而另一方应以书面或传真形式确认，回复对方。</w:t>
      </w:r>
    </w:p>
    <w:p w14:paraId="3734ED8F">
      <w:pPr>
        <w:snapToGrid w:val="0"/>
        <w:spacing w:before="238" w:line="360" w:lineRule="auto"/>
        <w:ind w:firstLine="241"/>
        <w:rPr>
          <w:rFonts w:ascii="宋体" w:hAnsi="宋体"/>
          <w:color w:val="auto"/>
          <w:sz w:val="24"/>
          <w:szCs w:val="21"/>
          <w:highlight w:val="none"/>
        </w:rPr>
      </w:pPr>
      <w:r>
        <w:rPr>
          <w:rFonts w:hint="eastAsia" w:ascii="宋体" w:hAnsi="宋体"/>
          <w:color w:val="auto"/>
          <w:sz w:val="24"/>
          <w:szCs w:val="21"/>
          <w:highlight w:val="none"/>
        </w:rPr>
        <w:t>15.2 通知以送到日期或通知书的生效日起为生效日期，两者中以较晚的一个日期为准。</w:t>
      </w:r>
    </w:p>
    <w:p w14:paraId="702F679E">
      <w:pPr>
        <w:snapToGrid w:val="0"/>
        <w:spacing w:before="238" w:line="360" w:lineRule="auto"/>
        <w:ind w:firstLine="241"/>
        <w:rPr>
          <w:rFonts w:ascii="宋体"/>
          <w:b/>
          <w:color w:val="auto"/>
          <w:sz w:val="24"/>
          <w:szCs w:val="20"/>
          <w:highlight w:val="none"/>
        </w:rPr>
      </w:pPr>
      <w:r>
        <w:rPr>
          <w:rFonts w:hint="eastAsia" w:ascii="宋体"/>
          <w:b/>
          <w:color w:val="auto"/>
          <w:sz w:val="24"/>
          <w:highlight w:val="none"/>
        </w:rPr>
        <w:t>16.其他约定事项：</w:t>
      </w:r>
    </w:p>
    <w:p w14:paraId="637B4268">
      <w:pPr>
        <w:snapToGrid w:val="0"/>
        <w:spacing w:line="500" w:lineRule="exact"/>
        <w:ind w:firstLine="241" w:firstLineChars="100"/>
        <w:rPr>
          <w:rFonts w:hint="eastAsia" w:ascii="宋体" w:hAnsi="宋体" w:eastAsia="宋体" w:cs="宋体"/>
          <w:b/>
          <w:color w:val="auto"/>
          <w:sz w:val="24"/>
          <w:szCs w:val="21"/>
          <w:highlight w:val="none"/>
        </w:rPr>
      </w:pPr>
      <w:r>
        <w:rPr>
          <w:rFonts w:hint="eastAsia" w:ascii="宋体" w:hAnsi="宋体" w:eastAsia="宋体" w:cs="宋体"/>
          <w:b/>
          <w:color w:val="auto"/>
          <w:sz w:val="24"/>
          <w:szCs w:val="21"/>
          <w:highlight w:val="none"/>
        </w:rPr>
        <w:t>1</w:t>
      </w:r>
      <w:r>
        <w:rPr>
          <w:rFonts w:hint="eastAsia" w:ascii="宋体" w:hAnsi="宋体" w:eastAsia="宋体" w:cs="宋体"/>
          <w:b/>
          <w:color w:val="auto"/>
          <w:sz w:val="24"/>
          <w:szCs w:val="21"/>
          <w:highlight w:val="none"/>
          <w:lang w:val="en-US" w:eastAsia="zh-CN"/>
        </w:rPr>
        <w:t>7</w:t>
      </w:r>
      <w:r>
        <w:rPr>
          <w:rFonts w:hint="eastAsia" w:ascii="宋体" w:hAnsi="宋体" w:eastAsia="宋体" w:cs="宋体"/>
          <w:b/>
          <w:color w:val="auto"/>
          <w:sz w:val="24"/>
          <w:szCs w:val="21"/>
          <w:highlight w:val="none"/>
        </w:rPr>
        <w:t>.合同生效及其它</w:t>
      </w:r>
    </w:p>
    <w:p w14:paraId="5A2EF7F3">
      <w:pPr>
        <w:spacing w:line="500" w:lineRule="exact"/>
        <w:ind w:firstLine="475" w:firstLineChars="198"/>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1</w:t>
      </w:r>
      <w:r>
        <w:rPr>
          <w:rFonts w:hint="eastAsia" w:ascii="宋体" w:hAnsi="宋体" w:eastAsia="宋体" w:cs="宋体"/>
          <w:b w:val="0"/>
          <w:bCs w:val="0"/>
          <w:color w:val="auto"/>
          <w:sz w:val="24"/>
          <w:highlight w:val="none"/>
          <w:lang w:val="en-US" w:eastAsia="zh-CN"/>
        </w:rPr>
        <w:t>7</w:t>
      </w:r>
      <w:r>
        <w:rPr>
          <w:rFonts w:hint="eastAsia" w:ascii="宋体" w:hAnsi="宋体" w:eastAsia="宋体" w:cs="宋体"/>
          <w:b w:val="0"/>
          <w:bCs w:val="0"/>
          <w:color w:val="auto"/>
          <w:sz w:val="24"/>
          <w:highlight w:val="none"/>
        </w:rPr>
        <w:t>.1合同经双方法定代表人或授权代表签字并加盖单位公章后生效；</w:t>
      </w:r>
    </w:p>
    <w:p w14:paraId="4EF6D9EF">
      <w:pPr>
        <w:spacing w:line="500" w:lineRule="exact"/>
        <w:ind w:firstLine="475" w:firstLineChars="198"/>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1</w:t>
      </w:r>
      <w:r>
        <w:rPr>
          <w:rFonts w:hint="eastAsia" w:ascii="宋体" w:hAnsi="宋体" w:eastAsia="宋体" w:cs="宋体"/>
          <w:b w:val="0"/>
          <w:bCs w:val="0"/>
          <w:color w:val="auto"/>
          <w:sz w:val="24"/>
          <w:highlight w:val="none"/>
          <w:lang w:val="en-US" w:eastAsia="zh-CN"/>
        </w:rPr>
        <w:t>7</w:t>
      </w:r>
      <w:r>
        <w:rPr>
          <w:rFonts w:hint="eastAsia" w:ascii="宋体" w:hAnsi="宋体" w:eastAsia="宋体" w:cs="宋体"/>
          <w:b w:val="0"/>
          <w:bCs w:val="0"/>
          <w:color w:val="auto"/>
          <w:sz w:val="24"/>
          <w:highlight w:val="none"/>
        </w:rPr>
        <w:t>.2合同执行中涉及采购资金和采购内容修改或补充的，须经财政部门审批，并签书面补充协议报政府采购监督管理部门备案，方可作为主合同不可分割的一部分；</w:t>
      </w:r>
    </w:p>
    <w:p w14:paraId="022CA70C">
      <w:pPr>
        <w:spacing w:line="500" w:lineRule="exact"/>
        <w:ind w:firstLine="475" w:firstLineChars="198"/>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1</w:t>
      </w:r>
      <w:r>
        <w:rPr>
          <w:rFonts w:hint="eastAsia" w:ascii="宋体" w:hAnsi="宋体" w:eastAsia="宋体" w:cs="宋体"/>
          <w:b w:val="0"/>
          <w:bCs w:val="0"/>
          <w:color w:val="auto"/>
          <w:sz w:val="24"/>
          <w:highlight w:val="none"/>
          <w:lang w:val="en-US" w:eastAsia="zh-CN"/>
        </w:rPr>
        <w:t>7</w:t>
      </w:r>
      <w:r>
        <w:rPr>
          <w:rFonts w:hint="eastAsia" w:ascii="宋体" w:hAnsi="宋体" w:eastAsia="宋体" w:cs="宋体"/>
          <w:b w:val="0"/>
          <w:bCs w:val="0"/>
          <w:color w:val="auto"/>
          <w:sz w:val="24"/>
          <w:highlight w:val="none"/>
        </w:rPr>
        <w:t>.3本合同未尽事宜，遵照《中华人民共和国民法典》有关条文执行；</w:t>
      </w:r>
    </w:p>
    <w:p w14:paraId="1DAB821A">
      <w:pPr>
        <w:spacing w:line="500" w:lineRule="exact"/>
        <w:ind w:firstLine="475" w:firstLineChars="198"/>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1</w:t>
      </w:r>
      <w:r>
        <w:rPr>
          <w:rFonts w:hint="eastAsia" w:ascii="宋体" w:hAnsi="宋体" w:eastAsia="宋体" w:cs="宋体"/>
          <w:b w:val="0"/>
          <w:bCs w:val="0"/>
          <w:color w:val="auto"/>
          <w:sz w:val="24"/>
          <w:highlight w:val="none"/>
          <w:lang w:val="en-US" w:eastAsia="zh-CN"/>
        </w:rPr>
        <w:t>7</w:t>
      </w:r>
      <w:r>
        <w:rPr>
          <w:rFonts w:hint="eastAsia" w:ascii="宋体" w:hAnsi="宋体" w:eastAsia="宋体" w:cs="宋体"/>
          <w:b w:val="0"/>
          <w:bCs w:val="0"/>
          <w:color w:val="auto"/>
          <w:sz w:val="24"/>
          <w:highlight w:val="none"/>
        </w:rPr>
        <w:t>.4本合同一式</w:t>
      </w:r>
      <w:r>
        <w:rPr>
          <w:rFonts w:hint="eastAsia" w:ascii="宋体" w:hAnsi="宋体" w:eastAsia="宋体" w:cs="宋体"/>
          <w:b w:val="0"/>
          <w:bCs w:val="0"/>
          <w:color w:val="auto"/>
          <w:sz w:val="24"/>
          <w:highlight w:val="none"/>
          <w:lang w:eastAsia="zh-CN"/>
        </w:rPr>
        <w:t>四</w:t>
      </w:r>
      <w:r>
        <w:rPr>
          <w:rFonts w:hint="eastAsia" w:ascii="宋体" w:hAnsi="宋体" w:eastAsia="宋体" w:cs="宋体"/>
          <w:b w:val="0"/>
          <w:bCs w:val="0"/>
          <w:color w:val="auto"/>
          <w:sz w:val="24"/>
          <w:highlight w:val="none"/>
        </w:rPr>
        <w:t>份，</w:t>
      </w:r>
      <w:r>
        <w:rPr>
          <w:rFonts w:hint="eastAsia" w:ascii="宋体" w:hAnsi="宋体" w:eastAsia="宋体" w:cs="宋体"/>
          <w:b w:val="0"/>
          <w:bCs w:val="0"/>
          <w:color w:val="auto"/>
          <w:sz w:val="24"/>
          <w:highlight w:val="none"/>
          <w:lang w:eastAsia="zh-CN"/>
        </w:rPr>
        <w:t>双方各执两份，</w:t>
      </w:r>
      <w:r>
        <w:rPr>
          <w:rFonts w:hint="eastAsia" w:ascii="宋体" w:hAnsi="宋体" w:eastAsia="宋体" w:cs="宋体"/>
          <w:b w:val="0"/>
          <w:bCs w:val="0"/>
          <w:color w:val="auto"/>
          <w:sz w:val="24"/>
          <w:highlight w:val="none"/>
        </w:rPr>
        <w:t>具同等法律效力。</w:t>
      </w:r>
    </w:p>
    <w:p w14:paraId="27C3840B">
      <w:pPr>
        <w:rPr>
          <w:rFonts w:hint="eastAsia"/>
        </w:rPr>
      </w:pPr>
    </w:p>
    <w:p w14:paraId="0785C155">
      <w:pPr>
        <w:rPr>
          <w:rFonts w:hint="eastAsia"/>
          <w:color w:val="auto"/>
          <w:highlight w:val="none"/>
        </w:rPr>
      </w:pPr>
    </w:p>
    <w:p w14:paraId="2488ADF8">
      <w:pPr>
        <w:snapToGrid w:val="0"/>
        <w:spacing w:before="119" w:line="480" w:lineRule="auto"/>
        <w:rPr>
          <w:rFonts w:hint="eastAsia" w:ascii="宋体" w:hAnsi="宋体"/>
          <w:color w:val="auto"/>
          <w:sz w:val="24"/>
          <w:szCs w:val="21"/>
          <w:highlight w:val="none"/>
        </w:rPr>
      </w:pPr>
      <w:r>
        <w:rPr>
          <w:rFonts w:hint="eastAsia" w:ascii="宋体" w:hAnsi="宋体"/>
          <w:color w:val="auto"/>
          <w:sz w:val="24"/>
          <w:szCs w:val="21"/>
          <w:highlight w:val="none"/>
        </w:rPr>
        <w:t>甲　方(</w:t>
      </w:r>
      <w:r>
        <w:rPr>
          <w:rFonts w:hint="eastAsia" w:ascii="宋体" w:hAnsi="宋体"/>
          <w:color w:val="auto"/>
          <w:sz w:val="24"/>
          <w:szCs w:val="21"/>
          <w:highlight w:val="none"/>
          <w:lang w:eastAsia="zh-CN"/>
        </w:rPr>
        <w:t>盖</w:t>
      </w:r>
      <w:r>
        <w:rPr>
          <w:rFonts w:hint="eastAsia" w:ascii="宋体" w:hAnsi="宋体"/>
          <w:color w:val="auto"/>
          <w:sz w:val="24"/>
          <w:szCs w:val="21"/>
          <w:highlight w:val="none"/>
        </w:rPr>
        <w:t>章)：</w:t>
      </w:r>
      <w:r>
        <w:rPr>
          <w:rFonts w:hint="eastAsia" w:ascii="宋体" w:hAnsi="宋体"/>
          <w:color w:val="auto"/>
          <w:sz w:val="24"/>
          <w:szCs w:val="21"/>
          <w:highlight w:val="none"/>
          <w:u w:val="single"/>
        </w:rPr>
        <w:t xml:space="preserve">          </w:t>
      </w:r>
      <w:r>
        <w:rPr>
          <w:rFonts w:hint="eastAsia" w:ascii="宋体" w:hAnsi="宋体"/>
          <w:color w:val="auto"/>
          <w:sz w:val="24"/>
          <w:szCs w:val="21"/>
          <w:highlight w:val="none"/>
          <w:u w:val="single"/>
          <w:lang w:val="en-US" w:eastAsia="zh-CN"/>
        </w:rPr>
        <w:t xml:space="preserve">       </w:t>
      </w:r>
      <w:r>
        <w:rPr>
          <w:rFonts w:hint="eastAsia" w:ascii="宋体" w:hAnsi="宋体"/>
          <w:color w:val="auto"/>
          <w:sz w:val="24"/>
          <w:szCs w:val="21"/>
          <w:highlight w:val="none"/>
          <w:u w:val="single"/>
        </w:rPr>
        <w:t xml:space="preserve">   </w:t>
      </w:r>
      <w:r>
        <w:rPr>
          <w:rFonts w:hint="eastAsia" w:ascii="宋体" w:hAnsi="宋体"/>
          <w:color w:val="auto"/>
          <w:sz w:val="24"/>
          <w:szCs w:val="21"/>
          <w:highlight w:val="none"/>
        </w:rPr>
        <w:tab/>
      </w:r>
      <w:r>
        <w:rPr>
          <w:rFonts w:hint="eastAsia" w:ascii="宋体" w:hAnsi="宋体"/>
          <w:color w:val="auto"/>
          <w:sz w:val="24"/>
          <w:szCs w:val="21"/>
          <w:highlight w:val="none"/>
        </w:rPr>
        <w:t xml:space="preserve">   乙　方(</w:t>
      </w:r>
      <w:r>
        <w:rPr>
          <w:rFonts w:hint="eastAsia" w:ascii="宋体" w:hAnsi="宋体"/>
          <w:color w:val="auto"/>
          <w:sz w:val="24"/>
          <w:szCs w:val="21"/>
          <w:highlight w:val="none"/>
          <w:lang w:eastAsia="zh-CN"/>
        </w:rPr>
        <w:t>盖</w:t>
      </w:r>
      <w:r>
        <w:rPr>
          <w:rFonts w:hint="eastAsia" w:ascii="宋体" w:hAnsi="宋体"/>
          <w:color w:val="auto"/>
          <w:sz w:val="24"/>
          <w:szCs w:val="21"/>
          <w:highlight w:val="none"/>
        </w:rPr>
        <w:t>章)：</w:t>
      </w:r>
      <w:r>
        <w:rPr>
          <w:rFonts w:hint="eastAsia" w:ascii="宋体" w:hAnsi="宋体"/>
          <w:color w:val="auto"/>
          <w:sz w:val="24"/>
          <w:szCs w:val="21"/>
          <w:highlight w:val="none"/>
          <w:u w:val="single"/>
        </w:rPr>
        <w:t xml:space="preserve">     </w:t>
      </w:r>
      <w:r>
        <w:rPr>
          <w:rFonts w:hint="eastAsia" w:ascii="宋体" w:hAnsi="宋体"/>
          <w:color w:val="auto"/>
          <w:sz w:val="24"/>
          <w:szCs w:val="21"/>
          <w:highlight w:val="none"/>
          <w:u w:val="single"/>
          <w:lang w:val="en-US" w:eastAsia="zh-CN"/>
        </w:rPr>
        <w:t xml:space="preserve">            </w:t>
      </w:r>
      <w:r>
        <w:rPr>
          <w:rFonts w:hint="eastAsia" w:ascii="宋体" w:hAnsi="宋体"/>
          <w:color w:val="auto"/>
          <w:sz w:val="24"/>
          <w:szCs w:val="21"/>
          <w:highlight w:val="none"/>
        </w:rPr>
        <w:t xml:space="preserve">           </w:t>
      </w:r>
    </w:p>
    <w:p w14:paraId="42302473">
      <w:pPr>
        <w:snapToGrid w:val="0"/>
        <w:spacing w:before="119" w:line="480" w:lineRule="auto"/>
        <w:rPr>
          <w:rFonts w:hint="eastAsia" w:ascii="宋体" w:hAnsi="宋体"/>
          <w:color w:val="auto"/>
          <w:sz w:val="24"/>
          <w:szCs w:val="21"/>
          <w:highlight w:val="none"/>
        </w:rPr>
      </w:pPr>
      <w:r>
        <w:rPr>
          <w:rFonts w:hint="eastAsia" w:ascii="宋体" w:hAnsi="宋体" w:cs="宋体"/>
          <w:color w:val="auto"/>
          <w:sz w:val="24"/>
          <w:highlight w:val="none"/>
        </w:rPr>
        <w:t>法定代表人</w:t>
      </w:r>
      <w:r>
        <w:rPr>
          <w:rFonts w:hint="eastAsia" w:ascii="宋体" w:hAnsi="宋体" w:cs="宋体"/>
          <w:color w:val="auto"/>
          <w:sz w:val="24"/>
          <w:highlight w:val="none"/>
          <w:lang w:eastAsia="zh-CN"/>
        </w:rPr>
        <w:t>或授权代表</w:t>
      </w:r>
      <w:r>
        <w:rPr>
          <w:rFonts w:hint="eastAsia" w:ascii="宋体" w:hAnsi="宋体" w:cs="宋体"/>
          <w:color w:val="auto"/>
          <w:sz w:val="24"/>
          <w:highlight w:val="none"/>
        </w:rPr>
        <w:t>：                 法定代表人</w:t>
      </w:r>
      <w:r>
        <w:rPr>
          <w:rFonts w:hint="eastAsia" w:ascii="宋体" w:hAnsi="宋体" w:cs="宋体"/>
          <w:color w:val="auto"/>
          <w:sz w:val="24"/>
          <w:highlight w:val="none"/>
          <w:lang w:eastAsia="zh-CN"/>
        </w:rPr>
        <w:t>或授权代表</w:t>
      </w:r>
      <w:r>
        <w:rPr>
          <w:rFonts w:hint="eastAsia" w:ascii="宋体" w:hAnsi="宋体" w:cs="宋体"/>
          <w:color w:val="auto"/>
          <w:sz w:val="24"/>
          <w:highlight w:val="none"/>
        </w:rPr>
        <w:t xml:space="preserve">： </w:t>
      </w:r>
    </w:p>
    <w:p w14:paraId="109EE9AD">
      <w:pPr>
        <w:snapToGrid w:val="0"/>
        <w:spacing w:before="119" w:line="480" w:lineRule="auto"/>
        <w:rPr>
          <w:rFonts w:hint="eastAsia" w:ascii="宋体" w:hAnsi="宋体"/>
          <w:color w:val="auto"/>
          <w:sz w:val="24"/>
          <w:szCs w:val="21"/>
          <w:highlight w:val="none"/>
        </w:rPr>
      </w:pPr>
      <w:r>
        <w:rPr>
          <w:rFonts w:hint="eastAsia" w:ascii="宋体" w:hAnsi="宋体"/>
          <w:color w:val="auto"/>
          <w:sz w:val="24"/>
          <w:szCs w:val="21"/>
          <w:highlight w:val="none"/>
        </w:rPr>
        <w:t>(签字或盖章)：</w:t>
      </w:r>
      <w:r>
        <w:rPr>
          <w:rFonts w:hint="eastAsia" w:ascii="宋体" w:hAnsi="宋体"/>
          <w:color w:val="auto"/>
          <w:sz w:val="24"/>
          <w:szCs w:val="21"/>
          <w:highlight w:val="none"/>
          <w:u w:val="single"/>
        </w:rPr>
        <w:t xml:space="preserve">         </w:t>
      </w:r>
      <w:r>
        <w:rPr>
          <w:rFonts w:hint="eastAsia" w:ascii="宋体" w:hAnsi="宋体"/>
          <w:color w:val="auto"/>
          <w:sz w:val="24"/>
          <w:szCs w:val="21"/>
          <w:highlight w:val="none"/>
          <w:u w:val="single"/>
          <w:lang w:val="en-US" w:eastAsia="zh-CN"/>
        </w:rPr>
        <w:t xml:space="preserve">       </w:t>
      </w:r>
      <w:r>
        <w:rPr>
          <w:rFonts w:hint="eastAsia" w:ascii="宋体" w:hAnsi="宋体"/>
          <w:color w:val="auto"/>
          <w:sz w:val="24"/>
          <w:szCs w:val="21"/>
          <w:highlight w:val="none"/>
          <w:u w:val="single"/>
        </w:rPr>
        <w:t xml:space="preserve">   </w:t>
      </w:r>
      <w:r>
        <w:rPr>
          <w:rFonts w:hint="eastAsia" w:ascii="宋体" w:hAnsi="宋体"/>
          <w:color w:val="auto"/>
          <w:sz w:val="24"/>
          <w:szCs w:val="21"/>
          <w:highlight w:val="none"/>
        </w:rPr>
        <w:tab/>
      </w:r>
      <w:r>
        <w:rPr>
          <w:rFonts w:hint="eastAsia" w:ascii="宋体" w:hAnsi="宋体"/>
          <w:color w:val="auto"/>
          <w:sz w:val="24"/>
          <w:szCs w:val="21"/>
          <w:highlight w:val="none"/>
        </w:rPr>
        <w:t xml:space="preserve">    (签字或盖章)：</w:t>
      </w:r>
      <w:r>
        <w:rPr>
          <w:rFonts w:hint="eastAsia" w:ascii="宋体" w:hAnsi="宋体"/>
          <w:color w:val="auto"/>
          <w:sz w:val="24"/>
          <w:szCs w:val="21"/>
          <w:highlight w:val="none"/>
          <w:u w:val="single"/>
        </w:rPr>
        <w:t xml:space="preserve">     </w:t>
      </w:r>
      <w:r>
        <w:rPr>
          <w:rFonts w:hint="eastAsia" w:ascii="宋体" w:hAnsi="宋体"/>
          <w:color w:val="auto"/>
          <w:sz w:val="24"/>
          <w:szCs w:val="21"/>
          <w:highlight w:val="none"/>
          <w:u w:val="single"/>
          <w:lang w:val="en-US" w:eastAsia="zh-CN"/>
        </w:rPr>
        <w:t xml:space="preserve">     </w:t>
      </w:r>
      <w:r>
        <w:rPr>
          <w:rFonts w:hint="eastAsia" w:ascii="宋体" w:hAnsi="宋体"/>
          <w:color w:val="auto"/>
          <w:sz w:val="24"/>
          <w:szCs w:val="21"/>
          <w:highlight w:val="none"/>
          <w:u w:val="single"/>
        </w:rPr>
        <w:t xml:space="preserve">       </w:t>
      </w:r>
      <w:r>
        <w:rPr>
          <w:rFonts w:hint="eastAsia" w:ascii="宋体" w:hAnsi="宋体"/>
          <w:color w:val="auto"/>
          <w:sz w:val="24"/>
          <w:szCs w:val="21"/>
          <w:highlight w:val="none"/>
        </w:rPr>
        <w:t xml:space="preserve"> </w:t>
      </w:r>
    </w:p>
    <w:p w14:paraId="43D614CA">
      <w:pPr>
        <w:snapToGrid w:val="0"/>
        <w:spacing w:before="119" w:line="480" w:lineRule="auto"/>
        <w:rPr>
          <w:rFonts w:hint="eastAsia" w:ascii="宋体" w:hAnsi="宋体"/>
          <w:color w:val="auto"/>
          <w:sz w:val="24"/>
          <w:szCs w:val="21"/>
          <w:highlight w:val="none"/>
        </w:rPr>
      </w:pPr>
      <w:r>
        <w:rPr>
          <w:rFonts w:hint="eastAsia" w:ascii="宋体" w:hAnsi="宋体"/>
          <w:color w:val="auto"/>
          <w:sz w:val="24"/>
          <w:szCs w:val="21"/>
          <w:highlight w:val="none"/>
        </w:rPr>
        <w:t>地　　址：</w:t>
      </w:r>
      <w:r>
        <w:rPr>
          <w:rFonts w:hint="eastAsia" w:ascii="宋体" w:hAnsi="宋体"/>
          <w:color w:val="auto"/>
          <w:sz w:val="24"/>
          <w:szCs w:val="21"/>
          <w:highlight w:val="none"/>
          <w:u w:val="single"/>
        </w:rPr>
        <w:tab/>
      </w:r>
      <w:r>
        <w:rPr>
          <w:rFonts w:hint="eastAsia" w:ascii="宋体" w:hAnsi="宋体"/>
          <w:color w:val="auto"/>
          <w:sz w:val="24"/>
          <w:szCs w:val="21"/>
          <w:highlight w:val="none"/>
          <w:u w:val="single"/>
        </w:rPr>
        <w:tab/>
      </w:r>
      <w:r>
        <w:rPr>
          <w:rFonts w:hint="eastAsia" w:ascii="宋体" w:hAnsi="宋体"/>
          <w:color w:val="auto"/>
          <w:sz w:val="24"/>
          <w:szCs w:val="21"/>
          <w:highlight w:val="none"/>
          <w:u w:val="single"/>
        </w:rPr>
        <w:t xml:space="preserve">     </w:t>
      </w:r>
      <w:r>
        <w:rPr>
          <w:rFonts w:hint="eastAsia" w:ascii="宋体" w:hAnsi="宋体"/>
          <w:color w:val="auto"/>
          <w:sz w:val="24"/>
          <w:szCs w:val="21"/>
          <w:highlight w:val="none"/>
          <w:u w:val="single"/>
        </w:rPr>
        <w:tab/>
      </w:r>
      <w:r>
        <w:rPr>
          <w:rFonts w:hint="eastAsia" w:ascii="宋体" w:hAnsi="宋体"/>
          <w:color w:val="auto"/>
          <w:sz w:val="24"/>
          <w:szCs w:val="21"/>
          <w:highlight w:val="none"/>
          <w:u w:val="single"/>
        </w:rPr>
        <w:t xml:space="preserve">             </w:t>
      </w:r>
      <w:r>
        <w:rPr>
          <w:rFonts w:hint="eastAsia" w:ascii="宋体" w:hAnsi="宋体"/>
          <w:color w:val="auto"/>
          <w:sz w:val="24"/>
          <w:szCs w:val="21"/>
          <w:highlight w:val="none"/>
        </w:rPr>
        <w:tab/>
      </w:r>
      <w:r>
        <w:rPr>
          <w:rFonts w:hint="eastAsia" w:ascii="宋体" w:hAnsi="宋体"/>
          <w:color w:val="auto"/>
          <w:sz w:val="24"/>
          <w:szCs w:val="21"/>
          <w:highlight w:val="none"/>
        </w:rPr>
        <w:tab/>
      </w:r>
      <w:r>
        <w:rPr>
          <w:rFonts w:hint="eastAsia" w:ascii="宋体" w:hAnsi="宋体"/>
          <w:color w:val="auto"/>
          <w:sz w:val="24"/>
          <w:szCs w:val="21"/>
          <w:highlight w:val="none"/>
        </w:rPr>
        <w:t>地　　址：</w:t>
      </w:r>
      <w:r>
        <w:rPr>
          <w:rFonts w:hint="eastAsia" w:ascii="宋体" w:hAnsi="宋体"/>
          <w:color w:val="auto"/>
          <w:sz w:val="24"/>
          <w:szCs w:val="21"/>
          <w:highlight w:val="none"/>
          <w:u w:val="single"/>
        </w:rPr>
        <w:tab/>
      </w:r>
      <w:r>
        <w:rPr>
          <w:rFonts w:hint="eastAsia" w:ascii="宋体" w:hAnsi="宋体"/>
          <w:color w:val="auto"/>
          <w:sz w:val="24"/>
          <w:szCs w:val="21"/>
          <w:highlight w:val="none"/>
          <w:u w:val="single"/>
        </w:rPr>
        <w:tab/>
      </w:r>
      <w:r>
        <w:rPr>
          <w:rFonts w:hint="eastAsia" w:ascii="宋体" w:hAnsi="宋体"/>
          <w:color w:val="auto"/>
          <w:sz w:val="24"/>
          <w:szCs w:val="21"/>
          <w:highlight w:val="none"/>
          <w:u w:val="single"/>
        </w:rPr>
        <w:t xml:space="preserve">           </w:t>
      </w:r>
      <w:r>
        <w:rPr>
          <w:rFonts w:hint="eastAsia" w:ascii="宋体" w:hAnsi="宋体"/>
          <w:color w:val="auto"/>
          <w:sz w:val="24"/>
          <w:szCs w:val="21"/>
          <w:highlight w:val="none"/>
          <w:u w:val="single"/>
        </w:rPr>
        <w:tab/>
      </w:r>
      <w:r>
        <w:rPr>
          <w:rFonts w:hint="eastAsia" w:ascii="宋体" w:hAnsi="宋体"/>
          <w:color w:val="auto"/>
          <w:sz w:val="24"/>
          <w:szCs w:val="21"/>
          <w:highlight w:val="none"/>
          <w:u w:val="single"/>
        </w:rPr>
        <w:tab/>
      </w:r>
    </w:p>
    <w:p w14:paraId="20B16C0E">
      <w:pPr>
        <w:snapToGrid w:val="0"/>
        <w:spacing w:before="119" w:line="480" w:lineRule="auto"/>
        <w:rPr>
          <w:rFonts w:hint="eastAsia" w:ascii="宋体" w:hAnsi="宋体"/>
          <w:color w:val="auto"/>
          <w:sz w:val="24"/>
          <w:szCs w:val="21"/>
          <w:highlight w:val="none"/>
        </w:rPr>
      </w:pPr>
      <w:r>
        <w:rPr>
          <w:rFonts w:hint="eastAsia" w:ascii="宋体" w:hAnsi="宋体"/>
          <w:color w:val="auto"/>
          <w:sz w:val="24"/>
          <w:szCs w:val="21"/>
          <w:highlight w:val="none"/>
        </w:rPr>
        <w:t>邮政编码：</w:t>
      </w:r>
      <w:r>
        <w:rPr>
          <w:rFonts w:hint="eastAsia" w:ascii="宋体" w:hAnsi="宋体"/>
          <w:color w:val="auto"/>
          <w:sz w:val="24"/>
          <w:szCs w:val="21"/>
          <w:highlight w:val="none"/>
          <w:u w:val="single"/>
        </w:rPr>
        <w:tab/>
      </w:r>
      <w:r>
        <w:rPr>
          <w:rFonts w:hint="eastAsia" w:ascii="宋体" w:hAnsi="宋体"/>
          <w:color w:val="auto"/>
          <w:sz w:val="24"/>
          <w:szCs w:val="21"/>
          <w:highlight w:val="none"/>
          <w:u w:val="single"/>
        </w:rPr>
        <w:tab/>
      </w:r>
      <w:r>
        <w:rPr>
          <w:rFonts w:hint="eastAsia" w:ascii="宋体" w:hAnsi="宋体"/>
          <w:color w:val="auto"/>
          <w:sz w:val="24"/>
          <w:szCs w:val="21"/>
          <w:highlight w:val="none"/>
          <w:u w:val="single"/>
        </w:rPr>
        <w:t xml:space="preserve">     </w:t>
      </w:r>
      <w:r>
        <w:rPr>
          <w:rFonts w:hint="eastAsia" w:ascii="宋体" w:hAnsi="宋体"/>
          <w:color w:val="auto"/>
          <w:sz w:val="24"/>
          <w:szCs w:val="21"/>
          <w:highlight w:val="none"/>
          <w:u w:val="single"/>
        </w:rPr>
        <w:tab/>
      </w:r>
      <w:r>
        <w:rPr>
          <w:rFonts w:hint="eastAsia" w:ascii="宋体" w:hAnsi="宋体"/>
          <w:color w:val="auto"/>
          <w:sz w:val="24"/>
          <w:szCs w:val="21"/>
          <w:highlight w:val="none"/>
          <w:u w:val="single"/>
        </w:rPr>
        <w:t xml:space="preserve">             </w:t>
      </w:r>
      <w:r>
        <w:rPr>
          <w:rFonts w:hint="eastAsia" w:ascii="宋体" w:hAnsi="宋体"/>
          <w:color w:val="auto"/>
          <w:sz w:val="24"/>
          <w:szCs w:val="21"/>
          <w:highlight w:val="none"/>
        </w:rPr>
        <w:tab/>
      </w:r>
      <w:r>
        <w:rPr>
          <w:rFonts w:hint="eastAsia" w:ascii="宋体" w:hAnsi="宋体"/>
          <w:color w:val="auto"/>
          <w:sz w:val="24"/>
          <w:szCs w:val="21"/>
          <w:highlight w:val="none"/>
        </w:rPr>
        <w:tab/>
      </w:r>
      <w:r>
        <w:rPr>
          <w:rFonts w:hint="eastAsia" w:ascii="宋体" w:hAnsi="宋体"/>
          <w:color w:val="auto"/>
          <w:sz w:val="24"/>
          <w:szCs w:val="21"/>
          <w:highlight w:val="none"/>
        </w:rPr>
        <w:t>邮政编码：</w:t>
      </w:r>
      <w:r>
        <w:rPr>
          <w:rFonts w:hint="eastAsia" w:ascii="宋体" w:hAnsi="宋体"/>
          <w:color w:val="auto"/>
          <w:sz w:val="24"/>
          <w:szCs w:val="21"/>
          <w:highlight w:val="none"/>
          <w:u w:val="single"/>
        </w:rPr>
        <w:tab/>
      </w:r>
      <w:r>
        <w:rPr>
          <w:rFonts w:hint="eastAsia" w:ascii="宋体" w:hAnsi="宋体"/>
          <w:color w:val="auto"/>
          <w:sz w:val="24"/>
          <w:szCs w:val="21"/>
          <w:highlight w:val="none"/>
          <w:u w:val="single"/>
        </w:rPr>
        <w:tab/>
      </w:r>
      <w:r>
        <w:rPr>
          <w:rFonts w:hint="eastAsia" w:ascii="宋体" w:hAnsi="宋体"/>
          <w:color w:val="auto"/>
          <w:sz w:val="24"/>
          <w:szCs w:val="21"/>
          <w:highlight w:val="none"/>
          <w:u w:val="single"/>
        </w:rPr>
        <w:tab/>
      </w:r>
      <w:r>
        <w:rPr>
          <w:rFonts w:hint="eastAsia" w:ascii="宋体" w:hAnsi="宋体"/>
          <w:color w:val="auto"/>
          <w:sz w:val="24"/>
          <w:szCs w:val="21"/>
          <w:highlight w:val="none"/>
          <w:u w:val="single"/>
        </w:rPr>
        <w:t xml:space="preserve">           </w:t>
      </w:r>
      <w:r>
        <w:rPr>
          <w:rFonts w:hint="eastAsia" w:ascii="宋体" w:hAnsi="宋体"/>
          <w:color w:val="auto"/>
          <w:sz w:val="24"/>
          <w:szCs w:val="21"/>
          <w:highlight w:val="none"/>
          <w:u w:val="single"/>
        </w:rPr>
        <w:tab/>
      </w:r>
    </w:p>
    <w:p w14:paraId="6DF98B13">
      <w:pPr>
        <w:snapToGrid w:val="0"/>
        <w:spacing w:before="119" w:line="480" w:lineRule="auto"/>
        <w:rPr>
          <w:rFonts w:hint="eastAsia" w:ascii="宋体" w:hAnsi="宋体"/>
          <w:color w:val="auto"/>
          <w:sz w:val="24"/>
          <w:szCs w:val="21"/>
          <w:highlight w:val="none"/>
        </w:rPr>
      </w:pPr>
      <w:r>
        <w:rPr>
          <w:rFonts w:hint="eastAsia" w:ascii="宋体" w:hAnsi="宋体"/>
          <w:color w:val="auto"/>
          <w:sz w:val="24"/>
          <w:szCs w:val="21"/>
          <w:highlight w:val="none"/>
        </w:rPr>
        <w:t>电　　话：</w:t>
      </w:r>
      <w:r>
        <w:rPr>
          <w:rFonts w:hint="eastAsia" w:ascii="宋体" w:hAnsi="宋体"/>
          <w:color w:val="auto"/>
          <w:sz w:val="24"/>
          <w:szCs w:val="21"/>
          <w:highlight w:val="none"/>
          <w:u w:val="single"/>
        </w:rPr>
        <w:tab/>
      </w:r>
      <w:r>
        <w:rPr>
          <w:rFonts w:hint="eastAsia" w:ascii="宋体" w:hAnsi="宋体"/>
          <w:color w:val="auto"/>
          <w:sz w:val="24"/>
          <w:szCs w:val="21"/>
          <w:highlight w:val="none"/>
          <w:u w:val="single"/>
        </w:rPr>
        <w:tab/>
      </w:r>
      <w:r>
        <w:rPr>
          <w:rFonts w:hint="eastAsia" w:ascii="宋体" w:hAnsi="宋体"/>
          <w:color w:val="auto"/>
          <w:sz w:val="24"/>
          <w:szCs w:val="21"/>
          <w:highlight w:val="none"/>
          <w:u w:val="single"/>
        </w:rPr>
        <w:t xml:space="preserve">     </w:t>
      </w:r>
      <w:r>
        <w:rPr>
          <w:rFonts w:hint="eastAsia" w:ascii="宋体" w:hAnsi="宋体"/>
          <w:color w:val="auto"/>
          <w:sz w:val="24"/>
          <w:szCs w:val="21"/>
          <w:highlight w:val="none"/>
          <w:u w:val="single"/>
        </w:rPr>
        <w:tab/>
      </w:r>
      <w:r>
        <w:rPr>
          <w:rFonts w:hint="eastAsia" w:ascii="宋体" w:hAnsi="宋体"/>
          <w:color w:val="auto"/>
          <w:sz w:val="24"/>
          <w:szCs w:val="21"/>
          <w:highlight w:val="none"/>
          <w:u w:val="single"/>
        </w:rPr>
        <w:t xml:space="preserve">             </w:t>
      </w:r>
      <w:r>
        <w:rPr>
          <w:rFonts w:hint="eastAsia" w:ascii="宋体" w:hAnsi="宋体"/>
          <w:color w:val="auto"/>
          <w:sz w:val="24"/>
          <w:szCs w:val="21"/>
          <w:highlight w:val="none"/>
        </w:rPr>
        <w:tab/>
      </w:r>
      <w:r>
        <w:rPr>
          <w:rFonts w:hint="eastAsia" w:ascii="宋体" w:hAnsi="宋体"/>
          <w:color w:val="auto"/>
          <w:sz w:val="24"/>
          <w:szCs w:val="21"/>
          <w:highlight w:val="none"/>
        </w:rPr>
        <w:tab/>
      </w:r>
      <w:r>
        <w:rPr>
          <w:rFonts w:hint="eastAsia" w:ascii="宋体" w:hAnsi="宋体"/>
          <w:color w:val="auto"/>
          <w:sz w:val="24"/>
          <w:szCs w:val="21"/>
          <w:highlight w:val="none"/>
        </w:rPr>
        <w:t>电　　话：</w:t>
      </w:r>
      <w:r>
        <w:rPr>
          <w:rFonts w:hint="eastAsia" w:ascii="宋体" w:hAnsi="宋体"/>
          <w:color w:val="auto"/>
          <w:sz w:val="24"/>
          <w:szCs w:val="21"/>
          <w:highlight w:val="none"/>
          <w:u w:val="single"/>
        </w:rPr>
        <w:tab/>
      </w:r>
      <w:r>
        <w:rPr>
          <w:rFonts w:hint="eastAsia" w:ascii="宋体" w:hAnsi="宋体"/>
          <w:color w:val="auto"/>
          <w:sz w:val="24"/>
          <w:szCs w:val="21"/>
          <w:highlight w:val="none"/>
          <w:u w:val="single"/>
        </w:rPr>
        <w:tab/>
      </w:r>
      <w:r>
        <w:rPr>
          <w:rFonts w:hint="eastAsia" w:ascii="宋体" w:hAnsi="宋体"/>
          <w:color w:val="auto"/>
          <w:sz w:val="24"/>
          <w:szCs w:val="21"/>
          <w:highlight w:val="none"/>
          <w:u w:val="single"/>
        </w:rPr>
        <w:t xml:space="preserve">           </w:t>
      </w:r>
      <w:r>
        <w:rPr>
          <w:rFonts w:hint="eastAsia" w:ascii="宋体" w:hAnsi="宋体"/>
          <w:color w:val="auto"/>
          <w:sz w:val="24"/>
          <w:szCs w:val="21"/>
          <w:highlight w:val="none"/>
          <w:u w:val="single"/>
        </w:rPr>
        <w:tab/>
      </w:r>
      <w:r>
        <w:rPr>
          <w:rFonts w:hint="eastAsia" w:ascii="宋体" w:hAnsi="宋体"/>
          <w:color w:val="auto"/>
          <w:sz w:val="24"/>
          <w:szCs w:val="21"/>
          <w:highlight w:val="none"/>
          <w:u w:val="single"/>
        </w:rPr>
        <w:tab/>
      </w:r>
    </w:p>
    <w:p w14:paraId="36DF87CC">
      <w:pPr>
        <w:snapToGrid w:val="0"/>
        <w:spacing w:before="119" w:line="480" w:lineRule="auto"/>
        <w:rPr>
          <w:rFonts w:hint="eastAsia" w:ascii="宋体" w:hAnsi="宋体"/>
          <w:color w:val="auto"/>
          <w:sz w:val="24"/>
          <w:szCs w:val="21"/>
          <w:highlight w:val="none"/>
        </w:rPr>
      </w:pPr>
      <w:r>
        <w:rPr>
          <w:rFonts w:hint="eastAsia" w:ascii="宋体" w:hAnsi="宋体"/>
          <w:color w:val="auto"/>
          <w:sz w:val="24"/>
          <w:szCs w:val="21"/>
          <w:highlight w:val="none"/>
        </w:rPr>
        <w:t>开户银行：</w:t>
      </w:r>
      <w:r>
        <w:rPr>
          <w:rFonts w:hint="eastAsia" w:ascii="宋体" w:hAnsi="宋体"/>
          <w:color w:val="auto"/>
          <w:sz w:val="24"/>
          <w:szCs w:val="21"/>
          <w:highlight w:val="none"/>
          <w:u w:val="single"/>
        </w:rPr>
        <w:tab/>
      </w:r>
      <w:r>
        <w:rPr>
          <w:rFonts w:hint="eastAsia" w:ascii="宋体" w:hAnsi="宋体"/>
          <w:color w:val="auto"/>
          <w:sz w:val="24"/>
          <w:szCs w:val="21"/>
          <w:highlight w:val="none"/>
          <w:u w:val="single"/>
        </w:rPr>
        <w:tab/>
      </w:r>
      <w:r>
        <w:rPr>
          <w:rFonts w:hint="eastAsia" w:ascii="宋体" w:hAnsi="宋体"/>
          <w:color w:val="auto"/>
          <w:sz w:val="24"/>
          <w:szCs w:val="21"/>
          <w:highlight w:val="none"/>
          <w:u w:val="single"/>
        </w:rPr>
        <w:t xml:space="preserve">     </w:t>
      </w:r>
      <w:r>
        <w:rPr>
          <w:rFonts w:hint="eastAsia" w:ascii="宋体" w:hAnsi="宋体"/>
          <w:color w:val="auto"/>
          <w:sz w:val="24"/>
          <w:szCs w:val="21"/>
          <w:highlight w:val="none"/>
          <w:u w:val="single"/>
        </w:rPr>
        <w:tab/>
      </w:r>
      <w:r>
        <w:rPr>
          <w:rFonts w:hint="eastAsia" w:ascii="宋体" w:hAnsi="宋体"/>
          <w:color w:val="auto"/>
          <w:sz w:val="24"/>
          <w:szCs w:val="21"/>
          <w:highlight w:val="none"/>
          <w:u w:val="single"/>
        </w:rPr>
        <w:t xml:space="preserve">             </w:t>
      </w:r>
      <w:r>
        <w:rPr>
          <w:rFonts w:hint="eastAsia" w:ascii="宋体" w:hAnsi="宋体"/>
          <w:color w:val="auto"/>
          <w:sz w:val="24"/>
          <w:szCs w:val="21"/>
          <w:highlight w:val="none"/>
        </w:rPr>
        <w:tab/>
      </w:r>
      <w:r>
        <w:rPr>
          <w:rFonts w:hint="eastAsia" w:ascii="宋体" w:hAnsi="宋体"/>
          <w:color w:val="auto"/>
          <w:sz w:val="24"/>
          <w:szCs w:val="21"/>
          <w:highlight w:val="none"/>
        </w:rPr>
        <w:tab/>
      </w:r>
      <w:r>
        <w:rPr>
          <w:rFonts w:hint="eastAsia" w:ascii="宋体" w:hAnsi="宋体"/>
          <w:color w:val="auto"/>
          <w:sz w:val="24"/>
          <w:szCs w:val="21"/>
          <w:highlight w:val="none"/>
        </w:rPr>
        <w:t>开户银行：</w:t>
      </w:r>
      <w:r>
        <w:rPr>
          <w:rFonts w:hint="eastAsia" w:ascii="宋体" w:hAnsi="宋体"/>
          <w:color w:val="auto"/>
          <w:sz w:val="24"/>
          <w:szCs w:val="21"/>
          <w:highlight w:val="none"/>
          <w:u w:val="single"/>
        </w:rPr>
        <w:tab/>
      </w:r>
      <w:r>
        <w:rPr>
          <w:rFonts w:hint="eastAsia" w:ascii="宋体" w:hAnsi="宋体"/>
          <w:color w:val="auto"/>
          <w:sz w:val="24"/>
          <w:szCs w:val="21"/>
          <w:highlight w:val="none"/>
          <w:u w:val="single"/>
        </w:rPr>
        <w:tab/>
      </w:r>
      <w:r>
        <w:rPr>
          <w:rFonts w:hint="eastAsia" w:ascii="宋体" w:hAnsi="宋体"/>
          <w:color w:val="auto"/>
          <w:sz w:val="24"/>
          <w:szCs w:val="21"/>
          <w:highlight w:val="none"/>
          <w:u w:val="single"/>
        </w:rPr>
        <w:t xml:space="preserve">           </w:t>
      </w:r>
      <w:r>
        <w:rPr>
          <w:rFonts w:hint="eastAsia" w:ascii="宋体" w:hAnsi="宋体"/>
          <w:color w:val="auto"/>
          <w:sz w:val="24"/>
          <w:szCs w:val="21"/>
          <w:highlight w:val="none"/>
          <w:u w:val="single"/>
        </w:rPr>
        <w:tab/>
      </w:r>
      <w:r>
        <w:rPr>
          <w:rFonts w:hint="eastAsia" w:ascii="宋体" w:hAnsi="宋体"/>
          <w:color w:val="auto"/>
          <w:sz w:val="24"/>
          <w:szCs w:val="21"/>
          <w:highlight w:val="none"/>
          <w:u w:val="single"/>
        </w:rPr>
        <w:tab/>
      </w:r>
    </w:p>
    <w:p w14:paraId="0C3398B4">
      <w:pPr>
        <w:snapToGrid w:val="0"/>
        <w:spacing w:line="480" w:lineRule="auto"/>
        <w:rPr>
          <w:rFonts w:hint="eastAsia" w:ascii="宋体" w:hAnsi="宋体"/>
          <w:color w:val="auto"/>
          <w:sz w:val="24"/>
          <w:szCs w:val="21"/>
          <w:highlight w:val="none"/>
          <w:u w:val="single"/>
        </w:rPr>
      </w:pPr>
      <w:r>
        <w:rPr>
          <w:rFonts w:hint="eastAsia" w:ascii="宋体" w:hAnsi="宋体"/>
          <w:color w:val="auto"/>
          <w:sz w:val="24"/>
          <w:szCs w:val="21"/>
          <w:highlight w:val="none"/>
        </w:rPr>
        <w:t>账　　号：</w:t>
      </w:r>
      <w:r>
        <w:rPr>
          <w:rFonts w:hint="eastAsia" w:ascii="宋体" w:hAnsi="宋体"/>
          <w:color w:val="auto"/>
          <w:sz w:val="24"/>
          <w:szCs w:val="21"/>
          <w:highlight w:val="none"/>
          <w:u w:val="single"/>
        </w:rPr>
        <w:tab/>
      </w:r>
      <w:r>
        <w:rPr>
          <w:rFonts w:hint="eastAsia" w:ascii="宋体" w:hAnsi="宋体"/>
          <w:color w:val="auto"/>
          <w:sz w:val="24"/>
          <w:szCs w:val="21"/>
          <w:highlight w:val="none"/>
          <w:u w:val="single"/>
        </w:rPr>
        <w:tab/>
      </w:r>
      <w:r>
        <w:rPr>
          <w:rFonts w:hint="eastAsia" w:ascii="宋体" w:hAnsi="宋体"/>
          <w:color w:val="auto"/>
          <w:sz w:val="24"/>
          <w:szCs w:val="21"/>
          <w:highlight w:val="none"/>
          <w:u w:val="single"/>
        </w:rPr>
        <w:t xml:space="preserve">     </w:t>
      </w:r>
      <w:r>
        <w:rPr>
          <w:rFonts w:hint="eastAsia" w:ascii="宋体" w:hAnsi="宋体"/>
          <w:color w:val="auto"/>
          <w:sz w:val="24"/>
          <w:szCs w:val="21"/>
          <w:highlight w:val="none"/>
          <w:u w:val="single"/>
        </w:rPr>
        <w:tab/>
      </w:r>
      <w:r>
        <w:rPr>
          <w:rFonts w:hint="eastAsia" w:ascii="宋体" w:hAnsi="宋体"/>
          <w:color w:val="auto"/>
          <w:sz w:val="24"/>
          <w:szCs w:val="21"/>
          <w:highlight w:val="none"/>
          <w:u w:val="single"/>
        </w:rPr>
        <w:t xml:space="preserve">             </w:t>
      </w:r>
      <w:r>
        <w:rPr>
          <w:rFonts w:hint="eastAsia" w:ascii="宋体" w:hAnsi="宋体"/>
          <w:color w:val="auto"/>
          <w:sz w:val="24"/>
          <w:szCs w:val="21"/>
          <w:highlight w:val="none"/>
        </w:rPr>
        <w:tab/>
      </w:r>
      <w:r>
        <w:rPr>
          <w:rFonts w:hint="eastAsia" w:ascii="宋体" w:hAnsi="宋体"/>
          <w:color w:val="auto"/>
          <w:sz w:val="24"/>
          <w:szCs w:val="21"/>
          <w:highlight w:val="none"/>
        </w:rPr>
        <w:t xml:space="preserve">    账　　号：</w:t>
      </w:r>
      <w:r>
        <w:rPr>
          <w:rFonts w:hint="eastAsia" w:ascii="宋体" w:hAnsi="宋体"/>
          <w:color w:val="auto"/>
          <w:sz w:val="24"/>
          <w:szCs w:val="21"/>
          <w:highlight w:val="none"/>
          <w:u w:val="single"/>
        </w:rPr>
        <w:tab/>
      </w:r>
      <w:r>
        <w:rPr>
          <w:rFonts w:hint="eastAsia" w:ascii="宋体" w:hAnsi="宋体"/>
          <w:color w:val="auto"/>
          <w:sz w:val="24"/>
          <w:szCs w:val="21"/>
          <w:highlight w:val="none"/>
          <w:u w:val="single"/>
        </w:rPr>
        <w:tab/>
      </w:r>
      <w:r>
        <w:rPr>
          <w:rFonts w:hint="eastAsia" w:ascii="宋体" w:hAnsi="宋体"/>
          <w:color w:val="auto"/>
          <w:sz w:val="24"/>
          <w:szCs w:val="21"/>
          <w:highlight w:val="none"/>
          <w:u w:val="single"/>
        </w:rPr>
        <w:t xml:space="preserve">             </w:t>
      </w:r>
      <w:r>
        <w:rPr>
          <w:rFonts w:hint="eastAsia" w:ascii="宋体" w:hAnsi="宋体"/>
          <w:color w:val="auto"/>
          <w:sz w:val="24"/>
          <w:szCs w:val="21"/>
          <w:highlight w:val="none"/>
          <w:u w:val="single"/>
          <w:lang w:val="en-US" w:eastAsia="zh-CN"/>
        </w:rPr>
        <w:t xml:space="preserve">   </w:t>
      </w:r>
      <w:r>
        <w:rPr>
          <w:rFonts w:hint="eastAsia" w:ascii="宋体" w:hAnsi="宋体"/>
          <w:color w:val="auto"/>
          <w:sz w:val="24"/>
          <w:szCs w:val="21"/>
          <w:highlight w:val="none"/>
          <w:u w:val="single"/>
        </w:rPr>
        <w:t xml:space="preserve"> </w:t>
      </w:r>
    </w:p>
    <w:p w14:paraId="51AB6A0B">
      <w:pPr>
        <w:spacing w:line="360" w:lineRule="auto"/>
        <w:rPr>
          <w:b/>
          <w:bCs/>
          <w:sz w:val="30"/>
          <w:szCs w:val="30"/>
        </w:rPr>
      </w:pPr>
      <w:r>
        <w:rPr>
          <w:rFonts w:hint="eastAsia" w:hAnsi="宋体"/>
          <w:color w:val="auto"/>
          <w:sz w:val="24"/>
          <w:szCs w:val="21"/>
          <w:highlight w:val="none"/>
          <w:lang w:eastAsia="zh-CN"/>
        </w:rPr>
        <w:t>签订日期：</w:t>
      </w:r>
      <w:r>
        <w:rPr>
          <w:rFonts w:hint="eastAsia" w:hAnsi="宋体"/>
          <w:color w:val="auto"/>
          <w:sz w:val="24"/>
          <w:szCs w:val="21"/>
          <w:highlight w:val="none"/>
          <w:u w:val="single"/>
          <w:lang w:val="en-US" w:eastAsia="zh-CN"/>
        </w:rPr>
        <w:t xml:space="preserve">     </w:t>
      </w:r>
      <w:r>
        <w:rPr>
          <w:rFonts w:hint="eastAsia" w:ascii="宋体" w:hAnsi="宋体"/>
          <w:color w:val="auto"/>
          <w:sz w:val="24"/>
          <w:szCs w:val="21"/>
          <w:highlight w:val="none"/>
          <w:u w:val="single"/>
        </w:rPr>
        <w:t>年</w:t>
      </w:r>
      <w:r>
        <w:rPr>
          <w:rFonts w:hint="eastAsia" w:hAnsi="宋体"/>
          <w:color w:val="auto"/>
          <w:sz w:val="24"/>
          <w:szCs w:val="21"/>
          <w:highlight w:val="none"/>
          <w:u w:val="single"/>
          <w:lang w:val="en-US" w:eastAsia="zh-CN"/>
        </w:rPr>
        <w:t xml:space="preserve"> </w:t>
      </w:r>
      <w:r>
        <w:rPr>
          <w:rFonts w:hint="eastAsia" w:ascii="宋体" w:hAnsi="宋体"/>
          <w:color w:val="auto"/>
          <w:sz w:val="24"/>
          <w:szCs w:val="21"/>
          <w:highlight w:val="none"/>
          <w:u w:val="single"/>
        </w:rPr>
        <w:t>　</w:t>
      </w:r>
      <w:r>
        <w:rPr>
          <w:rFonts w:hint="eastAsia" w:hAnsi="宋体"/>
          <w:color w:val="auto"/>
          <w:sz w:val="24"/>
          <w:szCs w:val="21"/>
          <w:highlight w:val="none"/>
          <w:u w:val="single"/>
          <w:lang w:val="en-US" w:eastAsia="zh-CN"/>
        </w:rPr>
        <w:t xml:space="preserve">  </w:t>
      </w:r>
      <w:r>
        <w:rPr>
          <w:rFonts w:hint="eastAsia" w:ascii="宋体" w:hAnsi="宋体"/>
          <w:color w:val="auto"/>
          <w:sz w:val="24"/>
          <w:szCs w:val="21"/>
          <w:highlight w:val="none"/>
          <w:u w:val="single"/>
        </w:rPr>
        <w:t>月</w:t>
      </w:r>
      <w:r>
        <w:rPr>
          <w:rFonts w:hint="eastAsia" w:hAnsi="宋体"/>
          <w:color w:val="auto"/>
          <w:sz w:val="24"/>
          <w:szCs w:val="21"/>
          <w:highlight w:val="none"/>
          <w:u w:val="single"/>
          <w:lang w:val="en-US" w:eastAsia="zh-CN"/>
        </w:rPr>
        <w:t xml:space="preserve"> </w:t>
      </w:r>
      <w:r>
        <w:rPr>
          <w:rFonts w:hint="eastAsia" w:ascii="宋体" w:hAnsi="宋体"/>
          <w:color w:val="auto"/>
          <w:sz w:val="24"/>
          <w:szCs w:val="21"/>
          <w:highlight w:val="none"/>
          <w:u w:val="single"/>
        </w:rPr>
        <w:t>　</w:t>
      </w:r>
      <w:r>
        <w:rPr>
          <w:rFonts w:hint="eastAsia" w:hAnsi="宋体"/>
          <w:color w:val="auto"/>
          <w:sz w:val="24"/>
          <w:szCs w:val="21"/>
          <w:highlight w:val="none"/>
          <w:u w:val="single"/>
          <w:lang w:val="en-US" w:eastAsia="zh-CN"/>
        </w:rPr>
        <w:t xml:space="preserve">  </w:t>
      </w:r>
      <w:r>
        <w:rPr>
          <w:rFonts w:hint="eastAsia" w:ascii="宋体" w:hAnsi="宋体"/>
          <w:color w:val="auto"/>
          <w:sz w:val="24"/>
          <w:szCs w:val="21"/>
          <w:highlight w:val="none"/>
          <w:u w:val="single"/>
        </w:rPr>
        <w:t>日</w:t>
      </w:r>
      <w:r>
        <w:rPr>
          <w:rFonts w:hint="eastAsia" w:hAnsi="宋体"/>
          <w:color w:val="auto"/>
          <w:sz w:val="24"/>
          <w:szCs w:val="21"/>
          <w:highlight w:val="none"/>
          <w:u w:val="single"/>
          <w:lang w:val="en-US" w:eastAsia="zh-CN"/>
        </w:rPr>
        <w:t xml:space="preserve">   </w:t>
      </w:r>
      <w:r>
        <w:rPr>
          <w:rFonts w:hint="eastAsia" w:hAnsi="宋体"/>
          <w:color w:val="auto"/>
          <w:sz w:val="24"/>
          <w:szCs w:val="21"/>
          <w:highlight w:val="none"/>
          <w:lang w:val="en-US" w:eastAsia="zh-CN"/>
        </w:rPr>
        <w:t xml:space="preserve">     </w:t>
      </w:r>
      <w:r>
        <w:rPr>
          <w:rFonts w:hint="eastAsia" w:hAnsi="宋体"/>
          <w:color w:val="auto"/>
          <w:sz w:val="24"/>
          <w:szCs w:val="21"/>
          <w:highlight w:val="none"/>
          <w:lang w:eastAsia="zh-CN"/>
        </w:rPr>
        <w:t>签订日期：</w:t>
      </w:r>
      <w:r>
        <w:rPr>
          <w:rFonts w:hint="eastAsia" w:hAnsi="宋体"/>
          <w:color w:val="auto"/>
          <w:sz w:val="24"/>
          <w:szCs w:val="21"/>
          <w:highlight w:val="none"/>
          <w:u w:val="single"/>
          <w:lang w:val="en-US" w:eastAsia="zh-CN"/>
        </w:rPr>
        <w:t xml:space="preserve">     </w:t>
      </w:r>
      <w:r>
        <w:rPr>
          <w:rFonts w:hint="eastAsia" w:ascii="宋体" w:hAnsi="宋体"/>
          <w:color w:val="auto"/>
          <w:sz w:val="24"/>
          <w:szCs w:val="21"/>
          <w:highlight w:val="none"/>
          <w:u w:val="single"/>
        </w:rPr>
        <w:t>年</w:t>
      </w:r>
      <w:r>
        <w:rPr>
          <w:rFonts w:hint="eastAsia" w:hAnsi="宋体"/>
          <w:color w:val="auto"/>
          <w:sz w:val="24"/>
          <w:szCs w:val="21"/>
          <w:highlight w:val="none"/>
          <w:u w:val="single"/>
          <w:lang w:val="en-US" w:eastAsia="zh-CN"/>
        </w:rPr>
        <w:t xml:space="preserve"> </w:t>
      </w:r>
      <w:r>
        <w:rPr>
          <w:rFonts w:hint="eastAsia" w:ascii="宋体" w:hAnsi="宋体"/>
          <w:color w:val="auto"/>
          <w:sz w:val="24"/>
          <w:szCs w:val="21"/>
          <w:highlight w:val="none"/>
          <w:u w:val="single"/>
        </w:rPr>
        <w:t>　</w:t>
      </w:r>
      <w:r>
        <w:rPr>
          <w:rFonts w:hint="eastAsia" w:hAnsi="宋体"/>
          <w:color w:val="auto"/>
          <w:sz w:val="24"/>
          <w:szCs w:val="21"/>
          <w:highlight w:val="none"/>
          <w:u w:val="single"/>
          <w:lang w:val="en-US" w:eastAsia="zh-CN"/>
        </w:rPr>
        <w:t xml:space="preserve">  </w:t>
      </w:r>
      <w:r>
        <w:rPr>
          <w:rFonts w:hint="eastAsia" w:ascii="宋体" w:hAnsi="宋体"/>
          <w:color w:val="auto"/>
          <w:sz w:val="24"/>
          <w:szCs w:val="21"/>
          <w:highlight w:val="none"/>
          <w:u w:val="single"/>
        </w:rPr>
        <w:t>月</w:t>
      </w:r>
      <w:r>
        <w:rPr>
          <w:rFonts w:hint="eastAsia" w:hAnsi="宋体"/>
          <w:color w:val="auto"/>
          <w:sz w:val="24"/>
          <w:szCs w:val="21"/>
          <w:highlight w:val="none"/>
          <w:u w:val="single"/>
          <w:lang w:val="en-US" w:eastAsia="zh-CN"/>
        </w:rPr>
        <w:t xml:space="preserve"> </w:t>
      </w:r>
      <w:r>
        <w:rPr>
          <w:rFonts w:hint="eastAsia" w:ascii="宋体" w:hAnsi="宋体"/>
          <w:color w:val="auto"/>
          <w:sz w:val="24"/>
          <w:szCs w:val="21"/>
          <w:highlight w:val="none"/>
          <w:u w:val="single"/>
        </w:rPr>
        <w:t>　</w:t>
      </w:r>
      <w:r>
        <w:rPr>
          <w:rFonts w:hint="eastAsia" w:hAnsi="宋体"/>
          <w:color w:val="auto"/>
          <w:sz w:val="24"/>
          <w:szCs w:val="21"/>
          <w:highlight w:val="none"/>
          <w:u w:val="single"/>
          <w:lang w:val="en-US" w:eastAsia="zh-CN"/>
        </w:rPr>
        <w:t xml:space="preserve">  </w:t>
      </w:r>
      <w:r>
        <w:rPr>
          <w:rFonts w:hint="eastAsia" w:ascii="宋体" w:hAnsi="宋体"/>
          <w:color w:val="auto"/>
          <w:sz w:val="24"/>
          <w:szCs w:val="21"/>
          <w:highlight w:val="none"/>
          <w:u w:val="single"/>
        </w:rPr>
        <w:t>日</w:t>
      </w:r>
      <w:r>
        <w:rPr>
          <w:rFonts w:hint="eastAsia" w:hAnsi="宋体"/>
          <w:color w:val="auto"/>
          <w:sz w:val="24"/>
          <w:szCs w:val="21"/>
          <w:highlight w:val="none"/>
          <w:u w:val="single"/>
          <w:lang w:val="en-US" w:eastAsia="zh-CN"/>
        </w:rPr>
        <w:t xml:space="preserve"> </w:t>
      </w:r>
      <w:r>
        <w:rPr>
          <w:rFonts w:hint="eastAsia" w:ascii="宋体" w:hAnsi="宋体"/>
          <w:color w:val="auto"/>
          <w:sz w:val="24"/>
          <w:szCs w:val="21"/>
          <w:highlight w:val="none"/>
          <w:u w:val="single"/>
        </w:rPr>
        <w:t xml:space="preserve"> </w:t>
      </w:r>
    </w:p>
    <w:p w14:paraId="0A239BAB">
      <w:pPr>
        <w:pStyle w:val="15"/>
        <w:spacing w:line="360" w:lineRule="auto"/>
      </w:pPr>
      <w:r>
        <w:rPr>
          <w:rFonts w:hAnsi="宋体"/>
          <w:b/>
          <w:sz w:val="28"/>
          <w:szCs w:val="28"/>
        </w:rPr>
        <w:br w:type="page"/>
      </w:r>
    </w:p>
    <w:p w14:paraId="2241116E">
      <w:pPr>
        <w:pStyle w:val="5"/>
        <w:keepNext w:val="0"/>
        <w:spacing w:line="560" w:lineRule="exact"/>
        <w:jc w:val="center"/>
        <w:rPr>
          <w:rFonts w:hint="eastAsia" w:ascii="宋体" w:hAnsi="宋体"/>
        </w:rPr>
      </w:pPr>
      <w:bookmarkStart w:id="375" w:name="_Toc20060"/>
      <w:bookmarkStart w:id="376" w:name="_Toc94277258"/>
      <w:bookmarkStart w:id="377" w:name="_Toc27851"/>
    </w:p>
    <w:p w14:paraId="62854419">
      <w:pPr>
        <w:pStyle w:val="5"/>
        <w:keepNext w:val="0"/>
        <w:spacing w:line="560" w:lineRule="exact"/>
        <w:jc w:val="center"/>
        <w:rPr>
          <w:rFonts w:hint="eastAsia" w:ascii="宋体" w:hAnsi="宋体"/>
        </w:rPr>
      </w:pPr>
    </w:p>
    <w:p w14:paraId="1317A320">
      <w:pPr>
        <w:pStyle w:val="5"/>
        <w:keepNext w:val="0"/>
        <w:spacing w:line="560" w:lineRule="exact"/>
        <w:jc w:val="center"/>
        <w:rPr>
          <w:rFonts w:hint="eastAsia" w:ascii="宋体" w:hAnsi="宋体"/>
        </w:rPr>
      </w:pPr>
      <w:bookmarkStart w:id="378" w:name="_Toc31169"/>
      <w:bookmarkStart w:id="379" w:name="_Toc13451"/>
      <w:bookmarkStart w:id="380" w:name="_Toc1964"/>
      <w:r>
        <w:rPr>
          <w:rFonts w:hint="eastAsia" w:ascii="宋体" w:hAnsi="宋体"/>
        </w:rPr>
        <w:t>第五章　磋商相关文件格式</w:t>
      </w:r>
      <w:bookmarkEnd w:id="280"/>
      <w:bookmarkEnd w:id="375"/>
      <w:bookmarkEnd w:id="376"/>
      <w:bookmarkEnd w:id="377"/>
      <w:bookmarkEnd w:id="378"/>
      <w:bookmarkEnd w:id="379"/>
      <w:bookmarkEnd w:id="380"/>
      <w:bookmarkStart w:id="381" w:name="_Toc45506740"/>
      <w:bookmarkStart w:id="382" w:name="_Toc15805942"/>
      <w:bookmarkStart w:id="383" w:name="_Toc15813259"/>
      <w:bookmarkStart w:id="384" w:name="_Toc47756041"/>
    </w:p>
    <w:p w14:paraId="0CD9B85A"/>
    <w:p w14:paraId="1782113D"/>
    <w:p w14:paraId="73DC2201">
      <w:pPr>
        <w:pStyle w:val="7"/>
        <w:tabs>
          <w:tab w:val="left" w:pos="3405"/>
        </w:tabs>
        <w:ind w:firstLine="320" w:firstLineChars="100"/>
        <w:jc w:val="center"/>
        <w:rPr>
          <w:rFonts w:hint="eastAsia" w:ascii="宋体" w:hAnsi="宋体"/>
          <w:b w:val="0"/>
          <w:sz w:val="32"/>
        </w:rPr>
      </w:pPr>
      <w:bookmarkStart w:id="385" w:name="_Toc30166"/>
      <w:bookmarkStart w:id="386" w:name="_Toc94277259"/>
      <w:bookmarkStart w:id="387" w:name="_Toc17654"/>
      <w:bookmarkStart w:id="388" w:name="_Toc17385"/>
      <w:bookmarkStart w:id="389" w:name="_Toc494558370"/>
      <w:bookmarkStart w:id="390" w:name="_Toc493955975"/>
      <w:bookmarkStart w:id="391" w:name="_Toc31552"/>
      <w:bookmarkStart w:id="392" w:name="_Toc1625"/>
      <w:r>
        <w:rPr>
          <w:rFonts w:hint="eastAsia" w:ascii="宋体" w:hAnsi="宋体"/>
          <w:b w:val="0"/>
          <w:sz w:val="32"/>
        </w:rPr>
        <w:t xml:space="preserve">一 </w:t>
      </w:r>
      <w:r>
        <w:rPr>
          <w:rFonts w:ascii="宋体" w:hAnsi="宋体"/>
          <w:b w:val="0"/>
          <w:sz w:val="32"/>
        </w:rPr>
        <w:t xml:space="preserve"> </w:t>
      </w:r>
      <w:r>
        <w:rPr>
          <w:rFonts w:hint="eastAsia" w:ascii="宋体" w:hAnsi="宋体"/>
          <w:b w:val="0"/>
          <w:sz w:val="32"/>
        </w:rPr>
        <w:t>资格文件格式</w:t>
      </w:r>
      <w:bookmarkEnd w:id="385"/>
      <w:bookmarkEnd w:id="386"/>
      <w:bookmarkEnd w:id="387"/>
      <w:bookmarkEnd w:id="388"/>
      <w:bookmarkEnd w:id="389"/>
      <w:bookmarkEnd w:id="390"/>
      <w:bookmarkEnd w:id="391"/>
      <w:bookmarkEnd w:id="392"/>
    </w:p>
    <w:p w14:paraId="5F118030"/>
    <w:p w14:paraId="3D6FAD25">
      <w:pPr>
        <w:jc w:val="center"/>
      </w:pPr>
    </w:p>
    <w:p w14:paraId="00523A04"/>
    <w:p w14:paraId="6D884932">
      <w:pPr>
        <w:spacing w:line="360" w:lineRule="auto"/>
        <w:jc w:val="center"/>
        <w:rPr>
          <w:rFonts w:hint="eastAsia" w:ascii="宋体" w:hAnsi="宋体"/>
          <w:b/>
          <w:sz w:val="30"/>
        </w:rPr>
      </w:pPr>
      <w:r>
        <w:rPr>
          <w:rFonts w:hAnsi="宋体"/>
          <w:b/>
          <w:sz w:val="32"/>
        </w:rPr>
        <w:br w:type="page"/>
      </w:r>
    </w:p>
    <w:p w14:paraId="206D07A4">
      <w:pPr>
        <w:spacing w:line="360" w:lineRule="auto"/>
        <w:jc w:val="center"/>
        <w:rPr>
          <w:rFonts w:hint="eastAsia" w:ascii="宋体" w:hAnsi="宋体"/>
          <w:b/>
          <w:sz w:val="30"/>
        </w:rPr>
      </w:pPr>
    </w:p>
    <w:p w14:paraId="11CAE5D7">
      <w:pPr>
        <w:spacing w:line="360" w:lineRule="auto"/>
        <w:jc w:val="center"/>
        <w:rPr>
          <w:rFonts w:hint="eastAsia" w:ascii="宋体" w:hAnsi="宋体"/>
          <w:b/>
          <w:sz w:val="32"/>
        </w:rPr>
      </w:pPr>
      <w:r>
        <w:rPr>
          <w:rFonts w:hint="eastAsia" w:ascii="宋体" w:hAnsi="宋体"/>
          <w:b/>
          <w:sz w:val="36"/>
        </w:rPr>
        <w:t>资格文件封面</w:t>
      </w:r>
    </w:p>
    <w:p w14:paraId="2FE0129E">
      <w:pPr>
        <w:pStyle w:val="11"/>
        <w:spacing w:line="360" w:lineRule="auto"/>
        <w:ind w:firstLine="900" w:firstLineChars="250"/>
        <w:rPr>
          <w:rFonts w:hint="eastAsia" w:ascii="宋体" w:hAnsi="宋体"/>
          <w:sz w:val="36"/>
        </w:rPr>
      </w:pPr>
    </w:p>
    <w:p w14:paraId="42370300">
      <w:pPr>
        <w:pStyle w:val="11"/>
        <w:spacing w:line="360" w:lineRule="auto"/>
        <w:ind w:firstLine="900" w:firstLineChars="250"/>
        <w:rPr>
          <w:rFonts w:hint="eastAsia" w:ascii="宋体" w:hAnsi="宋体"/>
          <w:sz w:val="36"/>
        </w:rPr>
      </w:pPr>
    </w:p>
    <w:p w14:paraId="537AFB67">
      <w:pPr>
        <w:pStyle w:val="11"/>
        <w:spacing w:line="360" w:lineRule="auto"/>
        <w:ind w:firstLine="900" w:firstLineChars="250"/>
        <w:rPr>
          <w:rFonts w:hint="eastAsia" w:ascii="宋体" w:hAnsi="宋体"/>
          <w:sz w:val="36"/>
        </w:rPr>
      </w:pPr>
    </w:p>
    <w:p w14:paraId="300B878B">
      <w:pPr>
        <w:pStyle w:val="11"/>
        <w:spacing w:line="360" w:lineRule="auto"/>
        <w:ind w:firstLine="900" w:firstLineChars="250"/>
        <w:rPr>
          <w:rFonts w:hint="eastAsia" w:ascii="宋体" w:hAnsi="宋体"/>
          <w:sz w:val="36"/>
        </w:rPr>
      </w:pPr>
      <w:r>
        <w:rPr>
          <w:rFonts w:ascii="宋体" w:hAnsi="宋体"/>
          <w:sz w:val="36"/>
        </w:rPr>
        <w:t>采购编号：</w:t>
      </w:r>
    </w:p>
    <w:p w14:paraId="455BB344">
      <w:pPr>
        <w:pStyle w:val="11"/>
        <w:spacing w:line="360" w:lineRule="auto"/>
        <w:ind w:firstLine="0"/>
        <w:rPr>
          <w:rFonts w:hint="eastAsia" w:ascii="宋体" w:hAnsi="宋体"/>
          <w:sz w:val="36"/>
        </w:rPr>
      </w:pPr>
    </w:p>
    <w:p w14:paraId="69F91463">
      <w:pPr>
        <w:pStyle w:val="11"/>
        <w:spacing w:line="360" w:lineRule="auto"/>
        <w:ind w:firstLine="900" w:firstLineChars="250"/>
        <w:rPr>
          <w:rFonts w:hint="eastAsia" w:ascii="宋体" w:hAnsi="宋体"/>
          <w:sz w:val="36"/>
        </w:rPr>
      </w:pPr>
      <w:r>
        <w:rPr>
          <w:rFonts w:ascii="宋体" w:hAnsi="宋体"/>
          <w:sz w:val="36"/>
        </w:rPr>
        <w:t>项目名称：</w:t>
      </w:r>
    </w:p>
    <w:p w14:paraId="187FA9DC">
      <w:pPr>
        <w:pStyle w:val="15"/>
      </w:pPr>
    </w:p>
    <w:p w14:paraId="74A41304">
      <w:pPr>
        <w:pStyle w:val="32"/>
        <w:ind w:firstLine="210"/>
      </w:pPr>
    </w:p>
    <w:p w14:paraId="557A8633">
      <w:pPr>
        <w:pStyle w:val="11"/>
        <w:spacing w:line="360" w:lineRule="auto"/>
        <w:ind w:firstLine="900" w:firstLineChars="250"/>
        <w:rPr>
          <w:rFonts w:hint="eastAsia" w:ascii="宋体" w:hAnsi="宋体"/>
          <w:sz w:val="36"/>
        </w:rPr>
      </w:pPr>
      <w:r>
        <w:rPr>
          <w:rFonts w:hint="eastAsia" w:ascii="宋体" w:hAnsi="宋体"/>
          <w:sz w:val="36"/>
        </w:rPr>
        <w:t>响应</w:t>
      </w:r>
      <w:r>
        <w:rPr>
          <w:rFonts w:ascii="宋体" w:hAnsi="宋体"/>
          <w:sz w:val="36"/>
        </w:rPr>
        <w:t>文件名称：</w:t>
      </w:r>
      <w:r>
        <w:rPr>
          <w:rFonts w:hint="eastAsia" w:ascii="宋体" w:hAnsi="宋体"/>
          <w:sz w:val="36"/>
        </w:rPr>
        <w:t>资格文件</w:t>
      </w:r>
    </w:p>
    <w:p w14:paraId="587B3535">
      <w:pPr>
        <w:pStyle w:val="11"/>
        <w:spacing w:line="360" w:lineRule="auto"/>
        <w:ind w:firstLine="900" w:firstLineChars="250"/>
        <w:rPr>
          <w:rFonts w:hint="eastAsia" w:ascii="宋体" w:hAnsi="宋体"/>
          <w:sz w:val="36"/>
        </w:rPr>
      </w:pPr>
    </w:p>
    <w:p w14:paraId="09B51490">
      <w:pPr>
        <w:pStyle w:val="11"/>
        <w:spacing w:line="360" w:lineRule="auto"/>
        <w:ind w:firstLine="900" w:firstLineChars="250"/>
        <w:rPr>
          <w:rFonts w:hint="eastAsia" w:ascii="宋体" w:hAnsi="宋体"/>
          <w:sz w:val="36"/>
        </w:rPr>
      </w:pPr>
      <w:r>
        <w:rPr>
          <w:rFonts w:hint="eastAsia" w:ascii="宋体" w:hAnsi="宋体"/>
          <w:sz w:val="36"/>
        </w:rPr>
        <w:t>供应商</w:t>
      </w:r>
      <w:r>
        <w:rPr>
          <w:rFonts w:ascii="宋体" w:hAnsi="宋体"/>
          <w:sz w:val="36"/>
        </w:rPr>
        <w:t>名称（</w:t>
      </w:r>
      <w:r>
        <w:rPr>
          <w:rFonts w:hint="eastAsia" w:ascii="宋体" w:hAnsi="宋体"/>
          <w:sz w:val="36"/>
        </w:rPr>
        <w:t>CA签章</w:t>
      </w:r>
      <w:r>
        <w:rPr>
          <w:rFonts w:ascii="宋体" w:hAnsi="宋体"/>
          <w:sz w:val="36"/>
        </w:rPr>
        <w:t>）：</w:t>
      </w:r>
    </w:p>
    <w:p w14:paraId="02E297C8">
      <w:pPr>
        <w:pStyle w:val="11"/>
        <w:spacing w:line="360" w:lineRule="auto"/>
        <w:ind w:firstLine="900" w:firstLineChars="250"/>
        <w:rPr>
          <w:rFonts w:hint="eastAsia" w:ascii="宋体" w:hAnsi="宋体"/>
          <w:sz w:val="36"/>
        </w:rPr>
      </w:pPr>
    </w:p>
    <w:p w14:paraId="49E5815D">
      <w:pPr>
        <w:pStyle w:val="11"/>
        <w:spacing w:line="360" w:lineRule="auto"/>
        <w:ind w:firstLine="900" w:firstLineChars="250"/>
        <w:rPr>
          <w:rFonts w:hint="eastAsia" w:ascii="宋体" w:hAnsi="宋体"/>
          <w:sz w:val="36"/>
        </w:rPr>
      </w:pPr>
      <w:r>
        <w:rPr>
          <w:rFonts w:hint="eastAsia" w:ascii="宋体" w:hAnsi="宋体"/>
          <w:sz w:val="36"/>
        </w:rPr>
        <w:t>供应商</w:t>
      </w:r>
      <w:r>
        <w:rPr>
          <w:rFonts w:ascii="宋体" w:hAnsi="宋体"/>
          <w:sz w:val="36"/>
        </w:rPr>
        <w:t>地址：</w:t>
      </w:r>
    </w:p>
    <w:p w14:paraId="04A09EFD">
      <w:pPr>
        <w:pStyle w:val="11"/>
        <w:ind w:firstLine="1440" w:firstLineChars="400"/>
        <w:rPr>
          <w:rFonts w:hint="eastAsia" w:ascii="宋体" w:hAnsi="宋体"/>
          <w:sz w:val="36"/>
        </w:rPr>
      </w:pPr>
    </w:p>
    <w:p w14:paraId="20FFFDFE">
      <w:pPr>
        <w:pStyle w:val="11"/>
        <w:ind w:firstLine="1440" w:firstLineChars="400"/>
        <w:rPr>
          <w:rFonts w:hint="eastAsia" w:ascii="宋体" w:hAnsi="宋体"/>
          <w:sz w:val="36"/>
        </w:rPr>
      </w:pPr>
    </w:p>
    <w:p w14:paraId="17BFC7F3">
      <w:pPr>
        <w:pStyle w:val="11"/>
        <w:ind w:firstLine="0"/>
        <w:rPr>
          <w:rFonts w:hint="eastAsia" w:ascii="宋体" w:hAnsi="宋体"/>
          <w:sz w:val="32"/>
          <w:szCs w:val="32"/>
        </w:rPr>
      </w:pPr>
    </w:p>
    <w:p w14:paraId="3366847A">
      <w:pPr>
        <w:pStyle w:val="19"/>
        <w:spacing w:line="360" w:lineRule="auto"/>
        <w:rPr>
          <w:rFonts w:hint="eastAsia" w:hAnsi="宋体"/>
          <w:b/>
          <w:sz w:val="32"/>
        </w:rPr>
      </w:pPr>
      <w:r>
        <w:rPr>
          <w:rFonts w:hAnsi="宋体"/>
          <w:b/>
          <w:sz w:val="32"/>
        </w:rPr>
        <w:br w:type="page"/>
      </w:r>
    </w:p>
    <w:p w14:paraId="7EF515EE">
      <w:pPr>
        <w:pStyle w:val="19"/>
        <w:spacing w:line="360" w:lineRule="auto"/>
        <w:jc w:val="center"/>
        <w:rPr>
          <w:rFonts w:hint="eastAsia" w:hAnsi="宋体"/>
          <w:b/>
          <w:sz w:val="32"/>
        </w:rPr>
      </w:pPr>
      <w:r>
        <w:rPr>
          <w:rFonts w:hint="eastAsia" w:hAnsi="宋体"/>
          <w:b/>
          <w:sz w:val="32"/>
        </w:rPr>
        <w:t>▲1.供应商有效营业执照</w:t>
      </w:r>
    </w:p>
    <w:p w14:paraId="1B5754F5">
      <w:pPr>
        <w:spacing w:line="360" w:lineRule="auto"/>
        <w:ind w:firstLine="480" w:firstLineChars="200"/>
        <w:rPr>
          <w:rFonts w:hint="eastAsia" w:ascii="宋体" w:hAnsi="宋体"/>
          <w:sz w:val="24"/>
        </w:rPr>
      </w:pPr>
    </w:p>
    <w:p w14:paraId="0062FA79">
      <w:pPr>
        <w:spacing w:line="360" w:lineRule="auto"/>
        <w:ind w:firstLine="480" w:firstLineChars="200"/>
        <w:rPr>
          <w:rFonts w:hint="eastAsia" w:hAnsi="宋体"/>
          <w:b/>
          <w:sz w:val="32"/>
        </w:rPr>
      </w:pPr>
      <w:r>
        <w:rPr>
          <w:rFonts w:hint="eastAsia" w:ascii="宋体" w:hAnsi="宋体"/>
          <w:sz w:val="24"/>
        </w:rPr>
        <w:t>要求：提供</w:t>
      </w:r>
      <w:r>
        <w:rPr>
          <w:rFonts w:ascii="宋体" w:hAnsi="宋体"/>
          <w:sz w:val="24"/>
        </w:rPr>
        <w:t>有效的营业执照</w:t>
      </w:r>
      <w:r>
        <w:rPr>
          <w:rFonts w:hint="eastAsia" w:ascii="宋体" w:hAnsi="宋体"/>
          <w:sz w:val="24"/>
        </w:rPr>
        <w:t>扫描件，图像清晰。</w:t>
      </w:r>
    </w:p>
    <w:p w14:paraId="702FA1A9">
      <w:pPr>
        <w:spacing w:line="360" w:lineRule="auto"/>
        <w:ind w:firstLine="643" w:firstLineChars="200"/>
        <w:rPr>
          <w:rFonts w:hint="eastAsia" w:hAnsi="宋体"/>
          <w:b/>
          <w:sz w:val="32"/>
        </w:rPr>
      </w:pPr>
    </w:p>
    <w:p w14:paraId="6E59C8F4">
      <w:pPr>
        <w:spacing w:line="360" w:lineRule="auto"/>
        <w:ind w:firstLine="643" w:firstLineChars="200"/>
        <w:rPr>
          <w:rFonts w:hint="eastAsia" w:hAnsi="宋体"/>
          <w:b/>
          <w:sz w:val="32"/>
        </w:rPr>
      </w:pPr>
    </w:p>
    <w:p w14:paraId="057F2AE9">
      <w:pPr>
        <w:pStyle w:val="19"/>
        <w:spacing w:line="360" w:lineRule="auto"/>
        <w:ind w:firstLine="948" w:firstLineChars="295"/>
        <w:rPr>
          <w:rFonts w:hint="eastAsia" w:hAnsi="宋体"/>
          <w:b/>
          <w:sz w:val="32"/>
        </w:rPr>
      </w:pPr>
    </w:p>
    <w:p w14:paraId="7A9DE044">
      <w:pPr>
        <w:pStyle w:val="19"/>
        <w:spacing w:line="360" w:lineRule="auto"/>
        <w:ind w:firstLine="948" w:firstLineChars="295"/>
        <w:rPr>
          <w:rFonts w:hint="eastAsia" w:hAnsi="宋体"/>
          <w:b/>
          <w:sz w:val="32"/>
        </w:rPr>
      </w:pPr>
    </w:p>
    <w:p w14:paraId="15B196AE">
      <w:pPr>
        <w:pStyle w:val="19"/>
        <w:spacing w:line="360" w:lineRule="auto"/>
        <w:ind w:firstLine="948" w:firstLineChars="295"/>
        <w:rPr>
          <w:rFonts w:hint="eastAsia" w:hAnsi="宋体"/>
          <w:b/>
          <w:sz w:val="32"/>
        </w:rPr>
      </w:pPr>
    </w:p>
    <w:p w14:paraId="58EE3BFE">
      <w:pPr>
        <w:spacing w:line="360" w:lineRule="auto"/>
        <w:rPr>
          <w:rFonts w:hint="eastAsia" w:hAnsi="宋体"/>
          <w:b/>
          <w:sz w:val="32"/>
        </w:rPr>
      </w:pPr>
    </w:p>
    <w:p w14:paraId="4680749C">
      <w:pPr>
        <w:pStyle w:val="15"/>
      </w:pPr>
    </w:p>
    <w:p w14:paraId="49066FBF">
      <w:pPr>
        <w:pStyle w:val="32"/>
        <w:ind w:firstLine="210"/>
      </w:pPr>
    </w:p>
    <w:p w14:paraId="16F9BB85">
      <w:pPr>
        <w:pStyle w:val="32"/>
        <w:ind w:firstLine="210"/>
      </w:pPr>
    </w:p>
    <w:p w14:paraId="059B9B96">
      <w:pPr>
        <w:pStyle w:val="32"/>
        <w:ind w:firstLine="210"/>
      </w:pPr>
    </w:p>
    <w:p w14:paraId="3DAC7ACC">
      <w:pPr>
        <w:pStyle w:val="32"/>
        <w:ind w:firstLine="210"/>
      </w:pPr>
    </w:p>
    <w:p w14:paraId="1CEFAB85">
      <w:pPr>
        <w:pStyle w:val="32"/>
        <w:ind w:firstLine="210"/>
      </w:pPr>
    </w:p>
    <w:p w14:paraId="3193C4C4">
      <w:pPr>
        <w:pStyle w:val="32"/>
        <w:ind w:firstLine="210"/>
      </w:pPr>
    </w:p>
    <w:p w14:paraId="0CF05691">
      <w:pPr>
        <w:pStyle w:val="32"/>
        <w:ind w:firstLine="210"/>
      </w:pPr>
    </w:p>
    <w:p w14:paraId="7B35B776">
      <w:pPr>
        <w:pStyle w:val="32"/>
        <w:ind w:firstLine="210"/>
      </w:pPr>
    </w:p>
    <w:p w14:paraId="56CC324F">
      <w:pPr>
        <w:pStyle w:val="32"/>
        <w:ind w:firstLine="210"/>
      </w:pPr>
    </w:p>
    <w:p w14:paraId="72B2F80F">
      <w:pPr>
        <w:pStyle w:val="32"/>
        <w:ind w:firstLine="210"/>
      </w:pPr>
    </w:p>
    <w:p w14:paraId="56E33ED9">
      <w:pPr>
        <w:pStyle w:val="32"/>
        <w:ind w:firstLine="210"/>
      </w:pPr>
    </w:p>
    <w:p w14:paraId="66EEFE25">
      <w:pPr>
        <w:pStyle w:val="32"/>
        <w:ind w:firstLine="210"/>
      </w:pPr>
    </w:p>
    <w:p w14:paraId="7998C02F">
      <w:pPr>
        <w:pStyle w:val="32"/>
        <w:ind w:firstLine="210"/>
      </w:pPr>
    </w:p>
    <w:p w14:paraId="7411B6BE">
      <w:pPr>
        <w:pStyle w:val="32"/>
        <w:ind w:firstLine="210"/>
      </w:pPr>
    </w:p>
    <w:p w14:paraId="669C97F9">
      <w:pPr>
        <w:pStyle w:val="32"/>
        <w:ind w:firstLine="210"/>
      </w:pPr>
    </w:p>
    <w:p w14:paraId="207F1C87">
      <w:pPr>
        <w:pStyle w:val="32"/>
        <w:ind w:firstLine="210"/>
      </w:pPr>
    </w:p>
    <w:p w14:paraId="47761E31">
      <w:pPr>
        <w:pStyle w:val="32"/>
        <w:ind w:firstLine="210"/>
      </w:pPr>
    </w:p>
    <w:p w14:paraId="19710BA7">
      <w:pPr>
        <w:pStyle w:val="32"/>
        <w:ind w:firstLine="210"/>
      </w:pPr>
    </w:p>
    <w:p w14:paraId="20D8D4F2">
      <w:pPr>
        <w:pStyle w:val="32"/>
        <w:ind w:firstLine="210"/>
      </w:pPr>
    </w:p>
    <w:p w14:paraId="396E0222">
      <w:pPr>
        <w:pStyle w:val="32"/>
        <w:ind w:firstLine="210"/>
      </w:pPr>
    </w:p>
    <w:p w14:paraId="4C54B15C">
      <w:pPr>
        <w:pStyle w:val="32"/>
        <w:ind w:firstLine="0" w:firstLineChars="0"/>
      </w:pPr>
    </w:p>
    <w:p w14:paraId="6824FC8C">
      <w:pPr>
        <w:rPr>
          <w:rFonts w:hint="eastAsia" w:ascii="宋体" w:hAnsi="宋体"/>
          <w:b/>
          <w:sz w:val="32"/>
          <w:szCs w:val="20"/>
        </w:rPr>
      </w:pPr>
      <w:r>
        <w:rPr>
          <w:rFonts w:hint="eastAsia" w:ascii="宋体" w:hAnsi="宋体"/>
          <w:b/>
          <w:sz w:val="32"/>
          <w:szCs w:val="20"/>
        </w:rPr>
        <w:br w:type="page"/>
      </w:r>
    </w:p>
    <w:p w14:paraId="6DF976CD">
      <w:pPr>
        <w:spacing w:line="360" w:lineRule="auto"/>
        <w:jc w:val="center"/>
        <w:rPr>
          <w:rFonts w:hint="eastAsia" w:hAnsi="宋体"/>
          <w:b/>
          <w:sz w:val="32"/>
        </w:rPr>
      </w:pPr>
      <w:r>
        <w:rPr>
          <w:rFonts w:hint="eastAsia" w:ascii="宋体" w:hAnsi="宋体"/>
          <w:b/>
          <w:sz w:val="32"/>
          <w:szCs w:val="20"/>
        </w:rPr>
        <w:t>2.</w:t>
      </w:r>
      <w:r>
        <w:rPr>
          <w:rFonts w:hint="eastAsia" w:ascii="宋体" w:hAnsi="宋体" w:cs="宋体"/>
          <w:b/>
          <w:sz w:val="32"/>
          <w:szCs w:val="20"/>
        </w:rPr>
        <w:t>委派书</w:t>
      </w:r>
    </w:p>
    <w:p w14:paraId="164F7E8D">
      <w:pPr>
        <w:spacing w:line="440" w:lineRule="exact"/>
        <w:rPr>
          <w:rFonts w:hint="eastAsia" w:ascii="宋体" w:hAnsi="宋体"/>
          <w:sz w:val="24"/>
          <w:u w:val="single"/>
        </w:rPr>
      </w:pPr>
    </w:p>
    <w:p w14:paraId="02B6A63E">
      <w:pPr>
        <w:spacing w:line="440" w:lineRule="exact"/>
        <w:rPr>
          <w:rFonts w:hint="eastAsia" w:ascii="宋体" w:hAnsi="宋体"/>
          <w:b/>
          <w:sz w:val="24"/>
        </w:rPr>
      </w:pPr>
      <w:r>
        <w:rPr>
          <w:rFonts w:hint="eastAsia" w:ascii="宋体" w:hAnsi="宋体"/>
          <w:sz w:val="24"/>
          <w:u w:val="single"/>
        </w:rPr>
        <w:t xml:space="preserve">（代理机构名称）     </w:t>
      </w:r>
      <w:r>
        <w:rPr>
          <w:rFonts w:hint="eastAsia" w:ascii="宋体" w:hAnsi="宋体"/>
          <w:sz w:val="24"/>
        </w:rPr>
        <w:t>：</w:t>
      </w:r>
    </w:p>
    <w:p w14:paraId="341442C9">
      <w:pPr>
        <w:autoSpaceDE w:val="0"/>
        <w:autoSpaceDN w:val="0"/>
        <w:spacing w:line="440" w:lineRule="exact"/>
        <w:textAlignment w:val="bottom"/>
        <w:rPr>
          <w:rFonts w:hint="eastAsia" w:ascii="宋体" w:hAnsi="宋体"/>
          <w:sz w:val="24"/>
        </w:rPr>
      </w:pPr>
      <w:r>
        <w:rPr>
          <w:rFonts w:hint="eastAsia" w:ascii="宋体" w:hAnsi="宋体"/>
          <w:sz w:val="24"/>
        </w:rPr>
        <w:t xml:space="preserve">    本单位委派在职工作人员</w:t>
      </w:r>
      <w:r>
        <w:rPr>
          <w:rFonts w:hint="eastAsia" w:ascii="宋体" w:hAnsi="宋体"/>
          <w:sz w:val="24"/>
          <w:u w:val="single"/>
        </w:rPr>
        <w:t xml:space="preserve">    （姓名+号码）  </w:t>
      </w:r>
      <w:r>
        <w:rPr>
          <w:rFonts w:hint="eastAsia" w:ascii="宋体" w:hAnsi="宋体"/>
          <w:sz w:val="24"/>
        </w:rPr>
        <w:t xml:space="preserve"> 以我方名义参加贵公司组织的</w:t>
      </w:r>
      <w:r>
        <w:rPr>
          <w:rFonts w:hint="eastAsia" w:ascii="宋体" w:hAnsi="宋体"/>
          <w:sz w:val="24"/>
          <w:u w:val="single"/>
        </w:rPr>
        <w:t xml:space="preserve">                           （采购项目名称） </w:t>
      </w:r>
      <w:r>
        <w:rPr>
          <w:rFonts w:hint="eastAsia" w:ascii="宋体" w:hAnsi="宋体"/>
          <w:sz w:val="24"/>
        </w:rPr>
        <w:t>（采购编号：</w:t>
      </w:r>
      <w:r>
        <w:rPr>
          <w:rFonts w:hint="eastAsia" w:ascii="宋体" w:hAnsi="宋体"/>
          <w:sz w:val="24"/>
          <w:u w:val="single"/>
        </w:rPr>
        <w:t>　　　　</w:t>
      </w:r>
      <w:r>
        <w:rPr>
          <w:rFonts w:hint="eastAsia" w:ascii="宋体" w:hAnsi="宋体"/>
          <w:sz w:val="24"/>
        </w:rPr>
        <w:t>）项目的磋商活动，并代表我单位全权办理针对上述项目的磋商、开标、评审、签约等具体事务和签署相关文件，且对签字或盖章事项负全部责任。</w:t>
      </w:r>
    </w:p>
    <w:p w14:paraId="0852DD96">
      <w:pPr>
        <w:spacing w:line="440" w:lineRule="exact"/>
        <w:ind w:firstLine="480"/>
        <w:rPr>
          <w:rFonts w:hint="eastAsia" w:ascii="宋体" w:hAnsi="宋体"/>
          <w:sz w:val="24"/>
        </w:rPr>
      </w:pPr>
      <w:r>
        <w:rPr>
          <w:rFonts w:hint="eastAsia" w:ascii="宋体" w:hAnsi="宋体"/>
          <w:sz w:val="24"/>
        </w:rPr>
        <w:t>本委派书自盖章之日起生效，在撤销委派的书面通知送达贵方以前，本委派书一直有效。供应商代表在委派书有效期内签署的所有文件不因委派的撤销而失效。</w:t>
      </w:r>
    </w:p>
    <w:p w14:paraId="6E0B6F53">
      <w:pPr>
        <w:spacing w:line="440" w:lineRule="exact"/>
        <w:ind w:firstLine="480"/>
        <w:rPr>
          <w:rFonts w:hint="eastAsia" w:ascii="宋体" w:hAnsi="宋体"/>
          <w:sz w:val="24"/>
        </w:rPr>
      </w:pPr>
      <w:r>
        <w:rPr>
          <w:rFonts w:hint="eastAsia" w:ascii="宋体" w:hAnsi="宋体"/>
          <w:sz w:val="24"/>
        </w:rPr>
        <w:t>供应商代表无转委派权，特此声明。</w:t>
      </w:r>
    </w:p>
    <w:p w14:paraId="47BAA6F5">
      <w:pPr>
        <w:spacing w:line="440" w:lineRule="exact"/>
        <w:ind w:firstLine="3512" w:firstLineChars="1250"/>
        <w:rPr>
          <w:rFonts w:hint="eastAsia" w:ascii="宋体" w:hAnsi="宋体"/>
          <w:b/>
          <w:spacing w:val="20"/>
          <w:sz w:val="24"/>
        </w:rPr>
      </w:pPr>
    </w:p>
    <w:p w14:paraId="5EA3DCBE">
      <w:pPr>
        <w:spacing w:line="440" w:lineRule="exact"/>
        <w:ind w:firstLine="3512" w:firstLineChars="1250"/>
        <w:rPr>
          <w:rFonts w:hint="eastAsia" w:ascii="宋体" w:hAnsi="宋体"/>
          <w:b/>
          <w:spacing w:val="20"/>
          <w:sz w:val="24"/>
        </w:rPr>
      </w:pPr>
    </w:p>
    <w:p w14:paraId="4F5859C3">
      <w:pPr>
        <w:spacing w:line="440" w:lineRule="exact"/>
        <w:ind w:firstLine="3512" w:firstLineChars="1250"/>
        <w:rPr>
          <w:rFonts w:hint="eastAsia" w:ascii="宋体" w:hAnsi="宋体"/>
          <w:b/>
          <w:spacing w:val="20"/>
          <w:sz w:val="24"/>
        </w:rPr>
      </w:pPr>
    </w:p>
    <w:p w14:paraId="0B786788">
      <w:pPr>
        <w:pStyle w:val="76"/>
        <w:spacing w:line="440" w:lineRule="exact"/>
        <w:ind w:firstLine="5320" w:firstLineChars="1900"/>
        <w:rPr>
          <w:rFonts w:hint="eastAsia" w:ascii="宋体" w:hAnsi="宋体" w:cs="宋体"/>
          <w:spacing w:val="20"/>
          <w:sz w:val="24"/>
          <w:szCs w:val="21"/>
          <w:u w:val="single"/>
        </w:rPr>
      </w:pPr>
      <w:r>
        <w:rPr>
          <w:rFonts w:hint="eastAsia" w:ascii="宋体" w:hAnsi="宋体" w:cs="宋体"/>
          <w:spacing w:val="20"/>
          <w:sz w:val="24"/>
          <w:szCs w:val="21"/>
        </w:rPr>
        <w:t>供应商盖章：</w:t>
      </w:r>
    </w:p>
    <w:p w14:paraId="25289025">
      <w:pPr>
        <w:pStyle w:val="76"/>
        <w:spacing w:line="440" w:lineRule="exact"/>
        <w:ind w:firstLine="5320" w:firstLineChars="1900"/>
        <w:rPr>
          <w:rFonts w:hint="eastAsia" w:ascii="宋体" w:hAnsi="宋体" w:cs="宋体"/>
          <w:spacing w:val="20"/>
          <w:sz w:val="24"/>
          <w:szCs w:val="21"/>
          <w:u w:val="single"/>
        </w:rPr>
      </w:pPr>
      <w:r>
        <w:rPr>
          <w:rFonts w:hint="eastAsia" w:ascii="宋体" w:hAnsi="宋体" w:cs="宋体"/>
          <w:spacing w:val="20"/>
          <w:sz w:val="24"/>
          <w:szCs w:val="21"/>
        </w:rPr>
        <w:t>日     期：</w:t>
      </w:r>
    </w:p>
    <w:p w14:paraId="62A5D482">
      <w:pPr>
        <w:spacing w:line="360" w:lineRule="auto"/>
        <w:rPr>
          <w:rFonts w:hint="default" w:ascii="宋体" w:hAnsi="宋体" w:eastAsia="宋体"/>
          <w:b/>
          <w:sz w:val="24"/>
          <w:u w:val="single"/>
          <w:lang w:val="en-US" w:eastAsia="zh-CN"/>
        </w:rPr>
      </w:pPr>
      <w:r>
        <w:rPr>
          <w:rFonts w:hint="eastAsia" w:ascii="宋体" w:hAnsi="宋体"/>
          <w:b/>
          <w:sz w:val="24"/>
          <w:u w:val="single"/>
          <w:lang w:val="en-US" w:eastAsia="zh-CN"/>
        </w:rPr>
        <w:t xml:space="preserve">                                                                             </w:t>
      </w:r>
    </w:p>
    <w:p w14:paraId="36589198">
      <w:pPr>
        <w:spacing w:line="360" w:lineRule="auto"/>
        <w:ind w:firstLine="420"/>
        <w:rPr>
          <w:rFonts w:hint="eastAsia" w:ascii="宋体" w:hAnsi="宋体"/>
          <w:sz w:val="24"/>
        </w:rPr>
      </w:pPr>
      <w:r>
        <w:rPr>
          <w:rFonts w:hint="eastAsia" w:ascii="宋体" w:hAnsi="宋体"/>
          <w:b/>
          <w:sz w:val="24"/>
        </w:rPr>
        <w:t>注：本“委派书”应附供应商代表身份证扫描件，如扫描件不清晰或错误的，后果由供应商自行承担。</w:t>
      </w:r>
    </w:p>
    <w:p w14:paraId="7ED64703">
      <w:pPr>
        <w:spacing w:line="440" w:lineRule="exact"/>
        <w:rPr>
          <w:rFonts w:hint="eastAsia" w:ascii="宋体" w:hAnsi="宋体" w:cs="宋体"/>
          <w:bCs/>
          <w:sz w:val="24"/>
        </w:rPr>
      </w:pPr>
      <w:r>
        <w:rPr>
          <w:rFonts w:hint="eastAsia" w:ascii="宋体" w:hAnsi="宋体" w:cs="宋体"/>
          <w:sz w:val="24"/>
        </w:rPr>
        <w:t>供应商代表</w:t>
      </w:r>
      <w:r>
        <w:rPr>
          <w:rFonts w:hint="eastAsia" w:ascii="宋体" w:hAnsi="宋体" w:cs="宋体"/>
          <w:bCs/>
          <w:sz w:val="24"/>
        </w:rPr>
        <w:t>身份证件扫描件：</w:t>
      </w:r>
    </w:p>
    <w:tbl>
      <w:tblPr>
        <w:tblStyle w:val="3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90"/>
      </w:tblGrid>
      <w:tr w14:paraId="11B006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5" w:hRule="atLeast"/>
          <w:jc w:val="center"/>
        </w:trPr>
        <w:tc>
          <w:tcPr>
            <w:tcW w:w="8490" w:type="dxa"/>
            <w:noWrap/>
          </w:tcPr>
          <w:p w14:paraId="7D6F3346">
            <w:pPr>
              <w:spacing w:line="440" w:lineRule="exact"/>
              <w:rPr>
                <w:rFonts w:hint="eastAsia" w:ascii="宋体" w:hAnsi="宋体" w:cs="宋体"/>
                <w:bCs/>
                <w:sz w:val="24"/>
                <w:szCs w:val="21"/>
              </w:rPr>
            </w:pPr>
            <w:r>
              <w:rPr>
                <w:rFonts w:hint="eastAsia" w:ascii="宋体" w:hAnsi="宋体" w:cs="宋体"/>
                <w:bCs/>
                <w:sz w:val="24"/>
                <w:szCs w:val="21"/>
              </w:rPr>
              <w:t>正面</w:t>
            </w:r>
            <w:r>
              <w:rPr>
                <w:rFonts w:ascii="宋体" w:hAnsi="宋体" w:cs="宋体"/>
                <w:bCs/>
                <w:sz w:val="24"/>
                <w:szCs w:val="21"/>
              </w:rPr>
              <w:t>：</w:t>
            </w:r>
            <w:r>
              <w:rPr>
                <w:rFonts w:hint="eastAsia" w:ascii="宋体" w:hAnsi="宋体" w:cs="宋体"/>
                <w:bCs/>
                <w:sz w:val="24"/>
                <w:szCs w:val="21"/>
              </w:rPr>
              <w:t xml:space="preserve">                                 反面</w:t>
            </w:r>
            <w:r>
              <w:rPr>
                <w:rFonts w:ascii="宋体" w:hAnsi="宋体" w:cs="宋体"/>
                <w:bCs/>
                <w:sz w:val="24"/>
                <w:szCs w:val="21"/>
              </w:rPr>
              <w:t>：</w:t>
            </w:r>
          </w:p>
          <w:p w14:paraId="2E0F07EE">
            <w:pPr>
              <w:tabs>
                <w:tab w:val="left" w:pos="1560"/>
              </w:tabs>
              <w:spacing w:line="440" w:lineRule="exact"/>
              <w:rPr>
                <w:rFonts w:hint="eastAsia" w:ascii="宋体" w:hAnsi="宋体" w:cs="宋体"/>
                <w:bCs/>
                <w:sz w:val="24"/>
                <w:szCs w:val="21"/>
              </w:rPr>
            </w:pPr>
            <w:r>
              <w:rPr>
                <w:rFonts w:ascii="宋体" w:hAnsi="宋体" w:cs="宋体"/>
                <w:bCs/>
                <w:sz w:val="24"/>
                <w:szCs w:val="21"/>
              </w:rPr>
              <w:tab/>
            </w:r>
          </w:p>
        </w:tc>
      </w:tr>
    </w:tbl>
    <w:p w14:paraId="2905DD21">
      <w:pPr>
        <w:pStyle w:val="19"/>
        <w:spacing w:line="360" w:lineRule="auto"/>
        <w:ind w:firstLine="3373" w:firstLineChars="1050"/>
        <w:rPr>
          <w:rFonts w:hint="eastAsia" w:hAnsi="宋体" w:cs="宋体"/>
          <w:b/>
          <w:sz w:val="32"/>
        </w:rPr>
      </w:pPr>
    </w:p>
    <w:p w14:paraId="61011593">
      <w:pPr>
        <w:pStyle w:val="19"/>
        <w:spacing w:line="360" w:lineRule="auto"/>
        <w:jc w:val="center"/>
        <w:rPr>
          <w:rFonts w:hint="eastAsia" w:hAnsi="宋体"/>
          <w:b/>
          <w:sz w:val="32"/>
        </w:rPr>
      </w:pPr>
      <w:r>
        <w:rPr>
          <w:rFonts w:hAnsi="宋体"/>
          <w:b/>
          <w:sz w:val="32"/>
        </w:rPr>
        <w:br w:type="page"/>
      </w:r>
      <w:bookmarkStart w:id="393" w:name="_Toc493955980"/>
      <w:r>
        <w:rPr>
          <w:rFonts w:hint="eastAsia" w:hAnsi="宋体"/>
          <w:b/>
          <w:sz w:val="32"/>
        </w:rPr>
        <w:t>▲3.政府采购资格承诺函</w:t>
      </w:r>
    </w:p>
    <w:p w14:paraId="01A59966">
      <w:pPr>
        <w:spacing w:line="400" w:lineRule="exact"/>
        <w:rPr>
          <w:rFonts w:hint="eastAsia" w:ascii="宋体" w:hAnsi="宋体" w:cs="宋体"/>
          <w:sz w:val="24"/>
        </w:rPr>
      </w:pPr>
    </w:p>
    <w:p w14:paraId="48FA8E3C">
      <w:pPr>
        <w:spacing w:line="360" w:lineRule="auto"/>
        <w:ind w:firstLine="480" w:firstLineChars="200"/>
        <w:rPr>
          <w:rFonts w:hint="eastAsia" w:ascii="宋体" w:hAnsi="宋体" w:cs="宋体"/>
          <w:sz w:val="24"/>
        </w:rPr>
      </w:pPr>
      <w:r>
        <w:rPr>
          <w:rFonts w:hint="eastAsia" w:ascii="宋体" w:hAnsi="宋体" w:cs="宋体"/>
          <w:sz w:val="24"/>
        </w:rPr>
        <w:t>我单位——</w:t>
      </w:r>
      <w:r>
        <w:rPr>
          <w:rFonts w:hint="eastAsia" w:ascii="宋体" w:hAnsi="宋体" w:cs="宋体"/>
          <w:sz w:val="24"/>
          <w:u w:val="single"/>
        </w:rPr>
        <w:t xml:space="preserve">                  （供应商全称）</w:t>
      </w:r>
      <w:r>
        <w:rPr>
          <w:rFonts w:hint="eastAsia" w:ascii="宋体" w:hAnsi="宋体" w:cs="宋体"/>
          <w:bCs/>
          <w:sz w:val="24"/>
          <w:lang w:bidi="ar"/>
        </w:rPr>
        <w:t>参与</w:t>
      </w:r>
      <w:r>
        <w:rPr>
          <w:rFonts w:hint="eastAsia" w:ascii="宋体" w:hAnsi="宋体" w:cs="宋体"/>
          <w:bCs/>
          <w:sz w:val="24"/>
          <w:u w:val="single"/>
          <w:lang w:bidi="ar"/>
        </w:rPr>
        <w:t xml:space="preserve"> </w:t>
      </w:r>
      <w:r>
        <w:rPr>
          <w:rFonts w:hint="eastAsia" w:ascii="宋体" w:hAnsi="宋体" w:cs="宋体"/>
          <w:sz w:val="24"/>
          <w:u w:val="single"/>
        </w:rPr>
        <w:t xml:space="preserve">                </w:t>
      </w:r>
      <w:r>
        <w:rPr>
          <w:rFonts w:hint="eastAsia" w:ascii="宋体" w:hAnsi="宋体" w:cs="宋体"/>
          <w:sz w:val="24"/>
        </w:rPr>
        <w:t>采购项目</w:t>
      </w:r>
      <w:r>
        <w:rPr>
          <w:rFonts w:hint="eastAsia" w:ascii="宋体" w:hAnsi="宋体" w:cs="宋体"/>
          <w:bCs/>
          <w:sz w:val="24"/>
          <w:lang w:bidi="ar"/>
        </w:rPr>
        <w:t>（项目编号：</w:t>
      </w:r>
      <w:r>
        <w:rPr>
          <w:rFonts w:hint="eastAsia" w:ascii="宋体" w:hAnsi="宋体" w:cs="宋体"/>
          <w:bCs/>
          <w:sz w:val="24"/>
          <w:u w:val="single"/>
          <w:lang w:bidi="ar"/>
        </w:rPr>
        <w:t xml:space="preserve"> </w:t>
      </w:r>
      <w:r>
        <w:rPr>
          <w:rFonts w:hint="eastAsia" w:ascii="宋体" w:hAnsi="宋体" w:cs="宋体"/>
          <w:bCs/>
          <w:sz w:val="24"/>
          <w:u w:val="single"/>
        </w:rPr>
        <w:t xml:space="preserve">           </w:t>
      </w:r>
      <w:r>
        <w:rPr>
          <w:rFonts w:hint="eastAsia" w:ascii="宋体" w:hAnsi="宋体" w:cs="宋体"/>
          <w:bCs/>
          <w:sz w:val="24"/>
          <w:u w:val="single"/>
          <w:lang w:bidi="ar"/>
        </w:rPr>
        <w:t xml:space="preserve"> </w:t>
      </w:r>
      <w:r>
        <w:rPr>
          <w:rFonts w:hint="eastAsia" w:ascii="宋体" w:hAnsi="宋体" w:cs="宋体"/>
          <w:bCs/>
          <w:sz w:val="24"/>
          <w:lang w:bidi="ar"/>
        </w:rPr>
        <w:t>）磋商，郑重</w:t>
      </w:r>
      <w:r>
        <w:rPr>
          <w:rFonts w:hint="eastAsia" w:ascii="宋体" w:hAnsi="宋体" w:cs="宋体"/>
          <w:sz w:val="24"/>
        </w:rPr>
        <w:t>承诺具备下列条件：</w:t>
      </w:r>
    </w:p>
    <w:p w14:paraId="4F2F65C5">
      <w:pPr>
        <w:spacing w:line="360" w:lineRule="auto"/>
        <w:ind w:firstLine="480" w:firstLineChars="200"/>
        <w:rPr>
          <w:rFonts w:hint="eastAsia" w:ascii="宋体" w:hAnsi="宋体" w:cs="宋体"/>
          <w:bCs/>
          <w:sz w:val="24"/>
        </w:rPr>
      </w:pPr>
      <w:r>
        <w:rPr>
          <w:rFonts w:hint="eastAsia" w:ascii="宋体" w:hAnsi="宋体" w:cs="宋体"/>
          <w:bCs/>
          <w:sz w:val="24"/>
        </w:rPr>
        <w:t>1.具有独立承担民事责任的能力；</w:t>
      </w:r>
    </w:p>
    <w:p w14:paraId="686010EE">
      <w:pPr>
        <w:spacing w:line="360" w:lineRule="auto"/>
        <w:ind w:firstLine="480" w:firstLineChars="200"/>
        <w:rPr>
          <w:rFonts w:hint="eastAsia" w:ascii="宋体" w:hAnsi="宋体" w:cs="宋体"/>
          <w:bCs/>
          <w:sz w:val="24"/>
        </w:rPr>
      </w:pPr>
      <w:r>
        <w:rPr>
          <w:rFonts w:hint="eastAsia" w:ascii="宋体" w:hAnsi="宋体" w:cs="宋体"/>
          <w:bCs/>
          <w:sz w:val="24"/>
        </w:rPr>
        <w:t>2.具有良好的商业信誉和健全的财务会计制度；</w:t>
      </w:r>
    </w:p>
    <w:p w14:paraId="4876568C">
      <w:pPr>
        <w:spacing w:line="360" w:lineRule="auto"/>
        <w:ind w:firstLine="480" w:firstLineChars="200"/>
        <w:rPr>
          <w:rFonts w:hint="eastAsia" w:ascii="宋体" w:hAnsi="宋体" w:cs="宋体"/>
          <w:bCs/>
          <w:sz w:val="24"/>
        </w:rPr>
      </w:pPr>
      <w:r>
        <w:rPr>
          <w:rFonts w:hint="eastAsia" w:ascii="宋体" w:hAnsi="宋体" w:cs="宋体"/>
          <w:bCs/>
          <w:sz w:val="24"/>
        </w:rPr>
        <w:t>3.具有履行合同所必需的设备和专业技术能力；</w:t>
      </w:r>
    </w:p>
    <w:p w14:paraId="7EE31BC3">
      <w:pPr>
        <w:spacing w:line="360" w:lineRule="auto"/>
        <w:ind w:firstLine="480" w:firstLineChars="200"/>
        <w:rPr>
          <w:rFonts w:hint="eastAsia" w:ascii="宋体" w:hAnsi="宋体" w:cs="宋体"/>
          <w:bCs/>
          <w:sz w:val="24"/>
        </w:rPr>
      </w:pPr>
      <w:r>
        <w:rPr>
          <w:rFonts w:hint="eastAsia" w:ascii="宋体" w:hAnsi="宋体" w:cs="宋体"/>
          <w:bCs/>
          <w:sz w:val="24"/>
        </w:rPr>
        <w:t>4.有依法缴纳税收和社会保障资金的良好记录；</w:t>
      </w:r>
    </w:p>
    <w:p w14:paraId="69ACFF0C">
      <w:pPr>
        <w:spacing w:line="360" w:lineRule="auto"/>
        <w:ind w:firstLine="480" w:firstLineChars="200"/>
        <w:rPr>
          <w:rFonts w:hint="eastAsia" w:ascii="宋体" w:hAnsi="宋体" w:cs="宋体"/>
          <w:bCs/>
          <w:sz w:val="24"/>
        </w:rPr>
      </w:pPr>
      <w:r>
        <w:rPr>
          <w:rFonts w:hint="eastAsia" w:ascii="宋体" w:hAnsi="宋体" w:cs="宋体"/>
          <w:bCs/>
          <w:sz w:val="24"/>
        </w:rPr>
        <w:t>5.参加本项目采购活动前三年内,在经营活动中没有重大违法记录（包括行贿犯罪记录）。</w:t>
      </w:r>
    </w:p>
    <w:p w14:paraId="2CC16F43">
      <w:pPr>
        <w:snapToGrid w:val="0"/>
        <w:spacing w:line="360" w:lineRule="auto"/>
        <w:ind w:firstLine="480" w:firstLineChars="200"/>
        <w:rPr>
          <w:rFonts w:hint="eastAsia" w:ascii="宋体" w:hAnsi="宋体"/>
          <w:sz w:val="24"/>
        </w:rPr>
      </w:pPr>
      <w:r>
        <w:rPr>
          <w:rFonts w:hint="eastAsia" w:ascii="宋体" w:hAnsi="宋体" w:cs="宋体"/>
          <w:sz w:val="24"/>
        </w:rPr>
        <w:t>6.</w:t>
      </w:r>
      <w:r>
        <w:rPr>
          <w:rFonts w:hint="eastAsia" w:ascii="宋体" w:hAnsi="宋体"/>
          <w:sz w:val="24"/>
        </w:rPr>
        <w:t xml:space="preserve"> 磋商截止时间前未被“信用中国”网站（www.creditchina.gov.cn）、中国政府采购网（www.ccgp.gov.cn）列入失信被执行人、税收违法黑名单、政府采购严重违法失信行为记录名单</w:t>
      </w:r>
      <w:r>
        <w:rPr>
          <w:rFonts w:hint="eastAsia" w:ascii="宋体" w:hAnsi="宋体"/>
          <w:b/>
          <w:sz w:val="24"/>
        </w:rPr>
        <w:t>（注：本项内容以代理机构在资格审查现场查询为准）。</w:t>
      </w:r>
    </w:p>
    <w:p w14:paraId="13D63981">
      <w:pPr>
        <w:snapToGrid w:val="0"/>
        <w:spacing w:line="400" w:lineRule="exact"/>
        <w:ind w:firstLine="480" w:firstLineChars="200"/>
        <w:rPr>
          <w:rFonts w:hint="eastAsia" w:ascii="宋体" w:hAnsi="宋体" w:cs="宋体"/>
          <w:sz w:val="24"/>
        </w:rPr>
      </w:pPr>
    </w:p>
    <w:p w14:paraId="1C68CD60">
      <w:pPr>
        <w:snapToGrid w:val="0"/>
        <w:spacing w:line="400" w:lineRule="exact"/>
        <w:ind w:firstLine="482" w:firstLineChars="200"/>
        <w:rPr>
          <w:rFonts w:hint="eastAsia" w:ascii="宋体" w:hAnsi="宋体" w:cs="宋体"/>
          <w:b/>
          <w:sz w:val="24"/>
        </w:rPr>
      </w:pPr>
    </w:p>
    <w:p w14:paraId="7B9BA899">
      <w:pPr>
        <w:snapToGrid w:val="0"/>
        <w:spacing w:line="400" w:lineRule="exact"/>
        <w:ind w:firstLine="482" w:firstLineChars="200"/>
        <w:rPr>
          <w:rFonts w:hint="eastAsia" w:ascii="宋体" w:hAnsi="宋体" w:cs="宋体"/>
          <w:b/>
          <w:sz w:val="24"/>
        </w:rPr>
      </w:pPr>
      <w:r>
        <w:rPr>
          <w:rFonts w:hint="eastAsia" w:ascii="宋体" w:hAnsi="宋体" w:cs="宋体"/>
          <w:b/>
          <w:sz w:val="24"/>
        </w:rPr>
        <w:t>如有虚假，采购人可取消我单位任何资格（投标/中标（成交）/签订合同），我单位对此无任何异议。</w:t>
      </w:r>
    </w:p>
    <w:p w14:paraId="1D9FF5C9">
      <w:pPr>
        <w:snapToGrid w:val="0"/>
        <w:spacing w:line="400" w:lineRule="exact"/>
        <w:ind w:firstLine="482" w:firstLineChars="200"/>
        <w:rPr>
          <w:rFonts w:hint="eastAsia" w:ascii="宋体" w:hAnsi="宋体" w:cs="宋体"/>
          <w:b/>
          <w:sz w:val="24"/>
        </w:rPr>
      </w:pPr>
    </w:p>
    <w:p w14:paraId="1CA4F1C5">
      <w:pPr>
        <w:snapToGrid w:val="0"/>
        <w:spacing w:line="400" w:lineRule="exact"/>
        <w:ind w:firstLine="482" w:firstLineChars="200"/>
        <w:rPr>
          <w:rFonts w:hint="eastAsia" w:ascii="宋体" w:hAnsi="宋体" w:cs="宋体"/>
          <w:b/>
          <w:sz w:val="24"/>
        </w:rPr>
      </w:pPr>
      <w:r>
        <w:rPr>
          <w:rFonts w:hint="eastAsia" w:ascii="宋体" w:hAnsi="宋体" w:cs="宋体"/>
          <w:b/>
          <w:sz w:val="24"/>
        </w:rPr>
        <w:t>特此承诺！</w:t>
      </w:r>
    </w:p>
    <w:p w14:paraId="7EDBCC8F">
      <w:pPr>
        <w:tabs>
          <w:tab w:val="left" w:pos="9180"/>
        </w:tabs>
        <w:spacing w:line="360" w:lineRule="auto"/>
        <w:ind w:firstLine="480" w:firstLineChars="200"/>
        <w:rPr>
          <w:rFonts w:hint="eastAsia" w:ascii="宋体" w:hAnsi="宋体" w:cs="宋体"/>
          <w:snapToGrid w:val="0"/>
          <w:sz w:val="24"/>
        </w:rPr>
      </w:pPr>
    </w:p>
    <w:p w14:paraId="51437A6A">
      <w:pPr>
        <w:tabs>
          <w:tab w:val="left" w:pos="9180"/>
        </w:tabs>
        <w:spacing w:line="360" w:lineRule="auto"/>
        <w:ind w:firstLine="480" w:firstLineChars="200"/>
        <w:rPr>
          <w:rFonts w:hint="eastAsia" w:ascii="宋体" w:hAnsi="宋体" w:cs="宋体"/>
          <w:snapToGrid w:val="0"/>
          <w:sz w:val="24"/>
        </w:rPr>
      </w:pPr>
      <w:r>
        <w:rPr>
          <w:rFonts w:hint="eastAsia" w:ascii="宋体" w:hAnsi="宋体" w:cs="宋体"/>
          <w:snapToGrid w:val="0"/>
          <w:sz w:val="24"/>
        </w:rPr>
        <w:t>注：（1）参加政府采购活动的时间是指供应商参加本项目的政府采购活动时间（具体以磋商截止时间为准）。</w:t>
      </w:r>
    </w:p>
    <w:p w14:paraId="24BC2713">
      <w:pPr>
        <w:tabs>
          <w:tab w:val="left" w:pos="9180"/>
        </w:tabs>
        <w:spacing w:line="360" w:lineRule="auto"/>
        <w:ind w:firstLine="840" w:firstLineChars="350"/>
        <w:rPr>
          <w:rFonts w:hint="eastAsia" w:ascii="宋体" w:hAnsi="宋体" w:cs="宋体"/>
          <w:snapToGrid w:val="0"/>
          <w:sz w:val="24"/>
        </w:rPr>
      </w:pPr>
      <w:r>
        <w:rPr>
          <w:rFonts w:hint="eastAsia" w:ascii="宋体" w:hAnsi="宋体" w:cs="宋体"/>
          <w:snapToGrid w:val="0"/>
          <w:sz w:val="24"/>
        </w:rPr>
        <w:t>（2）本承诺函必须提供。</w:t>
      </w:r>
    </w:p>
    <w:p w14:paraId="6133D353">
      <w:pPr>
        <w:tabs>
          <w:tab w:val="left" w:pos="9180"/>
        </w:tabs>
        <w:spacing w:line="360" w:lineRule="auto"/>
        <w:ind w:firstLine="960" w:firstLineChars="400"/>
        <w:rPr>
          <w:rFonts w:hint="eastAsia" w:ascii="宋体" w:hAnsi="宋体" w:cs="宋体"/>
          <w:snapToGrid w:val="0"/>
          <w:sz w:val="24"/>
        </w:rPr>
      </w:pPr>
    </w:p>
    <w:p w14:paraId="1C3F05AD">
      <w:pPr>
        <w:pStyle w:val="19"/>
        <w:spacing w:line="360" w:lineRule="auto"/>
        <w:jc w:val="center"/>
        <w:rPr>
          <w:rFonts w:hint="eastAsia" w:hAnsi="宋体"/>
          <w:b/>
          <w:sz w:val="32"/>
        </w:rPr>
      </w:pPr>
      <w:r>
        <w:rPr>
          <w:rFonts w:hAnsi="宋体"/>
          <w:b/>
          <w:sz w:val="32"/>
        </w:rPr>
        <w:br w:type="page"/>
      </w:r>
      <w:r>
        <w:rPr>
          <w:rFonts w:hint="eastAsia" w:hAnsi="宋体"/>
          <w:b/>
          <w:sz w:val="32"/>
        </w:rPr>
        <w:t>▲</w:t>
      </w:r>
      <w:r>
        <w:rPr>
          <w:rFonts w:hint="eastAsia" w:hAnsi="宋体"/>
          <w:b/>
          <w:sz w:val="32"/>
          <w:lang w:val="en-US" w:eastAsia="zh-CN"/>
        </w:rPr>
        <w:t>4</w:t>
      </w:r>
      <w:r>
        <w:rPr>
          <w:rFonts w:hint="eastAsia" w:hAnsi="宋体"/>
          <w:b/>
          <w:sz w:val="32"/>
        </w:rPr>
        <w:t>.资格证明</w:t>
      </w:r>
    </w:p>
    <w:p w14:paraId="38C96E41">
      <w:pPr>
        <w:pStyle w:val="69"/>
        <w:spacing w:before="240" w:beforeLines="100" w:line="480" w:lineRule="auto"/>
        <w:rPr>
          <w:rFonts w:hint="eastAsia" w:ascii="宋体" w:hAnsi="宋体"/>
          <w:spacing w:val="6"/>
          <w:sz w:val="28"/>
          <w:szCs w:val="28"/>
        </w:rPr>
      </w:pPr>
      <w:r>
        <w:rPr>
          <w:rFonts w:hint="eastAsia" w:ascii="宋体" w:hAnsi="宋体"/>
          <w:sz w:val="28"/>
          <w:szCs w:val="28"/>
          <w:u w:val="single"/>
        </w:rPr>
        <w:t>（代理机构名称）</w:t>
      </w:r>
      <w:r>
        <w:rPr>
          <w:rFonts w:hint="eastAsia" w:ascii="宋体" w:hAnsi="宋体"/>
          <w:spacing w:val="6"/>
          <w:sz w:val="28"/>
          <w:szCs w:val="28"/>
        </w:rPr>
        <w:t>：</w:t>
      </w:r>
    </w:p>
    <w:p w14:paraId="22977421">
      <w:pPr>
        <w:pStyle w:val="91"/>
        <w:spacing w:line="360" w:lineRule="auto"/>
        <w:ind w:firstLine="480" w:firstLineChars="200"/>
        <w:rPr>
          <w:rFonts w:hint="eastAsia" w:hAnsi="宋体"/>
          <w:sz w:val="24"/>
          <w:szCs w:val="21"/>
        </w:rPr>
      </w:pPr>
      <w:r>
        <w:rPr>
          <w:rFonts w:hAnsi="宋体"/>
          <w:sz w:val="24"/>
          <w:szCs w:val="21"/>
          <w:u w:val="single"/>
        </w:rPr>
        <w:t xml:space="preserve">   </w:t>
      </w:r>
      <w:r>
        <w:rPr>
          <w:rFonts w:hint="eastAsia" w:hAnsi="宋体"/>
          <w:sz w:val="24"/>
          <w:szCs w:val="21"/>
          <w:u w:val="single"/>
        </w:rPr>
        <w:t xml:space="preserve"> (供应商全称)  </w:t>
      </w:r>
      <w:r>
        <w:rPr>
          <w:rFonts w:hint="eastAsia" w:hAnsi="宋体"/>
          <w:sz w:val="24"/>
          <w:szCs w:val="21"/>
        </w:rPr>
        <w:t>系中华人民共和国合法企业，经营地址</w:t>
      </w:r>
      <w:r>
        <w:rPr>
          <w:rFonts w:hAnsi="宋体"/>
          <w:sz w:val="24"/>
          <w:szCs w:val="21"/>
          <w:u w:val="single"/>
        </w:rPr>
        <w:t xml:space="preserve">    </w:t>
      </w:r>
      <w:r>
        <w:rPr>
          <w:rFonts w:hint="eastAsia" w:hAnsi="宋体"/>
          <w:sz w:val="24"/>
          <w:szCs w:val="21"/>
          <w:u w:val="single"/>
        </w:rPr>
        <w:t xml:space="preserve">       </w:t>
      </w:r>
      <w:r>
        <w:rPr>
          <w:rFonts w:hAnsi="宋体"/>
          <w:sz w:val="24"/>
          <w:szCs w:val="21"/>
          <w:u w:val="single"/>
        </w:rPr>
        <w:t xml:space="preserve">     </w:t>
      </w:r>
      <w:r>
        <w:rPr>
          <w:rFonts w:hint="eastAsia" w:hAnsi="宋体"/>
          <w:sz w:val="24"/>
          <w:szCs w:val="21"/>
        </w:rPr>
        <w:t>。</w:t>
      </w:r>
    </w:p>
    <w:p w14:paraId="274ED887">
      <w:pPr>
        <w:pStyle w:val="11"/>
        <w:spacing w:line="360" w:lineRule="auto"/>
        <w:rPr>
          <w:rFonts w:hint="eastAsia" w:ascii="宋体" w:hAnsi="宋体"/>
          <w:sz w:val="24"/>
          <w:szCs w:val="24"/>
        </w:rPr>
      </w:pPr>
      <w:r>
        <w:rPr>
          <w:rFonts w:hint="eastAsia" w:ascii="宋体" w:hAnsi="宋体"/>
          <w:sz w:val="24"/>
          <w:szCs w:val="21"/>
        </w:rPr>
        <w:t>我</w:t>
      </w:r>
      <w:r>
        <w:rPr>
          <w:rFonts w:ascii="宋体" w:hAnsi="宋体"/>
          <w:sz w:val="24"/>
          <w:szCs w:val="21"/>
          <w:u w:val="single"/>
        </w:rPr>
        <w:t>(</w:t>
      </w:r>
      <w:r>
        <w:rPr>
          <w:rFonts w:hint="eastAsia" w:ascii="宋体" w:hAnsi="宋体"/>
          <w:sz w:val="24"/>
          <w:szCs w:val="21"/>
          <w:u w:val="single"/>
        </w:rPr>
        <w:t>负责人名字</w:t>
      </w:r>
      <w:r>
        <w:rPr>
          <w:rFonts w:ascii="宋体" w:hAnsi="宋体"/>
          <w:sz w:val="24"/>
          <w:szCs w:val="21"/>
          <w:u w:val="single"/>
        </w:rPr>
        <w:t>)</w:t>
      </w:r>
      <w:r>
        <w:rPr>
          <w:rFonts w:hint="eastAsia" w:ascii="宋体" w:hAnsi="宋体"/>
          <w:sz w:val="24"/>
          <w:szCs w:val="21"/>
        </w:rPr>
        <w:t>系</w:t>
      </w:r>
      <w:r>
        <w:rPr>
          <w:rFonts w:hint="eastAsia" w:ascii="宋体" w:hAnsi="宋体"/>
          <w:sz w:val="24"/>
          <w:szCs w:val="21"/>
          <w:u w:val="single"/>
        </w:rPr>
        <w:t xml:space="preserve">    </w:t>
      </w:r>
      <w:r>
        <w:rPr>
          <w:rFonts w:ascii="宋体" w:hAnsi="宋体"/>
          <w:sz w:val="24"/>
          <w:szCs w:val="21"/>
          <w:u w:val="single"/>
        </w:rPr>
        <w:t>(</w:t>
      </w:r>
      <w:r>
        <w:rPr>
          <w:rFonts w:hint="eastAsia" w:ascii="宋体" w:hAnsi="宋体"/>
          <w:sz w:val="24"/>
          <w:szCs w:val="21"/>
          <w:u w:val="single"/>
        </w:rPr>
        <w:t>供应商名称</w:t>
      </w:r>
      <w:r>
        <w:rPr>
          <w:rFonts w:ascii="宋体" w:hAnsi="宋体"/>
          <w:sz w:val="24"/>
          <w:szCs w:val="21"/>
          <w:u w:val="single"/>
        </w:rPr>
        <w:t>)</w:t>
      </w:r>
      <w:r>
        <w:rPr>
          <w:rFonts w:hint="eastAsia" w:ascii="宋体" w:hAnsi="宋体"/>
          <w:sz w:val="24"/>
          <w:szCs w:val="21"/>
          <w:u w:val="single"/>
        </w:rPr>
        <w:t xml:space="preserve">       </w:t>
      </w:r>
      <w:r>
        <w:rPr>
          <w:rFonts w:hint="eastAsia" w:ascii="宋体" w:hAnsi="宋体"/>
          <w:sz w:val="24"/>
          <w:szCs w:val="21"/>
        </w:rPr>
        <w:t>的负责人，我方愿意参加贵方组织的</w:t>
      </w:r>
      <w:r>
        <w:rPr>
          <w:rFonts w:hint="eastAsia" w:ascii="宋体" w:hAnsi="宋体"/>
          <w:sz w:val="24"/>
          <w:szCs w:val="21"/>
          <w:u w:val="single"/>
        </w:rPr>
        <w:t xml:space="preserve">    （</w:t>
      </w:r>
      <w:r>
        <w:rPr>
          <w:rFonts w:ascii="宋体" w:hAnsi="宋体"/>
          <w:sz w:val="24"/>
          <w:szCs w:val="21"/>
          <w:u w:val="single"/>
        </w:rPr>
        <w:t>项目名称</w:t>
      </w:r>
      <w:r>
        <w:rPr>
          <w:rFonts w:hint="eastAsia" w:ascii="宋体" w:hAnsi="宋体"/>
          <w:sz w:val="24"/>
          <w:szCs w:val="21"/>
          <w:u w:val="single"/>
        </w:rPr>
        <w:t>）（采购编号：   ）</w:t>
      </w:r>
      <w:r>
        <w:rPr>
          <w:rFonts w:hint="eastAsia" w:ascii="宋体" w:hAnsi="宋体"/>
          <w:sz w:val="24"/>
          <w:szCs w:val="21"/>
        </w:rPr>
        <w:t>的磋商。为便于贵方公正、择优地确定成交人以及磋商产品和服务，我方就本次磋商有关事项证明如下：</w:t>
      </w:r>
    </w:p>
    <w:p w14:paraId="16D571E9">
      <w:pPr>
        <w:pStyle w:val="80"/>
        <w:spacing w:line="360" w:lineRule="auto"/>
        <w:ind w:firstLine="420"/>
        <w:rPr>
          <w:rFonts w:hint="eastAsia" w:hAnsi="宋体"/>
          <w:sz w:val="24"/>
          <w:szCs w:val="21"/>
        </w:rPr>
      </w:pPr>
      <w:r>
        <w:rPr>
          <w:rFonts w:hint="eastAsia" w:hAnsi="宋体"/>
          <w:sz w:val="24"/>
          <w:szCs w:val="21"/>
        </w:rPr>
        <w:t>（一）名称及概况：</w:t>
      </w:r>
    </w:p>
    <w:p w14:paraId="157FBA55">
      <w:pPr>
        <w:pStyle w:val="80"/>
        <w:spacing w:line="360" w:lineRule="auto"/>
        <w:ind w:firstLine="420"/>
        <w:rPr>
          <w:rFonts w:hint="eastAsia" w:hAnsi="宋体"/>
          <w:sz w:val="24"/>
          <w:szCs w:val="21"/>
        </w:rPr>
      </w:pPr>
      <w:r>
        <w:rPr>
          <w:rFonts w:hint="eastAsia" w:hAnsi="宋体"/>
          <w:sz w:val="24"/>
          <w:szCs w:val="21"/>
        </w:rPr>
        <w:t xml:space="preserve">1．企业名称：________________________________________________ </w:t>
      </w:r>
    </w:p>
    <w:p w14:paraId="601C1BAE">
      <w:pPr>
        <w:pStyle w:val="80"/>
        <w:spacing w:line="360" w:lineRule="auto"/>
        <w:ind w:firstLine="420"/>
        <w:rPr>
          <w:rFonts w:hint="eastAsia" w:hAnsi="宋体"/>
          <w:b/>
          <w:bCs/>
          <w:sz w:val="24"/>
        </w:rPr>
      </w:pPr>
      <w:r>
        <w:rPr>
          <w:rFonts w:hint="eastAsia" w:hAnsi="宋体"/>
          <w:sz w:val="24"/>
          <w:szCs w:val="21"/>
        </w:rPr>
        <w:t>银行开户名称：________________________________________________</w:t>
      </w:r>
    </w:p>
    <w:p w14:paraId="315EC305">
      <w:pPr>
        <w:pStyle w:val="80"/>
        <w:spacing w:line="360" w:lineRule="auto"/>
        <w:ind w:firstLine="420"/>
        <w:rPr>
          <w:rFonts w:hint="eastAsia" w:hAnsi="宋体"/>
          <w:sz w:val="24"/>
          <w:szCs w:val="21"/>
        </w:rPr>
      </w:pPr>
      <w:r>
        <w:rPr>
          <w:rFonts w:hint="eastAsia" w:hAnsi="宋体"/>
          <w:sz w:val="24"/>
          <w:szCs w:val="21"/>
        </w:rPr>
        <w:t xml:space="preserve">    开户银行：_________________________________________________ </w:t>
      </w:r>
    </w:p>
    <w:p w14:paraId="1B6C645F">
      <w:pPr>
        <w:pStyle w:val="80"/>
        <w:spacing w:line="360" w:lineRule="auto"/>
        <w:ind w:firstLine="420"/>
        <w:rPr>
          <w:rFonts w:hint="eastAsia" w:hAnsi="宋体"/>
          <w:sz w:val="24"/>
          <w:szCs w:val="21"/>
        </w:rPr>
      </w:pPr>
      <w:r>
        <w:rPr>
          <w:rFonts w:hint="eastAsia" w:hAnsi="宋体"/>
          <w:sz w:val="24"/>
          <w:szCs w:val="21"/>
        </w:rPr>
        <w:t xml:space="preserve">    账    号：________________________________________________ </w:t>
      </w:r>
    </w:p>
    <w:p w14:paraId="285343EA">
      <w:pPr>
        <w:pStyle w:val="80"/>
        <w:spacing w:line="360" w:lineRule="auto"/>
        <w:ind w:firstLine="420"/>
        <w:rPr>
          <w:rFonts w:hint="eastAsia" w:hAnsi="宋体"/>
          <w:sz w:val="24"/>
          <w:szCs w:val="21"/>
        </w:rPr>
      </w:pPr>
      <w:r>
        <w:rPr>
          <w:rFonts w:hint="eastAsia" w:hAnsi="宋体"/>
          <w:sz w:val="24"/>
          <w:szCs w:val="21"/>
        </w:rPr>
        <w:t xml:space="preserve">企业详细地址：________________________________________________ </w:t>
      </w:r>
    </w:p>
    <w:p w14:paraId="1D6132B7">
      <w:pPr>
        <w:pStyle w:val="80"/>
        <w:spacing w:line="360" w:lineRule="auto"/>
        <w:ind w:firstLine="420"/>
        <w:rPr>
          <w:rFonts w:hint="eastAsia" w:hAnsi="宋体"/>
          <w:sz w:val="24"/>
          <w:szCs w:val="21"/>
        </w:rPr>
      </w:pPr>
      <w:r>
        <w:rPr>
          <w:rFonts w:hint="eastAsia" w:hAnsi="宋体"/>
          <w:sz w:val="24"/>
          <w:szCs w:val="21"/>
        </w:rPr>
        <w:t xml:space="preserve">    传    真： ________________________________________________</w:t>
      </w:r>
    </w:p>
    <w:p w14:paraId="34E34DA1">
      <w:pPr>
        <w:pStyle w:val="80"/>
        <w:spacing w:line="360" w:lineRule="auto"/>
        <w:ind w:firstLine="420"/>
        <w:rPr>
          <w:rFonts w:hint="eastAsia" w:hAnsi="宋体"/>
          <w:sz w:val="24"/>
          <w:szCs w:val="21"/>
        </w:rPr>
      </w:pPr>
      <w:r>
        <w:rPr>
          <w:rFonts w:hint="eastAsia" w:hAnsi="宋体"/>
          <w:sz w:val="24"/>
          <w:szCs w:val="21"/>
        </w:rPr>
        <w:t xml:space="preserve">    电    话： ________________________________________________</w:t>
      </w:r>
    </w:p>
    <w:p w14:paraId="0F25E758">
      <w:pPr>
        <w:pStyle w:val="80"/>
        <w:spacing w:line="360" w:lineRule="auto"/>
        <w:ind w:firstLine="420"/>
        <w:rPr>
          <w:rFonts w:hint="eastAsia" w:hAnsi="宋体"/>
          <w:sz w:val="24"/>
          <w:szCs w:val="21"/>
        </w:rPr>
      </w:pPr>
      <w:r>
        <w:rPr>
          <w:rFonts w:hint="eastAsia" w:hAnsi="宋体"/>
          <w:sz w:val="24"/>
          <w:szCs w:val="21"/>
        </w:rPr>
        <w:t xml:space="preserve">2．负责人姓名：___________________________________________ </w:t>
      </w:r>
    </w:p>
    <w:p w14:paraId="3C28C3E1">
      <w:pPr>
        <w:pStyle w:val="80"/>
        <w:spacing w:line="360" w:lineRule="auto"/>
        <w:ind w:firstLine="420"/>
        <w:rPr>
          <w:rFonts w:hint="eastAsia" w:hAnsi="宋体"/>
          <w:sz w:val="24"/>
          <w:szCs w:val="21"/>
        </w:rPr>
      </w:pPr>
      <w:r>
        <w:rPr>
          <w:rFonts w:hint="eastAsia" w:hAnsi="宋体"/>
          <w:sz w:val="24"/>
          <w:szCs w:val="21"/>
        </w:rPr>
        <w:t>3．项目联系人：姓名__________职务：______电话______手机______</w:t>
      </w:r>
    </w:p>
    <w:p w14:paraId="02EF6F53">
      <w:pPr>
        <w:pStyle w:val="80"/>
        <w:spacing w:line="360" w:lineRule="auto"/>
        <w:ind w:firstLine="420"/>
        <w:rPr>
          <w:rFonts w:hint="eastAsia" w:hAnsi="宋体"/>
          <w:sz w:val="24"/>
        </w:rPr>
      </w:pPr>
      <w:r>
        <w:rPr>
          <w:rFonts w:hint="eastAsia" w:hAnsi="宋体"/>
          <w:sz w:val="24"/>
          <w:szCs w:val="21"/>
        </w:rPr>
        <w:t>4．注册地址：________________________________________________</w:t>
      </w:r>
    </w:p>
    <w:p w14:paraId="368E7BCD">
      <w:pPr>
        <w:pStyle w:val="80"/>
        <w:spacing w:line="360" w:lineRule="auto"/>
        <w:ind w:firstLine="420"/>
        <w:rPr>
          <w:rFonts w:hint="eastAsia" w:hAnsi="宋体"/>
          <w:sz w:val="24"/>
          <w:szCs w:val="21"/>
        </w:rPr>
      </w:pPr>
      <w:r>
        <w:rPr>
          <w:rFonts w:hint="eastAsia" w:hAnsi="宋体"/>
          <w:sz w:val="24"/>
          <w:szCs w:val="21"/>
        </w:rPr>
        <w:t xml:space="preserve">5．注册资金：________________________________________________ </w:t>
      </w:r>
    </w:p>
    <w:p w14:paraId="1330273E">
      <w:pPr>
        <w:pStyle w:val="80"/>
        <w:spacing w:line="360" w:lineRule="auto"/>
        <w:ind w:firstLine="735"/>
        <w:rPr>
          <w:rFonts w:hint="eastAsia" w:hAnsi="宋体"/>
          <w:sz w:val="24"/>
          <w:szCs w:val="21"/>
        </w:rPr>
      </w:pPr>
      <w:r>
        <w:rPr>
          <w:rFonts w:hint="eastAsia" w:hAnsi="宋体"/>
          <w:sz w:val="24"/>
          <w:szCs w:val="21"/>
        </w:rPr>
        <w:t>自有资金：______________________________________________________</w:t>
      </w:r>
    </w:p>
    <w:p w14:paraId="395E2FBE">
      <w:pPr>
        <w:pStyle w:val="80"/>
        <w:spacing w:line="360" w:lineRule="auto"/>
        <w:ind w:firstLine="735"/>
        <w:rPr>
          <w:rFonts w:hint="eastAsia" w:hAnsi="宋体"/>
          <w:sz w:val="24"/>
          <w:szCs w:val="21"/>
        </w:rPr>
      </w:pPr>
      <w:r>
        <w:rPr>
          <w:rFonts w:hint="eastAsia" w:hAnsi="宋体"/>
          <w:sz w:val="24"/>
          <w:szCs w:val="21"/>
        </w:rPr>
        <w:t>企业人数：______</w:t>
      </w:r>
      <w:r>
        <w:rPr>
          <w:rFonts w:hint="eastAsia" w:hAnsi="宋体"/>
          <w:b/>
          <w:bCs/>
          <w:sz w:val="24"/>
          <w:szCs w:val="21"/>
        </w:rPr>
        <w:t>_</w:t>
      </w:r>
      <w:r>
        <w:rPr>
          <w:rFonts w:hint="eastAsia" w:hAnsi="宋体"/>
          <w:sz w:val="24"/>
          <w:szCs w:val="21"/>
        </w:rPr>
        <w:t>人</w:t>
      </w:r>
    </w:p>
    <w:p w14:paraId="6D5A6B08">
      <w:pPr>
        <w:pStyle w:val="80"/>
        <w:spacing w:line="360" w:lineRule="auto"/>
        <w:ind w:firstLine="420"/>
        <w:rPr>
          <w:rFonts w:hint="eastAsia" w:hAnsi="宋体"/>
          <w:sz w:val="24"/>
          <w:szCs w:val="21"/>
        </w:rPr>
      </w:pPr>
      <w:r>
        <w:rPr>
          <w:rFonts w:hint="eastAsia" w:hAnsi="宋体"/>
          <w:sz w:val="24"/>
          <w:szCs w:val="21"/>
        </w:rPr>
        <w:t xml:space="preserve">6．企业性质： </w:t>
      </w:r>
      <w:r>
        <w:rPr>
          <w:rFonts w:hint="eastAsia" w:hAnsi="宋体"/>
          <w:sz w:val="24"/>
          <w:szCs w:val="21"/>
          <w:u w:val="single"/>
        </w:rPr>
        <w:t xml:space="preserve">                        </w:t>
      </w:r>
      <w:r>
        <w:rPr>
          <w:rFonts w:hint="eastAsia" w:hAnsi="宋体"/>
          <w:sz w:val="24"/>
          <w:szCs w:val="21"/>
        </w:rPr>
        <w:t xml:space="preserve">   </w:t>
      </w:r>
    </w:p>
    <w:p w14:paraId="40C8F809">
      <w:pPr>
        <w:pStyle w:val="80"/>
        <w:spacing w:line="360" w:lineRule="auto"/>
        <w:ind w:firstLine="420"/>
        <w:rPr>
          <w:rFonts w:hint="eastAsia" w:hAnsi="宋体"/>
          <w:sz w:val="24"/>
          <w:szCs w:val="21"/>
        </w:rPr>
      </w:pPr>
      <w:r>
        <w:rPr>
          <w:rFonts w:hint="eastAsia" w:hAnsi="宋体"/>
          <w:sz w:val="24"/>
          <w:szCs w:val="21"/>
        </w:rPr>
        <w:t xml:space="preserve">7．主要经营地点：________________________________________________ </w:t>
      </w:r>
    </w:p>
    <w:p w14:paraId="78E03AEC">
      <w:pPr>
        <w:pStyle w:val="80"/>
        <w:spacing w:line="360" w:lineRule="auto"/>
        <w:ind w:firstLine="420"/>
        <w:rPr>
          <w:rFonts w:hint="eastAsia" w:hAnsi="宋体"/>
          <w:sz w:val="24"/>
          <w:szCs w:val="21"/>
        </w:rPr>
      </w:pPr>
      <w:r>
        <w:rPr>
          <w:rFonts w:hint="eastAsia" w:hAnsi="宋体"/>
          <w:sz w:val="24"/>
          <w:szCs w:val="21"/>
        </w:rPr>
        <w:t>如有派出机构，请列出名称及详细通讯地址如下：________________</w:t>
      </w:r>
    </w:p>
    <w:p w14:paraId="4D415EC7">
      <w:pPr>
        <w:pStyle w:val="80"/>
        <w:spacing w:line="360" w:lineRule="auto"/>
        <w:ind w:firstLine="480" w:firstLineChars="200"/>
        <w:rPr>
          <w:rFonts w:hint="eastAsia" w:hAnsi="宋体"/>
          <w:sz w:val="24"/>
          <w:szCs w:val="21"/>
        </w:rPr>
      </w:pPr>
      <w:r>
        <w:rPr>
          <w:rFonts w:hint="eastAsia" w:hAnsi="宋体"/>
          <w:sz w:val="24"/>
          <w:szCs w:val="21"/>
        </w:rPr>
        <w:t>兹证明上述声明是真实、正确的，并提供了全部能提供的资料和数据，我们同意遵照贵方要求出示有关证明文件。</w:t>
      </w:r>
    </w:p>
    <w:p w14:paraId="5FDDD9A0">
      <w:pPr>
        <w:pStyle w:val="11"/>
        <w:spacing w:line="360" w:lineRule="auto"/>
        <w:ind w:firstLine="0"/>
        <w:rPr>
          <w:rFonts w:hint="eastAsia" w:ascii="宋体" w:hAnsi="宋体"/>
          <w:sz w:val="24"/>
        </w:rPr>
      </w:pPr>
      <w:r>
        <w:rPr>
          <w:rFonts w:hint="eastAsia" w:ascii="宋体" w:hAnsi="宋体"/>
          <w:sz w:val="24"/>
          <w:szCs w:val="21"/>
        </w:rPr>
        <w:t xml:space="preserve">  </w:t>
      </w:r>
    </w:p>
    <w:p w14:paraId="5CF2A717">
      <w:pPr>
        <w:pStyle w:val="19"/>
        <w:spacing w:line="360" w:lineRule="auto"/>
        <w:jc w:val="center"/>
        <w:rPr>
          <w:rFonts w:hint="eastAsia" w:hAnsi="宋体"/>
          <w:b/>
          <w:sz w:val="32"/>
        </w:rPr>
      </w:pPr>
      <w:r>
        <w:rPr>
          <w:rFonts w:hAnsi="宋体"/>
          <w:b/>
          <w:sz w:val="32"/>
        </w:rPr>
        <w:br w:type="page"/>
      </w:r>
      <w:r>
        <w:rPr>
          <w:rFonts w:hint="eastAsia" w:hAnsi="宋体"/>
          <w:b/>
          <w:sz w:val="32"/>
        </w:rPr>
        <w:t>▲</w:t>
      </w:r>
      <w:r>
        <w:rPr>
          <w:rFonts w:hint="eastAsia" w:hAnsi="宋体"/>
          <w:b/>
          <w:sz w:val="32"/>
          <w:lang w:val="en-US" w:eastAsia="zh-CN"/>
        </w:rPr>
        <w:t>5</w:t>
      </w:r>
      <w:r>
        <w:rPr>
          <w:rFonts w:hint="eastAsia" w:hAnsi="宋体"/>
          <w:b/>
          <w:sz w:val="32"/>
        </w:rPr>
        <w:t>.无重大违法记录声明书</w:t>
      </w:r>
      <w:bookmarkEnd w:id="393"/>
    </w:p>
    <w:p w14:paraId="640100A2">
      <w:pPr>
        <w:pStyle w:val="69"/>
        <w:spacing w:before="240" w:beforeLines="100" w:line="480" w:lineRule="auto"/>
        <w:rPr>
          <w:rFonts w:hint="eastAsia" w:ascii="宋体" w:hAnsi="宋体"/>
          <w:spacing w:val="6"/>
          <w:sz w:val="24"/>
        </w:rPr>
      </w:pPr>
      <w:r>
        <w:rPr>
          <w:rFonts w:hint="eastAsia" w:ascii="宋体" w:hAnsi="宋体"/>
          <w:sz w:val="24"/>
          <w:u w:val="single"/>
        </w:rPr>
        <w:t>（代理机构名称）</w:t>
      </w:r>
      <w:r>
        <w:rPr>
          <w:rFonts w:hint="eastAsia" w:ascii="宋体" w:hAnsi="宋体"/>
          <w:spacing w:val="6"/>
          <w:sz w:val="24"/>
        </w:rPr>
        <w:t>：</w:t>
      </w:r>
    </w:p>
    <w:p w14:paraId="15823A8B">
      <w:pPr>
        <w:pStyle w:val="69"/>
        <w:spacing w:before="120" w:beforeLines="50" w:line="480" w:lineRule="auto"/>
        <w:ind w:firstLine="504" w:firstLineChars="200"/>
        <w:rPr>
          <w:rFonts w:hint="eastAsia" w:ascii="宋体" w:hAnsi="宋体"/>
          <w:spacing w:val="6"/>
          <w:sz w:val="24"/>
        </w:rPr>
      </w:pPr>
      <w:r>
        <w:rPr>
          <w:rFonts w:hint="eastAsia" w:ascii="宋体" w:hAnsi="宋体"/>
          <w:spacing w:val="6"/>
          <w:sz w:val="24"/>
        </w:rPr>
        <w:t xml:space="preserve"> 我方参与的</w:t>
      </w:r>
      <w:r>
        <w:rPr>
          <w:rFonts w:hint="eastAsia" w:ascii="宋体" w:hAnsi="宋体"/>
          <w:spacing w:val="6"/>
          <w:sz w:val="24"/>
          <w:u w:val="single"/>
        </w:rPr>
        <w:t xml:space="preserve">                         </w:t>
      </w:r>
      <w:r>
        <w:rPr>
          <w:rFonts w:hint="eastAsia" w:ascii="宋体" w:hAnsi="宋体"/>
          <w:spacing w:val="6"/>
          <w:sz w:val="24"/>
        </w:rPr>
        <w:t>（采购项目名称）（采购编号：</w:t>
      </w:r>
      <w:r>
        <w:rPr>
          <w:rFonts w:hint="eastAsia" w:ascii="宋体" w:hAnsi="宋体"/>
          <w:spacing w:val="6"/>
          <w:sz w:val="24"/>
          <w:u w:val="single"/>
        </w:rPr>
        <w:t>　　  　　</w:t>
      </w:r>
      <w:r>
        <w:rPr>
          <w:rFonts w:hint="eastAsia" w:ascii="宋体" w:hAnsi="宋体"/>
          <w:spacing w:val="6"/>
          <w:sz w:val="24"/>
        </w:rPr>
        <w:t>）项目的磋商活动，我方郑重声明，我方参加本项目磋商活动前三年内无重大违法记录</w:t>
      </w:r>
      <w:r>
        <w:rPr>
          <w:rFonts w:hint="eastAsia" w:ascii="宋体" w:hAnsi="宋体"/>
          <w:b/>
          <w:spacing w:val="6"/>
          <w:sz w:val="24"/>
        </w:rPr>
        <w:t>（重大违法记录是指供应商因违法经营受到刑事处罚或者责令停产停业、吊销许可证或者执照、较大数额罚款等行政处罚），</w:t>
      </w:r>
      <w:r>
        <w:rPr>
          <w:rFonts w:hint="eastAsia" w:ascii="宋体" w:hAnsi="宋体"/>
          <w:spacing w:val="6"/>
          <w:sz w:val="24"/>
        </w:rPr>
        <w:t>符合《中华人民共和国政府采购法》《中华人民共和国政府采购法实施条例》的规定。我方对此声明负全部法律责任。</w:t>
      </w:r>
    </w:p>
    <w:p w14:paraId="400CAB5B">
      <w:pPr>
        <w:pStyle w:val="69"/>
        <w:spacing w:line="480" w:lineRule="auto"/>
        <w:ind w:firstLine="504" w:firstLineChars="200"/>
        <w:rPr>
          <w:rFonts w:hint="eastAsia" w:ascii="宋体" w:hAnsi="宋体"/>
          <w:spacing w:val="6"/>
          <w:sz w:val="24"/>
        </w:rPr>
      </w:pPr>
      <w:r>
        <w:rPr>
          <w:rFonts w:hint="eastAsia" w:ascii="宋体" w:hAnsi="宋体"/>
          <w:spacing w:val="6"/>
          <w:sz w:val="24"/>
        </w:rPr>
        <w:tab/>
      </w:r>
      <w:r>
        <w:rPr>
          <w:rFonts w:hint="eastAsia" w:ascii="宋体" w:hAnsi="宋体"/>
          <w:spacing w:val="6"/>
          <w:sz w:val="24"/>
        </w:rPr>
        <w:t>特此声明。</w:t>
      </w:r>
    </w:p>
    <w:p w14:paraId="41169920">
      <w:pPr>
        <w:pStyle w:val="68"/>
        <w:jc w:val="center"/>
        <w:rPr>
          <w:rFonts w:hint="eastAsia" w:hAnsi="宋体"/>
          <w:sz w:val="30"/>
        </w:rPr>
      </w:pPr>
    </w:p>
    <w:p w14:paraId="1AFD3D04">
      <w:pPr>
        <w:widowControl/>
        <w:spacing w:line="480" w:lineRule="auto"/>
        <w:jc w:val="center"/>
        <w:rPr>
          <w:rFonts w:hint="eastAsia" w:ascii="宋体" w:hAnsi="宋体"/>
          <w:b/>
          <w:sz w:val="30"/>
        </w:rPr>
      </w:pPr>
    </w:p>
    <w:p w14:paraId="001A7482">
      <w:pPr>
        <w:widowControl/>
        <w:spacing w:line="480" w:lineRule="auto"/>
        <w:jc w:val="center"/>
        <w:rPr>
          <w:rFonts w:hint="eastAsia" w:ascii="宋体" w:hAnsi="宋体"/>
          <w:b/>
          <w:sz w:val="30"/>
        </w:rPr>
      </w:pPr>
    </w:p>
    <w:p w14:paraId="11F45F98">
      <w:pPr>
        <w:widowControl/>
        <w:spacing w:line="480" w:lineRule="auto"/>
        <w:jc w:val="center"/>
        <w:rPr>
          <w:rFonts w:hint="eastAsia" w:ascii="宋体" w:hAnsi="宋体"/>
          <w:b/>
          <w:sz w:val="30"/>
        </w:rPr>
      </w:pPr>
    </w:p>
    <w:p w14:paraId="6703FED1">
      <w:pPr>
        <w:widowControl/>
        <w:spacing w:line="480" w:lineRule="auto"/>
        <w:jc w:val="center"/>
        <w:rPr>
          <w:rFonts w:hint="eastAsia" w:ascii="宋体" w:hAnsi="宋体"/>
          <w:b/>
          <w:sz w:val="30"/>
        </w:rPr>
      </w:pPr>
    </w:p>
    <w:p w14:paraId="1F5393C4">
      <w:pPr>
        <w:widowControl/>
        <w:spacing w:line="480" w:lineRule="auto"/>
        <w:jc w:val="center"/>
        <w:rPr>
          <w:rFonts w:hint="eastAsia" w:ascii="宋体" w:hAnsi="宋体"/>
          <w:b/>
          <w:sz w:val="30"/>
        </w:rPr>
      </w:pPr>
    </w:p>
    <w:p w14:paraId="64588B36">
      <w:pPr>
        <w:widowControl/>
        <w:spacing w:line="480" w:lineRule="auto"/>
        <w:jc w:val="center"/>
        <w:rPr>
          <w:rFonts w:hint="eastAsia" w:ascii="宋体" w:hAnsi="宋体"/>
          <w:b/>
          <w:sz w:val="30"/>
        </w:rPr>
      </w:pPr>
    </w:p>
    <w:p w14:paraId="33E17B9F">
      <w:pPr>
        <w:pStyle w:val="68"/>
        <w:spacing w:line="480" w:lineRule="auto"/>
      </w:pPr>
    </w:p>
    <w:p w14:paraId="6C5056E7">
      <w:pPr>
        <w:widowControl/>
        <w:spacing w:line="480" w:lineRule="auto"/>
        <w:jc w:val="center"/>
      </w:pPr>
      <w:r>
        <w:br w:type="page"/>
      </w:r>
    </w:p>
    <w:p w14:paraId="6122DB72">
      <w:pPr>
        <w:pStyle w:val="7"/>
        <w:tabs>
          <w:tab w:val="left" w:pos="3405"/>
        </w:tabs>
        <w:ind w:firstLine="321" w:firstLineChars="100"/>
        <w:jc w:val="center"/>
        <w:rPr>
          <w:rFonts w:hint="eastAsia" w:ascii="宋体" w:hAnsi="宋体"/>
          <w:sz w:val="32"/>
        </w:rPr>
        <w:sectPr>
          <w:headerReference r:id="rId9" w:type="default"/>
          <w:footerReference r:id="rId10" w:type="default"/>
          <w:pgSz w:w="11906" w:h="16838"/>
          <w:pgMar w:top="1588" w:right="1304" w:bottom="1361" w:left="1361" w:header="851" w:footer="992" w:gutter="0"/>
          <w:pgBorders>
            <w:top w:val="none" w:sz="0" w:space="0"/>
            <w:left w:val="none" w:sz="0" w:space="0"/>
            <w:bottom w:val="none" w:sz="0" w:space="0"/>
            <w:right w:val="none" w:sz="0" w:space="0"/>
          </w:pgBorders>
          <w:pgNumType w:fmt="decimal" w:start="1"/>
          <w:cols w:space="720" w:num="1"/>
          <w:docGrid w:linePitch="312" w:charSpace="0"/>
        </w:sectPr>
      </w:pPr>
      <w:bookmarkStart w:id="394" w:name="_Toc386467624"/>
      <w:bookmarkStart w:id="395" w:name="_Toc94277260"/>
      <w:bookmarkStart w:id="396" w:name="_Toc13561"/>
    </w:p>
    <w:p w14:paraId="11498440">
      <w:pPr>
        <w:widowControl/>
        <w:spacing w:line="480" w:lineRule="auto"/>
        <w:jc w:val="center"/>
        <w:rPr>
          <w:rFonts w:hint="eastAsia" w:ascii="宋体" w:hAnsi="宋体" w:cs="宋体"/>
          <w:b/>
          <w:sz w:val="30"/>
        </w:rPr>
      </w:pPr>
      <w:r>
        <w:rPr>
          <w:rFonts w:hint="eastAsia" w:ascii="宋体" w:hAnsi="宋体" w:cs="宋体"/>
          <w:b/>
          <w:sz w:val="32"/>
        </w:rPr>
        <w:t>▲</w:t>
      </w:r>
      <w:r>
        <w:rPr>
          <w:rFonts w:hint="eastAsia" w:ascii="宋体" w:hAnsi="宋体" w:cs="宋体"/>
          <w:b/>
          <w:sz w:val="32"/>
          <w:lang w:val="en-US" w:eastAsia="zh-CN"/>
        </w:rPr>
        <w:t>6</w:t>
      </w:r>
      <w:r>
        <w:rPr>
          <w:rFonts w:hint="eastAsia" w:ascii="宋体" w:hAnsi="宋体" w:cs="宋体"/>
          <w:b/>
          <w:sz w:val="30"/>
        </w:rPr>
        <w:t>.企业类型声明函</w:t>
      </w:r>
    </w:p>
    <w:p w14:paraId="4C634AF0">
      <w:pPr>
        <w:widowControl/>
        <w:spacing w:line="480" w:lineRule="auto"/>
        <w:jc w:val="center"/>
        <w:rPr>
          <w:rFonts w:hint="eastAsia" w:ascii="宋体" w:hAnsi="宋体" w:cs="宋体"/>
          <w:sz w:val="30"/>
        </w:rPr>
      </w:pPr>
      <w:r>
        <w:rPr>
          <w:rFonts w:hint="eastAsia" w:ascii="宋体" w:hAnsi="宋体" w:cs="宋体"/>
          <w:b/>
          <w:sz w:val="30"/>
          <w:lang w:val="en-US" w:eastAsia="zh-CN"/>
        </w:rPr>
        <w:t>6</w:t>
      </w:r>
      <w:r>
        <w:rPr>
          <w:rFonts w:hint="eastAsia" w:ascii="宋体" w:hAnsi="宋体" w:cs="宋体"/>
          <w:b/>
          <w:sz w:val="30"/>
        </w:rPr>
        <w:t>.1</w:t>
      </w:r>
      <w:r>
        <w:rPr>
          <w:rFonts w:hint="eastAsia" w:ascii="宋体" w:hAnsi="宋体" w:cs="宋体"/>
          <w:b/>
          <w:bCs/>
          <w:sz w:val="30"/>
        </w:rPr>
        <w:t>中小企业声明函（服务）</w:t>
      </w:r>
    </w:p>
    <w:p w14:paraId="183EC22A">
      <w:pPr>
        <w:spacing w:line="360" w:lineRule="auto"/>
        <w:ind w:firstLine="480" w:firstLineChars="200"/>
        <w:rPr>
          <w:rFonts w:hint="eastAsia" w:ascii="宋体" w:hAnsi="宋体" w:cs="宋体"/>
          <w:sz w:val="24"/>
        </w:rPr>
      </w:pPr>
      <w:r>
        <w:rPr>
          <w:rFonts w:hint="eastAsia" w:ascii="宋体" w:hAnsi="宋体" w:cs="宋体"/>
          <w:sz w:val="24"/>
        </w:rPr>
        <w:t>本公司郑重声明，根据《政府采购促进中小企业发展管理办法》（财库﹝2020﹞46 号）的规定，本公司参加</w:t>
      </w:r>
      <w:r>
        <w:rPr>
          <w:rFonts w:hint="eastAsia" w:ascii="宋体" w:hAnsi="宋体" w:cs="宋体"/>
          <w:sz w:val="24"/>
          <w:u w:val="single"/>
        </w:rPr>
        <w:t>（单位名称）</w:t>
      </w:r>
      <w:r>
        <w:rPr>
          <w:rFonts w:hint="eastAsia" w:ascii="宋体" w:hAnsi="宋体" w:cs="宋体"/>
          <w:sz w:val="24"/>
        </w:rPr>
        <w:t>的</w:t>
      </w:r>
      <w:r>
        <w:rPr>
          <w:rFonts w:hint="eastAsia" w:ascii="宋体" w:hAnsi="宋体" w:cs="宋体"/>
          <w:sz w:val="24"/>
          <w:u w:val="single"/>
        </w:rPr>
        <w:t>（项目名称）</w:t>
      </w:r>
      <w:r>
        <w:rPr>
          <w:rFonts w:hint="eastAsia" w:ascii="宋体" w:hAnsi="宋体" w:cs="宋体"/>
          <w:sz w:val="24"/>
        </w:rPr>
        <w:t>采购活动，工程的施工单位全部为符合政策要求的中小企业（或者：服务全部由符合政策要求的中小企业承接）。相关企业的具体情况如下：</w:t>
      </w:r>
    </w:p>
    <w:p w14:paraId="3AAB8B17">
      <w:pPr>
        <w:spacing w:line="360" w:lineRule="auto"/>
        <w:ind w:firstLine="480" w:firstLineChars="200"/>
        <w:rPr>
          <w:rFonts w:hint="eastAsia" w:ascii="宋体" w:hAnsi="宋体" w:cs="宋体"/>
          <w:sz w:val="24"/>
        </w:rPr>
      </w:pPr>
    </w:p>
    <w:p w14:paraId="6203D648">
      <w:pPr>
        <w:spacing w:line="360" w:lineRule="auto"/>
        <w:ind w:firstLine="480" w:firstLineChars="200"/>
        <w:rPr>
          <w:rFonts w:hint="eastAsia" w:ascii="宋体" w:hAnsi="宋体" w:cs="宋体"/>
          <w:sz w:val="24"/>
        </w:rPr>
      </w:pPr>
      <w:r>
        <w:rPr>
          <w:rFonts w:hint="eastAsia" w:ascii="宋体" w:hAnsi="宋体" w:cs="宋体"/>
          <w:sz w:val="24"/>
        </w:rPr>
        <w:t>1.</w:t>
      </w:r>
      <w:r>
        <w:rPr>
          <w:rFonts w:hint="eastAsia" w:ascii="宋体" w:hAnsi="宋体" w:cs="宋体"/>
          <w:sz w:val="24"/>
          <w:u w:val="single"/>
        </w:rPr>
        <w:t xml:space="preserve"> （标的名称） </w:t>
      </w:r>
      <w:r>
        <w:rPr>
          <w:rFonts w:hint="eastAsia" w:ascii="宋体" w:hAnsi="宋体" w:cs="宋体"/>
          <w:sz w:val="24"/>
        </w:rPr>
        <w:t xml:space="preserve">，属于 </w:t>
      </w:r>
      <w:r>
        <w:rPr>
          <w:rFonts w:hint="eastAsia" w:ascii="宋体" w:hAnsi="宋体" w:cs="宋体"/>
          <w:sz w:val="24"/>
          <w:u w:val="single"/>
        </w:rPr>
        <w:t>其他未列明行业，</w:t>
      </w:r>
      <w:r>
        <w:rPr>
          <w:rFonts w:hint="eastAsia" w:ascii="宋体" w:hAnsi="宋体" w:cs="宋体"/>
          <w:sz w:val="24"/>
        </w:rPr>
        <w:t xml:space="preserve"> 承建（承接）企业为</w:t>
      </w:r>
      <w:r>
        <w:rPr>
          <w:rFonts w:hint="eastAsia" w:ascii="宋体" w:hAnsi="宋体" w:cs="宋体"/>
          <w:sz w:val="24"/>
          <w:u w:val="single"/>
        </w:rPr>
        <w:t>（企业名称）</w:t>
      </w:r>
      <w:r>
        <w:rPr>
          <w:rFonts w:hint="eastAsia" w:ascii="宋体" w:hAnsi="宋体" w:cs="宋体"/>
          <w:sz w:val="24"/>
        </w:rPr>
        <w:t>，从业人员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（中型企业或小型企业或微型企业，三选一进行承诺）</w:t>
      </w:r>
      <w:r>
        <w:rPr>
          <w:rFonts w:hint="eastAsia" w:ascii="宋体" w:hAnsi="宋体" w:cs="宋体"/>
          <w:sz w:val="24"/>
        </w:rPr>
        <w:t xml:space="preserve">； </w:t>
      </w:r>
    </w:p>
    <w:p w14:paraId="48407BB2">
      <w:pPr>
        <w:spacing w:line="360" w:lineRule="auto"/>
        <w:ind w:firstLine="480" w:firstLineChars="200"/>
        <w:rPr>
          <w:rFonts w:hint="eastAsia" w:ascii="宋体" w:hAnsi="宋体" w:cs="宋体"/>
          <w:sz w:val="24"/>
        </w:rPr>
      </w:pPr>
    </w:p>
    <w:p w14:paraId="6CD638F3">
      <w:pPr>
        <w:spacing w:line="360" w:lineRule="auto"/>
        <w:ind w:firstLine="480" w:firstLineChars="200"/>
        <w:rPr>
          <w:rFonts w:hint="eastAsia" w:ascii="宋体" w:hAnsi="宋体" w:cs="宋体"/>
          <w:sz w:val="24"/>
        </w:rPr>
      </w:pPr>
      <w:r>
        <w:rPr>
          <w:rFonts w:hint="eastAsia" w:ascii="宋体" w:hAnsi="宋体" w:cs="宋体"/>
          <w:sz w:val="24"/>
        </w:rPr>
        <w:t>以上企业，不属于大企业的分支机构，不存在控股股东为大企业的情形，也不存在与大企业的负责人为同一人的情形。</w:t>
      </w:r>
    </w:p>
    <w:p w14:paraId="7153A195">
      <w:pPr>
        <w:pStyle w:val="108"/>
        <w:spacing w:line="400" w:lineRule="exact"/>
        <w:ind w:firstLine="480" w:firstLineChars="200"/>
        <w:rPr>
          <w:rFonts w:hint="eastAsia" w:ascii="宋体" w:hAnsi="宋体" w:cs="宋体"/>
          <w:sz w:val="24"/>
        </w:rPr>
      </w:pPr>
      <w:r>
        <w:rPr>
          <w:rFonts w:hint="eastAsia" w:ascii="宋体" w:hAnsi="宋体" w:cs="宋体"/>
          <w:sz w:val="24"/>
        </w:rPr>
        <w:t>本企业对上述声明内容的真实性负责。如有虚假，将依法承担相应责任。</w:t>
      </w:r>
    </w:p>
    <w:p w14:paraId="306AD321">
      <w:pPr>
        <w:pStyle w:val="108"/>
        <w:spacing w:line="360" w:lineRule="auto"/>
        <w:ind w:firstLine="504"/>
        <w:rPr>
          <w:rFonts w:hint="eastAsia" w:ascii="宋体" w:hAnsi="宋体" w:cs="宋体"/>
          <w:spacing w:val="6"/>
          <w:sz w:val="24"/>
        </w:rPr>
      </w:pPr>
    </w:p>
    <w:p w14:paraId="0D327886">
      <w:pPr>
        <w:pStyle w:val="19"/>
        <w:ind w:firstLine="422" w:firstLineChars="200"/>
        <w:rPr>
          <w:rFonts w:hint="eastAsia" w:hAnsi="宋体" w:cs="宋体"/>
          <w:b/>
          <w:bCs/>
          <w:kern w:val="0"/>
          <w:szCs w:val="21"/>
          <w:lang w:bidi="ar"/>
        </w:rPr>
      </w:pPr>
    </w:p>
    <w:p w14:paraId="24DE1D4F">
      <w:pPr>
        <w:pStyle w:val="19"/>
        <w:ind w:firstLine="422" w:firstLineChars="200"/>
        <w:rPr>
          <w:rFonts w:hint="eastAsia" w:hAnsi="宋体" w:cs="宋体"/>
          <w:b/>
          <w:bCs/>
          <w:color w:val="auto"/>
          <w:kern w:val="0"/>
          <w:szCs w:val="21"/>
          <w:highlight w:val="none"/>
          <w:lang w:bidi="ar"/>
        </w:rPr>
      </w:pPr>
      <w:r>
        <w:rPr>
          <w:rFonts w:hint="eastAsia" w:hAnsi="宋体" w:cs="宋体"/>
          <w:b/>
          <w:bCs/>
          <w:color w:val="auto"/>
          <w:kern w:val="0"/>
          <w:szCs w:val="21"/>
          <w:highlight w:val="none"/>
          <w:lang w:bidi="ar"/>
        </w:rPr>
        <w:t>注：</w:t>
      </w:r>
    </w:p>
    <w:p w14:paraId="7E8E1380">
      <w:pPr>
        <w:spacing w:line="360" w:lineRule="auto"/>
        <w:ind w:left="502"/>
        <w:rPr>
          <w:rFonts w:hint="eastAsia" w:ascii="宋体" w:hAnsi="宋体" w:cs="宋体"/>
          <w:b/>
          <w:bCs/>
          <w:color w:val="auto"/>
          <w:kern w:val="0"/>
          <w:szCs w:val="21"/>
          <w:highlight w:val="none"/>
          <w:lang w:bidi="ar"/>
        </w:rPr>
      </w:pPr>
      <w:r>
        <w:rPr>
          <w:rFonts w:hint="eastAsia" w:ascii="宋体" w:hAnsi="宋体" w:cs="宋体"/>
          <w:b/>
          <w:bCs/>
          <w:color w:val="auto"/>
          <w:kern w:val="0"/>
          <w:szCs w:val="21"/>
          <w:highlight w:val="none"/>
          <w:lang w:bidi="ar"/>
        </w:rPr>
        <w:t>1.从业人员、营业收入、资产总额填报上一年度数据，无上一年度数据的新成立企业可不填报。</w:t>
      </w:r>
    </w:p>
    <w:p w14:paraId="78CB4D24">
      <w:pPr>
        <w:spacing w:line="360" w:lineRule="auto"/>
        <w:ind w:left="502"/>
        <w:rPr>
          <w:rFonts w:hint="eastAsia" w:ascii="宋体" w:hAnsi="宋体" w:cs="宋体"/>
          <w:b/>
          <w:bCs/>
          <w:color w:val="auto"/>
          <w:kern w:val="0"/>
          <w:szCs w:val="21"/>
          <w:highlight w:val="none"/>
          <w:lang w:bidi="ar"/>
        </w:rPr>
      </w:pPr>
      <w:r>
        <w:rPr>
          <w:rFonts w:hint="eastAsia" w:ascii="宋体" w:hAnsi="宋体" w:cs="宋体"/>
          <w:b/>
          <w:bCs/>
          <w:color w:val="auto"/>
          <w:kern w:val="0"/>
          <w:szCs w:val="21"/>
          <w:highlight w:val="none"/>
          <w:lang w:bidi="ar"/>
        </w:rPr>
        <w:t>2.其他未列明行业划分标准。从业人员300人以下的为中小微型企业。其中，从业人员100人及以上的为中型企业；从业人员10人及以上的为小型企业；从业人员10人以下的为微型企业。</w:t>
      </w:r>
    </w:p>
    <w:p w14:paraId="309C3994">
      <w:pPr>
        <w:pStyle w:val="19"/>
        <w:spacing w:line="360" w:lineRule="auto"/>
        <w:ind w:firstLine="422" w:firstLineChars="200"/>
        <w:rPr>
          <w:rFonts w:hint="eastAsia" w:hAnsi="宋体" w:cs="宋体"/>
          <w:b/>
          <w:bCs/>
          <w:color w:val="auto"/>
          <w:kern w:val="0"/>
          <w:szCs w:val="21"/>
          <w:highlight w:val="none"/>
          <w:shd w:val="clear" w:color="FFFFFF" w:fill="D9D9D9"/>
          <w:lang w:bidi="ar"/>
        </w:rPr>
      </w:pPr>
      <w:r>
        <w:rPr>
          <w:rFonts w:hint="eastAsia" w:hAnsi="宋体" w:cs="宋体"/>
          <w:b/>
          <w:bCs/>
          <w:color w:val="auto"/>
          <w:kern w:val="0"/>
          <w:szCs w:val="21"/>
          <w:highlight w:val="none"/>
          <w:shd w:val="clear" w:color="FFFFFF" w:fill="D9D9D9"/>
          <w:lang w:bidi="ar"/>
        </w:rPr>
        <w:t>3.资格审查中（适用于专门面向中小企业项目），</w:t>
      </w:r>
      <w:bookmarkStart w:id="397" w:name="OLE_LINK30"/>
      <w:bookmarkStart w:id="398" w:name="OLE_LINK29"/>
      <w:r>
        <w:rPr>
          <w:rFonts w:hint="eastAsia" w:hAnsi="宋体" w:cs="宋体"/>
          <w:b/>
          <w:bCs/>
          <w:color w:val="auto"/>
          <w:kern w:val="0"/>
          <w:szCs w:val="21"/>
          <w:highlight w:val="none"/>
          <w:shd w:val="clear" w:color="FFFFFF" w:fill="D9D9D9"/>
          <w:lang w:bidi="ar"/>
        </w:rPr>
        <w:t>发现</w:t>
      </w:r>
      <w:bookmarkStart w:id="399" w:name="OLE_LINK22"/>
      <w:r>
        <w:rPr>
          <w:rFonts w:hint="eastAsia" w:hAnsi="宋体" w:cs="宋体"/>
          <w:b/>
          <w:bCs/>
          <w:color w:val="auto"/>
          <w:kern w:val="0"/>
          <w:szCs w:val="21"/>
          <w:highlight w:val="none"/>
          <w:shd w:val="clear" w:color="FFFFFF" w:fill="D9D9D9"/>
          <w:lang w:bidi="ar"/>
        </w:rPr>
        <w:t>《中小企业声明函》</w:t>
      </w:r>
      <w:bookmarkEnd w:id="399"/>
      <w:r>
        <w:rPr>
          <w:rFonts w:hint="eastAsia" w:hAnsi="宋体" w:cs="宋体"/>
          <w:b/>
          <w:bCs/>
          <w:color w:val="auto"/>
          <w:kern w:val="0"/>
          <w:szCs w:val="21"/>
          <w:highlight w:val="none"/>
          <w:shd w:val="clear" w:color="FFFFFF" w:fill="D9D9D9"/>
          <w:lang w:bidi="ar"/>
        </w:rPr>
        <w:t>填写有以下情形的</w:t>
      </w:r>
      <w:bookmarkEnd w:id="397"/>
      <w:bookmarkEnd w:id="398"/>
      <w:r>
        <w:rPr>
          <w:rFonts w:hint="eastAsia" w:hAnsi="宋体" w:cs="宋体"/>
          <w:b/>
          <w:bCs/>
          <w:color w:val="auto"/>
          <w:kern w:val="0"/>
          <w:szCs w:val="21"/>
          <w:highlight w:val="none"/>
          <w:shd w:val="clear" w:color="FFFFFF" w:fill="D9D9D9"/>
          <w:lang w:bidi="ar"/>
        </w:rPr>
        <w:t>，作资格审查不通过（即无效标）处理：</w:t>
      </w:r>
    </w:p>
    <w:p w14:paraId="01C9705C">
      <w:pPr>
        <w:pStyle w:val="19"/>
        <w:spacing w:line="360" w:lineRule="auto"/>
        <w:ind w:firstLine="422" w:firstLineChars="200"/>
        <w:rPr>
          <w:rFonts w:hint="eastAsia" w:hAnsi="宋体" w:cs="宋体"/>
          <w:b/>
          <w:bCs/>
          <w:color w:val="auto"/>
          <w:kern w:val="0"/>
          <w:szCs w:val="21"/>
          <w:highlight w:val="none"/>
          <w:shd w:val="clear" w:color="FFFFFF" w:fill="D9D9D9"/>
          <w:lang w:bidi="ar"/>
        </w:rPr>
      </w:pPr>
      <w:r>
        <w:rPr>
          <w:rFonts w:hint="eastAsia" w:hAnsi="宋体" w:cs="宋体"/>
          <w:b/>
          <w:bCs/>
          <w:color w:val="auto"/>
          <w:kern w:val="0"/>
          <w:szCs w:val="21"/>
          <w:highlight w:val="none"/>
          <w:shd w:val="clear" w:color="FFFFFF" w:fill="D9D9D9"/>
          <w:lang w:bidi="ar"/>
        </w:rPr>
        <w:t>（1）企业类型填写错误的；</w:t>
      </w:r>
    </w:p>
    <w:p w14:paraId="6264398A">
      <w:pPr>
        <w:pStyle w:val="19"/>
        <w:spacing w:line="360" w:lineRule="auto"/>
        <w:ind w:firstLine="422" w:firstLineChars="200"/>
        <w:rPr>
          <w:rFonts w:hint="eastAsia" w:hAnsi="宋体" w:eastAsia="宋体" w:cs="宋体"/>
          <w:b/>
          <w:bCs/>
          <w:color w:val="auto"/>
          <w:kern w:val="0"/>
          <w:szCs w:val="21"/>
          <w:highlight w:val="none"/>
          <w:shd w:val="clear" w:color="FFFFFF" w:fill="D9D9D9"/>
          <w:lang w:eastAsia="zh-CN" w:bidi="ar"/>
        </w:rPr>
      </w:pPr>
      <w:r>
        <w:rPr>
          <w:rFonts w:hint="eastAsia" w:hAnsi="宋体" w:cs="宋体"/>
          <w:b/>
          <w:bCs/>
          <w:color w:val="auto"/>
          <w:kern w:val="0"/>
          <w:szCs w:val="21"/>
          <w:highlight w:val="none"/>
          <w:shd w:val="clear" w:color="FFFFFF" w:fill="D9D9D9"/>
          <w:lang w:bidi="ar"/>
        </w:rPr>
        <w:t>（2）填写行业明显错误（错填为“采购文件确定的行业”的除外）或者未填写行业的</w:t>
      </w:r>
      <w:r>
        <w:rPr>
          <w:rFonts w:hint="eastAsia" w:hAnsi="宋体" w:cs="宋体"/>
          <w:b/>
          <w:bCs/>
          <w:color w:val="auto"/>
          <w:kern w:val="0"/>
          <w:szCs w:val="21"/>
          <w:highlight w:val="none"/>
          <w:shd w:val="clear" w:color="FFFFFF" w:fill="D9D9D9"/>
          <w:lang w:eastAsia="zh-CN" w:bidi="ar"/>
        </w:rPr>
        <w:t>。</w:t>
      </w:r>
    </w:p>
    <w:p w14:paraId="55F4BE5C">
      <w:pPr>
        <w:pStyle w:val="76"/>
        <w:spacing w:line="440" w:lineRule="exact"/>
        <w:ind w:firstLine="5320" w:firstLineChars="1900"/>
        <w:rPr>
          <w:rFonts w:hint="eastAsia" w:ascii="宋体" w:hAnsi="宋体" w:cs="宋体"/>
          <w:spacing w:val="20"/>
          <w:sz w:val="24"/>
          <w:szCs w:val="21"/>
        </w:rPr>
      </w:pPr>
    </w:p>
    <w:p w14:paraId="4EF749D2">
      <w:pPr>
        <w:pStyle w:val="76"/>
        <w:spacing w:line="440" w:lineRule="exact"/>
        <w:ind w:firstLine="5320" w:firstLineChars="1900"/>
        <w:rPr>
          <w:rFonts w:hint="eastAsia" w:ascii="宋体" w:hAnsi="宋体" w:cs="宋体"/>
          <w:spacing w:val="20"/>
          <w:sz w:val="24"/>
          <w:szCs w:val="21"/>
        </w:rPr>
      </w:pPr>
    </w:p>
    <w:p w14:paraId="7FD7D028">
      <w:pPr>
        <w:pStyle w:val="76"/>
        <w:spacing w:line="440" w:lineRule="exact"/>
        <w:ind w:firstLine="5320" w:firstLineChars="1900"/>
        <w:rPr>
          <w:rFonts w:hint="eastAsia" w:ascii="宋体" w:hAnsi="宋体" w:cs="宋体"/>
          <w:spacing w:val="20"/>
          <w:sz w:val="24"/>
          <w:szCs w:val="21"/>
        </w:rPr>
      </w:pPr>
    </w:p>
    <w:p w14:paraId="15598AB1">
      <w:pPr>
        <w:pStyle w:val="76"/>
        <w:spacing w:line="440" w:lineRule="exact"/>
        <w:ind w:firstLine="5320" w:firstLineChars="1900"/>
        <w:rPr>
          <w:rFonts w:hint="eastAsia" w:ascii="宋体" w:hAnsi="宋体" w:cs="宋体"/>
          <w:spacing w:val="20"/>
          <w:sz w:val="24"/>
          <w:szCs w:val="21"/>
          <w:u w:val="single"/>
        </w:rPr>
      </w:pPr>
      <w:r>
        <w:rPr>
          <w:rFonts w:hint="eastAsia" w:ascii="宋体" w:hAnsi="宋体" w:cs="宋体"/>
          <w:spacing w:val="20"/>
          <w:sz w:val="24"/>
          <w:szCs w:val="21"/>
        </w:rPr>
        <w:t>供应商盖章：</w:t>
      </w:r>
      <w:r>
        <w:rPr>
          <w:rFonts w:hint="eastAsia" w:ascii="宋体" w:hAnsi="宋体" w:cs="宋体"/>
          <w:spacing w:val="20"/>
          <w:sz w:val="24"/>
          <w:szCs w:val="21"/>
          <w:u w:val="single"/>
        </w:rPr>
        <w:t xml:space="preserve">           </w:t>
      </w:r>
    </w:p>
    <w:p w14:paraId="272A5B07">
      <w:pPr>
        <w:pStyle w:val="76"/>
        <w:spacing w:line="440" w:lineRule="exact"/>
        <w:ind w:firstLine="5320" w:firstLineChars="1900"/>
        <w:rPr>
          <w:rFonts w:hint="eastAsia" w:ascii="宋体" w:hAnsi="宋体" w:cs="宋体"/>
          <w:spacing w:val="20"/>
          <w:sz w:val="24"/>
          <w:szCs w:val="21"/>
          <w:u w:val="single"/>
        </w:rPr>
      </w:pPr>
      <w:r>
        <w:rPr>
          <w:rFonts w:hint="eastAsia" w:ascii="宋体" w:hAnsi="宋体" w:cs="宋体"/>
          <w:spacing w:val="20"/>
          <w:sz w:val="24"/>
          <w:szCs w:val="21"/>
        </w:rPr>
        <w:t>日     期：</w:t>
      </w:r>
      <w:r>
        <w:rPr>
          <w:rFonts w:hint="eastAsia" w:ascii="宋体" w:hAnsi="宋体" w:cs="宋体"/>
          <w:spacing w:val="20"/>
          <w:sz w:val="24"/>
          <w:szCs w:val="21"/>
          <w:u w:val="single"/>
        </w:rPr>
        <w:t xml:space="preserve">           </w:t>
      </w:r>
    </w:p>
    <w:p w14:paraId="1EF2F443">
      <w:pPr>
        <w:pStyle w:val="19"/>
        <w:spacing w:line="360" w:lineRule="auto"/>
        <w:jc w:val="center"/>
        <w:rPr>
          <w:rFonts w:hint="eastAsia" w:hAnsi="宋体" w:cs="宋体"/>
          <w:sz w:val="30"/>
        </w:rPr>
      </w:pPr>
      <w:r>
        <w:rPr>
          <w:rFonts w:hint="eastAsia" w:hAnsi="宋体" w:cs="宋体"/>
          <w:b/>
          <w:bCs/>
          <w:sz w:val="30"/>
        </w:rPr>
        <w:br w:type="page"/>
      </w:r>
      <w:r>
        <w:rPr>
          <w:rFonts w:hint="eastAsia" w:hAnsi="宋体" w:cs="宋体"/>
          <w:b/>
          <w:bCs/>
          <w:sz w:val="30"/>
          <w:lang w:val="en-US" w:eastAsia="zh-CN"/>
        </w:rPr>
        <w:t>6</w:t>
      </w:r>
      <w:r>
        <w:rPr>
          <w:rFonts w:hint="eastAsia" w:hAnsi="宋体" w:cs="宋体"/>
          <w:b/>
          <w:sz w:val="30"/>
          <w:szCs w:val="24"/>
        </w:rPr>
        <w:t>.2残疾人福利性单位声明函</w:t>
      </w:r>
    </w:p>
    <w:p w14:paraId="69916436">
      <w:pPr>
        <w:pStyle w:val="126"/>
        <w:spacing w:line="360" w:lineRule="auto"/>
        <w:ind w:firstLine="601"/>
        <w:rPr>
          <w:rFonts w:hint="eastAsia"/>
          <w:kern w:val="2"/>
        </w:rPr>
      </w:pPr>
      <w:r>
        <w:rPr>
          <w:rFonts w:hint="eastAsia"/>
          <w:kern w:val="2"/>
        </w:rPr>
        <w:t>本单位郑重声明，根据《财政部 民政部 中国残疾人联合会关于促进残疾人就业政府采购政策的通知》（财库〔2017〕141号）的规定，本单位为符合条件的残疾人福利性单位，且本单位参加</w:t>
      </w:r>
      <w:r>
        <w:rPr>
          <w:rFonts w:hint="eastAsia"/>
          <w:kern w:val="2"/>
          <w:u w:val="single"/>
        </w:rPr>
        <w:t xml:space="preserve">        </w:t>
      </w:r>
      <w:r>
        <w:rPr>
          <w:rFonts w:hint="eastAsia"/>
          <w:kern w:val="2"/>
        </w:rPr>
        <w:t>单位的</w:t>
      </w:r>
      <w:r>
        <w:rPr>
          <w:rFonts w:hint="eastAsia"/>
          <w:kern w:val="2"/>
          <w:u w:val="single"/>
        </w:rPr>
        <w:t xml:space="preserve">       </w:t>
      </w:r>
      <w:r>
        <w:rPr>
          <w:rFonts w:hint="eastAsia"/>
          <w:kern w:val="2"/>
        </w:rPr>
        <w:t>项目采购活动提供本单位制造的货物（由本单位承担工程/提供服务），或者提供其他残疾人福利性单位制造的货物（不包括使用非残疾人福利性单位注册商标的货物）。</w:t>
      </w:r>
    </w:p>
    <w:p w14:paraId="09BE5C76">
      <w:pPr>
        <w:pStyle w:val="126"/>
        <w:spacing w:line="360" w:lineRule="auto"/>
        <w:ind w:firstLine="600"/>
        <w:rPr>
          <w:rFonts w:hint="eastAsia"/>
          <w:spacing w:val="6"/>
        </w:rPr>
      </w:pPr>
      <w:r>
        <w:rPr>
          <w:rFonts w:hint="eastAsia"/>
          <w:kern w:val="2"/>
        </w:rPr>
        <w:t>本单位对上述声明的真实性负责。如有虚假，将依法承担相应责任。</w:t>
      </w:r>
    </w:p>
    <w:p w14:paraId="66EDE378">
      <w:pPr>
        <w:pStyle w:val="76"/>
        <w:spacing w:line="440" w:lineRule="exact"/>
        <w:ind w:firstLine="5320" w:firstLineChars="1900"/>
        <w:rPr>
          <w:rFonts w:hint="eastAsia" w:ascii="宋体" w:hAnsi="宋体" w:cs="宋体"/>
          <w:spacing w:val="20"/>
          <w:sz w:val="24"/>
        </w:rPr>
      </w:pPr>
    </w:p>
    <w:p w14:paraId="4F3C732C">
      <w:pPr>
        <w:pStyle w:val="76"/>
        <w:spacing w:line="440" w:lineRule="exact"/>
        <w:ind w:firstLine="5320" w:firstLineChars="1900"/>
        <w:rPr>
          <w:rFonts w:hint="eastAsia" w:ascii="宋体" w:hAnsi="宋体" w:cs="宋体"/>
          <w:spacing w:val="20"/>
          <w:sz w:val="24"/>
          <w:u w:val="single"/>
        </w:rPr>
      </w:pPr>
      <w:r>
        <w:rPr>
          <w:rFonts w:hint="eastAsia" w:ascii="宋体" w:hAnsi="宋体" w:cs="宋体"/>
          <w:spacing w:val="20"/>
          <w:sz w:val="24"/>
        </w:rPr>
        <w:t>供应商盖章：</w:t>
      </w:r>
      <w:r>
        <w:rPr>
          <w:rFonts w:hint="eastAsia" w:ascii="宋体" w:hAnsi="宋体" w:cs="宋体"/>
          <w:spacing w:val="20"/>
          <w:sz w:val="24"/>
          <w:u w:val="single"/>
        </w:rPr>
        <w:t xml:space="preserve">           </w:t>
      </w:r>
    </w:p>
    <w:p w14:paraId="5D1B2D22">
      <w:pPr>
        <w:pStyle w:val="76"/>
        <w:spacing w:line="440" w:lineRule="exact"/>
        <w:ind w:firstLine="5320" w:firstLineChars="1900"/>
        <w:rPr>
          <w:rFonts w:hint="eastAsia" w:ascii="宋体" w:hAnsi="宋体" w:cs="宋体"/>
          <w:spacing w:val="20"/>
          <w:sz w:val="24"/>
          <w:u w:val="single"/>
        </w:rPr>
      </w:pPr>
      <w:r>
        <w:rPr>
          <w:rFonts w:hint="eastAsia" w:ascii="宋体" w:hAnsi="宋体" w:cs="宋体"/>
          <w:spacing w:val="20"/>
          <w:sz w:val="24"/>
        </w:rPr>
        <w:t>日     期：</w:t>
      </w:r>
      <w:r>
        <w:rPr>
          <w:rFonts w:hint="eastAsia" w:ascii="宋体" w:hAnsi="宋体" w:cs="宋体"/>
          <w:spacing w:val="20"/>
          <w:sz w:val="24"/>
          <w:u w:val="single"/>
        </w:rPr>
        <w:t xml:space="preserve">           </w:t>
      </w:r>
    </w:p>
    <w:p w14:paraId="769F5C7F">
      <w:pPr>
        <w:spacing w:line="360" w:lineRule="auto"/>
        <w:jc w:val="center"/>
        <w:rPr>
          <w:rFonts w:hint="eastAsia" w:ascii="宋体" w:hAnsi="宋体" w:cs="宋体"/>
          <w:spacing w:val="6"/>
          <w:sz w:val="30"/>
          <w:szCs w:val="30"/>
        </w:rPr>
      </w:pPr>
    </w:p>
    <w:p w14:paraId="5AAC6A99">
      <w:pPr>
        <w:spacing w:line="360" w:lineRule="auto"/>
        <w:jc w:val="center"/>
        <w:rPr>
          <w:rFonts w:hint="eastAsia" w:ascii="宋体" w:hAnsi="宋体" w:cs="宋体"/>
          <w:spacing w:val="6"/>
          <w:sz w:val="30"/>
          <w:szCs w:val="30"/>
        </w:rPr>
      </w:pPr>
    </w:p>
    <w:p w14:paraId="2382502B">
      <w:pPr>
        <w:spacing w:line="360" w:lineRule="auto"/>
        <w:ind w:firstLine="602" w:firstLineChars="200"/>
        <w:jc w:val="center"/>
        <w:rPr>
          <w:rFonts w:hint="eastAsia" w:ascii="宋体" w:hAnsi="宋体" w:cs="宋体"/>
          <w:b/>
          <w:sz w:val="30"/>
        </w:rPr>
      </w:pPr>
      <w:r>
        <w:rPr>
          <w:rFonts w:hint="eastAsia" w:ascii="宋体" w:hAnsi="宋体" w:cs="宋体"/>
          <w:b/>
          <w:sz w:val="30"/>
          <w:lang w:val="en-US" w:eastAsia="zh-CN"/>
        </w:rPr>
        <w:t>6</w:t>
      </w:r>
      <w:r>
        <w:rPr>
          <w:rFonts w:hint="eastAsia" w:ascii="宋体" w:hAnsi="宋体" w:cs="宋体"/>
          <w:b/>
          <w:sz w:val="30"/>
        </w:rPr>
        <w:t>.3监狱企业证明</w:t>
      </w:r>
    </w:p>
    <w:p w14:paraId="594A3A44">
      <w:pPr>
        <w:pStyle w:val="11"/>
        <w:spacing w:line="360" w:lineRule="auto"/>
        <w:ind w:left="210" w:right="195" w:firstLine="600"/>
        <w:jc w:val="center"/>
        <w:rPr>
          <w:rFonts w:hint="eastAsia" w:ascii="宋体" w:hAnsi="宋体" w:cs="宋体"/>
          <w:sz w:val="24"/>
          <w:szCs w:val="24"/>
        </w:rPr>
      </w:pPr>
    </w:p>
    <w:p w14:paraId="0FAA28D5">
      <w:pPr>
        <w:pStyle w:val="11"/>
        <w:spacing w:line="360" w:lineRule="auto"/>
        <w:ind w:left="210" w:right="195" w:firstLine="482" w:firstLineChars="200"/>
        <w:jc w:val="left"/>
        <w:rPr>
          <w:rFonts w:hint="eastAsia" w:ascii="宋体" w:hAnsi="宋体" w:cs="宋体"/>
          <w:sz w:val="24"/>
          <w:szCs w:val="24"/>
        </w:rPr>
      </w:pPr>
      <w:r>
        <w:rPr>
          <w:rFonts w:hint="eastAsia" w:ascii="宋体" w:hAnsi="宋体" w:cs="宋体"/>
          <w:b/>
          <w:sz w:val="24"/>
          <w:szCs w:val="24"/>
        </w:rPr>
        <w:t>注：</w:t>
      </w:r>
      <w:r>
        <w:rPr>
          <w:rFonts w:hint="eastAsia" w:ascii="宋体" w:hAnsi="宋体" w:cs="宋体"/>
          <w:sz w:val="24"/>
          <w:szCs w:val="24"/>
        </w:rPr>
        <w:t>须提供省级以上监狱管理局、戒毒管理局（含新疆生产建设兵团）出具的属于监狱企业的证明文件</w:t>
      </w:r>
    </w:p>
    <w:p w14:paraId="0DED3CF6">
      <w:pPr>
        <w:widowControl/>
        <w:spacing w:line="480" w:lineRule="auto"/>
        <w:rPr>
          <w:rFonts w:hint="eastAsia" w:ascii="宋体" w:hAnsi="宋体" w:cs="宋体"/>
          <w:spacing w:val="20"/>
          <w:sz w:val="24"/>
          <w:u w:val="single"/>
        </w:rPr>
      </w:pPr>
    </w:p>
    <w:p w14:paraId="61486B14">
      <w:pPr>
        <w:pStyle w:val="76"/>
        <w:spacing w:line="440" w:lineRule="exact"/>
        <w:ind w:firstLine="5320" w:firstLineChars="1900"/>
        <w:rPr>
          <w:rFonts w:hint="eastAsia" w:ascii="宋体" w:hAnsi="宋体" w:cs="宋体"/>
          <w:spacing w:val="20"/>
          <w:sz w:val="24"/>
          <w:u w:val="single"/>
        </w:rPr>
      </w:pPr>
      <w:r>
        <w:rPr>
          <w:rFonts w:hint="eastAsia" w:ascii="宋体" w:hAnsi="宋体" w:cs="宋体"/>
          <w:spacing w:val="20"/>
          <w:sz w:val="24"/>
        </w:rPr>
        <w:t>供应商盖章：</w:t>
      </w:r>
      <w:r>
        <w:rPr>
          <w:rFonts w:hint="eastAsia" w:ascii="宋体" w:hAnsi="宋体" w:cs="宋体"/>
          <w:spacing w:val="20"/>
          <w:sz w:val="24"/>
          <w:u w:val="single"/>
        </w:rPr>
        <w:t xml:space="preserve">           </w:t>
      </w:r>
    </w:p>
    <w:p w14:paraId="3240C392">
      <w:pPr>
        <w:pStyle w:val="76"/>
        <w:spacing w:line="440" w:lineRule="exact"/>
        <w:ind w:firstLine="5320" w:firstLineChars="1900"/>
        <w:rPr>
          <w:rFonts w:hint="eastAsia" w:ascii="宋体" w:hAnsi="宋体" w:cs="宋体"/>
          <w:spacing w:val="20"/>
          <w:sz w:val="24"/>
          <w:u w:val="single"/>
        </w:rPr>
      </w:pPr>
      <w:r>
        <w:rPr>
          <w:rFonts w:hint="eastAsia" w:ascii="宋体" w:hAnsi="宋体" w:cs="宋体"/>
          <w:spacing w:val="20"/>
          <w:sz w:val="24"/>
        </w:rPr>
        <w:t>日     期：</w:t>
      </w:r>
      <w:r>
        <w:rPr>
          <w:rFonts w:hint="eastAsia" w:ascii="宋体" w:hAnsi="宋体" w:cs="宋体"/>
          <w:spacing w:val="20"/>
          <w:sz w:val="24"/>
          <w:u w:val="single"/>
        </w:rPr>
        <w:t xml:space="preserve">           </w:t>
      </w:r>
    </w:p>
    <w:p w14:paraId="799B81B1">
      <w:pPr>
        <w:pStyle w:val="7"/>
        <w:tabs>
          <w:tab w:val="left" w:pos="3405"/>
        </w:tabs>
        <w:ind w:firstLine="241" w:firstLineChars="100"/>
        <w:jc w:val="center"/>
        <w:rPr>
          <w:rFonts w:hint="eastAsia" w:ascii="宋体" w:hAnsi="宋体"/>
          <w:sz w:val="24"/>
          <w:szCs w:val="24"/>
        </w:rPr>
        <w:sectPr>
          <w:pgSz w:w="11906" w:h="16838"/>
          <w:pgMar w:top="1588" w:right="1304" w:bottom="1361" w:left="1361" w:header="851" w:footer="992" w:gutter="0"/>
          <w:pgBorders>
            <w:top w:val="none" w:sz="0" w:space="0"/>
            <w:left w:val="none" w:sz="0" w:space="0"/>
            <w:bottom w:val="none" w:sz="0" w:space="0"/>
            <w:right w:val="none" w:sz="0" w:space="0"/>
          </w:pgBorders>
          <w:pgNumType w:fmt="decimal"/>
          <w:cols w:space="720" w:num="1"/>
          <w:docGrid w:linePitch="312" w:charSpace="0"/>
        </w:sectPr>
      </w:pPr>
    </w:p>
    <w:p w14:paraId="78EB03E7">
      <w:pPr>
        <w:pStyle w:val="7"/>
        <w:tabs>
          <w:tab w:val="left" w:pos="3405"/>
        </w:tabs>
        <w:ind w:firstLine="321" w:firstLineChars="100"/>
        <w:jc w:val="center"/>
        <w:rPr>
          <w:rFonts w:hint="eastAsia" w:ascii="宋体" w:hAnsi="宋体"/>
          <w:sz w:val="32"/>
        </w:rPr>
      </w:pPr>
      <w:bookmarkStart w:id="400" w:name="_Toc26567"/>
      <w:bookmarkStart w:id="401" w:name="_Toc27192"/>
    </w:p>
    <w:p w14:paraId="5DCB5258">
      <w:pPr>
        <w:pStyle w:val="7"/>
        <w:tabs>
          <w:tab w:val="left" w:pos="3405"/>
        </w:tabs>
        <w:ind w:firstLine="321" w:firstLineChars="100"/>
        <w:jc w:val="center"/>
        <w:rPr>
          <w:rFonts w:hint="eastAsia" w:ascii="宋体" w:hAnsi="宋体"/>
        </w:rPr>
      </w:pPr>
      <w:bookmarkStart w:id="402" w:name="_Toc9768"/>
      <w:bookmarkStart w:id="403" w:name="_Toc10878"/>
      <w:r>
        <w:rPr>
          <w:rFonts w:hint="eastAsia" w:ascii="宋体" w:hAnsi="宋体"/>
          <w:sz w:val="32"/>
        </w:rPr>
        <w:t>二  商务技术文件格式</w:t>
      </w:r>
      <w:bookmarkEnd w:id="394"/>
      <w:bookmarkEnd w:id="395"/>
      <w:bookmarkEnd w:id="396"/>
      <w:bookmarkEnd w:id="400"/>
      <w:bookmarkEnd w:id="401"/>
      <w:bookmarkEnd w:id="402"/>
      <w:bookmarkEnd w:id="403"/>
    </w:p>
    <w:bookmarkEnd w:id="381"/>
    <w:bookmarkEnd w:id="382"/>
    <w:bookmarkEnd w:id="383"/>
    <w:bookmarkEnd w:id="384"/>
    <w:p w14:paraId="5C22DB4D">
      <w:pPr>
        <w:spacing w:line="360" w:lineRule="auto"/>
        <w:jc w:val="center"/>
        <w:rPr>
          <w:rFonts w:hint="eastAsia" w:ascii="宋体" w:hAnsi="宋体"/>
          <w:b/>
          <w:sz w:val="30"/>
        </w:rPr>
      </w:pPr>
      <w:r>
        <w:rPr>
          <w:rFonts w:ascii="宋体" w:hAnsi="宋体"/>
          <w:b/>
          <w:sz w:val="30"/>
        </w:rPr>
        <w:br w:type="page"/>
      </w:r>
    </w:p>
    <w:p w14:paraId="4043F0F0">
      <w:pPr>
        <w:spacing w:line="360" w:lineRule="auto"/>
        <w:jc w:val="center"/>
        <w:rPr>
          <w:rFonts w:hint="eastAsia" w:ascii="宋体" w:hAnsi="宋体"/>
          <w:b/>
          <w:sz w:val="32"/>
        </w:rPr>
      </w:pPr>
    </w:p>
    <w:p w14:paraId="097F0A79">
      <w:pPr>
        <w:spacing w:line="360" w:lineRule="auto"/>
        <w:jc w:val="center"/>
        <w:rPr>
          <w:rFonts w:hint="eastAsia" w:ascii="宋体" w:hAnsi="宋体"/>
          <w:b/>
          <w:sz w:val="30"/>
        </w:rPr>
      </w:pPr>
      <w:r>
        <w:rPr>
          <w:rFonts w:hint="eastAsia" w:ascii="宋体" w:hAnsi="宋体"/>
          <w:b/>
          <w:sz w:val="32"/>
        </w:rPr>
        <w:t>商务技术文件封面</w:t>
      </w:r>
    </w:p>
    <w:p w14:paraId="69C16AEB">
      <w:pPr>
        <w:pStyle w:val="11"/>
        <w:spacing w:line="360" w:lineRule="auto"/>
        <w:ind w:firstLine="900" w:firstLineChars="250"/>
        <w:rPr>
          <w:rFonts w:hint="eastAsia" w:ascii="宋体" w:hAnsi="宋体"/>
          <w:sz w:val="36"/>
        </w:rPr>
      </w:pPr>
    </w:p>
    <w:p w14:paraId="3C2FA498">
      <w:pPr>
        <w:pStyle w:val="11"/>
        <w:spacing w:line="360" w:lineRule="auto"/>
        <w:ind w:firstLine="900" w:firstLineChars="250"/>
        <w:rPr>
          <w:rFonts w:hint="eastAsia" w:ascii="宋体" w:hAnsi="宋体"/>
          <w:sz w:val="36"/>
        </w:rPr>
      </w:pPr>
      <w:r>
        <w:rPr>
          <w:rFonts w:ascii="宋体" w:hAnsi="宋体"/>
          <w:sz w:val="36"/>
        </w:rPr>
        <w:t>采购编号</w:t>
      </w:r>
      <w:r>
        <w:rPr>
          <w:rFonts w:hint="eastAsia" w:ascii="宋体" w:hAnsi="宋体"/>
          <w:sz w:val="36"/>
        </w:rPr>
        <w:t>：</w:t>
      </w:r>
    </w:p>
    <w:p w14:paraId="0ACA324A">
      <w:pPr>
        <w:pStyle w:val="11"/>
        <w:spacing w:line="360" w:lineRule="auto"/>
        <w:ind w:firstLine="0"/>
        <w:rPr>
          <w:rFonts w:hint="eastAsia" w:ascii="宋体" w:hAnsi="宋体"/>
          <w:sz w:val="36"/>
        </w:rPr>
      </w:pPr>
    </w:p>
    <w:p w14:paraId="09F7F6E9">
      <w:pPr>
        <w:pStyle w:val="11"/>
        <w:spacing w:line="360" w:lineRule="auto"/>
        <w:ind w:firstLine="900" w:firstLineChars="250"/>
        <w:rPr>
          <w:rFonts w:hint="eastAsia" w:ascii="宋体" w:hAnsi="宋体"/>
          <w:sz w:val="36"/>
        </w:rPr>
      </w:pPr>
      <w:r>
        <w:rPr>
          <w:rFonts w:ascii="宋体" w:hAnsi="宋体"/>
          <w:sz w:val="36"/>
        </w:rPr>
        <w:t>项目名称：</w:t>
      </w:r>
    </w:p>
    <w:p w14:paraId="08C7FAB3">
      <w:pPr>
        <w:pStyle w:val="11"/>
        <w:spacing w:line="360" w:lineRule="auto"/>
        <w:ind w:firstLine="0"/>
        <w:rPr>
          <w:rFonts w:hint="eastAsia" w:ascii="宋体" w:hAnsi="宋体"/>
          <w:sz w:val="36"/>
        </w:rPr>
      </w:pPr>
    </w:p>
    <w:p w14:paraId="7AE96563">
      <w:pPr>
        <w:pStyle w:val="11"/>
        <w:spacing w:line="360" w:lineRule="auto"/>
        <w:ind w:firstLine="900" w:firstLineChars="250"/>
        <w:rPr>
          <w:rFonts w:hint="eastAsia" w:ascii="宋体" w:hAnsi="宋体"/>
          <w:sz w:val="36"/>
        </w:rPr>
      </w:pPr>
      <w:r>
        <w:rPr>
          <w:rFonts w:hint="eastAsia" w:ascii="宋体" w:hAnsi="宋体"/>
          <w:sz w:val="36"/>
        </w:rPr>
        <w:t>响应</w:t>
      </w:r>
      <w:r>
        <w:rPr>
          <w:rFonts w:ascii="宋体" w:hAnsi="宋体"/>
          <w:sz w:val="36"/>
        </w:rPr>
        <w:t>文件名称：</w:t>
      </w:r>
      <w:r>
        <w:rPr>
          <w:rFonts w:hint="eastAsia" w:ascii="宋体" w:hAnsi="宋体"/>
          <w:sz w:val="36"/>
        </w:rPr>
        <w:t>商务技术文件</w:t>
      </w:r>
    </w:p>
    <w:p w14:paraId="66E3884A">
      <w:pPr>
        <w:pStyle w:val="11"/>
        <w:spacing w:line="360" w:lineRule="auto"/>
        <w:ind w:firstLine="900" w:firstLineChars="250"/>
        <w:rPr>
          <w:rFonts w:hint="eastAsia" w:ascii="宋体" w:hAnsi="宋体"/>
          <w:sz w:val="36"/>
        </w:rPr>
      </w:pPr>
    </w:p>
    <w:p w14:paraId="41F06C81">
      <w:pPr>
        <w:pStyle w:val="11"/>
        <w:spacing w:line="360" w:lineRule="auto"/>
        <w:ind w:firstLine="900" w:firstLineChars="250"/>
        <w:rPr>
          <w:rFonts w:hint="eastAsia" w:ascii="宋体" w:hAnsi="宋体"/>
          <w:sz w:val="36"/>
        </w:rPr>
      </w:pPr>
      <w:r>
        <w:rPr>
          <w:rFonts w:hint="eastAsia" w:ascii="宋体" w:hAnsi="宋体"/>
          <w:sz w:val="36"/>
        </w:rPr>
        <w:t>供应商</w:t>
      </w:r>
      <w:r>
        <w:rPr>
          <w:rFonts w:ascii="宋体" w:hAnsi="宋体"/>
          <w:sz w:val="36"/>
        </w:rPr>
        <w:t>名称（</w:t>
      </w:r>
      <w:r>
        <w:rPr>
          <w:rFonts w:hint="eastAsia" w:ascii="宋体" w:hAnsi="宋体"/>
          <w:sz w:val="36"/>
        </w:rPr>
        <w:t>CA签章</w:t>
      </w:r>
      <w:r>
        <w:rPr>
          <w:rFonts w:ascii="宋体" w:hAnsi="宋体"/>
          <w:sz w:val="36"/>
        </w:rPr>
        <w:t>）：</w:t>
      </w:r>
    </w:p>
    <w:p w14:paraId="3F7F60BD">
      <w:pPr>
        <w:pStyle w:val="11"/>
        <w:spacing w:line="360" w:lineRule="auto"/>
        <w:ind w:firstLine="900" w:firstLineChars="250"/>
        <w:rPr>
          <w:rFonts w:hint="eastAsia" w:ascii="宋体" w:hAnsi="宋体"/>
          <w:sz w:val="36"/>
        </w:rPr>
      </w:pPr>
    </w:p>
    <w:p w14:paraId="14AEFE44">
      <w:pPr>
        <w:pStyle w:val="11"/>
        <w:spacing w:line="360" w:lineRule="auto"/>
        <w:ind w:firstLine="900" w:firstLineChars="250"/>
        <w:rPr>
          <w:rFonts w:hint="eastAsia" w:ascii="宋体" w:hAnsi="宋体"/>
          <w:sz w:val="36"/>
        </w:rPr>
      </w:pPr>
      <w:r>
        <w:rPr>
          <w:rFonts w:hint="eastAsia" w:ascii="宋体" w:hAnsi="宋体"/>
          <w:sz w:val="36"/>
        </w:rPr>
        <w:t>供应商</w:t>
      </w:r>
      <w:r>
        <w:rPr>
          <w:rFonts w:ascii="宋体" w:hAnsi="宋体"/>
          <w:sz w:val="36"/>
        </w:rPr>
        <w:t>地址：</w:t>
      </w:r>
    </w:p>
    <w:p w14:paraId="185D34BF">
      <w:pPr>
        <w:pStyle w:val="11"/>
        <w:ind w:firstLine="1440" w:firstLineChars="400"/>
        <w:rPr>
          <w:rFonts w:hint="eastAsia" w:ascii="宋体" w:hAnsi="宋体"/>
          <w:sz w:val="36"/>
        </w:rPr>
      </w:pPr>
    </w:p>
    <w:p w14:paraId="4ABD4626">
      <w:pPr>
        <w:pStyle w:val="19"/>
        <w:spacing w:line="360" w:lineRule="auto"/>
        <w:ind w:firstLine="3480" w:firstLineChars="1450"/>
        <w:rPr>
          <w:rFonts w:hint="eastAsia" w:hAnsi="宋体"/>
          <w:sz w:val="24"/>
        </w:rPr>
      </w:pPr>
    </w:p>
    <w:p w14:paraId="5A38F393">
      <w:pPr>
        <w:pStyle w:val="19"/>
        <w:spacing w:line="360" w:lineRule="auto"/>
        <w:jc w:val="center"/>
        <w:rPr>
          <w:rFonts w:hint="eastAsia" w:hAnsi="宋体"/>
          <w:sz w:val="30"/>
        </w:rPr>
      </w:pPr>
    </w:p>
    <w:p w14:paraId="55E52B16">
      <w:pPr>
        <w:pStyle w:val="19"/>
        <w:spacing w:line="360" w:lineRule="auto"/>
        <w:rPr>
          <w:rFonts w:hint="eastAsia" w:hAnsi="宋体"/>
          <w:b/>
          <w:sz w:val="32"/>
        </w:rPr>
      </w:pPr>
      <w:r>
        <w:rPr>
          <w:rFonts w:hAnsi="宋体"/>
          <w:sz w:val="30"/>
        </w:rPr>
        <w:br w:type="page"/>
      </w:r>
    </w:p>
    <w:p w14:paraId="53B2DF48">
      <w:pPr>
        <w:pStyle w:val="19"/>
        <w:spacing w:line="360" w:lineRule="auto"/>
        <w:jc w:val="center"/>
        <w:rPr>
          <w:sz w:val="32"/>
          <w:szCs w:val="32"/>
        </w:rPr>
      </w:pPr>
      <w:r>
        <w:rPr>
          <w:rFonts w:hint="eastAsia" w:hAnsi="宋体"/>
          <w:b/>
          <w:sz w:val="32"/>
        </w:rPr>
        <w:t>1.磋商声明书</w:t>
      </w:r>
    </w:p>
    <w:p w14:paraId="102CA367">
      <w:pPr>
        <w:pStyle w:val="69"/>
        <w:spacing w:before="240" w:beforeLines="100" w:line="480" w:lineRule="auto"/>
        <w:rPr>
          <w:rFonts w:hint="eastAsia" w:ascii="宋体" w:hAnsi="宋体"/>
          <w:sz w:val="24"/>
          <w:szCs w:val="21"/>
          <w:u w:val="single"/>
        </w:rPr>
      </w:pPr>
      <w:r>
        <w:rPr>
          <w:rFonts w:hint="eastAsia" w:ascii="宋体" w:hAnsi="宋体"/>
          <w:sz w:val="24"/>
          <w:szCs w:val="21"/>
          <w:u w:val="single"/>
        </w:rPr>
        <w:t>（代理机构名称）：</w:t>
      </w:r>
    </w:p>
    <w:p w14:paraId="1B855C85">
      <w:pPr>
        <w:pStyle w:val="19"/>
        <w:spacing w:line="440" w:lineRule="exact"/>
        <w:ind w:firstLine="720"/>
        <w:rPr>
          <w:rFonts w:hint="eastAsia" w:hAnsi="宋体"/>
          <w:sz w:val="24"/>
          <w:szCs w:val="21"/>
        </w:rPr>
      </w:pPr>
      <w:r>
        <w:rPr>
          <w:rFonts w:hint="eastAsia" w:hAnsi="宋体"/>
          <w:sz w:val="24"/>
          <w:u w:val="single"/>
        </w:rPr>
        <w:t>　</w:t>
      </w:r>
      <w:r>
        <w:rPr>
          <w:rFonts w:hAnsi="宋体"/>
          <w:sz w:val="24"/>
          <w:szCs w:val="21"/>
          <w:u w:val="single"/>
        </w:rPr>
        <w:t>(</w:t>
      </w:r>
      <w:r>
        <w:rPr>
          <w:rFonts w:hint="eastAsia" w:hAnsi="宋体"/>
          <w:sz w:val="24"/>
          <w:szCs w:val="21"/>
          <w:u w:val="single"/>
        </w:rPr>
        <w:t>供应商名称</w:t>
      </w:r>
      <w:r>
        <w:rPr>
          <w:rFonts w:hAnsi="宋体"/>
          <w:sz w:val="24"/>
          <w:szCs w:val="21"/>
          <w:u w:val="single"/>
        </w:rPr>
        <w:t>)</w:t>
      </w:r>
      <w:r>
        <w:rPr>
          <w:rFonts w:hint="eastAsia" w:hAnsi="宋体"/>
          <w:sz w:val="24"/>
          <w:u w:val="single"/>
        </w:rPr>
        <w:t xml:space="preserve"> 　</w:t>
      </w:r>
      <w:r>
        <w:rPr>
          <w:rFonts w:hint="eastAsia" w:hAnsi="宋体"/>
          <w:sz w:val="24"/>
          <w:szCs w:val="21"/>
        </w:rPr>
        <w:t>系中华人民共和国合法企业，经营地址</w:t>
      </w:r>
      <w:r>
        <w:rPr>
          <w:rFonts w:hint="eastAsia" w:hAnsi="宋体"/>
          <w:sz w:val="24"/>
          <w:szCs w:val="21"/>
          <w:u w:val="single"/>
        </w:rPr>
        <w:t xml:space="preserve">           </w:t>
      </w:r>
      <w:r>
        <w:rPr>
          <w:rFonts w:hint="eastAsia" w:hAnsi="宋体"/>
          <w:sz w:val="24"/>
          <w:szCs w:val="21"/>
        </w:rPr>
        <w:t>。</w:t>
      </w:r>
    </w:p>
    <w:p w14:paraId="663B1356">
      <w:pPr>
        <w:pStyle w:val="19"/>
        <w:spacing w:line="440" w:lineRule="exact"/>
        <w:ind w:firstLine="720"/>
        <w:rPr>
          <w:rFonts w:hint="eastAsia" w:hAnsi="宋体"/>
          <w:sz w:val="24"/>
          <w:szCs w:val="21"/>
        </w:rPr>
      </w:pPr>
      <w:r>
        <w:rPr>
          <w:rFonts w:hint="eastAsia" w:hAnsi="宋体"/>
          <w:sz w:val="24"/>
          <w:szCs w:val="21"/>
        </w:rPr>
        <w:t>我</w:t>
      </w:r>
      <w:r>
        <w:rPr>
          <w:rFonts w:hAnsi="宋体"/>
          <w:sz w:val="24"/>
          <w:szCs w:val="21"/>
          <w:u w:val="single"/>
        </w:rPr>
        <w:t>(</w:t>
      </w:r>
      <w:r>
        <w:rPr>
          <w:rFonts w:hint="eastAsia" w:hAnsi="宋体"/>
          <w:sz w:val="24"/>
          <w:szCs w:val="21"/>
          <w:u w:val="single"/>
        </w:rPr>
        <w:t>负责人名字</w:t>
      </w:r>
      <w:r>
        <w:rPr>
          <w:rFonts w:hAnsi="宋体"/>
          <w:sz w:val="24"/>
          <w:szCs w:val="21"/>
          <w:u w:val="single"/>
        </w:rPr>
        <w:t>)</w:t>
      </w:r>
      <w:r>
        <w:rPr>
          <w:rFonts w:hint="eastAsia" w:hAnsi="宋体"/>
          <w:sz w:val="24"/>
          <w:szCs w:val="21"/>
        </w:rPr>
        <w:t>系</w:t>
      </w:r>
      <w:r>
        <w:rPr>
          <w:rFonts w:hint="eastAsia" w:hAnsi="宋体"/>
          <w:sz w:val="24"/>
          <w:szCs w:val="21"/>
          <w:u w:val="single"/>
        </w:rPr>
        <w:t xml:space="preserve">    </w:t>
      </w:r>
      <w:r>
        <w:rPr>
          <w:rFonts w:hAnsi="宋体"/>
          <w:sz w:val="24"/>
          <w:szCs w:val="21"/>
          <w:u w:val="single"/>
        </w:rPr>
        <w:t>(</w:t>
      </w:r>
      <w:r>
        <w:rPr>
          <w:rFonts w:hint="eastAsia" w:hAnsi="宋体"/>
          <w:sz w:val="24"/>
          <w:szCs w:val="21"/>
          <w:u w:val="single"/>
        </w:rPr>
        <w:t>供应商名称</w:t>
      </w:r>
      <w:r>
        <w:rPr>
          <w:rFonts w:hAnsi="宋体"/>
          <w:sz w:val="24"/>
          <w:szCs w:val="21"/>
          <w:u w:val="single"/>
        </w:rPr>
        <w:t>)</w:t>
      </w:r>
      <w:r>
        <w:rPr>
          <w:rFonts w:hint="eastAsia" w:hAnsi="宋体"/>
          <w:sz w:val="24"/>
          <w:szCs w:val="21"/>
          <w:u w:val="single"/>
        </w:rPr>
        <w:t xml:space="preserve">       </w:t>
      </w:r>
      <w:r>
        <w:rPr>
          <w:rFonts w:hint="eastAsia" w:hAnsi="宋体"/>
          <w:sz w:val="24"/>
          <w:szCs w:val="21"/>
        </w:rPr>
        <w:t>的负责人</w:t>
      </w:r>
      <w:r>
        <w:rPr>
          <w:rFonts w:hAnsi="宋体"/>
          <w:sz w:val="24"/>
          <w:szCs w:val="21"/>
        </w:rPr>
        <w:t>，</w:t>
      </w:r>
      <w:r>
        <w:rPr>
          <w:rFonts w:hint="eastAsia" w:hAnsi="宋体"/>
          <w:sz w:val="24"/>
          <w:szCs w:val="21"/>
        </w:rPr>
        <w:t>我方愿意</w:t>
      </w:r>
      <w:r>
        <w:rPr>
          <w:rFonts w:hAnsi="宋体"/>
          <w:sz w:val="24"/>
          <w:szCs w:val="21"/>
        </w:rPr>
        <w:t>参加贵方组织的</w:t>
      </w:r>
      <w:r>
        <w:rPr>
          <w:rFonts w:hint="eastAsia" w:hAnsi="宋体"/>
          <w:sz w:val="24"/>
          <w:szCs w:val="21"/>
          <w:u w:val="single"/>
        </w:rPr>
        <w:t xml:space="preserve">   （</w:t>
      </w:r>
      <w:r>
        <w:rPr>
          <w:rFonts w:hAnsi="宋体"/>
          <w:sz w:val="24"/>
          <w:szCs w:val="21"/>
          <w:u w:val="single"/>
        </w:rPr>
        <w:t>项目名称</w:t>
      </w:r>
      <w:r>
        <w:rPr>
          <w:rFonts w:hint="eastAsia" w:hAnsi="宋体"/>
          <w:sz w:val="24"/>
          <w:szCs w:val="21"/>
          <w:u w:val="single"/>
        </w:rPr>
        <w:t>）（采购编号：   ）</w:t>
      </w:r>
      <w:r>
        <w:rPr>
          <w:rFonts w:hAnsi="宋体"/>
          <w:sz w:val="24"/>
          <w:szCs w:val="21"/>
        </w:rPr>
        <w:t>的</w:t>
      </w:r>
      <w:r>
        <w:rPr>
          <w:rFonts w:hint="eastAsia" w:hAnsi="宋体"/>
          <w:sz w:val="24"/>
          <w:szCs w:val="21"/>
        </w:rPr>
        <w:t>竞争性磋商</w:t>
      </w:r>
      <w:r>
        <w:rPr>
          <w:rFonts w:hAnsi="宋体"/>
          <w:sz w:val="24"/>
          <w:szCs w:val="21"/>
        </w:rPr>
        <w:t>。</w:t>
      </w:r>
      <w:r>
        <w:rPr>
          <w:rFonts w:hint="eastAsia" w:hAnsi="宋体"/>
          <w:sz w:val="24"/>
          <w:szCs w:val="21"/>
        </w:rPr>
        <w:t>为便于贵方公正、择优地确定成交人以及磋商产品和服务，我方就本次磋商有关事项郑重承诺如下：</w:t>
      </w:r>
    </w:p>
    <w:p w14:paraId="0361ACDA">
      <w:pPr>
        <w:pStyle w:val="19"/>
        <w:spacing w:line="440" w:lineRule="exact"/>
        <w:ind w:firstLine="480" w:firstLineChars="200"/>
        <w:rPr>
          <w:rFonts w:hint="eastAsia" w:hAnsi="宋体"/>
          <w:sz w:val="24"/>
          <w:szCs w:val="21"/>
        </w:rPr>
      </w:pPr>
      <w:r>
        <w:rPr>
          <w:rFonts w:hAnsi="宋体"/>
          <w:sz w:val="24"/>
          <w:szCs w:val="21"/>
        </w:rPr>
        <w:t>1、</w:t>
      </w:r>
      <w:r>
        <w:rPr>
          <w:rFonts w:hint="eastAsia" w:hAnsi="宋体"/>
          <w:sz w:val="24"/>
          <w:szCs w:val="21"/>
        </w:rPr>
        <w:t>我方向贵方提交的所有响应文件、资料都是准确的和真实的。</w:t>
      </w:r>
    </w:p>
    <w:p w14:paraId="5530DC2B">
      <w:pPr>
        <w:pStyle w:val="19"/>
        <w:spacing w:line="440" w:lineRule="exact"/>
        <w:ind w:firstLine="480" w:firstLineChars="200"/>
        <w:rPr>
          <w:rFonts w:hint="eastAsia" w:hAnsi="宋体"/>
          <w:sz w:val="24"/>
          <w:szCs w:val="21"/>
        </w:rPr>
      </w:pPr>
      <w:r>
        <w:rPr>
          <w:rFonts w:hint="eastAsia" w:hAnsi="宋体"/>
          <w:sz w:val="24"/>
          <w:szCs w:val="21"/>
        </w:rPr>
        <w:t>2、</w:t>
      </w:r>
      <w:r>
        <w:rPr>
          <w:rFonts w:hAnsi="宋体"/>
          <w:sz w:val="24"/>
          <w:szCs w:val="21"/>
        </w:rPr>
        <w:t>我方承诺已经具备《中华人民共和国政府采购法》</w:t>
      </w:r>
      <w:r>
        <w:rPr>
          <w:rFonts w:hint="eastAsia" w:hAnsi="宋体"/>
          <w:sz w:val="24"/>
          <w:szCs w:val="21"/>
        </w:rPr>
        <w:t>、《中华人民共和国政府采购法实施条例》</w:t>
      </w:r>
      <w:r>
        <w:rPr>
          <w:rFonts w:hAnsi="宋体"/>
          <w:sz w:val="24"/>
          <w:szCs w:val="21"/>
        </w:rPr>
        <w:t>中规定的参加政府采购活动的供应商应当具备的条件</w:t>
      </w:r>
      <w:r>
        <w:rPr>
          <w:rFonts w:hint="eastAsia" w:hAnsi="宋体"/>
          <w:sz w:val="24"/>
          <w:szCs w:val="21"/>
        </w:rPr>
        <w:t>，并真实提供相关材料。</w:t>
      </w:r>
    </w:p>
    <w:p w14:paraId="4E7B4792">
      <w:pPr>
        <w:pStyle w:val="19"/>
        <w:spacing w:line="360" w:lineRule="auto"/>
        <w:ind w:firstLine="480" w:firstLineChars="200"/>
        <w:rPr>
          <w:rFonts w:hint="eastAsia" w:hAnsi="宋体"/>
          <w:sz w:val="24"/>
          <w:szCs w:val="21"/>
        </w:rPr>
      </w:pPr>
      <w:r>
        <w:rPr>
          <w:rFonts w:hint="eastAsia" w:hAnsi="宋体"/>
          <w:sz w:val="24"/>
          <w:szCs w:val="21"/>
        </w:rPr>
        <w:t>3</w:t>
      </w:r>
      <w:r>
        <w:rPr>
          <w:rFonts w:hAnsi="宋体"/>
          <w:sz w:val="24"/>
          <w:szCs w:val="21"/>
        </w:rPr>
        <w:t>、提供供应商须知规定的全部响应文件，包括：</w:t>
      </w:r>
    </w:p>
    <w:p w14:paraId="6A757FBB">
      <w:pPr>
        <w:pStyle w:val="91"/>
        <w:tabs>
          <w:tab w:val="left" w:pos="0"/>
        </w:tabs>
        <w:spacing w:line="360" w:lineRule="auto"/>
        <w:ind w:firstLine="480" w:firstLineChars="200"/>
        <w:rPr>
          <w:rFonts w:hint="eastAsia" w:hAnsi="宋体"/>
          <w:sz w:val="24"/>
          <w:szCs w:val="21"/>
        </w:rPr>
      </w:pPr>
      <w:r>
        <w:rPr>
          <w:rFonts w:hint="eastAsia" w:hAnsi="宋体"/>
          <w:sz w:val="24"/>
          <w:szCs w:val="21"/>
        </w:rPr>
        <w:t>①电子响应</w:t>
      </w:r>
      <w:r>
        <w:rPr>
          <w:rFonts w:hAnsi="宋体"/>
          <w:sz w:val="24"/>
          <w:szCs w:val="21"/>
        </w:rPr>
        <w:t>文件</w:t>
      </w:r>
      <w:r>
        <w:rPr>
          <w:rFonts w:hint="eastAsia" w:hAnsi="宋体"/>
          <w:sz w:val="24"/>
          <w:szCs w:val="21"/>
        </w:rPr>
        <w:t>；</w:t>
      </w:r>
    </w:p>
    <w:p w14:paraId="38B22504">
      <w:pPr>
        <w:spacing w:line="360" w:lineRule="auto"/>
        <w:ind w:firstLine="480" w:firstLineChars="200"/>
        <w:rPr>
          <w:rFonts w:hint="eastAsia" w:ascii="宋体" w:hAnsi="宋体"/>
          <w:sz w:val="24"/>
        </w:rPr>
      </w:pPr>
      <w:r>
        <w:rPr>
          <w:rFonts w:hint="eastAsia" w:hAnsi="宋体"/>
          <w:sz w:val="24"/>
        </w:rPr>
        <w:t>②备份响应文件（注：是否提交由供应商自行决定，如不提交，本条可删除</w:t>
      </w:r>
      <w:r>
        <w:rPr>
          <w:rFonts w:hint="eastAsia" w:ascii="宋体" w:hAnsi="宋体"/>
          <w:sz w:val="24"/>
        </w:rPr>
        <w:t>）。</w:t>
      </w:r>
    </w:p>
    <w:p w14:paraId="2542DC80">
      <w:pPr>
        <w:pStyle w:val="19"/>
        <w:spacing w:line="360" w:lineRule="auto"/>
        <w:ind w:firstLine="480" w:firstLineChars="200"/>
        <w:rPr>
          <w:rFonts w:hint="eastAsia" w:hAnsi="宋体"/>
          <w:sz w:val="24"/>
          <w:szCs w:val="21"/>
        </w:rPr>
      </w:pPr>
      <w:r>
        <w:rPr>
          <w:rFonts w:hint="eastAsia" w:hAnsi="宋体"/>
          <w:sz w:val="24"/>
          <w:szCs w:val="21"/>
        </w:rPr>
        <w:t xml:space="preserve">4、如果我方成交，将派出  </w:t>
      </w:r>
      <w:r>
        <w:rPr>
          <w:rFonts w:hint="eastAsia" w:hAnsi="宋体"/>
          <w:sz w:val="24"/>
          <w:szCs w:val="21"/>
          <w:u w:val="single"/>
        </w:rPr>
        <w:t xml:space="preserve">（姓名及身份证号码）   </w:t>
      </w:r>
      <w:r>
        <w:rPr>
          <w:rFonts w:hint="eastAsia" w:hAnsi="宋体"/>
          <w:sz w:val="24"/>
          <w:szCs w:val="21"/>
        </w:rPr>
        <w:t>，作为本项目与采购单位联系的项目实施负责人，联系手机号码：</w:t>
      </w:r>
      <w:r>
        <w:rPr>
          <w:rFonts w:hint="eastAsia" w:hAnsi="宋体"/>
          <w:sz w:val="24"/>
          <w:szCs w:val="21"/>
          <w:u w:val="single"/>
        </w:rPr>
        <w:t xml:space="preserve">           </w:t>
      </w:r>
      <w:r>
        <w:rPr>
          <w:rFonts w:hint="eastAsia" w:hAnsi="宋体"/>
          <w:sz w:val="24"/>
          <w:szCs w:val="21"/>
        </w:rPr>
        <w:t>。 在项目实施过程中，并承诺项目实施负责人不更换，若确需更换的，书面征得采购人同意后才准予更换。</w:t>
      </w:r>
    </w:p>
    <w:p w14:paraId="1111F05F">
      <w:pPr>
        <w:pStyle w:val="19"/>
        <w:spacing w:line="440" w:lineRule="exact"/>
        <w:ind w:firstLine="480" w:firstLineChars="200"/>
        <w:rPr>
          <w:rFonts w:hint="eastAsia" w:hAnsi="宋体"/>
          <w:sz w:val="24"/>
          <w:szCs w:val="21"/>
        </w:rPr>
      </w:pPr>
      <w:r>
        <w:rPr>
          <w:rFonts w:hint="eastAsia" w:hAnsi="宋体"/>
          <w:sz w:val="24"/>
          <w:szCs w:val="21"/>
        </w:rPr>
        <w:t>5</w:t>
      </w:r>
      <w:r>
        <w:rPr>
          <w:rFonts w:hAnsi="宋体"/>
          <w:sz w:val="24"/>
          <w:szCs w:val="21"/>
        </w:rPr>
        <w:t>、我方的</w:t>
      </w:r>
      <w:r>
        <w:rPr>
          <w:rFonts w:hint="eastAsia" w:hAnsi="宋体"/>
          <w:sz w:val="24"/>
          <w:szCs w:val="21"/>
        </w:rPr>
        <w:t>磋商有效期自</w:t>
      </w:r>
      <w:r>
        <w:rPr>
          <w:rFonts w:hAnsi="宋体"/>
          <w:sz w:val="24"/>
          <w:szCs w:val="21"/>
        </w:rPr>
        <w:t>在</w:t>
      </w:r>
      <w:r>
        <w:rPr>
          <w:rFonts w:hint="eastAsia" w:hAnsi="宋体"/>
          <w:sz w:val="24"/>
          <w:szCs w:val="21"/>
        </w:rPr>
        <w:t>提交响应文件截止之日起90</w:t>
      </w:r>
      <w:r>
        <w:rPr>
          <w:rFonts w:hAnsi="宋体"/>
          <w:sz w:val="24"/>
          <w:szCs w:val="21"/>
        </w:rPr>
        <w:t>天内有效。</w:t>
      </w:r>
    </w:p>
    <w:p w14:paraId="783F2621">
      <w:pPr>
        <w:pStyle w:val="19"/>
        <w:spacing w:line="440" w:lineRule="exact"/>
        <w:ind w:firstLine="480" w:firstLineChars="200"/>
        <w:rPr>
          <w:rFonts w:hint="eastAsia" w:hAnsi="宋体"/>
          <w:sz w:val="24"/>
          <w:szCs w:val="21"/>
        </w:rPr>
      </w:pPr>
      <w:r>
        <w:rPr>
          <w:rFonts w:hint="eastAsia" w:hAnsi="宋体"/>
          <w:sz w:val="24"/>
          <w:szCs w:val="21"/>
        </w:rPr>
        <w:t>6</w:t>
      </w:r>
      <w:r>
        <w:rPr>
          <w:rFonts w:hAnsi="宋体"/>
          <w:sz w:val="24"/>
          <w:szCs w:val="21"/>
        </w:rPr>
        <w:t>、</w:t>
      </w:r>
      <w:r>
        <w:rPr>
          <w:rFonts w:hint="eastAsia" w:hAnsi="宋体"/>
          <w:sz w:val="24"/>
          <w:szCs w:val="21"/>
        </w:rPr>
        <w:t>我方在磋商之前已经与贵方进行了充分的沟通，完全理解并接受磋商文件的各项规定和要求，对磋商文件的合理性、合法性不再有异议。</w:t>
      </w:r>
    </w:p>
    <w:p w14:paraId="29A6B3FB">
      <w:pPr>
        <w:pStyle w:val="19"/>
        <w:spacing w:line="440" w:lineRule="exact"/>
        <w:ind w:firstLine="480" w:firstLineChars="200"/>
        <w:rPr>
          <w:rFonts w:hint="eastAsia" w:hAnsi="宋体"/>
          <w:sz w:val="24"/>
          <w:szCs w:val="21"/>
        </w:rPr>
      </w:pPr>
      <w:r>
        <w:rPr>
          <w:rFonts w:hAnsi="宋体"/>
          <w:sz w:val="24"/>
          <w:szCs w:val="21"/>
        </w:rPr>
        <w:t>我方愿意向贵方提供真实完整的任何与该项</w:t>
      </w:r>
      <w:r>
        <w:rPr>
          <w:rFonts w:hint="eastAsia" w:hAnsi="宋体"/>
          <w:sz w:val="24"/>
          <w:szCs w:val="21"/>
        </w:rPr>
        <w:t>磋商</w:t>
      </w:r>
      <w:r>
        <w:rPr>
          <w:rFonts w:hAnsi="宋体"/>
          <w:sz w:val="24"/>
          <w:szCs w:val="21"/>
        </w:rPr>
        <w:t>有关的数据、情况和技术资料。若贵方需要，我方愿意提供我方作出的一切承诺的证明材料。</w:t>
      </w:r>
    </w:p>
    <w:p w14:paraId="7B535E8D">
      <w:pPr>
        <w:pStyle w:val="19"/>
        <w:spacing w:line="440" w:lineRule="exact"/>
        <w:ind w:firstLine="480" w:firstLineChars="200"/>
        <w:rPr>
          <w:rFonts w:hint="eastAsia" w:hAnsi="宋体"/>
          <w:sz w:val="24"/>
          <w:szCs w:val="21"/>
        </w:rPr>
      </w:pPr>
      <w:r>
        <w:rPr>
          <w:rFonts w:hint="eastAsia" w:hAnsi="宋体"/>
          <w:sz w:val="24"/>
          <w:szCs w:val="21"/>
        </w:rPr>
        <w:t>7</w:t>
      </w:r>
      <w:r>
        <w:rPr>
          <w:rFonts w:hAnsi="宋体"/>
          <w:sz w:val="24"/>
          <w:szCs w:val="21"/>
        </w:rPr>
        <w:t>、我方</w:t>
      </w:r>
      <w:r>
        <w:rPr>
          <w:rFonts w:hint="eastAsia" w:hAnsi="宋体"/>
          <w:sz w:val="24"/>
          <w:szCs w:val="21"/>
        </w:rPr>
        <w:t>已</w:t>
      </w:r>
      <w:r>
        <w:rPr>
          <w:rFonts w:hAnsi="宋体"/>
          <w:sz w:val="24"/>
          <w:szCs w:val="21"/>
        </w:rPr>
        <w:t>详</w:t>
      </w:r>
      <w:r>
        <w:rPr>
          <w:rFonts w:hint="eastAsia" w:hAnsi="宋体"/>
          <w:sz w:val="24"/>
          <w:szCs w:val="21"/>
        </w:rPr>
        <w:t>阅</w:t>
      </w:r>
      <w:r>
        <w:rPr>
          <w:rFonts w:hAnsi="宋体"/>
          <w:sz w:val="24"/>
          <w:szCs w:val="21"/>
        </w:rPr>
        <w:t>全部磋商文件</w:t>
      </w:r>
      <w:r>
        <w:rPr>
          <w:rFonts w:hint="eastAsia" w:hAnsi="宋体"/>
          <w:sz w:val="24"/>
          <w:szCs w:val="21"/>
        </w:rPr>
        <w:t>内容</w:t>
      </w:r>
      <w:r>
        <w:rPr>
          <w:rFonts w:hAnsi="宋体"/>
          <w:sz w:val="24"/>
          <w:szCs w:val="21"/>
        </w:rPr>
        <w:t>，包括磋商文件</w:t>
      </w:r>
      <w:r>
        <w:rPr>
          <w:rFonts w:hint="eastAsia" w:hAnsi="宋体"/>
          <w:sz w:val="24"/>
          <w:szCs w:val="21"/>
        </w:rPr>
        <w:t>的澄清或</w:t>
      </w:r>
      <w:r>
        <w:rPr>
          <w:rFonts w:hAnsi="宋体"/>
          <w:sz w:val="24"/>
          <w:szCs w:val="21"/>
        </w:rPr>
        <w:t>修改</w:t>
      </w:r>
      <w:r>
        <w:rPr>
          <w:rFonts w:hint="eastAsia" w:hAnsi="宋体"/>
          <w:sz w:val="24"/>
          <w:szCs w:val="21"/>
        </w:rPr>
        <w:t>文件</w:t>
      </w:r>
      <w:r>
        <w:rPr>
          <w:rFonts w:hAnsi="宋体"/>
          <w:sz w:val="24"/>
          <w:szCs w:val="21"/>
        </w:rPr>
        <w:t>（如有）、参考资料及有关附件，</w:t>
      </w:r>
      <w:r>
        <w:rPr>
          <w:rFonts w:hint="eastAsia" w:hAnsi="宋体"/>
          <w:sz w:val="24"/>
          <w:szCs w:val="21"/>
        </w:rPr>
        <w:t>已经了解我方对于磋商文件、采购过程、采购结果有依法进行询问、质疑、投诉的权利及相关渠道和要求</w:t>
      </w:r>
      <w:r>
        <w:rPr>
          <w:rFonts w:hAnsi="宋体"/>
          <w:sz w:val="24"/>
          <w:szCs w:val="21"/>
        </w:rPr>
        <w:t>。</w:t>
      </w:r>
    </w:p>
    <w:p w14:paraId="485F342B">
      <w:pPr>
        <w:pStyle w:val="19"/>
        <w:spacing w:line="440" w:lineRule="exact"/>
        <w:ind w:firstLine="480" w:firstLineChars="200"/>
        <w:rPr>
          <w:rFonts w:hint="eastAsia" w:hAnsi="宋体"/>
          <w:sz w:val="24"/>
          <w:szCs w:val="21"/>
        </w:rPr>
      </w:pPr>
      <w:r>
        <w:rPr>
          <w:rFonts w:hint="eastAsia" w:hAnsi="宋体"/>
          <w:sz w:val="24"/>
          <w:szCs w:val="21"/>
        </w:rPr>
        <w:t>8、我方不是采购人的附属机构，并未为本项目提供整体设计、规范编制或者项目管理、监理、监测等服务。</w:t>
      </w:r>
    </w:p>
    <w:p w14:paraId="076133A9">
      <w:pPr>
        <w:pStyle w:val="19"/>
        <w:spacing w:line="440" w:lineRule="exact"/>
        <w:ind w:firstLine="480" w:firstLineChars="200"/>
        <w:rPr>
          <w:rFonts w:hint="eastAsia" w:hAnsi="宋体"/>
          <w:sz w:val="24"/>
          <w:szCs w:val="21"/>
        </w:rPr>
      </w:pPr>
      <w:r>
        <w:rPr>
          <w:rFonts w:hint="eastAsia" w:hAnsi="宋体"/>
          <w:sz w:val="24"/>
          <w:szCs w:val="21"/>
        </w:rPr>
        <w:t>9</w:t>
      </w:r>
      <w:r>
        <w:rPr>
          <w:rFonts w:hAnsi="宋体"/>
          <w:sz w:val="24"/>
          <w:szCs w:val="21"/>
        </w:rPr>
        <w:t>、我方将严格遵守《中华人民共和国政府采购法》第七十七条规定：供应商有下列情形之一的，处以采购金额5‰以上10‰以下的罚款，列入不良行为记录名单，在一至三年内禁止参加政府采购活动；有违法所得的，并处没收违法所得；情节严重的，由</w:t>
      </w:r>
      <w:r>
        <w:rPr>
          <w:rFonts w:hint="eastAsia" w:hAnsi="宋体"/>
          <w:sz w:val="24"/>
          <w:szCs w:val="21"/>
        </w:rPr>
        <w:t>市场监管部门</w:t>
      </w:r>
      <w:r>
        <w:rPr>
          <w:rFonts w:hAnsi="宋体"/>
          <w:sz w:val="24"/>
          <w:szCs w:val="21"/>
        </w:rPr>
        <w:t>吊销营业执照；构成犯罪的，依法追究刑事责任：</w:t>
      </w:r>
    </w:p>
    <w:p w14:paraId="37078C4C">
      <w:pPr>
        <w:pStyle w:val="19"/>
        <w:spacing w:line="440" w:lineRule="exact"/>
        <w:ind w:firstLine="240" w:firstLineChars="100"/>
        <w:rPr>
          <w:rFonts w:hint="eastAsia" w:hAnsi="宋体"/>
          <w:sz w:val="24"/>
          <w:szCs w:val="21"/>
        </w:rPr>
      </w:pPr>
      <w:r>
        <w:rPr>
          <w:rFonts w:hAnsi="宋体"/>
          <w:sz w:val="24"/>
          <w:szCs w:val="21"/>
        </w:rPr>
        <w:t>（一）提供虚假材料谋取成交的；</w:t>
      </w:r>
      <w:r>
        <w:rPr>
          <w:rFonts w:hint="eastAsia" w:hAnsi="宋体"/>
          <w:sz w:val="24"/>
          <w:szCs w:val="21"/>
        </w:rPr>
        <w:t xml:space="preserve"> </w:t>
      </w:r>
    </w:p>
    <w:p w14:paraId="379E1866">
      <w:pPr>
        <w:pStyle w:val="19"/>
        <w:spacing w:line="440" w:lineRule="exact"/>
        <w:ind w:firstLine="240" w:firstLineChars="100"/>
        <w:rPr>
          <w:rFonts w:hint="eastAsia" w:hAnsi="宋体"/>
          <w:sz w:val="24"/>
          <w:szCs w:val="21"/>
        </w:rPr>
      </w:pPr>
      <w:r>
        <w:rPr>
          <w:rFonts w:hAnsi="宋体"/>
          <w:sz w:val="24"/>
          <w:szCs w:val="21"/>
        </w:rPr>
        <w:t>（二）采取不正当手段诋毁、排挤其他供应商的；</w:t>
      </w:r>
    </w:p>
    <w:p w14:paraId="471AE442">
      <w:pPr>
        <w:pStyle w:val="19"/>
        <w:spacing w:line="440" w:lineRule="exact"/>
        <w:ind w:firstLine="240" w:firstLineChars="100"/>
        <w:rPr>
          <w:rFonts w:hint="eastAsia" w:hAnsi="宋体"/>
          <w:sz w:val="24"/>
          <w:szCs w:val="21"/>
        </w:rPr>
      </w:pPr>
      <w:r>
        <w:rPr>
          <w:rFonts w:hAnsi="宋体"/>
          <w:sz w:val="24"/>
          <w:szCs w:val="21"/>
        </w:rPr>
        <w:t>（三）与采购人、其它供应商或者采购代理机构恶意串通的；</w:t>
      </w:r>
    </w:p>
    <w:p w14:paraId="6DB3A4B2">
      <w:pPr>
        <w:pStyle w:val="19"/>
        <w:spacing w:line="440" w:lineRule="exact"/>
        <w:ind w:firstLine="240" w:firstLineChars="100"/>
        <w:rPr>
          <w:rFonts w:hint="eastAsia" w:hAnsi="宋体"/>
          <w:sz w:val="24"/>
          <w:szCs w:val="21"/>
        </w:rPr>
      </w:pPr>
      <w:r>
        <w:rPr>
          <w:rFonts w:hAnsi="宋体"/>
          <w:sz w:val="24"/>
          <w:szCs w:val="21"/>
        </w:rPr>
        <w:t>（四）向采购人、采购代理机构行贿或者提供其他不正当利益的；</w:t>
      </w:r>
    </w:p>
    <w:p w14:paraId="1FC23003">
      <w:pPr>
        <w:pStyle w:val="19"/>
        <w:spacing w:line="440" w:lineRule="exact"/>
        <w:ind w:firstLine="240" w:firstLineChars="100"/>
        <w:rPr>
          <w:rFonts w:hint="eastAsia" w:hAnsi="宋体"/>
          <w:sz w:val="24"/>
          <w:szCs w:val="21"/>
        </w:rPr>
      </w:pPr>
      <w:r>
        <w:rPr>
          <w:rFonts w:hAnsi="宋体"/>
          <w:sz w:val="24"/>
          <w:szCs w:val="21"/>
        </w:rPr>
        <w:t>（五）在</w:t>
      </w:r>
      <w:r>
        <w:rPr>
          <w:rFonts w:hint="eastAsia" w:hAnsi="宋体"/>
          <w:sz w:val="24"/>
          <w:szCs w:val="21"/>
        </w:rPr>
        <w:t>磋商</w:t>
      </w:r>
      <w:r>
        <w:rPr>
          <w:rFonts w:hAnsi="宋体"/>
          <w:sz w:val="24"/>
          <w:szCs w:val="21"/>
        </w:rPr>
        <w:t>采购过程中与采购人进行协商</w:t>
      </w:r>
      <w:r>
        <w:rPr>
          <w:rFonts w:hint="eastAsia" w:hAnsi="宋体"/>
          <w:sz w:val="24"/>
          <w:szCs w:val="21"/>
        </w:rPr>
        <w:t>谈判</w:t>
      </w:r>
      <w:r>
        <w:rPr>
          <w:rFonts w:hAnsi="宋体"/>
          <w:sz w:val="24"/>
          <w:szCs w:val="21"/>
        </w:rPr>
        <w:t>的；</w:t>
      </w:r>
    </w:p>
    <w:p w14:paraId="77B89391">
      <w:pPr>
        <w:pStyle w:val="19"/>
        <w:spacing w:line="440" w:lineRule="exact"/>
        <w:ind w:firstLine="240" w:firstLineChars="100"/>
        <w:rPr>
          <w:rFonts w:hint="eastAsia" w:hAnsi="宋体"/>
          <w:sz w:val="24"/>
          <w:szCs w:val="21"/>
        </w:rPr>
      </w:pPr>
      <w:r>
        <w:rPr>
          <w:rFonts w:hAnsi="宋体"/>
          <w:sz w:val="24"/>
          <w:szCs w:val="21"/>
        </w:rPr>
        <w:t>（六）拒绝有关部门监督检查或提供虚假情况的。</w:t>
      </w:r>
    </w:p>
    <w:p w14:paraId="7F020F84">
      <w:pPr>
        <w:pStyle w:val="19"/>
        <w:spacing w:line="440" w:lineRule="exact"/>
        <w:ind w:firstLine="480" w:firstLineChars="200"/>
        <w:rPr>
          <w:rFonts w:hint="eastAsia" w:hAnsi="宋体"/>
          <w:sz w:val="24"/>
          <w:szCs w:val="21"/>
        </w:rPr>
      </w:pPr>
      <w:r>
        <w:rPr>
          <w:rFonts w:hint="eastAsia" w:hAnsi="宋体"/>
          <w:sz w:val="24"/>
          <w:szCs w:val="21"/>
        </w:rPr>
        <w:t>10、如成交，本响应文件至本项目合同履行完毕止均保持有效，我方将按磋商文件及政府采购法律、法规的规定履行合同责任和义务。</w:t>
      </w:r>
    </w:p>
    <w:p w14:paraId="0D1A4640">
      <w:pPr>
        <w:pStyle w:val="19"/>
        <w:spacing w:line="440" w:lineRule="exact"/>
        <w:ind w:firstLine="480" w:firstLineChars="200"/>
        <w:rPr>
          <w:rFonts w:hint="eastAsia" w:hAnsi="宋体"/>
          <w:sz w:val="24"/>
          <w:szCs w:val="21"/>
        </w:rPr>
      </w:pPr>
      <w:r>
        <w:rPr>
          <w:rFonts w:hint="eastAsia" w:hAnsi="宋体"/>
          <w:sz w:val="24"/>
          <w:szCs w:val="21"/>
        </w:rPr>
        <w:t>11、以上事项如有虚假或隐瞒，我方愿意承担一切不利后果，并不再寻求任何旨在减轻或免除法律责任。</w:t>
      </w:r>
    </w:p>
    <w:p w14:paraId="4405AC23">
      <w:pPr>
        <w:pStyle w:val="19"/>
        <w:spacing w:line="440" w:lineRule="exact"/>
        <w:rPr>
          <w:rFonts w:hint="eastAsia" w:hAnsi="宋体"/>
          <w:sz w:val="24"/>
          <w:szCs w:val="21"/>
        </w:rPr>
      </w:pPr>
      <w:r>
        <w:rPr>
          <w:rFonts w:hAnsi="宋体"/>
          <w:sz w:val="24"/>
          <w:szCs w:val="21"/>
        </w:rPr>
        <w:t xml:space="preserve">    与</w:t>
      </w:r>
      <w:r>
        <w:rPr>
          <w:rFonts w:hint="eastAsia" w:hAnsi="宋体"/>
          <w:sz w:val="24"/>
          <w:szCs w:val="21"/>
        </w:rPr>
        <w:t>本次磋商</w:t>
      </w:r>
      <w:r>
        <w:rPr>
          <w:rFonts w:hAnsi="宋体"/>
          <w:sz w:val="24"/>
          <w:szCs w:val="21"/>
        </w:rPr>
        <w:t>有关的一切</w:t>
      </w:r>
      <w:r>
        <w:rPr>
          <w:rFonts w:hint="eastAsia" w:hAnsi="宋体"/>
          <w:sz w:val="24"/>
          <w:szCs w:val="21"/>
        </w:rPr>
        <w:t>正式</w:t>
      </w:r>
      <w:r>
        <w:rPr>
          <w:rFonts w:hAnsi="宋体"/>
          <w:sz w:val="24"/>
          <w:szCs w:val="21"/>
        </w:rPr>
        <w:t>往来</w:t>
      </w:r>
      <w:r>
        <w:rPr>
          <w:rFonts w:hint="eastAsia" w:hAnsi="宋体"/>
          <w:sz w:val="24"/>
          <w:szCs w:val="21"/>
        </w:rPr>
        <w:t>信函</w:t>
      </w:r>
      <w:r>
        <w:rPr>
          <w:rFonts w:hAnsi="宋体"/>
          <w:sz w:val="24"/>
          <w:szCs w:val="21"/>
        </w:rPr>
        <w:t>请寄：</w:t>
      </w:r>
    </w:p>
    <w:p w14:paraId="28A99EF8">
      <w:pPr>
        <w:pStyle w:val="19"/>
        <w:spacing w:line="440" w:lineRule="exact"/>
        <w:ind w:firstLine="480" w:firstLineChars="200"/>
        <w:rPr>
          <w:rFonts w:hint="eastAsia" w:hAnsi="宋体"/>
          <w:sz w:val="24"/>
          <w:szCs w:val="21"/>
        </w:rPr>
      </w:pPr>
      <w:r>
        <w:rPr>
          <w:rFonts w:hAnsi="宋体"/>
          <w:sz w:val="24"/>
          <w:szCs w:val="21"/>
        </w:rPr>
        <w:t>地址：</w:t>
      </w:r>
      <w:r>
        <w:rPr>
          <w:rFonts w:hAnsi="宋体"/>
          <w:spacing w:val="20"/>
          <w:sz w:val="24"/>
          <w:u w:val="single"/>
        </w:rPr>
        <w:t xml:space="preserve">      </w:t>
      </w:r>
      <w:r>
        <w:rPr>
          <w:rFonts w:hint="eastAsia" w:hAnsi="宋体"/>
          <w:spacing w:val="20"/>
          <w:sz w:val="24"/>
          <w:u w:val="single"/>
        </w:rPr>
        <w:t xml:space="preserve">  </w:t>
      </w:r>
      <w:r>
        <w:rPr>
          <w:rFonts w:hAnsi="宋体"/>
          <w:spacing w:val="20"/>
          <w:sz w:val="24"/>
          <w:u w:val="single"/>
        </w:rPr>
        <w:t xml:space="preserve">  </w:t>
      </w:r>
      <w:r>
        <w:rPr>
          <w:rFonts w:hint="eastAsia" w:hAnsi="宋体"/>
          <w:spacing w:val="20"/>
          <w:sz w:val="24"/>
          <w:u w:val="single"/>
        </w:rPr>
        <w:t xml:space="preserve"> </w:t>
      </w:r>
      <w:r>
        <w:rPr>
          <w:rFonts w:hAnsi="宋体"/>
          <w:spacing w:val="20"/>
          <w:sz w:val="24"/>
          <w:u w:val="single"/>
        </w:rPr>
        <w:t xml:space="preserve">  </w:t>
      </w:r>
      <w:r>
        <w:rPr>
          <w:rFonts w:hAnsi="宋体"/>
          <w:sz w:val="24"/>
          <w:szCs w:val="21"/>
        </w:rPr>
        <w:t xml:space="preserve">     邮编：</w:t>
      </w:r>
      <w:r>
        <w:rPr>
          <w:rFonts w:hAnsi="宋体"/>
          <w:spacing w:val="20"/>
          <w:sz w:val="24"/>
          <w:u w:val="single"/>
        </w:rPr>
        <w:t xml:space="preserve">        </w:t>
      </w:r>
      <w:r>
        <w:rPr>
          <w:rFonts w:hint="eastAsia" w:hAnsi="宋体"/>
          <w:spacing w:val="20"/>
          <w:sz w:val="24"/>
          <w:u w:val="single"/>
        </w:rPr>
        <w:t xml:space="preserve"> </w:t>
      </w:r>
      <w:r>
        <w:rPr>
          <w:rFonts w:hAnsi="宋体"/>
          <w:spacing w:val="20"/>
          <w:sz w:val="24"/>
          <w:u w:val="single"/>
        </w:rPr>
        <w:t xml:space="preserve">  </w:t>
      </w:r>
      <w:r>
        <w:rPr>
          <w:rFonts w:hAnsi="宋体"/>
          <w:sz w:val="24"/>
          <w:szCs w:val="21"/>
        </w:rPr>
        <w:t>　</w:t>
      </w:r>
    </w:p>
    <w:p w14:paraId="0E446B49">
      <w:pPr>
        <w:pStyle w:val="19"/>
        <w:spacing w:line="440" w:lineRule="exact"/>
        <w:ind w:firstLine="480" w:firstLineChars="200"/>
        <w:rPr>
          <w:rFonts w:hint="eastAsia" w:hAnsi="宋体"/>
          <w:sz w:val="24"/>
          <w:szCs w:val="21"/>
        </w:rPr>
      </w:pPr>
      <w:r>
        <w:rPr>
          <w:rFonts w:hAnsi="宋体"/>
          <w:sz w:val="24"/>
          <w:szCs w:val="21"/>
        </w:rPr>
        <w:t>电话：</w:t>
      </w:r>
      <w:r>
        <w:rPr>
          <w:rFonts w:hAnsi="宋体"/>
          <w:spacing w:val="20"/>
          <w:sz w:val="24"/>
          <w:u w:val="single"/>
        </w:rPr>
        <w:t xml:space="preserve">      </w:t>
      </w:r>
      <w:r>
        <w:rPr>
          <w:rFonts w:hint="eastAsia" w:hAnsi="宋体"/>
          <w:spacing w:val="20"/>
          <w:sz w:val="24"/>
          <w:u w:val="single"/>
        </w:rPr>
        <w:t xml:space="preserve">  </w:t>
      </w:r>
      <w:r>
        <w:rPr>
          <w:rFonts w:hAnsi="宋体"/>
          <w:spacing w:val="20"/>
          <w:sz w:val="24"/>
          <w:u w:val="single"/>
        </w:rPr>
        <w:t xml:space="preserve">  </w:t>
      </w:r>
      <w:r>
        <w:rPr>
          <w:rFonts w:hint="eastAsia" w:hAnsi="宋体"/>
          <w:spacing w:val="20"/>
          <w:sz w:val="24"/>
          <w:u w:val="single"/>
        </w:rPr>
        <w:t xml:space="preserve"> </w:t>
      </w:r>
      <w:r>
        <w:rPr>
          <w:rFonts w:hAnsi="宋体"/>
          <w:spacing w:val="20"/>
          <w:sz w:val="24"/>
          <w:u w:val="single"/>
        </w:rPr>
        <w:t xml:space="preserve">  </w:t>
      </w:r>
      <w:r>
        <w:rPr>
          <w:rFonts w:hAnsi="宋体"/>
          <w:sz w:val="24"/>
          <w:szCs w:val="21"/>
        </w:rPr>
        <w:t xml:space="preserve">     传真：</w:t>
      </w:r>
      <w:r>
        <w:rPr>
          <w:rFonts w:hAnsi="宋体"/>
          <w:spacing w:val="20"/>
          <w:sz w:val="24"/>
          <w:u w:val="single"/>
        </w:rPr>
        <w:t xml:space="preserve">        </w:t>
      </w:r>
      <w:r>
        <w:rPr>
          <w:rFonts w:hint="eastAsia" w:hAnsi="宋体"/>
          <w:spacing w:val="20"/>
          <w:sz w:val="24"/>
          <w:u w:val="single"/>
        </w:rPr>
        <w:t xml:space="preserve"> </w:t>
      </w:r>
      <w:r>
        <w:rPr>
          <w:rFonts w:hAnsi="宋体"/>
          <w:spacing w:val="20"/>
          <w:sz w:val="24"/>
          <w:u w:val="single"/>
        </w:rPr>
        <w:t xml:space="preserve">  </w:t>
      </w:r>
    </w:p>
    <w:p w14:paraId="71D4852A">
      <w:pPr>
        <w:pStyle w:val="76"/>
        <w:spacing w:line="440" w:lineRule="exact"/>
        <w:ind w:firstLine="5320" w:firstLineChars="1900"/>
        <w:rPr>
          <w:rFonts w:hint="eastAsia" w:ascii="宋体" w:hAnsi="宋体"/>
          <w:spacing w:val="20"/>
          <w:sz w:val="24"/>
          <w:szCs w:val="21"/>
        </w:rPr>
      </w:pPr>
    </w:p>
    <w:p w14:paraId="01059E90">
      <w:pPr>
        <w:pStyle w:val="76"/>
        <w:spacing w:line="440" w:lineRule="exact"/>
        <w:ind w:firstLine="5320" w:firstLineChars="1900"/>
        <w:rPr>
          <w:rFonts w:hint="eastAsia" w:ascii="宋体" w:hAnsi="宋体"/>
          <w:spacing w:val="20"/>
          <w:sz w:val="24"/>
          <w:szCs w:val="21"/>
        </w:rPr>
      </w:pPr>
    </w:p>
    <w:p w14:paraId="4FA0A8FE">
      <w:pPr>
        <w:pStyle w:val="76"/>
        <w:spacing w:line="440" w:lineRule="exact"/>
        <w:ind w:firstLine="5320" w:firstLineChars="1900"/>
        <w:rPr>
          <w:rFonts w:hint="eastAsia" w:ascii="宋体" w:hAnsi="宋体"/>
          <w:spacing w:val="20"/>
          <w:sz w:val="24"/>
          <w:szCs w:val="21"/>
        </w:rPr>
      </w:pPr>
    </w:p>
    <w:p w14:paraId="617FF855">
      <w:pPr>
        <w:pStyle w:val="76"/>
        <w:spacing w:line="440" w:lineRule="exact"/>
        <w:ind w:firstLine="5320" w:firstLineChars="1900"/>
        <w:rPr>
          <w:rFonts w:hint="eastAsia" w:ascii="宋体" w:hAnsi="宋体"/>
          <w:spacing w:val="20"/>
          <w:sz w:val="24"/>
          <w:szCs w:val="21"/>
          <w:u w:val="single"/>
        </w:rPr>
      </w:pPr>
      <w:r>
        <w:rPr>
          <w:rFonts w:hint="eastAsia" w:ascii="宋体" w:hAnsi="宋体"/>
          <w:spacing w:val="20"/>
          <w:sz w:val="24"/>
          <w:szCs w:val="21"/>
        </w:rPr>
        <w:t>供应商</w:t>
      </w:r>
      <w:r>
        <w:rPr>
          <w:rFonts w:ascii="宋体" w:hAnsi="宋体"/>
          <w:spacing w:val="20"/>
          <w:sz w:val="24"/>
          <w:szCs w:val="21"/>
        </w:rPr>
        <w:t>盖章：</w:t>
      </w:r>
      <w:r>
        <w:rPr>
          <w:rFonts w:ascii="宋体" w:hAnsi="宋体"/>
          <w:spacing w:val="20"/>
          <w:sz w:val="24"/>
          <w:szCs w:val="21"/>
          <w:u w:val="single"/>
        </w:rPr>
        <w:t xml:space="preserve">           </w:t>
      </w:r>
    </w:p>
    <w:p w14:paraId="0566B4F1">
      <w:pPr>
        <w:pStyle w:val="76"/>
        <w:spacing w:line="440" w:lineRule="exact"/>
        <w:ind w:firstLine="5320" w:firstLineChars="1900"/>
        <w:rPr>
          <w:rFonts w:hint="eastAsia" w:ascii="宋体" w:hAnsi="宋体"/>
          <w:spacing w:val="20"/>
          <w:sz w:val="24"/>
          <w:szCs w:val="21"/>
          <w:u w:val="single"/>
        </w:rPr>
      </w:pPr>
      <w:r>
        <w:rPr>
          <w:rFonts w:ascii="宋体" w:hAnsi="宋体"/>
          <w:spacing w:val="20"/>
          <w:sz w:val="24"/>
          <w:szCs w:val="21"/>
        </w:rPr>
        <w:t>日     期：</w:t>
      </w:r>
      <w:r>
        <w:rPr>
          <w:rFonts w:ascii="宋体" w:hAnsi="宋体"/>
          <w:spacing w:val="20"/>
          <w:sz w:val="24"/>
          <w:szCs w:val="21"/>
          <w:u w:val="single"/>
        </w:rPr>
        <w:t xml:space="preserve">           </w:t>
      </w:r>
    </w:p>
    <w:p w14:paraId="50382FC8">
      <w:pPr>
        <w:pStyle w:val="19"/>
        <w:spacing w:line="440" w:lineRule="exact"/>
        <w:ind w:firstLine="480" w:firstLineChars="200"/>
        <w:rPr>
          <w:rFonts w:hint="eastAsia" w:hAnsi="宋体"/>
          <w:sz w:val="24"/>
          <w:szCs w:val="21"/>
        </w:rPr>
      </w:pPr>
    </w:p>
    <w:p w14:paraId="168DE845">
      <w:pPr>
        <w:pStyle w:val="19"/>
        <w:spacing w:line="360" w:lineRule="auto"/>
        <w:ind w:firstLine="3080" w:firstLineChars="1100"/>
        <w:rPr>
          <w:rFonts w:hint="eastAsia" w:hAnsi="宋体"/>
          <w:spacing w:val="20"/>
          <w:sz w:val="24"/>
        </w:rPr>
      </w:pPr>
      <w:bookmarkStart w:id="404" w:name="_Toc15813264"/>
      <w:bookmarkStart w:id="405" w:name="_Toc47756042"/>
      <w:bookmarkStart w:id="406" w:name="_Toc45506741"/>
      <w:bookmarkStart w:id="407" w:name="_Toc15805947"/>
    </w:p>
    <w:p w14:paraId="5D146606">
      <w:pPr>
        <w:pStyle w:val="19"/>
        <w:spacing w:line="360" w:lineRule="auto"/>
        <w:ind w:firstLine="3080" w:firstLineChars="1100"/>
        <w:rPr>
          <w:rFonts w:hint="eastAsia" w:hAnsi="宋体"/>
          <w:spacing w:val="20"/>
          <w:sz w:val="24"/>
        </w:rPr>
      </w:pPr>
    </w:p>
    <w:p w14:paraId="729ACE8A">
      <w:pPr>
        <w:pStyle w:val="19"/>
        <w:spacing w:line="360" w:lineRule="auto"/>
        <w:jc w:val="center"/>
        <w:rPr>
          <w:rFonts w:hint="eastAsia" w:hAnsi="宋体"/>
          <w:b/>
          <w:sz w:val="32"/>
        </w:rPr>
      </w:pPr>
      <w:r>
        <w:rPr>
          <w:rFonts w:hAnsi="宋体"/>
          <w:b/>
          <w:sz w:val="32"/>
        </w:rPr>
        <w:br w:type="page"/>
      </w:r>
      <w:r>
        <w:rPr>
          <w:rFonts w:hAnsi="宋体"/>
          <w:b/>
          <w:sz w:val="32"/>
        </w:rPr>
        <w:t>2</w:t>
      </w:r>
      <w:r>
        <w:rPr>
          <w:rFonts w:hint="eastAsia" w:hAnsi="宋体"/>
          <w:b/>
          <w:sz w:val="32"/>
        </w:rPr>
        <w:t>.供应商磋商</w:t>
      </w:r>
      <w:r>
        <w:rPr>
          <w:rFonts w:hAnsi="宋体"/>
          <w:b/>
          <w:sz w:val="32"/>
        </w:rPr>
        <w:t>申请表</w:t>
      </w:r>
    </w:p>
    <w:tbl>
      <w:tblPr>
        <w:tblStyle w:val="33"/>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45"/>
        <w:gridCol w:w="372"/>
        <w:gridCol w:w="426"/>
        <w:gridCol w:w="1358"/>
        <w:gridCol w:w="539"/>
        <w:gridCol w:w="1080"/>
        <w:gridCol w:w="1628"/>
        <w:gridCol w:w="2843"/>
      </w:tblGrid>
      <w:tr w14:paraId="0D204F3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543" w:type="dxa"/>
            <w:gridSpan w:val="3"/>
            <w:vMerge w:val="restart"/>
            <w:tcBorders>
              <w:top w:val="single" w:color="auto" w:sz="4" w:space="0"/>
              <w:left w:val="single" w:color="auto" w:sz="4" w:space="0"/>
              <w:right w:val="single" w:color="auto" w:sz="4" w:space="0"/>
            </w:tcBorders>
            <w:vAlign w:val="center"/>
          </w:tcPr>
          <w:p w14:paraId="37F28695">
            <w:pPr>
              <w:pStyle w:val="134"/>
              <w:jc w:val="left"/>
              <w:rPr>
                <w:rFonts w:hint="eastAsia" w:ascii="宋体" w:hAnsi="宋体"/>
                <w:sz w:val="24"/>
              </w:rPr>
            </w:pPr>
            <w:r>
              <w:rPr>
                <w:rFonts w:hint="eastAsia" w:ascii="宋体" w:hAnsi="宋体"/>
                <w:sz w:val="24"/>
              </w:rPr>
              <w:t>统一社会</w:t>
            </w:r>
          </w:p>
          <w:p w14:paraId="6E21E51B">
            <w:pPr>
              <w:pStyle w:val="134"/>
              <w:jc w:val="left"/>
              <w:rPr>
                <w:rFonts w:hint="eastAsia" w:ascii="宋体" w:hAnsi="宋体"/>
                <w:sz w:val="24"/>
              </w:rPr>
            </w:pPr>
            <w:r>
              <w:rPr>
                <w:rFonts w:hint="eastAsia" w:ascii="宋体" w:hAnsi="宋体"/>
                <w:sz w:val="24"/>
              </w:rPr>
              <w:t>信用代码</w:t>
            </w:r>
          </w:p>
        </w:tc>
        <w:tc>
          <w:tcPr>
            <w:tcW w:w="2977" w:type="dxa"/>
            <w:gridSpan w:val="3"/>
            <w:vMerge w:val="restart"/>
            <w:tcBorders>
              <w:top w:val="single" w:color="auto" w:sz="4" w:space="0"/>
              <w:left w:val="single" w:color="auto" w:sz="4" w:space="0"/>
              <w:right w:val="single" w:color="auto" w:sz="4" w:space="0"/>
            </w:tcBorders>
            <w:vAlign w:val="center"/>
          </w:tcPr>
          <w:p w14:paraId="255F3AFD">
            <w:pPr>
              <w:pStyle w:val="134"/>
              <w:jc w:val="left"/>
              <w:rPr>
                <w:rFonts w:hint="eastAsia" w:ascii="宋体" w:hAnsi="宋体"/>
                <w:sz w:val="24"/>
              </w:rPr>
            </w:pPr>
          </w:p>
        </w:tc>
        <w:tc>
          <w:tcPr>
            <w:tcW w:w="1628" w:type="dxa"/>
            <w:tcBorders>
              <w:top w:val="single" w:color="auto" w:sz="4" w:space="0"/>
              <w:left w:val="single" w:color="auto" w:sz="4" w:space="0"/>
              <w:bottom w:val="single" w:color="auto" w:sz="4" w:space="0"/>
              <w:right w:val="single" w:color="auto" w:sz="4" w:space="0"/>
            </w:tcBorders>
            <w:vAlign w:val="center"/>
          </w:tcPr>
          <w:p w14:paraId="5166D141">
            <w:pPr>
              <w:pStyle w:val="134"/>
              <w:jc w:val="left"/>
              <w:rPr>
                <w:rFonts w:hint="eastAsia" w:ascii="宋体" w:hAnsi="宋体"/>
                <w:sz w:val="24"/>
              </w:rPr>
            </w:pPr>
            <w:r>
              <w:rPr>
                <w:rFonts w:hint="eastAsia" w:ascii="宋体" w:hAnsi="宋体"/>
                <w:sz w:val="24"/>
              </w:rPr>
              <w:t>供应商名称</w:t>
            </w:r>
          </w:p>
        </w:tc>
        <w:tc>
          <w:tcPr>
            <w:tcW w:w="2843" w:type="dxa"/>
            <w:tcBorders>
              <w:top w:val="single" w:color="auto" w:sz="4" w:space="0"/>
              <w:left w:val="single" w:color="auto" w:sz="4" w:space="0"/>
              <w:bottom w:val="single" w:color="auto" w:sz="4" w:space="0"/>
              <w:right w:val="single" w:color="auto" w:sz="4" w:space="0"/>
            </w:tcBorders>
            <w:vAlign w:val="center"/>
          </w:tcPr>
          <w:p w14:paraId="7076802E">
            <w:pPr>
              <w:pStyle w:val="134"/>
              <w:jc w:val="center"/>
              <w:rPr>
                <w:rFonts w:hint="eastAsia" w:ascii="宋体" w:hAnsi="宋体"/>
                <w:sz w:val="18"/>
              </w:rPr>
            </w:pPr>
          </w:p>
        </w:tc>
      </w:tr>
      <w:tr w14:paraId="524D260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543" w:type="dxa"/>
            <w:gridSpan w:val="3"/>
            <w:vMerge w:val="continue"/>
            <w:tcBorders>
              <w:left w:val="single" w:color="auto" w:sz="4" w:space="0"/>
              <w:bottom w:val="single" w:color="auto" w:sz="4" w:space="0"/>
              <w:right w:val="single" w:color="auto" w:sz="4" w:space="0"/>
            </w:tcBorders>
            <w:vAlign w:val="center"/>
          </w:tcPr>
          <w:p w14:paraId="2B8A9C43">
            <w:pPr>
              <w:pStyle w:val="134"/>
              <w:jc w:val="left"/>
              <w:rPr>
                <w:rFonts w:hint="eastAsia" w:ascii="宋体" w:hAnsi="宋体"/>
                <w:sz w:val="24"/>
              </w:rPr>
            </w:pPr>
          </w:p>
        </w:tc>
        <w:tc>
          <w:tcPr>
            <w:tcW w:w="2977" w:type="dxa"/>
            <w:gridSpan w:val="3"/>
            <w:vMerge w:val="continue"/>
            <w:tcBorders>
              <w:left w:val="single" w:color="auto" w:sz="4" w:space="0"/>
              <w:bottom w:val="single" w:color="auto" w:sz="4" w:space="0"/>
              <w:right w:val="single" w:color="auto" w:sz="4" w:space="0"/>
            </w:tcBorders>
            <w:vAlign w:val="center"/>
          </w:tcPr>
          <w:p w14:paraId="7F99762D">
            <w:pPr>
              <w:pStyle w:val="134"/>
              <w:jc w:val="left"/>
              <w:rPr>
                <w:rFonts w:hint="eastAsia" w:ascii="宋体" w:hAnsi="宋体"/>
                <w:sz w:val="24"/>
              </w:rPr>
            </w:pPr>
          </w:p>
        </w:tc>
        <w:tc>
          <w:tcPr>
            <w:tcW w:w="1628" w:type="dxa"/>
            <w:tcBorders>
              <w:top w:val="single" w:color="auto" w:sz="4" w:space="0"/>
              <w:left w:val="single" w:color="auto" w:sz="4" w:space="0"/>
              <w:bottom w:val="single" w:color="auto" w:sz="4" w:space="0"/>
              <w:right w:val="single" w:color="auto" w:sz="4" w:space="0"/>
            </w:tcBorders>
            <w:vAlign w:val="center"/>
          </w:tcPr>
          <w:p w14:paraId="3D579342">
            <w:pPr>
              <w:pStyle w:val="134"/>
              <w:jc w:val="left"/>
              <w:rPr>
                <w:rFonts w:hint="eastAsia" w:ascii="宋体" w:hAnsi="宋体"/>
                <w:sz w:val="24"/>
              </w:rPr>
            </w:pPr>
            <w:r>
              <w:rPr>
                <w:rFonts w:hint="eastAsia" w:ascii="宋体" w:hAnsi="宋体"/>
                <w:sz w:val="24"/>
              </w:rPr>
              <w:t>供应商地址</w:t>
            </w:r>
          </w:p>
        </w:tc>
        <w:tc>
          <w:tcPr>
            <w:tcW w:w="2843" w:type="dxa"/>
            <w:tcBorders>
              <w:top w:val="single" w:color="auto" w:sz="4" w:space="0"/>
              <w:left w:val="single" w:color="auto" w:sz="4" w:space="0"/>
              <w:bottom w:val="single" w:color="auto" w:sz="4" w:space="0"/>
              <w:right w:val="single" w:color="auto" w:sz="4" w:space="0"/>
            </w:tcBorders>
            <w:vAlign w:val="center"/>
          </w:tcPr>
          <w:p w14:paraId="63B92F01">
            <w:pPr>
              <w:pStyle w:val="134"/>
              <w:jc w:val="center"/>
              <w:rPr>
                <w:rFonts w:hint="eastAsia" w:ascii="宋体" w:hAnsi="宋体"/>
                <w:sz w:val="24"/>
              </w:rPr>
            </w:pPr>
          </w:p>
        </w:tc>
      </w:tr>
      <w:tr w14:paraId="666C85A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543" w:type="dxa"/>
            <w:gridSpan w:val="3"/>
            <w:tcBorders>
              <w:top w:val="single" w:color="auto" w:sz="4" w:space="0"/>
              <w:left w:val="single" w:color="auto" w:sz="4" w:space="0"/>
              <w:bottom w:val="single" w:color="auto" w:sz="4" w:space="0"/>
              <w:right w:val="single" w:color="auto" w:sz="4" w:space="0"/>
            </w:tcBorders>
            <w:vAlign w:val="center"/>
          </w:tcPr>
          <w:p w14:paraId="74B80319">
            <w:pPr>
              <w:pStyle w:val="134"/>
              <w:jc w:val="left"/>
              <w:rPr>
                <w:rFonts w:hint="eastAsia" w:ascii="宋体" w:hAnsi="宋体"/>
                <w:sz w:val="24"/>
              </w:rPr>
            </w:pPr>
            <w:r>
              <w:rPr>
                <w:rFonts w:hint="eastAsia" w:ascii="宋体" w:hAnsi="宋体"/>
                <w:sz w:val="24"/>
              </w:rPr>
              <w:t>注册日期</w:t>
            </w:r>
          </w:p>
        </w:tc>
        <w:tc>
          <w:tcPr>
            <w:tcW w:w="2977" w:type="dxa"/>
            <w:gridSpan w:val="3"/>
            <w:tcBorders>
              <w:top w:val="single" w:color="auto" w:sz="4" w:space="0"/>
              <w:left w:val="single" w:color="auto" w:sz="4" w:space="0"/>
              <w:bottom w:val="single" w:color="auto" w:sz="4" w:space="0"/>
              <w:right w:val="single" w:color="auto" w:sz="4" w:space="0"/>
            </w:tcBorders>
            <w:vAlign w:val="center"/>
          </w:tcPr>
          <w:p w14:paraId="525BD742">
            <w:pPr>
              <w:pStyle w:val="134"/>
              <w:jc w:val="left"/>
              <w:rPr>
                <w:rFonts w:hint="eastAsia" w:ascii="宋体" w:hAnsi="宋体"/>
                <w:sz w:val="24"/>
              </w:rPr>
            </w:pPr>
          </w:p>
        </w:tc>
        <w:tc>
          <w:tcPr>
            <w:tcW w:w="1628" w:type="dxa"/>
            <w:tcBorders>
              <w:top w:val="single" w:color="auto" w:sz="4" w:space="0"/>
              <w:left w:val="single" w:color="auto" w:sz="4" w:space="0"/>
              <w:bottom w:val="single" w:color="auto" w:sz="4" w:space="0"/>
              <w:right w:val="single" w:color="auto" w:sz="4" w:space="0"/>
            </w:tcBorders>
            <w:vAlign w:val="center"/>
          </w:tcPr>
          <w:p w14:paraId="285DDE83">
            <w:pPr>
              <w:pStyle w:val="134"/>
              <w:jc w:val="left"/>
              <w:rPr>
                <w:rFonts w:hint="eastAsia" w:ascii="宋体" w:hAnsi="宋体"/>
                <w:sz w:val="24"/>
              </w:rPr>
            </w:pPr>
            <w:r>
              <w:rPr>
                <w:rFonts w:hint="eastAsia" w:ascii="宋体" w:hAnsi="宋体"/>
                <w:sz w:val="24"/>
              </w:rPr>
              <w:t>注册资金</w:t>
            </w:r>
          </w:p>
        </w:tc>
        <w:tc>
          <w:tcPr>
            <w:tcW w:w="2843" w:type="dxa"/>
            <w:tcBorders>
              <w:top w:val="single" w:color="auto" w:sz="4" w:space="0"/>
              <w:left w:val="single" w:color="auto" w:sz="4" w:space="0"/>
              <w:bottom w:val="single" w:color="auto" w:sz="4" w:space="0"/>
              <w:right w:val="single" w:color="auto" w:sz="4" w:space="0"/>
            </w:tcBorders>
            <w:vAlign w:val="center"/>
          </w:tcPr>
          <w:p w14:paraId="342E11C5">
            <w:pPr>
              <w:pStyle w:val="134"/>
              <w:jc w:val="center"/>
              <w:rPr>
                <w:rFonts w:hint="eastAsia" w:ascii="宋体" w:hAnsi="宋体"/>
                <w:sz w:val="24"/>
              </w:rPr>
            </w:pPr>
          </w:p>
        </w:tc>
      </w:tr>
      <w:tr w14:paraId="37F9359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543" w:type="dxa"/>
            <w:gridSpan w:val="3"/>
            <w:tcBorders>
              <w:top w:val="single" w:color="auto" w:sz="4" w:space="0"/>
              <w:left w:val="single" w:color="auto" w:sz="4" w:space="0"/>
              <w:bottom w:val="single" w:color="auto" w:sz="4" w:space="0"/>
              <w:right w:val="single" w:color="auto" w:sz="4" w:space="0"/>
            </w:tcBorders>
            <w:vAlign w:val="center"/>
          </w:tcPr>
          <w:p w14:paraId="6C508F17">
            <w:pPr>
              <w:pStyle w:val="134"/>
              <w:jc w:val="left"/>
              <w:rPr>
                <w:rFonts w:hint="eastAsia" w:ascii="宋体" w:hAnsi="宋体"/>
                <w:sz w:val="24"/>
              </w:rPr>
            </w:pPr>
            <w:r>
              <w:rPr>
                <w:rFonts w:hint="eastAsia" w:ascii="宋体" w:hAnsi="宋体"/>
                <w:sz w:val="24"/>
              </w:rPr>
              <w:t>供应商网址</w:t>
            </w:r>
          </w:p>
        </w:tc>
        <w:tc>
          <w:tcPr>
            <w:tcW w:w="2977" w:type="dxa"/>
            <w:gridSpan w:val="3"/>
            <w:tcBorders>
              <w:top w:val="single" w:color="auto" w:sz="4" w:space="0"/>
              <w:left w:val="single" w:color="auto" w:sz="4" w:space="0"/>
              <w:bottom w:val="single" w:color="auto" w:sz="4" w:space="0"/>
              <w:right w:val="single" w:color="auto" w:sz="4" w:space="0"/>
            </w:tcBorders>
            <w:vAlign w:val="center"/>
          </w:tcPr>
          <w:p w14:paraId="698E585E">
            <w:pPr>
              <w:pStyle w:val="134"/>
              <w:jc w:val="left"/>
              <w:rPr>
                <w:rFonts w:hint="eastAsia" w:ascii="宋体" w:hAnsi="宋体"/>
                <w:sz w:val="24"/>
              </w:rPr>
            </w:pPr>
          </w:p>
        </w:tc>
        <w:tc>
          <w:tcPr>
            <w:tcW w:w="1628" w:type="dxa"/>
            <w:tcBorders>
              <w:top w:val="single" w:color="auto" w:sz="4" w:space="0"/>
              <w:left w:val="single" w:color="auto" w:sz="4" w:space="0"/>
              <w:bottom w:val="single" w:color="auto" w:sz="4" w:space="0"/>
              <w:right w:val="single" w:color="auto" w:sz="4" w:space="0"/>
            </w:tcBorders>
            <w:vAlign w:val="center"/>
          </w:tcPr>
          <w:p w14:paraId="14E10776">
            <w:pPr>
              <w:pStyle w:val="134"/>
              <w:jc w:val="left"/>
              <w:rPr>
                <w:rFonts w:hint="eastAsia" w:ascii="宋体" w:hAnsi="宋体"/>
                <w:sz w:val="24"/>
              </w:rPr>
            </w:pPr>
            <w:r>
              <w:rPr>
                <w:rFonts w:ascii="宋体" w:hAnsi="宋体"/>
                <w:sz w:val="24"/>
              </w:rPr>
              <w:t>E-mail</w:t>
            </w:r>
          </w:p>
        </w:tc>
        <w:tc>
          <w:tcPr>
            <w:tcW w:w="2843" w:type="dxa"/>
            <w:tcBorders>
              <w:top w:val="single" w:color="auto" w:sz="4" w:space="0"/>
              <w:left w:val="single" w:color="auto" w:sz="4" w:space="0"/>
              <w:bottom w:val="single" w:color="auto" w:sz="4" w:space="0"/>
              <w:right w:val="single" w:color="auto" w:sz="4" w:space="0"/>
            </w:tcBorders>
            <w:vAlign w:val="center"/>
          </w:tcPr>
          <w:p w14:paraId="17E7F045">
            <w:pPr>
              <w:pStyle w:val="134"/>
              <w:jc w:val="center"/>
              <w:rPr>
                <w:rFonts w:hint="eastAsia" w:ascii="宋体" w:hAnsi="宋体"/>
                <w:sz w:val="24"/>
              </w:rPr>
            </w:pPr>
          </w:p>
        </w:tc>
      </w:tr>
      <w:tr w14:paraId="0F7865C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117" w:type="dxa"/>
            <w:gridSpan w:val="2"/>
            <w:tcBorders>
              <w:top w:val="single" w:color="auto" w:sz="4" w:space="0"/>
              <w:left w:val="single" w:color="auto" w:sz="4" w:space="0"/>
              <w:bottom w:val="single" w:color="auto" w:sz="4" w:space="0"/>
              <w:right w:val="single" w:color="auto" w:sz="4" w:space="0"/>
            </w:tcBorders>
            <w:vAlign w:val="center"/>
          </w:tcPr>
          <w:p w14:paraId="6E8A00B3">
            <w:pPr>
              <w:pStyle w:val="134"/>
              <w:jc w:val="center"/>
              <w:rPr>
                <w:rFonts w:hint="eastAsia" w:ascii="宋体" w:hAnsi="宋体"/>
                <w:sz w:val="24"/>
              </w:rPr>
            </w:pPr>
            <w:r>
              <w:rPr>
                <w:rFonts w:hint="eastAsia" w:ascii="宋体" w:hAnsi="宋体"/>
                <w:sz w:val="24"/>
              </w:rPr>
              <w:t>负责人</w:t>
            </w:r>
          </w:p>
        </w:tc>
        <w:tc>
          <w:tcPr>
            <w:tcW w:w="1784" w:type="dxa"/>
            <w:gridSpan w:val="2"/>
            <w:tcBorders>
              <w:top w:val="single" w:color="auto" w:sz="4" w:space="0"/>
              <w:left w:val="single" w:color="auto" w:sz="4" w:space="0"/>
              <w:bottom w:val="single" w:color="auto" w:sz="4" w:space="0"/>
              <w:right w:val="single" w:color="auto" w:sz="4" w:space="0"/>
            </w:tcBorders>
            <w:vAlign w:val="center"/>
          </w:tcPr>
          <w:p w14:paraId="3F49D63A">
            <w:pPr>
              <w:pStyle w:val="134"/>
              <w:jc w:val="center"/>
              <w:rPr>
                <w:rFonts w:hint="eastAsia" w:ascii="宋体" w:hAnsi="宋体"/>
                <w:sz w:val="24"/>
              </w:rPr>
            </w:pPr>
          </w:p>
        </w:tc>
        <w:tc>
          <w:tcPr>
            <w:tcW w:w="3247" w:type="dxa"/>
            <w:gridSpan w:val="3"/>
            <w:tcBorders>
              <w:top w:val="single" w:color="auto" w:sz="4" w:space="0"/>
              <w:left w:val="single" w:color="auto" w:sz="4" w:space="0"/>
              <w:bottom w:val="single" w:color="auto" w:sz="4" w:space="0"/>
              <w:right w:val="single" w:color="auto" w:sz="4" w:space="0"/>
            </w:tcBorders>
            <w:vAlign w:val="center"/>
          </w:tcPr>
          <w:p w14:paraId="0EAC4B03">
            <w:pPr>
              <w:pStyle w:val="134"/>
              <w:rPr>
                <w:rFonts w:hint="eastAsia" w:ascii="宋体" w:hAnsi="宋体"/>
                <w:sz w:val="24"/>
              </w:rPr>
            </w:pPr>
            <w:r>
              <w:rPr>
                <w:rFonts w:hint="eastAsia" w:ascii="宋体" w:hAnsi="宋体"/>
                <w:sz w:val="24"/>
              </w:rPr>
              <w:t>联系电话：</w:t>
            </w:r>
          </w:p>
        </w:tc>
        <w:tc>
          <w:tcPr>
            <w:tcW w:w="2843" w:type="dxa"/>
            <w:tcBorders>
              <w:top w:val="single" w:color="auto" w:sz="4" w:space="0"/>
              <w:left w:val="single" w:color="auto" w:sz="4" w:space="0"/>
              <w:bottom w:val="single" w:color="auto" w:sz="4" w:space="0"/>
              <w:right w:val="single" w:color="auto" w:sz="4" w:space="0"/>
            </w:tcBorders>
            <w:vAlign w:val="center"/>
          </w:tcPr>
          <w:p w14:paraId="02C660B3">
            <w:pPr>
              <w:pStyle w:val="134"/>
              <w:rPr>
                <w:rFonts w:hint="eastAsia" w:ascii="宋体" w:hAnsi="宋体"/>
                <w:sz w:val="24"/>
              </w:rPr>
            </w:pPr>
            <w:r>
              <w:rPr>
                <w:rFonts w:hint="eastAsia" w:ascii="宋体" w:hAnsi="宋体"/>
                <w:sz w:val="24"/>
              </w:rPr>
              <w:t>手机：</w:t>
            </w:r>
          </w:p>
        </w:tc>
      </w:tr>
      <w:tr w14:paraId="284D279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117" w:type="dxa"/>
            <w:gridSpan w:val="2"/>
            <w:tcBorders>
              <w:top w:val="single" w:color="auto" w:sz="4" w:space="0"/>
              <w:left w:val="single" w:color="auto" w:sz="4" w:space="0"/>
              <w:bottom w:val="single" w:color="auto" w:sz="4" w:space="0"/>
              <w:right w:val="single" w:color="auto" w:sz="4" w:space="0"/>
            </w:tcBorders>
            <w:vAlign w:val="center"/>
          </w:tcPr>
          <w:p w14:paraId="18E475D5">
            <w:pPr>
              <w:pStyle w:val="134"/>
              <w:jc w:val="center"/>
              <w:rPr>
                <w:rFonts w:hint="eastAsia" w:ascii="宋体" w:hAnsi="宋体"/>
                <w:sz w:val="24"/>
              </w:rPr>
            </w:pPr>
            <w:r>
              <w:rPr>
                <w:rFonts w:hint="eastAsia" w:ascii="宋体" w:hAnsi="宋体"/>
                <w:sz w:val="24"/>
              </w:rPr>
              <w:t>联系人</w:t>
            </w:r>
          </w:p>
        </w:tc>
        <w:tc>
          <w:tcPr>
            <w:tcW w:w="1784" w:type="dxa"/>
            <w:gridSpan w:val="2"/>
            <w:tcBorders>
              <w:top w:val="single" w:color="auto" w:sz="4" w:space="0"/>
              <w:left w:val="single" w:color="auto" w:sz="4" w:space="0"/>
              <w:bottom w:val="single" w:color="auto" w:sz="4" w:space="0"/>
              <w:right w:val="single" w:color="auto" w:sz="4" w:space="0"/>
            </w:tcBorders>
            <w:vAlign w:val="center"/>
          </w:tcPr>
          <w:p w14:paraId="0F893942">
            <w:pPr>
              <w:pStyle w:val="134"/>
              <w:jc w:val="center"/>
              <w:rPr>
                <w:rFonts w:hint="eastAsia" w:ascii="宋体" w:hAnsi="宋体"/>
                <w:sz w:val="24"/>
              </w:rPr>
            </w:pPr>
          </w:p>
        </w:tc>
        <w:tc>
          <w:tcPr>
            <w:tcW w:w="3247" w:type="dxa"/>
            <w:gridSpan w:val="3"/>
            <w:tcBorders>
              <w:top w:val="single" w:color="auto" w:sz="4" w:space="0"/>
              <w:left w:val="single" w:color="auto" w:sz="4" w:space="0"/>
              <w:bottom w:val="single" w:color="auto" w:sz="4" w:space="0"/>
              <w:right w:val="single" w:color="auto" w:sz="4" w:space="0"/>
            </w:tcBorders>
            <w:vAlign w:val="center"/>
          </w:tcPr>
          <w:p w14:paraId="1E665A64">
            <w:pPr>
              <w:pStyle w:val="134"/>
              <w:rPr>
                <w:rFonts w:hint="eastAsia" w:ascii="宋体" w:hAnsi="宋体"/>
                <w:sz w:val="24"/>
              </w:rPr>
            </w:pPr>
            <w:r>
              <w:rPr>
                <w:rFonts w:hint="eastAsia" w:ascii="宋体" w:hAnsi="宋体"/>
                <w:sz w:val="24"/>
              </w:rPr>
              <w:t>联系电话：</w:t>
            </w:r>
          </w:p>
        </w:tc>
        <w:tc>
          <w:tcPr>
            <w:tcW w:w="2843" w:type="dxa"/>
            <w:tcBorders>
              <w:top w:val="single" w:color="auto" w:sz="4" w:space="0"/>
              <w:left w:val="single" w:color="auto" w:sz="4" w:space="0"/>
              <w:bottom w:val="single" w:color="auto" w:sz="4" w:space="0"/>
              <w:right w:val="single" w:color="auto" w:sz="4" w:space="0"/>
            </w:tcBorders>
            <w:vAlign w:val="center"/>
          </w:tcPr>
          <w:p w14:paraId="57A677C2">
            <w:pPr>
              <w:pStyle w:val="134"/>
              <w:rPr>
                <w:rFonts w:hint="eastAsia" w:ascii="宋体" w:hAnsi="宋体"/>
                <w:sz w:val="24"/>
              </w:rPr>
            </w:pPr>
            <w:r>
              <w:rPr>
                <w:rFonts w:hint="eastAsia" w:ascii="宋体" w:hAnsi="宋体"/>
                <w:sz w:val="24"/>
              </w:rPr>
              <w:t>手机：</w:t>
            </w:r>
          </w:p>
        </w:tc>
      </w:tr>
      <w:tr w14:paraId="275A88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117" w:type="dxa"/>
            <w:gridSpan w:val="2"/>
            <w:tcBorders>
              <w:top w:val="single" w:color="auto" w:sz="4" w:space="0"/>
              <w:left w:val="single" w:color="auto" w:sz="4" w:space="0"/>
              <w:bottom w:val="single" w:color="auto" w:sz="4" w:space="0"/>
              <w:right w:val="single" w:color="auto" w:sz="4" w:space="0"/>
            </w:tcBorders>
            <w:vAlign w:val="center"/>
          </w:tcPr>
          <w:p w14:paraId="32F59F95">
            <w:pPr>
              <w:pStyle w:val="134"/>
              <w:ind w:left="-109" w:leftChars="-52" w:right="-113" w:rightChars="-54"/>
              <w:jc w:val="center"/>
              <w:rPr>
                <w:rFonts w:hint="eastAsia" w:ascii="宋体" w:hAnsi="宋体"/>
                <w:sz w:val="24"/>
              </w:rPr>
            </w:pPr>
            <w:r>
              <w:rPr>
                <w:rFonts w:hint="eastAsia" w:ascii="宋体" w:hAnsi="宋体"/>
                <w:sz w:val="24"/>
              </w:rPr>
              <w:t>主营项目</w:t>
            </w:r>
          </w:p>
        </w:tc>
        <w:tc>
          <w:tcPr>
            <w:tcW w:w="7874" w:type="dxa"/>
            <w:gridSpan w:val="6"/>
            <w:tcBorders>
              <w:top w:val="single" w:color="auto" w:sz="4" w:space="0"/>
              <w:left w:val="single" w:color="auto" w:sz="4" w:space="0"/>
              <w:bottom w:val="single" w:color="auto" w:sz="4" w:space="0"/>
              <w:right w:val="single" w:color="auto" w:sz="4" w:space="0"/>
            </w:tcBorders>
            <w:vAlign w:val="center"/>
          </w:tcPr>
          <w:p w14:paraId="13F7E00A">
            <w:pPr>
              <w:pStyle w:val="134"/>
              <w:jc w:val="center"/>
              <w:rPr>
                <w:rFonts w:hint="eastAsia" w:ascii="宋体" w:hAnsi="宋体"/>
                <w:sz w:val="24"/>
              </w:rPr>
            </w:pPr>
          </w:p>
        </w:tc>
      </w:tr>
      <w:tr w14:paraId="30B5AFC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117" w:type="dxa"/>
            <w:gridSpan w:val="2"/>
            <w:tcBorders>
              <w:top w:val="single" w:color="auto" w:sz="4" w:space="0"/>
              <w:left w:val="single" w:color="auto" w:sz="4" w:space="0"/>
              <w:bottom w:val="single" w:color="auto" w:sz="4" w:space="0"/>
              <w:right w:val="single" w:color="auto" w:sz="4" w:space="0"/>
            </w:tcBorders>
            <w:vAlign w:val="center"/>
          </w:tcPr>
          <w:p w14:paraId="57465C4D">
            <w:pPr>
              <w:pStyle w:val="134"/>
              <w:ind w:left="-109" w:leftChars="-52" w:right="-113" w:rightChars="-54"/>
              <w:jc w:val="center"/>
              <w:rPr>
                <w:rFonts w:hint="eastAsia" w:ascii="宋体" w:hAnsi="宋体"/>
                <w:sz w:val="24"/>
              </w:rPr>
            </w:pPr>
            <w:r>
              <w:rPr>
                <w:rFonts w:hint="eastAsia" w:ascii="宋体" w:hAnsi="宋体"/>
                <w:sz w:val="24"/>
              </w:rPr>
              <w:t>兼营项目</w:t>
            </w:r>
          </w:p>
        </w:tc>
        <w:tc>
          <w:tcPr>
            <w:tcW w:w="7874" w:type="dxa"/>
            <w:gridSpan w:val="6"/>
            <w:tcBorders>
              <w:top w:val="single" w:color="auto" w:sz="4" w:space="0"/>
              <w:left w:val="single" w:color="auto" w:sz="4" w:space="0"/>
              <w:bottom w:val="single" w:color="auto" w:sz="4" w:space="0"/>
              <w:right w:val="single" w:color="auto" w:sz="4" w:space="0"/>
            </w:tcBorders>
            <w:vAlign w:val="center"/>
          </w:tcPr>
          <w:p w14:paraId="414FE29E">
            <w:pPr>
              <w:pStyle w:val="134"/>
              <w:jc w:val="center"/>
              <w:rPr>
                <w:rFonts w:hint="eastAsia" w:ascii="宋体" w:hAnsi="宋体"/>
                <w:sz w:val="24"/>
              </w:rPr>
            </w:pPr>
          </w:p>
        </w:tc>
      </w:tr>
      <w:tr w14:paraId="3B596D8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991" w:type="dxa"/>
            <w:gridSpan w:val="8"/>
            <w:tcBorders>
              <w:top w:val="single" w:color="auto" w:sz="4" w:space="0"/>
              <w:left w:val="single" w:color="auto" w:sz="4" w:space="0"/>
              <w:bottom w:val="single" w:color="auto" w:sz="4" w:space="0"/>
              <w:right w:val="single" w:color="auto" w:sz="4" w:space="0"/>
            </w:tcBorders>
            <w:vAlign w:val="center"/>
          </w:tcPr>
          <w:p w14:paraId="452519BE">
            <w:pPr>
              <w:pStyle w:val="134"/>
              <w:rPr>
                <w:rFonts w:hint="eastAsia" w:ascii="宋体" w:hAnsi="宋体"/>
                <w:sz w:val="24"/>
              </w:rPr>
            </w:pPr>
            <w:r>
              <w:rPr>
                <w:rFonts w:hint="eastAsia" w:ascii="宋体" w:hAnsi="宋体"/>
                <w:sz w:val="24"/>
              </w:rPr>
              <w:t>本单位申请参加下列采购项目的磋商：</w:t>
            </w:r>
          </w:p>
        </w:tc>
      </w:tr>
      <w:tr w14:paraId="19428F4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45" w:type="dxa"/>
            <w:tcBorders>
              <w:top w:val="single" w:color="auto" w:sz="4" w:space="0"/>
              <w:left w:val="single" w:color="auto" w:sz="4" w:space="0"/>
              <w:bottom w:val="single" w:color="auto" w:sz="4" w:space="0"/>
              <w:right w:val="single" w:color="auto" w:sz="4" w:space="0"/>
              <w:tl2br w:val="single" w:color="auto" w:sz="4" w:space="0"/>
            </w:tcBorders>
            <w:vAlign w:val="center"/>
          </w:tcPr>
          <w:p w14:paraId="70CCD120">
            <w:pPr>
              <w:pStyle w:val="134"/>
              <w:jc w:val="center"/>
              <w:rPr>
                <w:rFonts w:hint="eastAsia" w:ascii="宋体" w:hAnsi="宋体"/>
                <w:sz w:val="24"/>
              </w:rPr>
            </w:pPr>
          </w:p>
        </w:tc>
        <w:tc>
          <w:tcPr>
            <w:tcW w:w="2695" w:type="dxa"/>
            <w:gridSpan w:val="4"/>
            <w:tcBorders>
              <w:top w:val="single" w:color="auto" w:sz="4" w:space="0"/>
              <w:left w:val="single" w:color="auto" w:sz="4" w:space="0"/>
              <w:bottom w:val="single" w:color="auto" w:sz="4" w:space="0"/>
              <w:right w:val="single" w:color="auto" w:sz="4" w:space="0"/>
            </w:tcBorders>
            <w:vAlign w:val="center"/>
          </w:tcPr>
          <w:p w14:paraId="7C7FB215">
            <w:pPr>
              <w:pStyle w:val="134"/>
              <w:jc w:val="center"/>
              <w:rPr>
                <w:rFonts w:hint="eastAsia" w:ascii="宋体" w:hAnsi="宋体"/>
                <w:sz w:val="24"/>
              </w:rPr>
            </w:pPr>
            <w:r>
              <w:rPr>
                <w:rFonts w:hint="eastAsia" w:ascii="宋体" w:hAnsi="宋体"/>
                <w:sz w:val="24"/>
              </w:rPr>
              <w:t>采购编号</w:t>
            </w:r>
          </w:p>
        </w:tc>
        <w:tc>
          <w:tcPr>
            <w:tcW w:w="2708" w:type="dxa"/>
            <w:gridSpan w:val="2"/>
            <w:tcBorders>
              <w:top w:val="single" w:color="auto" w:sz="4" w:space="0"/>
              <w:left w:val="single" w:color="auto" w:sz="4" w:space="0"/>
              <w:bottom w:val="single" w:color="auto" w:sz="4" w:space="0"/>
              <w:right w:val="single" w:color="auto" w:sz="4" w:space="0"/>
            </w:tcBorders>
            <w:vAlign w:val="center"/>
          </w:tcPr>
          <w:p w14:paraId="49DFBA67">
            <w:pPr>
              <w:pStyle w:val="134"/>
              <w:jc w:val="center"/>
              <w:rPr>
                <w:rFonts w:hint="eastAsia" w:ascii="宋体" w:hAnsi="宋体"/>
                <w:sz w:val="24"/>
              </w:rPr>
            </w:pPr>
            <w:r>
              <w:rPr>
                <w:rFonts w:hint="eastAsia" w:ascii="宋体" w:hAnsi="宋体"/>
                <w:sz w:val="24"/>
              </w:rPr>
              <w:t>项目名称</w:t>
            </w:r>
          </w:p>
        </w:tc>
        <w:tc>
          <w:tcPr>
            <w:tcW w:w="2843" w:type="dxa"/>
            <w:tcBorders>
              <w:top w:val="single" w:color="auto" w:sz="4" w:space="0"/>
              <w:left w:val="single" w:color="auto" w:sz="4" w:space="0"/>
              <w:bottom w:val="single" w:color="auto" w:sz="4" w:space="0"/>
              <w:right w:val="single" w:color="auto" w:sz="4" w:space="0"/>
            </w:tcBorders>
            <w:vAlign w:val="center"/>
          </w:tcPr>
          <w:p w14:paraId="26FED51D">
            <w:pPr>
              <w:pStyle w:val="134"/>
              <w:jc w:val="center"/>
              <w:rPr>
                <w:rFonts w:hint="eastAsia" w:ascii="宋体" w:hAnsi="宋体"/>
                <w:sz w:val="24"/>
              </w:rPr>
            </w:pPr>
            <w:r>
              <w:rPr>
                <w:rFonts w:hint="eastAsia" w:ascii="宋体" w:hAnsi="宋体"/>
                <w:sz w:val="24"/>
              </w:rPr>
              <w:t>标项</w:t>
            </w:r>
          </w:p>
        </w:tc>
      </w:tr>
      <w:tr w14:paraId="218364E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45" w:type="dxa"/>
            <w:tcBorders>
              <w:top w:val="single" w:color="auto" w:sz="4" w:space="0"/>
              <w:left w:val="single" w:color="auto" w:sz="4" w:space="0"/>
              <w:bottom w:val="single" w:color="auto" w:sz="4" w:space="0"/>
              <w:right w:val="single" w:color="auto" w:sz="4" w:space="0"/>
            </w:tcBorders>
            <w:vAlign w:val="center"/>
          </w:tcPr>
          <w:p w14:paraId="297E82A9">
            <w:pPr>
              <w:pStyle w:val="134"/>
              <w:jc w:val="center"/>
              <w:rPr>
                <w:rFonts w:hint="eastAsia" w:ascii="宋体" w:hAnsi="宋体"/>
                <w:sz w:val="24"/>
              </w:rPr>
            </w:pPr>
            <w:r>
              <w:rPr>
                <w:rFonts w:ascii="宋体" w:hAnsi="宋体"/>
                <w:sz w:val="24"/>
              </w:rPr>
              <w:t>1</w:t>
            </w:r>
          </w:p>
        </w:tc>
        <w:tc>
          <w:tcPr>
            <w:tcW w:w="2695" w:type="dxa"/>
            <w:gridSpan w:val="4"/>
            <w:tcBorders>
              <w:top w:val="single" w:color="auto" w:sz="4" w:space="0"/>
              <w:left w:val="single" w:color="auto" w:sz="4" w:space="0"/>
              <w:bottom w:val="single" w:color="auto" w:sz="4" w:space="0"/>
              <w:right w:val="single" w:color="auto" w:sz="4" w:space="0"/>
            </w:tcBorders>
            <w:vAlign w:val="center"/>
          </w:tcPr>
          <w:p w14:paraId="75676342">
            <w:pPr>
              <w:pStyle w:val="134"/>
              <w:jc w:val="center"/>
              <w:rPr>
                <w:rFonts w:hint="eastAsia" w:ascii="宋体" w:hAnsi="宋体"/>
                <w:sz w:val="24"/>
              </w:rPr>
            </w:pPr>
          </w:p>
        </w:tc>
        <w:tc>
          <w:tcPr>
            <w:tcW w:w="2708" w:type="dxa"/>
            <w:gridSpan w:val="2"/>
            <w:tcBorders>
              <w:top w:val="single" w:color="auto" w:sz="4" w:space="0"/>
              <w:left w:val="single" w:color="auto" w:sz="4" w:space="0"/>
              <w:bottom w:val="single" w:color="auto" w:sz="4" w:space="0"/>
              <w:right w:val="single" w:color="auto" w:sz="4" w:space="0"/>
            </w:tcBorders>
            <w:vAlign w:val="center"/>
          </w:tcPr>
          <w:p w14:paraId="1A57E153">
            <w:pPr>
              <w:pStyle w:val="134"/>
              <w:jc w:val="center"/>
              <w:rPr>
                <w:rFonts w:hint="eastAsia" w:ascii="宋体" w:hAnsi="宋体"/>
                <w:sz w:val="24"/>
              </w:rPr>
            </w:pPr>
          </w:p>
        </w:tc>
        <w:tc>
          <w:tcPr>
            <w:tcW w:w="2843" w:type="dxa"/>
            <w:tcBorders>
              <w:top w:val="single" w:color="auto" w:sz="4" w:space="0"/>
              <w:left w:val="single" w:color="auto" w:sz="4" w:space="0"/>
              <w:bottom w:val="single" w:color="auto" w:sz="4" w:space="0"/>
              <w:right w:val="single" w:color="auto" w:sz="4" w:space="0"/>
            </w:tcBorders>
            <w:vAlign w:val="center"/>
          </w:tcPr>
          <w:p w14:paraId="386BFADB">
            <w:pPr>
              <w:pStyle w:val="134"/>
              <w:jc w:val="center"/>
              <w:rPr>
                <w:rFonts w:hint="eastAsia" w:ascii="宋体" w:hAnsi="宋体"/>
                <w:sz w:val="24"/>
              </w:rPr>
            </w:pPr>
          </w:p>
        </w:tc>
      </w:tr>
      <w:tr w14:paraId="1AE55DE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45" w:type="dxa"/>
            <w:tcBorders>
              <w:top w:val="single" w:color="auto" w:sz="4" w:space="0"/>
              <w:left w:val="single" w:color="auto" w:sz="4" w:space="0"/>
              <w:bottom w:val="single" w:color="auto" w:sz="4" w:space="0"/>
              <w:right w:val="single" w:color="auto" w:sz="4" w:space="0"/>
            </w:tcBorders>
            <w:vAlign w:val="center"/>
          </w:tcPr>
          <w:p w14:paraId="48C28E04">
            <w:pPr>
              <w:pStyle w:val="134"/>
              <w:jc w:val="center"/>
              <w:rPr>
                <w:rFonts w:hint="eastAsia" w:ascii="宋体" w:hAnsi="宋体"/>
                <w:sz w:val="24"/>
              </w:rPr>
            </w:pPr>
            <w:r>
              <w:rPr>
                <w:rFonts w:ascii="宋体" w:hAnsi="宋体"/>
                <w:sz w:val="24"/>
              </w:rPr>
              <w:t>2</w:t>
            </w:r>
          </w:p>
        </w:tc>
        <w:tc>
          <w:tcPr>
            <w:tcW w:w="2695" w:type="dxa"/>
            <w:gridSpan w:val="4"/>
            <w:tcBorders>
              <w:top w:val="single" w:color="auto" w:sz="4" w:space="0"/>
              <w:left w:val="single" w:color="auto" w:sz="4" w:space="0"/>
              <w:bottom w:val="single" w:color="auto" w:sz="4" w:space="0"/>
              <w:right w:val="single" w:color="auto" w:sz="4" w:space="0"/>
            </w:tcBorders>
            <w:vAlign w:val="center"/>
          </w:tcPr>
          <w:p w14:paraId="6ACF0DB6">
            <w:pPr>
              <w:pStyle w:val="134"/>
              <w:jc w:val="center"/>
              <w:rPr>
                <w:rFonts w:hint="eastAsia" w:ascii="宋体" w:hAnsi="宋体"/>
                <w:sz w:val="24"/>
              </w:rPr>
            </w:pPr>
          </w:p>
        </w:tc>
        <w:tc>
          <w:tcPr>
            <w:tcW w:w="2708" w:type="dxa"/>
            <w:gridSpan w:val="2"/>
            <w:tcBorders>
              <w:top w:val="single" w:color="auto" w:sz="4" w:space="0"/>
              <w:left w:val="single" w:color="auto" w:sz="4" w:space="0"/>
              <w:bottom w:val="single" w:color="auto" w:sz="4" w:space="0"/>
              <w:right w:val="single" w:color="auto" w:sz="4" w:space="0"/>
            </w:tcBorders>
            <w:vAlign w:val="center"/>
          </w:tcPr>
          <w:p w14:paraId="244DEC4A">
            <w:pPr>
              <w:pStyle w:val="134"/>
              <w:jc w:val="center"/>
              <w:rPr>
                <w:rFonts w:hint="eastAsia" w:ascii="宋体" w:hAnsi="宋体"/>
                <w:sz w:val="24"/>
              </w:rPr>
            </w:pPr>
          </w:p>
        </w:tc>
        <w:tc>
          <w:tcPr>
            <w:tcW w:w="2843" w:type="dxa"/>
            <w:tcBorders>
              <w:top w:val="single" w:color="auto" w:sz="4" w:space="0"/>
              <w:left w:val="single" w:color="auto" w:sz="4" w:space="0"/>
              <w:bottom w:val="single" w:color="auto" w:sz="4" w:space="0"/>
              <w:right w:val="single" w:color="auto" w:sz="4" w:space="0"/>
            </w:tcBorders>
            <w:vAlign w:val="center"/>
          </w:tcPr>
          <w:p w14:paraId="5C6E9F62">
            <w:pPr>
              <w:pStyle w:val="134"/>
              <w:jc w:val="center"/>
              <w:rPr>
                <w:rFonts w:hint="eastAsia" w:ascii="宋体" w:hAnsi="宋体"/>
                <w:sz w:val="24"/>
              </w:rPr>
            </w:pPr>
          </w:p>
        </w:tc>
      </w:tr>
      <w:tr w14:paraId="0F346E9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45" w:type="dxa"/>
            <w:tcBorders>
              <w:top w:val="single" w:color="auto" w:sz="4" w:space="0"/>
              <w:left w:val="single" w:color="auto" w:sz="4" w:space="0"/>
              <w:bottom w:val="single" w:color="auto" w:sz="4" w:space="0"/>
              <w:right w:val="single" w:color="auto" w:sz="4" w:space="0"/>
            </w:tcBorders>
            <w:vAlign w:val="center"/>
          </w:tcPr>
          <w:p w14:paraId="6C501E96">
            <w:pPr>
              <w:pStyle w:val="134"/>
              <w:jc w:val="center"/>
              <w:rPr>
                <w:rFonts w:hint="eastAsia" w:ascii="宋体" w:hAnsi="宋体"/>
                <w:sz w:val="24"/>
              </w:rPr>
            </w:pPr>
            <w:r>
              <w:rPr>
                <w:rFonts w:ascii="宋体" w:hAnsi="宋体"/>
                <w:sz w:val="24"/>
              </w:rPr>
              <w:t>3</w:t>
            </w:r>
          </w:p>
        </w:tc>
        <w:tc>
          <w:tcPr>
            <w:tcW w:w="2695" w:type="dxa"/>
            <w:gridSpan w:val="4"/>
            <w:tcBorders>
              <w:top w:val="single" w:color="auto" w:sz="4" w:space="0"/>
              <w:left w:val="single" w:color="auto" w:sz="4" w:space="0"/>
              <w:bottom w:val="single" w:color="auto" w:sz="4" w:space="0"/>
              <w:right w:val="single" w:color="auto" w:sz="4" w:space="0"/>
            </w:tcBorders>
            <w:vAlign w:val="center"/>
          </w:tcPr>
          <w:p w14:paraId="58B25F1F">
            <w:pPr>
              <w:pStyle w:val="134"/>
              <w:jc w:val="center"/>
              <w:rPr>
                <w:rFonts w:hint="eastAsia" w:ascii="宋体" w:hAnsi="宋体"/>
                <w:sz w:val="24"/>
              </w:rPr>
            </w:pPr>
          </w:p>
        </w:tc>
        <w:tc>
          <w:tcPr>
            <w:tcW w:w="2708" w:type="dxa"/>
            <w:gridSpan w:val="2"/>
            <w:tcBorders>
              <w:top w:val="single" w:color="auto" w:sz="4" w:space="0"/>
              <w:left w:val="single" w:color="auto" w:sz="4" w:space="0"/>
              <w:bottom w:val="single" w:color="auto" w:sz="4" w:space="0"/>
              <w:right w:val="single" w:color="auto" w:sz="4" w:space="0"/>
            </w:tcBorders>
            <w:vAlign w:val="center"/>
          </w:tcPr>
          <w:p w14:paraId="4DF80133">
            <w:pPr>
              <w:pStyle w:val="134"/>
              <w:jc w:val="center"/>
              <w:rPr>
                <w:rFonts w:hint="eastAsia" w:ascii="宋体" w:hAnsi="宋体"/>
                <w:sz w:val="24"/>
              </w:rPr>
            </w:pPr>
          </w:p>
        </w:tc>
        <w:tc>
          <w:tcPr>
            <w:tcW w:w="2843" w:type="dxa"/>
            <w:tcBorders>
              <w:top w:val="single" w:color="auto" w:sz="4" w:space="0"/>
              <w:left w:val="single" w:color="auto" w:sz="4" w:space="0"/>
              <w:bottom w:val="single" w:color="auto" w:sz="4" w:space="0"/>
              <w:right w:val="single" w:color="auto" w:sz="4" w:space="0"/>
            </w:tcBorders>
            <w:vAlign w:val="center"/>
          </w:tcPr>
          <w:p w14:paraId="3E52F2AB">
            <w:pPr>
              <w:pStyle w:val="134"/>
              <w:jc w:val="center"/>
              <w:rPr>
                <w:rFonts w:hint="eastAsia" w:ascii="宋体" w:hAnsi="宋体"/>
                <w:sz w:val="24"/>
              </w:rPr>
            </w:pPr>
          </w:p>
        </w:tc>
      </w:tr>
      <w:tr w14:paraId="7A324FE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45" w:type="dxa"/>
            <w:tcBorders>
              <w:top w:val="single" w:color="auto" w:sz="4" w:space="0"/>
              <w:left w:val="single" w:color="auto" w:sz="4" w:space="0"/>
              <w:bottom w:val="single" w:color="auto" w:sz="4" w:space="0"/>
              <w:right w:val="single" w:color="auto" w:sz="4" w:space="0"/>
            </w:tcBorders>
            <w:vAlign w:val="center"/>
          </w:tcPr>
          <w:p w14:paraId="6983D3AC">
            <w:pPr>
              <w:pStyle w:val="134"/>
              <w:jc w:val="center"/>
              <w:rPr>
                <w:rFonts w:hint="eastAsia" w:ascii="宋体" w:hAnsi="宋体"/>
                <w:sz w:val="24"/>
              </w:rPr>
            </w:pPr>
            <w:r>
              <w:rPr>
                <w:rFonts w:ascii="宋体" w:hAnsi="宋体"/>
                <w:sz w:val="24"/>
              </w:rPr>
              <w:t>4</w:t>
            </w:r>
          </w:p>
        </w:tc>
        <w:tc>
          <w:tcPr>
            <w:tcW w:w="2695" w:type="dxa"/>
            <w:gridSpan w:val="4"/>
            <w:tcBorders>
              <w:top w:val="single" w:color="auto" w:sz="4" w:space="0"/>
              <w:left w:val="single" w:color="auto" w:sz="4" w:space="0"/>
              <w:bottom w:val="single" w:color="auto" w:sz="4" w:space="0"/>
              <w:right w:val="single" w:color="auto" w:sz="4" w:space="0"/>
            </w:tcBorders>
            <w:vAlign w:val="center"/>
          </w:tcPr>
          <w:p w14:paraId="015C6380">
            <w:pPr>
              <w:pStyle w:val="134"/>
              <w:jc w:val="center"/>
              <w:rPr>
                <w:rFonts w:hint="eastAsia" w:ascii="宋体" w:hAnsi="宋体"/>
                <w:sz w:val="24"/>
              </w:rPr>
            </w:pPr>
          </w:p>
        </w:tc>
        <w:tc>
          <w:tcPr>
            <w:tcW w:w="2708" w:type="dxa"/>
            <w:gridSpan w:val="2"/>
            <w:tcBorders>
              <w:top w:val="single" w:color="auto" w:sz="4" w:space="0"/>
              <w:left w:val="single" w:color="auto" w:sz="4" w:space="0"/>
              <w:bottom w:val="single" w:color="auto" w:sz="4" w:space="0"/>
              <w:right w:val="single" w:color="auto" w:sz="4" w:space="0"/>
            </w:tcBorders>
            <w:vAlign w:val="center"/>
          </w:tcPr>
          <w:p w14:paraId="5061DC32">
            <w:pPr>
              <w:pStyle w:val="134"/>
              <w:jc w:val="center"/>
              <w:rPr>
                <w:rFonts w:hint="eastAsia" w:ascii="宋体" w:hAnsi="宋体"/>
                <w:sz w:val="24"/>
              </w:rPr>
            </w:pPr>
          </w:p>
        </w:tc>
        <w:tc>
          <w:tcPr>
            <w:tcW w:w="2843" w:type="dxa"/>
            <w:tcBorders>
              <w:top w:val="single" w:color="auto" w:sz="4" w:space="0"/>
              <w:left w:val="single" w:color="auto" w:sz="4" w:space="0"/>
              <w:bottom w:val="single" w:color="auto" w:sz="4" w:space="0"/>
              <w:right w:val="single" w:color="auto" w:sz="4" w:space="0"/>
            </w:tcBorders>
            <w:vAlign w:val="center"/>
          </w:tcPr>
          <w:p w14:paraId="55495AEE">
            <w:pPr>
              <w:pStyle w:val="134"/>
              <w:jc w:val="center"/>
              <w:rPr>
                <w:rFonts w:hint="eastAsia" w:ascii="宋体" w:hAnsi="宋体"/>
                <w:sz w:val="24"/>
              </w:rPr>
            </w:pPr>
          </w:p>
        </w:tc>
      </w:tr>
      <w:tr w14:paraId="79F2922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45" w:type="dxa"/>
            <w:tcBorders>
              <w:top w:val="single" w:color="auto" w:sz="4" w:space="0"/>
              <w:left w:val="single" w:color="auto" w:sz="4" w:space="0"/>
              <w:bottom w:val="single" w:color="auto" w:sz="4" w:space="0"/>
              <w:right w:val="single" w:color="auto" w:sz="4" w:space="0"/>
            </w:tcBorders>
            <w:vAlign w:val="center"/>
          </w:tcPr>
          <w:p w14:paraId="77310D69">
            <w:pPr>
              <w:pStyle w:val="134"/>
              <w:jc w:val="center"/>
              <w:rPr>
                <w:rFonts w:hint="eastAsia" w:ascii="宋体" w:hAnsi="宋体"/>
                <w:sz w:val="24"/>
              </w:rPr>
            </w:pPr>
          </w:p>
        </w:tc>
        <w:tc>
          <w:tcPr>
            <w:tcW w:w="2695" w:type="dxa"/>
            <w:gridSpan w:val="4"/>
            <w:tcBorders>
              <w:top w:val="single" w:color="auto" w:sz="4" w:space="0"/>
              <w:left w:val="single" w:color="auto" w:sz="4" w:space="0"/>
              <w:bottom w:val="single" w:color="auto" w:sz="4" w:space="0"/>
              <w:right w:val="single" w:color="auto" w:sz="4" w:space="0"/>
            </w:tcBorders>
            <w:vAlign w:val="center"/>
          </w:tcPr>
          <w:p w14:paraId="2FDC7EF0">
            <w:pPr>
              <w:pStyle w:val="134"/>
              <w:jc w:val="center"/>
              <w:rPr>
                <w:rFonts w:hint="eastAsia" w:ascii="宋体" w:hAnsi="宋体"/>
                <w:sz w:val="24"/>
              </w:rPr>
            </w:pPr>
          </w:p>
        </w:tc>
        <w:tc>
          <w:tcPr>
            <w:tcW w:w="2708" w:type="dxa"/>
            <w:gridSpan w:val="2"/>
            <w:tcBorders>
              <w:top w:val="single" w:color="auto" w:sz="4" w:space="0"/>
              <w:left w:val="single" w:color="auto" w:sz="4" w:space="0"/>
              <w:bottom w:val="single" w:color="auto" w:sz="4" w:space="0"/>
              <w:right w:val="single" w:color="auto" w:sz="4" w:space="0"/>
            </w:tcBorders>
            <w:vAlign w:val="center"/>
          </w:tcPr>
          <w:p w14:paraId="38FE9887">
            <w:pPr>
              <w:pStyle w:val="134"/>
              <w:jc w:val="center"/>
              <w:rPr>
                <w:rFonts w:hint="eastAsia" w:ascii="宋体" w:hAnsi="宋体"/>
                <w:sz w:val="24"/>
              </w:rPr>
            </w:pPr>
          </w:p>
        </w:tc>
        <w:tc>
          <w:tcPr>
            <w:tcW w:w="2843" w:type="dxa"/>
            <w:tcBorders>
              <w:top w:val="single" w:color="auto" w:sz="4" w:space="0"/>
              <w:left w:val="single" w:color="auto" w:sz="4" w:space="0"/>
              <w:bottom w:val="single" w:color="auto" w:sz="4" w:space="0"/>
              <w:right w:val="single" w:color="auto" w:sz="4" w:space="0"/>
            </w:tcBorders>
            <w:vAlign w:val="center"/>
          </w:tcPr>
          <w:p w14:paraId="1A2E36A2">
            <w:pPr>
              <w:pStyle w:val="134"/>
              <w:jc w:val="center"/>
              <w:rPr>
                <w:rFonts w:hint="eastAsia" w:ascii="宋体" w:hAnsi="宋体"/>
                <w:sz w:val="24"/>
              </w:rPr>
            </w:pPr>
          </w:p>
        </w:tc>
      </w:tr>
      <w:tr w14:paraId="17273C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45" w:type="dxa"/>
            <w:tcBorders>
              <w:top w:val="single" w:color="auto" w:sz="4" w:space="0"/>
              <w:left w:val="single" w:color="auto" w:sz="4" w:space="0"/>
              <w:bottom w:val="single" w:color="auto" w:sz="4" w:space="0"/>
              <w:right w:val="single" w:color="auto" w:sz="4" w:space="0"/>
            </w:tcBorders>
            <w:vAlign w:val="center"/>
          </w:tcPr>
          <w:p w14:paraId="69DEEACA">
            <w:pPr>
              <w:pStyle w:val="134"/>
              <w:jc w:val="center"/>
              <w:rPr>
                <w:rFonts w:hint="eastAsia" w:ascii="宋体" w:hAnsi="宋体"/>
                <w:sz w:val="24"/>
              </w:rPr>
            </w:pPr>
          </w:p>
        </w:tc>
        <w:tc>
          <w:tcPr>
            <w:tcW w:w="2695" w:type="dxa"/>
            <w:gridSpan w:val="4"/>
            <w:tcBorders>
              <w:top w:val="single" w:color="auto" w:sz="4" w:space="0"/>
              <w:left w:val="single" w:color="auto" w:sz="4" w:space="0"/>
              <w:bottom w:val="single" w:color="auto" w:sz="4" w:space="0"/>
              <w:right w:val="single" w:color="auto" w:sz="4" w:space="0"/>
            </w:tcBorders>
            <w:vAlign w:val="center"/>
          </w:tcPr>
          <w:p w14:paraId="27E23FCB">
            <w:pPr>
              <w:pStyle w:val="134"/>
              <w:jc w:val="center"/>
              <w:rPr>
                <w:rFonts w:hint="eastAsia" w:ascii="宋体" w:hAnsi="宋体"/>
                <w:sz w:val="24"/>
              </w:rPr>
            </w:pPr>
          </w:p>
        </w:tc>
        <w:tc>
          <w:tcPr>
            <w:tcW w:w="2708" w:type="dxa"/>
            <w:gridSpan w:val="2"/>
            <w:tcBorders>
              <w:top w:val="single" w:color="auto" w:sz="4" w:space="0"/>
              <w:left w:val="single" w:color="auto" w:sz="4" w:space="0"/>
              <w:bottom w:val="single" w:color="auto" w:sz="4" w:space="0"/>
              <w:right w:val="single" w:color="auto" w:sz="4" w:space="0"/>
            </w:tcBorders>
            <w:vAlign w:val="center"/>
          </w:tcPr>
          <w:p w14:paraId="2DB6249E">
            <w:pPr>
              <w:pStyle w:val="134"/>
              <w:jc w:val="center"/>
              <w:rPr>
                <w:rFonts w:hint="eastAsia" w:ascii="宋体" w:hAnsi="宋体"/>
                <w:sz w:val="24"/>
              </w:rPr>
            </w:pPr>
          </w:p>
        </w:tc>
        <w:tc>
          <w:tcPr>
            <w:tcW w:w="2843" w:type="dxa"/>
            <w:tcBorders>
              <w:top w:val="single" w:color="auto" w:sz="4" w:space="0"/>
              <w:left w:val="single" w:color="auto" w:sz="4" w:space="0"/>
              <w:bottom w:val="single" w:color="auto" w:sz="4" w:space="0"/>
              <w:right w:val="single" w:color="auto" w:sz="4" w:space="0"/>
            </w:tcBorders>
            <w:vAlign w:val="center"/>
          </w:tcPr>
          <w:p w14:paraId="3FA77B05">
            <w:pPr>
              <w:pStyle w:val="134"/>
              <w:jc w:val="center"/>
              <w:rPr>
                <w:rFonts w:hint="eastAsia" w:ascii="宋体" w:hAnsi="宋体"/>
                <w:sz w:val="24"/>
              </w:rPr>
            </w:pPr>
          </w:p>
        </w:tc>
      </w:tr>
      <w:tr w14:paraId="1728FEC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45" w:type="dxa"/>
            <w:tcBorders>
              <w:top w:val="single" w:color="auto" w:sz="4" w:space="0"/>
              <w:left w:val="single" w:color="auto" w:sz="4" w:space="0"/>
              <w:bottom w:val="single" w:color="auto" w:sz="4" w:space="0"/>
              <w:right w:val="single" w:color="auto" w:sz="4" w:space="0"/>
            </w:tcBorders>
            <w:vAlign w:val="center"/>
          </w:tcPr>
          <w:p w14:paraId="57469BC8">
            <w:pPr>
              <w:pStyle w:val="134"/>
              <w:jc w:val="center"/>
              <w:rPr>
                <w:rFonts w:hint="eastAsia" w:ascii="宋体" w:hAnsi="宋体"/>
                <w:sz w:val="24"/>
              </w:rPr>
            </w:pPr>
          </w:p>
        </w:tc>
        <w:tc>
          <w:tcPr>
            <w:tcW w:w="2695" w:type="dxa"/>
            <w:gridSpan w:val="4"/>
            <w:tcBorders>
              <w:top w:val="single" w:color="auto" w:sz="4" w:space="0"/>
              <w:left w:val="single" w:color="auto" w:sz="4" w:space="0"/>
              <w:bottom w:val="single" w:color="auto" w:sz="4" w:space="0"/>
              <w:right w:val="single" w:color="auto" w:sz="4" w:space="0"/>
            </w:tcBorders>
            <w:vAlign w:val="center"/>
          </w:tcPr>
          <w:p w14:paraId="4AD3349A">
            <w:pPr>
              <w:pStyle w:val="134"/>
              <w:jc w:val="center"/>
              <w:rPr>
                <w:rFonts w:hint="eastAsia" w:ascii="宋体" w:hAnsi="宋体"/>
                <w:sz w:val="24"/>
              </w:rPr>
            </w:pPr>
          </w:p>
        </w:tc>
        <w:tc>
          <w:tcPr>
            <w:tcW w:w="2708" w:type="dxa"/>
            <w:gridSpan w:val="2"/>
            <w:tcBorders>
              <w:top w:val="single" w:color="auto" w:sz="4" w:space="0"/>
              <w:left w:val="single" w:color="auto" w:sz="4" w:space="0"/>
              <w:bottom w:val="single" w:color="auto" w:sz="4" w:space="0"/>
              <w:right w:val="single" w:color="auto" w:sz="4" w:space="0"/>
            </w:tcBorders>
            <w:vAlign w:val="center"/>
          </w:tcPr>
          <w:p w14:paraId="2395D5D5">
            <w:pPr>
              <w:pStyle w:val="134"/>
              <w:jc w:val="center"/>
              <w:rPr>
                <w:rFonts w:hint="eastAsia" w:ascii="宋体" w:hAnsi="宋体"/>
                <w:sz w:val="24"/>
              </w:rPr>
            </w:pPr>
          </w:p>
        </w:tc>
        <w:tc>
          <w:tcPr>
            <w:tcW w:w="2843" w:type="dxa"/>
            <w:tcBorders>
              <w:top w:val="single" w:color="auto" w:sz="4" w:space="0"/>
              <w:left w:val="single" w:color="auto" w:sz="4" w:space="0"/>
              <w:bottom w:val="single" w:color="auto" w:sz="4" w:space="0"/>
              <w:right w:val="single" w:color="auto" w:sz="4" w:space="0"/>
            </w:tcBorders>
            <w:vAlign w:val="center"/>
          </w:tcPr>
          <w:p w14:paraId="463916B5">
            <w:pPr>
              <w:pStyle w:val="134"/>
              <w:jc w:val="center"/>
              <w:rPr>
                <w:rFonts w:hint="eastAsia" w:ascii="宋体" w:hAnsi="宋体"/>
                <w:sz w:val="24"/>
              </w:rPr>
            </w:pPr>
          </w:p>
        </w:tc>
      </w:tr>
      <w:tr w14:paraId="6BC5E3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45" w:type="dxa"/>
            <w:tcBorders>
              <w:top w:val="single" w:color="auto" w:sz="4" w:space="0"/>
              <w:left w:val="single" w:color="auto" w:sz="4" w:space="0"/>
              <w:bottom w:val="single" w:color="auto" w:sz="4" w:space="0"/>
              <w:right w:val="single" w:color="auto" w:sz="4" w:space="0"/>
            </w:tcBorders>
            <w:vAlign w:val="center"/>
          </w:tcPr>
          <w:p w14:paraId="1AC3477A">
            <w:pPr>
              <w:pStyle w:val="134"/>
              <w:jc w:val="center"/>
              <w:rPr>
                <w:rFonts w:hint="eastAsia" w:ascii="宋体" w:hAnsi="宋体"/>
                <w:sz w:val="24"/>
              </w:rPr>
            </w:pPr>
          </w:p>
        </w:tc>
        <w:tc>
          <w:tcPr>
            <w:tcW w:w="2695" w:type="dxa"/>
            <w:gridSpan w:val="4"/>
            <w:tcBorders>
              <w:top w:val="single" w:color="auto" w:sz="4" w:space="0"/>
              <w:left w:val="single" w:color="auto" w:sz="4" w:space="0"/>
              <w:bottom w:val="single" w:color="auto" w:sz="4" w:space="0"/>
              <w:right w:val="single" w:color="auto" w:sz="4" w:space="0"/>
            </w:tcBorders>
            <w:vAlign w:val="center"/>
          </w:tcPr>
          <w:p w14:paraId="5099E0B8">
            <w:pPr>
              <w:pStyle w:val="134"/>
              <w:jc w:val="center"/>
              <w:rPr>
                <w:rFonts w:hint="eastAsia" w:ascii="宋体" w:hAnsi="宋体"/>
                <w:sz w:val="24"/>
              </w:rPr>
            </w:pPr>
          </w:p>
        </w:tc>
        <w:tc>
          <w:tcPr>
            <w:tcW w:w="2708" w:type="dxa"/>
            <w:gridSpan w:val="2"/>
            <w:tcBorders>
              <w:top w:val="single" w:color="auto" w:sz="4" w:space="0"/>
              <w:left w:val="single" w:color="auto" w:sz="4" w:space="0"/>
              <w:bottom w:val="single" w:color="auto" w:sz="4" w:space="0"/>
              <w:right w:val="single" w:color="auto" w:sz="4" w:space="0"/>
            </w:tcBorders>
            <w:vAlign w:val="center"/>
          </w:tcPr>
          <w:p w14:paraId="3A4EE509">
            <w:pPr>
              <w:pStyle w:val="134"/>
              <w:jc w:val="center"/>
              <w:rPr>
                <w:rFonts w:hint="eastAsia" w:ascii="宋体" w:hAnsi="宋体"/>
                <w:sz w:val="24"/>
              </w:rPr>
            </w:pPr>
          </w:p>
        </w:tc>
        <w:tc>
          <w:tcPr>
            <w:tcW w:w="2843" w:type="dxa"/>
            <w:tcBorders>
              <w:top w:val="single" w:color="auto" w:sz="4" w:space="0"/>
              <w:left w:val="single" w:color="auto" w:sz="4" w:space="0"/>
              <w:bottom w:val="single" w:color="auto" w:sz="4" w:space="0"/>
              <w:right w:val="single" w:color="auto" w:sz="4" w:space="0"/>
            </w:tcBorders>
            <w:vAlign w:val="center"/>
          </w:tcPr>
          <w:p w14:paraId="7FB55D36">
            <w:pPr>
              <w:pStyle w:val="134"/>
              <w:jc w:val="center"/>
              <w:rPr>
                <w:rFonts w:hint="eastAsia" w:ascii="宋体" w:hAnsi="宋体"/>
                <w:sz w:val="24"/>
              </w:rPr>
            </w:pPr>
          </w:p>
        </w:tc>
      </w:tr>
    </w:tbl>
    <w:p w14:paraId="21BEC512">
      <w:pPr>
        <w:pStyle w:val="76"/>
        <w:spacing w:line="360" w:lineRule="auto"/>
        <w:ind w:firstLine="4480" w:firstLineChars="1600"/>
        <w:rPr>
          <w:rFonts w:hint="eastAsia" w:ascii="宋体" w:hAnsi="宋体"/>
          <w:spacing w:val="20"/>
          <w:sz w:val="24"/>
          <w:szCs w:val="21"/>
        </w:rPr>
      </w:pPr>
    </w:p>
    <w:bookmarkEnd w:id="404"/>
    <w:bookmarkEnd w:id="405"/>
    <w:bookmarkEnd w:id="406"/>
    <w:bookmarkEnd w:id="407"/>
    <w:p w14:paraId="2E9AFD4F">
      <w:pPr>
        <w:pStyle w:val="19"/>
        <w:spacing w:line="360" w:lineRule="auto"/>
        <w:ind w:firstLine="3080" w:firstLineChars="1100"/>
        <w:rPr>
          <w:rFonts w:hint="eastAsia" w:hAnsi="宋体"/>
          <w:spacing w:val="20"/>
          <w:sz w:val="24"/>
        </w:rPr>
      </w:pPr>
    </w:p>
    <w:p w14:paraId="0AF49B44">
      <w:pPr>
        <w:pStyle w:val="76"/>
        <w:spacing w:line="440" w:lineRule="exact"/>
        <w:ind w:firstLine="5320" w:firstLineChars="1900"/>
        <w:rPr>
          <w:rFonts w:hint="eastAsia" w:ascii="宋体" w:hAnsi="宋体"/>
          <w:spacing w:val="20"/>
          <w:sz w:val="24"/>
          <w:szCs w:val="21"/>
          <w:u w:val="single"/>
        </w:rPr>
      </w:pPr>
      <w:r>
        <w:rPr>
          <w:rFonts w:hint="eastAsia" w:ascii="宋体" w:hAnsi="宋体"/>
          <w:spacing w:val="20"/>
          <w:sz w:val="24"/>
          <w:szCs w:val="21"/>
        </w:rPr>
        <w:t>供应商</w:t>
      </w:r>
      <w:r>
        <w:rPr>
          <w:rFonts w:ascii="宋体" w:hAnsi="宋体"/>
          <w:spacing w:val="20"/>
          <w:sz w:val="24"/>
          <w:szCs w:val="21"/>
        </w:rPr>
        <w:t>盖章：</w:t>
      </w:r>
      <w:r>
        <w:rPr>
          <w:rFonts w:ascii="宋体" w:hAnsi="宋体"/>
          <w:spacing w:val="20"/>
          <w:sz w:val="24"/>
          <w:szCs w:val="21"/>
          <w:u w:val="single"/>
        </w:rPr>
        <w:t xml:space="preserve">           </w:t>
      </w:r>
    </w:p>
    <w:p w14:paraId="64F531D4">
      <w:pPr>
        <w:pStyle w:val="76"/>
        <w:spacing w:line="440" w:lineRule="exact"/>
        <w:ind w:firstLine="5320" w:firstLineChars="1900"/>
        <w:rPr>
          <w:rFonts w:hint="eastAsia" w:ascii="宋体" w:hAnsi="宋体"/>
          <w:spacing w:val="20"/>
          <w:sz w:val="24"/>
          <w:szCs w:val="21"/>
          <w:u w:val="single"/>
        </w:rPr>
      </w:pPr>
      <w:r>
        <w:rPr>
          <w:rFonts w:ascii="宋体" w:hAnsi="宋体"/>
          <w:spacing w:val="20"/>
          <w:sz w:val="24"/>
          <w:szCs w:val="21"/>
        </w:rPr>
        <w:t>日     期：</w:t>
      </w:r>
      <w:r>
        <w:rPr>
          <w:rFonts w:ascii="宋体" w:hAnsi="宋体"/>
          <w:spacing w:val="20"/>
          <w:sz w:val="24"/>
          <w:szCs w:val="21"/>
          <w:u w:val="single"/>
        </w:rPr>
        <w:t xml:space="preserve">           </w:t>
      </w:r>
    </w:p>
    <w:p w14:paraId="2D857FB6">
      <w:pPr>
        <w:spacing w:line="360" w:lineRule="auto"/>
        <w:ind w:firstLine="5880" w:firstLineChars="2100"/>
        <w:rPr>
          <w:rFonts w:hint="eastAsia" w:hAnsi="宋体"/>
          <w:spacing w:val="20"/>
          <w:sz w:val="24"/>
          <w:u w:val="single"/>
        </w:rPr>
      </w:pPr>
      <w:r>
        <w:rPr>
          <w:rFonts w:hAnsi="宋体"/>
          <w:spacing w:val="20"/>
          <w:sz w:val="24"/>
          <w:u w:val="single"/>
        </w:rPr>
        <w:br w:type="page"/>
      </w:r>
    </w:p>
    <w:p w14:paraId="75813FF5">
      <w:pPr>
        <w:spacing w:line="360" w:lineRule="auto"/>
        <w:jc w:val="center"/>
        <w:rPr>
          <w:rFonts w:hint="eastAsia" w:ascii="宋体" w:hAnsi="宋体"/>
          <w:b/>
          <w:sz w:val="30"/>
        </w:rPr>
      </w:pPr>
      <w:r>
        <w:rPr>
          <w:rFonts w:hint="eastAsia" w:ascii="宋体" w:hAnsi="宋体"/>
          <w:b/>
          <w:sz w:val="30"/>
        </w:rPr>
        <w:t>3、代理服务费支付承诺书</w:t>
      </w:r>
    </w:p>
    <w:p w14:paraId="7A7F87D8">
      <w:pPr>
        <w:spacing w:line="360" w:lineRule="auto"/>
        <w:jc w:val="left"/>
        <w:rPr>
          <w:rFonts w:hint="eastAsia" w:ascii="宋体" w:hAnsi="宋体"/>
          <w:sz w:val="28"/>
          <w:szCs w:val="28"/>
        </w:rPr>
      </w:pPr>
    </w:p>
    <w:p w14:paraId="098B74C4">
      <w:pPr>
        <w:pStyle w:val="69"/>
        <w:spacing w:before="240" w:beforeLines="100" w:line="360" w:lineRule="auto"/>
        <w:rPr>
          <w:rFonts w:hint="eastAsia" w:ascii="宋体" w:hAnsi="宋体"/>
          <w:sz w:val="24"/>
          <w:u w:val="single"/>
        </w:rPr>
      </w:pPr>
      <w:r>
        <w:rPr>
          <w:rFonts w:hint="eastAsia" w:ascii="宋体" w:hAnsi="宋体"/>
          <w:sz w:val="24"/>
          <w:u w:val="single"/>
        </w:rPr>
        <w:t>（代理机构名称）：</w:t>
      </w:r>
    </w:p>
    <w:p w14:paraId="460B2A17">
      <w:pPr>
        <w:spacing w:line="360" w:lineRule="auto"/>
        <w:ind w:firstLine="480" w:firstLineChars="200"/>
        <w:jc w:val="left"/>
        <w:rPr>
          <w:rFonts w:hint="eastAsia" w:ascii="宋体" w:hAnsi="宋体"/>
          <w:sz w:val="24"/>
        </w:rPr>
      </w:pPr>
      <w:r>
        <w:rPr>
          <w:rFonts w:hint="eastAsia" w:ascii="宋体" w:hAnsi="宋体"/>
          <w:sz w:val="24"/>
        </w:rPr>
        <w:t>如确定我公司为该项目成交人，我公司承诺在成交公告发布之日起5个工作日之内向贵公司按竞争性磋商文件约定一次性支付代理服务费。逾期未支付的，贵公司有权就此事项向我公司提出赔偿，我公司愿意承担由此产生的全部赔偿责任。</w:t>
      </w:r>
    </w:p>
    <w:p w14:paraId="355A989C">
      <w:pPr>
        <w:spacing w:line="360" w:lineRule="auto"/>
        <w:jc w:val="left"/>
        <w:rPr>
          <w:rFonts w:hint="eastAsia" w:ascii="宋体" w:hAnsi="宋体"/>
          <w:b/>
          <w:sz w:val="24"/>
        </w:rPr>
      </w:pPr>
    </w:p>
    <w:p w14:paraId="6F9D73DB">
      <w:pPr>
        <w:spacing w:line="360" w:lineRule="auto"/>
        <w:jc w:val="left"/>
        <w:rPr>
          <w:rFonts w:hint="eastAsia" w:ascii="宋体" w:hAnsi="宋体"/>
          <w:b/>
          <w:sz w:val="24"/>
        </w:rPr>
      </w:pPr>
      <w:r>
        <w:rPr>
          <w:rFonts w:hint="eastAsia" w:ascii="宋体" w:hAnsi="宋体"/>
          <w:b/>
          <w:sz w:val="24"/>
        </w:rPr>
        <w:t>注：</w:t>
      </w:r>
    </w:p>
    <w:p w14:paraId="06729AF0">
      <w:pPr>
        <w:spacing w:line="360" w:lineRule="auto"/>
        <w:jc w:val="left"/>
        <w:rPr>
          <w:rFonts w:hint="eastAsia" w:ascii="宋体" w:hAnsi="宋体"/>
          <w:sz w:val="24"/>
        </w:rPr>
      </w:pPr>
      <w:r>
        <w:rPr>
          <w:rFonts w:hint="eastAsia" w:ascii="宋体" w:hAnsi="宋体"/>
          <w:sz w:val="24"/>
        </w:rPr>
        <w:t>代理服务费收取账户信息：</w:t>
      </w:r>
    </w:p>
    <w:p w14:paraId="75AE9EC2">
      <w:pPr>
        <w:spacing w:line="360" w:lineRule="auto"/>
        <w:jc w:val="left"/>
        <w:rPr>
          <w:rFonts w:hint="eastAsia" w:ascii="宋体" w:hAnsi="宋体"/>
          <w:sz w:val="24"/>
        </w:rPr>
      </w:pPr>
      <w:r>
        <w:rPr>
          <w:rFonts w:hint="eastAsia" w:ascii="宋体" w:hAnsi="宋体"/>
          <w:sz w:val="24"/>
        </w:rPr>
        <w:t>户名：卓正招标咨询（丽水）有限公司</w:t>
      </w:r>
    </w:p>
    <w:p w14:paraId="470D73CF">
      <w:pPr>
        <w:spacing w:line="360" w:lineRule="auto"/>
        <w:jc w:val="left"/>
        <w:rPr>
          <w:rFonts w:hint="eastAsia" w:ascii="宋体" w:hAnsi="宋体"/>
          <w:sz w:val="24"/>
        </w:rPr>
      </w:pPr>
      <w:r>
        <w:rPr>
          <w:rFonts w:hint="eastAsia" w:ascii="宋体" w:hAnsi="宋体"/>
          <w:sz w:val="24"/>
        </w:rPr>
        <w:t>账号：1210205009200198220</w:t>
      </w:r>
    </w:p>
    <w:p w14:paraId="6A20A570">
      <w:pPr>
        <w:spacing w:line="360" w:lineRule="auto"/>
        <w:jc w:val="left"/>
        <w:rPr>
          <w:rFonts w:hint="eastAsia" w:ascii="宋体" w:hAnsi="宋体"/>
          <w:sz w:val="24"/>
        </w:rPr>
      </w:pPr>
      <w:r>
        <w:rPr>
          <w:rFonts w:hint="eastAsia" w:ascii="宋体" w:hAnsi="宋体"/>
          <w:sz w:val="24"/>
        </w:rPr>
        <w:t>开户银行：中国工商银行股份有限公司丽水莲城支行</w:t>
      </w:r>
    </w:p>
    <w:p w14:paraId="0177A058">
      <w:pPr>
        <w:pStyle w:val="15"/>
        <w:spacing w:line="360" w:lineRule="auto"/>
      </w:pPr>
    </w:p>
    <w:p w14:paraId="654EFD99">
      <w:pPr>
        <w:pStyle w:val="76"/>
        <w:spacing w:line="360" w:lineRule="auto"/>
        <w:ind w:firstLine="5320" w:firstLineChars="1900"/>
        <w:rPr>
          <w:rFonts w:hint="eastAsia" w:ascii="宋体" w:hAnsi="宋体"/>
          <w:spacing w:val="20"/>
          <w:sz w:val="24"/>
          <w:szCs w:val="21"/>
        </w:rPr>
      </w:pPr>
    </w:p>
    <w:p w14:paraId="2263C82D">
      <w:pPr>
        <w:pStyle w:val="76"/>
        <w:spacing w:line="360" w:lineRule="auto"/>
        <w:ind w:firstLine="5320" w:firstLineChars="1900"/>
        <w:rPr>
          <w:rFonts w:hint="eastAsia" w:ascii="宋体" w:hAnsi="宋体"/>
          <w:spacing w:val="20"/>
          <w:sz w:val="24"/>
          <w:szCs w:val="21"/>
          <w:u w:val="single"/>
        </w:rPr>
      </w:pPr>
      <w:r>
        <w:rPr>
          <w:rFonts w:hint="eastAsia" w:ascii="宋体" w:hAnsi="宋体"/>
          <w:spacing w:val="20"/>
          <w:sz w:val="24"/>
          <w:szCs w:val="21"/>
        </w:rPr>
        <w:t>供应商</w:t>
      </w:r>
      <w:r>
        <w:rPr>
          <w:rFonts w:ascii="宋体" w:hAnsi="宋体"/>
          <w:spacing w:val="20"/>
          <w:sz w:val="24"/>
          <w:szCs w:val="21"/>
        </w:rPr>
        <w:t>盖章：</w:t>
      </w:r>
      <w:r>
        <w:rPr>
          <w:rFonts w:ascii="宋体" w:hAnsi="宋体"/>
          <w:spacing w:val="20"/>
          <w:sz w:val="24"/>
          <w:szCs w:val="21"/>
          <w:u w:val="single"/>
        </w:rPr>
        <w:t xml:space="preserve">           </w:t>
      </w:r>
    </w:p>
    <w:p w14:paraId="6903335F">
      <w:pPr>
        <w:pStyle w:val="76"/>
        <w:spacing w:line="360" w:lineRule="auto"/>
        <w:ind w:firstLine="5320" w:firstLineChars="1900"/>
        <w:rPr>
          <w:rFonts w:hint="eastAsia" w:ascii="宋体" w:hAnsi="宋体"/>
          <w:spacing w:val="20"/>
          <w:sz w:val="24"/>
          <w:szCs w:val="21"/>
          <w:u w:val="single"/>
        </w:rPr>
      </w:pPr>
      <w:r>
        <w:rPr>
          <w:rFonts w:ascii="宋体" w:hAnsi="宋体"/>
          <w:spacing w:val="20"/>
          <w:sz w:val="24"/>
          <w:szCs w:val="21"/>
        </w:rPr>
        <w:t>日     期：</w:t>
      </w:r>
      <w:r>
        <w:rPr>
          <w:rFonts w:ascii="宋体" w:hAnsi="宋体"/>
          <w:spacing w:val="20"/>
          <w:sz w:val="24"/>
          <w:szCs w:val="21"/>
          <w:u w:val="single"/>
        </w:rPr>
        <w:t xml:space="preserve">           </w:t>
      </w:r>
    </w:p>
    <w:p w14:paraId="60F969DD">
      <w:pPr>
        <w:spacing w:line="360" w:lineRule="auto"/>
        <w:jc w:val="left"/>
        <w:rPr>
          <w:rFonts w:hint="eastAsia" w:hAnsi="宋体"/>
          <w:b/>
          <w:sz w:val="32"/>
        </w:rPr>
      </w:pPr>
    </w:p>
    <w:p w14:paraId="50092A04">
      <w:pPr>
        <w:spacing w:line="360" w:lineRule="auto"/>
        <w:jc w:val="left"/>
        <w:rPr>
          <w:rFonts w:hint="eastAsia" w:hAnsi="宋体"/>
          <w:b/>
          <w:sz w:val="32"/>
        </w:rPr>
      </w:pPr>
    </w:p>
    <w:p w14:paraId="4E8812C8">
      <w:pPr>
        <w:spacing w:line="360" w:lineRule="auto"/>
        <w:jc w:val="left"/>
        <w:rPr>
          <w:rFonts w:hint="eastAsia" w:hAnsi="宋体"/>
          <w:b/>
          <w:sz w:val="32"/>
        </w:rPr>
      </w:pPr>
    </w:p>
    <w:p w14:paraId="2A36FE29">
      <w:pPr>
        <w:spacing w:line="360" w:lineRule="auto"/>
        <w:jc w:val="left"/>
        <w:rPr>
          <w:rFonts w:hint="eastAsia" w:hAnsi="宋体"/>
          <w:b/>
          <w:sz w:val="32"/>
        </w:rPr>
      </w:pPr>
    </w:p>
    <w:p w14:paraId="3008B601">
      <w:pPr>
        <w:spacing w:line="360" w:lineRule="auto"/>
        <w:jc w:val="left"/>
        <w:rPr>
          <w:rFonts w:hint="eastAsia" w:hAnsi="宋体"/>
          <w:b/>
          <w:sz w:val="32"/>
        </w:rPr>
      </w:pPr>
    </w:p>
    <w:p w14:paraId="1882A276">
      <w:pPr>
        <w:spacing w:line="360" w:lineRule="auto"/>
        <w:jc w:val="left"/>
        <w:rPr>
          <w:rFonts w:hint="eastAsia" w:hAnsi="宋体"/>
          <w:b/>
          <w:sz w:val="32"/>
        </w:rPr>
      </w:pPr>
    </w:p>
    <w:p w14:paraId="12CB1258">
      <w:pPr>
        <w:spacing w:line="360" w:lineRule="auto"/>
        <w:jc w:val="left"/>
        <w:rPr>
          <w:rFonts w:hint="eastAsia" w:hAnsi="宋体"/>
          <w:b/>
          <w:sz w:val="32"/>
        </w:rPr>
      </w:pPr>
    </w:p>
    <w:p w14:paraId="3DCB3293">
      <w:pPr>
        <w:spacing w:line="360" w:lineRule="auto"/>
        <w:jc w:val="left"/>
        <w:rPr>
          <w:rFonts w:hint="eastAsia" w:hAnsi="宋体"/>
          <w:b/>
          <w:sz w:val="32"/>
        </w:rPr>
      </w:pPr>
    </w:p>
    <w:p w14:paraId="2DDA6C54">
      <w:pPr>
        <w:spacing w:line="360" w:lineRule="auto"/>
        <w:jc w:val="left"/>
        <w:rPr>
          <w:rFonts w:hint="eastAsia" w:hAnsi="宋体"/>
          <w:b/>
          <w:sz w:val="32"/>
        </w:rPr>
      </w:pPr>
    </w:p>
    <w:p w14:paraId="63B253C2">
      <w:pPr>
        <w:spacing w:line="360" w:lineRule="auto"/>
        <w:jc w:val="left"/>
        <w:rPr>
          <w:rFonts w:hint="eastAsia" w:hAnsi="宋体"/>
          <w:b/>
          <w:sz w:val="32"/>
        </w:rPr>
      </w:pPr>
    </w:p>
    <w:p w14:paraId="3317A121">
      <w:pPr>
        <w:spacing w:line="360" w:lineRule="auto"/>
        <w:jc w:val="left"/>
        <w:rPr>
          <w:rFonts w:hint="eastAsia" w:hAnsi="宋体"/>
          <w:b/>
          <w:sz w:val="32"/>
        </w:rPr>
      </w:pPr>
    </w:p>
    <w:p w14:paraId="5B5F29C9">
      <w:pPr>
        <w:pStyle w:val="19"/>
        <w:spacing w:line="360" w:lineRule="auto"/>
        <w:ind w:firstLine="321" w:firstLineChars="100"/>
        <w:rPr>
          <w:rFonts w:hint="eastAsia" w:hAnsi="宋体"/>
          <w:b/>
          <w:sz w:val="32"/>
        </w:rPr>
      </w:pPr>
      <w:r>
        <w:rPr>
          <w:rFonts w:hint="eastAsia" w:hAnsi="宋体"/>
          <w:b/>
          <w:sz w:val="32"/>
        </w:rPr>
        <w:t>4、业绩</w:t>
      </w:r>
    </w:p>
    <w:p w14:paraId="6CD2F070">
      <w:pPr>
        <w:pStyle w:val="65"/>
        <w:spacing w:line="360" w:lineRule="auto"/>
        <w:ind w:firstLine="321" w:firstLineChars="100"/>
      </w:pPr>
      <w:r>
        <w:rPr>
          <w:rFonts w:hint="eastAsia" w:hAnsi="宋体"/>
          <w:b/>
          <w:sz w:val="32"/>
          <w:szCs w:val="32"/>
        </w:rPr>
        <w:t>5、</w:t>
      </w:r>
      <w:r>
        <w:rPr>
          <w:rFonts w:hint="eastAsia" w:hAnsi="宋体" w:cs="Times New Roman"/>
          <w:b/>
          <w:kern w:val="2"/>
          <w:sz w:val="32"/>
          <w:szCs w:val="32"/>
          <w:lang w:val="en-US" w:eastAsia="zh-CN" w:bidi="ar-SA"/>
        </w:rPr>
        <w:t>企业实力</w:t>
      </w:r>
    </w:p>
    <w:p w14:paraId="735EF285">
      <w:pPr>
        <w:pStyle w:val="113"/>
        <w:spacing w:after="156" w:line="360" w:lineRule="auto"/>
        <w:ind w:firstLine="321" w:firstLineChars="100"/>
        <w:rPr>
          <w:rFonts w:hint="default" w:ascii="宋体" w:hAnsi="宋体" w:eastAsia="宋体" w:cs="Times New Roman"/>
          <w:b/>
          <w:sz w:val="32"/>
          <w:szCs w:val="32"/>
          <w:lang w:val="en-US" w:eastAsia="zh-CN"/>
        </w:rPr>
      </w:pPr>
      <w:r>
        <w:rPr>
          <w:rFonts w:hint="eastAsia" w:ascii="宋体" w:hAnsi="宋体"/>
          <w:b/>
          <w:sz w:val="32"/>
          <w:szCs w:val="32"/>
        </w:rPr>
        <w:t>6、</w:t>
      </w:r>
      <w:r>
        <w:rPr>
          <w:rFonts w:hint="eastAsia" w:ascii="宋体" w:hAnsi="宋体" w:eastAsia="宋体" w:cs="Times New Roman"/>
          <w:b/>
          <w:sz w:val="32"/>
          <w:szCs w:val="32"/>
          <w:lang w:val="en-US" w:eastAsia="zh-CN"/>
        </w:rPr>
        <w:t>对本项目理解和认识</w:t>
      </w:r>
    </w:p>
    <w:p w14:paraId="5A795BFF">
      <w:pPr>
        <w:pStyle w:val="113"/>
        <w:spacing w:after="156" w:line="360" w:lineRule="auto"/>
        <w:ind w:firstLine="321" w:firstLineChars="100"/>
        <w:rPr>
          <w:rFonts w:hint="eastAsia" w:ascii="宋体" w:hAnsi="宋体" w:eastAsia="宋体" w:cs="Times New Roman"/>
          <w:b/>
          <w:sz w:val="32"/>
          <w:szCs w:val="32"/>
          <w:lang w:val="en-US" w:eastAsia="zh-CN"/>
        </w:rPr>
      </w:pPr>
      <w:r>
        <w:rPr>
          <w:rFonts w:hint="eastAsia" w:ascii="宋体" w:hAnsi="宋体" w:eastAsia="宋体" w:cs="Times New Roman"/>
          <w:b/>
          <w:sz w:val="32"/>
          <w:szCs w:val="32"/>
          <w:lang w:val="en-US" w:eastAsia="zh-CN"/>
        </w:rPr>
        <w:t>7、项目</w:t>
      </w:r>
      <w:r>
        <w:rPr>
          <w:rFonts w:hint="eastAsia" w:ascii="宋体" w:hAnsi="宋体" w:cs="Times New Roman"/>
          <w:b/>
          <w:sz w:val="32"/>
          <w:szCs w:val="32"/>
          <w:lang w:val="en-US" w:eastAsia="zh-CN"/>
        </w:rPr>
        <w:t>服务</w:t>
      </w:r>
      <w:r>
        <w:rPr>
          <w:rFonts w:hint="eastAsia" w:ascii="宋体" w:hAnsi="宋体" w:eastAsia="宋体" w:cs="Times New Roman"/>
          <w:b/>
          <w:sz w:val="32"/>
          <w:szCs w:val="32"/>
          <w:lang w:val="en-US" w:eastAsia="zh-CN"/>
        </w:rPr>
        <w:t>方案</w:t>
      </w:r>
    </w:p>
    <w:p w14:paraId="11E6E301">
      <w:pPr>
        <w:pStyle w:val="113"/>
        <w:spacing w:after="156" w:line="360" w:lineRule="auto"/>
        <w:ind w:firstLine="321" w:firstLineChars="100"/>
        <w:rPr>
          <w:rFonts w:hint="eastAsia" w:ascii="宋体" w:hAnsi="宋体" w:eastAsia="宋体" w:cs="Times New Roman"/>
          <w:b/>
          <w:sz w:val="32"/>
          <w:szCs w:val="32"/>
          <w:lang w:val="en-US" w:eastAsia="zh-CN"/>
        </w:rPr>
      </w:pPr>
      <w:r>
        <w:rPr>
          <w:rFonts w:hint="eastAsia" w:ascii="宋体" w:hAnsi="宋体" w:eastAsia="宋体" w:cs="Times New Roman"/>
          <w:b/>
          <w:sz w:val="32"/>
          <w:szCs w:val="32"/>
          <w:lang w:val="en-US" w:eastAsia="zh-CN"/>
        </w:rPr>
        <w:t>8、质量保证措施</w:t>
      </w:r>
    </w:p>
    <w:p w14:paraId="00A197FB">
      <w:pPr>
        <w:pStyle w:val="113"/>
        <w:spacing w:after="156" w:line="360" w:lineRule="auto"/>
        <w:ind w:firstLine="321" w:firstLineChars="100"/>
        <w:rPr>
          <w:rFonts w:hint="eastAsia" w:ascii="宋体" w:hAnsi="宋体" w:cs="Times New Roman"/>
          <w:b/>
          <w:sz w:val="32"/>
          <w:szCs w:val="32"/>
          <w:lang w:val="en-US" w:eastAsia="zh-CN"/>
        </w:rPr>
      </w:pPr>
      <w:r>
        <w:rPr>
          <w:rFonts w:hint="eastAsia" w:ascii="宋体" w:hAnsi="宋体" w:eastAsia="宋体" w:cs="Times New Roman"/>
          <w:b/>
          <w:sz w:val="32"/>
          <w:szCs w:val="32"/>
          <w:lang w:val="en-US" w:eastAsia="zh-CN"/>
        </w:rPr>
        <w:t>9、</w:t>
      </w:r>
      <w:r>
        <w:rPr>
          <w:rFonts w:hint="eastAsia" w:ascii="宋体" w:hAnsi="宋体" w:cs="Times New Roman"/>
          <w:b/>
          <w:sz w:val="32"/>
          <w:szCs w:val="32"/>
          <w:lang w:val="en-US" w:eastAsia="zh-CN"/>
        </w:rPr>
        <w:t>人员配备情况</w:t>
      </w:r>
    </w:p>
    <w:p w14:paraId="7B6A3BB3">
      <w:pPr>
        <w:adjustRightInd w:val="0"/>
        <w:snapToGrid w:val="0"/>
        <w:spacing w:line="300" w:lineRule="auto"/>
        <w:ind w:firstLine="480"/>
        <w:jc w:val="left"/>
        <w:rPr>
          <w:rFonts w:hint="eastAsia" w:ascii="宋体" w:hAnsi="宋体" w:cs="宋体"/>
          <w:color w:val="auto"/>
          <w:sz w:val="24"/>
          <w:szCs w:val="14"/>
          <w:highlight w:val="none"/>
        </w:rPr>
      </w:pPr>
      <w:r>
        <w:rPr>
          <w:rFonts w:hint="eastAsia" w:ascii="宋体" w:hAnsi="宋体" w:cs="宋体"/>
          <w:color w:val="auto"/>
          <w:sz w:val="24"/>
          <w:szCs w:val="14"/>
          <w:highlight w:val="none"/>
        </w:rPr>
        <w:t>采购编号：</w:t>
      </w:r>
    </w:p>
    <w:p w14:paraId="4EFC1577">
      <w:pPr>
        <w:adjustRightInd w:val="0"/>
        <w:snapToGrid w:val="0"/>
        <w:spacing w:line="300" w:lineRule="auto"/>
        <w:ind w:firstLine="480"/>
        <w:jc w:val="left"/>
        <w:rPr>
          <w:rFonts w:hint="eastAsia" w:ascii="宋体" w:hAnsi="宋体" w:cs="宋体"/>
          <w:b/>
          <w:bCs/>
          <w:color w:val="auto"/>
          <w:sz w:val="30"/>
          <w:szCs w:val="30"/>
          <w:highlight w:val="none"/>
        </w:rPr>
      </w:pPr>
      <w:r>
        <w:rPr>
          <w:rFonts w:hint="eastAsia" w:ascii="宋体" w:hAnsi="宋体" w:cs="宋体"/>
          <w:color w:val="auto"/>
          <w:sz w:val="24"/>
          <w:szCs w:val="14"/>
          <w:highlight w:val="none"/>
        </w:rPr>
        <w:t xml:space="preserve">项目名称：                                       </w:t>
      </w:r>
      <w:r>
        <w:rPr>
          <w:rFonts w:hint="eastAsia" w:ascii="宋体" w:hAnsi="宋体" w:cs="宋体"/>
          <w:color w:val="auto"/>
          <w:sz w:val="24"/>
          <w:highlight w:val="none"/>
        </w:rPr>
        <w:t>（按此格式自制）</w:t>
      </w:r>
    </w:p>
    <w:tbl>
      <w:tblPr>
        <w:tblStyle w:val="33"/>
        <w:tblW w:w="9505" w:type="dxa"/>
        <w:tblInd w:w="-154" w:type="dxa"/>
        <w:tblLayout w:type="fixed"/>
        <w:tblCellMar>
          <w:top w:w="0" w:type="dxa"/>
          <w:left w:w="108" w:type="dxa"/>
          <w:bottom w:w="0" w:type="dxa"/>
          <w:right w:w="108" w:type="dxa"/>
        </w:tblCellMar>
      </w:tblPr>
      <w:tblGrid>
        <w:gridCol w:w="780"/>
        <w:gridCol w:w="1440"/>
        <w:gridCol w:w="820"/>
        <w:gridCol w:w="818"/>
        <w:gridCol w:w="1513"/>
        <w:gridCol w:w="1419"/>
        <w:gridCol w:w="1431"/>
        <w:gridCol w:w="1284"/>
      </w:tblGrid>
      <w:tr w14:paraId="51C7D812">
        <w:tblPrEx>
          <w:tblCellMar>
            <w:top w:w="0" w:type="dxa"/>
            <w:left w:w="108" w:type="dxa"/>
            <w:bottom w:w="0" w:type="dxa"/>
            <w:right w:w="108" w:type="dxa"/>
          </w:tblCellMar>
        </w:tblPrEx>
        <w:trPr>
          <w:trHeight w:val="567" w:hRule="atLeast"/>
        </w:trPr>
        <w:tc>
          <w:tcPr>
            <w:tcW w:w="780" w:type="dxa"/>
            <w:tcBorders>
              <w:top w:val="single" w:color="auto" w:sz="6" w:space="0"/>
              <w:left w:val="single" w:color="auto" w:sz="6" w:space="0"/>
              <w:bottom w:val="single" w:color="auto" w:sz="6" w:space="0"/>
              <w:right w:val="single" w:color="auto" w:sz="6" w:space="0"/>
            </w:tcBorders>
            <w:noWrap w:val="0"/>
            <w:vAlign w:val="center"/>
          </w:tcPr>
          <w:p w14:paraId="02C0D186">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序号</w:t>
            </w:r>
          </w:p>
        </w:tc>
        <w:tc>
          <w:tcPr>
            <w:tcW w:w="1440" w:type="dxa"/>
            <w:tcBorders>
              <w:top w:val="single" w:color="auto" w:sz="6" w:space="0"/>
              <w:left w:val="single" w:color="auto" w:sz="6" w:space="0"/>
              <w:bottom w:val="single" w:color="auto" w:sz="6" w:space="0"/>
              <w:right w:val="single" w:color="auto" w:sz="6" w:space="0"/>
            </w:tcBorders>
            <w:noWrap w:val="0"/>
            <w:vAlign w:val="center"/>
          </w:tcPr>
          <w:p w14:paraId="69EEC39B">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姓名</w:t>
            </w:r>
          </w:p>
        </w:tc>
        <w:tc>
          <w:tcPr>
            <w:tcW w:w="820" w:type="dxa"/>
            <w:tcBorders>
              <w:top w:val="single" w:color="auto" w:sz="6" w:space="0"/>
              <w:left w:val="single" w:color="auto" w:sz="6" w:space="0"/>
              <w:bottom w:val="single" w:color="auto" w:sz="6" w:space="0"/>
              <w:right w:val="single" w:color="auto" w:sz="4" w:space="0"/>
            </w:tcBorders>
            <w:noWrap w:val="0"/>
            <w:vAlign w:val="center"/>
          </w:tcPr>
          <w:p w14:paraId="0D04CAA3">
            <w:pPr>
              <w:adjustRightInd w:val="0"/>
              <w:snapToGrid w:val="0"/>
              <w:spacing w:line="300" w:lineRule="auto"/>
              <w:jc w:val="center"/>
              <w:rPr>
                <w:rFonts w:hint="eastAsia" w:ascii="宋体" w:hAnsi="宋体" w:eastAsia="宋体" w:cs="宋体"/>
                <w:color w:val="auto"/>
                <w:sz w:val="24"/>
                <w:szCs w:val="14"/>
                <w:highlight w:val="none"/>
              </w:rPr>
            </w:pPr>
            <w:r>
              <w:rPr>
                <w:rFonts w:hint="eastAsia" w:ascii="宋体" w:hAnsi="宋体" w:eastAsia="宋体" w:cs="宋体"/>
                <w:color w:val="auto"/>
                <w:sz w:val="24"/>
                <w:szCs w:val="14"/>
                <w:highlight w:val="none"/>
              </w:rPr>
              <w:t>年龄</w:t>
            </w:r>
          </w:p>
        </w:tc>
        <w:tc>
          <w:tcPr>
            <w:tcW w:w="818" w:type="dxa"/>
            <w:tcBorders>
              <w:top w:val="single" w:color="auto" w:sz="6" w:space="0"/>
              <w:left w:val="single" w:color="auto" w:sz="4" w:space="0"/>
              <w:bottom w:val="single" w:color="auto" w:sz="6" w:space="0"/>
              <w:right w:val="single" w:color="auto" w:sz="4" w:space="0"/>
            </w:tcBorders>
            <w:noWrap w:val="0"/>
            <w:vAlign w:val="center"/>
          </w:tcPr>
          <w:p w14:paraId="1670DFD4">
            <w:pPr>
              <w:adjustRightInd w:val="0"/>
              <w:snapToGrid w:val="0"/>
              <w:spacing w:line="300" w:lineRule="auto"/>
              <w:jc w:val="center"/>
              <w:rPr>
                <w:rFonts w:hint="eastAsia" w:ascii="宋体" w:hAnsi="宋体" w:eastAsia="宋体" w:cs="宋体"/>
                <w:color w:val="auto"/>
                <w:sz w:val="24"/>
                <w:szCs w:val="14"/>
                <w:highlight w:val="none"/>
              </w:rPr>
            </w:pPr>
            <w:r>
              <w:rPr>
                <w:rFonts w:hint="eastAsia" w:ascii="宋体" w:hAnsi="宋体" w:eastAsia="宋体" w:cs="宋体"/>
                <w:color w:val="auto"/>
                <w:sz w:val="24"/>
                <w:szCs w:val="14"/>
                <w:highlight w:val="none"/>
              </w:rPr>
              <w:t>性别</w:t>
            </w:r>
          </w:p>
        </w:tc>
        <w:tc>
          <w:tcPr>
            <w:tcW w:w="1513" w:type="dxa"/>
            <w:tcBorders>
              <w:top w:val="single" w:color="auto" w:sz="6" w:space="0"/>
              <w:left w:val="single" w:color="auto" w:sz="4" w:space="0"/>
              <w:bottom w:val="single" w:color="auto" w:sz="6" w:space="0"/>
              <w:right w:val="single" w:color="auto" w:sz="6" w:space="0"/>
            </w:tcBorders>
            <w:noWrap w:val="0"/>
            <w:vAlign w:val="center"/>
          </w:tcPr>
          <w:p w14:paraId="678EE64E">
            <w:pPr>
              <w:adjustRightInd w:val="0"/>
              <w:snapToGrid w:val="0"/>
              <w:spacing w:line="300" w:lineRule="auto"/>
              <w:jc w:val="center"/>
              <w:rPr>
                <w:rFonts w:hint="eastAsia" w:ascii="宋体" w:hAnsi="宋体" w:eastAsia="宋体" w:cs="宋体"/>
                <w:color w:val="auto"/>
                <w:sz w:val="24"/>
                <w:szCs w:val="14"/>
                <w:highlight w:val="none"/>
              </w:rPr>
            </w:pPr>
            <w:r>
              <w:rPr>
                <w:rFonts w:hint="eastAsia" w:ascii="宋体" w:hAnsi="宋体" w:eastAsia="宋体" w:cs="宋体"/>
                <w:color w:val="auto"/>
                <w:sz w:val="24"/>
                <w:szCs w:val="14"/>
                <w:highlight w:val="none"/>
              </w:rPr>
              <w:t>职务/职称</w:t>
            </w:r>
          </w:p>
        </w:tc>
        <w:tc>
          <w:tcPr>
            <w:tcW w:w="1419" w:type="dxa"/>
            <w:tcBorders>
              <w:top w:val="single" w:color="auto" w:sz="6" w:space="0"/>
              <w:left w:val="single" w:color="auto" w:sz="6" w:space="0"/>
              <w:bottom w:val="single" w:color="auto" w:sz="6" w:space="0"/>
              <w:right w:val="single" w:color="auto" w:sz="6" w:space="0"/>
            </w:tcBorders>
            <w:noWrap w:val="0"/>
            <w:vAlign w:val="center"/>
          </w:tcPr>
          <w:p w14:paraId="60D1D810">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本项目中的职责</w:t>
            </w:r>
          </w:p>
        </w:tc>
        <w:tc>
          <w:tcPr>
            <w:tcW w:w="1431" w:type="dxa"/>
            <w:tcBorders>
              <w:top w:val="single" w:color="auto" w:sz="6" w:space="0"/>
              <w:left w:val="single" w:color="auto" w:sz="6" w:space="0"/>
              <w:bottom w:val="single" w:color="auto" w:sz="6" w:space="0"/>
              <w:right w:val="single" w:color="auto" w:sz="6" w:space="0"/>
            </w:tcBorders>
            <w:noWrap w:val="0"/>
            <w:vAlign w:val="center"/>
          </w:tcPr>
          <w:p w14:paraId="77A31EAF">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项目经历</w:t>
            </w:r>
          </w:p>
        </w:tc>
        <w:tc>
          <w:tcPr>
            <w:tcW w:w="1284" w:type="dxa"/>
            <w:tcBorders>
              <w:top w:val="single" w:color="auto" w:sz="6" w:space="0"/>
              <w:left w:val="single" w:color="auto" w:sz="6" w:space="0"/>
              <w:bottom w:val="single" w:color="auto" w:sz="6" w:space="0"/>
              <w:right w:val="single" w:color="auto" w:sz="6" w:space="0"/>
            </w:tcBorders>
            <w:noWrap w:val="0"/>
            <w:vAlign w:val="center"/>
          </w:tcPr>
          <w:p w14:paraId="7684B825">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备注</w:t>
            </w:r>
          </w:p>
        </w:tc>
      </w:tr>
      <w:tr w14:paraId="0336029B">
        <w:tblPrEx>
          <w:tblCellMar>
            <w:top w:w="0" w:type="dxa"/>
            <w:left w:w="108" w:type="dxa"/>
            <w:bottom w:w="0" w:type="dxa"/>
            <w:right w:w="108" w:type="dxa"/>
          </w:tblCellMar>
        </w:tblPrEx>
        <w:trPr>
          <w:trHeight w:val="567" w:hRule="atLeast"/>
        </w:trPr>
        <w:tc>
          <w:tcPr>
            <w:tcW w:w="780" w:type="dxa"/>
            <w:tcBorders>
              <w:top w:val="single" w:color="auto" w:sz="6" w:space="0"/>
              <w:left w:val="single" w:color="auto" w:sz="6" w:space="0"/>
              <w:bottom w:val="single" w:color="auto" w:sz="6" w:space="0"/>
              <w:right w:val="single" w:color="auto" w:sz="6" w:space="0"/>
            </w:tcBorders>
            <w:noWrap w:val="0"/>
            <w:vAlign w:val="top"/>
          </w:tcPr>
          <w:p w14:paraId="000CAC82">
            <w:pPr>
              <w:spacing w:line="480" w:lineRule="auto"/>
              <w:jc w:val="center"/>
              <w:rPr>
                <w:rFonts w:hint="eastAsia" w:ascii="宋体" w:hAnsi="宋体" w:eastAsia="宋体" w:cs="宋体"/>
                <w:color w:val="auto"/>
                <w:sz w:val="24"/>
                <w:highlight w:val="none"/>
              </w:rPr>
            </w:pPr>
          </w:p>
        </w:tc>
        <w:tc>
          <w:tcPr>
            <w:tcW w:w="1440" w:type="dxa"/>
            <w:tcBorders>
              <w:top w:val="single" w:color="auto" w:sz="6" w:space="0"/>
              <w:left w:val="single" w:color="auto" w:sz="6" w:space="0"/>
              <w:bottom w:val="single" w:color="auto" w:sz="6" w:space="0"/>
              <w:right w:val="single" w:color="auto" w:sz="6" w:space="0"/>
            </w:tcBorders>
            <w:noWrap w:val="0"/>
            <w:vAlign w:val="top"/>
          </w:tcPr>
          <w:p w14:paraId="3088E489">
            <w:pPr>
              <w:spacing w:line="480" w:lineRule="auto"/>
              <w:rPr>
                <w:rFonts w:hint="eastAsia" w:ascii="宋体" w:hAnsi="宋体" w:eastAsia="宋体" w:cs="宋体"/>
                <w:color w:val="auto"/>
                <w:sz w:val="24"/>
                <w:highlight w:val="none"/>
              </w:rPr>
            </w:pPr>
          </w:p>
        </w:tc>
        <w:tc>
          <w:tcPr>
            <w:tcW w:w="820" w:type="dxa"/>
            <w:tcBorders>
              <w:top w:val="single" w:color="auto" w:sz="6" w:space="0"/>
              <w:left w:val="single" w:color="auto" w:sz="6" w:space="0"/>
              <w:bottom w:val="single" w:color="auto" w:sz="6" w:space="0"/>
              <w:right w:val="single" w:color="auto" w:sz="4" w:space="0"/>
            </w:tcBorders>
            <w:noWrap w:val="0"/>
            <w:vAlign w:val="top"/>
          </w:tcPr>
          <w:p w14:paraId="18945E4F">
            <w:pPr>
              <w:spacing w:line="480" w:lineRule="auto"/>
              <w:rPr>
                <w:rFonts w:hint="eastAsia" w:ascii="宋体" w:hAnsi="宋体" w:eastAsia="宋体" w:cs="宋体"/>
                <w:color w:val="auto"/>
                <w:sz w:val="24"/>
                <w:highlight w:val="none"/>
              </w:rPr>
            </w:pPr>
          </w:p>
        </w:tc>
        <w:tc>
          <w:tcPr>
            <w:tcW w:w="818" w:type="dxa"/>
            <w:tcBorders>
              <w:top w:val="single" w:color="auto" w:sz="6" w:space="0"/>
              <w:left w:val="single" w:color="auto" w:sz="4" w:space="0"/>
              <w:bottom w:val="single" w:color="auto" w:sz="6" w:space="0"/>
              <w:right w:val="single" w:color="auto" w:sz="4" w:space="0"/>
            </w:tcBorders>
            <w:noWrap w:val="0"/>
            <w:vAlign w:val="top"/>
          </w:tcPr>
          <w:p w14:paraId="33AD4BBB">
            <w:pPr>
              <w:spacing w:line="480" w:lineRule="auto"/>
              <w:rPr>
                <w:rFonts w:hint="eastAsia" w:ascii="宋体" w:hAnsi="宋体" w:eastAsia="宋体" w:cs="宋体"/>
                <w:color w:val="auto"/>
                <w:sz w:val="24"/>
                <w:highlight w:val="none"/>
              </w:rPr>
            </w:pPr>
          </w:p>
        </w:tc>
        <w:tc>
          <w:tcPr>
            <w:tcW w:w="1513" w:type="dxa"/>
            <w:tcBorders>
              <w:top w:val="single" w:color="auto" w:sz="6" w:space="0"/>
              <w:left w:val="single" w:color="auto" w:sz="4" w:space="0"/>
              <w:bottom w:val="single" w:color="auto" w:sz="6" w:space="0"/>
              <w:right w:val="single" w:color="auto" w:sz="6" w:space="0"/>
            </w:tcBorders>
            <w:noWrap w:val="0"/>
            <w:vAlign w:val="top"/>
          </w:tcPr>
          <w:p w14:paraId="2D7A37AF">
            <w:pPr>
              <w:spacing w:line="480" w:lineRule="auto"/>
              <w:rPr>
                <w:rFonts w:hint="eastAsia" w:ascii="宋体" w:hAnsi="宋体" w:eastAsia="宋体" w:cs="宋体"/>
                <w:color w:val="auto"/>
                <w:sz w:val="24"/>
                <w:highlight w:val="none"/>
              </w:rPr>
            </w:pPr>
          </w:p>
        </w:tc>
        <w:tc>
          <w:tcPr>
            <w:tcW w:w="1419" w:type="dxa"/>
            <w:tcBorders>
              <w:top w:val="single" w:color="auto" w:sz="6" w:space="0"/>
              <w:left w:val="single" w:color="auto" w:sz="6" w:space="0"/>
              <w:bottom w:val="single" w:color="auto" w:sz="6" w:space="0"/>
              <w:right w:val="single" w:color="auto" w:sz="6" w:space="0"/>
            </w:tcBorders>
            <w:noWrap w:val="0"/>
            <w:vAlign w:val="top"/>
          </w:tcPr>
          <w:p w14:paraId="659233A5">
            <w:pPr>
              <w:spacing w:line="480" w:lineRule="auto"/>
              <w:rPr>
                <w:rFonts w:hint="eastAsia" w:ascii="宋体" w:hAnsi="宋体" w:eastAsia="宋体" w:cs="宋体"/>
                <w:color w:val="auto"/>
                <w:sz w:val="24"/>
                <w:highlight w:val="none"/>
              </w:rPr>
            </w:pPr>
          </w:p>
        </w:tc>
        <w:tc>
          <w:tcPr>
            <w:tcW w:w="1431" w:type="dxa"/>
            <w:tcBorders>
              <w:top w:val="single" w:color="auto" w:sz="6" w:space="0"/>
              <w:left w:val="single" w:color="auto" w:sz="6" w:space="0"/>
              <w:bottom w:val="single" w:color="auto" w:sz="6" w:space="0"/>
              <w:right w:val="single" w:color="auto" w:sz="6" w:space="0"/>
            </w:tcBorders>
            <w:noWrap w:val="0"/>
            <w:vAlign w:val="top"/>
          </w:tcPr>
          <w:p w14:paraId="4808A315">
            <w:pPr>
              <w:rPr>
                <w:rFonts w:hint="eastAsia" w:ascii="宋体" w:hAnsi="宋体" w:eastAsia="宋体" w:cs="宋体"/>
                <w:color w:val="auto"/>
                <w:sz w:val="24"/>
                <w:highlight w:val="none"/>
              </w:rPr>
            </w:pPr>
          </w:p>
        </w:tc>
        <w:tc>
          <w:tcPr>
            <w:tcW w:w="1284" w:type="dxa"/>
            <w:tcBorders>
              <w:top w:val="single" w:color="auto" w:sz="6" w:space="0"/>
              <w:left w:val="single" w:color="auto" w:sz="6" w:space="0"/>
              <w:bottom w:val="single" w:color="auto" w:sz="6" w:space="0"/>
              <w:right w:val="single" w:color="auto" w:sz="6" w:space="0"/>
            </w:tcBorders>
            <w:noWrap w:val="0"/>
            <w:vAlign w:val="top"/>
          </w:tcPr>
          <w:p w14:paraId="70BBCB04">
            <w:pPr>
              <w:spacing w:line="480" w:lineRule="auto"/>
              <w:rPr>
                <w:rFonts w:hint="eastAsia" w:ascii="宋体" w:hAnsi="宋体" w:eastAsia="宋体" w:cs="宋体"/>
                <w:color w:val="auto"/>
                <w:sz w:val="24"/>
                <w:highlight w:val="none"/>
              </w:rPr>
            </w:pPr>
          </w:p>
        </w:tc>
      </w:tr>
      <w:tr w14:paraId="311DA7EA">
        <w:tblPrEx>
          <w:tblCellMar>
            <w:top w:w="0" w:type="dxa"/>
            <w:left w:w="108" w:type="dxa"/>
            <w:bottom w:w="0" w:type="dxa"/>
            <w:right w:w="108" w:type="dxa"/>
          </w:tblCellMar>
        </w:tblPrEx>
        <w:trPr>
          <w:trHeight w:val="567" w:hRule="atLeast"/>
        </w:trPr>
        <w:tc>
          <w:tcPr>
            <w:tcW w:w="780" w:type="dxa"/>
            <w:tcBorders>
              <w:top w:val="single" w:color="auto" w:sz="6" w:space="0"/>
              <w:left w:val="single" w:color="auto" w:sz="6" w:space="0"/>
              <w:bottom w:val="single" w:color="auto" w:sz="6" w:space="0"/>
              <w:right w:val="single" w:color="auto" w:sz="6" w:space="0"/>
            </w:tcBorders>
            <w:noWrap w:val="0"/>
            <w:vAlign w:val="top"/>
          </w:tcPr>
          <w:p w14:paraId="0050C1C8">
            <w:pPr>
              <w:spacing w:line="480" w:lineRule="auto"/>
              <w:jc w:val="center"/>
              <w:rPr>
                <w:rFonts w:hint="eastAsia" w:ascii="宋体" w:hAnsi="宋体" w:eastAsia="宋体" w:cs="宋体"/>
                <w:color w:val="auto"/>
                <w:sz w:val="24"/>
                <w:highlight w:val="none"/>
              </w:rPr>
            </w:pPr>
          </w:p>
        </w:tc>
        <w:tc>
          <w:tcPr>
            <w:tcW w:w="1440" w:type="dxa"/>
            <w:tcBorders>
              <w:top w:val="single" w:color="auto" w:sz="6" w:space="0"/>
              <w:left w:val="single" w:color="auto" w:sz="6" w:space="0"/>
              <w:bottom w:val="single" w:color="auto" w:sz="6" w:space="0"/>
              <w:right w:val="single" w:color="auto" w:sz="6" w:space="0"/>
            </w:tcBorders>
            <w:noWrap w:val="0"/>
            <w:vAlign w:val="top"/>
          </w:tcPr>
          <w:p w14:paraId="3B3F2DD8">
            <w:pPr>
              <w:spacing w:line="480" w:lineRule="auto"/>
              <w:rPr>
                <w:rFonts w:hint="eastAsia" w:ascii="宋体" w:hAnsi="宋体" w:eastAsia="宋体" w:cs="宋体"/>
                <w:color w:val="auto"/>
                <w:sz w:val="24"/>
                <w:highlight w:val="none"/>
              </w:rPr>
            </w:pPr>
          </w:p>
        </w:tc>
        <w:tc>
          <w:tcPr>
            <w:tcW w:w="820" w:type="dxa"/>
            <w:tcBorders>
              <w:top w:val="single" w:color="auto" w:sz="6" w:space="0"/>
              <w:left w:val="single" w:color="auto" w:sz="6" w:space="0"/>
              <w:bottom w:val="single" w:color="auto" w:sz="6" w:space="0"/>
              <w:right w:val="single" w:color="auto" w:sz="4" w:space="0"/>
            </w:tcBorders>
            <w:noWrap w:val="0"/>
            <w:vAlign w:val="top"/>
          </w:tcPr>
          <w:p w14:paraId="7D582B92">
            <w:pPr>
              <w:spacing w:line="480" w:lineRule="auto"/>
              <w:rPr>
                <w:rFonts w:hint="eastAsia" w:ascii="宋体" w:hAnsi="宋体" w:eastAsia="宋体" w:cs="宋体"/>
                <w:color w:val="auto"/>
                <w:sz w:val="24"/>
                <w:highlight w:val="none"/>
              </w:rPr>
            </w:pPr>
          </w:p>
        </w:tc>
        <w:tc>
          <w:tcPr>
            <w:tcW w:w="818" w:type="dxa"/>
            <w:tcBorders>
              <w:top w:val="single" w:color="auto" w:sz="6" w:space="0"/>
              <w:left w:val="single" w:color="auto" w:sz="4" w:space="0"/>
              <w:bottom w:val="single" w:color="auto" w:sz="6" w:space="0"/>
              <w:right w:val="single" w:color="auto" w:sz="4" w:space="0"/>
            </w:tcBorders>
            <w:noWrap w:val="0"/>
            <w:vAlign w:val="top"/>
          </w:tcPr>
          <w:p w14:paraId="094B6C6C">
            <w:pPr>
              <w:spacing w:line="480" w:lineRule="auto"/>
              <w:rPr>
                <w:rFonts w:hint="eastAsia" w:ascii="宋体" w:hAnsi="宋体" w:eastAsia="宋体" w:cs="宋体"/>
                <w:color w:val="auto"/>
                <w:sz w:val="24"/>
                <w:highlight w:val="none"/>
              </w:rPr>
            </w:pPr>
          </w:p>
        </w:tc>
        <w:tc>
          <w:tcPr>
            <w:tcW w:w="1513" w:type="dxa"/>
            <w:tcBorders>
              <w:top w:val="single" w:color="auto" w:sz="6" w:space="0"/>
              <w:left w:val="single" w:color="auto" w:sz="4" w:space="0"/>
              <w:bottom w:val="single" w:color="auto" w:sz="6" w:space="0"/>
              <w:right w:val="single" w:color="auto" w:sz="6" w:space="0"/>
            </w:tcBorders>
            <w:noWrap w:val="0"/>
            <w:vAlign w:val="top"/>
          </w:tcPr>
          <w:p w14:paraId="7EBEE5EE">
            <w:pPr>
              <w:spacing w:line="480" w:lineRule="auto"/>
              <w:rPr>
                <w:rFonts w:hint="eastAsia" w:ascii="宋体" w:hAnsi="宋体" w:eastAsia="宋体" w:cs="宋体"/>
                <w:color w:val="auto"/>
                <w:sz w:val="24"/>
                <w:highlight w:val="none"/>
              </w:rPr>
            </w:pPr>
          </w:p>
        </w:tc>
        <w:tc>
          <w:tcPr>
            <w:tcW w:w="1419" w:type="dxa"/>
            <w:tcBorders>
              <w:top w:val="single" w:color="auto" w:sz="6" w:space="0"/>
              <w:left w:val="single" w:color="auto" w:sz="6" w:space="0"/>
              <w:bottom w:val="single" w:color="auto" w:sz="6" w:space="0"/>
              <w:right w:val="single" w:color="auto" w:sz="6" w:space="0"/>
            </w:tcBorders>
            <w:noWrap w:val="0"/>
            <w:vAlign w:val="top"/>
          </w:tcPr>
          <w:p w14:paraId="48131415">
            <w:pPr>
              <w:spacing w:line="480" w:lineRule="auto"/>
              <w:rPr>
                <w:rFonts w:hint="eastAsia" w:ascii="宋体" w:hAnsi="宋体" w:eastAsia="宋体" w:cs="宋体"/>
                <w:color w:val="auto"/>
                <w:sz w:val="24"/>
                <w:highlight w:val="none"/>
              </w:rPr>
            </w:pPr>
          </w:p>
        </w:tc>
        <w:tc>
          <w:tcPr>
            <w:tcW w:w="1431" w:type="dxa"/>
            <w:tcBorders>
              <w:top w:val="single" w:color="auto" w:sz="6" w:space="0"/>
              <w:left w:val="single" w:color="auto" w:sz="6" w:space="0"/>
              <w:bottom w:val="single" w:color="auto" w:sz="6" w:space="0"/>
              <w:right w:val="single" w:color="auto" w:sz="6" w:space="0"/>
            </w:tcBorders>
            <w:noWrap w:val="0"/>
            <w:vAlign w:val="top"/>
          </w:tcPr>
          <w:p w14:paraId="6F1E1DF5">
            <w:pPr>
              <w:rPr>
                <w:rFonts w:hint="eastAsia" w:ascii="宋体" w:hAnsi="宋体" w:eastAsia="宋体" w:cs="宋体"/>
                <w:color w:val="auto"/>
                <w:sz w:val="24"/>
                <w:highlight w:val="none"/>
              </w:rPr>
            </w:pPr>
          </w:p>
        </w:tc>
        <w:tc>
          <w:tcPr>
            <w:tcW w:w="1284" w:type="dxa"/>
            <w:tcBorders>
              <w:top w:val="single" w:color="auto" w:sz="6" w:space="0"/>
              <w:left w:val="single" w:color="auto" w:sz="6" w:space="0"/>
              <w:bottom w:val="single" w:color="auto" w:sz="6" w:space="0"/>
              <w:right w:val="single" w:color="auto" w:sz="6" w:space="0"/>
            </w:tcBorders>
            <w:noWrap w:val="0"/>
            <w:vAlign w:val="top"/>
          </w:tcPr>
          <w:p w14:paraId="3DF3ED0F">
            <w:pPr>
              <w:spacing w:line="480" w:lineRule="auto"/>
              <w:rPr>
                <w:rFonts w:hint="eastAsia" w:ascii="宋体" w:hAnsi="宋体" w:eastAsia="宋体" w:cs="宋体"/>
                <w:color w:val="auto"/>
                <w:sz w:val="24"/>
                <w:highlight w:val="none"/>
              </w:rPr>
            </w:pPr>
          </w:p>
        </w:tc>
      </w:tr>
      <w:tr w14:paraId="6DE7CE68">
        <w:tblPrEx>
          <w:tblCellMar>
            <w:top w:w="0" w:type="dxa"/>
            <w:left w:w="108" w:type="dxa"/>
            <w:bottom w:w="0" w:type="dxa"/>
            <w:right w:w="108" w:type="dxa"/>
          </w:tblCellMar>
        </w:tblPrEx>
        <w:trPr>
          <w:trHeight w:val="567" w:hRule="atLeast"/>
        </w:trPr>
        <w:tc>
          <w:tcPr>
            <w:tcW w:w="780" w:type="dxa"/>
            <w:tcBorders>
              <w:top w:val="single" w:color="auto" w:sz="6" w:space="0"/>
              <w:left w:val="single" w:color="auto" w:sz="6" w:space="0"/>
              <w:bottom w:val="single" w:color="auto" w:sz="6" w:space="0"/>
              <w:right w:val="single" w:color="auto" w:sz="6" w:space="0"/>
            </w:tcBorders>
            <w:noWrap w:val="0"/>
            <w:vAlign w:val="top"/>
          </w:tcPr>
          <w:p w14:paraId="15914604">
            <w:pPr>
              <w:spacing w:line="480" w:lineRule="auto"/>
              <w:jc w:val="center"/>
              <w:rPr>
                <w:rFonts w:hint="eastAsia" w:ascii="宋体" w:hAnsi="宋体" w:eastAsia="宋体" w:cs="宋体"/>
                <w:color w:val="auto"/>
                <w:sz w:val="24"/>
                <w:highlight w:val="none"/>
              </w:rPr>
            </w:pPr>
          </w:p>
        </w:tc>
        <w:tc>
          <w:tcPr>
            <w:tcW w:w="1440" w:type="dxa"/>
            <w:tcBorders>
              <w:top w:val="single" w:color="auto" w:sz="6" w:space="0"/>
              <w:left w:val="single" w:color="auto" w:sz="6" w:space="0"/>
              <w:bottom w:val="single" w:color="auto" w:sz="6" w:space="0"/>
              <w:right w:val="single" w:color="auto" w:sz="6" w:space="0"/>
            </w:tcBorders>
            <w:noWrap w:val="0"/>
            <w:vAlign w:val="top"/>
          </w:tcPr>
          <w:p w14:paraId="055F88B8">
            <w:pPr>
              <w:spacing w:line="480" w:lineRule="auto"/>
              <w:rPr>
                <w:rFonts w:hint="eastAsia" w:ascii="宋体" w:hAnsi="宋体" w:eastAsia="宋体" w:cs="宋体"/>
                <w:color w:val="auto"/>
                <w:sz w:val="24"/>
                <w:highlight w:val="none"/>
              </w:rPr>
            </w:pPr>
          </w:p>
        </w:tc>
        <w:tc>
          <w:tcPr>
            <w:tcW w:w="820" w:type="dxa"/>
            <w:tcBorders>
              <w:top w:val="single" w:color="auto" w:sz="6" w:space="0"/>
              <w:left w:val="single" w:color="auto" w:sz="6" w:space="0"/>
              <w:bottom w:val="single" w:color="auto" w:sz="6" w:space="0"/>
              <w:right w:val="single" w:color="auto" w:sz="4" w:space="0"/>
            </w:tcBorders>
            <w:noWrap w:val="0"/>
            <w:vAlign w:val="top"/>
          </w:tcPr>
          <w:p w14:paraId="15BE8156">
            <w:pPr>
              <w:spacing w:line="480" w:lineRule="auto"/>
              <w:rPr>
                <w:rFonts w:hint="eastAsia" w:ascii="宋体" w:hAnsi="宋体" w:eastAsia="宋体" w:cs="宋体"/>
                <w:color w:val="auto"/>
                <w:sz w:val="24"/>
                <w:highlight w:val="none"/>
              </w:rPr>
            </w:pPr>
          </w:p>
        </w:tc>
        <w:tc>
          <w:tcPr>
            <w:tcW w:w="818" w:type="dxa"/>
            <w:tcBorders>
              <w:top w:val="single" w:color="auto" w:sz="6" w:space="0"/>
              <w:left w:val="single" w:color="auto" w:sz="4" w:space="0"/>
              <w:bottom w:val="single" w:color="auto" w:sz="6" w:space="0"/>
              <w:right w:val="single" w:color="auto" w:sz="4" w:space="0"/>
            </w:tcBorders>
            <w:noWrap w:val="0"/>
            <w:vAlign w:val="top"/>
          </w:tcPr>
          <w:p w14:paraId="3F191AEF">
            <w:pPr>
              <w:spacing w:line="480" w:lineRule="auto"/>
              <w:rPr>
                <w:rFonts w:hint="eastAsia" w:ascii="宋体" w:hAnsi="宋体" w:eastAsia="宋体" w:cs="宋体"/>
                <w:color w:val="auto"/>
                <w:sz w:val="24"/>
                <w:highlight w:val="none"/>
              </w:rPr>
            </w:pPr>
          </w:p>
        </w:tc>
        <w:tc>
          <w:tcPr>
            <w:tcW w:w="1513" w:type="dxa"/>
            <w:tcBorders>
              <w:top w:val="single" w:color="auto" w:sz="6" w:space="0"/>
              <w:left w:val="single" w:color="auto" w:sz="4" w:space="0"/>
              <w:bottom w:val="single" w:color="auto" w:sz="6" w:space="0"/>
              <w:right w:val="single" w:color="auto" w:sz="6" w:space="0"/>
            </w:tcBorders>
            <w:noWrap w:val="0"/>
            <w:vAlign w:val="top"/>
          </w:tcPr>
          <w:p w14:paraId="5B167F5C">
            <w:pPr>
              <w:spacing w:line="480" w:lineRule="auto"/>
              <w:rPr>
                <w:rFonts w:hint="eastAsia" w:ascii="宋体" w:hAnsi="宋体" w:eastAsia="宋体" w:cs="宋体"/>
                <w:color w:val="auto"/>
                <w:sz w:val="24"/>
                <w:highlight w:val="none"/>
              </w:rPr>
            </w:pPr>
          </w:p>
        </w:tc>
        <w:tc>
          <w:tcPr>
            <w:tcW w:w="1419" w:type="dxa"/>
            <w:tcBorders>
              <w:top w:val="single" w:color="auto" w:sz="6" w:space="0"/>
              <w:left w:val="single" w:color="auto" w:sz="6" w:space="0"/>
              <w:bottom w:val="single" w:color="auto" w:sz="6" w:space="0"/>
              <w:right w:val="single" w:color="auto" w:sz="6" w:space="0"/>
            </w:tcBorders>
            <w:noWrap w:val="0"/>
            <w:vAlign w:val="top"/>
          </w:tcPr>
          <w:p w14:paraId="21BF2CCF">
            <w:pPr>
              <w:spacing w:line="480" w:lineRule="auto"/>
              <w:rPr>
                <w:rFonts w:hint="eastAsia" w:ascii="宋体" w:hAnsi="宋体" w:eastAsia="宋体" w:cs="宋体"/>
                <w:color w:val="auto"/>
                <w:sz w:val="24"/>
                <w:highlight w:val="none"/>
              </w:rPr>
            </w:pPr>
          </w:p>
        </w:tc>
        <w:tc>
          <w:tcPr>
            <w:tcW w:w="1431" w:type="dxa"/>
            <w:tcBorders>
              <w:top w:val="single" w:color="auto" w:sz="6" w:space="0"/>
              <w:left w:val="single" w:color="auto" w:sz="6" w:space="0"/>
              <w:bottom w:val="single" w:color="auto" w:sz="6" w:space="0"/>
              <w:right w:val="single" w:color="auto" w:sz="6" w:space="0"/>
            </w:tcBorders>
            <w:noWrap w:val="0"/>
            <w:vAlign w:val="top"/>
          </w:tcPr>
          <w:p w14:paraId="69A28ADD">
            <w:pPr>
              <w:rPr>
                <w:rFonts w:hint="eastAsia" w:ascii="宋体" w:hAnsi="宋体" w:eastAsia="宋体" w:cs="宋体"/>
                <w:color w:val="auto"/>
                <w:sz w:val="24"/>
                <w:highlight w:val="none"/>
              </w:rPr>
            </w:pPr>
          </w:p>
        </w:tc>
        <w:tc>
          <w:tcPr>
            <w:tcW w:w="1284" w:type="dxa"/>
            <w:tcBorders>
              <w:top w:val="single" w:color="auto" w:sz="6" w:space="0"/>
              <w:left w:val="single" w:color="auto" w:sz="6" w:space="0"/>
              <w:bottom w:val="single" w:color="auto" w:sz="6" w:space="0"/>
              <w:right w:val="single" w:color="auto" w:sz="6" w:space="0"/>
            </w:tcBorders>
            <w:noWrap w:val="0"/>
            <w:vAlign w:val="top"/>
          </w:tcPr>
          <w:p w14:paraId="7788D143">
            <w:pPr>
              <w:spacing w:line="480" w:lineRule="auto"/>
              <w:rPr>
                <w:rFonts w:hint="eastAsia" w:ascii="宋体" w:hAnsi="宋体" w:eastAsia="宋体" w:cs="宋体"/>
                <w:color w:val="auto"/>
                <w:sz w:val="24"/>
                <w:highlight w:val="none"/>
              </w:rPr>
            </w:pPr>
          </w:p>
        </w:tc>
      </w:tr>
      <w:tr w14:paraId="6134FDDA">
        <w:tblPrEx>
          <w:tblCellMar>
            <w:top w:w="0" w:type="dxa"/>
            <w:left w:w="108" w:type="dxa"/>
            <w:bottom w:w="0" w:type="dxa"/>
            <w:right w:w="108" w:type="dxa"/>
          </w:tblCellMar>
        </w:tblPrEx>
        <w:trPr>
          <w:trHeight w:val="567" w:hRule="atLeast"/>
        </w:trPr>
        <w:tc>
          <w:tcPr>
            <w:tcW w:w="780" w:type="dxa"/>
            <w:tcBorders>
              <w:top w:val="single" w:color="auto" w:sz="6" w:space="0"/>
              <w:left w:val="single" w:color="auto" w:sz="6" w:space="0"/>
              <w:bottom w:val="single" w:color="auto" w:sz="6" w:space="0"/>
              <w:right w:val="single" w:color="auto" w:sz="6" w:space="0"/>
            </w:tcBorders>
            <w:noWrap w:val="0"/>
            <w:vAlign w:val="top"/>
          </w:tcPr>
          <w:p w14:paraId="10DAD2C5">
            <w:pPr>
              <w:spacing w:line="480" w:lineRule="auto"/>
              <w:jc w:val="center"/>
              <w:rPr>
                <w:rFonts w:hint="eastAsia" w:ascii="宋体" w:hAnsi="宋体" w:eastAsia="宋体" w:cs="宋体"/>
                <w:color w:val="auto"/>
                <w:sz w:val="24"/>
                <w:highlight w:val="none"/>
              </w:rPr>
            </w:pPr>
          </w:p>
        </w:tc>
        <w:tc>
          <w:tcPr>
            <w:tcW w:w="1440" w:type="dxa"/>
            <w:tcBorders>
              <w:top w:val="single" w:color="auto" w:sz="6" w:space="0"/>
              <w:left w:val="single" w:color="auto" w:sz="6" w:space="0"/>
              <w:bottom w:val="single" w:color="auto" w:sz="6" w:space="0"/>
              <w:right w:val="single" w:color="auto" w:sz="6" w:space="0"/>
            </w:tcBorders>
            <w:noWrap w:val="0"/>
            <w:vAlign w:val="top"/>
          </w:tcPr>
          <w:p w14:paraId="1E5F0F20">
            <w:pPr>
              <w:spacing w:line="480" w:lineRule="auto"/>
              <w:rPr>
                <w:rFonts w:hint="eastAsia" w:ascii="宋体" w:hAnsi="宋体" w:eastAsia="宋体" w:cs="宋体"/>
                <w:color w:val="auto"/>
                <w:sz w:val="24"/>
                <w:highlight w:val="none"/>
              </w:rPr>
            </w:pPr>
          </w:p>
        </w:tc>
        <w:tc>
          <w:tcPr>
            <w:tcW w:w="820" w:type="dxa"/>
            <w:tcBorders>
              <w:top w:val="single" w:color="auto" w:sz="6" w:space="0"/>
              <w:left w:val="single" w:color="auto" w:sz="6" w:space="0"/>
              <w:bottom w:val="single" w:color="auto" w:sz="6" w:space="0"/>
              <w:right w:val="single" w:color="auto" w:sz="4" w:space="0"/>
            </w:tcBorders>
            <w:noWrap w:val="0"/>
            <w:vAlign w:val="top"/>
          </w:tcPr>
          <w:p w14:paraId="732A26CB">
            <w:pPr>
              <w:spacing w:line="480" w:lineRule="auto"/>
              <w:rPr>
                <w:rFonts w:hint="eastAsia" w:ascii="宋体" w:hAnsi="宋体" w:eastAsia="宋体" w:cs="宋体"/>
                <w:color w:val="auto"/>
                <w:sz w:val="24"/>
                <w:highlight w:val="none"/>
              </w:rPr>
            </w:pPr>
          </w:p>
        </w:tc>
        <w:tc>
          <w:tcPr>
            <w:tcW w:w="818" w:type="dxa"/>
            <w:tcBorders>
              <w:top w:val="single" w:color="auto" w:sz="6" w:space="0"/>
              <w:left w:val="single" w:color="auto" w:sz="4" w:space="0"/>
              <w:bottom w:val="single" w:color="auto" w:sz="6" w:space="0"/>
              <w:right w:val="single" w:color="auto" w:sz="4" w:space="0"/>
            </w:tcBorders>
            <w:noWrap w:val="0"/>
            <w:vAlign w:val="top"/>
          </w:tcPr>
          <w:p w14:paraId="7ED9A1C8">
            <w:pPr>
              <w:spacing w:line="480" w:lineRule="auto"/>
              <w:rPr>
                <w:rFonts w:hint="eastAsia" w:ascii="宋体" w:hAnsi="宋体" w:eastAsia="宋体" w:cs="宋体"/>
                <w:color w:val="auto"/>
                <w:sz w:val="24"/>
                <w:highlight w:val="none"/>
              </w:rPr>
            </w:pPr>
          </w:p>
        </w:tc>
        <w:tc>
          <w:tcPr>
            <w:tcW w:w="1513" w:type="dxa"/>
            <w:tcBorders>
              <w:top w:val="single" w:color="auto" w:sz="6" w:space="0"/>
              <w:left w:val="single" w:color="auto" w:sz="4" w:space="0"/>
              <w:bottom w:val="single" w:color="auto" w:sz="6" w:space="0"/>
              <w:right w:val="single" w:color="auto" w:sz="6" w:space="0"/>
            </w:tcBorders>
            <w:noWrap w:val="0"/>
            <w:vAlign w:val="top"/>
          </w:tcPr>
          <w:p w14:paraId="7D3B10C0">
            <w:pPr>
              <w:spacing w:line="480" w:lineRule="auto"/>
              <w:rPr>
                <w:rFonts w:hint="eastAsia" w:ascii="宋体" w:hAnsi="宋体" w:eastAsia="宋体" w:cs="宋体"/>
                <w:color w:val="auto"/>
                <w:sz w:val="24"/>
                <w:highlight w:val="none"/>
              </w:rPr>
            </w:pPr>
          </w:p>
        </w:tc>
        <w:tc>
          <w:tcPr>
            <w:tcW w:w="1419" w:type="dxa"/>
            <w:tcBorders>
              <w:top w:val="single" w:color="auto" w:sz="6" w:space="0"/>
              <w:left w:val="single" w:color="auto" w:sz="6" w:space="0"/>
              <w:bottom w:val="single" w:color="auto" w:sz="6" w:space="0"/>
              <w:right w:val="single" w:color="auto" w:sz="6" w:space="0"/>
            </w:tcBorders>
            <w:noWrap w:val="0"/>
            <w:vAlign w:val="top"/>
          </w:tcPr>
          <w:p w14:paraId="53036A78">
            <w:pPr>
              <w:spacing w:line="480" w:lineRule="auto"/>
              <w:rPr>
                <w:rFonts w:hint="eastAsia" w:ascii="宋体" w:hAnsi="宋体" w:eastAsia="宋体" w:cs="宋体"/>
                <w:color w:val="auto"/>
                <w:sz w:val="24"/>
                <w:highlight w:val="none"/>
              </w:rPr>
            </w:pPr>
          </w:p>
        </w:tc>
        <w:tc>
          <w:tcPr>
            <w:tcW w:w="1431" w:type="dxa"/>
            <w:tcBorders>
              <w:top w:val="single" w:color="auto" w:sz="6" w:space="0"/>
              <w:left w:val="single" w:color="auto" w:sz="6" w:space="0"/>
              <w:bottom w:val="single" w:color="auto" w:sz="6" w:space="0"/>
              <w:right w:val="single" w:color="auto" w:sz="6" w:space="0"/>
            </w:tcBorders>
            <w:noWrap w:val="0"/>
            <w:vAlign w:val="top"/>
          </w:tcPr>
          <w:p w14:paraId="6D1AEC5F">
            <w:pPr>
              <w:rPr>
                <w:rFonts w:hint="eastAsia" w:ascii="宋体" w:hAnsi="宋体" w:eastAsia="宋体" w:cs="宋体"/>
                <w:color w:val="auto"/>
                <w:sz w:val="24"/>
                <w:highlight w:val="none"/>
              </w:rPr>
            </w:pPr>
          </w:p>
        </w:tc>
        <w:tc>
          <w:tcPr>
            <w:tcW w:w="1284" w:type="dxa"/>
            <w:tcBorders>
              <w:top w:val="single" w:color="auto" w:sz="6" w:space="0"/>
              <w:left w:val="single" w:color="auto" w:sz="6" w:space="0"/>
              <w:bottom w:val="single" w:color="auto" w:sz="6" w:space="0"/>
              <w:right w:val="single" w:color="auto" w:sz="6" w:space="0"/>
            </w:tcBorders>
            <w:noWrap w:val="0"/>
            <w:vAlign w:val="top"/>
          </w:tcPr>
          <w:p w14:paraId="7D8D76A2">
            <w:pPr>
              <w:spacing w:line="480" w:lineRule="auto"/>
              <w:rPr>
                <w:rFonts w:hint="eastAsia" w:ascii="宋体" w:hAnsi="宋体" w:eastAsia="宋体" w:cs="宋体"/>
                <w:color w:val="auto"/>
                <w:sz w:val="24"/>
                <w:highlight w:val="none"/>
              </w:rPr>
            </w:pPr>
          </w:p>
        </w:tc>
      </w:tr>
      <w:tr w14:paraId="437E3D18">
        <w:tblPrEx>
          <w:tblCellMar>
            <w:top w:w="0" w:type="dxa"/>
            <w:left w:w="108" w:type="dxa"/>
            <w:bottom w:w="0" w:type="dxa"/>
            <w:right w:w="108" w:type="dxa"/>
          </w:tblCellMar>
        </w:tblPrEx>
        <w:trPr>
          <w:trHeight w:val="567" w:hRule="atLeast"/>
        </w:trPr>
        <w:tc>
          <w:tcPr>
            <w:tcW w:w="780" w:type="dxa"/>
            <w:tcBorders>
              <w:top w:val="single" w:color="auto" w:sz="6" w:space="0"/>
              <w:left w:val="single" w:color="auto" w:sz="6" w:space="0"/>
              <w:bottom w:val="single" w:color="auto" w:sz="6" w:space="0"/>
              <w:right w:val="single" w:color="auto" w:sz="6" w:space="0"/>
            </w:tcBorders>
            <w:noWrap w:val="0"/>
            <w:vAlign w:val="top"/>
          </w:tcPr>
          <w:p w14:paraId="6D89607C">
            <w:pPr>
              <w:spacing w:line="480" w:lineRule="auto"/>
              <w:jc w:val="center"/>
              <w:rPr>
                <w:rFonts w:hint="eastAsia" w:ascii="宋体" w:hAnsi="宋体" w:eastAsia="宋体" w:cs="宋体"/>
                <w:color w:val="auto"/>
                <w:sz w:val="24"/>
                <w:highlight w:val="none"/>
              </w:rPr>
            </w:pPr>
          </w:p>
        </w:tc>
        <w:tc>
          <w:tcPr>
            <w:tcW w:w="1440" w:type="dxa"/>
            <w:tcBorders>
              <w:top w:val="single" w:color="auto" w:sz="6" w:space="0"/>
              <w:left w:val="single" w:color="auto" w:sz="6" w:space="0"/>
              <w:bottom w:val="single" w:color="auto" w:sz="6" w:space="0"/>
              <w:right w:val="single" w:color="auto" w:sz="6" w:space="0"/>
            </w:tcBorders>
            <w:noWrap w:val="0"/>
            <w:vAlign w:val="top"/>
          </w:tcPr>
          <w:p w14:paraId="7E1286F6">
            <w:pPr>
              <w:spacing w:line="480" w:lineRule="auto"/>
              <w:rPr>
                <w:rFonts w:hint="eastAsia" w:ascii="宋体" w:hAnsi="宋体" w:eastAsia="宋体" w:cs="宋体"/>
                <w:color w:val="auto"/>
                <w:sz w:val="24"/>
                <w:highlight w:val="none"/>
              </w:rPr>
            </w:pPr>
          </w:p>
        </w:tc>
        <w:tc>
          <w:tcPr>
            <w:tcW w:w="820" w:type="dxa"/>
            <w:tcBorders>
              <w:top w:val="single" w:color="auto" w:sz="6" w:space="0"/>
              <w:left w:val="single" w:color="auto" w:sz="6" w:space="0"/>
              <w:bottom w:val="single" w:color="auto" w:sz="6" w:space="0"/>
              <w:right w:val="single" w:color="auto" w:sz="4" w:space="0"/>
            </w:tcBorders>
            <w:noWrap w:val="0"/>
            <w:vAlign w:val="top"/>
          </w:tcPr>
          <w:p w14:paraId="0B9B5D91">
            <w:pPr>
              <w:spacing w:line="480" w:lineRule="auto"/>
              <w:rPr>
                <w:rFonts w:hint="eastAsia" w:ascii="宋体" w:hAnsi="宋体" w:eastAsia="宋体" w:cs="宋体"/>
                <w:color w:val="auto"/>
                <w:sz w:val="24"/>
                <w:highlight w:val="none"/>
              </w:rPr>
            </w:pPr>
          </w:p>
        </w:tc>
        <w:tc>
          <w:tcPr>
            <w:tcW w:w="818" w:type="dxa"/>
            <w:tcBorders>
              <w:top w:val="single" w:color="auto" w:sz="6" w:space="0"/>
              <w:left w:val="single" w:color="auto" w:sz="4" w:space="0"/>
              <w:bottom w:val="single" w:color="auto" w:sz="6" w:space="0"/>
              <w:right w:val="single" w:color="auto" w:sz="4" w:space="0"/>
            </w:tcBorders>
            <w:noWrap w:val="0"/>
            <w:vAlign w:val="top"/>
          </w:tcPr>
          <w:p w14:paraId="69BD6900">
            <w:pPr>
              <w:spacing w:line="480" w:lineRule="auto"/>
              <w:rPr>
                <w:rFonts w:hint="eastAsia" w:ascii="宋体" w:hAnsi="宋体" w:eastAsia="宋体" w:cs="宋体"/>
                <w:color w:val="auto"/>
                <w:sz w:val="24"/>
                <w:highlight w:val="none"/>
              </w:rPr>
            </w:pPr>
          </w:p>
        </w:tc>
        <w:tc>
          <w:tcPr>
            <w:tcW w:w="1513" w:type="dxa"/>
            <w:tcBorders>
              <w:top w:val="single" w:color="auto" w:sz="6" w:space="0"/>
              <w:left w:val="single" w:color="auto" w:sz="4" w:space="0"/>
              <w:bottom w:val="single" w:color="auto" w:sz="6" w:space="0"/>
              <w:right w:val="single" w:color="auto" w:sz="6" w:space="0"/>
            </w:tcBorders>
            <w:noWrap w:val="0"/>
            <w:vAlign w:val="top"/>
          </w:tcPr>
          <w:p w14:paraId="454E68CA">
            <w:pPr>
              <w:spacing w:line="480" w:lineRule="auto"/>
              <w:rPr>
                <w:rFonts w:hint="eastAsia" w:ascii="宋体" w:hAnsi="宋体" w:eastAsia="宋体" w:cs="宋体"/>
                <w:color w:val="auto"/>
                <w:sz w:val="24"/>
                <w:highlight w:val="none"/>
              </w:rPr>
            </w:pPr>
          </w:p>
        </w:tc>
        <w:tc>
          <w:tcPr>
            <w:tcW w:w="1419" w:type="dxa"/>
            <w:tcBorders>
              <w:top w:val="single" w:color="auto" w:sz="6" w:space="0"/>
              <w:left w:val="single" w:color="auto" w:sz="6" w:space="0"/>
              <w:bottom w:val="single" w:color="auto" w:sz="6" w:space="0"/>
              <w:right w:val="single" w:color="auto" w:sz="6" w:space="0"/>
            </w:tcBorders>
            <w:noWrap w:val="0"/>
            <w:vAlign w:val="top"/>
          </w:tcPr>
          <w:p w14:paraId="18120438">
            <w:pPr>
              <w:spacing w:line="480" w:lineRule="auto"/>
              <w:rPr>
                <w:rFonts w:hint="eastAsia" w:ascii="宋体" w:hAnsi="宋体" w:eastAsia="宋体" w:cs="宋体"/>
                <w:color w:val="auto"/>
                <w:sz w:val="24"/>
                <w:highlight w:val="none"/>
              </w:rPr>
            </w:pPr>
          </w:p>
        </w:tc>
        <w:tc>
          <w:tcPr>
            <w:tcW w:w="1431" w:type="dxa"/>
            <w:tcBorders>
              <w:top w:val="single" w:color="auto" w:sz="6" w:space="0"/>
              <w:left w:val="single" w:color="auto" w:sz="6" w:space="0"/>
              <w:bottom w:val="single" w:color="auto" w:sz="6" w:space="0"/>
              <w:right w:val="single" w:color="auto" w:sz="6" w:space="0"/>
            </w:tcBorders>
            <w:noWrap w:val="0"/>
            <w:vAlign w:val="top"/>
          </w:tcPr>
          <w:p w14:paraId="7484803C">
            <w:pPr>
              <w:rPr>
                <w:rFonts w:hint="eastAsia" w:ascii="宋体" w:hAnsi="宋体" w:eastAsia="宋体" w:cs="宋体"/>
                <w:color w:val="auto"/>
                <w:sz w:val="24"/>
                <w:highlight w:val="none"/>
              </w:rPr>
            </w:pPr>
          </w:p>
        </w:tc>
        <w:tc>
          <w:tcPr>
            <w:tcW w:w="1284" w:type="dxa"/>
            <w:tcBorders>
              <w:top w:val="single" w:color="auto" w:sz="6" w:space="0"/>
              <w:left w:val="single" w:color="auto" w:sz="6" w:space="0"/>
              <w:bottom w:val="single" w:color="auto" w:sz="6" w:space="0"/>
              <w:right w:val="single" w:color="auto" w:sz="6" w:space="0"/>
            </w:tcBorders>
            <w:noWrap w:val="0"/>
            <w:vAlign w:val="top"/>
          </w:tcPr>
          <w:p w14:paraId="05DAB21B">
            <w:pPr>
              <w:spacing w:line="480" w:lineRule="auto"/>
              <w:rPr>
                <w:rFonts w:hint="eastAsia" w:ascii="宋体" w:hAnsi="宋体" w:eastAsia="宋体" w:cs="宋体"/>
                <w:color w:val="auto"/>
                <w:sz w:val="24"/>
                <w:highlight w:val="none"/>
              </w:rPr>
            </w:pPr>
          </w:p>
        </w:tc>
      </w:tr>
      <w:tr w14:paraId="04B75A8D">
        <w:tblPrEx>
          <w:tblCellMar>
            <w:top w:w="0" w:type="dxa"/>
            <w:left w:w="108" w:type="dxa"/>
            <w:bottom w:w="0" w:type="dxa"/>
            <w:right w:w="108" w:type="dxa"/>
          </w:tblCellMar>
        </w:tblPrEx>
        <w:trPr>
          <w:trHeight w:val="567" w:hRule="atLeast"/>
        </w:trPr>
        <w:tc>
          <w:tcPr>
            <w:tcW w:w="780" w:type="dxa"/>
            <w:tcBorders>
              <w:top w:val="single" w:color="auto" w:sz="6" w:space="0"/>
              <w:left w:val="single" w:color="auto" w:sz="6" w:space="0"/>
              <w:bottom w:val="single" w:color="auto" w:sz="6" w:space="0"/>
              <w:right w:val="single" w:color="auto" w:sz="6" w:space="0"/>
            </w:tcBorders>
            <w:noWrap w:val="0"/>
            <w:vAlign w:val="top"/>
          </w:tcPr>
          <w:p w14:paraId="5233B71A">
            <w:pPr>
              <w:spacing w:line="480" w:lineRule="auto"/>
              <w:jc w:val="center"/>
              <w:rPr>
                <w:rFonts w:hint="eastAsia" w:ascii="宋体" w:hAnsi="宋体" w:eastAsia="宋体" w:cs="宋体"/>
                <w:color w:val="auto"/>
                <w:sz w:val="24"/>
                <w:highlight w:val="none"/>
              </w:rPr>
            </w:pPr>
          </w:p>
        </w:tc>
        <w:tc>
          <w:tcPr>
            <w:tcW w:w="1440" w:type="dxa"/>
            <w:tcBorders>
              <w:top w:val="single" w:color="auto" w:sz="6" w:space="0"/>
              <w:left w:val="single" w:color="auto" w:sz="6" w:space="0"/>
              <w:bottom w:val="single" w:color="auto" w:sz="6" w:space="0"/>
              <w:right w:val="single" w:color="auto" w:sz="6" w:space="0"/>
            </w:tcBorders>
            <w:noWrap w:val="0"/>
            <w:vAlign w:val="top"/>
          </w:tcPr>
          <w:p w14:paraId="35C68909">
            <w:pPr>
              <w:spacing w:line="480" w:lineRule="auto"/>
              <w:rPr>
                <w:rFonts w:hint="eastAsia" w:ascii="宋体" w:hAnsi="宋体" w:eastAsia="宋体" w:cs="宋体"/>
                <w:color w:val="auto"/>
                <w:sz w:val="24"/>
                <w:highlight w:val="none"/>
              </w:rPr>
            </w:pPr>
          </w:p>
        </w:tc>
        <w:tc>
          <w:tcPr>
            <w:tcW w:w="820" w:type="dxa"/>
            <w:tcBorders>
              <w:top w:val="single" w:color="auto" w:sz="6" w:space="0"/>
              <w:left w:val="single" w:color="auto" w:sz="6" w:space="0"/>
              <w:bottom w:val="single" w:color="auto" w:sz="6" w:space="0"/>
              <w:right w:val="single" w:color="auto" w:sz="4" w:space="0"/>
            </w:tcBorders>
            <w:noWrap w:val="0"/>
            <w:vAlign w:val="top"/>
          </w:tcPr>
          <w:p w14:paraId="64275223">
            <w:pPr>
              <w:spacing w:line="480" w:lineRule="auto"/>
              <w:rPr>
                <w:rFonts w:hint="eastAsia" w:ascii="宋体" w:hAnsi="宋体" w:eastAsia="宋体" w:cs="宋体"/>
                <w:color w:val="auto"/>
                <w:sz w:val="24"/>
                <w:highlight w:val="none"/>
              </w:rPr>
            </w:pPr>
          </w:p>
        </w:tc>
        <w:tc>
          <w:tcPr>
            <w:tcW w:w="818" w:type="dxa"/>
            <w:tcBorders>
              <w:top w:val="single" w:color="auto" w:sz="6" w:space="0"/>
              <w:left w:val="single" w:color="auto" w:sz="4" w:space="0"/>
              <w:bottom w:val="single" w:color="auto" w:sz="6" w:space="0"/>
              <w:right w:val="single" w:color="auto" w:sz="4" w:space="0"/>
            </w:tcBorders>
            <w:noWrap w:val="0"/>
            <w:vAlign w:val="top"/>
          </w:tcPr>
          <w:p w14:paraId="20AC029A">
            <w:pPr>
              <w:spacing w:line="480" w:lineRule="auto"/>
              <w:rPr>
                <w:rFonts w:hint="eastAsia" w:ascii="宋体" w:hAnsi="宋体" w:eastAsia="宋体" w:cs="宋体"/>
                <w:color w:val="auto"/>
                <w:sz w:val="24"/>
                <w:highlight w:val="none"/>
              </w:rPr>
            </w:pPr>
          </w:p>
        </w:tc>
        <w:tc>
          <w:tcPr>
            <w:tcW w:w="1513" w:type="dxa"/>
            <w:tcBorders>
              <w:top w:val="single" w:color="auto" w:sz="6" w:space="0"/>
              <w:left w:val="single" w:color="auto" w:sz="4" w:space="0"/>
              <w:bottom w:val="single" w:color="auto" w:sz="6" w:space="0"/>
              <w:right w:val="single" w:color="auto" w:sz="6" w:space="0"/>
            </w:tcBorders>
            <w:noWrap w:val="0"/>
            <w:vAlign w:val="top"/>
          </w:tcPr>
          <w:p w14:paraId="19FD3FBE">
            <w:pPr>
              <w:spacing w:line="480" w:lineRule="auto"/>
              <w:rPr>
                <w:rFonts w:hint="eastAsia" w:ascii="宋体" w:hAnsi="宋体" w:eastAsia="宋体" w:cs="宋体"/>
                <w:color w:val="auto"/>
                <w:sz w:val="24"/>
                <w:highlight w:val="none"/>
              </w:rPr>
            </w:pPr>
          </w:p>
        </w:tc>
        <w:tc>
          <w:tcPr>
            <w:tcW w:w="1419" w:type="dxa"/>
            <w:tcBorders>
              <w:top w:val="single" w:color="auto" w:sz="6" w:space="0"/>
              <w:left w:val="single" w:color="auto" w:sz="6" w:space="0"/>
              <w:bottom w:val="single" w:color="auto" w:sz="6" w:space="0"/>
              <w:right w:val="single" w:color="auto" w:sz="6" w:space="0"/>
            </w:tcBorders>
            <w:noWrap w:val="0"/>
            <w:vAlign w:val="top"/>
          </w:tcPr>
          <w:p w14:paraId="5D035593">
            <w:pPr>
              <w:spacing w:line="480" w:lineRule="auto"/>
              <w:rPr>
                <w:rFonts w:hint="eastAsia" w:ascii="宋体" w:hAnsi="宋体" w:eastAsia="宋体" w:cs="宋体"/>
                <w:color w:val="auto"/>
                <w:sz w:val="24"/>
                <w:highlight w:val="none"/>
              </w:rPr>
            </w:pPr>
          </w:p>
        </w:tc>
        <w:tc>
          <w:tcPr>
            <w:tcW w:w="1431" w:type="dxa"/>
            <w:tcBorders>
              <w:top w:val="single" w:color="auto" w:sz="6" w:space="0"/>
              <w:left w:val="single" w:color="auto" w:sz="6" w:space="0"/>
              <w:bottom w:val="single" w:color="auto" w:sz="6" w:space="0"/>
              <w:right w:val="single" w:color="auto" w:sz="6" w:space="0"/>
            </w:tcBorders>
            <w:noWrap w:val="0"/>
            <w:vAlign w:val="top"/>
          </w:tcPr>
          <w:p w14:paraId="3489C74B">
            <w:pPr>
              <w:rPr>
                <w:rFonts w:hint="eastAsia" w:ascii="宋体" w:hAnsi="宋体" w:eastAsia="宋体" w:cs="宋体"/>
                <w:color w:val="auto"/>
                <w:sz w:val="24"/>
                <w:highlight w:val="none"/>
              </w:rPr>
            </w:pPr>
          </w:p>
        </w:tc>
        <w:tc>
          <w:tcPr>
            <w:tcW w:w="1284" w:type="dxa"/>
            <w:tcBorders>
              <w:top w:val="single" w:color="auto" w:sz="6" w:space="0"/>
              <w:left w:val="single" w:color="auto" w:sz="6" w:space="0"/>
              <w:bottom w:val="single" w:color="auto" w:sz="6" w:space="0"/>
              <w:right w:val="single" w:color="auto" w:sz="6" w:space="0"/>
            </w:tcBorders>
            <w:noWrap w:val="0"/>
            <w:vAlign w:val="top"/>
          </w:tcPr>
          <w:p w14:paraId="4B00DC49">
            <w:pPr>
              <w:spacing w:line="480" w:lineRule="auto"/>
              <w:rPr>
                <w:rFonts w:hint="eastAsia" w:ascii="宋体" w:hAnsi="宋体" w:eastAsia="宋体" w:cs="宋体"/>
                <w:color w:val="auto"/>
                <w:sz w:val="24"/>
                <w:highlight w:val="none"/>
              </w:rPr>
            </w:pPr>
          </w:p>
        </w:tc>
      </w:tr>
      <w:tr w14:paraId="5D1697BE">
        <w:tblPrEx>
          <w:tblCellMar>
            <w:top w:w="0" w:type="dxa"/>
            <w:left w:w="108" w:type="dxa"/>
            <w:bottom w:w="0" w:type="dxa"/>
            <w:right w:w="108" w:type="dxa"/>
          </w:tblCellMar>
        </w:tblPrEx>
        <w:trPr>
          <w:trHeight w:val="567" w:hRule="atLeast"/>
        </w:trPr>
        <w:tc>
          <w:tcPr>
            <w:tcW w:w="780" w:type="dxa"/>
            <w:tcBorders>
              <w:top w:val="single" w:color="auto" w:sz="6" w:space="0"/>
              <w:left w:val="single" w:color="auto" w:sz="6" w:space="0"/>
              <w:bottom w:val="single" w:color="auto" w:sz="6" w:space="0"/>
              <w:right w:val="single" w:color="auto" w:sz="6" w:space="0"/>
            </w:tcBorders>
            <w:noWrap w:val="0"/>
            <w:vAlign w:val="top"/>
          </w:tcPr>
          <w:p w14:paraId="4E209856">
            <w:pPr>
              <w:spacing w:line="480" w:lineRule="auto"/>
              <w:jc w:val="center"/>
              <w:rPr>
                <w:rFonts w:hint="eastAsia" w:ascii="宋体" w:hAnsi="宋体" w:eastAsia="宋体" w:cs="宋体"/>
                <w:color w:val="auto"/>
                <w:sz w:val="24"/>
                <w:highlight w:val="none"/>
              </w:rPr>
            </w:pPr>
          </w:p>
        </w:tc>
        <w:tc>
          <w:tcPr>
            <w:tcW w:w="1440" w:type="dxa"/>
            <w:tcBorders>
              <w:top w:val="single" w:color="auto" w:sz="6" w:space="0"/>
              <w:left w:val="single" w:color="auto" w:sz="6" w:space="0"/>
              <w:bottom w:val="single" w:color="auto" w:sz="6" w:space="0"/>
              <w:right w:val="single" w:color="auto" w:sz="6" w:space="0"/>
            </w:tcBorders>
            <w:noWrap w:val="0"/>
            <w:vAlign w:val="top"/>
          </w:tcPr>
          <w:p w14:paraId="32BB054E">
            <w:pPr>
              <w:spacing w:line="480" w:lineRule="auto"/>
              <w:rPr>
                <w:rFonts w:hint="eastAsia" w:ascii="宋体" w:hAnsi="宋体" w:eastAsia="宋体" w:cs="宋体"/>
                <w:color w:val="auto"/>
                <w:sz w:val="24"/>
                <w:highlight w:val="none"/>
              </w:rPr>
            </w:pPr>
          </w:p>
        </w:tc>
        <w:tc>
          <w:tcPr>
            <w:tcW w:w="820" w:type="dxa"/>
            <w:tcBorders>
              <w:top w:val="single" w:color="auto" w:sz="6" w:space="0"/>
              <w:left w:val="single" w:color="auto" w:sz="6" w:space="0"/>
              <w:bottom w:val="single" w:color="auto" w:sz="6" w:space="0"/>
              <w:right w:val="single" w:color="auto" w:sz="4" w:space="0"/>
            </w:tcBorders>
            <w:noWrap w:val="0"/>
            <w:vAlign w:val="top"/>
          </w:tcPr>
          <w:p w14:paraId="12DA535F">
            <w:pPr>
              <w:spacing w:line="480" w:lineRule="auto"/>
              <w:rPr>
                <w:rFonts w:hint="eastAsia" w:ascii="宋体" w:hAnsi="宋体" w:eastAsia="宋体" w:cs="宋体"/>
                <w:color w:val="auto"/>
                <w:sz w:val="24"/>
                <w:highlight w:val="none"/>
              </w:rPr>
            </w:pPr>
          </w:p>
        </w:tc>
        <w:tc>
          <w:tcPr>
            <w:tcW w:w="818" w:type="dxa"/>
            <w:tcBorders>
              <w:top w:val="single" w:color="auto" w:sz="6" w:space="0"/>
              <w:left w:val="single" w:color="auto" w:sz="4" w:space="0"/>
              <w:bottom w:val="single" w:color="auto" w:sz="6" w:space="0"/>
              <w:right w:val="single" w:color="auto" w:sz="4" w:space="0"/>
            </w:tcBorders>
            <w:noWrap w:val="0"/>
            <w:vAlign w:val="top"/>
          </w:tcPr>
          <w:p w14:paraId="77A0862C">
            <w:pPr>
              <w:spacing w:line="480" w:lineRule="auto"/>
              <w:rPr>
                <w:rFonts w:hint="eastAsia" w:ascii="宋体" w:hAnsi="宋体" w:eastAsia="宋体" w:cs="宋体"/>
                <w:color w:val="auto"/>
                <w:sz w:val="24"/>
                <w:highlight w:val="none"/>
              </w:rPr>
            </w:pPr>
          </w:p>
        </w:tc>
        <w:tc>
          <w:tcPr>
            <w:tcW w:w="1513" w:type="dxa"/>
            <w:tcBorders>
              <w:top w:val="single" w:color="auto" w:sz="6" w:space="0"/>
              <w:left w:val="single" w:color="auto" w:sz="4" w:space="0"/>
              <w:bottom w:val="single" w:color="auto" w:sz="6" w:space="0"/>
              <w:right w:val="single" w:color="auto" w:sz="6" w:space="0"/>
            </w:tcBorders>
            <w:noWrap w:val="0"/>
            <w:vAlign w:val="top"/>
          </w:tcPr>
          <w:p w14:paraId="77C55F1F">
            <w:pPr>
              <w:spacing w:line="480" w:lineRule="auto"/>
              <w:rPr>
                <w:rFonts w:hint="eastAsia" w:ascii="宋体" w:hAnsi="宋体" w:eastAsia="宋体" w:cs="宋体"/>
                <w:color w:val="auto"/>
                <w:sz w:val="24"/>
                <w:highlight w:val="none"/>
              </w:rPr>
            </w:pPr>
          </w:p>
        </w:tc>
        <w:tc>
          <w:tcPr>
            <w:tcW w:w="1419" w:type="dxa"/>
            <w:tcBorders>
              <w:top w:val="single" w:color="auto" w:sz="6" w:space="0"/>
              <w:left w:val="single" w:color="auto" w:sz="6" w:space="0"/>
              <w:bottom w:val="single" w:color="auto" w:sz="6" w:space="0"/>
              <w:right w:val="single" w:color="auto" w:sz="6" w:space="0"/>
            </w:tcBorders>
            <w:noWrap w:val="0"/>
            <w:vAlign w:val="top"/>
          </w:tcPr>
          <w:p w14:paraId="6897E491">
            <w:pPr>
              <w:spacing w:line="480" w:lineRule="auto"/>
              <w:rPr>
                <w:rFonts w:hint="eastAsia" w:ascii="宋体" w:hAnsi="宋体" w:eastAsia="宋体" w:cs="宋体"/>
                <w:color w:val="auto"/>
                <w:sz w:val="24"/>
                <w:highlight w:val="none"/>
              </w:rPr>
            </w:pPr>
          </w:p>
        </w:tc>
        <w:tc>
          <w:tcPr>
            <w:tcW w:w="1431" w:type="dxa"/>
            <w:tcBorders>
              <w:top w:val="single" w:color="auto" w:sz="6" w:space="0"/>
              <w:left w:val="single" w:color="auto" w:sz="6" w:space="0"/>
              <w:bottom w:val="single" w:color="auto" w:sz="6" w:space="0"/>
              <w:right w:val="single" w:color="auto" w:sz="6" w:space="0"/>
            </w:tcBorders>
            <w:noWrap w:val="0"/>
            <w:vAlign w:val="top"/>
          </w:tcPr>
          <w:p w14:paraId="53FFCD2F">
            <w:pPr>
              <w:rPr>
                <w:rFonts w:hint="eastAsia" w:ascii="宋体" w:hAnsi="宋体" w:eastAsia="宋体" w:cs="宋体"/>
                <w:color w:val="auto"/>
                <w:sz w:val="24"/>
                <w:highlight w:val="none"/>
              </w:rPr>
            </w:pPr>
          </w:p>
        </w:tc>
        <w:tc>
          <w:tcPr>
            <w:tcW w:w="1284" w:type="dxa"/>
            <w:tcBorders>
              <w:top w:val="single" w:color="auto" w:sz="6" w:space="0"/>
              <w:left w:val="single" w:color="auto" w:sz="6" w:space="0"/>
              <w:bottom w:val="single" w:color="auto" w:sz="6" w:space="0"/>
              <w:right w:val="single" w:color="auto" w:sz="6" w:space="0"/>
            </w:tcBorders>
            <w:noWrap w:val="0"/>
            <w:vAlign w:val="top"/>
          </w:tcPr>
          <w:p w14:paraId="7546A4D0">
            <w:pPr>
              <w:spacing w:line="480" w:lineRule="auto"/>
              <w:rPr>
                <w:rFonts w:hint="eastAsia" w:ascii="宋体" w:hAnsi="宋体" w:eastAsia="宋体" w:cs="宋体"/>
                <w:color w:val="auto"/>
                <w:sz w:val="24"/>
                <w:highlight w:val="none"/>
              </w:rPr>
            </w:pPr>
          </w:p>
        </w:tc>
      </w:tr>
      <w:tr w14:paraId="26E577C4">
        <w:tblPrEx>
          <w:tblCellMar>
            <w:top w:w="0" w:type="dxa"/>
            <w:left w:w="108" w:type="dxa"/>
            <w:bottom w:w="0" w:type="dxa"/>
            <w:right w:w="108" w:type="dxa"/>
          </w:tblCellMar>
        </w:tblPrEx>
        <w:trPr>
          <w:trHeight w:val="567" w:hRule="atLeast"/>
        </w:trPr>
        <w:tc>
          <w:tcPr>
            <w:tcW w:w="780" w:type="dxa"/>
            <w:tcBorders>
              <w:top w:val="single" w:color="auto" w:sz="6" w:space="0"/>
              <w:left w:val="single" w:color="auto" w:sz="6" w:space="0"/>
              <w:bottom w:val="single" w:color="auto" w:sz="6" w:space="0"/>
              <w:right w:val="single" w:color="auto" w:sz="6" w:space="0"/>
            </w:tcBorders>
            <w:noWrap w:val="0"/>
            <w:vAlign w:val="top"/>
          </w:tcPr>
          <w:p w14:paraId="2B3978D1">
            <w:pPr>
              <w:spacing w:line="480" w:lineRule="auto"/>
              <w:jc w:val="center"/>
              <w:rPr>
                <w:rFonts w:hint="eastAsia" w:ascii="宋体" w:hAnsi="宋体" w:eastAsia="宋体" w:cs="宋体"/>
                <w:color w:val="auto"/>
                <w:sz w:val="24"/>
                <w:highlight w:val="none"/>
              </w:rPr>
            </w:pPr>
          </w:p>
        </w:tc>
        <w:tc>
          <w:tcPr>
            <w:tcW w:w="1440" w:type="dxa"/>
            <w:tcBorders>
              <w:top w:val="single" w:color="auto" w:sz="6" w:space="0"/>
              <w:left w:val="single" w:color="auto" w:sz="6" w:space="0"/>
              <w:bottom w:val="single" w:color="auto" w:sz="6" w:space="0"/>
              <w:right w:val="single" w:color="auto" w:sz="6" w:space="0"/>
            </w:tcBorders>
            <w:noWrap w:val="0"/>
            <w:vAlign w:val="top"/>
          </w:tcPr>
          <w:p w14:paraId="3480B4B9">
            <w:pPr>
              <w:spacing w:line="480" w:lineRule="auto"/>
              <w:rPr>
                <w:rFonts w:hint="eastAsia" w:ascii="宋体" w:hAnsi="宋体" w:eastAsia="宋体" w:cs="宋体"/>
                <w:color w:val="auto"/>
                <w:sz w:val="24"/>
                <w:highlight w:val="none"/>
              </w:rPr>
            </w:pPr>
          </w:p>
        </w:tc>
        <w:tc>
          <w:tcPr>
            <w:tcW w:w="820" w:type="dxa"/>
            <w:tcBorders>
              <w:top w:val="single" w:color="auto" w:sz="6" w:space="0"/>
              <w:left w:val="single" w:color="auto" w:sz="6" w:space="0"/>
              <w:bottom w:val="single" w:color="auto" w:sz="6" w:space="0"/>
              <w:right w:val="single" w:color="auto" w:sz="4" w:space="0"/>
            </w:tcBorders>
            <w:noWrap w:val="0"/>
            <w:vAlign w:val="top"/>
          </w:tcPr>
          <w:p w14:paraId="5048D77B">
            <w:pPr>
              <w:spacing w:line="480" w:lineRule="auto"/>
              <w:rPr>
                <w:rFonts w:hint="eastAsia" w:ascii="宋体" w:hAnsi="宋体" w:eastAsia="宋体" w:cs="宋体"/>
                <w:color w:val="auto"/>
                <w:sz w:val="24"/>
                <w:highlight w:val="none"/>
              </w:rPr>
            </w:pPr>
          </w:p>
        </w:tc>
        <w:tc>
          <w:tcPr>
            <w:tcW w:w="818" w:type="dxa"/>
            <w:tcBorders>
              <w:top w:val="single" w:color="auto" w:sz="6" w:space="0"/>
              <w:left w:val="single" w:color="auto" w:sz="4" w:space="0"/>
              <w:bottom w:val="single" w:color="auto" w:sz="6" w:space="0"/>
              <w:right w:val="single" w:color="auto" w:sz="4" w:space="0"/>
            </w:tcBorders>
            <w:noWrap w:val="0"/>
            <w:vAlign w:val="top"/>
          </w:tcPr>
          <w:p w14:paraId="4B81ABE4">
            <w:pPr>
              <w:spacing w:line="480" w:lineRule="auto"/>
              <w:rPr>
                <w:rFonts w:hint="eastAsia" w:ascii="宋体" w:hAnsi="宋体" w:eastAsia="宋体" w:cs="宋体"/>
                <w:color w:val="auto"/>
                <w:sz w:val="24"/>
                <w:highlight w:val="none"/>
              </w:rPr>
            </w:pPr>
          </w:p>
        </w:tc>
        <w:tc>
          <w:tcPr>
            <w:tcW w:w="1513" w:type="dxa"/>
            <w:tcBorders>
              <w:top w:val="single" w:color="auto" w:sz="6" w:space="0"/>
              <w:left w:val="single" w:color="auto" w:sz="4" w:space="0"/>
              <w:bottom w:val="single" w:color="auto" w:sz="6" w:space="0"/>
              <w:right w:val="single" w:color="auto" w:sz="6" w:space="0"/>
            </w:tcBorders>
            <w:noWrap w:val="0"/>
            <w:vAlign w:val="top"/>
          </w:tcPr>
          <w:p w14:paraId="5B8DDB6C">
            <w:pPr>
              <w:spacing w:line="480" w:lineRule="auto"/>
              <w:rPr>
                <w:rFonts w:hint="eastAsia" w:ascii="宋体" w:hAnsi="宋体" w:eastAsia="宋体" w:cs="宋体"/>
                <w:color w:val="auto"/>
                <w:sz w:val="24"/>
                <w:highlight w:val="none"/>
              </w:rPr>
            </w:pPr>
          </w:p>
        </w:tc>
        <w:tc>
          <w:tcPr>
            <w:tcW w:w="1419" w:type="dxa"/>
            <w:tcBorders>
              <w:top w:val="single" w:color="auto" w:sz="6" w:space="0"/>
              <w:left w:val="single" w:color="auto" w:sz="6" w:space="0"/>
              <w:bottom w:val="single" w:color="auto" w:sz="6" w:space="0"/>
              <w:right w:val="single" w:color="auto" w:sz="6" w:space="0"/>
            </w:tcBorders>
            <w:noWrap w:val="0"/>
            <w:vAlign w:val="top"/>
          </w:tcPr>
          <w:p w14:paraId="1EB7B608">
            <w:pPr>
              <w:spacing w:line="480" w:lineRule="auto"/>
              <w:rPr>
                <w:rFonts w:hint="eastAsia" w:ascii="宋体" w:hAnsi="宋体" w:eastAsia="宋体" w:cs="宋体"/>
                <w:color w:val="auto"/>
                <w:sz w:val="24"/>
                <w:highlight w:val="none"/>
              </w:rPr>
            </w:pPr>
          </w:p>
        </w:tc>
        <w:tc>
          <w:tcPr>
            <w:tcW w:w="1431" w:type="dxa"/>
            <w:tcBorders>
              <w:top w:val="single" w:color="auto" w:sz="6" w:space="0"/>
              <w:left w:val="single" w:color="auto" w:sz="6" w:space="0"/>
              <w:bottom w:val="single" w:color="auto" w:sz="6" w:space="0"/>
              <w:right w:val="single" w:color="auto" w:sz="6" w:space="0"/>
            </w:tcBorders>
            <w:noWrap w:val="0"/>
            <w:vAlign w:val="top"/>
          </w:tcPr>
          <w:p w14:paraId="4CAFC983">
            <w:pPr>
              <w:rPr>
                <w:rFonts w:hint="eastAsia" w:ascii="宋体" w:hAnsi="宋体" w:eastAsia="宋体" w:cs="宋体"/>
                <w:color w:val="auto"/>
                <w:sz w:val="24"/>
                <w:highlight w:val="none"/>
              </w:rPr>
            </w:pPr>
          </w:p>
        </w:tc>
        <w:tc>
          <w:tcPr>
            <w:tcW w:w="1284" w:type="dxa"/>
            <w:tcBorders>
              <w:top w:val="single" w:color="auto" w:sz="6" w:space="0"/>
              <w:left w:val="single" w:color="auto" w:sz="6" w:space="0"/>
              <w:bottom w:val="single" w:color="auto" w:sz="6" w:space="0"/>
              <w:right w:val="single" w:color="auto" w:sz="6" w:space="0"/>
            </w:tcBorders>
            <w:noWrap w:val="0"/>
            <w:vAlign w:val="top"/>
          </w:tcPr>
          <w:p w14:paraId="0567840F">
            <w:pPr>
              <w:spacing w:line="480" w:lineRule="auto"/>
              <w:rPr>
                <w:rFonts w:hint="eastAsia" w:ascii="宋体" w:hAnsi="宋体" w:eastAsia="宋体" w:cs="宋体"/>
                <w:color w:val="auto"/>
                <w:sz w:val="24"/>
                <w:highlight w:val="none"/>
              </w:rPr>
            </w:pPr>
          </w:p>
        </w:tc>
      </w:tr>
      <w:tr w14:paraId="569A4916">
        <w:tblPrEx>
          <w:tblCellMar>
            <w:top w:w="0" w:type="dxa"/>
            <w:left w:w="108" w:type="dxa"/>
            <w:bottom w:w="0" w:type="dxa"/>
            <w:right w:w="108" w:type="dxa"/>
          </w:tblCellMar>
        </w:tblPrEx>
        <w:trPr>
          <w:trHeight w:val="567" w:hRule="atLeast"/>
        </w:trPr>
        <w:tc>
          <w:tcPr>
            <w:tcW w:w="780" w:type="dxa"/>
            <w:tcBorders>
              <w:top w:val="single" w:color="auto" w:sz="6" w:space="0"/>
              <w:left w:val="single" w:color="auto" w:sz="6" w:space="0"/>
              <w:bottom w:val="single" w:color="auto" w:sz="6" w:space="0"/>
              <w:right w:val="single" w:color="auto" w:sz="6" w:space="0"/>
            </w:tcBorders>
            <w:noWrap w:val="0"/>
            <w:vAlign w:val="top"/>
          </w:tcPr>
          <w:p w14:paraId="7D0D8B02">
            <w:pPr>
              <w:spacing w:line="480" w:lineRule="auto"/>
              <w:jc w:val="center"/>
              <w:rPr>
                <w:rFonts w:hint="eastAsia" w:ascii="宋体" w:hAnsi="宋体" w:eastAsia="宋体" w:cs="宋体"/>
                <w:color w:val="auto"/>
                <w:sz w:val="24"/>
                <w:highlight w:val="none"/>
              </w:rPr>
            </w:pPr>
          </w:p>
        </w:tc>
        <w:tc>
          <w:tcPr>
            <w:tcW w:w="1440" w:type="dxa"/>
            <w:tcBorders>
              <w:top w:val="single" w:color="auto" w:sz="6" w:space="0"/>
              <w:left w:val="single" w:color="auto" w:sz="6" w:space="0"/>
              <w:bottom w:val="single" w:color="auto" w:sz="6" w:space="0"/>
              <w:right w:val="single" w:color="auto" w:sz="6" w:space="0"/>
            </w:tcBorders>
            <w:noWrap w:val="0"/>
            <w:vAlign w:val="top"/>
          </w:tcPr>
          <w:p w14:paraId="7F8185D6">
            <w:pPr>
              <w:spacing w:line="480" w:lineRule="auto"/>
              <w:rPr>
                <w:rFonts w:hint="eastAsia" w:ascii="宋体" w:hAnsi="宋体" w:eastAsia="宋体" w:cs="宋体"/>
                <w:color w:val="auto"/>
                <w:sz w:val="24"/>
                <w:highlight w:val="none"/>
              </w:rPr>
            </w:pPr>
          </w:p>
        </w:tc>
        <w:tc>
          <w:tcPr>
            <w:tcW w:w="820" w:type="dxa"/>
            <w:tcBorders>
              <w:top w:val="single" w:color="auto" w:sz="6" w:space="0"/>
              <w:left w:val="single" w:color="auto" w:sz="6" w:space="0"/>
              <w:bottom w:val="single" w:color="auto" w:sz="6" w:space="0"/>
              <w:right w:val="single" w:color="auto" w:sz="4" w:space="0"/>
            </w:tcBorders>
            <w:noWrap w:val="0"/>
            <w:vAlign w:val="top"/>
          </w:tcPr>
          <w:p w14:paraId="0E96E55D">
            <w:pPr>
              <w:spacing w:line="480" w:lineRule="auto"/>
              <w:rPr>
                <w:rFonts w:hint="eastAsia" w:ascii="宋体" w:hAnsi="宋体" w:eastAsia="宋体" w:cs="宋体"/>
                <w:color w:val="auto"/>
                <w:sz w:val="24"/>
                <w:highlight w:val="none"/>
              </w:rPr>
            </w:pPr>
          </w:p>
        </w:tc>
        <w:tc>
          <w:tcPr>
            <w:tcW w:w="818" w:type="dxa"/>
            <w:tcBorders>
              <w:top w:val="single" w:color="auto" w:sz="6" w:space="0"/>
              <w:left w:val="single" w:color="auto" w:sz="4" w:space="0"/>
              <w:bottom w:val="single" w:color="auto" w:sz="6" w:space="0"/>
              <w:right w:val="single" w:color="auto" w:sz="4" w:space="0"/>
            </w:tcBorders>
            <w:noWrap w:val="0"/>
            <w:vAlign w:val="top"/>
          </w:tcPr>
          <w:p w14:paraId="00D4304C">
            <w:pPr>
              <w:spacing w:line="480" w:lineRule="auto"/>
              <w:rPr>
                <w:rFonts w:hint="eastAsia" w:ascii="宋体" w:hAnsi="宋体" w:eastAsia="宋体" w:cs="宋体"/>
                <w:color w:val="auto"/>
                <w:sz w:val="24"/>
                <w:highlight w:val="none"/>
              </w:rPr>
            </w:pPr>
          </w:p>
        </w:tc>
        <w:tc>
          <w:tcPr>
            <w:tcW w:w="1513" w:type="dxa"/>
            <w:tcBorders>
              <w:top w:val="single" w:color="auto" w:sz="6" w:space="0"/>
              <w:left w:val="single" w:color="auto" w:sz="4" w:space="0"/>
              <w:bottom w:val="single" w:color="auto" w:sz="6" w:space="0"/>
              <w:right w:val="single" w:color="auto" w:sz="6" w:space="0"/>
            </w:tcBorders>
            <w:noWrap w:val="0"/>
            <w:vAlign w:val="top"/>
          </w:tcPr>
          <w:p w14:paraId="0AE57309">
            <w:pPr>
              <w:spacing w:line="480" w:lineRule="auto"/>
              <w:rPr>
                <w:rFonts w:hint="eastAsia" w:ascii="宋体" w:hAnsi="宋体" w:eastAsia="宋体" w:cs="宋体"/>
                <w:color w:val="auto"/>
                <w:sz w:val="24"/>
                <w:highlight w:val="none"/>
              </w:rPr>
            </w:pPr>
          </w:p>
        </w:tc>
        <w:tc>
          <w:tcPr>
            <w:tcW w:w="1419" w:type="dxa"/>
            <w:tcBorders>
              <w:top w:val="single" w:color="auto" w:sz="6" w:space="0"/>
              <w:left w:val="single" w:color="auto" w:sz="6" w:space="0"/>
              <w:bottom w:val="single" w:color="auto" w:sz="6" w:space="0"/>
              <w:right w:val="single" w:color="auto" w:sz="6" w:space="0"/>
            </w:tcBorders>
            <w:noWrap w:val="0"/>
            <w:vAlign w:val="top"/>
          </w:tcPr>
          <w:p w14:paraId="7BE75E7E">
            <w:pPr>
              <w:spacing w:line="480" w:lineRule="auto"/>
              <w:rPr>
                <w:rFonts w:hint="eastAsia" w:ascii="宋体" w:hAnsi="宋体" w:eastAsia="宋体" w:cs="宋体"/>
                <w:color w:val="auto"/>
                <w:sz w:val="24"/>
                <w:highlight w:val="none"/>
              </w:rPr>
            </w:pPr>
          </w:p>
        </w:tc>
        <w:tc>
          <w:tcPr>
            <w:tcW w:w="1431" w:type="dxa"/>
            <w:tcBorders>
              <w:top w:val="single" w:color="auto" w:sz="6" w:space="0"/>
              <w:left w:val="single" w:color="auto" w:sz="6" w:space="0"/>
              <w:bottom w:val="single" w:color="auto" w:sz="6" w:space="0"/>
              <w:right w:val="single" w:color="auto" w:sz="6" w:space="0"/>
            </w:tcBorders>
            <w:noWrap w:val="0"/>
            <w:vAlign w:val="top"/>
          </w:tcPr>
          <w:p w14:paraId="7189A47A">
            <w:pPr>
              <w:rPr>
                <w:rFonts w:hint="eastAsia" w:ascii="宋体" w:hAnsi="宋体" w:eastAsia="宋体" w:cs="宋体"/>
                <w:color w:val="auto"/>
                <w:sz w:val="24"/>
                <w:highlight w:val="none"/>
              </w:rPr>
            </w:pPr>
          </w:p>
        </w:tc>
        <w:tc>
          <w:tcPr>
            <w:tcW w:w="1284" w:type="dxa"/>
            <w:tcBorders>
              <w:top w:val="single" w:color="auto" w:sz="6" w:space="0"/>
              <w:left w:val="single" w:color="auto" w:sz="6" w:space="0"/>
              <w:bottom w:val="single" w:color="auto" w:sz="6" w:space="0"/>
              <w:right w:val="single" w:color="auto" w:sz="6" w:space="0"/>
            </w:tcBorders>
            <w:noWrap w:val="0"/>
            <w:vAlign w:val="top"/>
          </w:tcPr>
          <w:p w14:paraId="337F7E6B">
            <w:pPr>
              <w:spacing w:line="480" w:lineRule="auto"/>
              <w:rPr>
                <w:rFonts w:hint="eastAsia" w:ascii="宋体" w:hAnsi="宋体" w:eastAsia="宋体" w:cs="宋体"/>
                <w:color w:val="auto"/>
                <w:sz w:val="24"/>
                <w:highlight w:val="none"/>
              </w:rPr>
            </w:pPr>
          </w:p>
        </w:tc>
      </w:tr>
    </w:tbl>
    <w:p w14:paraId="6349AC1F">
      <w:pPr>
        <w:pStyle w:val="113"/>
        <w:spacing w:after="156" w:line="360" w:lineRule="auto"/>
        <w:ind w:firstLine="240" w:firstLineChars="100"/>
        <w:rPr>
          <w:rFonts w:hint="eastAsia" w:ascii="宋体" w:hAnsi="宋体" w:cs="Times New Roman"/>
          <w:b/>
          <w:sz w:val="32"/>
          <w:szCs w:val="32"/>
          <w:lang w:val="en-US" w:eastAsia="zh-CN"/>
        </w:rPr>
      </w:pPr>
      <w:r>
        <w:rPr>
          <w:rFonts w:hint="eastAsia" w:ascii="宋体" w:hAnsi="宋体" w:cs="宋体"/>
          <w:color w:val="auto"/>
          <w:sz w:val="24"/>
          <w:highlight w:val="none"/>
        </w:rPr>
        <w:t>注：须随表提交</w:t>
      </w:r>
      <w:r>
        <w:rPr>
          <w:rFonts w:hint="eastAsia" w:ascii="宋体" w:hAnsi="宋体" w:eastAsia="宋体" w:cs="宋体"/>
          <w:color w:val="auto"/>
          <w:sz w:val="24"/>
          <w:highlight w:val="none"/>
          <w:lang w:val="en-US" w:eastAsia="zh-CN"/>
        </w:rPr>
        <w:t>相关证书原件的扫描件及</w:t>
      </w:r>
      <w:r>
        <w:rPr>
          <w:rFonts w:hint="eastAsia" w:ascii="宋体" w:hAnsi="宋体" w:eastAsia="宋体" w:cs="宋体"/>
          <w:color w:val="auto"/>
          <w:sz w:val="24"/>
          <w:highlight w:val="none"/>
        </w:rPr>
        <w:t>表内人员</w:t>
      </w:r>
      <w:r>
        <w:rPr>
          <w:rFonts w:hint="eastAsia" w:ascii="宋体" w:hAnsi="宋体" w:eastAsia="宋体" w:cs="宋体"/>
          <w:color w:val="auto"/>
          <w:sz w:val="24"/>
          <w:highlight w:val="none"/>
          <w:lang w:val="en-US" w:eastAsia="zh-CN"/>
        </w:rPr>
        <w:t>为供应商正式员工的承诺函（社保证明或劳动合同）。</w:t>
      </w:r>
    </w:p>
    <w:p w14:paraId="52502690">
      <w:pPr>
        <w:pStyle w:val="113"/>
        <w:spacing w:after="156" w:line="360" w:lineRule="auto"/>
        <w:ind w:firstLine="321" w:firstLineChars="100"/>
        <w:rPr>
          <w:rFonts w:hint="eastAsia" w:ascii="宋体" w:hAnsi="宋体" w:eastAsia="宋体"/>
          <w:b/>
          <w:sz w:val="32"/>
          <w:szCs w:val="32"/>
          <w:lang w:val="en-US" w:eastAsia="zh-CN"/>
        </w:rPr>
      </w:pPr>
      <w:r>
        <w:rPr>
          <w:rFonts w:hint="eastAsia" w:ascii="宋体" w:hAnsi="宋体"/>
          <w:b/>
          <w:sz w:val="32"/>
          <w:szCs w:val="32"/>
        </w:rPr>
        <w:t>1</w:t>
      </w:r>
      <w:r>
        <w:rPr>
          <w:rFonts w:hint="eastAsia" w:ascii="宋体" w:hAnsi="宋体"/>
          <w:b/>
          <w:sz w:val="32"/>
          <w:szCs w:val="32"/>
          <w:lang w:val="en-US" w:eastAsia="zh-CN"/>
        </w:rPr>
        <w:t>0</w:t>
      </w:r>
      <w:r>
        <w:rPr>
          <w:rFonts w:hint="eastAsia" w:ascii="宋体" w:hAnsi="宋体"/>
          <w:b/>
          <w:sz w:val="32"/>
          <w:szCs w:val="32"/>
        </w:rPr>
        <w:t>、</w:t>
      </w:r>
      <w:r>
        <w:rPr>
          <w:rFonts w:hint="eastAsia" w:ascii="宋体" w:hAnsi="宋体"/>
          <w:b/>
          <w:sz w:val="32"/>
          <w:szCs w:val="32"/>
          <w:lang w:val="en-US" w:eastAsia="zh-CN"/>
        </w:rPr>
        <w:t>进度保障措施</w:t>
      </w:r>
    </w:p>
    <w:p w14:paraId="67E44CDC">
      <w:pPr>
        <w:pStyle w:val="113"/>
        <w:spacing w:after="156" w:line="360" w:lineRule="auto"/>
        <w:ind w:firstLine="321" w:firstLineChars="100"/>
        <w:rPr>
          <w:rFonts w:hint="eastAsia" w:ascii="宋体" w:hAnsi="宋体" w:eastAsia="宋体" w:cs="Times New Roman"/>
          <w:b/>
          <w:sz w:val="32"/>
          <w:szCs w:val="32"/>
          <w:lang w:val="en-US" w:eastAsia="zh-CN"/>
        </w:rPr>
      </w:pPr>
      <w:r>
        <w:rPr>
          <w:rFonts w:hint="eastAsia" w:ascii="宋体" w:hAnsi="宋体" w:eastAsia="宋体" w:cs="Times New Roman"/>
          <w:b/>
          <w:sz w:val="32"/>
          <w:szCs w:val="32"/>
          <w:lang w:val="en-US" w:eastAsia="zh-CN"/>
        </w:rPr>
        <w:t>1</w:t>
      </w:r>
      <w:r>
        <w:rPr>
          <w:rFonts w:hint="eastAsia" w:ascii="宋体" w:hAnsi="宋体" w:cs="Times New Roman"/>
          <w:b/>
          <w:sz w:val="32"/>
          <w:szCs w:val="32"/>
          <w:lang w:val="en-US" w:eastAsia="zh-CN"/>
        </w:rPr>
        <w:t>1</w:t>
      </w:r>
      <w:r>
        <w:rPr>
          <w:rFonts w:hint="eastAsia" w:ascii="宋体" w:hAnsi="宋体" w:eastAsia="宋体" w:cs="Times New Roman"/>
          <w:b/>
          <w:sz w:val="32"/>
          <w:szCs w:val="32"/>
          <w:lang w:val="en-US" w:eastAsia="zh-CN"/>
        </w:rPr>
        <w:t>、培训方案</w:t>
      </w:r>
    </w:p>
    <w:p w14:paraId="0E3C2D74">
      <w:pPr>
        <w:pStyle w:val="113"/>
        <w:spacing w:after="156" w:line="360" w:lineRule="auto"/>
        <w:ind w:firstLine="321" w:firstLineChars="100"/>
        <w:rPr>
          <w:rFonts w:hint="eastAsia" w:ascii="宋体" w:hAnsi="宋体" w:eastAsia="宋体" w:cs="Times New Roman"/>
          <w:b/>
          <w:sz w:val="32"/>
          <w:szCs w:val="32"/>
          <w:lang w:val="en-US" w:eastAsia="zh-CN"/>
        </w:rPr>
      </w:pPr>
      <w:r>
        <w:rPr>
          <w:rFonts w:hint="eastAsia" w:ascii="宋体" w:hAnsi="宋体" w:eastAsia="宋体" w:cs="Times New Roman"/>
          <w:b/>
          <w:sz w:val="32"/>
          <w:szCs w:val="32"/>
          <w:lang w:val="en-US" w:eastAsia="zh-CN"/>
        </w:rPr>
        <w:t>1</w:t>
      </w:r>
      <w:r>
        <w:rPr>
          <w:rFonts w:hint="eastAsia" w:ascii="宋体" w:hAnsi="宋体" w:cs="Times New Roman"/>
          <w:b/>
          <w:sz w:val="32"/>
          <w:szCs w:val="32"/>
          <w:lang w:val="en-US" w:eastAsia="zh-CN"/>
        </w:rPr>
        <w:t>2</w:t>
      </w:r>
      <w:r>
        <w:rPr>
          <w:rFonts w:hint="eastAsia" w:ascii="宋体" w:hAnsi="宋体" w:eastAsia="宋体" w:cs="Times New Roman"/>
          <w:b/>
          <w:sz w:val="32"/>
          <w:szCs w:val="32"/>
          <w:lang w:val="en-US" w:eastAsia="zh-CN"/>
        </w:rPr>
        <w:t>、服务</w:t>
      </w:r>
      <w:r>
        <w:rPr>
          <w:rFonts w:hint="eastAsia" w:ascii="宋体" w:hAnsi="宋体" w:cs="Times New Roman"/>
          <w:b/>
          <w:sz w:val="32"/>
          <w:szCs w:val="32"/>
          <w:lang w:val="en-US" w:eastAsia="zh-CN"/>
        </w:rPr>
        <w:t>能力及承诺</w:t>
      </w:r>
    </w:p>
    <w:p w14:paraId="788B48B3">
      <w:pPr>
        <w:pStyle w:val="113"/>
        <w:spacing w:after="156" w:line="360" w:lineRule="auto"/>
        <w:ind w:firstLine="321" w:firstLineChars="100"/>
      </w:pPr>
      <w:r>
        <w:rPr>
          <w:rFonts w:hint="eastAsia" w:ascii="宋体" w:hAnsi="宋体" w:eastAsia="宋体" w:cs="Times New Roman"/>
          <w:b/>
          <w:sz w:val="32"/>
          <w:szCs w:val="32"/>
          <w:lang w:val="en-US" w:eastAsia="zh-CN"/>
        </w:rPr>
        <w:t>1</w:t>
      </w:r>
      <w:r>
        <w:rPr>
          <w:rFonts w:hint="eastAsia" w:ascii="宋体" w:hAnsi="宋体" w:cs="Times New Roman"/>
          <w:b/>
          <w:sz w:val="32"/>
          <w:szCs w:val="32"/>
          <w:lang w:val="en-US" w:eastAsia="zh-CN"/>
        </w:rPr>
        <w:t>3</w:t>
      </w:r>
      <w:r>
        <w:rPr>
          <w:rFonts w:hint="eastAsia" w:ascii="宋体" w:hAnsi="宋体" w:eastAsia="宋体" w:cs="Times New Roman"/>
          <w:b/>
          <w:sz w:val="32"/>
          <w:szCs w:val="32"/>
          <w:lang w:val="en-US" w:eastAsia="zh-CN"/>
        </w:rPr>
        <w:t>、</w:t>
      </w:r>
      <w:r>
        <w:rPr>
          <w:rFonts w:hint="eastAsia" w:ascii="宋体" w:hAnsi="宋体"/>
          <w:b/>
          <w:bCs/>
          <w:sz w:val="30"/>
        </w:rPr>
        <w:t>供应商认为需要提供的或评分办法要求提供的其他资料</w:t>
      </w:r>
    </w:p>
    <w:p w14:paraId="1270F730">
      <w:pPr>
        <w:pStyle w:val="113"/>
        <w:spacing w:after="156"/>
        <w:rPr>
          <w:rFonts w:hint="eastAsia" w:ascii="宋体" w:hAnsi="宋体"/>
          <w:sz w:val="24"/>
        </w:rPr>
      </w:pPr>
      <w:r>
        <w:rPr>
          <w:rFonts w:hint="eastAsia" w:ascii="宋体" w:hAnsi="宋体"/>
          <w:sz w:val="24"/>
        </w:rPr>
        <w:t>内容要求：</w:t>
      </w:r>
    </w:p>
    <w:p w14:paraId="12C79F2B">
      <w:pPr>
        <w:pStyle w:val="113"/>
        <w:spacing w:after="156"/>
        <w:ind w:firstLine="480" w:firstLineChars="200"/>
        <w:rPr>
          <w:rFonts w:hint="eastAsia" w:ascii="宋体" w:hAnsi="宋体"/>
          <w:sz w:val="24"/>
        </w:rPr>
      </w:pPr>
      <w:r>
        <w:rPr>
          <w:rFonts w:hint="eastAsia" w:ascii="宋体" w:hAnsi="宋体"/>
          <w:sz w:val="24"/>
        </w:rPr>
        <w:t>供应商须针对采购需求中有关章节的需求逐个作出实质性的响应，请按采购需求内容的顺序进行详细描述。</w:t>
      </w:r>
    </w:p>
    <w:p w14:paraId="0F31E6FA">
      <w:pPr>
        <w:pStyle w:val="113"/>
        <w:spacing w:after="156"/>
        <w:rPr>
          <w:rFonts w:hint="eastAsia" w:ascii="宋体" w:hAnsi="宋体"/>
          <w:sz w:val="24"/>
        </w:rPr>
      </w:pPr>
      <w:r>
        <w:rPr>
          <w:rFonts w:hint="eastAsia" w:ascii="宋体" w:hAnsi="宋体"/>
          <w:sz w:val="24"/>
        </w:rPr>
        <w:t>注：1.按第三章和第六章内容要求编制；</w:t>
      </w:r>
    </w:p>
    <w:p w14:paraId="0876BAB3">
      <w:pPr>
        <w:ind w:firstLine="465"/>
        <w:rPr>
          <w:rFonts w:hint="eastAsia" w:ascii="宋体" w:hAnsi="宋体" w:eastAsia="宋体"/>
          <w:sz w:val="24"/>
          <w:lang w:eastAsia="zh-CN"/>
        </w:rPr>
      </w:pPr>
      <w:r>
        <w:rPr>
          <w:rFonts w:ascii="宋体" w:hAnsi="宋体"/>
          <w:sz w:val="24"/>
        </w:rPr>
        <w:t>2.</w:t>
      </w:r>
      <w:r>
        <w:rPr>
          <w:rFonts w:hint="eastAsia" w:ascii="宋体" w:hAnsi="宋体"/>
          <w:sz w:val="24"/>
        </w:rPr>
        <w:t>格式自拟</w:t>
      </w:r>
      <w:r>
        <w:rPr>
          <w:rFonts w:hint="eastAsia" w:ascii="宋体" w:hAnsi="宋体"/>
          <w:sz w:val="24"/>
          <w:lang w:eastAsia="zh-CN"/>
        </w:rPr>
        <w:t>。</w:t>
      </w:r>
    </w:p>
    <w:p w14:paraId="3FDFA9F4">
      <w:pPr>
        <w:pStyle w:val="76"/>
        <w:spacing w:line="440" w:lineRule="exact"/>
        <w:ind w:firstLine="5320" w:firstLineChars="1900"/>
        <w:rPr>
          <w:rFonts w:hint="eastAsia" w:ascii="宋体" w:hAnsi="宋体"/>
          <w:spacing w:val="20"/>
          <w:sz w:val="24"/>
          <w:szCs w:val="21"/>
        </w:rPr>
      </w:pPr>
    </w:p>
    <w:p w14:paraId="624F3298">
      <w:pPr>
        <w:pStyle w:val="76"/>
        <w:spacing w:line="440" w:lineRule="exact"/>
        <w:ind w:firstLine="5320" w:firstLineChars="1900"/>
        <w:rPr>
          <w:rFonts w:hint="eastAsia" w:ascii="宋体" w:hAnsi="宋体"/>
          <w:spacing w:val="20"/>
          <w:sz w:val="24"/>
          <w:szCs w:val="21"/>
        </w:rPr>
      </w:pPr>
    </w:p>
    <w:p w14:paraId="4DE50924">
      <w:pPr>
        <w:pStyle w:val="76"/>
        <w:spacing w:line="440" w:lineRule="exact"/>
        <w:ind w:firstLine="5320" w:firstLineChars="1900"/>
        <w:rPr>
          <w:rFonts w:hint="eastAsia" w:ascii="宋体" w:hAnsi="宋体"/>
          <w:spacing w:val="20"/>
          <w:sz w:val="24"/>
          <w:szCs w:val="21"/>
          <w:u w:val="single"/>
        </w:rPr>
      </w:pPr>
      <w:r>
        <w:rPr>
          <w:rFonts w:hint="eastAsia" w:ascii="宋体" w:hAnsi="宋体"/>
          <w:spacing w:val="20"/>
          <w:sz w:val="24"/>
          <w:szCs w:val="21"/>
        </w:rPr>
        <w:t>供应商</w:t>
      </w:r>
      <w:r>
        <w:rPr>
          <w:rFonts w:ascii="宋体" w:hAnsi="宋体"/>
          <w:spacing w:val="20"/>
          <w:sz w:val="24"/>
          <w:szCs w:val="21"/>
        </w:rPr>
        <w:t>盖章：</w:t>
      </w:r>
      <w:r>
        <w:rPr>
          <w:rFonts w:ascii="宋体" w:hAnsi="宋体"/>
          <w:spacing w:val="20"/>
          <w:sz w:val="24"/>
          <w:szCs w:val="21"/>
          <w:u w:val="single"/>
        </w:rPr>
        <w:t xml:space="preserve">           </w:t>
      </w:r>
    </w:p>
    <w:p w14:paraId="669C990B">
      <w:pPr>
        <w:pStyle w:val="76"/>
        <w:spacing w:line="440" w:lineRule="exact"/>
        <w:ind w:firstLine="5320" w:firstLineChars="1900"/>
        <w:rPr>
          <w:rFonts w:hint="eastAsia" w:ascii="宋体" w:hAnsi="宋体"/>
          <w:spacing w:val="20"/>
          <w:sz w:val="24"/>
          <w:szCs w:val="21"/>
          <w:u w:val="single"/>
        </w:rPr>
      </w:pPr>
      <w:r>
        <w:rPr>
          <w:rFonts w:ascii="宋体" w:hAnsi="宋体"/>
          <w:spacing w:val="20"/>
          <w:sz w:val="24"/>
          <w:szCs w:val="21"/>
        </w:rPr>
        <w:t>日     期：</w:t>
      </w:r>
      <w:r>
        <w:rPr>
          <w:rFonts w:ascii="宋体" w:hAnsi="宋体"/>
          <w:spacing w:val="20"/>
          <w:sz w:val="24"/>
          <w:szCs w:val="21"/>
          <w:u w:val="single"/>
        </w:rPr>
        <w:t xml:space="preserve">           </w:t>
      </w:r>
    </w:p>
    <w:p w14:paraId="20A83B93">
      <w:pPr>
        <w:tabs>
          <w:tab w:val="left" w:pos="2355"/>
          <w:tab w:val="center" w:pos="4513"/>
        </w:tabs>
        <w:spacing w:line="360" w:lineRule="auto"/>
        <w:jc w:val="center"/>
        <w:rPr>
          <w:rFonts w:hint="eastAsia" w:hAnsi="宋体"/>
          <w:spacing w:val="20"/>
          <w:sz w:val="24"/>
          <w:u w:val="single"/>
        </w:rPr>
      </w:pPr>
      <w:r>
        <w:rPr>
          <w:rFonts w:ascii="宋体" w:hAnsi="宋体"/>
          <w:sz w:val="32"/>
        </w:rPr>
        <w:br w:type="page"/>
      </w:r>
    </w:p>
    <w:p w14:paraId="7CE1B70F">
      <w:pPr>
        <w:pStyle w:val="7"/>
        <w:tabs>
          <w:tab w:val="left" w:pos="3405"/>
        </w:tabs>
        <w:ind w:firstLine="321" w:firstLineChars="100"/>
        <w:jc w:val="center"/>
        <w:rPr>
          <w:rFonts w:hint="eastAsia" w:ascii="宋体" w:hAnsi="宋体"/>
          <w:sz w:val="32"/>
        </w:rPr>
      </w:pPr>
      <w:bookmarkStart w:id="408" w:name="_Toc9853"/>
      <w:bookmarkStart w:id="409" w:name="_Toc24749"/>
      <w:bookmarkStart w:id="410" w:name="_Toc94277261"/>
    </w:p>
    <w:p w14:paraId="2E472C4F">
      <w:pPr>
        <w:pStyle w:val="7"/>
        <w:tabs>
          <w:tab w:val="left" w:pos="3405"/>
        </w:tabs>
        <w:ind w:firstLine="321" w:firstLineChars="100"/>
        <w:jc w:val="center"/>
        <w:rPr>
          <w:rFonts w:hint="eastAsia" w:ascii="宋体" w:hAnsi="宋体"/>
          <w:sz w:val="32"/>
        </w:rPr>
      </w:pPr>
    </w:p>
    <w:p w14:paraId="7102448D">
      <w:pPr>
        <w:pStyle w:val="7"/>
        <w:tabs>
          <w:tab w:val="left" w:pos="3405"/>
        </w:tabs>
        <w:ind w:firstLine="321" w:firstLineChars="100"/>
        <w:jc w:val="center"/>
        <w:rPr>
          <w:rFonts w:hint="eastAsia" w:ascii="宋体" w:hAnsi="宋体"/>
          <w:sz w:val="32"/>
        </w:rPr>
      </w:pPr>
      <w:bookmarkStart w:id="411" w:name="_Toc5222"/>
      <w:bookmarkStart w:id="412" w:name="_Toc4294"/>
      <w:bookmarkStart w:id="413" w:name="_Toc18477"/>
      <w:r>
        <w:rPr>
          <w:rFonts w:hint="eastAsia" w:ascii="宋体" w:hAnsi="宋体"/>
          <w:sz w:val="32"/>
        </w:rPr>
        <w:t>三  报价文件格式</w:t>
      </w:r>
      <w:bookmarkEnd w:id="408"/>
      <w:bookmarkEnd w:id="409"/>
      <w:bookmarkEnd w:id="410"/>
      <w:bookmarkEnd w:id="411"/>
      <w:bookmarkEnd w:id="412"/>
      <w:bookmarkEnd w:id="413"/>
    </w:p>
    <w:p w14:paraId="7F0CC05E">
      <w:pPr>
        <w:rPr>
          <w:sz w:val="32"/>
        </w:rPr>
      </w:pPr>
      <w:r>
        <w:br w:type="page"/>
      </w:r>
    </w:p>
    <w:p w14:paraId="273CCCC3">
      <w:pPr>
        <w:spacing w:line="360" w:lineRule="auto"/>
        <w:jc w:val="center"/>
        <w:rPr>
          <w:rFonts w:hint="eastAsia" w:ascii="宋体" w:hAnsi="宋体"/>
          <w:b/>
          <w:sz w:val="30"/>
        </w:rPr>
      </w:pPr>
    </w:p>
    <w:p w14:paraId="62881CFE">
      <w:pPr>
        <w:spacing w:line="360" w:lineRule="auto"/>
        <w:jc w:val="center"/>
        <w:rPr>
          <w:rFonts w:hint="eastAsia" w:ascii="宋体" w:hAnsi="宋体"/>
          <w:b/>
          <w:sz w:val="32"/>
        </w:rPr>
      </w:pPr>
      <w:r>
        <w:rPr>
          <w:rFonts w:hint="eastAsia" w:ascii="宋体" w:hAnsi="宋体"/>
          <w:b/>
          <w:sz w:val="32"/>
        </w:rPr>
        <w:t>报价文件封面</w:t>
      </w:r>
    </w:p>
    <w:p w14:paraId="1ACD3968">
      <w:pPr>
        <w:pStyle w:val="11"/>
        <w:spacing w:line="360" w:lineRule="auto"/>
        <w:ind w:firstLine="900" w:firstLineChars="250"/>
        <w:rPr>
          <w:rFonts w:hint="eastAsia" w:ascii="宋体" w:hAnsi="宋体"/>
          <w:sz w:val="36"/>
        </w:rPr>
      </w:pPr>
    </w:p>
    <w:p w14:paraId="4E200B4B">
      <w:pPr>
        <w:pStyle w:val="11"/>
        <w:spacing w:line="360" w:lineRule="auto"/>
        <w:ind w:firstLine="900" w:firstLineChars="250"/>
        <w:rPr>
          <w:rFonts w:hint="eastAsia" w:ascii="宋体" w:hAnsi="宋体"/>
          <w:sz w:val="36"/>
        </w:rPr>
      </w:pPr>
    </w:p>
    <w:p w14:paraId="3E5E2525">
      <w:pPr>
        <w:pStyle w:val="11"/>
        <w:spacing w:line="360" w:lineRule="auto"/>
        <w:ind w:firstLine="900" w:firstLineChars="250"/>
        <w:rPr>
          <w:rFonts w:hint="eastAsia" w:ascii="宋体" w:hAnsi="宋体"/>
          <w:sz w:val="36"/>
        </w:rPr>
      </w:pPr>
      <w:r>
        <w:rPr>
          <w:rFonts w:ascii="宋体" w:hAnsi="宋体"/>
          <w:sz w:val="36"/>
        </w:rPr>
        <w:t>采购编号：</w:t>
      </w:r>
    </w:p>
    <w:p w14:paraId="3CC3E1AC">
      <w:pPr>
        <w:pStyle w:val="11"/>
        <w:spacing w:line="360" w:lineRule="auto"/>
        <w:ind w:firstLine="0"/>
        <w:rPr>
          <w:rFonts w:hint="eastAsia" w:ascii="宋体" w:hAnsi="宋体"/>
          <w:sz w:val="36"/>
        </w:rPr>
      </w:pPr>
    </w:p>
    <w:p w14:paraId="41B5462C">
      <w:pPr>
        <w:pStyle w:val="11"/>
        <w:spacing w:line="360" w:lineRule="auto"/>
        <w:ind w:firstLine="900" w:firstLineChars="250"/>
        <w:rPr>
          <w:rFonts w:hint="eastAsia" w:ascii="宋体" w:hAnsi="宋体"/>
          <w:sz w:val="36"/>
        </w:rPr>
      </w:pPr>
      <w:r>
        <w:rPr>
          <w:rFonts w:ascii="宋体" w:hAnsi="宋体"/>
          <w:sz w:val="36"/>
        </w:rPr>
        <w:t>项目名称：</w:t>
      </w:r>
    </w:p>
    <w:p w14:paraId="781049D3">
      <w:pPr>
        <w:pStyle w:val="11"/>
        <w:spacing w:line="360" w:lineRule="auto"/>
        <w:ind w:left="0" w:leftChars="0" w:firstLine="0" w:firstLineChars="0"/>
        <w:rPr>
          <w:rFonts w:hint="eastAsia" w:ascii="宋体" w:hAnsi="宋体"/>
          <w:sz w:val="36"/>
        </w:rPr>
      </w:pPr>
    </w:p>
    <w:p w14:paraId="23ED1792">
      <w:pPr>
        <w:pStyle w:val="11"/>
        <w:spacing w:line="360" w:lineRule="auto"/>
        <w:ind w:firstLine="900" w:firstLineChars="250"/>
        <w:rPr>
          <w:rFonts w:hint="eastAsia" w:ascii="宋体" w:hAnsi="宋体"/>
          <w:sz w:val="36"/>
        </w:rPr>
      </w:pPr>
      <w:r>
        <w:rPr>
          <w:rFonts w:hint="eastAsia" w:ascii="宋体" w:hAnsi="宋体"/>
          <w:sz w:val="36"/>
        </w:rPr>
        <w:t>响应</w:t>
      </w:r>
      <w:r>
        <w:rPr>
          <w:rFonts w:ascii="宋体" w:hAnsi="宋体"/>
          <w:sz w:val="36"/>
        </w:rPr>
        <w:t>文件名称：</w:t>
      </w:r>
      <w:r>
        <w:rPr>
          <w:rFonts w:hint="eastAsia" w:ascii="宋体" w:hAnsi="宋体"/>
          <w:sz w:val="36"/>
        </w:rPr>
        <w:t>报价文件</w:t>
      </w:r>
    </w:p>
    <w:p w14:paraId="59ADEF83">
      <w:pPr>
        <w:pStyle w:val="11"/>
        <w:spacing w:line="360" w:lineRule="auto"/>
        <w:ind w:firstLine="900" w:firstLineChars="250"/>
        <w:rPr>
          <w:rFonts w:hint="eastAsia" w:ascii="宋体" w:hAnsi="宋体"/>
          <w:sz w:val="36"/>
        </w:rPr>
      </w:pPr>
    </w:p>
    <w:p w14:paraId="00CA6CA1">
      <w:pPr>
        <w:pStyle w:val="11"/>
        <w:spacing w:line="360" w:lineRule="auto"/>
        <w:ind w:firstLine="900" w:firstLineChars="250"/>
        <w:rPr>
          <w:rFonts w:hint="eastAsia" w:ascii="宋体" w:hAnsi="宋体"/>
          <w:sz w:val="36"/>
        </w:rPr>
      </w:pPr>
      <w:r>
        <w:rPr>
          <w:rFonts w:hint="eastAsia" w:ascii="宋体" w:hAnsi="宋体"/>
          <w:sz w:val="36"/>
        </w:rPr>
        <w:t>供应商</w:t>
      </w:r>
      <w:r>
        <w:rPr>
          <w:rFonts w:ascii="宋体" w:hAnsi="宋体"/>
          <w:sz w:val="36"/>
        </w:rPr>
        <w:t>名称（</w:t>
      </w:r>
      <w:r>
        <w:rPr>
          <w:rFonts w:hint="eastAsia" w:ascii="宋体" w:hAnsi="宋体"/>
          <w:sz w:val="36"/>
        </w:rPr>
        <w:t>CA签章</w:t>
      </w:r>
      <w:r>
        <w:rPr>
          <w:rFonts w:ascii="宋体" w:hAnsi="宋体"/>
          <w:sz w:val="36"/>
        </w:rPr>
        <w:t>）：</w:t>
      </w:r>
    </w:p>
    <w:p w14:paraId="70B60F83">
      <w:pPr>
        <w:pStyle w:val="11"/>
        <w:spacing w:line="360" w:lineRule="auto"/>
        <w:ind w:firstLine="900" w:firstLineChars="250"/>
        <w:rPr>
          <w:rFonts w:hint="eastAsia" w:ascii="宋体" w:hAnsi="宋体"/>
          <w:sz w:val="36"/>
        </w:rPr>
      </w:pPr>
    </w:p>
    <w:p w14:paraId="137E092F">
      <w:pPr>
        <w:pStyle w:val="11"/>
        <w:spacing w:line="360" w:lineRule="auto"/>
        <w:ind w:firstLine="900" w:firstLineChars="250"/>
        <w:rPr>
          <w:rFonts w:hint="eastAsia" w:ascii="宋体" w:hAnsi="宋体"/>
          <w:sz w:val="36"/>
        </w:rPr>
      </w:pPr>
      <w:r>
        <w:rPr>
          <w:rFonts w:hint="eastAsia" w:ascii="宋体" w:hAnsi="宋体"/>
          <w:sz w:val="36"/>
        </w:rPr>
        <w:t>供应商</w:t>
      </w:r>
      <w:r>
        <w:rPr>
          <w:rFonts w:ascii="宋体" w:hAnsi="宋体"/>
          <w:sz w:val="36"/>
        </w:rPr>
        <w:t>地址：</w:t>
      </w:r>
    </w:p>
    <w:p w14:paraId="65330100">
      <w:pPr>
        <w:pStyle w:val="11"/>
        <w:ind w:firstLine="1440" w:firstLineChars="400"/>
        <w:rPr>
          <w:rFonts w:hint="eastAsia" w:ascii="宋体" w:hAnsi="宋体"/>
          <w:sz w:val="36"/>
        </w:rPr>
      </w:pPr>
    </w:p>
    <w:p w14:paraId="70BA4E4A">
      <w:pPr>
        <w:pStyle w:val="19"/>
        <w:spacing w:line="360" w:lineRule="auto"/>
        <w:ind w:firstLine="3480" w:firstLineChars="1450"/>
        <w:rPr>
          <w:rFonts w:hint="eastAsia" w:hAnsi="宋体"/>
          <w:sz w:val="24"/>
        </w:rPr>
      </w:pPr>
    </w:p>
    <w:p w14:paraId="365A5F4D">
      <w:pPr>
        <w:spacing w:line="360" w:lineRule="auto"/>
        <w:jc w:val="center"/>
        <w:rPr>
          <w:rFonts w:hint="eastAsia" w:ascii="宋体" w:hAnsi="宋体"/>
          <w:sz w:val="30"/>
        </w:rPr>
      </w:pPr>
    </w:p>
    <w:p w14:paraId="4406CE89">
      <w:pPr>
        <w:spacing w:line="360" w:lineRule="auto"/>
        <w:jc w:val="center"/>
        <w:rPr>
          <w:rFonts w:hint="eastAsia" w:ascii="宋体" w:hAnsi="宋体"/>
          <w:sz w:val="30"/>
        </w:rPr>
      </w:pPr>
      <w:r>
        <w:rPr>
          <w:rFonts w:ascii="宋体" w:hAnsi="宋体"/>
          <w:sz w:val="30"/>
        </w:rPr>
        <w:br w:type="page"/>
      </w:r>
      <w:r>
        <w:rPr>
          <w:rFonts w:hint="eastAsia" w:ascii="宋体" w:hAnsi="宋体"/>
          <w:sz w:val="30"/>
        </w:rPr>
        <w:t>1、报价书（开标一览表）</w:t>
      </w:r>
    </w:p>
    <w:p w14:paraId="542E3523">
      <w:pPr>
        <w:spacing w:line="360" w:lineRule="auto"/>
        <w:rPr>
          <w:rFonts w:hint="eastAsia" w:ascii="宋体" w:hAnsi="宋体"/>
          <w:spacing w:val="20"/>
          <w:sz w:val="24"/>
        </w:rPr>
      </w:pPr>
      <w:r>
        <w:rPr>
          <w:rFonts w:hint="eastAsia" w:ascii="宋体" w:hAnsi="宋体"/>
          <w:spacing w:val="20"/>
          <w:sz w:val="24"/>
        </w:rPr>
        <w:t>采购编号：</w:t>
      </w:r>
    </w:p>
    <w:p w14:paraId="0BB9519D">
      <w:pPr>
        <w:spacing w:line="360" w:lineRule="auto"/>
        <w:rPr>
          <w:rFonts w:hint="eastAsia" w:ascii="宋体" w:hAnsi="宋体"/>
          <w:spacing w:val="20"/>
          <w:sz w:val="24"/>
        </w:rPr>
      </w:pPr>
      <w:r>
        <w:rPr>
          <w:rFonts w:hint="eastAsia" w:ascii="宋体" w:hAnsi="宋体"/>
          <w:spacing w:val="20"/>
          <w:sz w:val="24"/>
        </w:rPr>
        <w:t>项目名称：</w:t>
      </w:r>
    </w:p>
    <w:p w14:paraId="5F7CBBF7">
      <w:pPr>
        <w:spacing w:line="360" w:lineRule="auto"/>
        <w:rPr>
          <w:rFonts w:hint="eastAsia" w:ascii="宋体" w:hAnsi="宋体"/>
          <w:spacing w:val="20"/>
          <w:szCs w:val="21"/>
        </w:rPr>
      </w:pPr>
      <w:r>
        <w:rPr>
          <w:rFonts w:ascii="宋体" w:hAnsi="宋体"/>
          <w:spacing w:val="20"/>
          <w:sz w:val="24"/>
        </w:rPr>
        <w:t xml:space="preserve">                                </w:t>
      </w:r>
      <w:r>
        <w:rPr>
          <w:rFonts w:hint="eastAsia" w:ascii="宋体" w:hAnsi="宋体"/>
          <w:spacing w:val="20"/>
          <w:sz w:val="24"/>
        </w:rPr>
        <w:t xml:space="preserve">     </w:t>
      </w:r>
      <w:r>
        <w:rPr>
          <w:rFonts w:ascii="宋体" w:hAnsi="宋体"/>
          <w:spacing w:val="20"/>
          <w:sz w:val="24"/>
        </w:rPr>
        <w:t xml:space="preserve"> </w:t>
      </w:r>
      <w:r>
        <w:rPr>
          <w:rFonts w:hint="eastAsia" w:ascii="宋体" w:hAnsi="宋体"/>
          <w:spacing w:val="20"/>
          <w:szCs w:val="21"/>
        </w:rPr>
        <w:t>单位:人民币元</w:t>
      </w:r>
    </w:p>
    <w:tbl>
      <w:tblPr>
        <w:tblStyle w:val="33"/>
        <w:tblW w:w="9297" w:type="dxa"/>
        <w:jc w:val="center"/>
        <w:tblBorders>
          <w:top w:val="double" w:color="000000" w:sz="6" w:space="0"/>
          <w:left w:val="double" w:color="000000" w:sz="6" w:space="0"/>
          <w:bottom w:val="double" w:color="000000" w:sz="6" w:space="0"/>
          <w:right w:val="double" w:color="000000" w:sz="6" w:space="0"/>
          <w:insideH w:val="none" w:color="auto" w:sz="0" w:space="0"/>
          <w:insideV w:val="none" w:color="auto" w:sz="0" w:space="0"/>
        </w:tblBorders>
        <w:tblLayout w:type="fixed"/>
        <w:tblCellMar>
          <w:top w:w="0" w:type="dxa"/>
          <w:left w:w="108" w:type="dxa"/>
          <w:bottom w:w="0" w:type="dxa"/>
          <w:right w:w="108" w:type="dxa"/>
        </w:tblCellMar>
      </w:tblPr>
      <w:tblGrid>
        <w:gridCol w:w="990"/>
        <w:gridCol w:w="3378"/>
        <w:gridCol w:w="4929"/>
      </w:tblGrid>
      <w:tr w14:paraId="47E47175">
        <w:tblPrEx>
          <w:tblBorders>
            <w:top w:val="double" w:color="000000" w:sz="6" w:space="0"/>
            <w:left w:val="double" w:color="000000" w:sz="6" w:space="0"/>
            <w:bottom w:val="double" w:color="000000" w:sz="6" w:space="0"/>
            <w:right w:val="double" w:color="000000" w:sz="6" w:space="0"/>
            <w:insideH w:val="none" w:color="auto" w:sz="0" w:space="0"/>
            <w:insideV w:val="none" w:color="auto" w:sz="0" w:space="0"/>
          </w:tblBorders>
          <w:tblCellMar>
            <w:top w:w="0" w:type="dxa"/>
            <w:left w:w="108" w:type="dxa"/>
            <w:bottom w:w="0" w:type="dxa"/>
            <w:right w:w="108" w:type="dxa"/>
          </w:tblCellMar>
        </w:tblPrEx>
        <w:trPr>
          <w:cantSplit/>
          <w:trHeight w:val="1134" w:hRule="atLeast"/>
          <w:jc w:val="center"/>
        </w:trPr>
        <w:tc>
          <w:tcPr>
            <w:tcW w:w="990" w:type="dxa"/>
            <w:tcBorders>
              <w:bottom w:val="single" w:color="000000" w:sz="6" w:space="0"/>
              <w:right w:val="single" w:color="auto" w:sz="4" w:space="0"/>
            </w:tcBorders>
            <w:vAlign w:val="center"/>
          </w:tcPr>
          <w:p w14:paraId="4F43DAF5">
            <w:pPr>
              <w:tabs>
                <w:tab w:val="left" w:pos="420"/>
                <w:tab w:val="center" w:pos="4153"/>
                <w:tab w:val="right" w:pos="8306"/>
              </w:tabs>
              <w:adjustRightInd w:val="0"/>
              <w:spacing w:line="360" w:lineRule="auto"/>
              <w:jc w:val="center"/>
              <w:rPr>
                <w:rFonts w:hint="eastAsia" w:ascii="宋体" w:hAnsi="宋体"/>
                <w:caps/>
                <w:spacing w:val="20"/>
                <w:kern w:val="0"/>
                <w:sz w:val="24"/>
              </w:rPr>
            </w:pPr>
            <w:r>
              <w:rPr>
                <w:rFonts w:hint="eastAsia" w:ascii="宋体" w:hAnsi="宋体"/>
                <w:caps/>
                <w:spacing w:val="20"/>
                <w:kern w:val="0"/>
                <w:sz w:val="24"/>
              </w:rPr>
              <w:t>序号</w:t>
            </w:r>
          </w:p>
        </w:tc>
        <w:tc>
          <w:tcPr>
            <w:tcW w:w="3378" w:type="dxa"/>
            <w:tcBorders>
              <w:left w:val="single" w:color="auto" w:sz="4" w:space="0"/>
              <w:bottom w:val="single" w:color="000000" w:sz="6" w:space="0"/>
              <w:right w:val="single" w:color="000000" w:sz="6" w:space="0"/>
            </w:tcBorders>
            <w:vAlign w:val="center"/>
          </w:tcPr>
          <w:p w14:paraId="7933B5E1">
            <w:pPr>
              <w:tabs>
                <w:tab w:val="left" w:pos="420"/>
                <w:tab w:val="center" w:pos="4153"/>
                <w:tab w:val="right" w:pos="8306"/>
              </w:tabs>
              <w:adjustRightInd w:val="0"/>
              <w:spacing w:line="360" w:lineRule="auto"/>
              <w:jc w:val="center"/>
              <w:rPr>
                <w:rFonts w:hint="eastAsia" w:ascii="宋体" w:hAnsi="宋体"/>
                <w:caps/>
                <w:spacing w:val="20"/>
                <w:kern w:val="0"/>
                <w:sz w:val="24"/>
              </w:rPr>
            </w:pPr>
            <w:r>
              <w:rPr>
                <w:rFonts w:hint="eastAsia" w:ascii="宋体" w:hAnsi="宋体"/>
                <w:caps/>
                <w:spacing w:val="20"/>
                <w:kern w:val="0"/>
                <w:sz w:val="24"/>
              </w:rPr>
              <w:t>项目名称</w:t>
            </w:r>
          </w:p>
        </w:tc>
        <w:tc>
          <w:tcPr>
            <w:tcW w:w="4929" w:type="dxa"/>
            <w:tcBorders>
              <w:left w:val="single" w:color="000000" w:sz="6" w:space="0"/>
              <w:bottom w:val="single" w:color="000000" w:sz="6" w:space="0"/>
            </w:tcBorders>
            <w:vAlign w:val="center"/>
          </w:tcPr>
          <w:p w14:paraId="4FD56083">
            <w:pPr>
              <w:spacing w:line="360" w:lineRule="auto"/>
              <w:jc w:val="center"/>
              <w:rPr>
                <w:rFonts w:hint="eastAsia" w:ascii="宋体" w:hAnsi="宋体"/>
                <w:caps/>
                <w:spacing w:val="20"/>
                <w:sz w:val="24"/>
              </w:rPr>
            </w:pPr>
            <w:r>
              <w:rPr>
                <w:rFonts w:hint="eastAsia" w:ascii="宋体" w:hAnsi="宋体"/>
                <w:caps/>
                <w:spacing w:val="20"/>
                <w:sz w:val="24"/>
              </w:rPr>
              <w:t>总报价</w:t>
            </w:r>
          </w:p>
        </w:tc>
      </w:tr>
      <w:tr w14:paraId="44038BFD">
        <w:tblPrEx>
          <w:tblBorders>
            <w:top w:val="double" w:color="000000" w:sz="6" w:space="0"/>
            <w:left w:val="double" w:color="000000" w:sz="6" w:space="0"/>
            <w:bottom w:val="double" w:color="000000" w:sz="6" w:space="0"/>
            <w:right w:val="double" w:color="000000" w:sz="6" w:space="0"/>
            <w:insideH w:val="none" w:color="auto" w:sz="0" w:space="0"/>
            <w:insideV w:val="none" w:color="auto" w:sz="0" w:space="0"/>
          </w:tblBorders>
          <w:tblCellMar>
            <w:top w:w="0" w:type="dxa"/>
            <w:left w:w="108" w:type="dxa"/>
            <w:bottom w:w="0" w:type="dxa"/>
            <w:right w:w="108" w:type="dxa"/>
          </w:tblCellMar>
        </w:tblPrEx>
        <w:trPr>
          <w:cantSplit/>
          <w:trHeight w:val="1186" w:hRule="atLeast"/>
          <w:jc w:val="center"/>
        </w:trPr>
        <w:tc>
          <w:tcPr>
            <w:tcW w:w="990" w:type="dxa"/>
            <w:tcBorders>
              <w:top w:val="single" w:color="000000" w:sz="6" w:space="0"/>
              <w:bottom w:val="single" w:color="000000" w:sz="6" w:space="0"/>
              <w:right w:val="single" w:color="auto" w:sz="4" w:space="0"/>
            </w:tcBorders>
            <w:vAlign w:val="center"/>
          </w:tcPr>
          <w:p w14:paraId="21E1769D">
            <w:pPr>
              <w:tabs>
                <w:tab w:val="left" w:pos="420"/>
                <w:tab w:val="center" w:pos="4153"/>
                <w:tab w:val="right" w:pos="8306"/>
              </w:tabs>
              <w:adjustRightInd w:val="0"/>
              <w:spacing w:line="360" w:lineRule="auto"/>
              <w:jc w:val="center"/>
              <w:rPr>
                <w:rFonts w:hint="eastAsia" w:ascii="宋体" w:hAnsi="宋体"/>
                <w:caps/>
                <w:spacing w:val="20"/>
                <w:kern w:val="0"/>
                <w:sz w:val="24"/>
              </w:rPr>
            </w:pPr>
            <w:r>
              <w:rPr>
                <w:rFonts w:hint="eastAsia" w:ascii="宋体" w:hAnsi="宋体"/>
                <w:caps/>
                <w:spacing w:val="20"/>
                <w:kern w:val="0"/>
                <w:sz w:val="24"/>
              </w:rPr>
              <w:t>1</w:t>
            </w:r>
          </w:p>
        </w:tc>
        <w:tc>
          <w:tcPr>
            <w:tcW w:w="3378" w:type="dxa"/>
            <w:tcBorders>
              <w:top w:val="single" w:color="000000" w:sz="6" w:space="0"/>
              <w:left w:val="single" w:color="auto" w:sz="4" w:space="0"/>
              <w:bottom w:val="single" w:color="000000" w:sz="6" w:space="0"/>
              <w:right w:val="single" w:color="000000" w:sz="6" w:space="0"/>
            </w:tcBorders>
            <w:vAlign w:val="center"/>
          </w:tcPr>
          <w:p w14:paraId="61902818">
            <w:pPr>
              <w:snapToGrid w:val="0"/>
              <w:spacing w:line="360" w:lineRule="auto"/>
              <w:jc w:val="center"/>
              <w:rPr>
                <w:rFonts w:hint="eastAsia" w:ascii="宋体" w:hAnsi="宋体" w:eastAsia="宋体"/>
                <w:caps/>
                <w:spacing w:val="20"/>
                <w:kern w:val="0"/>
                <w:sz w:val="24"/>
                <w:lang w:eastAsia="zh-CN"/>
              </w:rPr>
            </w:pPr>
            <w:r>
              <w:rPr>
                <w:rFonts w:hint="eastAsia" w:ascii="宋体" w:hAnsi="宋体" w:cs="Times New Roman"/>
                <w:caps/>
                <w:spacing w:val="20"/>
                <w:kern w:val="0"/>
                <w:sz w:val="24"/>
                <w:lang w:eastAsia="zh-CN"/>
              </w:rPr>
              <w:t>丽水市经常化创建全国县级文明城市第三方无感评估项目</w:t>
            </w:r>
          </w:p>
        </w:tc>
        <w:tc>
          <w:tcPr>
            <w:tcW w:w="4929" w:type="dxa"/>
            <w:tcBorders>
              <w:top w:val="single" w:color="000000" w:sz="6" w:space="0"/>
              <w:left w:val="single" w:color="000000" w:sz="6" w:space="0"/>
              <w:bottom w:val="single" w:color="000000" w:sz="6" w:space="0"/>
            </w:tcBorders>
            <w:vAlign w:val="center"/>
          </w:tcPr>
          <w:p w14:paraId="725F105C">
            <w:pPr>
              <w:spacing w:line="360" w:lineRule="auto"/>
              <w:rPr>
                <w:rFonts w:hint="eastAsia" w:ascii="宋体" w:hAnsi="宋体"/>
                <w:spacing w:val="20"/>
                <w:sz w:val="24"/>
              </w:rPr>
            </w:pPr>
            <w:r>
              <w:rPr>
                <w:rFonts w:hint="eastAsia" w:ascii="宋体" w:hAnsi="宋体"/>
                <w:spacing w:val="20"/>
                <w:sz w:val="24"/>
              </w:rPr>
              <w:t>大写               （¥       ）</w:t>
            </w:r>
          </w:p>
        </w:tc>
      </w:tr>
    </w:tbl>
    <w:p w14:paraId="571E3868">
      <w:pPr>
        <w:pStyle w:val="15"/>
      </w:pPr>
    </w:p>
    <w:p w14:paraId="3D66E345">
      <w:pPr>
        <w:spacing w:line="360" w:lineRule="auto"/>
        <w:rPr>
          <w:rFonts w:hint="eastAsia" w:ascii="宋体" w:hAnsi="宋体"/>
          <w:spacing w:val="20"/>
          <w:sz w:val="24"/>
        </w:rPr>
      </w:pPr>
      <w:r>
        <w:rPr>
          <w:rFonts w:hint="eastAsia" w:ascii="宋体" w:hAnsi="宋体"/>
          <w:spacing w:val="20"/>
          <w:sz w:val="24"/>
        </w:rPr>
        <w:t xml:space="preserve">               </w:t>
      </w:r>
      <w:r>
        <w:rPr>
          <w:rFonts w:hint="eastAsia" w:ascii="宋体" w:hAnsi="宋体"/>
          <w:b/>
          <w:spacing w:val="20"/>
          <w:sz w:val="24"/>
        </w:rPr>
        <w:t xml:space="preserve"> </w:t>
      </w:r>
      <w:r>
        <w:rPr>
          <w:rFonts w:hint="eastAsia" w:ascii="宋体" w:hAnsi="宋体"/>
          <w:spacing w:val="20"/>
          <w:sz w:val="24"/>
        </w:rPr>
        <w:t xml:space="preserve">                            </w:t>
      </w:r>
    </w:p>
    <w:p w14:paraId="2F29A0B7">
      <w:pPr>
        <w:spacing w:line="360" w:lineRule="auto"/>
        <w:ind w:firstLine="482" w:firstLineChars="200"/>
        <w:rPr>
          <w:rFonts w:hint="eastAsia" w:ascii="宋体" w:hAnsi="宋体"/>
          <w:b/>
          <w:bCs/>
          <w:sz w:val="24"/>
        </w:rPr>
      </w:pPr>
      <w:r>
        <w:rPr>
          <w:rFonts w:hint="eastAsia" w:ascii="宋体" w:hAnsi="宋体"/>
          <w:b/>
          <w:bCs/>
          <w:sz w:val="24"/>
        </w:rPr>
        <w:t>注：</w:t>
      </w:r>
    </w:p>
    <w:p w14:paraId="6B074D5E">
      <w:pPr>
        <w:numPr>
          <w:ilvl w:val="0"/>
          <w:numId w:val="0"/>
        </w:numPr>
        <w:spacing w:line="360" w:lineRule="auto"/>
        <w:ind w:firstLine="562" w:firstLineChars="200"/>
        <w:rPr>
          <w:rFonts w:hint="eastAsia" w:ascii="宋体" w:hAnsi="宋体"/>
          <w:b/>
          <w:spacing w:val="20"/>
          <w:sz w:val="24"/>
          <w:highlight w:val="yellow"/>
        </w:rPr>
      </w:pPr>
      <w:r>
        <w:rPr>
          <w:rFonts w:hint="eastAsia" w:ascii="宋体" w:hAnsi="宋体"/>
          <w:b/>
          <w:spacing w:val="20"/>
          <w:sz w:val="24"/>
        </w:rPr>
        <w:t>1、</w:t>
      </w:r>
      <w:r>
        <w:rPr>
          <w:rFonts w:hint="eastAsia" w:ascii="宋体" w:hAnsi="宋体" w:cs="Times New Roman"/>
          <w:b/>
          <w:sz w:val="24"/>
        </w:rPr>
        <w:t>供应商的磋商报价应包含人工费，服务费、物料费、利润、税费等各项费用及不可预见费等所需的一切费用。</w:t>
      </w:r>
    </w:p>
    <w:p w14:paraId="122FF488">
      <w:pPr>
        <w:spacing w:line="360" w:lineRule="auto"/>
        <w:ind w:firstLine="480" w:firstLineChars="200"/>
        <w:rPr>
          <w:rFonts w:hint="eastAsia" w:ascii="宋体" w:hAnsi="宋体"/>
          <w:sz w:val="24"/>
        </w:rPr>
      </w:pPr>
      <w:r>
        <w:rPr>
          <w:rFonts w:hint="eastAsia" w:ascii="宋体" w:hAnsi="宋体"/>
          <w:sz w:val="24"/>
        </w:rPr>
        <w:t>▲</w:t>
      </w:r>
      <w:r>
        <w:rPr>
          <w:rFonts w:hint="eastAsia" w:ascii="宋体" w:hAnsi="宋体"/>
          <w:b/>
          <w:sz w:val="24"/>
        </w:rPr>
        <w:t>2、最终报价高于最高限价的作无效标处理。</w:t>
      </w:r>
    </w:p>
    <w:p w14:paraId="54C4AFBD">
      <w:pPr>
        <w:spacing w:line="360" w:lineRule="auto"/>
        <w:ind w:firstLine="562" w:firstLineChars="200"/>
        <w:rPr>
          <w:rFonts w:hint="eastAsia" w:ascii="宋体" w:hAnsi="宋体"/>
          <w:b/>
          <w:spacing w:val="20"/>
          <w:sz w:val="24"/>
        </w:rPr>
      </w:pPr>
    </w:p>
    <w:p w14:paraId="1896D78E">
      <w:pPr>
        <w:pStyle w:val="19"/>
        <w:spacing w:line="440" w:lineRule="exact"/>
        <w:jc w:val="left"/>
        <w:rPr>
          <w:rFonts w:hint="eastAsia" w:hAnsi="宋体"/>
          <w:spacing w:val="20"/>
          <w:sz w:val="24"/>
        </w:rPr>
      </w:pPr>
    </w:p>
    <w:p w14:paraId="6DD819A8">
      <w:pPr>
        <w:pStyle w:val="19"/>
        <w:spacing w:line="440" w:lineRule="exact"/>
        <w:ind w:firstLine="2520" w:firstLineChars="900"/>
        <w:rPr>
          <w:rFonts w:hint="eastAsia" w:hAnsi="宋体"/>
          <w:spacing w:val="20"/>
          <w:sz w:val="24"/>
        </w:rPr>
      </w:pPr>
    </w:p>
    <w:p w14:paraId="165D2F48">
      <w:pPr>
        <w:pStyle w:val="19"/>
        <w:spacing w:line="440" w:lineRule="exact"/>
        <w:rPr>
          <w:rFonts w:hint="eastAsia" w:hAnsi="宋体"/>
          <w:spacing w:val="20"/>
          <w:sz w:val="24"/>
        </w:rPr>
      </w:pPr>
    </w:p>
    <w:p w14:paraId="0FEB8A57">
      <w:pPr>
        <w:spacing w:line="360" w:lineRule="auto"/>
        <w:jc w:val="center"/>
        <w:rPr>
          <w:rFonts w:hint="eastAsia" w:ascii="宋体" w:hAnsi="宋体" w:cs="宋体"/>
          <w:sz w:val="30"/>
        </w:rPr>
      </w:pPr>
      <w:r>
        <w:rPr>
          <w:rFonts w:ascii="宋体" w:hAnsi="宋体"/>
          <w:sz w:val="30"/>
        </w:rPr>
        <w:br w:type="page"/>
      </w:r>
      <w:r>
        <w:rPr>
          <w:rFonts w:hint="eastAsia" w:ascii="宋体" w:hAnsi="宋体" w:cs="宋体"/>
          <w:sz w:val="30"/>
        </w:rPr>
        <w:t>2、分项报价表</w:t>
      </w:r>
    </w:p>
    <w:p w14:paraId="5A26F363">
      <w:pPr>
        <w:spacing w:line="360" w:lineRule="auto"/>
        <w:rPr>
          <w:rFonts w:hint="eastAsia" w:ascii="宋体" w:hAnsi="宋体" w:cs="宋体"/>
          <w:spacing w:val="20"/>
          <w:sz w:val="24"/>
        </w:rPr>
      </w:pPr>
    </w:p>
    <w:p w14:paraId="2353F741">
      <w:pPr>
        <w:spacing w:line="360" w:lineRule="auto"/>
        <w:rPr>
          <w:rFonts w:hint="eastAsia" w:ascii="宋体" w:hAnsi="宋体" w:cs="宋体"/>
          <w:spacing w:val="20"/>
          <w:sz w:val="24"/>
        </w:rPr>
      </w:pPr>
      <w:r>
        <w:rPr>
          <w:rFonts w:hint="eastAsia" w:ascii="宋体" w:hAnsi="宋体" w:cs="宋体"/>
          <w:spacing w:val="20"/>
          <w:sz w:val="24"/>
        </w:rPr>
        <w:t>采购编号：</w:t>
      </w:r>
    </w:p>
    <w:p w14:paraId="67414DBB">
      <w:pPr>
        <w:spacing w:line="360" w:lineRule="auto"/>
        <w:jc w:val="left"/>
        <w:rPr>
          <w:rFonts w:hint="eastAsia" w:ascii="宋体" w:hAnsi="宋体" w:cs="宋体"/>
          <w:spacing w:val="20"/>
          <w:sz w:val="24"/>
        </w:rPr>
      </w:pPr>
      <w:r>
        <w:rPr>
          <w:rFonts w:hint="eastAsia" w:ascii="宋体" w:hAnsi="宋体" w:cs="宋体"/>
          <w:spacing w:val="20"/>
          <w:sz w:val="24"/>
        </w:rPr>
        <w:t>项目名称：                                 报价单位：人民币元</w:t>
      </w:r>
    </w:p>
    <w:p w14:paraId="4F4FE5F6">
      <w:pPr>
        <w:pStyle w:val="11"/>
        <w:rPr>
          <w:rFonts w:hint="eastAsia" w:ascii="宋体" w:hAnsi="宋体" w:cs="宋体"/>
          <w:spacing w:val="20"/>
          <w:sz w:val="24"/>
        </w:rPr>
      </w:pPr>
    </w:p>
    <w:p w14:paraId="4735DED7">
      <w:pPr>
        <w:pStyle w:val="3"/>
        <w:rPr>
          <w:rFonts w:hint="eastAsia" w:ascii="宋体" w:hAnsi="宋体" w:cs="宋体"/>
        </w:rPr>
      </w:pPr>
    </w:p>
    <w:p w14:paraId="78B2BB17">
      <w:pPr>
        <w:jc w:val="center"/>
        <w:rPr>
          <w:rFonts w:hint="eastAsia" w:ascii="宋体" w:hAnsi="宋体" w:cs="宋体"/>
          <w:sz w:val="24"/>
        </w:rPr>
      </w:pPr>
    </w:p>
    <w:p w14:paraId="7BC04B27">
      <w:pPr>
        <w:jc w:val="center"/>
        <w:rPr>
          <w:rFonts w:hint="eastAsia" w:ascii="宋体" w:hAnsi="宋体" w:cs="宋体"/>
          <w:sz w:val="24"/>
        </w:rPr>
      </w:pPr>
      <w:r>
        <w:rPr>
          <w:rFonts w:hint="eastAsia" w:ascii="宋体" w:hAnsi="宋体" w:cs="宋体"/>
          <w:sz w:val="24"/>
        </w:rPr>
        <w:t>格式自拟</w:t>
      </w:r>
    </w:p>
    <w:p w14:paraId="1B10034B">
      <w:pPr>
        <w:pStyle w:val="11"/>
        <w:rPr>
          <w:rFonts w:hint="eastAsia" w:ascii="宋体" w:hAnsi="宋体" w:cs="宋体"/>
          <w:sz w:val="24"/>
        </w:rPr>
      </w:pPr>
    </w:p>
    <w:p w14:paraId="505B0BEB">
      <w:pPr>
        <w:pStyle w:val="3"/>
        <w:rPr>
          <w:rFonts w:hint="eastAsia" w:ascii="宋体" w:hAnsi="宋体" w:cs="宋体"/>
          <w:sz w:val="24"/>
        </w:rPr>
      </w:pPr>
    </w:p>
    <w:p w14:paraId="4FE50EA3">
      <w:pPr>
        <w:pStyle w:val="11"/>
        <w:rPr>
          <w:rFonts w:hint="eastAsia" w:ascii="宋体" w:hAnsi="宋体" w:cs="宋体"/>
          <w:sz w:val="24"/>
        </w:rPr>
      </w:pPr>
    </w:p>
    <w:p w14:paraId="216F5C02">
      <w:pPr>
        <w:pStyle w:val="3"/>
        <w:rPr>
          <w:rFonts w:hint="eastAsia" w:ascii="宋体" w:hAnsi="宋体" w:cs="宋体"/>
        </w:rPr>
      </w:pPr>
    </w:p>
    <w:p w14:paraId="48297591">
      <w:pPr>
        <w:spacing w:line="360" w:lineRule="auto"/>
        <w:rPr>
          <w:rFonts w:hint="eastAsia" w:ascii="宋体" w:hAnsi="宋体" w:cs="宋体"/>
          <w:sz w:val="24"/>
        </w:rPr>
      </w:pPr>
      <w:r>
        <w:rPr>
          <w:rFonts w:hint="eastAsia" w:ascii="宋体" w:hAnsi="宋体" w:cs="宋体"/>
          <w:sz w:val="24"/>
        </w:rPr>
        <w:t>要求：</w:t>
      </w:r>
    </w:p>
    <w:p w14:paraId="79902865">
      <w:pPr>
        <w:spacing w:line="360" w:lineRule="auto"/>
        <w:ind w:firstLine="472" w:firstLineChars="196"/>
        <w:rPr>
          <w:rFonts w:hint="eastAsia" w:ascii="宋体" w:hAnsi="宋体" w:cs="宋体"/>
          <w:b/>
          <w:sz w:val="24"/>
        </w:rPr>
      </w:pPr>
      <w:r>
        <w:rPr>
          <w:rFonts w:hint="eastAsia" w:ascii="宋体" w:hAnsi="宋体" w:cs="宋体"/>
          <w:b/>
          <w:sz w:val="24"/>
        </w:rPr>
        <w:t>▲1. 各单项报价不得为0，否则作无效标处理；</w:t>
      </w:r>
    </w:p>
    <w:p w14:paraId="2A6A9A09">
      <w:pPr>
        <w:numPr>
          <w:ilvl w:val="0"/>
          <w:numId w:val="5"/>
        </w:numPr>
        <w:spacing w:line="360" w:lineRule="auto"/>
        <w:ind w:firstLine="720" w:firstLineChars="300"/>
        <w:rPr>
          <w:rFonts w:hint="eastAsia" w:ascii="宋体" w:hAnsi="宋体" w:cs="宋体"/>
          <w:sz w:val="24"/>
          <w:highlight w:val="none"/>
        </w:rPr>
      </w:pPr>
      <w:r>
        <w:rPr>
          <w:rFonts w:hint="eastAsia" w:ascii="宋体" w:hAnsi="宋体" w:cs="宋体"/>
          <w:sz w:val="24"/>
          <w:highlight w:val="none"/>
        </w:rPr>
        <w:t>报价应</w:t>
      </w:r>
      <w:r>
        <w:rPr>
          <w:rFonts w:hint="eastAsia" w:ascii="宋体" w:hAnsi="宋体" w:cs="宋体"/>
          <w:sz w:val="24"/>
        </w:rPr>
        <w:t>包含人工费，服务费、物料费、利润、税费等各项费用及不可预见费等所需的一切费用。</w:t>
      </w:r>
    </w:p>
    <w:p w14:paraId="56A4221C">
      <w:pPr>
        <w:numPr>
          <w:ilvl w:val="0"/>
          <w:numId w:val="5"/>
        </w:numPr>
        <w:spacing w:line="360" w:lineRule="auto"/>
        <w:ind w:firstLine="720" w:firstLineChars="300"/>
        <w:rPr>
          <w:rFonts w:hint="eastAsia" w:ascii="宋体" w:hAnsi="宋体" w:cs="宋体"/>
          <w:sz w:val="24"/>
        </w:rPr>
      </w:pPr>
      <w:r>
        <w:rPr>
          <w:rFonts w:hint="eastAsia" w:ascii="宋体" w:hAnsi="宋体" w:cs="宋体"/>
          <w:sz w:val="24"/>
        </w:rPr>
        <w:t>分项报价的总计金额必须与开标一览表报价相同。</w:t>
      </w:r>
    </w:p>
    <w:p w14:paraId="71BD7A04">
      <w:pPr>
        <w:widowControl/>
        <w:spacing w:line="480" w:lineRule="auto"/>
        <w:rPr>
          <w:rFonts w:hint="eastAsia" w:ascii="宋体" w:hAnsi="宋体" w:cs="宋体"/>
        </w:rPr>
      </w:pPr>
    </w:p>
    <w:p w14:paraId="0CFED03C">
      <w:pPr>
        <w:widowControl/>
        <w:spacing w:line="480" w:lineRule="auto"/>
        <w:rPr>
          <w:rFonts w:hint="eastAsia" w:ascii="宋体" w:hAnsi="宋体" w:cs="宋体"/>
        </w:rPr>
      </w:pPr>
    </w:p>
    <w:p w14:paraId="26874D1D">
      <w:pPr>
        <w:widowControl/>
        <w:spacing w:line="480" w:lineRule="auto"/>
        <w:rPr>
          <w:rFonts w:hint="eastAsia" w:ascii="宋体" w:hAnsi="宋体" w:cs="宋体"/>
        </w:rPr>
      </w:pPr>
    </w:p>
    <w:p w14:paraId="2FA617AB">
      <w:pPr>
        <w:pStyle w:val="76"/>
        <w:spacing w:line="440" w:lineRule="exact"/>
        <w:ind w:firstLine="5320" w:firstLineChars="1900"/>
        <w:rPr>
          <w:rFonts w:hint="eastAsia" w:ascii="宋体" w:hAnsi="宋体" w:cs="宋体"/>
          <w:spacing w:val="20"/>
          <w:sz w:val="24"/>
          <w:szCs w:val="21"/>
          <w:u w:val="single"/>
        </w:rPr>
      </w:pPr>
      <w:r>
        <w:rPr>
          <w:rFonts w:hint="eastAsia" w:ascii="宋体" w:hAnsi="宋体" w:cs="宋体"/>
          <w:spacing w:val="20"/>
          <w:sz w:val="24"/>
          <w:szCs w:val="21"/>
        </w:rPr>
        <w:t>供应商盖章：</w:t>
      </w:r>
      <w:r>
        <w:rPr>
          <w:rFonts w:hint="eastAsia" w:ascii="宋体" w:hAnsi="宋体" w:cs="宋体"/>
          <w:spacing w:val="20"/>
          <w:sz w:val="24"/>
          <w:szCs w:val="21"/>
          <w:u w:val="single"/>
        </w:rPr>
        <w:t xml:space="preserve">           </w:t>
      </w:r>
    </w:p>
    <w:p w14:paraId="11E6D590">
      <w:pPr>
        <w:pStyle w:val="76"/>
        <w:spacing w:line="440" w:lineRule="exact"/>
        <w:ind w:firstLine="5320" w:firstLineChars="1900"/>
        <w:rPr>
          <w:rFonts w:hint="eastAsia" w:ascii="宋体" w:hAnsi="宋体" w:cs="宋体"/>
          <w:spacing w:val="20"/>
          <w:sz w:val="24"/>
          <w:szCs w:val="21"/>
          <w:u w:val="single"/>
        </w:rPr>
      </w:pPr>
      <w:r>
        <w:rPr>
          <w:rFonts w:hint="eastAsia" w:ascii="宋体" w:hAnsi="宋体" w:cs="宋体"/>
          <w:spacing w:val="20"/>
          <w:sz w:val="24"/>
          <w:szCs w:val="21"/>
        </w:rPr>
        <w:t>日     期：</w:t>
      </w:r>
      <w:r>
        <w:rPr>
          <w:rFonts w:hint="eastAsia" w:ascii="宋体" w:hAnsi="宋体" w:cs="宋体"/>
          <w:spacing w:val="20"/>
          <w:sz w:val="24"/>
          <w:szCs w:val="21"/>
          <w:u w:val="single"/>
        </w:rPr>
        <w:t xml:space="preserve">           </w:t>
      </w:r>
    </w:p>
    <w:p w14:paraId="5F9BB201">
      <w:pPr>
        <w:spacing w:line="360" w:lineRule="auto"/>
        <w:ind w:firstLine="720" w:firstLineChars="300"/>
        <w:rPr>
          <w:rFonts w:hint="eastAsia" w:hAnsi="宋体"/>
          <w:sz w:val="24"/>
        </w:rPr>
      </w:pPr>
    </w:p>
    <w:p w14:paraId="7308AF25">
      <w:pPr>
        <w:widowControl/>
        <w:spacing w:line="480" w:lineRule="auto"/>
        <w:jc w:val="center"/>
        <w:rPr>
          <w:rFonts w:hint="eastAsia" w:ascii="宋体" w:hAnsi="宋体"/>
          <w:b/>
          <w:sz w:val="30"/>
        </w:rPr>
      </w:pPr>
    </w:p>
    <w:p w14:paraId="2F341607">
      <w:pPr>
        <w:widowControl/>
        <w:spacing w:line="480" w:lineRule="auto"/>
        <w:jc w:val="center"/>
        <w:rPr>
          <w:rFonts w:hint="eastAsia" w:ascii="宋体" w:hAnsi="宋体"/>
          <w:b/>
          <w:sz w:val="30"/>
        </w:rPr>
      </w:pPr>
    </w:p>
    <w:p w14:paraId="7C3DE07B">
      <w:pPr>
        <w:widowControl/>
        <w:spacing w:line="480" w:lineRule="auto"/>
        <w:jc w:val="center"/>
        <w:rPr>
          <w:rFonts w:hint="eastAsia" w:ascii="宋体" w:hAnsi="宋体"/>
          <w:b/>
          <w:sz w:val="30"/>
        </w:rPr>
      </w:pPr>
    </w:p>
    <w:p w14:paraId="6CD9DBFF">
      <w:pPr>
        <w:widowControl/>
        <w:spacing w:line="480" w:lineRule="auto"/>
        <w:jc w:val="center"/>
        <w:rPr>
          <w:rFonts w:hint="eastAsia" w:ascii="宋体" w:hAnsi="宋体"/>
          <w:b/>
          <w:sz w:val="30"/>
        </w:rPr>
      </w:pPr>
    </w:p>
    <w:p w14:paraId="7CD9B5A7">
      <w:pPr>
        <w:widowControl/>
        <w:spacing w:line="480" w:lineRule="auto"/>
        <w:jc w:val="center"/>
        <w:rPr>
          <w:rFonts w:hint="eastAsia" w:ascii="宋体" w:hAnsi="宋体"/>
          <w:b/>
          <w:sz w:val="30"/>
        </w:rPr>
      </w:pPr>
    </w:p>
    <w:p w14:paraId="471AB6C9">
      <w:pPr>
        <w:pStyle w:val="7"/>
        <w:ind w:firstLine="600"/>
        <w:jc w:val="center"/>
        <w:rPr>
          <w:rFonts w:hint="eastAsia" w:ascii="宋体" w:hAnsi="宋体"/>
          <w:b w:val="0"/>
          <w:bCs w:val="0"/>
        </w:rPr>
      </w:pPr>
      <w:bookmarkStart w:id="414" w:name="_Toc432670427"/>
      <w:bookmarkStart w:id="415" w:name="_Toc94277262"/>
      <w:bookmarkStart w:id="416" w:name="_Toc15677"/>
      <w:bookmarkStart w:id="417" w:name="_Toc5209"/>
      <w:bookmarkStart w:id="418" w:name="_Toc19461"/>
      <w:bookmarkStart w:id="419" w:name="_Toc441763635"/>
      <w:bookmarkStart w:id="420" w:name="_Toc15639"/>
      <w:bookmarkStart w:id="421" w:name="_Toc1613"/>
      <w:r>
        <w:rPr>
          <w:rFonts w:hint="eastAsia" w:ascii="宋体" w:hAnsi="宋体"/>
          <w:b w:val="0"/>
          <w:bCs w:val="0"/>
        </w:rPr>
        <w:t xml:space="preserve">四  </w:t>
      </w:r>
      <w:bookmarkEnd w:id="414"/>
      <w:r>
        <w:rPr>
          <w:rFonts w:hint="eastAsia" w:ascii="宋体" w:hAnsi="宋体"/>
          <w:b w:val="0"/>
          <w:bCs w:val="0"/>
        </w:rPr>
        <w:t>成交人公告内容</w:t>
      </w:r>
      <w:bookmarkEnd w:id="415"/>
      <w:bookmarkEnd w:id="416"/>
      <w:bookmarkEnd w:id="417"/>
      <w:bookmarkEnd w:id="418"/>
      <w:bookmarkEnd w:id="419"/>
      <w:bookmarkEnd w:id="420"/>
      <w:bookmarkEnd w:id="421"/>
    </w:p>
    <w:p w14:paraId="66E3253E">
      <w:pPr>
        <w:spacing w:line="360" w:lineRule="auto"/>
        <w:rPr>
          <w:rFonts w:hint="eastAsia" w:ascii="宋体" w:hAnsi="宋体"/>
          <w:spacing w:val="20"/>
          <w:sz w:val="24"/>
        </w:rPr>
      </w:pPr>
      <w:r>
        <w:rPr>
          <w:rFonts w:hint="eastAsia" w:ascii="宋体" w:hAnsi="宋体"/>
          <w:spacing w:val="20"/>
          <w:sz w:val="24"/>
        </w:rPr>
        <w:t>采购项目：</w:t>
      </w:r>
    </w:p>
    <w:p w14:paraId="3318AEC4">
      <w:pPr>
        <w:spacing w:line="360" w:lineRule="auto"/>
        <w:rPr>
          <w:rFonts w:hint="eastAsia" w:ascii="宋体" w:hAnsi="宋体"/>
          <w:sz w:val="24"/>
          <w:szCs w:val="28"/>
        </w:rPr>
      </w:pPr>
      <w:r>
        <w:rPr>
          <w:rFonts w:hint="eastAsia" w:ascii="宋体" w:hAnsi="宋体"/>
          <w:spacing w:val="20"/>
          <w:sz w:val="24"/>
        </w:rPr>
        <w:t>采购编号</w:t>
      </w:r>
      <w:r>
        <w:rPr>
          <w:rFonts w:hint="eastAsia" w:ascii="宋体" w:hAnsi="宋体"/>
          <w:sz w:val="24"/>
          <w:szCs w:val="28"/>
        </w:rPr>
        <w:t>：</w:t>
      </w:r>
      <w:r>
        <w:rPr>
          <w:rFonts w:hint="eastAsia" w:ascii="宋体" w:hAnsi="宋体"/>
          <w:spacing w:val="20"/>
          <w:sz w:val="24"/>
        </w:rPr>
        <w:t xml:space="preserve">                    </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10"/>
        <w:gridCol w:w="1249"/>
        <w:gridCol w:w="1164"/>
        <w:gridCol w:w="2109"/>
        <w:gridCol w:w="2410"/>
      </w:tblGrid>
      <w:tr w14:paraId="3A6F21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0" w:type="dxa"/>
            <w:tcBorders>
              <w:top w:val="single" w:color="auto" w:sz="4" w:space="0"/>
              <w:left w:val="single" w:color="auto" w:sz="4" w:space="0"/>
              <w:bottom w:val="single" w:color="auto" w:sz="4" w:space="0"/>
              <w:right w:val="single" w:color="auto" w:sz="4" w:space="0"/>
            </w:tcBorders>
            <w:vAlign w:val="center"/>
          </w:tcPr>
          <w:p w14:paraId="54F5569D">
            <w:pPr>
              <w:spacing w:line="360" w:lineRule="auto"/>
              <w:jc w:val="center"/>
              <w:rPr>
                <w:rFonts w:hint="eastAsia" w:ascii="宋体" w:hAnsi="宋体" w:cs="宋体"/>
                <w:spacing w:val="20"/>
                <w:sz w:val="24"/>
              </w:rPr>
            </w:pPr>
            <w:r>
              <w:rPr>
                <w:rFonts w:hint="eastAsia" w:ascii="宋体" w:hAnsi="宋体" w:cs="宋体"/>
                <w:spacing w:val="20"/>
                <w:sz w:val="24"/>
              </w:rPr>
              <w:t>成交人名称</w:t>
            </w:r>
          </w:p>
        </w:tc>
        <w:tc>
          <w:tcPr>
            <w:tcW w:w="2413" w:type="dxa"/>
            <w:gridSpan w:val="2"/>
            <w:tcBorders>
              <w:top w:val="single" w:color="auto" w:sz="4" w:space="0"/>
              <w:left w:val="single" w:color="auto" w:sz="4" w:space="0"/>
              <w:bottom w:val="single" w:color="auto" w:sz="4" w:space="0"/>
              <w:right w:val="single" w:color="auto" w:sz="4" w:space="0"/>
            </w:tcBorders>
            <w:vAlign w:val="center"/>
          </w:tcPr>
          <w:p w14:paraId="6308B4D4">
            <w:pPr>
              <w:spacing w:line="360" w:lineRule="auto"/>
              <w:jc w:val="center"/>
              <w:rPr>
                <w:rFonts w:hint="eastAsia" w:ascii="宋体" w:hAnsi="宋体" w:cs="宋体"/>
                <w:spacing w:val="20"/>
                <w:sz w:val="24"/>
              </w:rPr>
            </w:pPr>
          </w:p>
        </w:tc>
        <w:tc>
          <w:tcPr>
            <w:tcW w:w="2109" w:type="dxa"/>
            <w:tcBorders>
              <w:top w:val="single" w:color="auto" w:sz="4" w:space="0"/>
              <w:left w:val="single" w:color="auto" w:sz="4" w:space="0"/>
              <w:bottom w:val="single" w:color="auto" w:sz="4" w:space="0"/>
              <w:right w:val="single" w:color="auto" w:sz="4" w:space="0"/>
            </w:tcBorders>
            <w:vAlign w:val="center"/>
          </w:tcPr>
          <w:p w14:paraId="600E0327">
            <w:pPr>
              <w:spacing w:line="360" w:lineRule="auto"/>
              <w:jc w:val="center"/>
              <w:rPr>
                <w:rFonts w:hint="eastAsia" w:ascii="宋体" w:hAnsi="宋体" w:cs="宋体"/>
                <w:spacing w:val="20"/>
                <w:sz w:val="24"/>
              </w:rPr>
            </w:pPr>
            <w:r>
              <w:rPr>
                <w:rFonts w:hint="eastAsia" w:ascii="宋体" w:hAnsi="宋体" w:cs="宋体"/>
                <w:spacing w:val="20"/>
                <w:sz w:val="24"/>
              </w:rPr>
              <w:t>成交人负责人</w:t>
            </w:r>
          </w:p>
        </w:tc>
        <w:tc>
          <w:tcPr>
            <w:tcW w:w="2410" w:type="dxa"/>
            <w:tcBorders>
              <w:top w:val="single" w:color="auto" w:sz="4" w:space="0"/>
              <w:left w:val="single" w:color="auto" w:sz="4" w:space="0"/>
              <w:bottom w:val="single" w:color="auto" w:sz="4" w:space="0"/>
              <w:right w:val="single" w:color="auto" w:sz="4" w:space="0"/>
            </w:tcBorders>
            <w:vAlign w:val="center"/>
          </w:tcPr>
          <w:p w14:paraId="149BDCB7">
            <w:pPr>
              <w:spacing w:line="360" w:lineRule="auto"/>
              <w:jc w:val="center"/>
              <w:rPr>
                <w:rFonts w:hint="eastAsia" w:ascii="宋体" w:hAnsi="宋体" w:cs="宋体"/>
                <w:spacing w:val="20"/>
                <w:sz w:val="24"/>
              </w:rPr>
            </w:pPr>
          </w:p>
        </w:tc>
      </w:tr>
      <w:tr w14:paraId="41E079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0" w:type="dxa"/>
            <w:tcBorders>
              <w:top w:val="single" w:color="auto" w:sz="4" w:space="0"/>
              <w:left w:val="single" w:color="auto" w:sz="4" w:space="0"/>
              <w:bottom w:val="single" w:color="auto" w:sz="4" w:space="0"/>
              <w:right w:val="single" w:color="auto" w:sz="4" w:space="0"/>
            </w:tcBorders>
            <w:vAlign w:val="center"/>
          </w:tcPr>
          <w:p w14:paraId="5460A2B0">
            <w:pPr>
              <w:spacing w:line="360" w:lineRule="auto"/>
              <w:jc w:val="center"/>
              <w:rPr>
                <w:rFonts w:hint="eastAsia" w:ascii="宋体" w:hAnsi="宋体" w:cs="宋体"/>
                <w:spacing w:val="20"/>
                <w:sz w:val="24"/>
              </w:rPr>
            </w:pPr>
            <w:r>
              <w:rPr>
                <w:rFonts w:hint="eastAsia" w:ascii="宋体" w:hAnsi="宋体" w:cs="宋体"/>
                <w:spacing w:val="20"/>
                <w:sz w:val="24"/>
              </w:rPr>
              <w:t>成交人地址</w:t>
            </w:r>
          </w:p>
        </w:tc>
        <w:tc>
          <w:tcPr>
            <w:tcW w:w="6932" w:type="dxa"/>
            <w:gridSpan w:val="4"/>
            <w:tcBorders>
              <w:top w:val="single" w:color="auto" w:sz="4" w:space="0"/>
              <w:left w:val="single" w:color="auto" w:sz="4" w:space="0"/>
              <w:bottom w:val="single" w:color="auto" w:sz="4" w:space="0"/>
              <w:right w:val="single" w:color="auto" w:sz="4" w:space="0"/>
            </w:tcBorders>
            <w:vAlign w:val="center"/>
          </w:tcPr>
          <w:p w14:paraId="1A4E1DF8">
            <w:pPr>
              <w:spacing w:line="360" w:lineRule="auto"/>
              <w:jc w:val="center"/>
              <w:rPr>
                <w:rFonts w:hint="eastAsia" w:ascii="宋体" w:hAnsi="宋体" w:cs="宋体"/>
                <w:spacing w:val="20"/>
                <w:sz w:val="24"/>
              </w:rPr>
            </w:pPr>
          </w:p>
        </w:tc>
      </w:tr>
      <w:tr w14:paraId="3AB6B2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42" w:type="dxa"/>
            <w:gridSpan w:val="5"/>
            <w:tcBorders>
              <w:top w:val="single" w:color="auto" w:sz="4" w:space="0"/>
              <w:left w:val="single" w:color="auto" w:sz="4" w:space="0"/>
              <w:bottom w:val="single" w:color="auto" w:sz="4" w:space="0"/>
              <w:right w:val="single" w:color="auto" w:sz="4" w:space="0"/>
            </w:tcBorders>
            <w:vAlign w:val="center"/>
          </w:tcPr>
          <w:p w14:paraId="5B9D4040">
            <w:pPr>
              <w:spacing w:line="360" w:lineRule="auto"/>
              <w:jc w:val="center"/>
              <w:rPr>
                <w:rFonts w:hint="eastAsia" w:ascii="宋体" w:hAnsi="宋体" w:cs="宋体"/>
                <w:spacing w:val="20"/>
                <w:sz w:val="24"/>
              </w:rPr>
            </w:pPr>
            <w:r>
              <w:rPr>
                <w:rFonts w:hint="eastAsia" w:ascii="宋体" w:hAnsi="宋体" w:cs="宋体"/>
                <w:spacing w:val="20"/>
                <w:sz w:val="24"/>
              </w:rPr>
              <w:t xml:space="preserve"> 成交标的</w:t>
            </w:r>
          </w:p>
        </w:tc>
      </w:tr>
      <w:tr w14:paraId="5AD70F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0" w:type="dxa"/>
            <w:tcBorders>
              <w:top w:val="single" w:color="auto" w:sz="4" w:space="0"/>
              <w:left w:val="single" w:color="auto" w:sz="4" w:space="0"/>
              <w:bottom w:val="single" w:color="auto" w:sz="4" w:space="0"/>
              <w:right w:val="single" w:color="auto" w:sz="4" w:space="0"/>
            </w:tcBorders>
            <w:vAlign w:val="center"/>
          </w:tcPr>
          <w:p w14:paraId="0DD9EF59">
            <w:pPr>
              <w:spacing w:line="360" w:lineRule="auto"/>
              <w:jc w:val="center"/>
              <w:rPr>
                <w:rFonts w:hint="eastAsia" w:ascii="宋体" w:hAnsi="宋体" w:cs="宋体"/>
                <w:spacing w:val="20"/>
                <w:sz w:val="24"/>
              </w:rPr>
            </w:pPr>
            <w:r>
              <w:rPr>
                <w:rFonts w:hint="eastAsia" w:ascii="宋体" w:hAnsi="宋体" w:cs="宋体"/>
                <w:spacing w:val="20"/>
                <w:sz w:val="24"/>
              </w:rPr>
              <w:t>服务内容</w:t>
            </w:r>
          </w:p>
        </w:tc>
        <w:tc>
          <w:tcPr>
            <w:tcW w:w="1249" w:type="dxa"/>
            <w:tcBorders>
              <w:top w:val="single" w:color="auto" w:sz="4" w:space="0"/>
              <w:left w:val="single" w:color="auto" w:sz="4" w:space="0"/>
              <w:bottom w:val="single" w:color="auto" w:sz="4" w:space="0"/>
              <w:right w:val="single" w:color="auto" w:sz="4" w:space="0"/>
            </w:tcBorders>
            <w:vAlign w:val="center"/>
          </w:tcPr>
          <w:p w14:paraId="7CBFF382">
            <w:pPr>
              <w:spacing w:line="360" w:lineRule="auto"/>
              <w:jc w:val="center"/>
              <w:rPr>
                <w:rFonts w:hint="eastAsia" w:ascii="宋体" w:hAnsi="宋体" w:cs="宋体"/>
                <w:spacing w:val="20"/>
                <w:sz w:val="24"/>
              </w:rPr>
            </w:pPr>
            <w:r>
              <w:rPr>
                <w:rFonts w:hint="eastAsia" w:ascii="宋体" w:hAnsi="宋体" w:cs="宋体"/>
                <w:spacing w:val="20"/>
                <w:sz w:val="24"/>
              </w:rPr>
              <w:t>单位</w:t>
            </w:r>
          </w:p>
        </w:tc>
        <w:tc>
          <w:tcPr>
            <w:tcW w:w="1164" w:type="dxa"/>
            <w:tcBorders>
              <w:top w:val="single" w:color="auto" w:sz="4" w:space="0"/>
              <w:left w:val="single" w:color="auto" w:sz="4" w:space="0"/>
              <w:bottom w:val="single" w:color="auto" w:sz="4" w:space="0"/>
              <w:right w:val="single" w:color="auto" w:sz="4" w:space="0"/>
            </w:tcBorders>
            <w:vAlign w:val="center"/>
          </w:tcPr>
          <w:p w14:paraId="6AEDBBAF">
            <w:pPr>
              <w:spacing w:line="360" w:lineRule="auto"/>
              <w:jc w:val="center"/>
              <w:rPr>
                <w:rFonts w:hint="eastAsia" w:ascii="宋体" w:hAnsi="宋体" w:cs="宋体"/>
                <w:spacing w:val="20"/>
                <w:sz w:val="24"/>
              </w:rPr>
            </w:pPr>
            <w:r>
              <w:rPr>
                <w:rFonts w:hint="eastAsia" w:ascii="宋体" w:hAnsi="宋体" w:cs="宋体"/>
                <w:spacing w:val="20"/>
                <w:sz w:val="24"/>
              </w:rPr>
              <w:t>数量</w:t>
            </w:r>
          </w:p>
        </w:tc>
        <w:tc>
          <w:tcPr>
            <w:tcW w:w="2109" w:type="dxa"/>
            <w:tcBorders>
              <w:top w:val="single" w:color="auto" w:sz="4" w:space="0"/>
              <w:left w:val="single" w:color="auto" w:sz="4" w:space="0"/>
              <w:bottom w:val="single" w:color="auto" w:sz="4" w:space="0"/>
              <w:right w:val="single" w:color="auto" w:sz="4" w:space="0"/>
            </w:tcBorders>
            <w:vAlign w:val="center"/>
          </w:tcPr>
          <w:p w14:paraId="3D461359">
            <w:pPr>
              <w:spacing w:line="360" w:lineRule="auto"/>
              <w:jc w:val="center"/>
              <w:rPr>
                <w:rFonts w:hint="eastAsia" w:ascii="宋体" w:hAnsi="宋体" w:cs="宋体"/>
                <w:spacing w:val="20"/>
                <w:sz w:val="24"/>
              </w:rPr>
            </w:pPr>
            <w:r>
              <w:rPr>
                <w:rFonts w:hint="eastAsia" w:ascii="宋体" w:hAnsi="宋体" w:cs="宋体"/>
                <w:spacing w:val="20"/>
                <w:sz w:val="24"/>
              </w:rPr>
              <w:t>单价</w:t>
            </w:r>
          </w:p>
        </w:tc>
        <w:tc>
          <w:tcPr>
            <w:tcW w:w="2410" w:type="dxa"/>
            <w:tcBorders>
              <w:top w:val="single" w:color="auto" w:sz="4" w:space="0"/>
              <w:left w:val="single" w:color="auto" w:sz="4" w:space="0"/>
              <w:bottom w:val="single" w:color="auto" w:sz="4" w:space="0"/>
              <w:right w:val="single" w:color="auto" w:sz="4" w:space="0"/>
            </w:tcBorders>
            <w:vAlign w:val="center"/>
          </w:tcPr>
          <w:p w14:paraId="44611107">
            <w:pPr>
              <w:spacing w:line="360" w:lineRule="auto"/>
              <w:jc w:val="center"/>
              <w:rPr>
                <w:rFonts w:hint="eastAsia" w:ascii="宋体" w:hAnsi="宋体" w:cs="宋体"/>
                <w:spacing w:val="20"/>
                <w:sz w:val="24"/>
              </w:rPr>
            </w:pPr>
            <w:r>
              <w:rPr>
                <w:rFonts w:hint="eastAsia" w:ascii="宋体" w:hAnsi="宋体" w:cs="宋体"/>
                <w:spacing w:val="20"/>
                <w:sz w:val="24"/>
              </w:rPr>
              <w:t>总价</w:t>
            </w:r>
          </w:p>
        </w:tc>
      </w:tr>
      <w:tr w14:paraId="030844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0" w:type="dxa"/>
            <w:tcBorders>
              <w:top w:val="single" w:color="auto" w:sz="4" w:space="0"/>
              <w:left w:val="single" w:color="auto" w:sz="4" w:space="0"/>
              <w:bottom w:val="single" w:color="auto" w:sz="4" w:space="0"/>
              <w:right w:val="single" w:color="auto" w:sz="4" w:space="0"/>
            </w:tcBorders>
            <w:vAlign w:val="center"/>
          </w:tcPr>
          <w:p w14:paraId="07714F64">
            <w:pPr>
              <w:spacing w:line="360" w:lineRule="auto"/>
              <w:jc w:val="center"/>
              <w:rPr>
                <w:rFonts w:hint="eastAsia" w:ascii="宋体" w:hAnsi="宋体" w:cs="宋体"/>
                <w:spacing w:val="20"/>
                <w:sz w:val="24"/>
              </w:rPr>
            </w:pPr>
          </w:p>
        </w:tc>
        <w:tc>
          <w:tcPr>
            <w:tcW w:w="1249" w:type="dxa"/>
            <w:tcBorders>
              <w:top w:val="single" w:color="auto" w:sz="4" w:space="0"/>
              <w:left w:val="single" w:color="auto" w:sz="4" w:space="0"/>
              <w:bottom w:val="single" w:color="auto" w:sz="4" w:space="0"/>
              <w:right w:val="single" w:color="auto" w:sz="4" w:space="0"/>
            </w:tcBorders>
            <w:vAlign w:val="center"/>
          </w:tcPr>
          <w:p w14:paraId="20FF5ED6">
            <w:pPr>
              <w:spacing w:line="360" w:lineRule="auto"/>
              <w:jc w:val="center"/>
              <w:rPr>
                <w:rFonts w:hint="eastAsia" w:ascii="宋体" w:hAnsi="宋体" w:cs="宋体"/>
                <w:spacing w:val="20"/>
                <w:sz w:val="24"/>
              </w:rPr>
            </w:pPr>
          </w:p>
        </w:tc>
        <w:tc>
          <w:tcPr>
            <w:tcW w:w="1164" w:type="dxa"/>
            <w:tcBorders>
              <w:top w:val="single" w:color="auto" w:sz="4" w:space="0"/>
              <w:left w:val="single" w:color="auto" w:sz="4" w:space="0"/>
              <w:bottom w:val="single" w:color="auto" w:sz="4" w:space="0"/>
              <w:right w:val="single" w:color="auto" w:sz="4" w:space="0"/>
            </w:tcBorders>
            <w:vAlign w:val="center"/>
          </w:tcPr>
          <w:p w14:paraId="7FE5F15C">
            <w:pPr>
              <w:spacing w:line="360" w:lineRule="auto"/>
              <w:jc w:val="center"/>
              <w:rPr>
                <w:rFonts w:hint="eastAsia" w:ascii="宋体" w:hAnsi="宋体" w:cs="宋体"/>
                <w:spacing w:val="20"/>
                <w:sz w:val="24"/>
              </w:rPr>
            </w:pPr>
          </w:p>
        </w:tc>
        <w:tc>
          <w:tcPr>
            <w:tcW w:w="2109" w:type="dxa"/>
            <w:tcBorders>
              <w:top w:val="single" w:color="auto" w:sz="4" w:space="0"/>
              <w:left w:val="single" w:color="auto" w:sz="4" w:space="0"/>
              <w:bottom w:val="single" w:color="auto" w:sz="4" w:space="0"/>
              <w:right w:val="single" w:color="auto" w:sz="4" w:space="0"/>
            </w:tcBorders>
            <w:vAlign w:val="center"/>
          </w:tcPr>
          <w:p w14:paraId="33694A69">
            <w:pPr>
              <w:spacing w:line="360" w:lineRule="auto"/>
              <w:jc w:val="center"/>
              <w:rPr>
                <w:rFonts w:hint="eastAsia" w:ascii="宋体" w:hAnsi="宋体" w:cs="宋体"/>
                <w:spacing w:val="20"/>
                <w:sz w:val="24"/>
              </w:rPr>
            </w:pPr>
          </w:p>
        </w:tc>
        <w:tc>
          <w:tcPr>
            <w:tcW w:w="2410" w:type="dxa"/>
            <w:tcBorders>
              <w:top w:val="single" w:color="auto" w:sz="4" w:space="0"/>
              <w:left w:val="single" w:color="auto" w:sz="4" w:space="0"/>
              <w:bottom w:val="single" w:color="auto" w:sz="4" w:space="0"/>
              <w:right w:val="single" w:color="auto" w:sz="4" w:space="0"/>
            </w:tcBorders>
            <w:vAlign w:val="center"/>
          </w:tcPr>
          <w:p w14:paraId="69587EE0">
            <w:pPr>
              <w:spacing w:line="360" w:lineRule="auto"/>
              <w:jc w:val="center"/>
              <w:rPr>
                <w:rFonts w:hint="eastAsia" w:ascii="宋体" w:hAnsi="宋体" w:cs="宋体"/>
                <w:spacing w:val="20"/>
                <w:sz w:val="24"/>
              </w:rPr>
            </w:pPr>
          </w:p>
        </w:tc>
      </w:tr>
      <w:tr w14:paraId="16AB6C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0" w:type="dxa"/>
            <w:tcBorders>
              <w:top w:val="single" w:color="auto" w:sz="4" w:space="0"/>
              <w:left w:val="single" w:color="auto" w:sz="4" w:space="0"/>
              <w:bottom w:val="single" w:color="auto" w:sz="4" w:space="0"/>
              <w:right w:val="single" w:color="auto" w:sz="4" w:space="0"/>
            </w:tcBorders>
          </w:tcPr>
          <w:p w14:paraId="6F31DBAC">
            <w:pPr>
              <w:spacing w:line="360" w:lineRule="auto"/>
              <w:rPr>
                <w:rFonts w:hint="eastAsia" w:ascii="宋体" w:hAnsi="宋体" w:cs="宋体"/>
                <w:spacing w:val="20"/>
                <w:sz w:val="24"/>
              </w:rPr>
            </w:pPr>
          </w:p>
        </w:tc>
        <w:tc>
          <w:tcPr>
            <w:tcW w:w="1249" w:type="dxa"/>
            <w:tcBorders>
              <w:top w:val="single" w:color="auto" w:sz="4" w:space="0"/>
              <w:left w:val="single" w:color="auto" w:sz="4" w:space="0"/>
              <w:bottom w:val="single" w:color="auto" w:sz="4" w:space="0"/>
              <w:right w:val="single" w:color="auto" w:sz="4" w:space="0"/>
            </w:tcBorders>
          </w:tcPr>
          <w:p w14:paraId="66C5462D">
            <w:pPr>
              <w:spacing w:line="360" w:lineRule="auto"/>
              <w:rPr>
                <w:rFonts w:hint="eastAsia" w:ascii="宋体" w:hAnsi="宋体" w:cs="宋体"/>
                <w:spacing w:val="20"/>
                <w:sz w:val="24"/>
              </w:rPr>
            </w:pPr>
          </w:p>
        </w:tc>
        <w:tc>
          <w:tcPr>
            <w:tcW w:w="1164" w:type="dxa"/>
            <w:tcBorders>
              <w:top w:val="single" w:color="auto" w:sz="4" w:space="0"/>
              <w:left w:val="single" w:color="auto" w:sz="4" w:space="0"/>
              <w:bottom w:val="single" w:color="auto" w:sz="4" w:space="0"/>
              <w:right w:val="single" w:color="auto" w:sz="4" w:space="0"/>
            </w:tcBorders>
          </w:tcPr>
          <w:p w14:paraId="39222475">
            <w:pPr>
              <w:spacing w:line="360" w:lineRule="auto"/>
              <w:rPr>
                <w:rFonts w:hint="eastAsia" w:ascii="宋体" w:hAnsi="宋体" w:cs="宋体"/>
                <w:spacing w:val="20"/>
                <w:sz w:val="24"/>
              </w:rPr>
            </w:pPr>
          </w:p>
        </w:tc>
        <w:tc>
          <w:tcPr>
            <w:tcW w:w="2109" w:type="dxa"/>
            <w:tcBorders>
              <w:top w:val="single" w:color="auto" w:sz="4" w:space="0"/>
              <w:left w:val="single" w:color="auto" w:sz="4" w:space="0"/>
              <w:bottom w:val="single" w:color="auto" w:sz="4" w:space="0"/>
              <w:right w:val="single" w:color="auto" w:sz="4" w:space="0"/>
            </w:tcBorders>
          </w:tcPr>
          <w:p w14:paraId="6DDD7CDC">
            <w:pPr>
              <w:spacing w:line="360" w:lineRule="auto"/>
              <w:rPr>
                <w:rFonts w:hint="eastAsia" w:ascii="宋体" w:hAnsi="宋体" w:cs="宋体"/>
                <w:spacing w:val="20"/>
                <w:sz w:val="24"/>
              </w:rPr>
            </w:pPr>
          </w:p>
        </w:tc>
        <w:tc>
          <w:tcPr>
            <w:tcW w:w="2410" w:type="dxa"/>
            <w:tcBorders>
              <w:top w:val="single" w:color="auto" w:sz="4" w:space="0"/>
              <w:left w:val="single" w:color="auto" w:sz="4" w:space="0"/>
              <w:bottom w:val="single" w:color="auto" w:sz="4" w:space="0"/>
              <w:right w:val="single" w:color="auto" w:sz="4" w:space="0"/>
            </w:tcBorders>
          </w:tcPr>
          <w:p w14:paraId="650BF463">
            <w:pPr>
              <w:spacing w:line="360" w:lineRule="auto"/>
              <w:rPr>
                <w:rFonts w:hint="eastAsia" w:ascii="宋体" w:hAnsi="宋体" w:cs="宋体"/>
                <w:spacing w:val="20"/>
                <w:sz w:val="24"/>
              </w:rPr>
            </w:pPr>
          </w:p>
        </w:tc>
      </w:tr>
      <w:tr w14:paraId="716B4A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0" w:type="dxa"/>
            <w:tcBorders>
              <w:top w:val="single" w:color="auto" w:sz="4" w:space="0"/>
              <w:left w:val="single" w:color="auto" w:sz="4" w:space="0"/>
              <w:bottom w:val="single" w:color="auto" w:sz="4" w:space="0"/>
              <w:right w:val="single" w:color="auto" w:sz="4" w:space="0"/>
            </w:tcBorders>
          </w:tcPr>
          <w:p w14:paraId="496F6CD4">
            <w:pPr>
              <w:spacing w:line="360" w:lineRule="auto"/>
              <w:rPr>
                <w:rFonts w:hint="eastAsia" w:ascii="宋体" w:hAnsi="宋体" w:cs="宋体"/>
                <w:spacing w:val="20"/>
                <w:sz w:val="24"/>
              </w:rPr>
            </w:pPr>
          </w:p>
        </w:tc>
        <w:tc>
          <w:tcPr>
            <w:tcW w:w="1249" w:type="dxa"/>
            <w:tcBorders>
              <w:top w:val="single" w:color="auto" w:sz="4" w:space="0"/>
              <w:left w:val="single" w:color="auto" w:sz="4" w:space="0"/>
              <w:bottom w:val="single" w:color="auto" w:sz="4" w:space="0"/>
              <w:right w:val="single" w:color="auto" w:sz="4" w:space="0"/>
            </w:tcBorders>
          </w:tcPr>
          <w:p w14:paraId="52AEEF89">
            <w:pPr>
              <w:spacing w:line="360" w:lineRule="auto"/>
              <w:rPr>
                <w:rFonts w:hint="eastAsia" w:ascii="宋体" w:hAnsi="宋体" w:cs="宋体"/>
                <w:spacing w:val="20"/>
                <w:sz w:val="24"/>
              </w:rPr>
            </w:pPr>
          </w:p>
        </w:tc>
        <w:tc>
          <w:tcPr>
            <w:tcW w:w="1164" w:type="dxa"/>
            <w:tcBorders>
              <w:top w:val="single" w:color="auto" w:sz="4" w:space="0"/>
              <w:left w:val="single" w:color="auto" w:sz="4" w:space="0"/>
              <w:bottom w:val="single" w:color="auto" w:sz="4" w:space="0"/>
              <w:right w:val="single" w:color="auto" w:sz="4" w:space="0"/>
            </w:tcBorders>
          </w:tcPr>
          <w:p w14:paraId="1C28318A">
            <w:pPr>
              <w:spacing w:line="360" w:lineRule="auto"/>
              <w:rPr>
                <w:rFonts w:hint="eastAsia" w:ascii="宋体" w:hAnsi="宋体" w:cs="宋体"/>
                <w:spacing w:val="20"/>
                <w:sz w:val="24"/>
              </w:rPr>
            </w:pPr>
          </w:p>
        </w:tc>
        <w:tc>
          <w:tcPr>
            <w:tcW w:w="2109" w:type="dxa"/>
            <w:tcBorders>
              <w:top w:val="single" w:color="auto" w:sz="4" w:space="0"/>
              <w:left w:val="single" w:color="auto" w:sz="4" w:space="0"/>
              <w:bottom w:val="single" w:color="auto" w:sz="4" w:space="0"/>
              <w:right w:val="single" w:color="auto" w:sz="4" w:space="0"/>
            </w:tcBorders>
          </w:tcPr>
          <w:p w14:paraId="4D013BA5">
            <w:pPr>
              <w:spacing w:line="360" w:lineRule="auto"/>
              <w:rPr>
                <w:rFonts w:hint="eastAsia" w:ascii="宋体" w:hAnsi="宋体" w:cs="宋体"/>
                <w:spacing w:val="20"/>
                <w:sz w:val="24"/>
              </w:rPr>
            </w:pPr>
          </w:p>
        </w:tc>
        <w:tc>
          <w:tcPr>
            <w:tcW w:w="2410" w:type="dxa"/>
            <w:tcBorders>
              <w:top w:val="single" w:color="auto" w:sz="4" w:space="0"/>
              <w:left w:val="single" w:color="auto" w:sz="4" w:space="0"/>
              <w:bottom w:val="single" w:color="auto" w:sz="4" w:space="0"/>
              <w:right w:val="single" w:color="auto" w:sz="4" w:space="0"/>
            </w:tcBorders>
          </w:tcPr>
          <w:p w14:paraId="435A11D7">
            <w:pPr>
              <w:spacing w:line="360" w:lineRule="auto"/>
              <w:rPr>
                <w:rFonts w:hint="eastAsia" w:ascii="宋体" w:hAnsi="宋体" w:cs="宋体"/>
                <w:spacing w:val="20"/>
                <w:sz w:val="24"/>
              </w:rPr>
            </w:pPr>
          </w:p>
        </w:tc>
      </w:tr>
      <w:tr w14:paraId="0FBE94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0" w:type="dxa"/>
            <w:tcBorders>
              <w:top w:val="single" w:color="auto" w:sz="4" w:space="0"/>
              <w:left w:val="single" w:color="auto" w:sz="4" w:space="0"/>
              <w:bottom w:val="single" w:color="auto" w:sz="4" w:space="0"/>
              <w:right w:val="single" w:color="auto" w:sz="4" w:space="0"/>
            </w:tcBorders>
          </w:tcPr>
          <w:p w14:paraId="3C0F87EE">
            <w:pPr>
              <w:spacing w:line="360" w:lineRule="auto"/>
              <w:rPr>
                <w:rFonts w:hint="eastAsia" w:ascii="宋体" w:hAnsi="宋体" w:cs="宋体"/>
                <w:spacing w:val="20"/>
                <w:sz w:val="24"/>
              </w:rPr>
            </w:pPr>
          </w:p>
        </w:tc>
        <w:tc>
          <w:tcPr>
            <w:tcW w:w="1249" w:type="dxa"/>
            <w:tcBorders>
              <w:top w:val="single" w:color="auto" w:sz="4" w:space="0"/>
              <w:left w:val="single" w:color="auto" w:sz="4" w:space="0"/>
              <w:bottom w:val="single" w:color="auto" w:sz="4" w:space="0"/>
              <w:right w:val="single" w:color="auto" w:sz="4" w:space="0"/>
            </w:tcBorders>
          </w:tcPr>
          <w:p w14:paraId="3ADE826A">
            <w:pPr>
              <w:spacing w:line="360" w:lineRule="auto"/>
              <w:rPr>
                <w:rFonts w:hint="eastAsia" w:ascii="宋体" w:hAnsi="宋体" w:cs="宋体"/>
                <w:spacing w:val="20"/>
                <w:sz w:val="24"/>
              </w:rPr>
            </w:pPr>
          </w:p>
        </w:tc>
        <w:tc>
          <w:tcPr>
            <w:tcW w:w="1164" w:type="dxa"/>
            <w:tcBorders>
              <w:top w:val="single" w:color="auto" w:sz="4" w:space="0"/>
              <w:left w:val="single" w:color="auto" w:sz="4" w:space="0"/>
              <w:bottom w:val="single" w:color="auto" w:sz="4" w:space="0"/>
              <w:right w:val="single" w:color="auto" w:sz="4" w:space="0"/>
            </w:tcBorders>
          </w:tcPr>
          <w:p w14:paraId="053DE4E4">
            <w:pPr>
              <w:spacing w:line="360" w:lineRule="auto"/>
              <w:rPr>
                <w:rFonts w:hint="eastAsia" w:ascii="宋体" w:hAnsi="宋体" w:cs="宋体"/>
                <w:spacing w:val="20"/>
                <w:sz w:val="24"/>
              </w:rPr>
            </w:pPr>
          </w:p>
        </w:tc>
        <w:tc>
          <w:tcPr>
            <w:tcW w:w="2109" w:type="dxa"/>
            <w:tcBorders>
              <w:top w:val="single" w:color="auto" w:sz="4" w:space="0"/>
              <w:left w:val="single" w:color="auto" w:sz="4" w:space="0"/>
              <w:bottom w:val="single" w:color="auto" w:sz="4" w:space="0"/>
              <w:right w:val="single" w:color="auto" w:sz="4" w:space="0"/>
            </w:tcBorders>
          </w:tcPr>
          <w:p w14:paraId="3282C423">
            <w:pPr>
              <w:spacing w:line="360" w:lineRule="auto"/>
              <w:rPr>
                <w:rFonts w:hint="eastAsia" w:ascii="宋体" w:hAnsi="宋体" w:cs="宋体"/>
                <w:spacing w:val="20"/>
                <w:sz w:val="24"/>
              </w:rPr>
            </w:pPr>
          </w:p>
        </w:tc>
        <w:tc>
          <w:tcPr>
            <w:tcW w:w="2410" w:type="dxa"/>
            <w:tcBorders>
              <w:top w:val="single" w:color="auto" w:sz="4" w:space="0"/>
              <w:left w:val="single" w:color="auto" w:sz="4" w:space="0"/>
              <w:bottom w:val="single" w:color="auto" w:sz="4" w:space="0"/>
              <w:right w:val="single" w:color="auto" w:sz="4" w:space="0"/>
            </w:tcBorders>
          </w:tcPr>
          <w:p w14:paraId="5DAB4D3A">
            <w:pPr>
              <w:spacing w:line="360" w:lineRule="auto"/>
              <w:rPr>
                <w:rFonts w:hint="eastAsia" w:ascii="宋体" w:hAnsi="宋体" w:cs="宋体"/>
                <w:spacing w:val="20"/>
                <w:sz w:val="24"/>
              </w:rPr>
            </w:pPr>
          </w:p>
        </w:tc>
      </w:tr>
      <w:tr w14:paraId="0E2A5B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0" w:type="dxa"/>
            <w:tcBorders>
              <w:top w:val="single" w:color="auto" w:sz="4" w:space="0"/>
              <w:left w:val="single" w:color="auto" w:sz="4" w:space="0"/>
              <w:bottom w:val="single" w:color="auto" w:sz="4" w:space="0"/>
              <w:right w:val="single" w:color="auto" w:sz="4" w:space="0"/>
            </w:tcBorders>
          </w:tcPr>
          <w:p w14:paraId="1D443762">
            <w:pPr>
              <w:spacing w:line="360" w:lineRule="auto"/>
              <w:rPr>
                <w:rFonts w:hint="eastAsia" w:ascii="宋体" w:hAnsi="宋体" w:cs="宋体"/>
                <w:spacing w:val="20"/>
                <w:sz w:val="24"/>
              </w:rPr>
            </w:pPr>
          </w:p>
        </w:tc>
        <w:tc>
          <w:tcPr>
            <w:tcW w:w="1249" w:type="dxa"/>
            <w:tcBorders>
              <w:top w:val="single" w:color="auto" w:sz="4" w:space="0"/>
              <w:left w:val="single" w:color="auto" w:sz="4" w:space="0"/>
              <w:bottom w:val="single" w:color="auto" w:sz="4" w:space="0"/>
              <w:right w:val="single" w:color="auto" w:sz="4" w:space="0"/>
            </w:tcBorders>
          </w:tcPr>
          <w:p w14:paraId="5D0D7C32">
            <w:pPr>
              <w:spacing w:line="360" w:lineRule="auto"/>
              <w:rPr>
                <w:rFonts w:hint="eastAsia" w:ascii="宋体" w:hAnsi="宋体" w:cs="宋体"/>
                <w:spacing w:val="20"/>
                <w:sz w:val="24"/>
              </w:rPr>
            </w:pPr>
          </w:p>
        </w:tc>
        <w:tc>
          <w:tcPr>
            <w:tcW w:w="1164" w:type="dxa"/>
            <w:tcBorders>
              <w:top w:val="single" w:color="auto" w:sz="4" w:space="0"/>
              <w:left w:val="single" w:color="auto" w:sz="4" w:space="0"/>
              <w:bottom w:val="single" w:color="auto" w:sz="4" w:space="0"/>
              <w:right w:val="single" w:color="auto" w:sz="4" w:space="0"/>
            </w:tcBorders>
          </w:tcPr>
          <w:p w14:paraId="696282F2">
            <w:pPr>
              <w:spacing w:line="360" w:lineRule="auto"/>
              <w:rPr>
                <w:rFonts w:hint="eastAsia" w:ascii="宋体" w:hAnsi="宋体" w:cs="宋体"/>
                <w:spacing w:val="20"/>
                <w:sz w:val="24"/>
              </w:rPr>
            </w:pPr>
          </w:p>
        </w:tc>
        <w:tc>
          <w:tcPr>
            <w:tcW w:w="2109" w:type="dxa"/>
            <w:tcBorders>
              <w:top w:val="single" w:color="auto" w:sz="4" w:space="0"/>
              <w:left w:val="single" w:color="auto" w:sz="4" w:space="0"/>
              <w:bottom w:val="single" w:color="auto" w:sz="4" w:space="0"/>
              <w:right w:val="single" w:color="auto" w:sz="4" w:space="0"/>
            </w:tcBorders>
          </w:tcPr>
          <w:p w14:paraId="034676A1">
            <w:pPr>
              <w:spacing w:line="360" w:lineRule="auto"/>
              <w:rPr>
                <w:rFonts w:hint="eastAsia" w:ascii="宋体" w:hAnsi="宋体" w:cs="宋体"/>
                <w:spacing w:val="20"/>
                <w:sz w:val="24"/>
              </w:rPr>
            </w:pPr>
          </w:p>
        </w:tc>
        <w:tc>
          <w:tcPr>
            <w:tcW w:w="2410" w:type="dxa"/>
            <w:tcBorders>
              <w:top w:val="single" w:color="auto" w:sz="4" w:space="0"/>
              <w:left w:val="single" w:color="auto" w:sz="4" w:space="0"/>
              <w:bottom w:val="single" w:color="auto" w:sz="4" w:space="0"/>
              <w:right w:val="single" w:color="auto" w:sz="4" w:space="0"/>
            </w:tcBorders>
          </w:tcPr>
          <w:p w14:paraId="4141A381">
            <w:pPr>
              <w:spacing w:line="360" w:lineRule="auto"/>
              <w:rPr>
                <w:rFonts w:hint="eastAsia" w:ascii="宋体" w:hAnsi="宋体" w:cs="宋体"/>
                <w:spacing w:val="20"/>
                <w:sz w:val="24"/>
              </w:rPr>
            </w:pPr>
          </w:p>
        </w:tc>
      </w:tr>
      <w:tr w14:paraId="408FDD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0" w:type="dxa"/>
            <w:tcBorders>
              <w:top w:val="single" w:color="auto" w:sz="4" w:space="0"/>
              <w:left w:val="single" w:color="auto" w:sz="4" w:space="0"/>
              <w:bottom w:val="single" w:color="auto" w:sz="4" w:space="0"/>
              <w:right w:val="single" w:color="auto" w:sz="4" w:space="0"/>
            </w:tcBorders>
          </w:tcPr>
          <w:p w14:paraId="09FFE4EB">
            <w:pPr>
              <w:spacing w:line="360" w:lineRule="auto"/>
              <w:rPr>
                <w:rFonts w:hint="eastAsia" w:ascii="宋体" w:hAnsi="宋体" w:cs="宋体"/>
                <w:spacing w:val="20"/>
                <w:sz w:val="24"/>
              </w:rPr>
            </w:pPr>
          </w:p>
        </w:tc>
        <w:tc>
          <w:tcPr>
            <w:tcW w:w="1249" w:type="dxa"/>
            <w:tcBorders>
              <w:top w:val="single" w:color="auto" w:sz="4" w:space="0"/>
              <w:left w:val="single" w:color="auto" w:sz="4" w:space="0"/>
              <w:bottom w:val="single" w:color="auto" w:sz="4" w:space="0"/>
              <w:right w:val="single" w:color="auto" w:sz="4" w:space="0"/>
            </w:tcBorders>
          </w:tcPr>
          <w:p w14:paraId="38FDAE97">
            <w:pPr>
              <w:spacing w:line="360" w:lineRule="auto"/>
              <w:rPr>
                <w:rFonts w:hint="eastAsia" w:ascii="宋体" w:hAnsi="宋体" w:cs="宋体"/>
                <w:spacing w:val="20"/>
                <w:sz w:val="24"/>
              </w:rPr>
            </w:pPr>
          </w:p>
        </w:tc>
        <w:tc>
          <w:tcPr>
            <w:tcW w:w="1164" w:type="dxa"/>
            <w:tcBorders>
              <w:top w:val="single" w:color="auto" w:sz="4" w:space="0"/>
              <w:left w:val="single" w:color="auto" w:sz="4" w:space="0"/>
              <w:bottom w:val="single" w:color="auto" w:sz="4" w:space="0"/>
              <w:right w:val="single" w:color="auto" w:sz="4" w:space="0"/>
            </w:tcBorders>
          </w:tcPr>
          <w:p w14:paraId="771F9891">
            <w:pPr>
              <w:spacing w:line="360" w:lineRule="auto"/>
              <w:rPr>
                <w:rFonts w:hint="eastAsia" w:ascii="宋体" w:hAnsi="宋体" w:cs="宋体"/>
                <w:spacing w:val="20"/>
                <w:sz w:val="24"/>
              </w:rPr>
            </w:pPr>
          </w:p>
        </w:tc>
        <w:tc>
          <w:tcPr>
            <w:tcW w:w="2109" w:type="dxa"/>
            <w:tcBorders>
              <w:top w:val="single" w:color="auto" w:sz="4" w:space="0"/>
              <w:left w:val="single" w:color="auto" w:sz="4" w:space="0"/>
              <w:bottom w:val="single" w:color="auto" w:sz="4" w:space="0"/>
              <w:right w:val="single" w:color="auto" w:sz="4" w:space="0"/>
            </w:tcBorders>
          </w:tcPr>
          <w:p w14:paraId="122CD7FB">
            <w:pPr>
              <w:spacing w:line="360" w:lineRule="auto"/>
              <w:rPr>
                <w:rFonts w:hint="eastAsia" w:ascii="宋体" w:hAnsi="宋体" w:cs="宋体"/>
                <w:spacing w:val="20"/>
                <w:sz w:val="24"/>
              </w:rPr>
            </w:pPr>
          </w:p>
        </w:tc>
        <w:tc>
          <w:tcPr>
            <w:tcW w:w="2410" w:type="dxa"/>
            <w:tcBorders>
              <w:top w:val="single" w:color="auto" w:sz="4" w:space="0"/>
              <w:left w:val="single" w:color="auto" w:sz="4" w:space="0"/>
              <w:bottom w:val="single" w:color="auto" w:sz="4" w:space="0"/>
              <w:right w:val="single" w:color="auto" w:sz="4" w:space="0"/>
            </w:tcBorders>
          </w:tcPr>
          <w:p w14:paraId="5D6681D6">
            <w:pPr>
              <w:spacing w:line="360" w:lineRule="auto"/>
              <w:rPr>
                <w:rFonts w:hint="eastAsia" w:ascii="宋体" w:hAnsi="宋体" w:cs="宋体"/>
                <w:spacing w:val="20"/>
                <w:sz w:val="24"/>
              </w:rPr>
            </w:pPr>
          </w:p>
        </w:tc>
      </w:tr>
      <w:tr w14:paraId="61DC37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32" w:type="dxa"/>
            <w:gridSpan w:val="4"/>
            <w:tcBorders>
              <w:top w:val="single" w:color="auto" w:sz="4" w:space="0"/>
              <w:left w:val="single" w:color="auto" w:sz="4" w:space="0"/>
              <w:bottom w:val="single" w:color="auto" w:sz="4" w:space="0"/>
              <w:right w:val="single" w:color="auto" w:sz="4" w:space="0"/>
            </w:tcBorders>
          </w:tcPr>
          <w:p w14:paraId="6A3C4933">
            <w:pPr>
              <w:spacing w:line="360" w:lineRule="auto"/>
              <w:rPr>
                <w:rFonts w:hint="eastAsia" w:ascii="宋体" w:hAnsi="宋体" w:cs="宋体"/>
                <w:spacing w:val="20"/>
                <w:sz w:val="24"/>
              </w:rPr>
            </w:pPr>
            <w:r>
              <w:rPr>
                <w:rFonts w:hint="eastAsia" w:ascii="宋体" w:hAnsi="宋体" w:cs="宋体"/>
                <w:spacing w:val="20"/>
                <w:sz w:val="24"/>
              </w:rPr>
              <w:t>成交金额合计</w:t>
            </w:r>
          </w:p>
        </w:tc>
        <w:tc>
          <w:tcPr>
            <w:tcW w:w="2410" w:type="dxa"/>
            <w:tcBorders>
              <w:top w:val="single" w:color="auto" w:sz="4" w:space="0"/>
              <w:left w:val="single" w:color="auto" w:sz="4" w:space="0"/>
              <w:bottom w:val="single" w:color="auto" w:sz="4" w:space="0"/>
              <w:right w:val="single" w:color="auto" w:sz="4" w:space="0"/>
            </w:tcBorders>
          </w:tcPr>
          <w:p w14:paraId="25D119EC">
            <w:pPr>
              <w:spacing w:line="360" w:lineRule="auto"/>
              <w:rPr>
                <w:rFonts w:hint="eastAsia" w:ascii="宋体" w:hAnsi="宋体" w:cs="宋体"/>
                <w:spacing w:val="20"/>
                <w:sz w:val="24"/>
              </w:rPr>
            </w:pPr>
          </w:p>
        </w:tc>
      </w:tr>
      <w:tr w14:paraId="2675C5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7" w:hRule="atLeast"/>
        </w:trPr>
        <w:tc>
          <w:tcPr>
            <w:tcW w:w="9242" w:type="dxa"/>
            <w:gridSpan w:val="5"/>
            <w:tcBorders>
              <w:top w:val="single" w:color="auto" w:sz="4" w:space="0"/>
              <w:left w:val="single" w:color="auto" w:sz="4" w:space="0"/>
              <w:bottom w:val="single" w:color="auto" w:sz="4" w:space="0"/>
              <w:right w:val="single" w:color="auto" w:sz="4" w:space="0"/>
            </w:tcBorders>
          </w:tcPr>
          <w:p w14:paraId="585918C4">
            <w:pPr>
              <w:spacing w:line="360" w:lineRule="auto"/>
              <w:rPr>
                <w:rFonts w:hint="eastAsia" w:ascii="宋体" w:hAnsi="宋体" w:cs="宋体"/>
                <w:spacing w:val="20"/>
                <w:sz w:val="24"/>
              </w:rPr>
            </w:pPr>
            <w:r>
              <w:rPr>
                <w:rFonts w:hint="eastAsia" w:ascii="宋体" w:hAnsi="宋体" w:cs="宋体"/>
                <w:spacing w:val="20"/>
                <w:sz w:val="24"/>
              </w:rPr>
              <w:t>服务要求：</w:t>
            </w:r>
          </w:p>
          <w:p w14:paraId="6D180977">
            <w:pPr>
              <w:spacing w:line="360" w:lineRule="auto"/>
              <w:rPr>
                <w:rFonts w:hint="eastAsia" w:ascii="宋体" w:hAnsi="宋体" w:cs="宋体"/>
                <w:spacing w:val="20"/>
                <w:sz w:val="24"/>
              </w:rPr>
            </w:pPr>
          </w:p>
          <w:p w14:paraId="4E301A82">
            <w:pPr>
              <w:spacing w:line="360" w:lineRule="auto"/>
              <w:rPr>
                <w:rFonts w:hint="eastAsia" w:ascii="宋体" w:hAnsi="宋体" w:cs="宋体"/>
                <w:spacing w:val="20"/>
                <w:sz w:val="24"/>
              </w:rPr>
            </w:pPr>
          </w:p>
        </w:tc>
      </w:tr>
    </w:tbl>
    <w:p w14:paraId="0F34AAEC">
      <w:pPr>
        <w:spacing w:line="276" w:lineRule="auto"/>
        <w:rPr>
          <w:rFonts w:hint="eastAsia" w:ascii="宋体" w:hAnsi="宋体"/>
          <w:spacing w:val="20"/>
          <w:szCs w:val="21"/>
        </w:rPr>
      </w:pPr>
      <w:r>
        <w:rPr>
          <w:rFonts w:hint="eastAsia" w:ascii="宋体" w:hAnsi="宋体"/>
          <w:spacing w:val="20"/>
          <w:szCs w:val="21"/>
        </w:rPr>
        <w:t>注：1、供应商应根据其响应情况填写该表，并保证其与响应文件内容的一致性、正确性和真实性；</w:t>
      </w:r>
    </w:p>
    <w:p w14:paraId="728DC7F8">
      <w:pPr>
        <w:spacing w:line="276" w:lineRule="auto"/>
        <w:ind w:firstLine="490" w:firstLineChars="196"/>
        <w:rPr>
          <w:rFonts w:hint="eastAsia" w:ascii="宋体" w:hAnsi="宋体"/>
          <w:spacing w:val="20"/>
          <w:szCs w:val="21"/>
        </w:rPr>
      </w:pPr>
      <w:r>
        <w:rPr>
          <w:rFonts w:hint="eastAsia" w:ascii="宋体" w:hAnsi="宋体"/>
          <w:spacing w:val="20"/>
          <w:szCs w:val="21"/>
        </w:rPr>
        <w:t>2、填写该表不代表供应商已具有成交人资格。本表只作为成交结果公告内容的一部分，进行公告使用；</w:t>
      </w:r>
    </w:p>
    <w:p w14:paraId="443D63B0">
      <w:pPr>
        <w:spacing w:line="276" w:lineRule="auto"/>
        <w:ind w:firstLine="490" w:firstLineChars="196"/>
        <w:rPr>
          <w:rFonts w:hint="eastAsia" w:ascii="宋体" w:hAnsi="宋体"/>
          <w:spacing w:val="20"/>
          <w:szCs w:val="21"/>
        </w:rPr>
      </w:pPr>
      <w:r>
        <w:rPr>
          <w:rFonts w:hint="eastAsia" w:ascii="宋体" w:hAnsi="宋体"/>
          <w:spacing w:val="20"/>
          <w:szCs w:val="21"/>
        </w:rPr>
        <w:t>3、本表内容涉及较多，供应商可以适当增减表格行数，以保证表格内容的完整；</w:t>
      </w:r>
    </w:p>
    <w:p w14:paraId="022634AD">
      <w:pPr>
        <w:spacing w:line="276" w:lineRule="auto"/>
        <w:ind w:firstLine="490" w:firstLineChars="196"/>
        <w:rPr>
          <w:rFonts w:hint="eastAsia" w:ascii="宋体" w:hAnsi="宋体"/>
          <w:spacing w:val="20"/>
          <w:szCs w:val="21"/>
        </w:rPr>
      </w:pPr>
      <w:r>
        <w:rPr>
          <w:rFonts w:hint="eastAsia" w:ascii="宋体" w:hAnsi="宋体"/>
          <w:spacing w:val="20"/>
          <w:szCs w:val="21"/>
        </w:rPr>
        <w:t>4、评审结果排名第一的供应商在评审结束后</w:t>
      </w:r>
      <w:r>
        <w:rPr>
          <w:rFonts w:hint="eastAsia" w:ascii="宋体" w:hAnsi="宋体"/>
          <w:b/>
          <w:spacing w:val="20"/>
          <w:szCs w:val="21"/>
        </w:rPr>
        <w:t>2个工作日内</w:t>
      </w:r>
      <w:r>
        <w:rPr>
          <w:rFonts w:hint="eastAsia" w:ascii="宋体" w:hAnsi="宋体"/>
          <w:spacing w:val="20"/>
          <w:szCs w:val="21"/>
        </w:rPr>
        <w:t>将该表格及项目响应文件电子文档刻录成光盘或将电子文档提交给代理机构的项目负责人。未按时提交规定内容造成后果由供应商自行承担。</w:t>
      </w:r>
    </w:p>
    <w:p w14:paraId="0EBF8D3E">
      <w:pPr>
        <w:spacing w:line="276" w:lineRule="auto"/>
        <w:ind w:firstLine="490" w:firstLineChars="196"/>
        <w:rPr>
          <w:rFonts w:hint="eastAsia" w:ascii="宋体" w:hAnsi="宋体"/>
          <w:spacing w:val="20"/>
          <w:szCs w:val="21"/>
        </w:rPr>
      </w:pPr>
      <w:r>
        <w:rPr>
          <w:rFonts w:hint="eastAsia" w:ascii="宋体" w:hAnsi="宋体"/>
          <w:spacing w:val="20"/>
          <w:szCs w:val="21"/>
        </w:rPr>
        <w:t>5、成交结果公告内容如涉及供应商的商业秘密等法律法规规定可以不予公告的情形，供应商应另附书面说明，如未事前书面说明造成的后果由供应商自行承担。</w:t>
      </w:r>
    </w:p>
    <w:p w14:paraId="659A466F"/>
    <w:p w14:paraId="6A8D0908"/>
    <w:p w14:paraId="3FA069A6"/>
    <w:p w14:paraId="0801D4CF"/>
    <w:p w14:paraId="494DB1F6"/>
    <w:p w14:paraId="44B0FD03">
      <w:pPr>
        <w:pStyle w:val="2"/>
      </w:pPr>
    </w:p>
    <w:p w14:paraId="54E74357"/>
    <w:p w14:paraId="470F45FC">
      <w:pPr>
        <w:pStyle w:val="7"/>
        <w:spacing w:before="120" w:after="120" w:line="420" w:lineRule="exact"/>
        <w:ind w:firstLine="600"/>
        <w:jc w:val="center"/>
        <w:rPr>
          <w:rFonts w:hint="eastAsia" w:ascii="宋体" w:hAnsi="宋体"/>
        </w:rPr>
      </w:pPr>
      <w:bookmarkStart w:id="422" w:name="_Toc21669"/>
      <w:bookmarkStart w:id="423" w:name="_Toc12404"/>
      <w:bookmarkStart w:id="424" w:name="_Toc28433"/>
      <w:bookmarkStart w:id="425" w:name="_Toc4981"/>
      <w:bookmarkStart w:id="426" w:name="_Toc1890"/>
      <w:bookmarkStart w:id="427" w:name="_Toc36556469"/>
      <w:bookmarkStart w:id="428" w:name="_Toc35355083"/>
      <w:bookmarkStart w:id="429" w:name="_Toc94277263"/>
      <w:r>
        <w:rPr>
          <w:rFonts w:hint="eastAsia" w:ascii="宋体" w:hAnsi="宋体"/>
          <w:b w:val="0"/>
          <w:bCs w:val="0"/>
        </w:rPr>
        <w:t>五  政府采购活动现场确认声明书</w:t>
      </w:r>
      <w:bookmarkEnd w:id="422"/>
      <w:bookmarkEnd w:id="423"/>
      <w:bookmarkEnd w:id="424"/>
      <w:bookmarkEnd w:id="425"/>
      <w:bookmarkEnd w:id="426"/>
      <w:bookmarkEnd w:id="427"/>
      <w:bookmarkEnd w:id="428"/>
      <w:bookmarkEnd w:id="429"/>
    </w:p>
    <w:p w14:paraId="2FFCA52C">
      <w:pPr>
        <w:spacing w:line="420" w:lineRule="exact"/>
        <w:rPr>
          <w:rFonts w:hint="eastAsia" w:ascii="宋体" w:hAnsi="宋体"/>
          <w:sz w:val="24"/>
          <w:u w:val="single"/>
        </w:rPr>
      </w:pPr>
      <w:r>
        <w:rPr>
          <w:rFonts w:hint="eastAsia" w:ascii="宋体" w:hAnsi="宋体"/>
          <w:sz w:val="24"/>
          <w:u w:val="single"/>
        </w:rPr>
        <w:t>卓正招标咨询（丽水）有限公司 ：</w:t>
      </w:r>
    </w:p>
    <w:p w14:paraId="0A594D8C">
      <w:pPr>
        <w:spacing w:line="420" w:lineRule="exact"/>
        <w:rPr>
          <w:rFonts w:hint="eastAsia" w:ascii="宋体" w:hAnsi="宋体"/>
          <w:sz w:val="24"/>
        </w:rPr>
      </w:pPr>
      <w:r>
        <w:rPr>
          <w:rFonts w:hint="eastAsia" w:ascii="宋体" w:hAnsi="宋体"/>
          <w:sz w:val="24"/>
        </w:rPr>
        <w:t xml:space="preserve">    本人经由</w:t>
      </w:r>
      <w:r>
        <w:rPr>
          <w:rFonts w:hint="eastAsia" w:ascii="宋体" w:hAnsi="宋体"/>
          <w:sz w:val="24"/>
          <w:u w:val="single"/>
        </w:rPr>
        <w:t xml:space="preserve">                        （公司</w:t>
      </w:r>
      <w:r>
        <w:rPr>
          <w:rFonts w:ascii="宋体" w:hAnsi="宋体"/>
          <w:sz w:val="24"/>
          <w:u w:val="single"/>
        </w:rPr>
        <w:t>名称</w:t>
      </w:r>
      <w:r>
        <w:rPr>
          <w:rFonts w:hint="eastAsia" w:ascii="宋体" w:hAnsi="宋体"/>
          <w:sz w:val="24"/>
          <w:u w:val="single"/>
        </w:rPr>
        <w:t>）</w:t>
      </w:r>
      <w:r>
        <w:rPr>
          <w:rFonts w:hint="eastAsia" w:ascii="宋体" w:hAnsi="宋体"/>
          <w:sz w:val="24"/>
        </w:rPr>
        <w:t>法定代表人（负责人）</w:t>
      </w:r>
      <w:r>
        <w:rPr>
          <w:rFonts w:hint="eastAsia" w:ascii="宋体" w:hAnsi="宋体"/>
          <w:sz w:val="24"/>
          <w:u w:val="single"/>
        </w:rPr>
        <w:t xml:space="preserve">           </w:t>
      </w:r>
      <w:r>
        <w:rPr>
          <w:rFonts w:hint="eastAsia" w:ascii="宋体" w:hAnsi="宋体"/>
          <w:sz w:val="24"/>
        </w:rPr>
        <w:t>，合法授权参加</w:t>
      </w:r>
      <w:r>
        <w:rPr>
          <w:rFonts w:hint="eastAsia" w:ascii="宋体" w:hAnsi="宋体" w:cs="Times New Roman"/>
          <w:sz w:val="24"/>
          <w:u w:val="single"/>
          <w:lang w:eastAsia="zh-CN"/>
        </w:rPr>
        <w:t>丽水市经常化创建全国县级文明城市第三方无感评估项目</w:t>
      </w:r>
      <w:r>
        <w:rPr>
          <w:rFonts w:hint="eastAsia" w:ascii="宋体" w:hAnsi="宋体"/>
          <w:sz w:val="24"/>
          <w:u w:val="single"/>
        </w:rPr>
        <w:t>（项目编号：卓正丽磋商2025-10</w:t>
      </w:r>
      <w:r>
        <w:rPr>
          <w:rFonts w:hint="eastAsia" w:ascii="宋体" w:hAnsi="宋体"/>
          <w:sz w:val="24"/>
          <w:u w:val="single"/>
          <w:lang w:val="en-US" w:eastAsia="zh-CN"/>
        </w:rPr>
        <w:t>75</w:t>
      </w:r>
      <w:r>
        <w:rPr>
          <w:rFonts w:hint="eastAsia" w:ascii="宋体" w:hAnsi="宋体"/>
          <w:sz w:val="24"/>
          <w:u w:val="single"/>
        </w:rPr>
        <w:t>号</w:t>
      </w:r>
      <w:r>
        <w:rPr>
          <w:rFonts w:hint="eastAsia" w:ascii="宋体" w:hAnsi="宋体" w:cs="仿宋_GB2312"/>
          <w:sz w:val="24"/>
          <w:u w:val="single"/>
        </w:rPr>
        <w:t xml:space="preserve"> </w:t>
      </w:r>
      <w:r>
        <w:rPr>
          <w:rFonts w:hint="eastAsia" w:ascii="宋体" w:hAnsi="宋体"/>
          <w:sz w:val="24"/>
          <w:u w:val="single"/>
        </w:rPr>
        <w:t>）</w:t>
      </w:r>
      <w:r>
        <w:rPr>
          <w:rFonts w:hint="eastAsia" w:ascii="宋体" w:hAnsi="宋体"/>
          <w:sz w:val="24"/>
        </w:rPr>
        <w:t>政府采购活动，经与本单位法人代表（负责人）联系确认，现就有关公平竞争事项郑重声明如下：</w:t>
      </w:r>
    </w:p>
    <w:p w14:paraId="1F00AF0E">
      <w:pPr>
        <w:spacing w:line="420" w:lineRule="exact"/>
        <w:rPr>
          <w:rFonts w:hint="eastAsia" w:ascii="宋体" w:hAnsi="宋体"/>
          <w:sz w:val="24"/>
        </w:rPr>
      </w:pPr>
      <w:r>
        <w:rPr>
          <w:rFonts w:hint="eastAsia" w:ascii="宋体" w:hAnsi="宋体"/>
          <w:sz w:val="24"/>
        </w:rPr>
        <w:t xml:space="preserve">    一、本单位与采购人之间</w:t>
      </w:r>
      <w:r>
        <w:rPr>
          <w:rFonts w:hint="eastAsia" w:ascii="宋体" w:hAnsi="宋体"/>
          <w:b/>
          <w:sz w:val="24"/>
        </w:rPr>
        <w:t xml:space="preserve"> □不存在利害关系</w:t>
      </w:r>
      <w:r>
        <w:rPr>
          <w:rFonts w:hint="eastAsia" w:ascii="宋体" w:hAnsi="宋体"/>
          <w:sz w:val="24"/>
        </w:rPr>
        <w:t xml:space="preserve"> □存在下列利害关系</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w:t>
      </w:r>
    </w:p>
    <w:p w14:paraId="78487297">
      <w:pPr>
        <w:spacing w:line="420" w:lineRule="exact"/>
        <w:rPr>
          <w:rFonts w:hint="eastAsia" w:ascii="宋体" w:hAnsi="宋体"/>
          <w:sz w:val="24"/>
        </w:rPr>
      </w:pPr>
      <w:r>
        <w:rPr>
          <w:rFonts w:hint="eastAsia" w:ascii="宋体" w:hAnsi="宋体"/>
          <w:sz w:val="24"/>
        </w:rPr>
        <w:t xml:space="preserve">    A.投资关系    B.行政隶属关系    C.业务指导关系</w:t>
      </w:r>
    </w:p>
    <w:p w14:paraId="0E610824">
      <w:pPr>
        <w:spacing w:line="420" w:lineRule="exact"/>
        <w:ind w:firstLine="480"/>
        <w:rPr>
          <w:rFonts w:hint="eastAsia" w:ascii="宋体" w:hAnsi="宋体"/>
          <w:sz w:val="24"/>
          <w:u w:val="single"/>
        </w:rPr>
      </w:pPr>
      <w:r>
        <w:rPr>
          <w:rFonts w:hint="eastAsia" w:ascii="宋体" w:hAnsi="宋体"/>
          <w:sz w:val="24"/>
        </w:rPr>
        <w:t>D.其他可能影响采购公正的利害关系（如有，请如实说明）</w:t>
      </w:r>
      <w:r>
        <w:rPr>
          <w:rFonts w:hint="eastAsia" w:ascii="宋体" w:hAnsi="宋体"/>
          <w:sz w:val="24"/>
          <w:u w:val="single"/>
        </w:rPr>
        <w:t xml:space="preserve">         </w:t>
      </w:r>
    </w:p>
    <w:p w14:paraId="3B81F52A">
      <w:pPr>
        <w:spacing w:line="420" w:lineRule="exact"/>
        <w:ind w:firstLine="480"/>
        <w:rPr>
          <w:rFonts w:hint="eastAsia" w:ascii="宋体" w:hAnsi="宋体"/>
          <w:sz w:val="24"/>
        </w:rPr>
      </w:pPr>
      <w:r>
        <w:rPr>
          <w:rFonts w:hint="eastAsia" w:ascii="宋体" w:hAnsi="宋体"/>
          <w:sz w:val="24"/>
        </w:rPr>
        <w:t>二、现已清楚知道参加本项目采购活动的其他所有供应商名称，本单位</w:t>
      </w:r>
    </w:p>
    <w:p w14:paraId="03A72CEB">
      <w:pPr>
        <w:spacing w:line="420" w:lineRule="exact"/>
        <w:ind w:firstLine="480"/>
        <w:rPr>
          <w:rFonts w:hint="eastAsia" w:ascii="宋体" w:hAnsi="宋体"/>
          <w:sz w:val="24"/>
        </w:rPr>
      </w:pPr>
      <w:r>
        <w:rPr>
          <w:rFonts w:hint="eastAsia" w:ascii="宋体" w:hAnsi="宋体"/>
          <w:b/>
          <w:sz w:val="24"/>
        </w:rPr>
        <w:t>□与其他所有供应商之间均不存在利害关系</w:t>
      </w:r>
      <w:r>
        <w:rPr>
          <w:rFonts w:hint="eastAsia" w:ascii="宋体" w:hAnsi="宋体"/>
          <w:sz w:val="24"/>
        </w:rPr>
        <w:t xml:space="preserve">  □与</w:t>
      </w:r>
      <w:r>
        <w:rPr>
          <w:rFonts w:hint="eastAsia" w:ascii="宋体" w:hAnsi="宋体"/>
          <w:sz w:val="24"/>
          <w:u w:val="single"/>
        </w:rPr>
        <w:t xml:space="preserve">（供应商名称）  </w:t>
      </w:r>
      <w:r>
        <w:rPr>
          <w:rFonts w:ascii="宋体" w:hAnsi="宋体"/>
          <w:sz w:val="24"/>
          <w:u w:val="single"/>
        </w:rPr>
        <w:t xml:space="preserve">  </w:t>
      </w:r>
      <w:r>
        <w:rPr>
          <w:rFonts w:hint="eastAsia" w:ascii="宋体" w:hAnsi="宋体"/>
          <w:sz w:val="24"/>
          <w:u w:val="single"/>
        </w:rPr>
        <w:t xml:space="preserve"> </w:t>
      </w:r>
      <w:r>
        <w:rPr>
          <w:rFonts w:hint="eastAsia" w:ascii="宋体" w:hAnsi="宋体"/>
          <w:sz w:val="24"/>
        </w:rPr>
        <w:t>之间存在下列利害关系</w:t>
      </w:r>
      <w:r>
        <w:rPr>
          <w:rFonts w:hint="eastAsia" w:ascii="宋体" w:hAnsi="宋体"/>
          <w:sz w:val="24"/>
          <w:u w:val="single"/>
        </w:rPr>
        <w:t xml:space="preserve">        </w:t>
      </w:r>
      <w:r>
        <w:rPr>
          <w:rFonts w:hint="eastAsia" w:ascii="宋体" w:hAnsi="宋体"/>
          <w:sz w:val="24"/>
        </w:rPr>
        <w:t>：</w:t>
      </w:r>
    </w:p>
    <w:p w14:paraId="3F72F2FC">
      <w:pPr>
        <w:spacing w:line="420" w:lineRule="exact"/>
        <w:rPr>
          <w:rFonts w:hint="eastAsia" w:ascii="宋体" w:hAnsi="宋体"/>
          <w:sz w:val="24"/>
        </w:rPr>
      </w:pPr>
      <w:r>
        <w:rPr>
          <w:rFonts w:hint="eastAsia" w:ascii="宋体" w:hAnsi="宋体"/>
          <w:sz w:val="24"/>
        </w:rPr>
        <w:t xml:space="preserve">    A.法定代表人或负责人或实际控制人是同一人</w:t>
      </w:r>
    </w:p>
    <w:p w14:paraId="37E08F8E">
      <w:pPr>
        <w:spacing w:line="420" w:lineRule="exact"/>
        <w:rPr>
          <w:rFonts w:hint="eastAsia" w:ascii="宋体" w:hAnsi="宋体"/>
          <w:sz w:val="24"/>
        </w:rPr>
      </w:pPr>
      <w:r>
        <w:rPr>
          <w:rFonts w:hint="eastAsia" w:ascii="宋体" w:hAnsi="宋体"/>
          <w:sz w:val="24"/>
        </w:rPr>
        <w:t xml:space="preserve">    B.法定代表人或负责人或实际控制人是夫妻关系</w:t>
      </w:r>
    </w:p>
    <w:p w14:paraId="3CF0048A">
      <w:pPr>
        <w:spacing w:line="420" w:lineRule="exact"/>
        <w:rPr>
          <w:rFonts w:hint="eastAsia" w:ascii="宋体" w:hAnsi="宋体"/>
          <w:sz w:val="24"/>
        </w:rPr>
      </w:pPr>
      <w:r>
        <w:rPr>
          <w:rFonts w:hint="eastAsia" w:ascii="宋体" w:hAnsi="宋体"/>
          <w:sz w:val="24"/>
        </w:rPr>
        <w:t xml:space="preserve">    C.法定代表人或负责人或实际控制人是直系血亲关系</w:t>
      </w:r>
    </w:p>
    <w:p w14:paraId="5EEB06AF">
      <w:pPr>
        <w:spacing w:line="420" w:lineRule="exact"/>
        <w:rPr>
          <w:rFonts w:hint="eastAsia" w:ascii="宋体" w:hAnsi="宋体"/>
          <w:sz w:val="24"/>
        </w:rPr>
      </w:pPr>
      <w:r>
        <w:rPr>
          <w:rFonts w:hint="eastAsia" w:ascii="宋体" w:hAnsi="宋体"/>
          <w:sz w:val="24"/>
        </w:rPr>
        <w:t xml:space="preserve">    D.法定代表人或负责人或实际控制人存在三代以内旁系血亲关系</w:t>
      </w:r>
    </w:p>
    <w:p w14:paraId="796C5EA2">
      <w:pPr>
        <w:spacing w:line="420" w:lineRule="exact"/>
        <w:rPr>
          <w:rFonts w:hint="eastAsia" w:ascii="宋体" w:hAnsi="宋体"/>
          <w:sz w:val="24"/>
        </w:rPr>
      </w:pPr>
      <w:r>
        <w:rPr>
          <w:rFonts w:hint="eastAsia" w:ascii="宋体" w:hAnsi="宋体"/>
          <w:sz w:val="24"/>
        </w:rPr>
        <w:t xml:space="preserve">    E.法定代表人或负责人或实际控制人存在近姻亲关系</w:t>
      </w:r>
    </w:p>
    <w:p w14:paraId="4D775EBE">
      <w:pPr>
        <w:spacing w:line="420" w:lineRule="exact"/>
        <w:rPr>
          <w:rFonts w:hint="eastAsia" w:ascii="宋体" w:hAnsi="宋体"/>
          <w:sz w:val="24"/>
        </w:rPr>
      </w:pPr>
      <w:r>
        <w:rPr>
          <w:rFonts w:hint="eastAsia" w:ascii="宋体" w:hAnsi="宋体"/>
          <w:sz w:val="24"/>
        </w:rPr>
        <w:t xml:space="preserve">    F.法定代表人或负责人或实际控制人存在股份控制或实际控制关系</w:t>
      </w:r>
    </w:p>
    <w:p w14:paraId="777A7C75">
      <w:pPr>
        <w:spacing w:line="420" w:lineRule="exact"/>
        <w:rPr>
          <w:rFonts w:hint="eastAsia" w:ascii="宋体" w:hAnsi="宋体"/>
          <w:sz w:val="24"/>
        </w:rPr>
      </w:pPr>
      <w:r>
        <w:rPr>
          <w:rFonts w:hint="eastAsia" w:ascii="宋体" w:hAnsi="宋体"/>
          <w:sz w:val="24"/>
        </w:rPr>
        <w:t xml:space="preserve">    G.存在共同直接或间接投资设立子公司、联营企业和合营企业情况</w:t>
      </w:r>
    </w:p>
    <w:p w14:paraId="310581C0">
      <w:pPr>
        <w:spacing w:line="420" w:lineRule="exact"/>
        <w:rPr>
          <w:rFonts w:hint="eastAsia" w:ascii="宋体" w:hAnsi="宋体"/>
          <w:sz w:val="24"/>
        </w:rPr>
      </w:pPr>
      <w:r>
        <w:rPr>
          <w:rFonts w:hint="eastAsia" w:ascii="宋体" w:hAnsi="宋体"/>
          <w:sz w:val="24"/>
        </w:rPr>
        <w:t xml:space="preserve">    H.存在分级代理或代销关系、同一生产制造商关系、管理关系、重要业务（占主营业务收入50%以上）或重要财务往来关系（如融资）等其他实质性控制关系</w:t>
      </w:r>
    </w:p>
    <w:p w14:paraId="3B4F764C">
      <w:pPr>
        <w:spacing w:line="420" w:lineRule="exact"/>
        <w:ind w:left="240" w:hanging="240" w:hangingChars="100"/>
        <w:rPr>
          <w:rFonts w:hint="eastAsia" w:ascii="宋体" w:hAnsi="宋体"/>
          <w:sz w:val="24"/>
        </w:rPr>
      </w:pPr>
      <w:r>
        <w:rPr>
          <w:rFonts w:hint="eastAsia" w:ascii="宋体" w:hAnsi="宋体"/>
          <w:sz w:val="24"/>
        </w:rPr>
        <w:t xml:space="preserve">    I.其他利害关系情况 </w:t>
      </w:r>
      <w:r>
        <w:rPr>
          <w:rFonts w:hint="eastAsia" w:ascii="宋体" w:hAnsi="宋体"/>
          <w:sz w:val="24"/>
          <w:u w:val="single"/>
        </w:rPr>
        <w:t xml:space="preserve">                 </w:t>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p>
    <w:p w14:paraId="727A0963">
      <w:pPr>
        <w:spacing w:line="420" w:lineRule="exact"/>
        <w:ind w:firstLine="480"/>
        <w:rPr>
          <w:rFonts w:hint="eastAsia" w:ascii="宋体" w:hAnsi="宋体"/>
          <w:sz w:val="24"/>
        </w:rPr>
      </w:pPr>
      <w:r>
        <w:rPr>
          <w:rFonts w:hint="eastAsia" w:ascii="宋体" w:hAnsi="宋体"/>
          <w:sz w:val="24"/>
        </w:rPr>
        <w:t>三、现已清楚知道并严格遵守政府采购法律法规和现场纪律。</w:t>
      </w:r>
    </w:p>
    <w:p w14:paraId="4EC71B9E">
      <w:pPr>
        <w:spacing w:line="420" w:lineRule="exact"/>
        <w:ind w:firstLine="480"/>
        <w:rPr>
          <w:rFonts w:hint="eastAsia" w:ascii="宋体" w:hAnsi="宋体"/>
          <w:sz w:val="24"/>
        </w:rPr>
      </w:pPr>
      <w:r>
        <w:rPr>
          <w:rFonts w:hint="eastAsia" w:ascii="宋体" w:hAnsi="宋体"/>
          <w:sz w:val="24"/>
        </w:rPr>
        <w:t>四、我发现</w:t>
      </w:r>
      <w:r>
        <w:rPr>
          <w:rFonts w:hint="eastAsia" w:ascii="宋体" w:hAnsi="宋体"/>
          <w:sz w:val="24"/>
          <w:u w:val="single"/>
        </w:rPr>
        <w:t xml:space="preserve">                      </w:t>
      </w:r>
      <w:r>
        <w:rPr>
          <w:rFonts w:hint="eastAsia" w:ascii="宋体" w:hAnsi="宋体"/>
          <w:sz w:val="24"/>
        </w:rPr>
        <w:t>和</w:t>
      </w:r>
      <w:r>
        <w:rPr>
          <w:rFonts w:hint="eastAsia" w:ascii="宋体" w:hAnsi="宋体"/>
          <w:sz w:val="24"/>
          <w:u w:val="single"/>
        </w:rPr>
        <w:t xml:space="preserve">                  </w:t>
      </w:r>
      <w:r>
        <w:rPr>
          <w:rFonts w:hint="eastAsia" w:ascii="宋体" w:hAnsi="宋体"/>
          <w:sz w:val="24"/>
        </w:rPr>
        <w:t>供应商之间存在或可能存在上述第二条第</w:t>
      </w:r>
      <w:r>
        <w:rPr>
          <w:rFonts w:hint="eastAsia" w:ascii="宋体" w:hAnsi="宋体"/>
          <w:sz w:val="24"/>
          <w:u w:val="single"/>
        </w:rPr>
        <w:t xml:space="preserve">        </w:t>
      </w:r>
      <w:r>
        <w:rPr>
          <w:rFonts w:hint="eastAsia" w:ascii="宋体" w:hAnsi="宋体"/>
          <w:sz w:val="24"/>
        </w:rPr>
        <w:t xml:space="preserve">项利害关系。 </w:t>
      </w:r>
    </w:p>
    <w:p w14:paraId="477B5197">
      <w:pPr>
        <w:spacing w:line="420" w:lineRule="exact"/>
        <w:ind w:right="480" w:firstLine="120" w:firstLineChars="50"/>
        <w:jc w:val="right"/>
        <w:rPr>
          <w:rFonts w:hint="eastAsia" w:ascii="宋体" w:hAnsi="宋体"/>
          <w:sz w:val="24"/>
        </w:rPr>
      </w:pPr>
      <w:r>
        <w:rPr>
          <w:rFonts w:hint="eastAsia" w:ascii="宋体" w:hAnsi="宋体"/>
          <w:sz w:val="24"/>
        </w:rPr>
        <w:t>（</w:t>
      </w:r>
      <w:r>
        <w:rPr>
          <w:rFonts w:ascii="宋体" w:hAnsi="宋体"/>
          <w:sz w:val="24"/>
        </w:rPr>
        <w:t>负责人或委托代理人签名</w:t>
      </w:r>
      <w:r>
        <w:rPr>
          <w:rFonts w:hint="eastAsia" w:ascii="宋体" w:hAnsi="宋体"/>
          <w:sz w:val="24"/>
        </w:rPr>
        <w:t xml:space="preserve">）： </w:t>
      </w:r>
      <w:r>
        <w:rPr>
          <w:rFonts w:ascii="宋体" w:hAnsi="宋体"/>
          <w:sz w:val="24"/>
        </w:rPr>
        <w:t xml:space="preserve">    </w:t>
      </w:r>
    </w:p>
    <w:p w14:paraId="60F5FBD9">
      <w:pPr>
        <w:spacing w:line="420" w:lineRule="exact"/>
        <w:jc w:val="right"/>
        <w:rPr>
          <w:rFonts w:hint="eastAsia" w:ascii="宋体" w:hAnsi="宋体"/>
          <w:sz w:val="24"/>
        </w:rPr>
      </w:pPr>
      <w:r>
        <w:rPr>
          <w:rFonts w:ascii="宋体" w:hAnsi="宋体"/>
          <w:sz w:val="24"/>
        </w:rPr>
        <w:t xml:space="preserve">     </w:t>
      </w:r>
      <w:r>
        <w:rPr>
          <w:rFonts w:hint="eastAsia" w:ascii="宋体" w:hAnsi="宋体"/>
          <w:sz w:val="24"/>
        </w:rPr>
        <w:t xml:space="preserve">   年   月   日</w:t>
      </w:r>
      <w:r>
        <w:rPr>
          <w:rFonts w:hint="eastAsia" w:ascii="宋体" w:hAnsi="宋体"/>
          <w:sz w:val="24"/>
        </w:rPr>
        <w:tab/>
      </w:r>
      <w:r>
        <w:rPr>
          <w:rFonts w:ascii="宋体" w:hAnsi="宋体"/>
          <w:sz w:val="24"/>
        </w:rPr>
        <w:t xml:space="preserve">  </w:t>
      </w:r>
    </w:p>
    <w:p w14:paraId="57CBA68C">
      <w:pPr>
        <w:spacing w:line="420" w:lineRule="exact"/>
        <w:ind w:firstLine="472" w:firstLineChars="196"/>
        <w:rPr>
          <w:rFonts w:hint="eastAsia" w:ascii="宋体" w:hAnsi="宋体"/>
          <w:b/>
          <w:sz w:val="24"/>
        </w:rPr>
      </w:pPr>
      <w:bookmarkStart w:id="430" w:name="_Toc390938600"/>
      <w:bookmarkStart w:id="431" w:name="_Toc335664294"/>
      <w:bookmarkStart w:id="432" w:name="_Toc94277264"/>
      <w:r>
        <w:rPr>
          <w:rFonts w:hint="eastAsia" w:ascii="宋体" w:hAnsi="宋体"/>
          <w:b/>
          <w:sz w:val="24"/>
        </w:rPr>
        <w:t>注：1.供应商认为有利害关系和需要回避的人员，应提供相关证明材料，与本声明书一同提交。由采购代理</w:t>
      </w:r>
      <w:r>
        <w:rPr>
          <w:rFonts w:ascii="宋体" w:hAnsi="宋体"/>
          <w:b/>
          <w:sz w:val="24"/>
        </w:rPr>
        <w:t>机构</w:t>
      </w:r>
      <w:r>
        <w:rPr>
          <w:rFonts w:hint="eastAsia" w:ascii="宋体" w:hAnsi="宋体"/>
          <w:b/>
          <w:sz w:val="24"/>
        </w:rPr>
        <w:t>和财政监督</w:t>
      </w:r>
      <w:r>
        <w:rPr>
          <w:rFonts w:ascii="宋体" w:hAnsi="宋体"/>
          <w:b/>
          <w:sz w:val="24"/>
        </w:rPr>
        <w:t>部门</w:t>
      </w:r>
      <w:r>
        <w:rPr>
          <w:rFonts w:hint="eastAsia" w:ascii="宋体" w:hAnsi="宋体"/>
          <w:b/>
          <w:sz w:val="24"/>
        </w:rPr>
        <w:t>负责询问核查。</w:t>
      </w:r>
    </w:p>
    <w:p w14:paraId="3AC12638">
      <w:pPr>
        <w:spacing w:line="420" w:lineRule="exact"/>
        <w:ind w:firstLine="482" w:firstLineChars="200"/>
      </w:pPr>
      <w:r>
        <w:rPr>
          <w:rFonts w:hint="eastAsia" w:ascii="宋体" w:hAnsi="宋体"/>
          <w:b/>
          <w:sz w:val="24"/>
        </w:rPr>
        <w:t>2.</w:t>
      </w:r>
      <w:r>
        <w:rPr>
          <w:rFonts w:hint="eastAsia" w:ascii="宋体" w:hAnsi="宋体"/>
          <w:sz w:val="24"/>
        </w:rPr>
        <w:t xml:space="preserve"> </w:t>
      </w:r>
      <w:r>
        <w:rPr>
          <w:rFonts w:hint="eastAsia" w:ascii="宋体" w:hAnsi="宋体"/>
          <w:b/>
          <w:sz w:val="24"/>
        </w:rPr>
        <w:t>供应商根据解密后交易平台公布的供应商名单及信息，通过现场或邮件方式（lszzzbzx@126.com）提交《政府采购活动现场确认声明书》，提交时间在名单公布后的30分钟内。</w:t>
      </w:r>
    </w:p>
    <w:p w14:paraId="1EE418A0">
      <w:pPr>
        <w:pStyle w:val="5"/>
        <w:spacing w:line="560" w:lineRule="exact"/>
        <w:jc w:val="center"/>
        <w:rPr>
          <w:rFonts w:hint="eastAsia" w:ascii="宋体" w:hAnsi="宋体"/>
        </w:rPr>
      </w:pPr>
      <w:bookmarkStart w:id="433" w:name="_Toc24318"/>
      <w:bookmarkStart w:id="434" w:name="_Toc24589"/>
      <w:bookmarkStart w:id="435" w:name="_Toc21638"/>
      <w:bookmarkStart w:id="436" w:name="_Toc22737"/>
      <w:bookmarkStart w:id="437" w:name="_Toc18294"/>
      <w:r>
        <w:rPr>
          <w:rFonts w:hint="eastAsia" w:ascii="宋体" w:hAnsi="宋体"/>
        </w:rPr>
        <w:t>第六章</w:t>
      </w:r>
      <w:r>
        <w:rPr>
          <w:rFonts w:ascii="宋体" w:hAnsi="宋体"/>
        </w:rPr>
        <w:t xml:space="preserve">  </w:t>
      </w:r>
      <w:r>
        <w:rPr>
          <w:rFonts w:hint="eastAsia" w:ascii="宋体" w:hAnsi="宋体"/>
        </w:rPr>
        <w:t>磋商办法和细则</w:t>
      </w:r>
      <w:bookmarkEnd w:id="430"/>
      <w:bookmarkEnd w:id="431"/>
      <w:bookmarkEnd w:id="432"/>
      <w:bookmarkEnd w:id="433"/>
      <w:bookmarkEnd w:id="434"/>
      <w:bookmarkEnd w:id="435"/>
      <w:bookmarkEnd w:id="436"/>
      <w:bookmarkEnd w:id="437"/>
    </w:p>
    <w:p w14:paraId="2F916347">
      <w:pPr>
        <w:pStyle w:val="21"/>
        <w:snapToGrid/>
        <w:spacing w:line="360" w:lineRule="auto"/>
        <w:ind w:firstLineChars="200"/>
        <w:rPr>
          <w:rFonts w:hint="eastAsia" w:ascii="宋体" w:hAnsi="宋体" w:eastAsia="宋体"/>
        </w:rPr>
      </w:pPr>
      <w:r>
        <w:rPr>
          <w:rFonts w:hint="eastAsia" w:ascii="宋体" w:hAnsi="宋体" w:eastAsia="宋体"/>
        </w:rPr>
        <w:t>根据《中华人民共和国政府采购法》、</w:t>
      </w:r>
      <w:r>
        <w:rPr>
          <w:rFonts w:ascii="宋体" w:hAnsi="宋体" w:eastAsia="宋体"/>
        </w:rPr>
        <w:t>《政府采购竞争性磋商采购方式管理暂行办法》</w:t>
      </w:r>
      <w:r>
        <w:rPr>
          <w:rFonts w:hint="eastAsia" w:ascii="宋体" w:hAnsi="宋体" w:eastAsia="宋体"/>
        </w:rPr>
        <w:t>等有关法律法规的规定，并结合本项目的实际，按照公正、公平、科学、择优的原则选择成交人，特制定本办法。</w:t>
      </w:r>
    </w:p>
    <w:p w14:paraId="779A7AA0">
      <w:pPr>
        <w:pStyle w:val="7"/>
        <w:spacing w:after="0"/>
        <w:ind w:firstLine="0" w:firstLineChars="0"/>
        <w:rPr>
          <w:rFonts w:hint="eastAsia" w:ascii="宋体" w:hAnsi="宋体"/>
          <w:sz w:val="32"/>
        </w:rPr>
      </w:pPr>
      <w:bookmarkStart w:id="438" w:name="_Toc4268"/>
      <w:bookmarkStart w:id="439" w:name="_Toc494558393"/>
      <w:bookmarkStart w:id="440" w:name="_Toc493955998"/>
      <w:bookmarkStart w:id="441" w:name="_Toc335664295"/>
      <w:bookmarkStart w:id="442" w:name="_Toc12722"/>
      <w:bookmarkStart w:id="443" w:name="_Toc4478"/>
      <w:bookmarkStart w:id="444" w:name="_Toc5399"/>
      <w:bookmarkStart w:id="445" w:name="_Toc29746"/>
      <w:bookmarkStart w:id="446" w:name="_Toc94277265"/>
      <w:bookmarkStart w:id="447" w:name="_Toc335664299"/>
      <w:bookmarkStart w:id="448" w:name="_Toc390938605"/>
      <w:r>
        <w:rPr>
          <w:rFonts w:hint="eastAsia" w:ascii="宋体" w:hAnsi="宋体"/>
          <w:sz w:val="32"/>
        </w:rPr>
        <w:t>一   总则</w:t>
      </w:r>
      <w:bookmarkEnd w:id="438"/>
      <w:bookmarkEnd w:id="439"/>
      <w:bookmarkEnd w:id="440"/>
      <w:bookmarkEnd w:id="441"/>
      <w:bookmarkEnd w:id="442"/>
      <w:bookmarkEnd w:id="443"/>
      <w:bookmarkEnd w:id="444"/>
      <w:bookmarkEnd w:id="445"/>
      <w:bookmarkEnd w:id="446"/>
    </w:p>
    <w:p w14:paraId="7C5F322D">
      <w:pPr>
        <w:spacing w:line="360" w:lineRule="auto"/>
        <w:ind w:firstLine="480" w:firstLineChars="200"/>
        <w:rPr>
          <w:rFonts w:hint="eastAsia" w:ascii="宋体" w:hAnsi="宋体"/>
          <w:sz w:val="24"/>
        </w:rPr>
      </w:pPr>
      <w:r>
        <w:rPr>
          <w:rFonts w:hint="eastAsia" w:ascii="宋体" w:hAnsi="宋体"/>
          <w:sz w:val="24"/>
        </w:rPr>
        <w:t>1.1</w:t>
      </w:r>
      <w:r>
        <w:rPr>
          <w:rFonts w:ascii="宋体" w:hAnsi="宋体"/>
          <w:sz w:val="24"/>
        </w:rPr>
        <w:t xml:space="preserve"> </w:t>
      </w:r>
      <w:r>
        <w:rPr>
          <w:rFonts w:hint="eastAsia" w:ascii="宋体" w:hAnsi="宋体"/>
          <w:sz w:val="24"/>
        </w:rPr>
        <w:t>为最大限度地保护各当事人的权益，磋商小组应严格按照磋商文件的技术、资信、商务要求，对响应文件进行综合分析评价并编制评标报告。磋商小组成员必须严格遵守保密规定，不得泄漏评审有关的情况，不得索贿受贿，不得参加影响评审的任何活动。</w:t>
      </w:r>
    </w:p>
    <w:p w14:paraId="6B14D178">
      <w:pPr>
        <w:spacing w:line="360" w:lineRule="auto"/>
        <w:ind w:firstLine="482" w:firstLineChars="200"/>
        <w:rPr>
          <w:rFonts w:hint="eastAsia" w:ascii="宋体" w:hAnsi="宋体"/>
          <w:b/>
          <w:sz w:val="24"/>
        </w:rPr>
      </w:pPr>
      <w:r>
        <w:rPr>
          <w:rFonts w:hint="eastAsia" w:ascii="宋体" w:hAnsi="宋体"/>
          <w:b/>
          <w:sz w:val="24"/>
        </w:rPr>
        <w:t>1.</w:t>
      </w:r>
      <w:r>
        <w:rPr>
          <w:rFonts w:ascii="宋体" w:hAnsi="宋体"/>
          <w:b/>
          <w:sz w:val="24"/>
        </w:rPr>
        <w:t>2</w:t>
      </w:r>
      <w:r>
        <w:rPr>
          <w:rFonts w:hint="eastAsia" w:ascii="宋体" w:hAnsi="宋体"/>
          <w:b/>
          <w:sz w:val="24"/>
        </w:rPr>
        <w:t>本次评审方法采取百分制综合评分法，按总得分由高到低顺序排列。总得分相同的，按报价得分由高到低顺序排列；总得分和报价得分均相同的，按技术得分由高到低顺序排列；以上得分均相同的，由采购人抽签确定排名（即第一抽出人为第一名，以此类推）。磋商小组按总得分从高到低推荐三名预成交人，由采购人确认本项目成交人。</w:t>
      </w:r>
    </w:p>
    <w:p w14:paraId="18B4E2CE">
      <w:pPr>
        <w:pStyle w:val="7"/>
        <w:spacing w:after="0"/>
        <w:ind w:firstLine="0" w:firstLineChars="0"/>
        <w:rPr>
          <w:rFonts w:hint="eastAsia" w:ascii="宋体" w:hAnsi="宋体"/>
          <w:sz w:val="32"/>
        </w:rPr>
      </w:pPr>
      <w:bookmarkStart w:id="449" w:name="_Toc335664296"/>
      <w:bookmarkStart w:id="450" w:name="_Toc493955999"/>
      <w:bookmarkStart w:id="451" w:name="_Toc94277266"/>
      <w:bookmarkStart w:id="452" w:name="_Toc21219"/>
      <w:bookmarkStart w:id="453" w:name="_Toc26625"/>
      <w:bookmarkStart w:id="454" w:name="_Toc22085"/>
      <w:bookmarkStart w:id="455" w:name="_Toc494558394"/>
      <w:bookmarkStart w:id="456" w:name="_Toc32309"/>
      <w:bookmarkStart w:id="457" w:name="_Toc23826"/>
      <w:r>
        <w:rPr>
          <w:rFonts w:hint="eastAsia" w:ascii="宋体" w:hAnsi="宋体"/>
          <w:sz w:val="32"/>
        </w:rPr>
        <w:t xml:space="preserve">二   </w:t>
      </w:r>
      <w:bookmarkEnd w:id="449"/>
      <w:r>
        <w:rPr>
          <w:rFonts w:hint="eastAsia" w:ascii="宋体" w:hAnsi="宋体"/>
          <w:sz w:val="32"/>
        </w:rPr>
        <w:t>磋商小组</w:t>
      </w:r>
      <w:bookmarkEnd w:id="450"/>
      <w:bookmarkEnd w:id="451"/>
      <w:bookmarkEnd w:id="452"/>
      <w:bookmarkEnd w:id="453"/>
      <w:bookmarkEnd w:id="454"/>
      <w:bookmarkEnd w:id="455"/>
      <w:bookmarkEnd w:id="456"/>
      <w:bookmarkEnd w:id="457"/>
    </w:p>
    <w:p w14:paraId="6E6DB633">
      <w:pPr>
        <w:spacing w:line="360" w:lineRule="auto"/>
        <w:ind w:firstLine="480" w:firstLineChars="200"/>
        <w:rPr>
          <w:rFonts w:hint="eastAsia" w:ascii="宋体" w:hAnsi="宋体"/>
          <w:sz w:val="24"/>
          <w:szCs w:val="20"/>
        </w:rPr>
      </w:pPr>
      <w:r>
        <w:rPr>
          <w:rFonts w:hint="eastAsia" w:ascii="宋体" w:hAnsi="宋体"/>
          <w:sz w:val="24"/>
        </w:rPr>
        <w:t>2.1磋商</w:t>
      </w:r>
      <w:r>
        <w:rPr>
          <w:rFonts w:ascii="宋体" w:hAnsi="宋体"/>
          <w:sz w:val="24"/>
        </w:rPr>
        <w:t>小组</w:t>
      </w:r>
    </w:p>
    <w:p w14:paraId="01F3B9AB">
      <w:pPr>
        <w:spacing w:line="360" w:lineRule="auto"/>
        <w:ind w:firstLine="480" w:firstLineChars="200"/>
        <w:rPr>
          <w:rFonts w:hint="eastAsia" w:ascii="宋体" w:hAnsi="宋体"/>
          <w:sz w:val="24"/>
        </w:rPr>
      </w:pPr>
      <w:r>
        <w:rPr>
          <w:rFonts w:hint="eastAsia" w:ascii="宋体" w:hAnsi="宋体"/>
          <w:sz w:val="24"/>
        </w:rPr>
        <w:t>2.1.1</w:t>
      </w:r>
      <w:r>
        <w:rPr>
          <w:rFonts w:ascii="宋体" w:hAnsi="宋体"/>
          <w:sz w:val="24"/>
        </w:rPr>
        <w:t>成员：由</w:t>
      </w:r>
      <w:r>
        <w:rPr>
          <w:rFonts w:hint="eastAsia" w:ascii="宋体" w:hAnsi="宋体"/>
          <w:sz w:val="24"/>
        </w:rPr>
        <w:t>采购人代表和评审专家</w:t>
      </w:r>
      <w:r>
        <w:rPr>
          <w:rFonts w:ascii="宋体" w:hAnsi="宋体"/>
          <w:sz w:val="24"/>
        </w:rPr>
        <w:t>组成，其中</w:t>
      </w:r>
      <w:r>
        <w:rPr>
          <w:rFonts w:hint="eastAsia" w:ascii="宋体" w:hAnsi="宋体"/>
          <w:sz w:val="24"/>
        </w:rPr>
        <w:t>评审专家人数不得少于</w:t>
      </w:r>
      <w:r>
        <w:rPr>
          <w:rFonts w:ascii="宋体" w:hAnsi="宋体"/>
          <w:sz w:val="24"/>
        </w:rPr>
        <w:t>磋商小组</w:t>
      </w:r>
      <w:r>
        <w:rPr>
          <w:rFonts w:hint="eastAsia" w:ascii="宋体" w:hAnsi="宋体"/>
          <w:sz w:val="24"/>
        </w:rPr>
        <w:t>成员总</w:t>
      </w:r>
      <w:r>
        <w:rPr>
          <w:rFonts w:ascii="宋体" w:hAnsi="宋体"/>
          <w:sz w:val="24"/>
        </w:rPr>
        <w:t>数的三分之二。</w:t>
      </w:r>
      <w:r>
        <w:rPr>
          <w:rFonts w:hint="eastAsia" w:ascii="宋体" w:hAnsi="宋体"/>
          <w:sz w:val="24"/>
        </w:rPr>
        <w:t>除国务院财政部门规定的情形外，评审专家由采购代理机构在政府采购专家库中随机抽取。</w:t>
      </w:r>
    </w:p>
    <w:p w14:paraId="7E268166">
      <w:pPr>
        <w:spacing w:line="360" w:lineRule="auto"/>
        <w:ind w:firstLine="480" w:firstLineChars="200"/>
        <w:rPr>
          <w:rFonts w:hint="eastAsia" w:ascii="宋体" w:hAnsi="宋体"/>
          <w:sz w:val="24"/>
        </w:rPr>
      </w:pPr>
      <w:r>
        <w:rPr>
          <w:rFonts w:hint="eastAsia" w:ascii="宋体" w:hAnsi="宋体"/>
          <w:sz w:val="24"/>
        </w:rPr>
        <w:t>2.1.2职责</w:t>
      </w:r>
      <w:r>
        <w:rPr>
          <w:rFonts w:ascii="宋体" w:hAnsi="宋体"/>
          <w:sz w:val="24"/>
        </w:rPr>
        <w:t>：</w:t>
      </w:r>
      <w:r>
        <w:rPr>
          <w:rFonts w:hint="eastAsia" w:ascii="宋体" w:hAnsi="宋体"/>
          <w:sz w:val="24"/>
        </w:rPr>
        <w:t>严格按政府采购法律法规的有关规定执行，磋商小组成员应按磋商文件规定的评审要求、评审程序、评审内容、评审方法和评审标准进行评审，对评审意见承担个人责任。</w:t>
      </w:r>
    </w:p>
    <w:p w14:paraId="263F33AC">
      <w:pPr>
        <w:spacing w:line="360" w:lineRule="auto"/>
        <w:rPr>
          <w:rFonts w:hint="eastAsia" w:ascii="宋体" w:hAnsi="宋体"/>
          <w:sz w:val="24"/>
        </w:rPr>
      </w:pPr>
      <w:r>
        <w:rPr>
          <w:rFonts w:hint="eastAsia" w:ascii="宋体" w:hAnsi="宋体"/>
          <w:sz w:val="24"/>
        </w:rPr>
        <w:t xml:space="preserve">    2.2磋商小组成员的评审情况和评审意见受监督人员和采购代理机构审查，如发现磋商小组成员的评审意见带有明显倾向性，或不按规定程序和标准评审、计分的，可要求磋商小组成员进行书面澄清和说明。</w:t>
      </w:r>
    </w:p>
    <w:p w14:paraId="61AE2393">
      <w:pPr>
        <w:pStyle w:val="7"/>
        <w:spacing w:after="0"/>
        <w:ind w:firstLine="0" w:firstLineChars="0"/>
        <w:rPr>
          <w:rFonts w:hint="eastAsia" w:ascii="宋体" w:hAnsi="宋体"/>
          <w:sz w:val="32"/>
        </w:rPr>
      </w:pPr>
      <w:bookmarkStart w:id="458" w:name="_Toc6562"/>
      <w:bookmarkStart w:id="459" w:name="_Toc22187"/>
      <w:bookmarkStart w:id="460" w:name="_Toc31714"/>
      <w:bookmarkStart w:id="461" w:name="_Toc12171"/>
      <w:bookmarkStart w:id="462" w:name="_Toc94277267"/>
      <w:bookmarkStart w:id="463" w:name="_Toc494558395"/>
      <w:bookmarkStart w:id="464" w:name="_Toc18734"/>
      <w:r>
        <w:rPr>
          <w:rFonts w:hint="eastAsia" w:ascii="宋体" w:hAnsi="宋体"/>
          <w:sz w:val="32"/>
        </w:rPr>
        <w:t>三   磋商程序</w:t>
      </w:r>
      <w:bookmarkEnd w:id="458"/>
      <w:bookmarkEnd w:id="459"/>
      <w:bookmarkEnd w:id="460"/>
      <w:bookmarkEnd w:id="461"/>
      <w:bookmarkEnd w:id="462"/>
      <w:bookmarkEnd w:id="463"/>
      <w:bookmarkEnd w:id="464"/>
    </w:p>
    <w:p w14:paraId="7097B34A">
      <w:pPr>
        <w:spacing w:line="360" w:lineRule="auto"/>
        <w:ind w:firstLine="482" w:firstLineChars="200"/>
        <w:rPr>
          <w:rFonts w:hint="eastAsia" w:ascii="宋体" w:hAnsi="宋体"/>
          <w:b/>
          <w:sz w:val="24"/>
        </w:rPr>
      </w:pPr>
      <w:r>
        <w:rPr>
          <w:rFonts w:hint="eastAsia" w:ascii="宋体" w:hAnsi="宋体"/>
          <w:b/>
          <w:sz w:val="24"/>
        </w:rPr>
        <w:t>3.</w:t>
      </w:r>
      <w:r>
        <w:rPr>
          <w:rFonts w:ascii="宋体" w:hAnsi="宋体"/>
          <w:b/>
          <w:sz w:val="24"/>
        </w:rPr>
        <w:t xml:space="preserve">1 </w:t>
      </w:r>
      <w:r>
        <w:rPr>
          <w:rFonts w:hint="eastAsia" w:ascii="宋体" w:hAnsi="宋体"/>
          <w:b/>
          <w:sz w:val="24"/>
        </w:rPr>
        <w:t>符合性</w:t>
      </w:r>
      <w:r>
        <w:rPr>
          <w:rFonts w:ascii="宋体" w:hAnsi="宋体"/>
          <w:b/>
          <w:sz w:val="24"/>
        </w:rPr>
        <w:t>审查</w:t>
      </w:r>
    </w:p>
    <w:p w14:paraId="06C60583">
      <w:pPr>
        <w:spacing w:line="360" w:lineRule="auto"/>
        <w:ind w:firstLine="480" w:firstLineChars="200"/>
        <w:rPr>
          <w:rFonts w:hint="eastAsia" w:ascii="宋体" w:hAnsi="宋体"/>
          <w:sz w:val="24"/>
        </w:rPr>
      </w:pPr>
      <w:r>
        <w:rPr>
          <w:rFonts w:hint="eastAsia" w:ascii="宋体" w:hAnsi="宋体"/>
          <w:sz w:val="24"/>
        </w:rPr>
        <w:t>磋商小组会依据磋商文件</w:t>
      </w:r>
      <w:r>
        <w:rPr>
          <w:rFonts w:ascii="宋体" w:hAnsi="宋体"/>
          <w:sz w:val="24"/>
        </w:rPr>
        <w:t>的规定，从</w:t>
      </w:r>
      <w:r>
        <w:rPr>
          <w:rFonts w:hint="eastAsia" w:ascii="宋体" w:hAnsi="宋体"/>
          <w:sz w:val="24"/>
        </w:rPr>
        <w:t>响应文件</w:t>
      </w:r>
      <w:r>
        <w:rPr>
          <w:rFonts w:ascii="宋体" w:hAnsi="宋体"/>
          <w:sz w:val="24"/>
        </w:rPr>
        <w:t>的有效性、完整性和对</w:t>
      </w:r>
      <w:r>
        <w:rPr>
          <w:rFonts w:hint="eastAsia" w:ascii="宋体" w:hAnsi="宋体"/>
          <w:sz w:val="24"/>
        </w:rPr>
        <w:t>磋商文件</w:t>
      </w:r>
      <w:r>
        <w:rPr>
          <w:rFonts w:ascii="宋体" w:hAnsi="宋体"/>
          <w:sz w:val="24"/>
        </w:rPr>
        <w:t>的响应程度</w:t>
      </w:r>
      <w:r>
        <w:rPr>
          <w:rFonts w:hint="eastAsia" w:ascii="宋体" w:hAnsi="宋体"/>
          <w:sz w:val="24"/>
        </w:rPr>
        <w:t>进行</w:t>
      </w:r>
      <w:r>
        <w:rPr>
          <w:rFonts w:ascii="宋体" w:hAnsi="宋体"/>
          <w:sz w:val="24"/>
        </w:rPr>
        <w:t>审查，以确定</w:t>
      </w:r>
      <w:r>
        <w:rPr>
          <w:rFonts w:hint="eastAsia" w:ascii="宋体" w:hAnsi="宋体"/>
          <w:sz w:val="24"/>
        </w:rPr>
        <w:t>是否</w:t>
      </w:r>
      <w:r>
        <w:rPr>
          <w:rFonts w:ascii="宋体" w:hAnsi="宋体"/>
          <w:sz w:val="24"/>
        </w:rPr>
        <w:t>对</w:t>
      </w:r>
      <w:r>
        <w:rPr>
          <w:rFonts w:hint="eastAsia" w:ascii="宋体" w:hAnsi="宋体"/>
          <w:sz w:val="24"/>
        </w:rPr>
        <w:t>磋商文件</w:t>
      </w:r>
      <w:r>
        <w:rPr>
          <w:rFonts w:ascii="宋体" w:hAnsi="宋体"/>
          <w:sz w:val="24"/>
        </w:rPr>
        <w:t>的实质性要求作出响应。</w:t>
      </w:r>
      <w:r>
        <w:rPr>
          <w:rFonts w:hint="eastAsia" w:ascii="宋体" w:hAnsi="宋体"/>
          <w:sz w:val="24"/>
        </w:rPr>
        <w:t>通过符合性审查不足</w:t>
      </w:r>
      <w:r>
        <w:rPr>
          <w:rFonts w:ascii="宋体" w:hAnsi="宋体"/>
          <w:sz w:val="24"/>
        </w:rPr>
        <w:t>三家的</w:t>
      </w:r>
      <w:r>
        <w:rPr>
          <w:rFonts w:hint="eastAsia" w:ascii="宋体" w:hAnsi="宋体"/>
          <w:sz w:val="24"/>
        </w:rPr>
        <w:t>，</w:t>
      </w:r>
      <w:r>
        <w:rPr>
          <w:rFonts w:ascii="宋体" w:hAnsi="宋体"/>
          <w:sz w:val="24"/>
        </w:rPr>
        <w:t>除采购任务取消</w:t>
      </w:r>
      <w:r>
        <w:rPr>
          <w:rFonts w:hint="eastAsia" w:ascii="宋体" w:hAnsi="宋体"/>
          <w:sz w:val="24"/>
        </w:rPr>
        <w:t>的情形</w:t>
      </w:r>
      <w:r>
        <w:rPr>
          <w:rFonts w:ascii="宋体" w:hAnsi="宋体"/>
          <w:sz w:val="24"/>
        </w:rPr>
        <w:t>外</w:t>
      </w:r>
      <w:r>
        <w:rPr>
          <w:rFonts w:hint="eastAsia" w:ascii="宋体" w:hAnsi="宋体"/>
          <w:sz w:val="24"/>
        </w:rPr>
        <w:t>，</w:t>
      </w:r>
      <w:r>
        <w:rPr>
          <w:rFonts w:ascii="宋体" w:hAnsi="宋体"/>
          <w:sz w:val="24"/>
        </w:rPr>
        <w:t>按</w:t>
      </w:r>
      <w:r>
        <w:rPr>
          <w:rFonts w:hint="eastAsia" w:ascii="宋体" w:hAnsi="宋体"/>
          <w:sz w:val="24"/>
        </w:rPr>
        <w:t>相关</w:t>
      </w:r>
      <w:r>
        <w:rPr>
          <w:rFonts w:ascii="宋体" w:hAnsi="宋体"/>
          <w:sz w:val="24"/>
        </w:rPr>
        <w:t>规定</w:t>
      </w:r>
      <w:r>
        <w:rPr>
          <w:rFonts w:hint="eastAsia" w:ascii="宋体" w:hAnsi="宋体"/>
          <w:sz w:val="24"/>
        </w:rPr>
        <w:t>重新组织采购。</w:t>
      </w:r>
    </w:p>
    <w:p w14:paraId="75CE2E28">
      <w:pPr>
        <w:spacing w:line="360" w:lineRule="auto"/>
        <w:ind w:firstLine="482" w:firstLineChars="200"/>
        <w:rPr>
          <w:rFonts w:hint="eastAsia" w:ascii="宋体" w:hAnsi="宋体"/>
          <w:b/>
          <w:sz w:val="24"/>
        </w:rPr>
      </w:pPr>
      <w:r>
        <w:rPr>
          <w:rFonts w:hint="eastAsia" w:ascii="宋体" w:hAnsi="宋体"/>
          <w:b/>
          <w:sz w:val="24"/>
        </w:rPr>
        <w:t>3.2 磋商</w:t>
      </w:r>
    </w:p>
    <w:p w14:paraId="01CD9DE2">
      <w:pPr>
        <w:spacing w:line="360" w:lineRule="auto"/>
        <w:ind w:firstLine="480" w:firstLineChars="200"/>
        <w:rPr>
          <w:rFonts w:hint="eastAsia" w:ascii="宋体" w:hAnsi="宋体"/>
          <w:sz w:val="24"/>
        </w:rPr>
      </w:pPr>
      <w:r>
        <w:rPr>
          <w:rFonts w:hint="eastAsia" w:ascii="宋体" w:hAnsi="宋体"/>
          <w:sz w:val="24"/>
        </w:rPr>
        <w:t>3.2.1磋商小组对响应文件进行评审，并根据磋商文件规定的程序、评定成交的标准等事项与实质性响应磋商文件要求的供应商进行多轮磋商。</w:t>
      </w:r>
    </w:p>
    <w:p w14:paraId="482EA990">
      <w:pPr>
        <w:spacing w:line="360" w:lineRule="auto"/>
        <w:ind w:firstLine="480" w:firstLineChars="200"/>
        <w:rPr>
          <w:rFonts w:hint="eastAsia" w:ascii="宋体" w:hAnsi="宋体"/>
          <w:sz w:val="24"/>
        </w:rPr>
      </w:pPr>
      <w:r>
        <w:rPr>
          <w:rFonts w:hint="eastAsia" w:ascii="宋体" w:hAnsi="宋体"/>
          <w:sz w:val="24"/>
        </w:rPr>
        <w:t>（1）磋商小组按电子交易平台自动生成的“投标（响应）文件签收登记表”名单顺序</w:t>
      </w:r>
      <w:r>
        <w:rPr>
          <w:rFonts w:ascii="宋体" w:hAnsi="宋体"/>
          <w:sz w:val="24"/>
        </w:rPr>
        <w:t>分别进行磋商</w:t>
      </w:r>
      <w:r>
        <w:rPr>
          <w:rFonts w:hint="eastAsia" w:ascii="宋体" w:hAnsi="宋体"/>
          <w:sz w:val="24"/>
        </w:rPr>
        <w:t>（若</w:t>
      </w:r>
      <w:r>
        <w:rPr>
          <w:rFonts w:ascii="宋体" w:hAnsi="宋体"/>
          <w:sz w:val="24"/>
        </w:rPr>
        <w:t>有</w:t>
      </w:r>
      <w:r>
        <w:rPr>
          <w:rFonts w:hint="eastAsia" w:ascii="宋体" w:hAnsi="宋体"/>
          <w:sz w:val="24"/>
        </w:rPr>
        <w:t>演示、讲解</w:t>
      </w:r>
      <w:r>
        <w:rPr>
          <w:rFonts w:ascii="宋体" w:hAnsi="宋体"/>
          <w:sz w:val="24"/>
        </w:rPr>
        <w:t>内容，演示</w:t>
      </w:r>
      <w:r>
        <w:rPr>
          <w:rFonts w:hint="eastAsia" w:ascii="宋体" w:hAnsi="宋体"/>
          <w:sz w:val="24"/>
        </w:rPr>
        <w:t>、讲解</w:t>
      </w:r>
      <w:r>
        <w:rPr>
          <w:rFonts w:ascii="宋体" w:hAnsi="宋体"/>
          <w:sz w:val="24"/>
        </w:rPr>
        <w:t>顺序同</w:t>
      </w:r>
      <w:r>
        <w:rPr>
          <w:rFonts w:hint="eastAsia" w:ascii="宋体" w:hAnsi="宋体"/>
          <w:sz w:val="24"/>
        </w:rPr>
        <w:t>磋商</w:t>
      </w:r>
      <w:r>
        <w:rPr>
          <w:rFonts w:ascii="宋体" w:hAnsi="宋体"/>
          <w:sz w:val="24"/>
        </w:rPr>
        <w:t>顺序</w:t>
      </w:r>
      <w:r>
        <w:rPr>
          <w:rFonts w:hint="eastAsia" w:ascii="宋体" w:hAnsi="宋体"/>
          <w:sz w:val="24"/>
        </w:rPr>
        <w:t>）。磋商小组所有成员应当集中与单一供应商分别进行磋商，并给予所有参加磋商的供应商平等的磋商机会。</w:t>
      </w:r>
    </w:p>
    <w:p w14:paraId="412BD793">
      <w:pPr>
        <w:spacing w:line="360" w:lineRule="auto"/>
        <w:ind w:firstLine="480" w:firstLineChars="200"/>
        <w:rPr>
          <w:rFonts w:hint="eastAsia" w:ascii="宋体" w:hAnsi="宋体"/>
          <w:sz w:val="24"/>
        </w:rPr>
      </w:pPr>
      <w:r>
        <w:rPr>
          <w:rFonts w:hint="eastAsia" w:ascii="宋体" w:hAnsi="宋体"/>
          <w:sz w:val="24"/>
        </w:rPr>
        <w:t>（</w:t>
      </w:r>
      <w:r>
        <w:rPr>
          <w:rFonts w:ascii="宋体" w:hAnsi="宋体"/>
          <w:sz w:val="24"/>
        </w:rPr>
        <w:t>2</w:t>
      </w:r>
      <w:r>
        <w:rPr>
          <w:rFonts w:hint="eastAsia" w:ascii="宋体" w:hAnsi="宋体"/>
          <w:sz w:val="24"/>
        </w:rPr>
        <w:t>）</w:t>
      </w:r>
      <w:r>
        <w:rPr>
          <w:rFonts w:hint="eastAsia" w:ascii="宋体" w:hAnsi="宋体"/>
          <w:kern w:val="0"/>
          <w:sz w:val="24"/>
        </w:rPr>
        <w:t>响应文件</w:t>
      </w:r>
      <w:r>
        <w:rPr>
          <w:rFonts w:hint="eastAsia" w:ascii="宋体" w:hAnsi="宋体"/>
          <w:sz w:val="24"/>
        </w:rPr>
        <w:t>中含义不明确、同类问题表述不一致或者有明显文字和计算错误的内容，磋商小组应当通过电子交易平台交换数据电文的形式要求供应商作出必要的澄清、说明或者更正。供应商的澄清、说明或者更正不得超出响应文件的范围或者改变响应文件的实质性内容。</w:t>
      </w:r>
    </w:p>
    <w:p w14:paraId="49FA0036">
      <w:pPr>
        <w:spacing w:line="360" w:lineRule="auto"/>
        <w:ind w:firstLine="480" w:firstLineChars="200"/>
        <w:rPr>
          <w:rFonts w:hint="eastAsia" w:ascii="宋体" w:hAnsi="宋体"/>
          <w:sz w:val="24"/>
        </w:rPr>
      </w:pPr>
      <w:r>
        <w:rPr>
          <w:rFonts w:hint="eastAsia" w:ascii="宋体" w:hAnsi="宋体"/>
          <w:sz w:val="24"/>
        </w:rPr>
        <w:t>（</w:t>
      </w:r>
      <w:r>
        <w:rPr>
          <w:rFonts w:ascii="宋体" w:hAnsi="宋体"/>
          <w:sz w:val="24"/>
        </w:rPr>
        <w:t>3</w:t>
      </w:r>
      <w:r>
        <w:rPr>
          <w:rFonts w:hint="eastAsia" w:ascii="宋体" w:hAnsi="宋体"/>
          <w:sz w:val="24"/>
        </w:rPr>
        <w:t>）在磋商过程中，磋商小组可以根据磋商文件和磋商情况实质性变动采购需求中的技术、服务要求以及合同条款。实质性变动的内容，须经采购人代表确认。</w:t>
      </w:r>
    </w:p>
    <w:p w14:paraId="16E70158">
      <w:pPr>
        <w:spacing w:line="360" w:lineRule="auto"/>
        <w:ind w:firstLine="480" w:firstLineChars="200"/>
        <w:rPr>
          <w:rFonts w:hint="eastAsia" w:ascii="宋体" w:hAnsi="宋体"/>
          <w:sz w:val="24"/>
        </w:rPr>
      </w:pPr>
      <w:r>
        <w:rPr>
          <w:rFonts w:hint="eastAsia" w:ascii="宋体" w:hAnsi="宋体"/>
          <w:sz w:val="24"/>
        </w:rPr>
        <w:t>对磋商文件作出实质性变动是磋商文件的有效组成部分，磋商小组应当通过电子交易平台交换数据电文的形式同时通知所有参加磋商的供应商。</w:t>
      </w:r>
    </w:p>
    <w:p w14:paraId="372B4BC2">
      <w:pPr>
        <w:spacing w:line="360" w:lineRule="auto"/>
        <w:ind w:firstLine="480" w:firstLineChars="200"/>
        <w:rPr>
          <w:rFonts w:hint="eastAsia" w:ascii="宋体" w:hAnsi="宋体"/>
          <w:sz w:val="24"/>
        </w:rPr>
      </w:pPr>
      <w:r>
        <w:rPr>
          <w:rFonts w:hint="eastAsia" w:ascii="宋体" w:hAnsi="宋体"/>
          <w:sz w:val="24"/>
        </w:rPr>
        <w:t>（</w:t>
      </w:r>
      <w:r>
        <w:rPr>
          <w:rFonts w:ascii="宋体" w:hAnsi="宋体"/>
          <w:sz w:val="24"/>
        </w:rPr>
        <w:t>4</w:t>
      </w:r>
      <w:r>
        <w:rPr>
          <w:rFonts w:hint="eastAsia" w:ascii="宋体" w:hAnsi="宋体"/>
          <w:sz w:val="24"/>
        </w:rPr>
        <w:t>）磋商文件能够详细列明采购标的的技术、服务要求的，磋商结束后，磋商小组应当要求所有继续参加磋商的供应商在规定时间内提交最终报价，提交最终报价的供应商不得少于3家。</w:t>
      </w:r>
    </w:p>
    <w:p w14:paraId="13063390">
      <w:pPr>
        <w:tabs>
          <w:tab w:val="left" w:pos="6870"/>
        </w:tabs>
        <w:spacing w:line="360" w:lineRule="auto"/>
        <w:ind w:firstLine="600" w:firstLineChars="249"/>
        <w:rPr>
          <w:rFonts w:hint="eastAsia" w:ascii="宋体" w:hAnsi="宋体"/>
          <w:b/>
          <w:sz w:val="24"/>
        </w:rPr>
      </w:pPr>
      <w:r>
        <w:rPr>
          <w:rFonts w:hint="eastAsia" w:ascii="宋体" w:hAnsi="宋体"/>
          <w:b/>
          <w:sz w:val="24"/>
        </w:rPr>
        <w:t>3.</w:t>
      </w:r>
      <w:r>
        <w:rPr>
          <w:rFonts w:ascii="宋体" w:hAnsi="宋体"/>
          <w:b/>
          <w:sz w:val="24"/>
        </w:rPr>
        <w:t xml:space="preserve">2.2 </w:t>
      </w:r>
      <w:r>
        <w:rPr>
          <w:rFonts w:hint="eastAsia" w:ascii="宋体" w:hAnsi="宋体"/>
          <w:b/>
          <w:sz w:val="24"/>
        </w:rPr>
        <w:t>磋商注意事项</w:t>
      </w:r>
      <w:r>
        <w:rPr>
          <w:rFonts w:ascii="宋体" w:hAnsi="宋体"/>
          <w:b/>
          <w:sz w:val="24"/>
        </w:rPr>
        <w:tab/>
      </w:r>
    </w:p>
    <w:p w14:paraId="6FF4C5DF">
      <w:pPr>
        <w:spacing w:line="360" w:lineRule="auto"/>
        <w:ind w:firstLine="480" w:firstLineChars="200"/>
        <w:rPr>
          <w:rFonts w:hint="eastAsia" w:ascii="宋体" w:hAnsi="宋体"/>
          <w:sz w:val="24"/>
        </w:rPr>
      </w:pPr>
      <w:r>
        <w:rPr>
          <w:rFonts w:hint="eastAsia" w:ascii="宋体" w:hAnsi="宋体"/>
          <w:sz w:val="24"/>
        </w:rPr>
        <w:t>（1）磋商时，参与磋商的供应商派代表应在线参加磋商。参与磋商的供应商人员应及时解释和澄清磋商响应文件相关内容，通过电子交易平台交换数据电文的形式重新做出承诺并签署确定。后</w:t>
      </w:r>
      <w:r>
        <w:rPr>
          <w:rFonts w:ascii="宋体" w:hAnsi="宋体"/>
          <w:sz w:val="24"/>
        </w:rPr>
        <w:t>一轮磋商</w:t>
      </w:r>
      <w:r>
        <w:rPr>
          <w:rFonts w:hint="eastAsia" w:ascii="宋体" w:hAnsi="宋体"/>
          <w:sz w:val="24"/>
        </w:rPr>
        <w:t>的价格、服务承诺及优惠条件等必须优于或等于前</w:t>
      </w:r>
      <w:r>
        <w:rPr>
          <w:rFonts w:ascii="宋体" w:hAnsi="宋体"/>
          <w:sz w:val="24"/>
        </w:rPr>
        <w:t>一轮磋商</w:t>
      </w:r>
      <w:r>
        <w:rPr>
          <w:rFonts w:hint="eastAsia" w:ascii="宋体" w:hAnsi="宋体"/>
          <w:sz w:val="24"/>
        </w:rPr>
        <w:t>的价格、服务承诺及优惠条件等。</w:t>
      </w:r>
      <w:r>
        <w:rPr>
          <w:rFonts w:hint="eastAsia" w:ascii="宋体" w:hAnsi="宋体"/>
          <w:b/>
          <w:sz w:val="24"/>
        </w:rPr>
        <w:t>如磋商只要求对总价进行报价的，各分项报价以总价按前一轮报价下浮比例下浮。</w:t>
      </w:r>
    </w:p>
    <w:p w14:paraId="1C57DC72">
      <w:pPr>
        <w:spacing w:line="360" w:lineRule="auto"/>
        <w:ind w:firstLine="480" w:firstLineChars="200"/>
        <w:rPr>
          <w:rFonts w:hint="eastAsia" w:ascii="宋体" w:hAnsi="宋体"/>
          <w:sz w:val="24"/>
        </w:rPr>
      </w:pPr>
      <w:r>
        <w:rPr>
          <w:rFonts w:hint="eastAsia" w:ascii="宋体" w:hAnsi="宋体"/>
          <w:sz w:val="24"/>
        </w:rPr>
        <w:t>（</w:t>
      </w:r>
      <w:r>
        <w:rPr>
          <w:rFonts w:ascii="宋体" w:hAnsi="宋体"/>
          <w:sz w:val="24"/>
        </w:rPr>
        <w:t>2</w:t>
      </w:r>
      <w:r>
        <w:rPr>
          <w:rFonts w:hint="eastAsia" w:ascii="宋体" w:hAnsi="宋体"/>
          <w:sz w:val="24"/>
        </w:rPr>
        <w:t>）报价明显低于其他通过符合性审查供应商的报价，有可能影响产品质量或者不能诚信履约的，应当要求其在磋商现场合理的时间内通过电子交易平台交换数据电文的形式提供说明，必要时提交相关证明材料；供应商不能证明其报价合理性的，磋商小组应当将其作为无效标处理。</w:t>
      </w:r>
    </w:p>
    <w:p w14:paraId="71B0D28F">
      <w:pPr>
        <w:spacing w:line="360" w:lineRule="auto"/>
        <w:ind w:firstLine="480" w:firstLineChars="200"/>
        <w:rPr>
          <w:rFonts w:hint="eastAsia" w:ascii="宋体" w:hAnsi="宋体"/>
          <w:sz w:val="24"/>
        </w:rPr>
      </w:pPr>
      <w:r>
        <w:rPr>
          <w:rFonts w:hint="eastAsia" w:ascii="宋体" w:hAnsi="宋体"/>
          <w:sz w:val="24"/>
        </w:rPr>
        <w:t>（</w:t>
      </w:r>
      <w:r>
        <w:rPr>
          <w:rFonts w:ascii="宋体" w:hAnsi="宋体"/>
          <w:sz w:val="24"/>
        </w:rPr>
        <w:t>3</w:t>
      </w:r>
      <w:r>
        <w:rPr>
          <w:rFonts w:hint="eastAsia" w:ascii="宋体" w:hAnsi="宋体"/>
          <w:sz w:val="24"/>
        </w:rPr>
        <w:t>）</w:t>
      </w:r>
      <w:r>
        <w:rPr>
          <w:rFonts w:ascii="宋体" w:hAnsi="宋体"/>
          <w:sz w:val="24"/>
        </w:rPr>
        <w:t>出席磋商的有关人员：监督</w:t>
      </w:r>
      <w:r>
        <w:rPr>
          <w:rFonts w:hint="eastAsia" w:ascii="宋体" w:hAnsi="宋体"/>
          <w:sz w:val="24"/>
        </w:rPr>
        <w:t>人员、</w:t>
      </w:r>
      <w:r>
        <w:rPr>
          <w:rFonts w:ascii="宋体" w:hAnsi="宋体"/>
          <w:sz w:val="24"/>
        </w:rPr>
        <w:t>磋商小组成员</w:t>
      </w:r>
      <w:r>
        <w:rPr>
          <w:rFonts w:hint="eastAsia" w:ascii="宋体" w:hAnsi="宋体"/>
          <w:sz w:val="24"/>
        </w:rPr>
        <w:t>和采购代理机构工作人员</w:t>
      </w:r>
      <w:r>
        <w:rPr>
          <w:rFonts w:ascii="宋体" w:hAnsi="宋体"/>
          <w:sz w:val="24"/>
        </w:rPr>
        <w:t>；监督</w:t>
      </w:r>
      <w:r>
        <w:rPr>
          <w:rFonts w:hint="eastAsia" w:ascii="宋体" w:hAnsi="宋体"/>
          <w:sz w:val="24"/>
        </w:rPr>
        <w:t>人员</w:t>
      </w:r>
      <w:r>
        <w:rPr>
          <w:rFonts w:ascii="宋体" w:hAnsi="宋体"/>
          <w:sz w:val="24"/>
        </w:rPr>
        <w:t>负责现场监督。参与磋商的供应商的所有</w:t>
      </w:r>
      <w:r>
        <w:rPr>
          <w:rFonts w:hint="eastAsia" w:ascii="宋体" w:hAnsi="宋体"/>
          <w:sz w:val="24"/>
        </w:rPr>
        <w:t>响应文件</w:t>
      </w:r>
      <w:r>
        <w:rPr>
          <w:rFonts w:ascii="宋体" w:hAnsi="宋体"/>
          <w:sz w:val="24"/>
        </w:rPr>
        <w:t>(包括每次报价及重新承诺)</w:t>
      </w:r>
      <w:r>
        <w:rPr>
          <w:rFonts w:hint="eastAsia" w:ascii="宋体" w:hAnsi="宋体"/>
          <w:sz w:val="24"/>
        </w:rPr>
        <w:t>规定</w:t>
      </w:r>
      <w:r>
        <w:rPr>
          <w:rFonts w:ascii="宋体" w:hAnsi="宋体"/>
          <w:sz w:val="24"/>
        </w:rPr>
        <w:t>截至时间前由</w:t>
      </w:r>
      <w:r>
        <w:rPr>
          <w:rFonts w:hint="eastAsia" w:ascii="宋体" w:hAnsi="宋体"/>
          <w:sz w:val="24"/>
        </w:rPr>
        <w:t>代理机构工作</w:t>
      </w:r>
      <w:r>
        <w:rPr>
          <w:rFonts w:ascii="宋体" w:hAnsi="宋体"/>
          <w:sz w:val="24"/>
        </w:rPr>
        <w:t>人员</w:t>
      </w:r>
      <w:r>
        <w:rPr>
          <w:rFonts w:hint="eastAsia" w:ascii="宋体" w:hAnsi="宋体"/>
          <w:sz w:val="24"/>
        </w:rPr>
        <w:t>进行</w:t>
      </w:r>
      <w:r>
        <w:rPr>
          <w:rFonts w:ascii="宋体" w:hAnsi="宋体"/>
          <w:sz w:val="24"/>
        </w:rPr>
        <w:t>接收，任何参与磋商的个人均不得私自拆封。磋商小组负责本次项目所有磋商任务，包括全程磋商、推荐成交候选人、填写</w:t>
      </w:r>
      <w:r>
        <w:rPr>
          <w:rFonts w:hint="eastAsia" w:ascii="宋体" w:hAnsi="宋体"/>
          <w:sz w:val="24"/>
        </w:rPr>
        <w:t>评审</w:t>
      </w:r>
      <w:r>
        <w:rPr>
          <w:rFonts w:ascii="宋体" w:hAnsi="宋体"/>
          <w:sz w:val="24"/>
        </w:rPr>
        <w:t>报告等。</w:t>
      </w:r>
    </w:p>
    <w:p w14:paraId="278AAD4A">
      <w:pPr>
        <w:spacing w:line="360" w:lineRule="auto"/>
        <w:ind w:firstLine="482" w:firstLineChars="200"/>
        <w:rPr>
          <w:rFonts w:hint="eastAsia" w:ascii="宋体" w:hAnsi="宋体"/>
          <w:b/>
          <w:sz w:val="24"/>
        </w:rPr>
      </w:pPr>
      <w:r>
        <w:rPr>
          <w:rFonts w:ascii="宋体" w:hAnsi="宋体"/>
          <w:b/>
          <w:sz w:val="24"/>
        </w:rPr>
        <w:t xml:space="preserve">3.3 </w:t>
      </w:r>
      <w:r>
        <w:rPr>
          <w:rFonts w:hint="eastAsia" w:ascii="宋体" w:hAnsi="宋体"/>
          <w:b/>
          <w:sz w:val="24"/>
        </w:rPr>
        <w:t>评审</w:t>
      </w:r>
    </w:p>
    <w:p w14:paraId="0E26B4BF">
      <w:pPr>
        <w:spacing w:line="360" w:lineRule="auto"/>
        <w:ind w:firstLine="482" w:firstLineChars="200"/>
        <w:rPr>
          <w:rFonts w:hint="eastAsia" w:ascii="宋体" w:hAnsi="宋体"/>
          <w:sz w:val="24"/>
        </w:rPr>
      </w:pPr>
      <w:r>
        <w:rPr>
          <w:rFonts w:hint="eastAsia" w:ascii="宋体" w:hAnsi="宋体"/>
          <w:b/>
          <w:sz w:val="24"/>
        </w:rPr>
        <w:t>3.</w:t>
      </w:r>
      <w:r>
        <w:rPr>
          <w:rFonts w:ascii="宋体" w:hAnsi="宋体"/>
          <w:b/>
          <w:sz w:val="24"/>
        </w:rPr>
        <w:t>3.1</w:t>
      </w:r>
      <w:r>
        <w:rPr>
          <w:rFonts w:hint="eastAsia" w:ascii="宋体" w:hAnsi="宋体"/>
          <w:sz w:val="24"/>
        </w:rPr>
        <w:t>磋商小组采用综合评分法对确定作出最终报价的供应商的响应文件进行综合评分。</w:t>
      </w:r>
    </w:p>
    <w:p w14:paraId="7DF0B416">
      <w:pPr>
        <w:spacing w:line="360" w:lineRule="auto"/>
        <w:ind w:firstLine="480" w:firstLineChars="200"/>
        <w:rPr>
          <w:rFonts w:hint="eastAsia" w:ascii="宋体" w:hAnsi="宋体"/>
          <w:sz w:val="24"/>
        </w:rPr>
      </w:pPr>
      <w:r>
        <w:rPr>
          <w:rFonts w:hint="eastAsia" w:ascii="宋体" w:hAnsi="宋体"/>
          <w:sz w:val="24"/>
        </w:rPr>
        <w:t>（1）磋商小组依据磋商文件的规定，对各</w:t>
      </w:r>
      <w:r>
        <w:rPr>
          <w:rFonts w:hint="eastAsia" w:ascii="宋体" w:hAnsi="宋体"/>
          <w:kern w:val="0"/>
          <w:sz w:val="24"/>
        </w:rPr>
        <w:t>供应商的</w:t>
      </w:r>
      <w:r>
        <w:rPr>
          <w:rFonts w:hint="eastAsia" w:ascii="宋体" w:hAnsi="宋体"/>
          <w:sz w:val="24"/>
        </w:rPr>
        <w:t>资信商务部分进行评审，对客观分应统一意见后统一给分。</w:t>
      </w:r>
    </w:p>
    <w:p w14:paraId="1639B2BF">
      <w:pPr>
        <w:spacing w:line="360" w:lineRule="auto"/>
        <w:ind w:firstLine="480" w:firstLineChars="200"/>
        <w:rPr>
          <w:rFonts w:hint="eastAsia" w:ascii="宋体" w:hAnsi="宋体"/>
          <w:sz w:val="24"/>
        </w:rPr>
      </w:pPr>
      <w:r>
        <w:rPr>
          <w:rFonts w:hint="eastAsia" w:ascii="宋体" w:hAnsi="宋体"/>
          <w:sz w:val="24"/>
        </w:rPr>
        <w:t>（2）磋商小组依据磋商文件的规定，对各</w:t>
      </w:r>
      <w:r>
        <w:rPr>
          <w:rFonts w:hint="eastAsia" w:ascii="宋体" w:hAnsi="宋体"/>
          <w:kern w:val="0"/>
          <w:sz w:val="24"/>
        </w:rPr>
        <w:t>供应商的</w:t>
      </w:r>
      <w:r>
        <w:rPr>
          <w:rFonts w:hint="eastAsia" w:ascii="宋体" w:hAnsi="宋体"/>
          <w:sz w:val="24"/>
        </w:rPr>
        <w:t>技术部分进行独立评审。对各</w:t>
      </w:r>
      <w:r>
        <w:rPr>
          <w:rFonts w:hint="eastAsia" w:ascii="宋体" w:hAnsi="宋体"/>
          <w:kern w:val="0"/>
          <w:sz w:val="24"/>
        </w:rPr>
        <w:t>响应文件</w:t>
      </w:r>
      <w:r>
        <w:rPr>
          <w:rFonts w:hint="eastAsia" w:ascii="宋体" w:hAnsi="宋体"/>
          <w:sz w:val="24"/>
        </w:rPr>
        <w:t>进行比较和必要的澄清，若有</w:t>
      </w:r>
      <w:r>
        <w:rPr>
          <w:rFonts w:ascii="宋体" w:hAnsi="宋体"/>
          <w:sz w:val="24"/>
        </w:rPr>
        <w:t>演示</w:t>
      </w:r>
      <w:r>
        <w:rPr>
          <w:rFonts w:hint="eastAsia" w:ascii="宋体" w:hAnsi="宋体"/>
          <w:sz w:val="24"/>
        </w:rPr>
        <w:t>、</w:t>
      </w:r>
      <w:r>
        <w:rPr>
          <w:rFonts w:ascii="宋体" w:hAnsi="宋体"/>
          <w:sz w:val="24"/>
        </w:rPr>
        <w:t>样品</w:t>
      </w:r>
      <w:r>
        <w:rPr>
          <w:rFonts w:hint="eastAsia" w:ascii="宋体" w:hAnsi="宋体"/>
          <w:sz w:val="24"/>
        </w:rPr>
        <w:t>要求</w:t>
      </w:r>
      <w:r>
        <w:rPr>
          <w:rFonts w:ascii="宋体" w:hAnsi="宋体"/>
          <w:sz w:val="24"/>
        </w:rPr>
        <w:t>和技术文件</w:t>
      </w:r>
      <w:r>
        <w:rPr>
          <w:rFonts w:hint="eastAsia" w:ascii="宋体" w:hAnsi="宋体"/>
          <w:sz w:val="24"/>
        </w:rPr>
        <w:t>评审同步进行，演示顺序为电子交易平台解密后自动生成的“投标（响应）文件签收登记表”名单顺序</w:t>
      </w:r>
      <w:r>
        <w:rPr>
          <w:rFonts w:ascii="宋体" w:hAnsi="宋体"/>
          <w:sz w:val="24"/>
        </w:rPr>
        <w:t>，并根据</w:t>
      </w:r>
      <w:r>
        <w:rPr>
          <w:rFonts w:hint="eastAsia" w:ascii="宋体" w:hAnsi="宋体"/>
          <w:sz w:val="24"/>
        </w:rPr>
        <w:t>审查、澄清、</w:t>
      </w:r>
      <w:r>
        <w:rPr>
          <w:rFonts w:ascii="宋体" w:hAnsi="宋体"/>
          <w:sz w:val="24"/>
        </w:rPr>
        <w:t>演示、样品等情况</w:t>
      </w:r>
      <w:r>
        <w:rPr>
          <w:rFonts w:hint="eastAsia" w:ascii="宋体" w:hAnsi="宋体"/>
          <w:sz w:val="24"/>
        </w:rPr>
        <w:t>结合评审</w:t>
      </w:r>
      <w:r>
        <w:rPr>
          <w:rFonts w:ascii="宋体" w:hAnsi="宋体"/>
          <w:sz w:val="24"/>
        </w:rPr>
        <w:t>办法</w:t>
      </w:r>
      <w:r>
        <w:rPr>
          <w:rFonts w:hint="eastAsia" w:ascii="宋体" w:hAnsi="宋体"/>
          <w:sz w:val="24"/>
        </w:rPr>
        <w:t>进行独立打分；</w:t>
      </w:r>
    </w:p>
    <w:p w14:paraId="3E8AFB84">
      <w:pPr>
        <w:spacing w:line="360" w:lineRule="auto"/>
        <w:ind w:firstLine="480" w:firstLineChars="200"/>
        <w:rPr>
          <w:rFonts w:hint="eastAsia" w:ascii="宋体" w:hAnsi="宋体"/>
          <w:sz w:val="24"/>
        </w:rPr>
      </w:pPr>
      <w:r>
        <w:rPr>
          <w:rFonts w:hint="eastAsia" w:ascii="宋体" w:hAnsi="宋体"/>
          <w:sz w:val="24"/>
        </w:rPr>
        <w:t>（3）各供应商的</w:t>
      </w:r>
      <w:r>
        <w:rPr>
          <w:rFonts w:hint="eastAsia" w:ascii="宋体" w:hAnsi="宋体"/>
          <w:sz w:val="24"/>
          <w:lang w:val="en-US" w:eastAsia="zh-CN"/>
        </w:rPr>
        <w:t>商务</w:t>
      </w:r>
      <w:r>
        <w:rPr>
          <w:rFonts w:hint="eastAsia" w:ascii="宋体" w:hAnsi="宋体"/>
          <w:sz w:val="24"/>
        </w:rPr>
        <w:t>技术得分，为各磋商小组</w:t>
      </w:r>
      <w:r>
        <w:rPr>
          <w:rFonts w:ascii="宋体" w:hAnsi="宋体"/>
          <w:sz w:val="24"/>
        </w:rPr>
        <w:t>成员</w:t>
      </w:r>
      <w:r>
        <w:rPr>
          <w:rFonts w:hint="eastAsia" w:ascii="宋体" w:hAnsi="宋体"/>
          <w:sz w:val="24"/>
        </w:rPr>
        <w:t>对该供应商的评分汇总后的算术平均数。</w:t>
      </w:r>
    </w:p>
    <w:p w14:paraId="74DFBE48">
      <w:pPr>
        <w:spacing w:line="360" w:lineRule="auto"/>
        <w:ind w:firstLine="482" w:firstLineChars="200"/>
        <w:rPr>
          <w:rFonts w:hint="eastAsia" w:ascii="宋体" w:hAnsi="宋体"/>
          <w:b/>
          <w:sz w:val="24"/>
        </w:rPr>
      </w:pPr>
      <w:r>
        <w:rPr>
          <w:rFonts w:ascii="宋体" w:hAnsi="宋体"/>
          <w:b/>
          <w:sz w:val="24"/>
        </w:rPr>
        <w:t>3.3.</w:t>
      </w:r>
      <w:r>
        <w:rPr>
          <w:rFonts w:hint="eastAsia" w:ascii="宋体" w:hAnsi="宋体"/>
          <w:b/>
          <w:sz w:val="24"/>
        </w:rPr>
        <w:t>2</w:t>
      </w:r>
      <w:r>
        <w:rPr>
          <w:rFonts w:ascii="宋体" w:hAnsi="宋体"/>
          <w:b/>
          <w:sz w:val="24"/>
        </w:rPr>
        <w:t xml:space="preserve"> </w:t>
      </w:r>
      <w:r>
        <w:rPr>
          <w:rFonts w:hint="eastAsia" w:ascii="宋体" w:hAnsi="宋体"/>
          <w:b/>
          <w:sz w:val="24"/>
        </w:rPr>
        <w:t>报价文件评审</w:t>
      </w:r>
    </w:p>
    <w:p w14:paraId="4693CD5D">
      <w:pPr>
        <w:spacing w:line="360" w:lineRule="auto"/>
        <w:ind w:firstLine="480" w:firstLineChars="200"/>
        <w:rPr>
          <w:rFonts w:hint="eastAsia" w:ascii="宋体" w:hAnsi="宋体"/>
          <w:sz w:val="24"/>
        </w:rPr>
      </w:pPr>
      <w:r>
        <w:rPr>
          <w:rFonts w:hint="eastAsia" w:ascii="宋体" w:hAnsi="宋体"/>
          <w:sz w:val="24"/>
        </w:rPr>
        <w:t>（1）磋商</w:t>
      </w:r>
      <w:r>
        <w:rPr>
          <w:rFonts w:ascii="宋体" w:hAnsi="宋体"/>
          <w:sz w:val="24"/>
        </w:rPr>
        <w:t>小组</w:t>
      </w:r>
      <w:r>
        <w:rPr>
          <w:rFonts w:hint="eastAsia" w:ascii="宋体" w:hAnsi="宋体"/>
          <w:sz w:val="24"/>
        </w:rPr>
        <w:t>依据磋商文件的规定，对各供应商报价文件的符合性进行审查，必要时可要求供应商对其报价做出澄清、说明。</w:t>
      </w:r>
    </w:p>
    <w:p w14:paraId="2F3A3058">
      <w:pPr>
        <w:spacing w:line="360" w:lineRule="auto"/>
        <w:ind w:firstLine="480" w:firstLineChars="200"/>
        <w:rPr>
          <w:rFonts w:hint="eastAsia" w:ascii="宋体" w:hAnsi="宋体"/>
          <w:sz w:val="24"/>
        </w:rPr>
      </w:pPr>
      <w:r>
        <w:rPr>
          <w:rFonts w:hint="eastAsia" w:ascii="宋体" w:hAnsi="宋体"/>
          <w:sz w:val="24"/>
        </w:rPr>
        <w:t>（2）供应商提交最终报价；</w:t>
      </w:r>
    </w:p>
    <w:p w14:paraId="665D655A">
      <w:pPr>
        <w:spacing w:line="360" w:lineRule="auto"/>
        <w:ind w:firstLine="480" w:firstLineChars="200"/>
        <w:rPr>
          <w:rFonts w:hint="eastAsia" w:ascii="宋体" w:hAnsi="宋体"/>
          <w:sz w:val="24"/>
        </w:rPr>
      </w:pPr>
      <w:r>
        <w:rPr>
          <w:rFonts w:hint="eastAsia" w:ascii="宋体" w:hAnsi="宋体"/>
          <w:sz w:val="24"/>
        </w:rPr>
        <w:t>（3）代理机构通过电子交易平台公布各供应商</w:t>
      </w:r>
      <w:r>
        <w:rPr>
          <w:rFonts w:hint="eastAsia" w:ascii="宋体" w:hAnsi="宋体"/>
          <w:sz w:val="24"/>
          <w:lang w:val="en-US" w:eastAsia="zh-CN"/>
        </w:rPr>
        <w:t>商务</w:t>
      </w:r>
      <w:r>
        <w:rPr>
          <w:rFonts w:hint="eastAsia" w:ascii="宋体" w:hAnsi="宋体"/>
          <w:sz w:val="24"/>
        </w:rPr>
        <w:t>技术得分。</w:t>
      </w:r>
    </w:p>
    <w:p w14:paraId="28060F2E">
      <w:pPr>
        <w:spacing w:line="360" w:lineRule="auto"/>
        <w:ind w:firstLine="480" w:firstLineChars="200"/>
        <w:rPr>
          <w:rFonts w:hint="eastAsia" w:ascii="宋体" w:hAnsi="宋体"/>
          <w:sz w:val="24"/>
        </w:rPr>
      </w:pPr>
      <w:r>
        <w:rPr>
          <w:rFonts w:hint="eastAsia" w:ascii="宋体" w:hAnsi="宋体"/>
          <w:sz w:val="24"/>
        </w:rPr>
        <w:t>（4）磋商小组依据磋商文件的规定，对各供应商的最终报价的合理性进行审查，必要时可要求供应商对其报价做出澄清、说明。</w:t>
      </w:r>
    </w:p>
    <w:p w14:paraId="0B811741">
      <w:pPr>
        <w:spacing w:line="360" w:lineRule="auto"/>
        <w:ind w:firstLine="480" w:firstLineChars="200"/>
        <w:rPr>
          <w:rFonts w:hint="eastAsia" w:ascii="宋体" w:hAnsi="宋体"/>
          <w:sz w:val="24"/>
        </w:rPr>
      </w:pPr>
      <w:r>
        <w:rPr>
          <w:rFonts w:hint="eastAsia" w:ascii="宋体" w:hAnsi="宋体"/>
          <w:sz w:val="24"/>
        </w:rPr>
        <w:t xml:space="preserve">（5）报价修正； </w:t>
      </w:r>
    </w:p>
    <w:p w14:paraId="7265CD49">
      <w:pPr>
        <w:tabs>
          <w:tab w:val="left" w:pos="3285"/>
        </w:tabs>
        <w:spacing w:line="360" w:lineRule="auto"/>
        <w:ind w:firstLine="480" w:firstLineChars="200"/>
        <w:rPr>
          <w:rFonts w:hint="eastAsia" w:ascii="宋体" w:hAnsi="宋体"/>
          <w:sz w:val="24"/>
        </w:rPr>
      </w:pPr>
      <w:r>
        <w:rPr>
          <w:rFonts w:hint="eastAsia" w:ascii="宋体" w:hAnsi="宋体"/>
          <w:sz w:val="24"/>
        </w:rPr>
        <w:t>（6）政府政策优惠扣除；</w:t>
      </w:r>
    </w:p>
    <w:p w14:paraId="46815DF5">
      <w:pPr>
        <w:spacing w:line="360" w:lineRule="auto"/>
        <w:ind w:firstLine="480" w:firstLineChars="200"/>
        <w:rPr>
          <w:rFonts w:hint="eastAsia" w:ascii="宋体" w:hAnsi="宋体"/>
          <w:sz w:val="24"/>
        </w:rPr>
      </w:pPr>
      <w:r>
        <w:rPr>
          <w:rFonts w:hint="eastAsia" w:ascii="宋体" w:hAnsi="宋体"/>
          <w:sz w:val="24"/>
        </w:rPr>
        <w:t>（7）磋商小组根据供应商的报价和评审</w:t>
      </w:r>
      <w:r>
        <w:rPr>
          <w:rFonts w:ascii="宋体" w:hAnsi="宋体"/>
          <w:sz w:val="24"/>
        </w:rPr>
        <w:t>标准</w:t>
      </w:r>
      <w:r>
        <w:rPr>
          <w:rFonts w:hint="eastAsia" w:ascii="宋体" w:hAnsi="宋体"/>
          <w:sz w:val="24"/>
        </w:rPr>
        <w:t>，计算各供应商的报价得分。</w:t>
      </w:r>
    </w:p>
    <w:p w14:paraId="6BFE6455">
      <w:pPr>
        <w:spacing w:line="360" w:lineRule="auto"/>
        <w:ind w:firstLine="482" w:firstLineChars="200"/>
        <w:rPr>
          <w:rFonts w:hint="eastAsia" w:ascii="宋体" w:hAnsi="宋体"/>
          <w:b/>
          <w:sz w:val="24"/>
        </w:rPr>
      </w:pPr>
      <w:r>
        <w:rPr>
          <w:rFonts w:ascii="宋体" w:hAnsi="宋体"/>
          <w:b/>
          <w:sz w:val="24"/>
        </w:rPr>
        <w:t>3.4</w:t>
      </w:r>
      <w:r>
        <w:rPr>
          <w:rFonts w:hint="eastAsia" w:ascii="宋体" w:hAnsi="宋体"/>
          <w:b/>
          <w:sz w:val="24"/>
        </w:rPr>
        <w:t xml:space="preserve"> 评审结果</w:t>
      </w:r>
    </w:p>
    <w:p w14:paraId="195BF30A">
      <w:pPr>
        <w:spacing w:line="360" w:lineRule="auto"/>
        <w:ind w:firstLine="480" w:firstLineChars="200"/>
        <w:rPr>
          <w:rFonts w:hint="eastAsia" w:ascii="宋体" w:hAnsi="宋体"/>
          <w:sz w:val="24"/>
        </w:rPr>
      </w:pPr>
      <w:r>
        <w:rPr>
          <w:rFonts w:hint="eastAsia" w:ascii="宋体" w:hAnsi="宋体"/>
          <w:sz w:val="24"/>
        </w:rPr>
        <w:t>3.</w:t>
      </w:r>
      <w:r>
        <w:rPr>
          <w:rFonts w:ascii="宋体" w:hAnsi="宋体"/>
          <w:sz w:val="24"/>
        </w:rPr>
        <w:t>4</w:t>
      </w:r>
      <w:r>
        <w:rPr>
          <w:rFonts w:hint="eastAsia" w:ascii="宋体" w:hAnsi="宋体"/>
          <w:sz w:val="24"/>
        </w:rPr>
        <w:t>.1 评审结果汇总，供应商结果排序；</w:t>
      </w:r>
    </w:p>
    <w:p w14:paraId="7787784F">
      <w:pPr>
        <w:spacing w:line="360" w:lineRule="auto"/>
        <w:ind w:firstLine="480" w:firstLineChars="200"/>
        <w:rPr>
          <w:rFonts w:hint="eastAsia" w:ascii="宋体" w:hAnsi="宋体"/>
          <w:sz w:val="24"/>
        </w:rPr>
      </w:pPr>
      <w:r>
        <w:rPr>
          <w:rFonts w:hint="eastAsia" w:ascii="宋体" w:hAnsi="宋体"/>
          <w:sz w:val="24"/>
        </w:rPr>
        <w:t>3.</w:t>
      </w:r>
      <w:r>
        <w:rPr>
          <w:rFonts w:ascii="宋体" w:hAnsi="宋体"/>
          <w:sz w:val="24"/>
        </w:rPr>
        <w:t>4</w:t>
      </w:r>
      <w:r>
        <w:rPr>
          <w:rFonts w:hint="eastAsia" w:ascii="宋体" w:hAnsi="宋体"/>
          <w:sz w:val="24"/>
        </w:rPr>
        <w:t>.2 起草评审报告，确定成交候选人。</w:t>
      </w:r>
    </w:p>
    <w:p w14:paraId="231F58F3">
      <w:pPr>
        <w:spacing w:line="360" w:lineRule="auto"/>
        <w:ind w:firstLine="482" w:firstLineChars="200"/>
        <w:rPr>
          <w:rFonts w:hint="eastAsia" w:ascii="宋体" w:hAnsi="宋体"/>
          <w:sz w:val="24"/>
        </w:rPr>
      </w:pPr>
      <w:r>
        <w:rPr>
          <w:rFonts w:hint="eastAsia" w:ascii="宋体" w:hAnsi="宋体"/>
          <w:b/>
          <w:sz w:val="24"/>
        </w:rPr>
        <w:t>3.5 结果公布。</w:t>
      </w:r>
    </w:p>
    <w:p w14:paraId="04A42BA3">
      <w:pPr>
        <w:pStyle w:val="7"/>
        <w:spacing w:after="0"/>
        <w:ind w:firstLine="0" w:firstLineChars="0"/>
        <w:rPr>
          <w:rFonts w:hint="eastAsia" w:ascii="宋体" w:hAnsi="宋体"/>
          <w:sz w:val="32"/>
        </w:rPr>
      </w:pPr>
      <w:bookmarkStart w:id="465" w:name="_Toc18789"/>
      <w:bookmarkStart w:id="466" w:name="_Toc16478"/>
      <w:bookmarkStart w:id="467" w:name="_Toc841"/>
      <w:bookmarkStart w:id="468" w:name="_Toc94277268"/>
      <w:bookmarkStart w:id="469" w:name="_Toc31469"/>
      <w:bookmarkStart w:id="470" w:name="_Toc26788"/>
      <w:r>
        <w:rPr>
          <w:rFonts w:hint="eastAsia" w:ascii="宋体" w:hAnsi="宋体"/>
          <w:sz w:val="32"/>
        </w:rPr>
        <w:t xml:space="preserve">四   </w:t>
      </w:r>
      <w:bookmarkEnd w:id="447"/>
      <w:r>
        <w:rPr>
          <w:rFonts w:hint="eastAsia" w:ascii="宋体" w:hAnsi="宋体"/>
          <w:sz w:val="32"/>
        </w:rPr>
        <w:t>磋商内容及规定</w:t>
      </w:r>
      <w:bookmarkEnd w:id="448"/>
      <w:bookmarkEnd w:id="465"/>
      <w:bookmarkEnd w:id="466"/>
      <w:bookmarkEnd w:id="467"/>
      <w:bookmarkEnd w:id="468"/>
      <w:bookmarkEnd w:id="469"/>
      <w:bookmarkEnd w:id="470"/>
    </w:p>
    <w:p w14:paraId="292AB906">
      <w:pPr>
        <w:spacing w:line="360" w:lineRule="auto"/>
        <w:ind w:firstLine="480" w:firstLineChars="200"/>
        <w:rPr>
          <w:rFonts w:hint="eastAsia" w:ascii="宋体" w:hAnsi="宋体"/>
          <w:sz w:val="24"/>
        </w:rPr>
      </w:pPr>
      <w:r>
        <w:rPr>
          <w:rFonts w:hint="eastAsia" w:ascii="宋体" w:hAnsi="宋体"/>
          <w:sz w:val="24"/>
        </w:rPr>
        <w:t>4.本评审办法采用综合评分法,总分100分。</w:t>
      </w:r>
    </w:p>
    <w:p w14:paraId="6708E67B">
      <w:pPr>
        <w:spacing w:line="360" w:lineRule="auto"/>
        <w:ind w:firstLine="480" w:firstLineChars="200"/>
        <w:rPr>
          <w:rFonts w:hint="eastAsia" w:ascii="宋体" w:hAnsi="宋体"/>
          <w:sz w:val="24"/>
        </w:rPr>
      </w:pPr>
      <w:r>
        <w:rPr>
          <w:rFonts w:hint="eastAsia" w:ascii="宋体" w:hAnsi="宋体"/>
          <w:sz w:val="24"/>
        </w:rPr>
        <w:t>4.1商务技术文件权重为90%，分值为90分，磋商小组对各磋商文件的</w:t>
      </w:r>
      <w:r>
        <w:rPr>
          <w:rFonts w:hint="eastAsia" w:ascii="宋体" w:hAnsi="宋体"/>
          <w:sz w:val="24"/>
          <w:lang w:val="en-US" w:eastAsia="zh-CN"/>
        </w:rPr>
        <w:t>商务技术</w:t>
      </w:r>
      <w:r>
        <w:rPr>
          <w:rFonts w:hint="eastAsia" w:ascii="宋体" w:hAnsi="宋体"/>
          <w:sz w:val="24"/>
        </w:rPr>
        <w:t>部分经充分审核、讨论后，在规定的分值内由磋商小组单独评定打分。如果某个单项的打分超过所规定的分值范围，则该张打分表无效。</w:t>
      </w:r>
    </w:p>
    <w:p w14:paraId="5B7EEB93">
      <w:pPr>
        <w:spacing w:line="360" w:lineRule="auto"/>
        <w:ind w:firstLine="480" w:firstLineChars="200"/>
        <w:rPr>
          <w:rFonts w:hint="eastAsia" w:ascii="宋体" w:hAnsi="宋体"/>
          <w:sz w:val="24"/>
        </w:rPr>
      </w:pPr>
      <w:r>
        <w:rPr>
          <w:rFonts w:hint="eastAsia" w:ascii="宋体" w:hAnsi="宋体"/>
          <w:sz w:val="24"/>
        </w:rPr>
        <w:t>4.2磋商报价权重为10%，分值为10分，磋商小组按各磋商供应商的最终磋商报价统一计算。</w:t>
      </w:r>
    </w:p>
    <w:p w14:paraId="2F206003">
      <w:pPr>
        <w:pStyle w:val="7"/>
        <w:spacing w:after="0"/>
        <w:ind w:firstLine="0" w:firstLineChars="0"/>
        <w:rPr>
          <w:rFonts w:hint="eastAsia" w:ascii="宋体" w:hAnsi="宋体"/>
          <w:sz w:val="32"/>
        </w:rPr>
      </w:pPr>
      <w:bookmarkStart w:id="471" w:name="_Toc2319"/>
      <w:bookmarkStart w:id="472" w:name="_Toc94277269"/>
      <w:bookmarkStart w:id="473" w:name="_Toc25914"/>
      <w:bookmarkStart w:id="474" w:name="_Toc12525"/>
      <w:bookmarkStart w:id="475" w:name="_Toc2804"/>
      <w:bookmarkStart w:id="476" w:name="_Toc19313"/>
      <w:bookmarkStart w:id="477" w:name="_Toc335664301"/>
      <w:bookmarkStart w:id="478" w:name="_Toc390938606"/>
      <w:r>
        <w:rPr>
          <w:rFonts w:hint="eastAsia" w:ascii="宋体" w:hAnsi="宋体"/>
          <w:sz w:val="32"/>
        </w:rPr>
        <w:t>五   评标办法和细则</w:t>
      </w:r>
      <w:bookmarkEnd w:id="471"/>
      <w:bookmarkEnd w:id="472"/>
      <w:bookmarkEnd w:id="473"/>
      <w:bookmarkEnd w:id="474"/>
      <w:bookmarkEnd w:id="475"/>
      <w:bookmarkEnd w:id="476"/>
    </w:p>
    <w:p w14:paraId="0810255D">
      <w:pPr>
        <w:spacing w:line="360" w:lineRule="auto"/>
        <w:jc w:val="left"/>
        <w:rPr>
          <w:rFonts w:hint="eastAsia" w:ascii="宋体" w:hAnsi="宋体"/>
          <w:b/>
          <w:sz w:val="24"/>
        </w:rPr>
      </w:pPr>
      <w:bookmarkStart w:id="479" w:name="_Toc94277270"/>
      <w:r>
        <w:rPr>
          <w:rFonts w:hint="eastAsia" w:ascii="宋体" w:hAnsi="宋体" w:cs="宋体"/>
          <w:b/>
          <w:sz w:val="24"/>
        </w:rPr>
        <w:t>5.1</w:t>
      </w:r>
      <w:r>
        <w:rPr>
          <w:rFonts w:hint="eastAsia" w:ascii="宋体" w:hAnsi="宋体"/>
          <w:b/>
          <w:sz w:val="24"/>
          <w:lang w:val="en-US" w:eastAsia="zh-CN"/>
        </w:rPr>
        <w:t>商务技术</w:t>
      </w:r>
      <w:r>
        <w:rPr>
          <w:rFonts w:hint="eastAsia" w:ascii="宋体" w:hAnsi="宋体"/>
          <w:b/>
          <w:sz w:val="24"/>
        </w:rPr>
        <w:t>分值共90分，权重为90%，由磋商小组成员独立打分（客观分由磋商小组成员统一打分）。</w:t>
      </w:r>
    </w:p>
    <w:tbl>
      <w:tblPr>
        <w:tblStyle w:val="33"/>
        <w:tblW w:w="0" w:type="auto"/>
        <w:tblInd w:w="0" w:type="dxa"/>
        <w:tblLayout w:type="fixed"/>
        <w:tblCellMar>
          <w:top w:w="0" w:type="dxa"/>
          <w:left w:w="108" w:type="dxa"/>
          <w:bottom w:w="0" w:type="dxa"/>
          <w:right w:w="108" w:type="dxa"/>
        </w:tblCellMar>
      </w:tblPr>
      <w:tblGrid>
        <w:gridCol w:w="945"/>
        <w:gridCol w:w="1406"/>
        <w:gridCol w:w="5829"/>
        <w:gridCol w:w="1183"/>
      </w:tblGrid>
      <w:tr w14:paraId="1CBFEFCB">
        <w:tblPrEx>
          <w:tblCellMar>
            <w:top w:w="0" w:type="dxa"/>
            <w:left w:w="108" w:type="dxa"/>
            <w:bottom w:w="0" w:type="dxa"/>
            <w:right w:w="108" w:type="dxa"/>
          </w:tblCellMar>
        </w:tblPrEx>
        <w:trPr>
          <w:trHeight w:val="624" w:hRule="atLeast"/>
        </w:trPr>
        <w:tc>
          <w:tcPr>
            <w:tcW w:w="945" w:type="dxa"/>
            <w:tcBorders>
              <w:top w:val="single" w:color="auto" w:sz="4" w:space="0"/>
              <w:left w:val="single" w:color="auto" w:sz="4" w:space="0"/>
              <w:bottom w:val="single" w:color="auto" w:sz="4" w:space="0"/>
              <w:right w:val="single" w:color="000000" w:sz="4" w:space="0"/>
            </w:tcBorders>
            <w:vAlign w:val="center"/>
          </w:tcPr>
          <w:p w14:paraId="6E762531">
            <w:pPr>
              <w:widowControl/>
              <w:jc w:val="center"/>
              <w:textAlignment w:val="center"/>
              <w:rPr>
                <w:rFonts w:hint="eastAsia" w:ascii="宋体" w:hAnsi="宋体" w:cs="宋体"/>
                <w:b/>
                <w:bCs/>
                <w:sz w:val="24"/>
              </w:rPr>
            </w:pPr>
            <w:r>
              <w:rPr>
                <w:rFonts w:hint="eastAsia" w:ascii="宋体" w:hAnsi="宋体" w:cs="宋体"/>
                <w:b/>
                <w:bCs/>
                <w:kern w:val="0"/>
                <w:sz w:val="24"/>
                <w:lang w:bidi="ar"/>
              </w:rPr>
              <w:t>序号</w:t>
            </w:r>
          </w:p>
        </w:tc>
        <w:tc>
          <w:tcPr>
            <w:tcW w:w="1406" w:type="dxa"/>
            <w:tcBorders>
              <w:top w:val="single" w:color="auto" w:sz="4" w:space="0"/>
              <w:left w:val="single" w:color="000000" w:sz="4" w:space="0"/>
              <w:bottom w:val="single" w:color="auto" w:sz="4" w:space="0"/>
              <w:right w:val="single" w:color="000000" w:sz="4" w:space="0"/>
            </w:tcBorders>
            <w:vAlign w:val="center"/>
          </w:tcPr>
          <w:p w14:paraId="457DC2C9">
            <w:pPr>
              <w:widowControl/>
              <w:jc w:val="center"/>
              <w:textAlignment w:val="center"/>
              <w:rPr>
                <w:rFonts w:hint="eastAsia" w:ascii="宋体" w:hAnsi="宋体" w:cs="宋体"/>
                <w:b/>
                <w:bCs/>
                <w:sz w:val="24"/>
              </w:rPr>
            </w:pPr>
            <w:r>
              <w:rPr>
                <w:rFonts w:hint="eastAsia" w:ascii="宋体" w:hAnsi="宋体" w:cs="宋体"/>
                <w:b/>
                <w:bCs/>
                <w:kern w:val="0"/>
                <w:sz w:val="24"/>
                <w:lang w:bidi="ar"/>
              </w:rPr>
              <w:t>评审内容</w:t>
            </w:r>
          </w:p>
        </w:tc>
        <w:tc>
          <w:tcPr>
            <w:tcW w:w="5829" w:type="dxa"/>
            <w:tcBorders>
              <w:top w:val="single" w:color="auto" w:sz="4" w:space="0"/>
              <w:left w:val="single" w:color="000000" w:sz="4" w:space="0"/>
              <w:bottom w:val="single" w:color="auto" w:sz="4" w:space="0"/>
              <w:right w:val="single" w:color="000000" w:sz="4" w:space="0"/>
            </w:tcBorders>
            <w:vAlign w:val="center"/>
          </w:tcPr>
          <w:p w14:paraId="04A667C6">
            <w:pPr>
              <w:widowControl/>
              <w:jc w:val="center"/>
              <w:textAlignment w:val="center"/>
              <w:rPr>
                <w:rFonts w:hint="eastAsia" w:ascii="宋体" w:hAnsi="宋体" w:cs="宋体"/>
                <w:b/>
                <w:bCs/>
                <w:sz w:val="24"/>
              </w:rPr>
            </w:pPr>
            <w:r>
              <w:rPr>
                <w:rFonts w:hint="eastAsia" w:ascii="宋体" w:hAnsi="宋体" w:cs="宋体"/>
                <w:b/>
                <w:bCs/>
                <w:kern w:val="0"/>
                <w:sz w:val="24"/>
                <w:lang w:bidi="ar"/>
              </w:rPr>
              <w:t>评审标准</w:t>
            </w:r>
          </w:p>
        </w:tc>
        <w:tc>
          <w:tcPr>
            <w:tcW w:w="1183" w:type="dxa"/>
            <w:tcBorders>
              <w:top w:val="single" w:color="auto" w:sz="4" w:space="0"/>
              <w:left w:val="single" w:color="000000" w:sz="4" w:space="0"/>
              <w:bottom w:val="single" w:color="000000" w:sz="4" w:space="0"/>
              <w:right w:val="single" w:color="auto" w:sz="4" w:space="0"/>
            </w:tcBorders>
            <w:vAlign w:val="center"/>
          </w:tcPr>
          <w:p w14:paraId="7EE7C6BB">
            <w:pPr>
              <w:widowControl/>
              <w:jc w:val="center"/>
              <w:textAlignment w:val="center"/>
              <w:rPr>
                <w:rFonts w:hint="eastAsia" w:ascii="宋体" w:hAnsi="宋体" w:cs="宋体"/>
                <w:b/>
                <w:bCs/>
                <w:sz w:val="24"/>
              </w:rPr>
            </w:pPr>
            <w:r>
              <w:rPr>
                <w:rFonts w:hint="eastAsia" w:ascii="宋体" w:hAnsi="宋体" w:cs="宋体"/>
                <w:b/>
                <w:bCs/>
                <w:kern w:val="0"/>
                <w:sz w:val="24"/>
                <w:lang w:bidi="ar"/>
              </w:rPr>
              <w:t>分值</w:t>
            </w:r>
          </w:p>
        </w:tc>
      </w:tr>
      <w:tr w14:paraId="1B59E419">
        <w:tblPrEx>
          <w:tblCellMar>
            <w:top w:w="0" w:type="dxa"/>
            <w:left w:w="108" w:type="dxa"/>
            <w:bottom w:w="0" w:type="dxa"/>
            <w:right w:w="108" w:type="dxa"/>
          </w:tblCellMar>
        </w:tblPrEx>
        <w:trPr>
          <w:trHeight w:val="2185" w:hRule="atLeast"/>
        </w:trPr>
        <w:tc>
          <w:tcPr>
            <w:tcW w:w="945" w:type="dxa"/>
            <w:tcBorders>
              <w:top w:val="single" w:color="auto" w:sz="4" w:space="0"/>
              <w:left w:val="single" w:color="auto" w:sz="4" w:space="0"/>
              <w:bottom w:val="single" w:color="auto" w:sz="4" w:space="0"/>
              <w:right w:val="single" w:color="auto" w:sz="4" w:space="0"/>
            </w:tcBorders>
            <w:vAlign w:val="center"/>
          </w:tcPr>
          <w:p w14:paraId="0A5EFBF7">
            <w:pPr>
              <w:widowControl/>
              <w:spacing w:line="360" w:lineRule="auto"/>
              <w:jc w:val="center"/>
              <w:textAlignment w:val="center"/>
              <w:rPr>
                <w:rFonts w:hint="eastAsia" w:ascii="宋体" w:hAnsi="宋体" w:cs="宋体"/>
                <w:sz w:val="24"/>
              </w:rPr>
            </w:pPr>
            <w:r>
              <w:rPr>
                <w:rFonts w:hint="eastAsia" w:ascii="宋体" w:hAnsi="宋体" w:cs="宋体"/>
                <w:kern w:val="0"/>
                <w:sz w:val="24"/>
                <w:lang w:bidi="ar"/>
              </w:rPr>
              <w:t>1</w:t>
            </w:r>
          </w:p>
        </w:tc>
        <w:tc>
          <w:tcPr>
            <w:tcW w:w="1406" w:type="dxa"/>
            <w:tcBorders>
              <w:top w:val="single" w:color="auto" w:sz="4" w:space="0"/>
              <w:left w:val="single" w:color="auto" w:sz="4" w:space="0"/>
              <w:bottom w:val="single" w:color="auto" w:sz="4" w:space="0"/>
              <w:right w:val="single" w:color="auto" w:sz="4" w:space="0"/>
            </w:tcBorders>
            <w:vAlign w:val="center"/>
          </w:tcPr>
          <w:p w14:paraId="687D9669">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cs="宋体"/>
                <w:sz w:val="24"/>
              </w:rPr>
            </w:pPr>
            <w:r>
              <w:rPr>
                <w:rFonts w:hint="eastAsia" w:ascii="宋体" w:hAnsi="宋体" w:eastAsia="宋体" w:cs="宋体"/>
                <w:bCs/>
                <w:color w:val="auto"/>
                <w:sz w:val="24"/>
                <w:szCs w:val="24"/>
                <w:highlight w:val="none"/>
              </w:rPr>
              <w:t>供应商业绩（</w:t>
            </w:r>
            <w:r>
              <w:rPr>
                <w:rFonts w:hint="eastAsia" w:ascii="宋体" w:hAnsi="宋体" w:eastAsia="宋体" w:cs="宋体"/>
                <w:bCs/>
                <w:color w:val="auto"/>
                <w:sz w:val="24"/>
                <w:szCs w:val="24"/>
                <w:highlight w:val="none"/>
                <w:lang w:val="en-US" w:eastAsia="zh-CN"/>
              </w:rPr>
              <w:t>1</w:t>
            </w:r>
            <w:r>
              <w:rPr>
                <w:rFonts w:hint="eastAsia" w:ascii="宋体" w:hAnsi="宋体" w:eastAsia="宋体" w:cs="宋体"/>
                <w:bCs/>
                <w:color w:val="auto"/>
                <w:sz w:val="24"/>
                <w:szCs w:val="24"/>
                <w:highlight w:val="none"/>
              </w:rPr>
              <w:t>分）</w:t>
            </w:r>
          </w:p>
        </w:tc>
        <w:tc>
          <w:tcPr>
            <w:tcW w:w="5829" w:type="dxa"/>
            <w:tcBorders>
              <w:top w:val="single" w:color="auto" w:sz="4" w:space="0"/>
              <w:left w:val="single" w:color="auto" w:sz="4" w:space="0"/>
              <w:bottom w:val="single" w:color="auto" w:sz="4" w:space="0"/>
              <w:right w:val="single" w:color="auto" w:sz="4" w:space="0"/>
            </w:tcBorders>
            <w:vAlign w:val="center"/>
          </w:tcPr>
          <w:p w14:paraId="1849F0A1">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cs="宋体"/>
                <w:bCs/>
                <w:color w:val="auto"/>
                <w:sz w:val="24"/>
                <w:highlight w:val="none"/>
              </w:rPr>
            </w:pPr>
            <w:r>
              <w:rPr>
                <w:rFonts w:hint="eastAsia" w:ascii="宋体" w:hAnsi="宋体" w:cs="宋体"/>
                <w:bCs/>
                <w:color w:val="auto"/>
                <w:sz w:val="24"/>
                <w:highlight w:val="none"/>
              </w:rPr>
              <w:t>供应商自20</w:t>
            </w:r>
            <w:r>
              <w:rPr>
                <w:rFonts w:hint="eastAsia" w:ascii="宋体" w:hAnsi="宋体" w:cs="宋体"/>
                <w:bCs/>
                <w:color w:val="auto"/>
                <w:sz w:val="24"/>
                <w:highlight w:val="none"/>
                <w:lang w:val="en-US" w:eastAsia="zh-CN"/>
              </w:rPr>
              <w:t>22</w:t>
            </w:r>
            <w:r>
              <w:rPr>
                <w:rFonts w:hint="eastAsia" w:ascii="宋体" w:hAnsi="宋体" w:cs="宋体"/>
                <w:bCs/>
                <w:color w:val="auto"/>
                <w:sz w:val="24"/>
                <w:highlight w:val="none"/>
              </w:rPr>
              <w:t>年1月1日（以合同签订时间为准）至磋商截止日止，</w:t>
            </w:r>
            <w:r>
              <w:rPr>
                <w:rFonts w:hint="eastAsia" w:ascii="宋体" w:hAnsi="宋体" w:cs="宋体"/>
                <w:color w:val="auto"/>
                <w:kern w:val="0"/>
                <w:sz w:val="24"/>
                <w:highlight w:val="none"/>
                <w:lang w:val="zh-CN"/>
              </w:rPr>
              <w:t>从事过类似项目的</w:t>
            </w:r>
            <w:r>
              <w:rPr>
                <w:rFonts w:hint="eastAsia" w:ascii="宋体" w:hAnsi="宋体" w:cs="宋体"/>
                <w:bCs/>
                <w:color w:val="auto"/>
                <w:sz w:val="24"/>
                <w:highlight w:val="none"/>
              </w:rPr>
              <w:t>，每提供1个合同得0.5分，最高得</w:t>
            </w:r>
            <w:r>
              <w:rPr>
                <w:rFonts w:hint="eastAsia" w:ascii="宋体" w:hAnsi="宋体" w:cs="宋体"/>
                <w:bCs/>
                <w:color w:val="auto"/>
                <w:sz w:val="24"/>
                <w:highlight w:val="none"/>
                <w:lang w:val="en-US" w:eastAsia="zh-CN"/>
              </w:rPr>
              <w:t>1</w:t>
            </w:r>
            <w:r>
              <w:rPr>
                <w:rFonts w:hint="eastAsia" w:ascii="宋体" w:hAnsi="宋体" w:cs="宋体"/>
                <w:bCs/>
                <w:color w:val="auto"/>
                <w:sz w:val="24"/>
                <w:highlight w:val="none"/>
              </w:rPr>
              <w:t>分</w:t>
            </w:r>
            <w:r>
              <w:rPr>
                <w:rFonts w:hint="eastAsia" w:ascii="宋体" w:hAnsi="宋体" w:cs="宋体"/>
                <w:color w:val="auto"/>
                <w:kern w:val="0"/>
                <w:sz w:val="24"/>
                <w:highlight w:val="none"/>
                <w:lang w:val="zh-CN"/>
              </w:rPr>
              <w:t>。</w:t>
            </w:r>
          </w:p>
          <w:p w14:paraId="271CC900">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cs="宋体"/>
                <w:b/>
                <w:bCs/>
                <w:sz w:val="24"/>
              </w:rPr>
            </w:pPr>
            <w:r>
              <w:rPr>
                <w:rFonts w:hint="eastAsia" w:ascii="宋体" w:hAnsi="宋体"/>
                <w:b/>
                <w:bCs/>
                <w:color w:val="auto"/>
                <w:sz w:val="24"/>
                <w:highlight w:val="none"/>
              </w:rPr>
              <w:t>注：</w:t>
            </w:r>
            <w:r>
              <w:rPr>
                <w:rFonts w:hint="eastAsia" w:ascii="宋体" w:hAnsi="宋体" w:eastAsia="宋体" w:cs="宋体"/>
                <w:b/>
                <w:color w:val="auto"/>
                <w:sz w:val="24"/>
                <w:szCs w:val="24"/>
                <w:highlight w:val="none"/>
                <w:lang w:bidi="ar"/>
              </w:rPr>
              <w:t>1、</w:t>
            </w:r>
            <w:r>
              <w:rPr>
                <w:rFonts w:hint="eastAsia" w:ascii="宋体" w:hAnsi="宋体" w:eastAsia="宋体" w:cs="宋体"/>
                <w:b/>
                <w:color w:val="auto"/>
                <w:sz w:val="24"/>
                <w:szCs w:val="24"/>
                <w:highlight w:val="none"/>
                <w:lang w:eastAsia="zh-CN" w:bidi="ar"/>
              </w:rPr>
              <w:t>须将</w:t>
            </w:r>
            <w:r>
              <w:rPr>
                <w:rFonts w:hint="eastAsia" w:ascii="宋体" w:hAnsi="宋体" w:eastAsia="宋体" w:cs="宋体"/>
                <w:b/>
                <w:color w:val="auto"/>
                <w:sz w:val="24"/>
                <w:szCs w:val="24"/>
                <w:highlight w:val="none"/>
                <w:lang w:bidi="ar"/>
              </w:rPr>
              <w:t>合同扫描件</w:t>
            </w:r>
            <w:r>
              <w:rPr>
                <w:rFonts w:hint="eastAsia" w:ascii="宋体" w:hAnsi="宋体" w:eastAsia="宋体" w:cs="宋体"/>
                <w:b/>
                <w:color w:val="auto"/>
                <w:sz w:val="24"/>
                <w:szCs w:val="24"/>
                <w:highlight w:val="none"/>
                <w:lang w:eastAsia="zh-CN" w:bidi="ar"/>
              </w:rPr>
              <w:t>（</w:t>
            </w:r>
            <w:r>
              <w:rPr>
                <w:rFonts w:hint="eastAsia" w:ascii="宋体" w:hAnsi="宋体" w:eastAsia="宋体" w:cs="宋体"/>
                <w:b/>
                <w:bCs w:val="0"/>
                <w:color w:val="auto"/>
                <w:kern w:val="2"/>
                <w:sz w:val="24"/>
                <w:szCs w:val="24"/>
                <w:highlight w:val="none"/>
                <w:lang w:val="en-US" w:eastAsia="zh-CN" w:bidi="ar"/>
              </w:rPr>
              <w:t>合同首页、服务内容页、服务金额、落款盖章页等关键页面）</w:t>
            </w:r>
            <w:r>
              <w:rPr>
                <w:rFonts w:hint="eastAsia" w:ascii="宋体" w:hAnsi="宋体" w:eastAsia="宋体" w:cs="宋体"/>
                <w:b/>
                <w:color w:val="auto"/>
                <w:sz w:val="24"/>
                <w:szCs w:val="24"/>
                <w:highlight w:val="none"/>
                <w:lang w:bidi="ar"/>
              </w:rPr>
              <w:t>加盖</w:t>
            </w:r>
            <w:r>
              <w:rPr>
                <w:rFonts w:hint="eastAsia" w:ascii="宋体" w:hAnsi="宋体" w:eastAsia="宋体" w:cs="宋体"/>
                <w:b/>
                <w:color w:val="auto"/>
                <w:sz w:val="24"/>
                <w:szCs w:val="24"/>
                <w:highlight w:val="none"/>
                <w:lang w:eastAsia="zh-CN" w:bidi="ar"/>
              </w:rPr>
              <w:t>供应商</w:t>
            </w:r>
            <w:r>
              <w:rPr>
                <w:rFonts w:hint="eastAsia" w:ascii="宋体" w:hAnsi="宋体" w:eastAsia="宋体" w:cs="宋体"/>
                <w:b/>
                <w:color w:val="auto"/>
                <w:sz w:val="24"/>
                <w:szCs w:val="24"/>
                <w:highlight w:val="none"/>
                <w:lang w:bidi="ar"/>
              </w:rPr>
              <w:t>公章导入商务技术文件中，不提供不得分。2、是否属于类似业绩由评标委员会根据合同的内容、特点以及与本项目的类似程度等进行认定。</w:t>
            </w:r>
          </w:p>
        </w:tc>
        <w:tc>
          <w:tcPr>
            <w:tcW w:w="1183" w:type="dxa"/>
            <w:tcBorders>
              <w:top w:val="single" w:color="000000" w:sz="4" w:space="0"/>
              <w:left w:val="single" w:color="auto" w:sz="4" w:space="0"/>
              <w:bottom w:val="single" w:color="auto" w:sz="4" w:space="0"/>
              <w:right w:val="single" w:color="auto" w:sz="4" w:space="0"/>
            </w:tcBorders>
            <w:vAlign w:val="center"/>
          </w:tcPr>
          <w:p w14:paraId="7F167380">
            <w:pPr>
              <w:widowControl/>
              <w:spacing w:line="360" w:lineRule="auto"/>
              <w:jc w:val="center"/>
              <w:textAlignment w:val="center"/>
              <w:rPr>
                <w:rFonts w:hint="eastAsia" w:ascii="宋体" w:hAnsi="宋体" w:cs="宋体"/>
                <w:sz w:val="24"/>
              </w:rPr>
            </w:pPr>
            <w:r>
              <w:rPr>
                <w:rFonts w:hint="eastAsia" w:ascii="宋体" w:hAnsi="宋体" w:cs="宋体"/>
                <w:kern w:val="0"/>
                <w:sz w:val="24"/>
                <w:lang w:bidi="ar"/>
              </w:rPr>
              <w:t>0-1分</w:t>
            </w:r>
          </w:p>
        </w:tc>
      </w:tr>
      <w:tr w14:paraId="47DA3F1A">
        <w:tblPrEx>
          <w:tblCellMar>
            <w:top w:w="0" w:type="dxa"/>
            <w:left w:w="108" w:type="dxa"/>
            <w:bottom w:w="0" w:type="dxa"/>
            <w:right w:w="108" w:type="dxa"/>
          </w:tblCellMar>
        </w:tblPrEx>
        <w:trPr>
          <w:trHeight w:val="1595" w:hRule="atLeast"/>
        </w:trPr>
        <w:tc>
          <w:tcPr>
            <w:tcW w:w="945" w:type="dxa"/>
            <w:vMerge w:val="restart"/>
            <w:tcBorders>
              <w:top w:val="single" w:color="auto" w:sz="4" w:space="0"/>
              <w:left w:val="single" w:color="auto" w:sz="4" w:space="0"/>
              <w:right w:val="single" w:color="auto" w:sz="4" w:space="0"/>
            </w:tcBorders>
            <w:vAlign w:val="center"/>
          </w:tcPr>
          <w:p w14:paraId="60D1D83E">
            <w:pPr>
              <w:widowControl/>
              <w:spacing w:line="360" w:lineRule="auto"/>
              <w:jc w:val="center"/>
              <w:textAlignment w:val="center"/>
              <w:rPr>
                <w:rFonts w:hint="default" w:ascii="宋体" w:hAnsi="宋体" w:eastAsia="宋体" w:cs="宋体"/>
                <w:kern w:val="0"/>
                <w:sz w:val="24"/>
                <w:lang w:val="en-US" w:eastAsia="zh-CN" w:bidi="ar"/>
              </w:rPr>
            </w:pPr>
            <w:bookmarkStart w:id="480" w:name="_Toc18389"/>
            <w:bookmarkStart w:id="481" w:name="_Toc17058"/>
            <w:bookmarkStart w:id="482" w:name="_Toc28647"/>
            <w:bookmarkStart w:id="483" w:name="_Toc25548"/>
            <w:r>
              <w:rPr>
                <w:rFonts w:hint="eastAsia" w:ascii="宋体" w:hAnsi="宋体" w:cs="宋体"/>
                <w:kern w:val="0"/>
                <w:sz w:val="24"/>
                <w:lang w:val="en-US" w:eastAsia="zh-CN" w:bidi="ar"/>
              </w:rPr>
              <w:t>2</w:t>
            </w:r>
          </w:p>
        </w:tc>
        <w:tc>
          <w:tcPr>
            <w:tcW w:w="1406" w:type="dxa"/>
            <w:vMerge w:val="restart"/>
            <w:tcBorders>
              <w:top w:val="single" w:color="auto" w:sz="4" w:space="0"/>
              <w:left w:val="single" w:color="auto" w:sz="4" w:space="0"/>
              <w:right w:val="single" w:color="auto" w:sz="4" w:space="0"/>
            </w:tcBorders>
            <w:vAlign w:val="center"/>
          </w:tcPr>
          <w:p w14:paraId="329B1B95">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bCs/>
                <w:color w:val="auto"/>
                <w:sz w:val="24"/>
                <w:szCs w:val="24"/>
                <w:highlight w:val="none"/>
              </w:rPr>
            </w:pPr>
            <w:r>
              <w:rPr>
                <w:rFonts w:hint="eastAsia" w:ascii="宋体" w:hAnsi="宋体" w:cs="宋体"/>
                <w:kern w:val="0"/>
                <w:sz w:val="24"/>
                <w:lang w:val="en-US" w:eastAsia="zh-CN" w:bidi="ar"/>
              </w:rPr>
              <w:t>企业实力</w:t>
            </w:r>
            <w:r>
              <w:rPr>
                <w:rFonts w:hint="eastAsia" w:ascii="宋体" w:hAnsi="宋体" w:eastAsia="宋体" w:cs="宋体"/>
                <w:bCs/>
                <w:color w:val="auto"/>
                <w:sz w:val="24"/>
                <w:szCs w:val="24"/>
                <w:highlight w:val="none"/>
              </w:rPr>
              <w:t>（</w:t>
            </w:r>
            <w:r>
              <w:rPr>
                <w:rFonts w:hint="eastAsia" w:ascii="宋体" w:hAnsi="宋体" w:cs="宋体"/>
                <w:bCs/>
                <w:color w:val="auto"/>
                <w:sz w:val="24"/>
                <w:szCs w:val="24"/>
                <w:highlight w:val="none"/>
                <w:lang w:val="en-US" w:eastAsia="zh-CN"/>
              </w:rPr>
              <w:t>10</w:t>
            </w:r>
            <w:r>
              <w:rPr>
                <w:rFonts w:hint="eastAsia" w:ascii="宋体" w:hAnsi="宋体" w:eastAsia="宋体" w:cs="宋体"/>
                <w:bCs/>
                <w:color w:val="auto"/>
                <w:sz w:val="24"/>
                <w:szCs w:val="24"/>
                <w:highlight w:val="none"/>
              </w:rPr>
              <w:t>分）</w:t>
            </w:r>
          </w:p>
        </w:tc>
        <w:tc>
          <w:tcPr>
            <w:tcW w:w="5829" w:type="dxa"/>
            <w:tcBorders>
              <w:top w:val="single" w:color="auto" w:sz="4" w:space="0"/>
              <w:left w:val="single" w:color="auto" w:sz="4" w:space="0"/>
              <w:bottom w:val="single" w:color="auto" w:sz="4" w:space="0"/>
              <w:right w:val="single" w:color="auto" w:sz="4" w:space="0"/>
            </w:tcBorders>
            <w:vAlign w:val="center"/>
          </w:tcPr>
          <w:p w14:paraId="5EC50AF6">
            <w:pPr>
              <w:spacing w:line="240" w:lineRule="auto"/>
              <w:rPr>
                <w:rFonts w:hint="default" w:ascii="宋体" w:hAnsi="宋体" w:eastAsia="宋体" w:cs="宋体"/>
                <w:color w:val="000000"/>
                <w:kern w:val="2"/>
                <w:sz w:val="24"/>
                <w:szCs w:val="24"/>
                <w:highlight w:val="none"/>
                <w:lang w:val="en-US" w:eastAsia="zh-CN" w:bidi="ar-SA"/>
              </w:rPr>
            </w:pPr>
            <w:r>
              <w:rPr>
                <w:rFonts w:hint="eastAsia" w:ascii="宋体" w:hAnsi="宋体" w:eastAsia="宋体" w:cs="宋体"/>
                <w:color w:val="000000"/>
                <w:sz w:val="24"/>
                <w:szCs w:val="24"/>
                <w:highlight w:val="none"/>
                <w:lang w:val="en-US" w:eastAsia="zh-CN"/>
              </w:rPr>
              <w:t>供应商具有有效期内</w:t>
            </w:r>
            <w:r>
              <w:rPr>
                <w:rFonts w:hint="eastAsia" w:ascii="宋体" w:hAnsi="宋体" w:eastAsia="宋体" w:cs="宋体"/>
                <w:color w:val="000000"/>
                <w:sz w:val="24"/>
                <w:szCs w:val="24"/>
                <w:highlight w:val="none"/>
              </w:rPr>
              <w:t>城市文明指数测评咨询服务质量管理体系认证证书、城市文明指数测评咨询服务环境管理体系认证证书、城市文明指数测评咨询服务职业健康安全管理体系认证证书</w:t>
            </w:r>
            <w:r>
              <w:rPr>
                <w:rFonts w:hint="eastAsia" w:ascii="宋体" w:hAnsi="宋体" w:eastAsia="宋体" w:cs="宋体"/>
                <w:color w:val="000000"/>
                <w:sz w:val="24"/>
                <w:szCs w:val="24"/>
                <w:highlight w:val="none"/>
                <w:lang w:val="en-US" w:eastAsia="zh-CN"/>
              </w:rPr>
              <w:t>的</w:t>
            </w:r>
            <w:r>
              <w:rPr>
                <w:rFonts w:hint="eastAsia" w:ascii="宋体" w:hAnsi="宋体" w:eastAsia="宋体" w:cs="宋体"/>
                <w:color w:val="000000"/>
                <w:sz w:val="24"/>
                <w:szCs w:val="24"/>
                <w:highlight w:val="none"/>
              </w:rPr>
              <w:t>，每提供1个得2分</w:t>
            </w:r>
            <w:r>
              <w:rPr>
                <w:rFonts w:hint="eastAsia" w:ascii="宋体" w:hAnsi="宋体" w:cs="宋体"/>
                <w:color w:val="000000"/>
                <w:sz w:val="24"/>
                <w:szCs w:val="24"/>
                <w:highlight w:val="none"/>
                <w:lang w:eastAsia="zh-CN"/>
              </w:rPr>
              <w:t>，</w:t>
            </w:r>
            <w:r>
              <w:rPr>
                <w:rFonts w:hint="eastAsia" w:ascii="宋体" w:hAnsi="宋体" w:cs="宋体"/>
                <w:color w:val="000000"/>
                <w:sz w:val="24"/>
                <w:szCs w:val="24"/>
                <w:highlight w:val="none"/>
                <w:lang w:val="en-US" w:eastAsia="zh-CN"/>
              </w:rPr>
              <w:t>本项最高得6分。</w:t>
            </w:r>
          </w:p>
          <w:p w14:paraId="061085E5">
            <w:pPr>
              <w:spacing w:line="240" w:lineRule="auto"/>
              <w:rPr>
                <w:rFonts w:hint="eastAsia" w:ascii="宋体" w:hAnsi="宋体"/>
                <w:b/>
                <w:bCs/>
                <w:color w:val="auto"/>
                <w:sz w:val="24"/>
                <w:highlight w:val="none"/>
              </w:rPr>
            </w:pPr>
            <w:r>
              <w:rPr>
                <w:rFonts w:hint="eastAsia" w:ascii="宋体" w:hAnsi="宋体" w:cs="宋体"/>
                <w:b/>
                <w:bCs/>
                <w:color w:val="000000"/>
                <w:sz w:val="24"/>
                <w:highlight w:val="none"/>
              </w:rPr>
              <w:t>注：须提供有效期内证书原件</w:t>
            </w:r>
            <w:r>
              <w:rPr>
                <w:rFonts w:hint="eastAsia" w:ascii="宋体" w:hAnsi="宋体" w:cs="宋体"/>
                <w:b/>
                <w:bCs/>
                <w:color w:val="000000"/>
                <w:sz w:val="24"/>
                <w:highlight w:val="none"/>
                <w:lang w:eastAsia="zh-CN"/>
              </w:rPr>
              <w:t>的</w:t>
            </w:r>
            <w:r>
              <w:rPr>
                <w:rFonts w:hint="eastAsia" w:ascii="宋体" w:hAnsi="宋体" w:cs="宋体"/>
                <w:b/>
                <w:bCs/>
                <w:color w:val="000000"/>
                <w:sz w:val="24"/>
                <w:highlight w:val="none"/>
              </w:rPr>
              <w:t>扫描件</w:t>
            </w:r>
            <w:r>
              <w:rPr>
                <w:rFonts w:hint="eastAsia" w:ascii="宋体" w:hAnsi="宋体" w:cs="宋体"/>
                <w:b/>
                <w:color w:val="000000"/>
                <w:sz w:val="24"/>
                <w:highlight w:val="none"/>
              </w:rPr>
              <w:t>加盖</w:t>
            </w:r>
            <w:r>
              <w:rPr>
                <w:rFonts w:hint="eastAsia" w:ascii="宋体" w:hAnsi="宋体" w:cs="宋体"/>
                <w:b/>
                <w:color w:val="000000"/>
                <w:sz w:val="24"/>
                <w:highlight w:val="none"/>
                <w:lang w:eastAsia="zh-CN"/>
              </w:rPr>
              <w:t>供应商</w:t>
            </w:r>
            <w:r>
              <w:rPr>
                <w:rFonts w:hint="eastAsia" w:ascii="宋体" w:hAnsi="宋体" w:cs="宋体"/>
                <w:b/>
                <w:color w:val="000000"/>
                <w:sz w:val="24"/>
                <w:highlight w:val="none"/>
              </w:rPr>
              <w:t>公章</w:t>
            </w:r>
            <w:r>
              <w:rPr>
                <w:rFonts w:hint="eastAsia" w:ascii="宋体" w:hAnsi="宋体" w:cs="宋体"/>
                <w:b/>
                <w:bCs/>
                <w:color w:val="000000"/>
                <w:sz w:val="24"/>
                <w:highlight w:val="none"/>
              </w:rPr>
              <w:t>导入商务技术文件中，否则不得分。</w:t>
            </w:r>
          </w:p>
        </w:tc>
        <w:tc>
          <w:tcPr>
            <w:tcW w:w="1183" w:type="dxa"/>
            <w:tcBorders>
              <w:top w:val="single" w:color="auto" w:sz="4" w:space="0"/>
              <w:left w:val="single" w:color="auto" w:sz="4" w:space="0"/>
              <w:bottom w:val="single" w:color="auto" w:sz="4" w:space="0"/>
              <w:right w:val="single" w:color="auto" w:sz="4" w:space="0"/>
            </w:tcBorders>
            <w:vAlign w:val="center"/>
          </w:tcPr>
          <w:p w14:paraId="1874D30D">
            <w:pPr>
              <w:keepNext w:val="0"/>
              <w:keepLines w:val="0"/>
              <w:widowControl w:val="0"/>
              <w:suppressLineNumbers w:val="0"/>
              <w:spacing w:before="0" w:beforeAutospacing="0" w:after="0" w:afterAutospacing="0" w:line="240" w:lineRule="auto"/>
              <w:ind w:left="0" w:leftChars="0" w:right="0" w:rightChars="0"/>
              <w:jc w:val="center"/>
              <w:rPr>
                <w:rFonts w:hint="eastAsia" w:ascii="宋体" w:hAnsi="宋体" w:cs="宋体"/>
                <w:kern w:val="0"/>
                <w:sz w:val="24"/>
                <w:lang w:bidi="ar"/>
              </w:rPr>
            </w:pPr>
            <w:r>
              <w:rPr>
                <w:rFonts w:hint="eastAsia" w:ascii="宋体" w:hAnsi="宋体" w:eastAsia="宋体" w:cs="宋体"/>
                <w:bCs/>
                <w:color w:val="000000"/>
                <w:kern w:val="2"/>
                <w:sz w:val="24"/>
                <w:szCs w:val="24"/>
                <w:lang w:val="en-US" w:eastAsia="zh-CN" w:bidi="ar"/>
              </w:rPr>
              <w:t>0-</w:t>
            </w:r>
            <w:r>
              <w:rPr>
                <w:rFonts w:hint="eastAsia" w:ascii="宋体" w:hAnsi="宋体" w:cs="宋体"/>
                <w:bCs/>
                <w:color w:val="000000"/>
                <w:kern w:val="2"/>
                <w:sz w:val="24"/>
                <w:szCs w:val="24"/>
                <w:lang w:val="en-US" w:eastAsia="zh-CN" w:bidi="ar"/>
              </w:rPr>
              <w:t>6</w:t>
            </w:r>
            <w:r>
              <w:rPr>
                <w:rFonts w:hint="eastAsia" w:ascii="宋体" w:hAnsi="宋体" w:eastAsia="宋体" w:cs="宋体"/>
                <w:bCs/>
                <w:color w:val="000000"/>
                <w:kern w:val="2"/>
                <w:sz w:val="24"/>
                <w:szCs w:val="24"/>
                <w:lang w:val="en-US" w:eastAsia="zh-CN" w:bidi="ar"/>
              </w:rPr>
              <w:t>分</w:t>
            </w:r>
          </w:p>
        </w:tc>
      </w:tr>
      <w:tr w14:paraId="0BB29465">
        <w:tblPrEx>
          <w:tblCellMar>
            <w:top w:w="0" w:type="dxa"/>
            <w:left w:w="108" w:type="dxa"/>
            <w:bottom w:w="0" w:type="dxa"/>
            <w:right w:w="108" w:type="dxa"/>
          </w:tblCellMar>
        </w:tblPrEx>
        <w:trPr>
          <w:trHeight w:val="1735" w:hRule="atLeast"/>
        </w:trPr>
        <w:tc>
          <w:tcPr>
            <w:tcW w:w="945" w:type="dxa"/>
            <w:vMerge w:val="continue"/>
            <w:tcBorders>
              <w:left w:val="single" w:color="auto" w:sz="4" w:space="0"/>
              <w:bottom w:val="single" w:color="auto" w:sz="4" w:space="0"/>
              <w:right w:val="single" w:color="auto" w:sz="4" w:space="0"/>
            </w:tcBorders>
            <w:vAlign w:val="center"/>
          </w:tcPr>
          <w:p w14:paraId="3054450E">
            <w:pPr>
              <w:widowControl/>
              <w:spacing w:line="360" w:lineRule="auto"/>
              <w:jc w:val="center"/>
              <w:textAlignment w:val="center"/>
              <w:rPr>
                <w:rFonts w:hint="eastAsia" w:ascii="宋体" w:hAnsi="宋体" w:cs="宋体"/>
                <w:kern w:val="0"/>
                <w:sz w:val="24"/>
                <w:lang w:bidi="ar"/>
              </w:rPr>
            </w:pPr>
          </w:p>
        </w:tc>
        <w:tc>
          <w:tcPr>
            <w:tcW w:w="1406" w:type="dxa"/>
            <w:vMerge w:val="continue"/>
            <w:tcBorders>
              <w:left w:val="single" w:color="auto" w:sz="4" w:space="0"/>
              <w:bottom w:val="single" w:color="auto" w:sz="4" w:space="0"/>
              <w:right w:val="single" w:color="auto" w:sz="4" w:space="0"/>
            </w:tcBorders>
            <w:vAlign w:val="center"/>
          </w:tcPr>
          <w:p w14:paraId="0B5A2265">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bCs/>
                <w:color w:val="auto"/>
                <w:sz w:val="24"/>
                <w:szCs w:val="24"/>
                <w:highlight w:val="none"/>
              </w:rPr>
            </w:pPr>
          </w:p>
        </w:tc>
        <w:tc>
          <w:tcPr>
            <w:tcW w:w="5829" w:type="dxa"/>
            <w:tcBorders>
              <w:top w:val="single" w:color="auto" w:sz="4" w:space="0"/>
              <w:left w:val="single" w:color="auto" w:sz="4" w:space="0"/>
              <w:bottom w:val="single" w:color="auto" w:sz="4" w:space="0"/>
              <w:right w:val="single" w:color="auto" w:sz="4" w:space="0"/>
            </w:tcBorders>
            <w:vAlign w:val="center"/>
          </w:tcPr>
          <w:p w14:paraId="27B0BC2A">
            <w:pPr>
              <w:spacing w:line="240" w:lineRule="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供应商提供自2022年1月1日以</w:t>
            </w:r>
            <w:r>
              <w:rPr>
                <w:rFonts w:hint="eastAsia" w:ascii="宋体" w:hAnsi="宋体" w:eastAsia="宋体" w:cs="宋体"/>
                <w:color w:val="000000"/>
                <w:sz w:val="24"/>
                <w:szCs w:val="24"/>
                <w:highlight w:val="none"/>
              </w:rPr>
              <w:t>来</w:t>
            </w:r>
            <w:r>
              <w:rPr>
                <w:rFonts w:hint="eastAsia" w:ascii="宋体" w:hAnsi="宋体" w:cs="宋体"/>
                <w:color w:val="000000"/>
                <w:sz w:val="24"/>
                <w:szCs w:val="24"/>
                <w:highlight w:val="none"/>
                <w:lang w:eastAsia="zh-CN"/>
              </w:rPr>
              <w:t>，</w:t>
            </w:r>
            <w:r>
              <w:rPr>
                <w:rFonts w:hint="eastAsia" w:ascii="宋体" w:hAnsi="宋体" w:eastAsia="宋体" w:cs="宋体"/>
                <w:color w:val="000000"/>
                <w:sz w:val="24"/>
                <w:szCs w:val="24"/>
                <w:highlight w:val="none"/>
                <w:lang w:val="en-US" w:eastAsia="zh-CN"/>
              </w:rPr>
              <w:t>服务客户出具的满意度说明或满意度报告，每提供一项得1分；本项最高得</w:t>
            </w:r>
            <w:r>
              <w:rPr>
                <w:rFonts w:hint="eastAsia" w:ascii="宋体" w:hAnsi="宋体" w:cs="宋体"/>
                <w:color w:val="000000"/>
                <w:sz w:val="24"/>
                <w:szCs w:val="24"/>
                <w:highlight w:val="none"/>
                <w:lang w:val="en-US" w:eastAsia="zh-CN"/>
              </w:rPr>
              <w:t>4</w:t>
            </w:r>
            <w:r>
              <w:rPr>
                <w:rFonts w:hint="eastAsia" w:ascii="宋体" w:hAnsi="宋体" w:eastAsia="宋体" w:cs="宋体"/>
                <w:color w:val="000000"/>
                <w:sz w:val="24"/>
                <w:szCs w:val="24"/>
                <w:highlight w:val="none"/>
                <w:lang w:val="en-US" w:eastAsia="zh-CN"/>
              </w:rPr>
              <w:t>分。</w:t>
            </w:r>
          </w:p>
          <w:p w14:paraId="6CF5195A">
            <w:pPr>
              <w:spacing w:line="240" w:lineRule="auto"/>
              <w:rPr>
                <w:rFonts w:hint="eastAsia" w:ascii="宋体" w:hAnsi="宋体"/>
                <w:b/>
                <w:bCs/>
                <w:color w:val="auto"/>
                <w:sz w:val="24"/>
                <w:highlight w:val="none"/>
              </w:rPr>
            </w:pPr>
            <w:r>
              <w:rPr>
                <w:rFonts w:hint="eastAsia" w:ascii="宋体" w:hAnsi="宋体" w:eastAsia="宋体" w:cs="宋体"/>
                <w:b/>
                <w:bCs/>
                <w:color w:val="000000"/>
                <w:sz w:val="24"/>
                <w:szCs w:val="24"/>
                <w:highlight w:val="none"/>
              </w:rPr>
              <w:t>注：须提供</w:t>
            </w:r>
            <w:r>
              <w:rPr>
                <w:rFonts w:hint="eastAsia" w:ascii="宋体" w:hAnsi="宋体" w:eastAsia="宋体" w:cs="宋体"/>
                <w:b/>
                <w:bCs/>
                <w:color w:val="000000"/>
                <w:sz w:val="24"/>
                <w:szCs w:val="24"/>
                <w:highlight w:val="none"/>
                <w:lang w:eastAsia="zh-CN"/>
              </w:rPr>
              <w:t>相关证明材料</w:t>
            </w:r>
            <w:r>
              <w:rPr>
                <w:rFonts w:hint="eastAsia" w:ascii="宋体" w:hAnsi="宋体" w:eastAsia="宋体" w:cs="宋体"/>
                <w:b/>
                <w:bCs/>
                <w:color w:val="000000"/>
                <w:sz w:val="24"/>
                <w:szCs w:val="24"/>
                <w:highlight w:val="none"/>
              </w:rPr>
              <w:t>扫描件加盖</w:t>
            </w:r>
            <w:r>
              <w:rPr>
                <w:rFonts w:hint="eastAsia" w:ascii="宋体" w:hAnsi="宋体" w:eastAsia="宋体" w:cs="宋体"/>
                <w:b/>
                <w:bCs/>
                <w:color w:val="000000"/>
                <w:sz w:val="24"/>
                <w:szCs w:val="24"/>
                <w:highlight w:val="none"/>
                <w:lang w:eastAsia="zh-CN"/>
              </w:rPr>
              <w:t>供应商</w:t>
            </w:r>
            <w:r>
              <w:rPr>
                <w:rFonts w:hint="eastAsia" w:ascii="宋体" w:hAnsi="宋体" w:eastAsia="宋体" w:cs="宋体"/>
                <w:b/>
                <w:bCs/>
                <w:color w:val="000000"/>
                <w:sz w:val="24"/>
                <w:szCs w:val="24"/>
                <w:highlight w:val="none"/>
              </w:rPr>
              <w:t>公章导入商务技术文件中，否则不得分。</w:t>
            </w:r>
          </w:p>
        </w:tc>
        <w:tc>
          <w:tcPr>
            <w:tcW w:w="1183" w:type="dxa"/>
            <w:tcBorders>
              <w:top w:val="single" w:color="000000" w:sz="4" w:space="0"/>
              <w:left w:val="single" w:color="auto" w:sz="4" w:space="0"/>
              <w:bottom w:val="single" w:color="auto" w:sz="4" w:space="0"/>
              <w:right w:val="single" w:color="auto" w:sz="4" w:space="0"/>
            </w:tcBorders>
            <w:vAlign w:val="center"/>
          </w:tcPr>
          <w:p w14:paraId="155B0274">
            <w:pPr>
              <w:keepNext w:val="0"/>
              <w:keepLines w:val="0"/>
              <w:widowControl w:val="0"/>
              <w:suppressLineNumbers w:val="0"/>
              <w:spacing w:before="0" w:beforeAutospacing="0" w:after="0" w:afterAutospacing="0" w:line="240" w:lineRule="auto"/>
              <w:ind w:left="0" w:leftChars="0" w:right="0" w:rightChars="0"/>
              <w:jc w:val="center"/>
              <w:rPr>
                <w:rFonts w:hint="eastAsia" w:ascii="宋体" w:hAnsi="宋体" w:cs="宋体"/>
                <w:kern w:val="0"/>
                <w:sz w:val="24"/>
                <w:lang w:bidi="ar"/>
              </w:rPr>
            </w:pPr>
            <w:r>
              <w:rPr>
                <w:rFonts w:hint="eastAsia" w:ascii="宋体" w:hAnsi="宋体" w:eastAsia="宋体" w:cs="宋体"/>
                <w:bCs/>
                <w:color w:val="000000"/>
                <w:kern w:val="2"/>
                <w:sz w:val="24"/>
                <w:szCs w:val="24"/>
                <w:lang w:val="en-US" w:eastAsia="zh-CN" w:bidi="ar"/>
              </w:rPr>
              <w:t>0-</w:t>
            </w:r>
            <w:r>
              <w:rPr>
                <w:rFonts w:hint="eastAsia" w:ascii="宋体" w:hAnsi="宋体" w:cs="宋体"/>
                <w:bCs/>
                <w:color w:val="000000"/>
                <w:kern w:val="2"/>
                <w:sz w:val="24"/>
                <w:szCs w:val="24"/>
                <w:lang w:val="en-US" w:eastAsia="zh-CN" w:bidi="ar"/>
              </w:rPr>
              <w:t>4</w:t>
            </w:r>
            <w:r>
              <w:rPr>
                <w:rFonts w:hint="eastAsia" w:ascii="宋体" w:hAnsi="宋体" w:eastAsia="宋体" w:cs="宋体"/>
                <w:bCs/>
                <w:color w:val="000000"/>
                <w:kern w:val="2"/>
                <w:sz w:val="24"/>
                <w:szCs w:val="24"/>
                <w:lang w:val="en-US" w:eastAsia="zh-CN" w:bidi="ar"/>
              </w:rPr>
              <w:t>分</w:t>
            </w:r>
          </w:p>
        </w:tc>
      </w:tr>
      <w:bookmarkEnd w:id="480"/>
      <w:bookmarkEnd w:id="481"/>
      <w:bookmarkEnd w:id="482"/>
      <w:bookmarkEnd w:id="483"/>
      <w:tr w14:paraId="09B5E288">
        <w:tblPrEx>
          <w:tblCellMar>
            <w:top w:w="0" w:type="dxa"/>
            <w:left w:w="108" w:type="dxa"/>
            <w:bottom w:w="0" w:type="dxa"/>
            <w:right w:w="108" w:type="dxa"/>
          </w:tblCellMar>
        </w:tblPrEx>
        <w:trPr>
          <w:trHeight w:val="978" w:hRule="atLeast"/>
        </w:trPr>
        <w:tc>
          <w:tcPr>
            <w:tcW w:w="945" w:type="dxa"/>
            <w:vMerge w:val="restart"/>
            <w:tcBorders>
              <w:top w:val="single" w:color="auto" w:sz="4" w:space="0"/>
              <w:left w:val="single" w:color="auto" w:sz="4" w:space="0"/>
              <w:right w:val="single" w:color="000000" w:sz="4" w:space="0"/>
            </w:tcBorders>
            <w:vAlign w:val="center"/>
          </w:tcPr>
          <w:p w14:paraId="62904A74">
            <w:pPr>
              <w:autoSpaceDE w:val="0"/>
              <w:autoSpaceDN w:val="0"/>
              <w:adjustRightInd w:val="0"/>
              <w:jc w:val="center"/>
              <w:outlineLvl w:val="0"/>
              <w:rPr>
                <w:rFonts w:hint="eastAsia" w:ascii="宋体" w:hAnsi="宋体" w:eastAsia="宋体" w:cs="宋体"/>
                <w:sz w:val="24"/>
                <w:lang w:eastAsia="zh-CN"/>
              </w:rPr>
            </w:pPr>
            <w:bookmarkStart w:id="484" w:name="_Toc2628"/>
            <w:bookmarkStart w:id="485" w:name="_Toc15323"/>
            <w:r>
              <w:rPr>
                <w:rFonts w:hint="eastAsia" w:ascii="宋体" w:hAnsi="宋体"/>
                <w:sz w:val="24"/>
                <w:lang w:val="en-US" w:eastAsia="zh-CN" w:bidi="ar"/>
              </w:rPr>
              <w:t>3</w:t>
            </w:r>
            <w:bookmarkEnd w:id="484"/>
            <w:bookmarkEnd w:id="485"/>
          </w:p>
        </w:tc>
        <w:tc>
          <w:tcPr>
            <w:tcW w:w="1406" w:type="dxa"/>
            <w:vMerge w:val="restart"/>
            <w:tcBorders>
              <w:top w:val="single" w:color="auto" w:sz="4" w:space="0"/>
              <w:left w:val="single" w:color="000000" w:sz="4" w:space="0"/>
              <w:right w:val="single" w:color="000000" w:sz="4" w:space="0"/>
            </w:tcBorders>
            <w:vAlign w:val="center"/>
          </w:tcPr>
          <w:p w14:paraId="4624F227">
            <w:pPr>
              <w:spacing w:line="240" w:lineRule="auto"/>
              <w:ind w:left="-2" w:leftChars="-1"/>
              <w:jc w:val="center"/>
              <w:rPr>
                <w:rFonts w:hint="eastAsia" w:ascii="Calibri" w:hAnsi="宋体" w:cs="宋体"/>
                <w:sz w:val="24"/>
              </w:rPr>
            </w:pPr>
            <w:r>
              <w:rPr>
                <w:rFonts w:hint="eastAsia" w:ascii="宋体" w:hAnsi="宋体" w:eastAsia="宋体" w:cs="宋体"/>
                <w:b w:val="0"/>
                <w:bCs w:val="0"/>
                <w:color w:val="auto"/>
                <w:sz w:val="24"/>
                <w:szCs w:val="24"/>
                <w:highlight w:val="none"/>
              </w:rPr>
              <w:t>对本项目理解和认识</w:t>
            </w:r>
            <w:r>
              <w:rPr>
                <w:rFonts w:hint="eastAsia" w:ascii="宋体" w:hAnsi="宋体" w:eastAsia="宋体" w:cs="宋体"/>
                <w:b w:val="0"/>
                <w:bCs w:val="0"/>
                <w:color w:val="auto"/>
                <w:sz w:val="24"/>
                <w:szCs w:val="24"/>
                <w:highlight w:val="none"/>
                <w:lang w:val="en-US" w:eastAsia="zh-CN"/>
              </w:rPr>
              <w:t xml:space="preserve"> </w:t>
            </w:r>
            <w:r>
              <w:rPr>
                <w:rFonts w:hint="eastAsia" w:ascii="宋体" w:hAnsi="宋体" w:eastAsia="宋体" w:cs="宋体"/>
                <w:b w:val="0"/>
                <w:bCs w:val="0"/>
                <w:color w:val="auto"/>
                <w:sz w:val="24"/>
                <w:szCs w:val="24"/>
                <w:highlight w:val="none"/>
              </w:rPr>
              <w:t>（</w:t>
            </w:r>
            <w:r>
              <w:rPr>
                <w:rFonts w:hint="eastAsia" w:ascii="宋体" w:hAnsi="宋体" w:eastAsia="宋体" w:cs="宋体"/>
                <w:b w:val="0"/>
                <w:bCs w:val="0"/>
                <w:color w:val="auto"/>
                <w:sz w:val="24"/>
                <w:szCs w:val="24"/>
                <w:highlight w:val="none"/>
                <w:lang w:val="en-US" w:eastAsia="zh-CN"/>
              </w:rPr>
              <w:t>10</w:t>
            </w:r>
            <w:r>
              <w:rPr>
                <w:rFonts w:hint="eastAsia" w:ascii="宋体" w:hAnsi="宋体" w:eastAsia="宋体" w:cs="宋体"/>
                <w:b w:val="0"/>
                <w:bCs w:val="0"/>
                <w:color w:val="auto"/>
                <w:sz w:val="24"/>
                <w:szCs w:val="24"/>
                <w:highlight w:val="none"/>
              </w:rPr>
              <w:t>分）</w:t>
            </w:r>
          </w:p>
        </w:tc>
        <w:tc>
          <w:tcPr>
            <w:tcW w:w="5829" w:type="dxa"/>
            <w:tcBorders>
              <w:top w:val="single" w:color="auto" w:sz="4" w:space="0"/>
              <w:left w:val="single" w:color="000000" w:sz="4" w:space="0"/>
              <w:bottom w:val="single" w:color="auto" w:sz="4" w:space="0"/>
              <w:right w:val="single" w:color="000000" w:sz="4" w:space="0"/>
            </w:tcBorders>
            <w:vAlign w:val="center"/>
          </w:tcPr>
          <w:p w14:paraId="017B9EF1">
            <w:pPr>
              <w:spacing w:line="240" w:lineRule="auto"/>
              <w:rPr>
                <w:rFonts w:hint="eastAsia" w:ascii="Calibri" w:hAnsi="宋体" w:cs="宋体"/>
                <w:sz w:val="24"/>
              </w:rPr>
            </w:pPr>
            <w:r>
              <w:rPr>
                <w:rFonts w:hint="eastAsia" w:ascii="宋体" w:hAnsi="宋体" w:cs="宋体"/>
                <w:color w:val="auto"/>
                <w:sz w:val="24"/>
                <w:szCs w:val="24"/>
                <w:highlight w:val="none"/>
                <w:lang w:val="en-US" w:eastAsia="zh-CN"/>
              </w:rPr>
              <w:t>根据</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对</w:t>
            </w:r>
            <w:r>
              <w:rPr>
                <w:rFonts w:hint="eastAsia" w:ascii="宋体" w:hAnsi="宋体" w:eastAsia="宋体" w:cs="宋体"/>
                <w:color w:val="000000"/>
                <w:sz w:val="24"/>
                <w:szCs w:val="24"/>
                <w:highlight w:val="none"/>
                <w:lang w:val="en-US" w:eastAsia="zh-CN"/>
              </w:rPr>
              <w:t>本项目</w:t>
            </w:r>
            <w:r>
              <w:rPr>
                <w:rFonts w:hint="eastAsia" w:ascii="宋体" w:hAnsi="宋体" w:cs="宋体"/>
                <w:color w:val="000000"/>
                <w:sz w:val="24"/>
                <w:szCs w:val="24"/>
                <w:highlight w:val="none"/>
                <w:lang w:val="en-US" w:eastAsia="zh-CN"/>
              </w:rPr>
              <w:t>熟悉程度，如</w:t>
            </w:r>
            <w:r>
              <w:rPr>
                <w:rFonts w:hint="eastAsia" w:ascii="宋体" w:hAnsi="宋体" w:eastAsia="宋体" w:cs="宋体"/>
                <w:color w:val="000000"/>
                <w:sz w:val="24"/>
                <w:szCs w:val="24"/>
                <w:highlight w:val="none"/>
                <w:lang w:val="en-US" w:eastAsia="zh-CN"/>
              </w:rPr>
              <w:t>测评</w:t>
            </w:r>
            <w:r>
              <w:rPr>
                <w:rFonts w:hint="eastAsia" w:ascii="宋体" w:hAnsi="宋体" w:cs="宋体"/>
                <w:color w:val="000000"/>
                <w:sz w:val="24"/>
                <w:szCs w:val="24"/>
                <w:highlight w:val="none"/>
                <w:lang w:val="en-US" w:eastAsia="zh-CN"/>
              </w:rPr>
              <w:t>的</w:t>
            </w:r>
            <w:r>
              <w:rPr>
                <w:rFonts w:hint="eastAsia" w:ascii="宋体" w:hAnsi="宋体" w:eastAsia="宋体" w:cs="宋体"/>
                <w:color w:val="000000"/>
                <w:sz w:val="24"/>
                <w:szCs w:val="24"/>
                <w:highlight w:val="none"/>
                <w:lang w:val="en-US" w:eastAsia="zh-CN"/>
              </w:rPr>
              <w:t>目的、用途、要求</w:t>
            </w:r>
            <w:r>
              <w:rPr>
                <w:rFonts w:hint="eastAsia" w:ascii="宋体" w:hAnsi="宋体" w:cs="宋体"/>
                <w:color w:val="000000"/>
                <w:sz w:val="24"/>
                <w:szCs w:val="24"/>
                <w:highlight w:val="none"/>
                <w:lang w:val="en-US" w:eastAsia="zh-CN"/>
              </w:rPr>
              <w:t>等需求的理解</w:t>
            </w:r>
            <w:r>
              <w:rPr>
                <w:rFonts w:hint="eastAsia" w:ascii="宋体" w:hAnsi="宋体" w:eastAsia="宋体" w:cs="宋体"/>
                <w:color w:val="000000"/>
                <w:sz w:val="24"/>
                <w:szCs w:val="24"/>
                <w:highlight w:val="none"/>
                <w:lang w:val="en-US" w:eastAsia="zh-CN"/>
              </w:rPr>
              <w:t>是否全面、深入</w:t>
            </w:r>
            <w:r>
              <w:rPr>
                <w:rFonts w:hint="eastAsia" w:ascii="宋体" w:hAnsi="宋体" w:eastAsia="宋体" w:cs="宋体"/>
                <w:color w:val="auto"/>
                <w:sz w:val="24"/>
                <w:szCs w:val="24"/>
                <w:highlight w:val="none"/>
              </w:rPr>
              <w:t>等，</w:t>
            </w:r>
            <w:r>
              <w:rPr>
                <w:rFonts w:hint="eastAsia" w:ascii="宋体" w:hAnsi="宋体" w:cs="宋体"/>
                <w:color w:val="auto"/>
                <w:sz w:val="24"/>
                <w:szCs w:val="24"/>
                <w:highlight w:val="none"/>
                <w:lang w:eastAsia="zh-CN"/>
              </w:rPr>
              <w:t>由评委在规定分值范围内打分</w:t>
            </w:r>
            <w:r>
              <w:rPr>
                <w:rFonts w:hint="eastAsia" w:ascii="宋体" w:hAnsi="宋体" w:eastAsia="宋体" w:cs="宋体"/>
                <w:color w:val="auto"/>
                <w:sz w:val="24"/>
                <w:szCs w:val="24"/>
                <w:highlight w:val="none"/>
                <w:lang w:eastAsia="zh-CN"/>
              </w:rPr>
              <w:t>。</w:t>
            </w:r>
          </w:p>
        </w:tc>
        <w:tc>
          <w:tcPr>
            <w:tcW w:w="1183" w:type="dxa"/>
            <w:tcBorders>
              <w:top w:val="single" w:color="auto" w:sz="4" w:space="0"/>
              <w:left w:val="single" w:color="000000" w:sz="4" w:space="0"/>
              <w:bottom w:val="single" w:color="auto" w:sz="4" w:space="0"/>
              <w:right w:val="single" w:color="auto" w:sz="4" w:space="0"/>
            </w:tcBorders>
            <w:vAlign w:val="center"/>
          </w:tcPr>
          <w:p w14:paraId="7E8D31A1">
            <w:pPr>
              <w:keepNext w:val="0"/>
              <w:keepLines w:val="0"/>
              <w:widowControl w:val="0"/>
              <w:suppressLineNumbers w:val="0"/>
              <w:spacing w:before="0" w:beforeAutospacing="0" w:after="0" w:afterAutospacing="0" w:line="240" w:lineRule="auto"/>
              <w:ind w:left="0" w:leftChars="0" w:right="0" w:rightChars="0"/>
              <w:jc w:val="center"/>
              <w:rPr>
                <w:rFonts w:hint="eastAsia" w:ascii="宋体" w:hAnsi="宋体" w:cs="宋体"/>
                <w:sz w:val="24"/>
              </w:rPr>
            </w:pPr>
            <w:r>
              <w:rPr>
                <w:rFonts w:hint="eastAsia" w:ascii="宋体" w:hAnsi="宋体" w:eastAsia="宋体" w:cs="宋体"/>
                <w:bCs/>
                <w:color w:val="auto"/>
                <w:kern w:val="2"/>
                <w:sz w:val="24"/>
                <w:szCs w:val="24"/>
                <w:highlight w:val="none"/>
                <w:lang w:val="en-US" w:eastAsia="zh-CN" w:bidi="ar"/>
              </w:rPr>
              <w:t>0-5分</w:t>
            </w:r>
          </w:p>
        </w:tc>
      </w:tr>
      <w:tr w14:paraId="5DCF1D95">
        <w:tblPrEx>
          <w:tblCellMar>
            <w:top w:w="0" w:type="dxa"/>
            <w:left w:w="108" w:type="dxa"/>
            <w:bottom w:w="0" w:type="dxa"/>
            <w:right w:w="108" w:type="dxa"/>
          </w:tblCellMar>
        </w:tblPrEx>
        <w:trPr>
          <w:trHeight w:val="858" w:hRule="atLeast"/>
        </w:trPr>
        <w:tc>
          <w:tcPr>
            <w:tcW w:w="945" w:type="dxa"/>
            <w:vMerge w:val="continue"/>
            <w:tcBorders>
              <w:left w:val="single" w:color="auto" w:sz="4" w:space="0"/>
              <w:bottom w:val="single" w:color="auto" w:sz="4" w:space="0"/>
              <w:right w:val="single" w:color="000000" w:sz="4" w:space="0"/>
            </w:tcBorders>
            <w:vAlign w:val="center"/>
          </w:tcPr>
          <w:p w14:paraId="6AE51A62">
            <w:pPr>
              <w:autoSpaceDE w:val="0"/>
              <w:autoSpaceDN w:val="0"/>
              <w:adjustRightInd w:val="0"/>
              <w:jc w:val="center"/>
              <w:outlineLvl w:val="0"/>
              <w:rPr>
                <w:rFonts w:ascii="宋体" w:hAnsi="宋体"/>
                <w:sz w:val="24"/>
                <w:lang w:bidi="ar"/>
              </w:rPr>
            </w:pPr>
            <w:bookmarkStart w:id="486" w:name="_Toc10636"/>
            <w:bookmarkStart w:id="487" w:name="_Toc22075"/>
            <w:bookmarkStart w:id="488" w:name="_Toc31067"/>
          </w:p>
        </w:tc>
        <w:tc>
          <w:tcPr>
            <w:tcW w:w="1406" w:type="dxa"/>
            <w:vMerge w:val="continue"/>
            <w:tcBorders>
              <w:left w:val="single" w:color="000000" w:sz="4" w:space="0"/>
              <w:bottom w:val="single" w:color="auto" w:sz="4" w:space="0"/>
              <w:right w:val="single" w:color="000000" w:sz="4" w:space="0"/>
            </w:tcBorders>
            <w:vAlign w:val="center"/>
          </w:tcPr>
          <w:p w14:paraId="06FB7959">
            <w:pPr>
              <w:spacing w:line="240" w:lineRule="auto"/>
              <w:ind w:left="-2" w:leftChars="-1"/>
              <w:jc w:val="center"/>
              <w:rPr>
                <w:rFonts w:hint="eastAsia" w:ascii="宋体" w:hAnsi="宋体" w:cs="宋体"/>
                <w:sz w:val="24"/>
                <w:lang w:bidi="ar"/>
              </w:rPr>
            </w:pPr>
          </w:p>
        </w:tc>
        <w:tc>
          <w:tcPr>
            <w:tcW w:w="5829" w:type="dxa"/>
            <w:tcBorders>
              <w:top w:val="single" w:color="auto" w:sz="4" w:space="0"/>
              <w:left w:val="single" w:color="000000" w:sz="4" w:space="0"/>
              <w:bottom w:val="single" w:color="auto" w:sz="4" w:space="0"/>
              <w:right w:val="single" w:color="000000" w:sz="4" w:space="0"/>
            </w:tcBorders>
            <w:vAlign w:val="center"/>
          </w:tcPr>
          <w:p w14:paraId="308605F8">
            <w:pPr>
              <w:spacing w:line="240" w:lineRule="auto"/>
              <w:rPr>
                <w:rFonts w:hint="eastAsia" w:ascii="宋体" w:hAnsi="宋体" w:cs="宋体"/>
                <w:b/>
                <w:bCs/>
                <w:sz w:val="24"/>
                <w:lang w:bidi="ar"/>
              </w:rPr>
            </w:pPr>
            <w:r>
              <w:rPr>
                <w:rFonts w:hint="eastAsia" w:ascii="宋体" w:hAnsi="宋体" w:cs="宋体"/>
                <w:sz w:val="24"/>
                <w:szCs w:val="24"/>
                <w:lang w:val="en-US" w:eastAsia="zh-CN"/>
              </w:rPr>
              <w:t>根据</w:t>
            </w:r>
            <w:r>
              <w:rPr>
                <w:rFonts w:hint="eastAsia" w:ascii="宋体" w:hAnsi="宋体" w:eastAsia="宋体" w:cs="宋体"/>
                <w:sz w:val="24"/>
                <w:szCs w:val="24"/>
                <w:lang w:val="en-US" w:eastAsia="zh-CN"/>
              </w:rPr>
              <w:t>供应商对</w:t>
            </w:r>
            <w:r>
              <w:rPr>
                <w:rFonts w:hint="eastAsia" w:ascii="宋体" w:hAnsi="宋体" w:cs="宋体"/>
                <w:sz w:val="24"/>
                <w:szCs w:val="24"/>
                <w:lang w:val="en-US" w:eastAsia="zh-CN"/>
              </w:rPr>
              <w:t>本市辖区内各县市</w:t>
            </w:r>
            <w:r>
              <w:rPr>
                <w:rFonts w:hint="eastAsia" w:ascii="宋体" w:hAnsi="宋体" w:eastAsia="宋体" w:cs="宋体"/>
                <w:sz w:val="24"/>
                <w:szCs w:val="24"/>
                <w:highlight w:val="none"/>
                <w:lang w:val="en-US" w:eastAsia="zh-CN"/>
              </w:rPr>
              <w:t>群众性精神文</w:t>
            </w:r>
            <w:r>
              <w:rPr>
                <w:rFonts w:hint="eastAsia" w:ascii="宋体" w:hAnsi="宋体" w:eastAsia="宋体" w:cs="宋体"/>
                <w:sz w:val="24"/>
                <w:szCs w:val="24"/>
                <w:lang w:val="en-US" w:eastAsia="zh-CN"/>
              </w:rPr>
              <w:t>明创建工作</w:t>
            </w:r>
            <w:r>
              <w:rPr>
                <w:rFonts w:hint="eastAsia" w:ascii="宋体" w:hAnsi="宋体" w:cs="宋体"/>
                <w:sz w:val="24"/>
                <w:szCs w:val="24"/>
                <w:lang w:val="en-US" w:eastAsia="zh-CN"/>
              </w:rPr>
              <w:t>情况的理解与分析</w:t>
            </w:r>
            <w:r>
              <w:rPr>
                <w:rFonts w:hint="eastAsia" w:ascii="宋体" w:hAnsi="宋体" w:cs="宋体"/>
                <w:kern w:val="0"/>
                <w:sz w:val="24"/>
                <w:szCs w:val="24"/>
                <w:lang w:val="en-US" w:eastAsia="zh-CN"/>
              </w:rPr>
              <w:t>是否全面</w:t>
            </w:r>
            <w:r>
              <w:rPr>
                <w:rFonts w:hint="eastAsia" w:ascii="宋体" w:hAnsi="宋体" w:eastAsia="宋体" w:cs="宋体"/>
                <w:sz w:val="24"/>
                <w:szCs w:val="24"/>
                <w:lang w:val="en-US" w:eastAsia="zh-CN"/>
              </w:rPr>
              <w:t>等</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eastAsia="zh-CN"/>
              </w:rPr>
              <w:t>由评委在规定分值范围内打分</w:t>
            </w:r>
            <w:r>
              <w:rPr>
                <w:rFonts w:hint="eastAsia" w:ascii="宋体" w:hAnsi="宋体" w:eastAsia="宋体" w:cs="宋体"/>
                <w:color w:val="auto"/>
                <w:sz w:val="24"/>
                <w:szCs w:val="24"/>
                <w:highlight w:val="none"/>
                <w:lang w:eastAsia="zh-CN"/>
              </w:rPr>
              <w:t>。</w:t>
            </w:r>
          </w:p>
        </w:tc>
        <w:tc>
          <w:tcPr>
            <w:tcW w:w="1183" w:type="dxa"/>
            <w:tcBorders>
              <w:top w:val="single" w:color="auto" w:sz="4" w:space="0"/>
              <w:left w:val="single" w:color="000000" w:sz="4" w:space="0"/>
              <w:bottom w:val="single" w:color="auto" w:sz="4" w:space="0"/>
              <w:right w:val="single" w:color="auto" w:sz="4" w:space="0"/>
            </w:tcBorders>
            <w:vAlign w:val="center"/>
          </w:tcPr>
          <w:p w14:paraId="0AC4ADEF">
            <w:pPr>
              <w:keepNext w:val="0"/>
              <w:keepLines w:val="0"/>
              <w:widowControl w:val="0"/>
              <w:suppressLineNumbers w:val="0"/>
              <w:spacing w:before="0" w:beforeAutospacing="0" w:after="0" w:afterAutospacing="0" w:line="240" w:lineRule="auto"/>
              <w:ind w:left="0" w:leftChars="0" w:right="0" w:rightChars="0"/>
              <w:jc w:val="center"/>
              <w:rPr>
                <w:rFonts w:hint="eastAsia" w:ascii="宋体" w:hAnsi="宋体"/>
                <w:sz w:val="24"/>
                <w:lang w:bidi="ar"/>
              </w:rPr>
            </w:pPr>
            <w:r>
              <w:rPr>
                <w:rFonts w:hint="eastAsia" w:ascii="宋体" w:hAnsi="宋体" w:eastAsia="宋体" w:cs="宋体"/>
                <w:bCs/>
                <w:color w:val="auto"/>
                <w:kern w:val="2"/>
                <w:sz w:val="24"/>
                <w:szCs w:val="24"/>
                <w:highlight w:val="none"/>
                <w:lang w:val="en-US" w:eastAsia="zh-CN" w:bidi="ar"/>
              </w:rPr>
              <w:t>0-5分</w:t>
            </w:r>
          </w:p>
        </w:tc>
      </w:tr>
      <w:bookmarkEnd w:id="486"/>
      <w:bookmarkEnd w:id="487"/>
      <w:bookmarkEnd w:id="488"/>
      <w:tr w14:paraId="08E94049">
        <w:tblPrEx>
          <w:tblCellMar>
            <w:top w:w="0" w:type="dxa"/>
            <w:left w:w="108" w:type="dxa"/>
            <w:bottom w:w="0" w:type="dxa"/>
            <w:right w:w="108" w:type="dxa"/>
          </w:tblCellMar>
        </w:tblPrEx>
        <w:trPr>
          <w:trHeight w:val="750" w:hRule="atLeast"/>
        </w:trPr>
        <w:tc>
          <w:tcPr>
            <w:tcW w:w="945" w:type="dxa"/>
            <w:vMerge w:val="restart"/>
            <w:tcBorders>
              <w:top w:val="single" w:color="auto" w:sz="4" w:space="0"/>
              <w:left w:val="single" w:color="auto" w:sz="4" w:space="0"/>
              <w:right w:val="single" w:color="auto" w:sz="4" w:space="0"/>
            </w:tcBorders>
            <w:vAlign w:val="center"/>
          </w:tcPr>
          <w:p w14:paraId="1E63B622">
            <w:pPr>
              <w:autoSpaceDE w:val="0"/>
              <w:autoSpaceDN w:val="0"/>
              <w:adjustRightInd w:val="0"/>
              <w:jc w:val="center"/>
              <w:outlineLvl w:val="0"/>
              <w:rPr>
                <w:rFonts w:hint="eastAsia" w:ascii="宋体" w:hAnsi="宋体" w:eastAsia="宋体" w:cs="宋体"/>
                <w:sz w:val="24"/>
                <w:highlight w:val="none"/>
                <w:lang w:eastAsia="zh-CN"/>
              </w:rPr>
            </w:pPr>
            <w:r>
              <w:rPr>
                <w:rFonts w:hint="eastAsia" w:ascii="宋体" w:hAnsi="宋体"/>
                <w:sz w:val="24"/>
                <w:highlight w:val="none"/>
                <w:lang w:val="en-US" w:eastAsia="zh-CN" w:bidi="ar"/>
              </w:rPr>
              <w:t>4</w:t>
            </w:r>
          </w:p>
        </w:tc>
        <w:tc>
          <w:tcPr>
            <w:tcW w:w="1406" w:type="dxa"/>
            <w:vMerge w:val="restart"/>
            <w:tcBorders>
              <w:top w:val="single" w:color="auto" w:sz="4" w:space="0"/>
              <w:left w:val="single" w:color="auto" w:sz="4" w:space="0"/>
              <w:right w:val="single" w:color="auto" w:sz="4" w:space="0"/>
            </w:tcBorders>
            <w:vAlign w:val="center"/>
          </w:tcPr>
          <w:p w14:paraId="6EF26426">
            <w:pPr>
              <w:spacing w:line="240" w:lineRule="auto"/>
              <w:ind w:left="-2" w:leftChars="-1"/>
              <w:jc w:val="center"/>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项目</w:t>
            </w:r>
            <w:r>
              <w:rPr>
                <w:rFonts w:hint="eastAsia" w:ascii="宋体" w:hAnsi="宋体" w:cs="宋体"/>
                <w:b w:val="0"/>
                <w:bCs w:val="0"/>
                <w:color w:val="auto"/>
                <w:sz w:val="24"/>
                <w:szCs w:val="24"/>
                <w:highlight w:val="none"/>
                <w:lang w:val="en-US" w:eastAsia="zh-CN"/>
              </w:rPr>
              <w:t>服务</w:t>
            </w:r>
            <w:r>
              <w:rPr>
                <w:rFonts w:hint="eastAsia" w:ascii="宋体" w:hAnsi="宋体" w:eastAsia="宋体" w:cs="宋体"/>
                <w:b w:val="0"/>
                <w:bCs w:val="0"/>
                <w:color w:val="auto"/>
                <w:sz w:val="24"/>
                <w:szCs w:val="24"/>
                <w:highlight w:val="none"/>
                <w:lang w:eastAsia="zh-CN"/>
              </w:rPr>
              <w:t>方案</w:t>
            </w:r>
          </w:p>
          <w:p w14:paraId="367F0357">
            <w:pPr>
              <w:spacing w:line="240" w:lineRule="auto"/>
              <w:ind w:left="-2" w:leftChars="-1"/>
              <w:jc w:val="center"/>
              <w:rPr>
                <w:rFonts w:hint="eastAsia" w:hAnsi="宋体" w:cs="宋体"/>
                <w:sz w:val="24"/>
                <w:highlight w:val="none"/>
              </w:rPr>
            </w:pPr>
            <w:r>
              <w:rPr>
                <w:rFonts w:hint="eastAsia" w:ascii="宋体" w:hAnsi="宋体" w:eastAsia="宋体" w:cs="宋体"/>
                <w:b w:val="0"/>
                <w:bCs w:val="0"/>
                <w:color w:val="auto"/>
                <w:sz w:val="24"/>
                <w:szCs w:val="24"/>
                <w:highlight w:val="none"/>
              </w:rPr>
              <w:t>（</w:t>
            </w:r>
            <w:r>
              <w:rPr>
                <w:rFonts w:hint="eastAsia" w:ascii="宋体" w:hAnsi="宋体" w:cs="宋体"/>
                <w:b w:val="0"/>
                <w:bCs w:val="0"/>
                <w:color w:val="auto"/>
                <w:sz w:val="24"/>
                <w:szCs w:val="24"/>
                <w:highlight w:val="none"/>
                <w:lang w:val="en-US" w:eastAsia="zh-CN"/>
              </w:rPr>
              <w:t>30</w:t>
            </w:r>
            <w:r>
              <w:rPr>
                <w:rFonts w:hint="eastAsia" w:ascii="宋体" w:hAnsi="宋体" w:eastAsia="宋体" w:cs="宋体"/>
                <w:b w:val="0"/>
                <w:bCs w:val="0"/>
                <w:color w:val="auto"/>
                <w:sz w:val="24"/>
                <w:szCs w:val="24"/>
                <w:highlight w:val="none"/>
              </w:rPr>
              <w:t>分）</w:t>
            </w:r>
          </w:p>
        </w:tc>
        <w:tc>
          <w:tcPr>
            <w:tcW w:w="5829" w:type="dxa"/>
            <w:tcBorders>
              <w:top w:val="single" w:color="auto" w:sz="4" w:space="0"/>
              <w:left w:val="single" w:color="auto" w:sz="4" w:space="0"/>
              <w:right w:val="single" w:color="auto" w:sz="4" w:space="0"/>
            </w:tcBorders>
            <w:vAlign w:val="center"/>
          </w:tcPr>
          <w:p w14:paraId="16B3BBA8">
            <w:pPr>
              <w:spacing w:line="240" w:lineRule="auto"/>
              <w:rPr>
                <w:rFonts w:hint="eastAsia" w:ascii="宋体" w:hAnsi="宋体" w:cs="宋体"/>
                <w:kern w:val="0"/>
                <w:sz w:val="24"/>
                <w:highlight w:val="none"/>
                <w:lang w:bidi="ar"/>
              </w:rPr>
            </w:pPr>
            <w:r>
              <w:rPr>
                <w:rFonts w:hint="eastAsia" w:ascii="宋体" w:hAnsi="宋体" w:cs="宋体"/>
                <w:kern w:val="0"/>
                <w:sz w:val="24"/>
                <w:szCs w:val="24"/>
                <w:highlight w:val="none"/>
                <w:lang w:val="en-US" w:eastAsia="zh-CN"/>
              </w:rPr>
              <w:t>根据</w:t>
            </w:r>
            <w:r>
              <w:rPr>
                <w:rFonts w:hint="eastAsia" w:ascii="宋体" w:hAnsi="宋体" w:eastAsia="宋体" w:cs="宋体"/>
                <w:kern w:val="0"/>
                <w:sz w:val="24"/>
                <w:szCs w:val="24"/>
                <w:highlight w:val="none"/>
                <w:lang w:val="zh-CN" w:eastAsia="zh-CN"/>
              </w:rPr>
              <w:t>供应商提供</w:t>
            </w:r>
            <w:r>
              <w:rPr>
                <w:rFonts w:hint="eastAsia" w:ascii="宋体" w:hAnsi="宋体" w:cs="宋体"/>
                <w:kern w:val="0"/>
                <w:sz w:val="24"/>
                <w:szCs w:val="24"/>
                <w:highlight w:val="none"/>
                <w:lang w:val="en-US" w:eastAsia="zh-CN"/>
              </w:rPr>
              <w:t>对本</w:t>
            </w:r>
            <w:r>
              <w:rPr>
                <w:rFonts w:hint="eastAsia" w:ascii="宋体" w:hAnsi="宋体" w:eastAsia="宋体" w:cs="宋体"/>
                <w:kern w:val="0"/>
                <w:sz w:val="24"/>
                <w:szCs w:val="24"/>
                <w:highlight w:val="none"/>
                <w:lang w:val="zh-CN" w:eastAsia="zh-CN"/>
              </w:rPr>
              <w:t>项目</w:t>
            </w:r>
            <w:r>
              <w:rPr>
                <w:rFonts w:hint="eastAsia" w:ascii="宋体" w:hAnsi="宋体" w:cs="宋体"/>
                <w:kern w:val="0"/>
                <w:sz w:val="24"/>
                <w:szCs w:val="24"/>
                <w:highlight w:val="none"/>
                <w:lang w:val="en-US" w:eastAsia="zh-CN"/>
              </w:rPr>
              <w:t>的</w:t>
            </w:r>
            <w:r>
              <w:rPr>
                <w:rFonts w:hint="eastAsia" w:ascii="宋体" w:hAnsi="宋体" w:eastAsia="宋体" w:cs="宋体"/>
                <w:kern w:val="0"/>
                <w:sz w:val="24"/>
                <w:szCs w:val="24"/>
                <w:highlight w:val="none"/>
                <w:lang w:val="zh-CN" w:eastAsia="zh-CN"/>
              </w:rPr>
              <w:t>实施方案</w:t>
            </w:r>
            <w:r>
              <w:rPr>
                <w:rFonts w:hint="eastAsia" w:ascii="宋体" w:hAnsi="宋体" w:cs="宋体"/>
                <w:kern w:val="0"/>
                <w:sz w:val="24"/>
                <w:szCs w:val="24"/>
                <w:highlight w:val="none"/>
                <w:lang w:val="en-US" w:eastAsia="zh-CN"/>
              </w:rPr>
              <w:t>中的基本思路</w:t>
            </w:r>
            <w:r>
              <w:rPr>
                <w:rFonts w:hint="eastAsia" w:ascii="宋体" w:hAnsi="宋体" w:eastAsia="宋体" w:cs="Times New Roman"/>
                <w:color w:val="auto"/>
                <w:kern w:val="2"/>
                <w:sz w:val="24"/>
                <w:szCs w:val="24"/>
                <w:highlight w:val="none"/>
                <w:lang w:val="en-US" w:eastAsia="zh-CN" w:bidi="ar-SA"/>
              </w:rPr>
              <w:t>是否全面、可行</w:t>
            </w:r>
            <w:r>
              <w:rPr>
                <w:rFonts w:hint="eastAsia" w:ascii="宋体" w:hAnsi="宋体" w:eastAsia="宋体" w:cs="宋体"/>
                <w:color w:val="auto"/>
                <w:sz w:val="24"/>
                <w:highlight w:val="none"/>
              </w:rPr>
              <w:t>等</w:t>
            </w:r>
            <w:r>
              <w:rPr>
                <w:rFonts w:hint="eastAsia" w:ascii="宋体" w:hAnsi="宋体" w:eastAsia="宋体" w:cs="宋体"/>
                <w:kern w:val="0"/>
                <w:sz w:val="24"/>
                <w:szCs w:val="24"/>
                <w:highlight w:val="none"/>
                <w:lang w:val="zh-CN" w:eastAsia="zh-CN"/>
              </w:rPr>
              <w:t>，</w:t>
            </w:r>
            <w:r>
              <w:rPr>
                <w:rFonts w:hint="eastAsia" w:ascii="宋体" w:hAnsi="宋体" w:cs="宋体"/>
                <w:color w:val="auto"/>
                <w:sz w:val="24"/>
                <w:szCs w:val="24"/>
                <w:highlight w:val="none"/>
                <w:lang w:eastAsia="zh-CN"/>
              </w:rPr>
              <w:t>由评委在规定分值范围内打分</w:t>
            </w:r>
            <w:r>
              <w:rPr>
                <w:rFonts w:hint="eastAsia" w:ascii="宋体" w:hAnsi="宋体" w:eastAsia="宋体" w:cs="宋体"/>
                <w:color w:val="auto"/>
                <w:sz w:val="24"/>
                <w:szCs w:val="24"/>
                <w:highlight w:val="none"/>
                <w:lang w:eastAsia="zh-CN"/>
              </w:rPr>
              <w:t>。</w:t>
            </w:r>
          </w:p>
        </w:tc>
        <w:tc>
          <w:tcPr>
            <w:tcW w:w="1183" w:type="dxa"/>
            <w:tcBorders>
              <w:top w:val="single" w:color="auto" w:sz="4" w:space="0"/>
              <w:left w:val="single" w:color="auto" w:sz="4" w:space="0"/>
              <w:bottom w:val="single" w:color="auto" w:sz="4" w:space="0"/>
              <w:right w:val="single" w:color="auto" w:sz="4" w:space="0"/>
            </w:tcBorders>
            <w:vAlign w:val="center"/>
          </w:tcPr>
          <w:p w14:paraId="50F95972">
            <w:pPr>
              <w:keepNext w:val="0"/>
              <w:keepLines w:val="0"/>
              <w:widowControl w:val="0"/>
              <w:suppressLineNumbers w:val="0"/>
              <w:spacing w:before="0" w:beforeAutospacing="0" w:after="0" w:afterAutospacing="0" w:line="240" w:lineRule="auto"/>
              <w:ind w:left="0" w:leftChars="0" w:right="0" w:rightChars="0"/>
              <w:jc w:val="center"/>
              <w:rPr>
                <w:rFonts w:hint="eastAsia" w:ascii="宋体" w:hAnsi="宋体" w:cs="宋体"/>
                <w:sz w:val="24"/>
                <w:highlight w:val="yellow"/>
              </w:rPr>
            </w:pPr>
            <w:r>
              <w:rPr>
                <w:rFonts w:hint="eastAsia" w:ascii="宋体" w:hAnsi="宋体" w:eastAsia="宋体" w:cs="宋体"/>
                <w:bCs/>
                <w:color w:val="auto"/>
                <w:kern w:val="2"/>
                <w:sz w:val="24"/>
                <w:szCs w:val="24"/>
                <w:highlight w:val="none"/>
                <w:lang w:val="en-US" w:eastAsia="zh-CN" w:bidi="ar"/>
              </w:rPr>
              <w:t>0-5分</w:t>
            </w:r>
          </w:p>
        </w:tc>
      </w:tr>
      <w:tr w14:paraId="2A4EE923">
        <w:tblPrEx>
          <w:tblCellMar>
            <w:top w:w="0" w:type="dxa"/>
            <w:left w:w="108" w:type="dxa"/>
            <w:bottom w:w="0" w:type="dxa"/>
            <w:right w:w="108" w:type="dxa"/>
          </w:tblCellMar>
        </w:tblPrEx>
        <w:trPr>
          <w:trHeight w:val="780" w:hRule="atLeast"/>
        </w:trPr>
        <w:tc>
          <w:tcPr>
            <w:tcW w:w="945" w:type="dxa"/>
            <w:vMerge w:val="continue"/>
            <w:tcBorders>
              <w:left w:val="single" w:color="auto" w:sz="4" w:space="0"/>
              <w:right w:val="single" w:color="auto" w:sz="4" w:space="0"/>
            </w:tcBorders>
            <w:vAlign w:val="center"/>
          </w:tcPr>
          <w:p w14:paraId="2AEB535D">
            <w:pPr>
              <w:autoSpaceDE w:val="0"/>
              <w:autoSpaceDN w:val="0"/>
              <w:adjustRightInd w:val="0"/>
              <w:jc w:val="center"/>
              <w:outlineLvl w:val="0"/>
              <w:rPr>
                <w:rFonts w:hint="eastAsia" w:ascii="宋体" w:hAnsi="宋体"/>
                <w:sz w:val="24"/>
                <w:highlight w:val="none"/>
                <w:lang w:val="en-US" w:eastAsia="zh-CN" w:bidi="ar"/>
              </w:rPr>
            </w:pPr>
            <w:bookmarkStart w:id="489" w:name="_Toc27669"/>
            <w:bookmarkStart w:id="490" w:name="_Toc26594"/>
          </w:p>
        </w:tc>
        <w:tc>
          <w:tcPr>
            <w:tcW w:w="1406" w:type="dxa"/>
            <w:vMerge w:val="continue"/>
            <w:tcBorders>
              <w:left w:val="single" w:color="auto" w:sz="4" w:space="0"/>
              <w:right w:val="single" w:color="auto" w:sz="4" w:space="0"/>
            </w:tcBorders>
            <w:vAlign w:val="center"/>
          </w:tcPr>
          <w:p w14:paraId="46B55033">
            <w:pPr>
              <w:spacing w:line="240" w:lineRule="auto"/>
              <w:ind w:left="-2" w:leftChars="-1"/>
              <w:jc w:val="center"/>
              <w:rPr>
                <w:rFonts w:hint="eastAsia" w:ascii="宋体" w:hAnsi="宋体" w:eastAsia="宋体" w:cs="宋体"/>
                <w:b w:val="0"/>
                <w:bCs w:val="0"/>
                <w:color w:val="auto"/>
                <w:sz w:val="24"/>
                <w:szCs w:val="24"/>
                <w:highlight w:val="none"/>
                <w:lang w:eastAsia="zh-CN"/>
              </w:rPr>
            </w:pPr>
          </w:p>
        </w:tc>
        <w:tc>
          <w:tcPr>
            <w:tcW w:w="5829" w:type="dxa"/>
            <w:tcBorders>
              <w:top w:val="single" w:color="auto" w:sz="4" w:space="0"/>
              <w:left w:val="single" w:color="auto" w:sz="4" w:space="0"/>
              <w:right w:val="single" w:color="auto" w:sz="4" w:space="0"/>
            </w:tcBorders>
            <w:vAlign w:val="center"/>
          </w:tcPr>
          <w:p w14:paraId="3F993790">
            <w:pPr>
              <w:spacing w:line="240" w:lineRule="auto"/>
              <w:rPr>
                <w:rFonts w:hint="eastAsia" w:ascii="宋体" w:hAnsi="宋体" w:eastAsia="宋体" w:cs="宋体"/>
                <w:kern w:val="0"/>
                <w:sz w:val="24"/>
                <w:szCs w:val="24"/>
                <w:highlight w:val="none"/>
                <w:lang w:val="zh-CN" w:eastAsia="zh-CN"/>
              </w:rPr>
            </w:pPr>
            <w:r>
              <w:rPr>
                <w:rFonts w:hint="eastAsia" w:ascii="宋体" w:hAnsi="宋体" w:cs="宋体"/>
                <w:kern w:val="0"/>
                <w:sz w:val="24"/>
                <w:szCs w:val="24"/>
                <w:highlight w:val="none"/>
                <w:lang w:val="en-US" w:eastAsia="zh-CN"/>
              </w:rPr>
              <w:t>根据</w:t>
            </w:r>
            <w:r>
              <w:rPr>
                <w:rFonts w:hint="eastAsia" w:ascii="宋体" w:hAnsi="宋体" w:eastAsia="宋体" w:cs="宋体"/>
                <w:kern w:val="0"/>
                <w:sz w:val="24"/>
                <w:szCs w:val="24"/>
                <w:highlight w:val="none"/>
                <w:lang w:val="zh-CN" w:eastAsia="zh-CN"/>
              </w:rPr>
              <w:t>供应商提供</w:t>
            </w:r>
            <w:r>
              <w:rPr>
                <w:rFonts w:hint="eastAsia" w:ascii="宋体" w:hAnsi="宋体" w:cs="宋体"/>
                <w:kern w:val="0"/>
                <w:sz w:val="24"/>
                <w:szCs w:val="24"/>
                <w:highlight w:val="none"/>
                <w:lang w:val="en-US" w:eastAsia="zh-CN"/>
              </w:rPr>
              <w:t>对本</w:t>
            </w:r>
            <w:r>
              <w:rPr>
                <w:rFonts w:hint="eastAsia" w:ascii="宋体" w:hAnsi="宋体" w:eastAsia="宋体" w:cs="宋体"/>
                <w:kern w:val="0"/>
                <w:sz w:val="24"/>
                <w:szCs w:val="24"/>
                <w:highlight w:val="none"/>
                <w:lang w:val="zh-CN" w:eastAsia="zh-CN"/>
              </w:rPr>
              <w:t>项目</w:t>
            </w:r>
            <w:r>
              <w:rPr>
                <w:rFonts w:hint="eastAsia" w:ascii="宋体" w:hAnsi="宋体" w:cs="宋体"/>
                <w:kern w:val="0"/>
                <w:sz w:val="24"/>
                <w:szCs w:val="24"/>
                <w:highlight w:val="none"/>
                <w:lang w:val="en-US" w:eastAsia="zh-CN"/>
              </w:rPr>
              <w:t>的服务理念是否符合本项目需求</w:t>
            </w:r>
            <w:r>
              <w:rPr>
                <w:rFonts w:hint="eastAsia" w:ascii="宋体" w:hAnsi="宋体" w:eastAsia="宋体" w:cs="宋体"/>
                <w:kern w:val="0"/>
                <w:sz w:val="24"/>
                <w:szCs w:val="24"/>
                <w:highlight w:val="none"/>
                <w:lang w:val="zh-CN" w:eastAsia="zh-CN"/>
              </w:rPr>
              <w:t>，</w:t>
            </w:r>
            <w:r>
              <w:rPr>
                <w:rFonts w:hint="eastAsia" w:ascii="宋体" w:hAnsi="宋体" w:cs="宋体"/>
                <w:color w:val="auto"/>
                <w:sz w:val="24"/>
                <w:szCs w:val="24"/>
                <w:highlight w:val="none"/>
                <w:lang w:eastAsia="zh-CN"/>
              </w:rPr>
              <w:t>由评委在规定分值范围内打分</w:t>
            </w:r>
            <w:r>
              <w:rPr>
                <w:rFonts w:hint="eastAsia" w:ascii="宋体" w:hAnsi="宋体" w:eastAsia="宋体" w:cs="宋体"/>
                <w:color w:val="auto"/>
                <w:sz w:val="24"/>
                <w:szCs w:val="24"/>
                <w:highlight w:val="none"/>
                <w:lang w:eastAsia="zh-CN"/>
              </w:rPr>
              <w:t>。</w:t>
            </w:r>
          </w:p>
        </w:tc>
        <w:tc>
          <w:tcPr>
            <w:tcW w:w="1183" w:type="dxa"/>
            <w:tcBorders>
              <w:top w:val="single" w:color="auto" w:sz="4" w:space="0"/>
              <w:left w:val="single" w:color="auto" w:sz="4" w:space="0"/>
              <w:bottom w:val="single" w:color="auto" w:sz="4" w:space="0"/>
              <w:right w:val="single" w:color="auto" w:sz="4" w:space="0"/>
            </w:tcBorders>
            <w:vAlign w:val="center"/>
          </w:tcPr>
          <w:p w14:paraId="15F542AF">
            <w:pPr>
              <w:keepNext w:val="0"/>
              <w:keepLines w:val="0"/>
              <w:widowControl w:val="0"/>
              <w:suppressLineNumbers w:val="0"/>
              <w:spacing w:before="0" w:beforeAutospacing="0" w:after="0" w:afterAutospacing="0" w:line="240" w:lineRule="auto"/>
              <w:ind w:left="0" w:leftChars="0" w:right="0" w:rightChars="0"/>
              <w:jc w:val="center"/>
              <w:rPr>
                <w:rFonts w:hint="eastAsia" w:ascii="宋体" w:hAnsi="宋体" w:eastAsia="宋体" w:cs="宋体"/>
                <w:bCs/>
                <w:color w:val="auto"/>
                <w:kern w:val="2"/>
                <w:sz w:val="24"/>
                <w:szCs w:val="24"/>
                <w:highlight w:val="yellow"/>
                <w:lang w:val="en-US" w:eastAsia="zh-CN" w:bidi="ar"/>
              </w:rPr>
            </w:pPr>
            <w:r>
              <w:rPr>
                <w:rFonts w:hint="eastAsia" w:ascii="宋体" w:hAnsi="宋体" w:eastAsia="宋体" w:cs="宋体"/>
                <w:bCs/>
                <w:color w:val="auto"/>
                <w:kern w:val="2"/>
                <w:sz w:val="24"/>
                <w:szCs w:val="24"/>
                <w:highlight w:val="none"/>
                <w:lang w:val="en-US" w:eastAsia="zh-CN" w:bidi="ar"/>
              </w:rPr>
              <w:t>0-5分</w:t>
            </w:r>
          </w:p>
        </w:tc>
      </w:tr>
      <w:tr w14:paraId="1E480084">
        <w:tblPrEx>
          <w:tblCellMar>
            <w:top w:w="0" w:type="dxa"/>
            <w:left w:w="108" w:type="dxa"/>
            <w:bottom w:w="0" w:type="dxa"/>
            <w:right w:w="108" w:type="dxa"/>
          </w:tblCellMar>
        </w:tblPrEx>
        <w:trPr>
          <w:trHeight w:val="750" w:hRule="atLeast"/>
        </w:trPr>
        <w:tc>
          <w:tcPr>
            <w:tcW w:w="945" w:type="dxa"/>
            <w:vMerge w:val="continue"/>
            <w:tcBorders>
              <w:left w:val="single" w:color="auto" w:sz="4" w:space="0"/>
              <w:right w:val="single" w:color="auto" w:sz="4" w:space="0"/>
            </w:tcBorders>
            <w:vAlign w:val="center"/>
          </w:tcPr>
          <w:p w14:paraId="13520F90">
            <w:pPr>
              <w:autoSpaceDE w:val="0"/>
              <w:autoSpaceDN w:val="0"/>
              <w:adjustRightInd w:val="0"/>
              <w:jc w:val="center"/>
              <w:outlineLvl w:val="0"/>
              <w:rPr>
                <w:rFonts w:hint="eastAsia" w:ascii="宋体" w:hAnsi="宋体"/>
                <w:sz w:val="24"/>
                <w:highlight w:val="none"/>
                <w:lang w:val="en-US" w:eastAsia="zh-CN" w:bidi="ar"/>
              </w:rPr>
            </w:pPr>
          </w:p>
        </w:tc>
        <w:tc>
          <w:tcPr>
            <w:tcW w:w="1406" w:type="dxa"/>
            <w:vMerge w:val="continue"/>
            <w:tcBorders>
              <w:left w:val="single" w:color="auto" w:sz="4" w:space="0"/>
              <w:right w:val="single" w:color="auto" w:sz="4" w:space="0"/>
            </w:tcBorders>
            <w:vAlign w:val="center"/>
          </w:tcPr>
          <w:p w14:paraId="670104F8">
            <w:pPr>
              <w:spacing w:line="240" w:lineRule="auto"/>
              <w:ind w:left="-2" w:leftChars="-1"/>
              <w:jc w:val="center"/>
              <w:rPr>
                <w:rFonts w:hint="eastAsia" w:ascii="宋体" w:hAnsi="宋体" w:eastAsia="宋体" w:cs="宋体"/>
                <w:b w:val="0"/>
                <w:bCs w:val="0"/>
                <w:color w:val="auto"/>
                <w:sz w:val="24"/>
                <w:szCs w:val="24"/>
                <w:highlight w:val="none"/>
                <w:lang w:eastAsia="zh-CN"/>
              </w:rPr>
            </w:pPr>
          </w:p>
        </w:tc>
        <w:tc>
          <w:tcPr>
            <w:tcW w:w="5829" w:type="dxa"/>
            <w:tcBorders>
              <w:top w:val="single" w:color="auto" w:sz="4" w:space="0"/>
              <w:left w:val="single" w:color="auto" w:sz="4" w:space="0"/>
              <w:right w:val="single" w:color="auto" w:sz="4" w:space="0"/>
            </w:tcBorders>
            <w:vAlign w:val="center"/>
          </w:tcPr>
          <w:p w14:paraId="0FD8A69B">
            <w:pPr>
              <w:spacing w:line="240" w:lineRule="auto"/>
              <w:rPr>
                <w:rFonts w:hint="eastAsia" w:ascii="宋体" w:hAnsi="宋体" w:eastAsia="宋体" w:cs="宋体"/>
                <w:kern w:val="0"/>
                <w:sz w:val="24"/>
                <w:szCs w:val="24"/>
                <w:highlight w:val="none"/>
                <w:lang w:val="zh-CN" w:eastAsia="zh-CN"/>
              </w:rPr>
            </w:pPr>
            <w:r>
              <w:rPr>
                <w:rFonts w:hint="eastAsia" w:ascii="宋体" w:hAnsi="宋体" w:cs="宋体"/>
                <w:kern w:val="0"/>
                <w:sz w:val="24"/>
                <w:szCs w:val="24"/>
                <w:highlight w:val="none"/>
                <w:lang w:val="en-US" w:eastAsia="zh-CN"/>
              </w:rPr>
              <w:t>根据</w:t>
            </w:r>
            <w:r>
              <w:rPr>
                <w:rFonts w:hint="eastAsia" w:ascii="宋体" w:hAnsi="宋体" w:eastAsia="宋体" w:cs="宋体"/>
                <w:kern w:val="0"/>
                <w:sz w:val="24"/>
                <w:szCs w:val="24"/>
                <w:highlight w:val="none"/>
                <w:lang w:val="zh-CN" w:eastAsia="zh-CN"/>
              </w:rPr>
              <w:t>供应商提供</w:t>
            </w:r>
            <w:r>
              <w:rPr>
                <w:rFonts w:hint="eastAsia" w:ascii="宋体" w:hAnsi="宋体" w:cs="宋体"/>
                <w:kern w:val="0"/>
                <w:sz w:val="24"/>
                <w:szCs w:val="24"/>
                <w:highlight w:val="none"/>
                <w:lang w:val="en-US" w:eastAsia="zh-CN"/>
              </w:rPr>
              <w:t>对本</w:t>
            </w:r>
            <w:r>
              <w:rPr>
                <w:rFonts w:hint="eastAsia" w:ascii="宋体" w:hAnsi="宋体" w:eastAsia="宋体" w:cs="宋体"/>
                <w:kern w:val="0"/>
                <w:sz w:val="24"/>
                <w:szCs w:val="24"/>
                <w:highlight w:val="none"/>
                <w:lang w:val="zh-CN" w:eastAsia="zh-CN"/>
              </w:rPr>
              <w:t>项目</w:t>
            </w:r>
            <w:r>
              <w:rPr>
                <w:rFonts w:hint="eastAsia" w:ascii="宋体" w:hAnsi="宋体" w:cs="宋体"/>
                <w:kern w:val="0"/>
                <w:sz w:val="24"/>
                <w:szCs w:val="24"/>
                <w:highlight w:val="none"/>
                <w:lang w:val="en-US" w:eastAsia="zh-CN"/>
              </w:rPr>
              <w:t>的工作目标</w:t>
            </w:r>
            <w:r>
              <w:rPr>
                <w:rFonts w:hint="eastAsia" w:ascii="宋体" w:hAnsi="宋体" w:eastAsia="宋体" w:cs="Times New Roman"/>
                <w:color w:val="auto"/>
                <w:kern w:val="2"/>
                <w:sz w:val="24"/>
                <w:szCs w:val="24"/>
                <w:highlight w:val="none"/>
                <w:lang w:val="en-US" w:eastAsia="zh-CN" w:bidi="ar-SA"/>
              </w:rPr>
              <w:t>是否详细、充分等</w:t>
            </w:r>
            <w:r>
              <w:rPr>
                <w:rFonts w:hint="eastAsia" w:ascii="宋体" w:hAnsi="宋体" w:eastAsia="宋体" w:cs="宋体"/>
                <w:kern w:val="0"/>
                <w:sz w:val="24"/>
                <w:szCs w:val="24"/>
                <w:highlight w:val="none"/>
                <w:lang w:val="zh-CN" w:eastAsia="zh-CN"/>
              </w:rPr>
              <w:t>，</w:t>
            </w:r>
            <w:r>
              <w:rPr>
                <w:rFonts w:hint="eastAsia" w:ascii="宋体" w:hAnsi="宋体" w:cs="宋体"/>
                <w:color w:val="auto"/>
                <w:sz w:val="24"/>
                <w:szCs w:val="24"/>
                <w:highlight w:val="none"/>
                <w:lang w:eastAsia="zh-CN"/>
              </w:rPr>
              <w:t>由评委在规定分值范围内打分</w:t>
            </w:r>
            <w:r>
              <w:rPr>
                <w:rFonts w:hint="eastAsia" w:ascii="宋体" w:hAnsi="宋体" w:eastAsia="宋体" w:cs="宋体"/>
                <w:color w:val="auto"/>
                <w:sz w:val="24"/>
                <w:szCs w:val="24"/>
                <w:highlight w:val="none"/>
                <w:lang w:eastAsia="zh-CN"/>
              </w:rPr>
              <w:t>。</w:t>
            </w:r>
          </w:p>
        </w:tc>
        <w:tc>
          <w:tcPr>
            <w:tcW w:w="1183" w:type="dxa"/>
            <w:tcBorders>
              <w:top w:val="single" w:color="auto" w:sz="4" w:space="0"/>
              <w:left w:val="single" w:color="auto" w:sz="4" w:space="0"/>
              <w:bottom w:val="single" w:color="auto" w:sz="4" w:space="0"/>
              <w:right w:val="single" w:color="auto" w:sz="4" w:space="0"/>
            </w:tcBorders>
            <w:vAlign w:val="center"/>
          </w:tcPr>
          <w:p w14:paraId="31015951">
            <w:pPr>
              <w:keepNext w:val="0"/>
              <w:keepLines w:val="0"/>
              <w:widowControl w:val="0"/>
              <w:suppressLineNumbers w:val="0"/>
              <w:spacing w:before="0" w:beforeAutospacing="0" w:after="0" w:afterAutospacing="0" w:line="240" w:lineRule="auto"/>
              <w:ind w:left="0" w:leftChars="0" w:right="0" w:rightChars="0"/>
              <w:jc w:val="center"/>
              <w:rPr>
                <w:rFonts w:hint="eastAsia" w:ascii="宋体" w:hAnsi="宋体" w:eastAsia="宋体" w:cs="宋体"/>
                <w:bCs/>
                <w:color w:val="auto"/>
                <w:kern w:val="2"/>
                <w:sz w:val="24"/>
                <w:szCs w:val="24"/>
                <w:highlight w:val="yellow"/>
                <w:lang w:val="en-US" w:eastAsia="zh-CN" w:bidi="ar"/>
              </w:rPr>
            </w:pPr>
            <w:r>
              <w:rPr>
                <w:rFonts w:hint="eastAsia" w:ascii="宋体" w:hAnsi="宋体" w:eastAsia="宋体" w:cs="宋体"/>
                <w:bCs/>
                <w:color w:val="auto"/>
                <w:kern w:val="2"/>
                <w:sz w:val="24"/>
                <w:szCs w:val="24"/>
                <w:highlight w:val="none"/>
                <w:lang w:val="en-US" w:eastAsia="zh-CN" w:bidi="ar"/>
              </w:rPr>
              <w:t>0-5分</w:t>
            </w:r>
          </w:p>
        </w:tc>
      </w:tr>
      <w:tr w14:paraId="41A0D745">
        <w:tblPrEx>
          <w:tblCellMar>
            <w:top w:w="0" w:type="dxa"/>
            <w:left w:w="108" w:type="dxa"/>
            <w:bottom w:w="0" w:type="dxa"/>
            <w:right w:w="108" w:type="dxa"/>
          </w:tblCellMar>
        </w:tblPrEx>
        <w:trPr>
          <w:trHeight w:val="815" w:hRule="atLeast"/>
        </w:trPr>
        <w:tc>
          <w:tcPr>
            <w:tcW w:w="945" w:type="dxa"/>
            <w:vMerge w:val="continue"/>
            <w:tcBorders>
              <w:left w:val="single" w:color="auto" w:sz="4" w:space="0"/>
              <w:right w:val="single" w:color="auto" w:sz="4" w:space="0"/>
            </w:tcBorders>
            <w:vAlign w:val="center"/>
          </w:tcPr>
          <w:p w14:paraId="2F7D6F6B">
            <w:pPr>
              <w:autoSpaceDE w:val="0"/>
              <w:autoSpaceDN w:val="0"/>
              <w:adjustRightInd w:val="0"/>
              <w:jc w:val="center"/>
              <w:outlineLvl w:val="0"/>
              <w:rPr>
                <w:rFonts w:hint="eastAsia" w:ascii="宋体" w:hAnsi="宋体"/>
                <w:sz w:val="24"/>
                <w:highlight w:val="none"/>
                <w:lang w:val="en-US" w:eastAsia="zh-CN" w:bidi="ar"/>
              </w:rPr>
            </w:pPr>
          </w:p>
        </w:tc>
        <w:tc>
          <w:tcPr>
            <w:tcW w:w="1406" w:type="dxa"/>
            <w:vMerge w:val="continue"/>
            <w:tcBorders>
              <w:left w:val="single" w:color="auto" w:sz="4" w:space="0"/>
              <w:right w:val="single" w:color="auto" w:sz="4" w:space="0"/>
            </w:tcBorders>
            <w:vAlign w:val="center"/>
          </w:tcPr>
          <w:p w14:paraId="1137285D">
            <w:pPr>
              <w:spacing w:line="240" w:lineRule="auto"/>
              <w:ind w:left="-2" w:leftChars="-1"/>
              <w:jc w:val="center"/>
              <w:rPr>
                <w:rFonts w:hint="eastAsia" w:ascii="宋体" w:hAnsi="宋体" w:eastAsia="宋体" w:cs="宋体"/>
                <w:b w:val="0"/>
                <w:bCs w:val="0"/>
                <w:color w:val="auto"/>
                <w:sz w:val="24"/>
                <w:szCs w:val="24"/>
                <w:highlight w:val="none"/>
                <w:lang w:eastAsia="zh-CN"/>
              </w:rPr>
            </w:pPr>
          </w:p>
        </w:tc>
        <w:tc>
          <w:tcPr>
            <w:tcW w:w="5829" w:type="dxa"/>
            <w:tcBorders>
              <w:top w:val="single" w:color="auto" w:sz="4" w:space="0"/>
              <w:left w:val="single" w:color="auto" w:sz="4" w:space="0"/>
              <w:right w:val="single" w:color="auto" w:sz="4" w:space="0"/>
            </w:tcBorders>
            <w:vAlign w:val="center"/>
          </w:tcPr>
          <w:p w14:paraId="6C17A595">
            <w:pPr>
              <w:spacing w:line="240" w:lineRule="auto"/>
              <w:rPr>
                <w:rFonts w:hint="eastAsia" w:ascii="宋体" w:hAnsi="宋体" w:eastAsia="宋体" w:cs="宋体"/>
                <w:kern w:val="0"/>
                <w:sz w:val="24"/>
                <w:szCs w:val="24"/>
                <w:highlight w:val="none"/>
                <w:lang w:val="zh-CN" w:eastAsia="zh-CN"/>
              </w:rPr>
            </w:pPr>
            <w:r>
              <w:rPr>
                <w:rFonts w:hint="eastAsia" w:ascii="宋体" w:hAnsi="宋体" w:cs="宋体"/>
                <w:kern w:val="0"/>
                <w:sz w:val="24"/>
                <w:szCs w:val="24"/>
                <w:highlight w:val="none"/>
                <w:lang w:val="en-US" w:eastAsia="zh-CN"/>
              </w:rPr>
              <w:t>根据</w:t>
            </w:r>
            <w:r>
              <w:rPr>
                <w:rFonts w:hint="eastAsia" w:ascii="宋体" w:hAnsi="宋体" w:eastAsia="宋体" w:cs="宋体"/>
                <w:kern w:val="0"/>
                <w:sz w:val="24"/>
                <w:szCs w:val="24"/>
                <w:highlight w:val="none"/>
                <w:lang w:val="zh-CN" w:eastAsia="zh-CN"/>
              </w:rPr>
              <w:t>供应商提供</w:t>
            </w:r>
            <w:r>
              <w:rPr>
                <w:rFonts w:hint="eastAsia" w:ascii="宋体" w:hAnsi="宋体" w:cs="宋体"/>
                <w:kern w:val="0"/>
                <w:sz w:val="24"/>
                <w:szCs w:val="24"/>
                <w:highlight w:val="none"/>
                <w:lang w:val="en-US" w:eastAsia="zh-CN"/>
              </w:rPr>
              <w:t>对本</w:t>
            </w:r>
            <w:r>
              <w:rPr>
                <w:rFonts w:hint="eastAsia" w:ascii="宋体" w:hAnsi="宋体" w:eastAsia="宋体" w:cs="宋体"/>
                <w:kern w:val="0"/>
                <w:sz w:val="24"/>
                <w:szCs w:val="24"/>
                <w:highlight w:val="none"/>
                <w:lang w:val="zh-CN" w:eastAsia="zh-CN"/>
              </w:rPr>
              <w:t>项目</w:t>
            </w:r>
            <w:r>
              <w:rPr>
                <w:rFonts w:hint="eastAsia" w:ascii="宋体" w:hAnsi="宋体" w:cs="宋体"/>
                <w:kern w:val="0"/>
                <w:sz w:val="24"/>
                <w:szCs w:val="24"/>
                <w:highlight w:val="none"/>
                <w:lang w:val="en-US" w:eastAsia="zh-CN"/>
              </w:rPr>
              <w:t>日常管理标准的</w:t>
            </w:r>
            <w:r>
              <w:rPr>
                <w:rFonts w:hint="eastAsia" w:ascii="宋体" w:hAnsi="宋体" w:eastAsia="宋体" w:cs="宋体"/>
                <w:sz w:val="24"/>
                <w:szCs w:val="24"/>
                <w:highlight w:val="none"/>
                <w:lang w:eastAsia="zh-CN"/>
              </w:rPr>
              <w:t>完整性、合理性、齐全性等</w:t>
            </w:r>
            <w:r>
              <w:rPr>
                <w:rFonts w:hint="eastAsia" w:ascii="宋体" w:hAnsi="宋体" w:eastAsia="宋体" w:cs="宋体"/>
                <w:kern w:val="0"/>
                <w:sz w:val="24"/>
                <w:szCs w:val="24"/>
                <w:highlight w:val="none"/>
                <w:lang w:val="zh-CN" w:eastAsia="zh-CN"/>
              </w:rPr>
              <w:t>，</w:t>
            </w:r>
            <w:r>
              <w:rPr>
                <w:rFonts w:hint="eastAsia" w:ascii="宋体" w:hAnsi="宋体" w:cs="宋体"/>
                <w:color w:val="auto"/>
                <w:sz w:val="24"/>
                <w:szCs w:val="24"/>
                <w:highlight w:val="none"/>
                <w:lang w:eastAsia="zh-CN"/>
              </w:rPr>
              <w:t>由评委在规定分值范围内打分</w:t>
            </w:r>
            <w:r>
              <w:rPr>
                <w:rFonts w:hint="eastAsia" w:ascii="宋体" w:hAnsi="宋体" w:eastAsia="宋体" w:cs="宋体"/>
                <w:color w:val="auto"/>
                <w:sz w:val="24"/>
                <w:szCs w:val="24"/>
                <w:highlight w:val="none"/>
                <w:lang w:eastAsia="zh-CN"/>
              </w:rPr>
              <w:t>。</w:t>
            </w:r>
          </w:p>
        </w:tc>
        <w:tc>
          <w:tcPr>
            <w:tcW w:w="1183" w:type="dxa"/>
            <w:tcBorders>
              <w:top w:val="single" w:color="auto" w:sz="4" w:space="0"/>
              <w:left w:val="single" w:color="auto" w:sz="4" w:space="0"/>
              <w:bottom w:val="single" w:color="auto" w:sz="4" w:space="0"/>
              <w:right w:val="single" w:color="auto" w:sz="4" w:space="0"/>
            </w:tcBorders>
            <w:vAlign w:val="center"/>
          </w:tcPr>
          <w:p w14:paraId="6F795DED">
            <w:pPr>
              <w:keepNext w:val="0"/>
              <w:keepLines w:val="0"/>
              <w:widowControl w:val="0"/>
              <w:suppressLineNumbers w:val="0"/>
              <w:spacing w:before="0" w:beforeAutospacing="0" w:after="0" w:afterAutospacing="0" w:line="240" w:lineRule="auto"/>
              <w:ind w:left="0" w:leftChars="0" w:right="0" w:rightChars="0"/>
              <w:jc w:val="center"/>
              <w:rPr>
                <w:rFonts w:hint="eastAsia" w:ascii="宋体" w:hAnsi="宋体" w:eastAsia="宋体" w:cs="宋体"/>
                <w:bCs/>
                <w:color w:val="auto"/>
                <w:kern w:val="2"/>
                <w:sz w:val="24"/>
                <w:szCs w:val="24"/>
                <w:highlight w:val="yellow"/>
                <w:lang w:val="en-US" w:eastAsia="zh-CN" w:bidi="ar"/>
              </w:rPr>
            </w:pPr>
            <w:r>
              <w:rPr>
                <w:rFonts w:hint="eastAsia" w:ascii="宋体" w:hAnsi="宋体" w:eastAsia="宋体" w:cs="宋体"/>
                <w:bCs/>
                <w:color w:val="auto"/>
                <w:kern w:val="2"/>
                <w:sz w:val="24"/>
                <w:szCs w:val="24"/>
                <w:highlight w:val="none"/>
                <w:lang w:val="en-US" w:eastAsia="zh-CN" w:bidi="ar"/>
              </w:rPr>
              <w:t>0-5分</w:t>
            </w:r>
          </w:p>
        </w:tc>
      </w:tr>
      <w:bookmarkEnd w:id="489"/>
      <w:bookmarkEnd w:id="490"/>
      <w:tr w14:paraId="4755BE71">
        <w:tblPrEx>
          <w:tblCellMar>
            <w:top w:w="0" w:type="dxa"/>
            <w:left w:w="108" w:type="dxa"/>
            <w:bottom w:w="0" w:type="dxa"/>
            <w:right w:w="108" w:type="dxa"/>
          </w:tblCellMar>
        </w:tblPrEx>
        <w:trPr>
          <w:trHeight w:val="790" w:hRule="atLeast"/>
        </w:trPr>
        <w:tc>
          <w:tcPr>
            <w:tcW w:w="945" w:type="dxa"/>
            <w:vMerge w:val="continue"/>
            <w:tcBorders>
              <w:left w:val="single" w:color="auto" w:sz="4" w:space="0"/>
              <w:right w:val="single" w:color="auto" w:sz="4" w:space="0"/>
            </w:tcBorders>
            <w:vAlign w:val="center"/>
          </w:tcPr>
          <w:p w14:paraId="55DE2283">
            <w:pPr>
              <w:autoSpaceDE w:val="0"/>
              <w:autoSpaceDN w:val="0"/>
              <w:adjustRightInd w:val="0"/>
              <w:jc w:val="center"/>
              <w:outlineLvl w:val="0"/>
              <w:rPr>
                <w:rFonts w:hint="eastAsia" w:ascii="宋体" w:hAnsi="宋体" w:eastAsia="宋体" w:cs="宋体"/>
                <w:kern w:val="0"/>
                <w:sz w:val="24"/>
                <w:lang w:eastAsia="zh-CN" w:bidi="ar"/>
              </w:rPr>
            </w:pPr>
          </w:p>
        </w:tc>
        <w:tc>
          <w:tcPr>
            <w:tcW w:w="1406" w:type="dxa"/>
            <w:vMerge w:val="continue"/>
            <w:tcBorders>
              <w:left w:val="single" w:color="auto" w:sz="4" w:space="0"/>
              <w:right w:val="single" w:color="auto" w:sz="4" w:space="0"/>
            </w:tcBorders>
            <w:vAlign w:val="center"/>
          </w:tcPr>
          <w:p w14:paraId="5FF46F44">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leftChars="0" w:right="0" w:rightChars="0"/>
              <w:jc w:val="center"/>
              <w:textAlignment w:val="auto"/>
              <w:rPr>
                <w:rFonts w:hint="eastAsia" w:hAnsi="宋体" w:cs="宋体"/>
                <w:kern w:val="0"/>
                <w:sz w:val="24"/>
                <w:highlight w:val="none"/>
                <w:lang w:bidi="ar"/>
              </w:rPr>
            </w:pPr>
          </w:p>
        </w:tc>
        <w:tc>
          <w:tcPr>
            <w:tcW w:w="5829" w:type="dxa"/>
            <w:tcBorders>
              <w:top w:val="single" w:color="auto" w:sz="4" w:space="0"/>
              <w:left w:val="single" w:color="auto" w:sz="4" w:space="0"/>
              <w:bottom w:val="single" w:color="auto" w:sz="4" w:space="0"/>
              <w:right w:val="single" w:color="auto" w:sz="4" w:space="0"/>
            </w:tcBorders>
            <w:vAlign w:val="center"/>
          </w:tcPr>
          <w:p w14:paraId="459765D0">
            <w:pPr>
              <w:spacing w:line="240" w:lineRule="auto"/>
              <w:rPr>
                <w:rFonts w:hint="eastAsia" w:ascii="宋体" w:hAnsi="宋体" w:cs="宋体"/>
                <w:kern w:val="0"/>
                <w:sz w:val="24"/>
                <w:highlight w:val="none"/>
                <w:lang w:bidi="ar"/>
              </w:rPr>
            </w:pPr>
            <w:r>
              <w:rPr>
                <w:rFonts w:hint="eastAsia" w:ascii="宋体" w:hAnsi="宋体" w:eastAsia="宋体" w:cs="宋体"/>
                <w:color w:val="auto"/>
                <w:kern w:val="2"/>
                <w:sz w:val="24"/>
                <w:szCs w:val="24"/>
                <w:highlight w:val="none"/>
                <w:lang w:val="en-US" w:eastAsia="zh-CN" w:bidi="ar"/>
              </w:rPr>
              <w:t>根据供应商提供的项目重难点分析</w:t>
            </w:r>
            <w:r>
              <w:rPr>
                <w:rFonts w:hint="eastAsia" w:ascii="宋体" w:hAnsi="宋体" w:cs="宋体"/>
                <w:color w:val="auto"/>
                <w:kern w:val="2"/>
                <w:sz w:val="24"/>
                <w:szCs w:val="24"/>
                <w:highlight w:val="none"/>
                <w:lang w:val="en-US" w:eastAsia="zh-CN" w:bidi="ar"/>
              </w:rPr>
              <w:t>是否到位</w:t>
            </w:r>
            <w:r>
              <w:rPr>
                <w:rFonts w:hint="eastAsia" w:ascii="宋体" w:hAnsi="宋体" w:eastAsia="宋体" w:cs="宋体"/>
                <w:color w:val="auto"/>
                <w:kern w:val="2"/>
                <w:sz w:val="24"/>
                <w:szCs w:val="24"/>
                <w:highlight w:val="none"/>
                <w:lang w:val="en-US" w:eastAsia="zh-CN" w:bidi="ar"/>
              </w:rPr>
              <w:t>等，</w:t>
            </w:r>
            <w:r>
              <w:rPr>
                <w:rFonts w:hint="eastAsia" w:ascii="宋体" w:hAnsi="宋体" w:cs="宋体"/>
                <w:color w:val="auto"/>
                <w:sz w:val="24"/>
                <w:szCs w:val="24"/>
                <w:highlight w:val="none"/>
                <w:lang w:eastAsia="zh-CN"/>
              </w:rPr>
              <w:t>由评委在规定分值范围内打分</w:t>
            </w:r>
            <w:r>
              <w:rPr>
                <w:rFonts w:hint="eastAsia" w:ascii="宋体" w:hAnsi="宋体" w:eastAsia="宋体" w:cs="宋体"/>
                <w:color w:val="auto"/>
                <w:sz w:val="24"/>
                <w:szCs w:val="24"/>
                <w:highlight w:val="none"/>
                <w:lang w:eastAsia="zh-CN"/>
              </w:rPr>
              <w:t>。</w:t>
            </w:r>
          </w:p>
        </w:tc>
        <w:tc>
          <w:tcPr>
            <w:tcW w:w="1183" w:type="dxa"/>
            <w:tcBorders>
              <w:top w:val="single" w:color="auto" w:sz="4" w:space="0"/>
              <w:left w:val="single" w:color="auto" w:sz="4" w:space="0"/>
              <w:bottom w:val="single" w:color="auto" w:sz="4" w:space="0"/>
              <w:right w:val="single" w:color="auto" w:sz="4" w:space="0"/>
            </w:tcBorders>
            <w:vAlign w:val="center"/>
          </w:tcPr>
          <w:p w14:paraId="5C29B6C6">
            <w:pPr>
              <w:keepNext w:val="0"/>
              <w:keepLines w:val="0"/>
              <w:widowControl w:val="0"/>
              <w:suppressLineNumbers w:val="0"/>
              <w:spacing w:before="0" w:beforeAutospacing="0" w:after="0" w:afterAutospacing="0" w:line="240" w:lineRule="auto"/>
              <w:ind w:left="0" w:leftChars="0" w:right="0" w:rightChars="0"/>
              <w:jc w:val="center"/>
              <w:rPr>
                <w:rFonts w:hint="eastAsia" w:ascii="宋体" w:hAnsi="宋体" w:cs="宋体"/>
                <w:kern w:val="0"/>
                <w:sz w:val="24"/>
                <w:lang w:bidi="ar"/>
              </w:rPr>
            </w:pPr>
            <w:r>
              <w:rPr>
                <w:rFonts w:hint="eastAsia" w:ascii="宋体" w:hAnsi="宋体" w:eastAsia="宋体" w:cs="宋体"/>
                <w:bCs/>
                <w:color w:val="auto"/>
                <w:kern w:val="2"/>
                <w:sz w:val="24"/>
                <w:szCs w:val="24"/>
                <w:lang w:val="en-US" w:eastAsia="zh-CN" w:bidi="ar"/>
              </w:rPr>
              <w:t>0-5分</w:t>
            </w:r>
          </w:p>
        </w:tc>
      </w:tr>
      <w:tr w14:paraId="4E6C6032">
        <w:tblPrEx>
          <w:tblCellMar>
            <w:top w:w="0" w:type="dxa"/>
            <w:left w:w="108" w:type="dxa"/>
            <w:bottom w:w="0" w:type="dxa"/>
            <w:right w:w="108" w:type="dxa"/>
          </w:tblCellMar>
        </w:tblPrEx>
        <w:trPr>
          <w:trHeight w:val="790" w:hRule="atLeast"/>
        </w:trPr>
        <w:tc>
          <w:tcPr>
            <w:tcW w:w="945" w:type="dxa"/>
            <w:vMerge w:val="continue"/>
            <w:tcBorders>
              <w:left w:val="single" w:color="auto" w:sz="4" w:space="0"/>
              <w:bottom w:val="single" w:color="auto" w:sz="4" w:space="0"/>
              <w:right w:val="single" w:color="auto" w:sz="4" w:space="0"/>
            </w:tcBorders>
            <w:vAlign w:val="center"/>
          </w:tcPr>
          <w:p w14:paraId="6DF30622">
            <w:pPr>
              <w:autoSpaceDE w:val="0"/>
              <w:autoSpaceDN w:val="0"/>
              <w:adjustRightInd w:val="0"/>
              <w:jc w:val="center"/>
              <w:outlineLvl w:val="0"/>
              <w:rPr>
                <w:rFonts w:hint="eastAsia" w:ascii="宋体" w:hAnsi="宋体"/>
                <w:sz w:val="24"/>
                <w:lang w:bidi="ar"/>
              </w:rPr>
            </w:pPr>
            <w:bookmarkStart w:id="491" w:name="_Toc8120"/>
            <w:bookmarkStart w:id="492" w:name="_Toc26193"/>
            <w:bookmarkStart w:id="493" w:name="_Toc9301"/>
          </w:p>
        </w:tc>
        <w:tc>
          <w:tcPr>
            <w:tcW w:w="1406" w:type="dxa"/>
            <w:vMerge w:val="continue"/>
            <w:tcBorders>
              <w:left w:val="single" w:color="auto" w:sz="4" w:space="0"/>
              <w:bottom w:val="single" w:color="auto" w:sz="4" w:space="0"/>
              <w:right w:val="single" w:color="auto" w:sz="4" w:space="0"/>
            </w:tcBorders>
            <w:vAlign w:val="center"/>
          </w:tcPr>
          <w:p w14:paraId="32B7D31C">
            <w:pPr>
              <w:spacing w:line="240" w:lineRule="auto"/>
              <w:ind w:left="-2" w:leftChars="-1"/>
              <w:jc w:val="center"/>
              <w:rPr>
                <w:rFonts w:hint="eastAsia" w:ascii="宋体" w:hAnsi="宋体" w:cs="宋体"/>
                <w:sz w:val="24"/>
                <w:highlight w:val="none"/>
                <w:lang w:bidi="ar"/>
              </w:rPr>
            </w:pPr>
          </w:p>
        </w:tc>
        <w:tc>
          <w:tcPr>
            <w:tcW w:w="5829" w:type="dxa"/>
            <w:tcBorders>
              <w:top w:val="single" w:color="auto" w:sz="4" w:space="0"/>
              <w:left w:val="single" w:color="auto" w:sz="4" w:space="0"/>
              <w:bottom w:val="single" w:color="auto" w:sz="4" w:space="0"/>
              <w:right w:val="single" w:color="auto" w:sz="4" w:space="0"/>
            </w:tcBorders>
            <w:vAlign w:val="center"/>
          </w:tcPr>
          <w:p w14:paraId="5C19C062">
            <w:pPr>
              <w:spacing w:line="240" w:lineRule="auto"/>
              <w:rPr>
                <w:rFonts w:hint="eastAsia" w:ascii="宋体" w:hAnsi="宋体"/>
                <w:sz w:val="24"/>
                <w:highlight w:val="none"/>
                <w:lang w:bidi="ar"/>
              </w:rPr>
            </w:pPr>
            <w:r>
              <w:rPr>
                <w:rFonts w:hint="eastAsia" w:ascii="宋体" w:hAnsi="宋体"/>
                <w:color w:val="000000"/>
                <w:sz w:val="24"/>
                <w:highlight w:val="none"/>
                <w:lang w:val="en-US" w:eastAsia="zh-CN"/>
              </w:rPr>
              <w:t>根据供应商</w:t>
            </w:r>
            <w:r>
              <w:rPr>
                <w:rFonts w:hint="eastAsia" w:ascii="宋体" w:hAnsi="宋体"/>
                <w:color w:val="000000"/>
                <w:sz w:val="24"/>
                <w:highlight w:val="none"/>
              </w:rPr>
              <w:t>针对本项目的重点、难点所提出解决方案</w:t>
            </w:r>
            <w:r>
              <w:rPr>
                <w:rFonts w:hint="eastAsia" w:ascii="宋体" w:hAnsi="宋体"/>
                <w:color w:val="000000"/>
                <w:sz w:val="24"/>
                <w:highlight w:val="none"/>
                <w:lang w:val="en-US" w:eastAsia="zh-CN"/>
              </w:rPr>
              <w:t>是否合理可行</w:t>
            </w:r>
            <w:r>
              <w:rPr>
                <w:rFonts w:hint="eastAsia" w:ascii="宋体" w:hAnsi="宋体" w:eastAsia="宋体" w:cs="宋体"/>
                <w:color w:val="auto"/>
                <w:kern w:val="2"/>
                <w:sz w:val="24"/>
                <w:szCs w:val="24"/>
                <w:highlight w:val="none"/>
                <w:lang w:val="en-US" w:eastAsia="zh-CN" w:bidi="ar"/>
              </w:rPr>
              <w:t>等，</w:t>
            </w:r>
            <w:r>
              <w:rPr>
                <w:rFonts w:hint="eastAsia" w:ascii="宋体" w:hAnsi="宋体" w:cs="宋体"/>
                <w:color w:val="auto"/>
                <w:sz w:val="24"/>
                <w:szCs w:val="24"/>
                <w:highlight w:val="none"/>
                <w:lang w:eastAsia="zh-CN"/>
              </w:rPr>
              <w:t>由评委在规定分值范围内打分</w:t>
            </w:r>
            <w:r>
              <w:rPr>
                <w:rFonts w:hint="eastAsia" w:ascii="宋体" w:hAnsi="宋体" w:eastAsia="宋体" w:cs="宋体"/>
                <w:color w:val="auto"/>
                <w:sz w:val="24"/>
                <w:szCs w:val="24"/>
                <w:highlight w:val="none"/>
                <w:lang w:eastAsia="zh-CN"/>
              </w:rPr>
              <w:t>。</w:t>
            </w:r>
          </w:p>
        </w:tc>
        <w:tc>
          <w:tcPr>
            <w:tcW w:w="1183" w:type="dxa"/>
            <w:tcBorders>
              <w:top w:val="single" w:color="auto" w:sz="4" w:space="0"/>
              <w:left w:val="single" w:color="auto" w:sz="4" w:space="0"/>
              <w:bottom w:val="single" w:color="auto" w:sz="4" w:space="0"/>
              <w:right w:val="single" w:color="auto" w:sz="4" w:space="0"/>
            </w:tcBorders>
            <w:vAlign w:val="center"/>
          </w:tcPr>
          <w:p w14:paraId="63651DC4">
            <w:pPr>
              <w:keepNext w:val="0"/>
              <w:keepLines w:val="0"/>
              <w:widowControl w:val="0"/>
              <w:suppressLineNumbers w:val="0"/>
              <w:spacing w:before="0" w:beforeAutospacing="0" w:after="0" w:afterAutospacing="0" w:line="240" w:lineRule="auto"/>
              <w:ind w:left="0" w:leftChars="0" w:right="0" w:rightChars="0"/>
              <w:jc w:val="center"/>
              <w:rPr>
                <w:rFonts w:hint="eastAsia" w:ascii="宋体" w:hAnsi="宋体"/>
                <w:sz w:val="24"/>
                <w:lang w:bidi="ar"/>
              </w:rPr>
            </w:pPr>
            <w:r>
              <w:rPr>
                <w:rFonts w:hint="eastAsia" w:ascii="宋体" w:hAnsi="宋体" w:eastAsia="宋体" w:cs="宋体"/>
                <w:bCs/>
                <w:color w:val="auto"/>
                <w:kern w:val="2"/>
                <w:sz w:val="24"/>
                <w:szCs w:val="24"/>
                <w:lang w:val="en-US" w:eastAsia="zh-CN" w:bidi="ar"/>
              </w:rPr>
              <w:t>0-5分</w:t>
            </w:r>
          </w:p>
        </w:tc>
      </w:tr>
      <w:bookmarkEnd w:id="491"/>
      <w:bookmarkEnd w:id="492"/>
      <w:bookmarkEnd w:id="493"/>
      <w:tr w14:paraId="3C0DDBA0">
        <w:tblPrEx>
          <w:tblCellMar>
            <w:top w:w="0" w:type="dxa"/>
            <w:left w:w="108" w:type="dxa"/>
            <w:bottom w:w="0" w:type="dxa"/>
            <w:right w:w="108" w:type="dxa"/>
          </w:tblCellMar>
        </w:tblPrEx>
        <w:trPr>
          <w:trHeight w:val="1130" w:hRule="atLeast"/>
        </w:trPr>
        <w:tc>
          <w:tcPr>
            <w:tcW w:w="945" w:type="dxa"/>
            <w:vMerge w:val="restart"/>
            <w:tcBorders>
              <w:top w:val="single" w:color="auto" w:sz="4" w:space="0"/>
              <w:left w:val="single" w:color="auto" w:sz="4" w:space="0"/>
              <w:right w:val="single" w:color="auto" w:sz="4" w:space="0"/>
            </w:tcBorders>
            <w:vAlign w:val="center"/>
          </w:tcPr>
          <w:p w14:paraId="3F77E033">
            <w:pPr>
              <w:autoSpaceDE w:val="0"/>
              <w:autoSpaceDN w:val="0"/>
              <w:adjustRightInd w:val="0"/>
              <w:jc w:val="center"/>
              <w:outlineLvl w:val="0"/>
              <w:rPr>
                <w:rFonts w:hint="eastAsia" w:ascii="宋体" w:hAnsi="宋体" w:eastAsia="宋体" w:cs="宋体"/>
                <w:kern w:val="0"/>
                <w:sz w:val="24"/>
                <w:highlight w:val="none"/>
                <w:lang w:eastAsia="zh-CN" w:bidi="ar"/>
              </w:rPr>
            </w:pPr>
            <w:r>
              <w:rPr>
                <w:rFonts w:hint="eastAsia" w:ascii="宋体" w:hAnsi="宋体"/>
                <w:sz w:val="24"/>
                <w:highlight w:val="none"/>
                <w:lang w:val="en-US" w:eastAsia="zh-CN" w:bidi="ar"/>
              </w:rPr>
              <w:t>5</w:t>
            </w:r>
          </w:p>
        </w:tc>
        <w:tc>
          <w:tcPr>
            <w:tcW w:w="1406" w:type="dxa"/>
            <w:vMerge w:val="restart"/>
            <w:tcBorders>
              <w:top w:val="single" w:color="auto" w:sz="4" w:space="0"/>
              <w:left w:val="single" w:color="auto" w:sz="4" w:space="0"/>
              <w:right w:val="single" w:color="auto" w:sz="4" w:space="0"/>
            </w:tcBorders>
            <w:vAlign w:val="center"/>
          </w:tcPr>
          <w:p w14:paraId="30ACEFB2">
            <w:pPr>
              <w:spacing w:line="240" w:lineRule="auto"/>
              <w:ind w:left="-2" w:leftChars="-1"/>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kern w:val="0"/>
                <w:sz w:val="24"/>
                <w:szCs w:val="24"/>
                <w:highlight w:val="none"/>
                <w:lang w:val="en-US" w:eastAsia="zh-CN"/>
              </w:rPr>
              <w:t>质量</w:t>
            </w:r>
            <w:r>
              <w:rPr>
                <w:rFonts w:hint="eastAsia" w:ascii="宋体" w:hAnsi="宋体" w:eastAsia="宋体" w:cs="宋体"/>
                <w:color w:val="auto"/>
                <w:kern w:val="0"/>
                <w:sz w:val="24"/>
                <w:szCs w:val="24"/>
                <w:highlight w:val="none"/>
                <w:lang w:val="en-US" w:eastAsia="zh-CN"/>
              </w:rPr>
              <w:t>保证措施</w:t>
            </w:r>
          </w:p>
          <w:p w14:paraId="255B172B">
            <w:pPr>
              <w:spacing w:line="240" w:lineRule="auto"/>
              <w:ind w:left="-2" w:leftChars="-1"/>
              <w:jc w:val="center"/>
              <w:rPr>
                <w:rFonts w:hint="eastAsia" w:hAnsi="宋体" w:cs="宋体"/>
                <w:kern w:val="0"/>
                <w:sz w:val="24"/>
                <w:highlight w:val="none"/>
                <w:lang w:bidi="ar"/>
              </w:rPr>
            </w:pPr>
            <w:r>
              <w:rPr>
                <w:rFonts w:hint="eastAsia" w:ascii="宋体" w:hAnsi="宋体" w:eastAsia="宋体" w:cs="宋体"/>
                <w:b w:val="0"/>
                <w:bCs w:val="0"/>
                <w:color w:val="auto"/>
                <w:kern w:val="2"/>
                <w:sz w:val="24"/>
                <w:szCs w:val="24"/>
                <w:highlight w:val="none"/>
                <w:lang w:val="en-US" w:eastAsia="zh-CN" w:bidi="ar"/>
              </w:rPr>
              <w:t>（</w:t>
            </w:r>
            <w:r>
              <w:rPr>
                <w:rFonts w:hint="eastAsia" w:ascii="宋体" w:hAnsi="宋体" w:cs="宋体"/>
                <w:b w:val="0"/>
                <w:bCs w:val="0"/>
                <w:color w:val="auto"/>
                <w:kern w:val="2"/>
                <w:sz w:val="24"/>
                <w:szCs w:val="24"/>
                <w:highlight w:val="none"/>
                <w:lang w:val="en-US" w:eastAsia="zh-CN" w:bidi="ar"/>
              </w:rPr>
              <w:t>10</w:t>
            </w:r>
            <w:r>
              <w:rPr>
                <w:rFonts w:hint="eastAsia" w:ascii="宋体" w:hAnsi="宋体" w:eastAsia="宋体" w:cs="宋体"/>
                <w:b w:val="0"/>
                <w:bCs w:val="0"/>
                <w:color w:val="auto"/>
                <w:kern w:val="2"/>
                <w:sz w:val="24"/>
                <w:szCs w:val="24"/>
                <w:highlight w:val="none"/>
                <w:lang w:val="en-US" w:eastAsia="zh-CN" w:bidi="ar"/>
              </w:rPr>
              <w:t>分</w:t>
            </w:r>
            <w:r>
              <w:rPr>
                <w:rFonts w:hint="eastAsia" w:ascii="宋体" w:hAnsi="宋体" w:cs="宋体"/>
                <w:b w:val="0"/>
                <w:bCs w:val="0"/>
                <w:color w:val="auto"/>
                <w:kern w:val="2"/>
                <w:sz w:val="24"/>
                <w:szCs w:val="24"/>
                <w:highlight w:val="none"/>
                <w:lang w:val="en-US" w:eastAsia="zh-CN" w:bidi="ar"/>
              </w:rPr>
              <w:t>）</w:t>
            </w:r>
          </w:p>
        </w:tc>
        <w:tc>
          <w:tcPr>
            <w:tcW w:w="5829" w:type="dxa"/>
            <w:tcBorders>
              <w:top w:val="single" w:color="auto" w:sz="4" w:space="0"/>
              <w:left w:val="single" w:color="auto" w:sz="4" w:space="0"/>
              <w:right w:val="single" w:color="auto" w:sz="4" w:space="0"/>
            </w:tcBorders>
            <w:vAlign w:val="center"/>
          </w:tcPr>
          <w:p w14:paraId="72772D57">
            <w:pPr>
              <w:spacing w:line="240" w:lineRule="auto"/>
              <w:rPr>
                <w:rFonts w:hint="eastAsia" w:ascii="宋体" w:hAnsi="宋体" w:cs="宋体"/>
                <w:sz w:val="24"/>
                <w:highlight w:val="none"/>
              </w:rPr>
            </w:pPr>
            <w:r>
              <w:rPr>
                <w:rFonts w:hint="eastAsia" w:ascii="宋体" w:hAnsi="宋体" w:eastAsia="宋体" w:cs="宋体"/>
                <w:color w:val="auto"/>
                <w:kern w:val="2"/>
                <w:sz w:val="24"/>
                <w:szCs w:val="24"/>
                <w:highlight w:val="none"/>
                <w:lang w:val="en-US" w:eastAsia="zh-CN" w:bidi="ar"/>
              </w:rPr>
              <w:t>根据供应商提供的</w:t>
            </w:r>
            <w:r>
              <w:rPr>
                <w:rFonts w:hint="eastAsia" w:ascii="宋体" w:hAnsi="宋体" w:cs="宋体"/>
                <w:color w:val="auto"/>
                <w:kern w:val="2"/>
                <w:sz w:val="24"/>
                <w:szCs w:val="24"/>
                <w:highlight w:val="none"/>
                <w:lang w:val="en-US" w:eastAsia="zh-CN" w:bidi="ar"/>
              </w:rPr>
              <w:t>质量</w:t>
            </w:r>
            <w:r>
              <w:rPr>
                <w:rFonts w:hint="eastAsia" w:ascii="宋体" w:hAnsi="宋体" w:cs="宋体"/>
                <w:kern w:val="0"/>
                <w:sz w:val="24"/>
                <w:szCs w:val="24"/>
                <w:highlight w:val="none"/>
                <w:lang w:val="en-US" w:eastAsia="zh-CN"/>
              </w:rPr>
              <w:t>保证措施是否详尽、</w:t>
            </w:r>
            <w:r>
              <w:rPr>
                <w:rFonts w:hint="eastAsia" w:ascii="宋体" w:hAnsi="宋体" w:eastAsia="宋体" w:cs="宋体"/>
                <w:color w:val="000000"/>
                <w:sz w:val="24"/>
                <w:szCs w:val="24"/>
                <w:highlight w:val="none"/>
              </w:rPr>
              <w:t>是否具有合理可行的质量保证体系</w:t>
            </w:r>
            <w:r>
              <w:rPr>
                <w:rFonts w:hint="eastAsia" w:ascii="宋体" w:hAnsi="宋体" w:eastAsia="宋体" w:cs="宋体"/>
                <w:kern w:val="0"/>
                <w:sz w:val="24"/>
                <w:szCs w:val="24"/>
                <w:highlight w:val="none"/>
                <w:lang w:val="en-US" w:eastAsia="zh-CN"/>
              </w:rPr>
              <w:t>等，</w:t>
            </w:r>
            <w:r>
              <w:rPr>
                <w:rFonts w:hint="eastAsia" w:ascii="宋体" w:hAnsi="宋体" w:cs="宋体"/>
                <w:color w:val="auto"/>
                <w:sz w:val="24"/>
                <w:szCs w:val="24"/>
                <w:highlight w:val="none"/>
                <w:lang w:eastAsia="zh-CN"/>
              </w:rPr>
              <w:t>由评委在规定分值范围内打分</w:t>
            </w:r>
            <w:r>
              <w:rPr>
                <w:rFonts w:hint="eastAsia" w:ascii="宋体" w:hAnsi="宋体" w:eastAsia="宋体" w:cs="宋体"/>
                <w:color w:val="auto"/>
                <w:sz w:val="24"/>
                <w:szCs w:val="24"/>
                <w:highlight w:val="none"/>
                <w:lang w:eastAsia="zh-CN"/>
              </w:rPr>
              <w:t>。</w:t>
            </w:r>
          </w:p>
        </w:tc>
        <w:tc>
          <w:tcPr>
            <w:tcW w:w="1183" w:type="dxa"/>
            <w:tcBorders>
              <w:top w:val="single" w:color="auto" w:sz="4" w:space="0"/>
              <w:left w:val="single" w:color="auto" w:sz="4" w:space="0"/>
              <w:bottom w:val="single" w:color="auto" w:sz="4" w:space="0"/>
              <w:right w:val="single" w:color="auto" w:sz="4" w:space="0"/>
            </w:tcBorders>
            <w:vAlign w:val="center"/>
          </w:tcPr>
          <w:p w14:paraId="61134A14">
            <w:pPr>
              <w:keepNext w:val="0"/>
              <w:keepLines w:val="0"/>
              <w:widowControl w:val="0"/>
              <w:suppressLineNumbers w:val="0"/>
              <w:spacing w:before="0" w:beforeAutospacing="0" w:after="0" w:afterAutospacing="0" w:line="240" w:lineRule="auto"/>
              <w:ind w:left="0" w:leftChars="0" w:right="0" w:rightChars="0"/>
              <w:jc w:val="center"/>
              <w:rPr>
                <w:rFonts w:hint="eastAsia" w:ascii="宋体" w:hAnsi="宋体" w:cs="宋体"/>
                <w:kern w:val="0"/>
                <w:sz w:val="24"/>
                <w:highlight w:val="none"/>
                <w:lang w:bidi="ar"/>
              </w:rPr>
            </w:pPr>
            <w:r>
              <w:rPr>
                <w:rFonts w:hint="eastAsia" w:ascii="宋体" w:hAnsi="宋体" w:eastAsia="宋体" w:cs="宋体"/>
                <w:color w:val="auto"/>
                <w:kern w:val="2"/>
                <w:sz w:val="24"/>
                <w:szCs w:val="24"/>
                <w:highlight w:val="none"/>
                <w:lang w:val="en-US" w:eastAsia="zh-CN" w:bidi="ar"/>
              </w:rPr>
              <w:t>0-5分</w:t>
            </w:r>
          </w:p>
        </w:tc>
      </w:tr>
      <w:tr w14:paraId="4D5FE794">
        <w:tblPrEx>
          <w:tblCellMar>
            <w:top w:w="0" w:type="dxa"/>
            <w:left w:w="108" w:type="dxa"/>
            <w:bottom w:w="0" w:type="dxa"/>
            <w:right w:w="108" w:type="dxa"/>
          </w:tblCellMar>
        </w:tblPrEx>
        <w:trPr>
          <w:trHeight w:val="840" w:hRule="atLeast"/>
        </w:trPr>
        <w:tc>
          <w:tcPr>
            <w:tcW w:w="945" w:type="dxa"/>
            <w:vMerge w:val="continue"/>
            <w:tcBorders>
              <w:left w:val="single" w:color="auto" w:sz="4" w:space="0"/>
              <w:right w:val="single" w:color="auto" w:sz="4" w:space="0"/>
            </w:tcBorders>
            <w:vAlign w:val="center"/>
          </w:tcPr>
          <w:p w14:paraId="13413868">
            <w:pPr>
              <w:autoSpaceDE w:val="0"/>
              <w:autoSpaceDN w:val="0"/>
              <w:adjustRightInd w:val="0"/>
              <w:jc w:val="center"/>
              <w:outlineLvl w:val="0"/>
              <w:rPr>
                <w:rFonts w:hint="eastAsia" w:ascii="宋体" w:hAnsi="宋体"/>
                <w:sz w:val="24"/>
                <w:highlight w:val="none"/>
                <w:lang w:val="en-US" w:eastAsia="zh-CN" w:bidi="ar"/>
              </w:rPr>
            </w:pPr>
          </w:p>
        </w:tc>
        <w:tc>
          <w:tcPr>
            <w:tcW w:w="1406" w:type="dxa"/>
            <w:vMerge w:val="continue"/>
            <w:tcBorders>
              <w:left w:val="single" w:color="auto" w:sz="4" w:space="0"/>
              <w:right w:val="single" w:color="auto" w:sz="4" w:space="0"/>
            </w:tcBorders>
            <w:vAlign w:val="center"/>
          </w:tcPr>
          <w:p w14:paraId="07324898">
            <w:pPr>
              <w:spacing w:line="240" w:lineRule="auto"/>
              <w:ind w:left="-2" w:leftChars="-1"/>
              <w:jc w:val="center"/>
              <w:rPr>
                <w:rFonts w:hint="eastAsia" w:ascii="宋体" w:hAnsi="宋体" w:eastAsia="宋体" w:cs="宋体"/>
                <w:kern w:val="0"/>
                <w:sz w:val="24"/>
                <w:szCs w:val="24"/>
                <w:highlight w:val="none"/>
                <w:lang w:val="en-US" w:eastAsia="zh-CN"/>
              </w:rPr>
            </w:pPr>
          </w:p>
        </w:tc>
        <w:tc>
          <w:tcPr>
            <w:tcW w:w="5829" w:type="dxa"/>
            <w:tcBorders>
              <w:top w:val="single" w:color="auto" w:sz="4" w:space="0"/>
              <w:left w:val="single" w:color="auto" w:sz="4" w:space="0"/>
              <w:right w:val="single" w:color="auto" w:sz="4" w:space="0"/>
            </w:tcBorders>
            <w:vAlign w:val="center"/>
          </w:tcPr>
          <w:p w14:paraId="6E7EFB63">
            <w:pPr>
              <w:spacing w:line="240" w:lineRule="auto"/>
              <w:rPr>
                <w:rFonts w:hint="eastAsia" w:ascii="宋体" w:hAnsi="宋体" w:eastAsia="宋体" w:cs="宋体"/>
                <w:color w:val="auto"/>
                <w:kern w:val="2"/>
                <w:sz w:val="24"/>
                <w:szCs w:val="24"/>
                <w:highlight w:val="none"/>
                <w:lang w:val="en-US" w:eastAsia="zh-CN" w:bidi="ar"/>
              </w:rPr>
            </w:pPr>
            <w:r>
              <w:rPr>
                <w:rFonts w:hint="eastAsia" w:ascii="宋体" w:hAnsi="宋体" w:cs="宋体"/>
                <w:kern w:val="0"/>
                <w:sz w:val="24"/>
                <w:szCs w:val="24"/>
                <w:highlight w:val="none"/>
                <w:lang w:val="en-US" w:eastAsia="zh-CN"/>
              </w:rPr>
              <w:t>根据供应商提供的</w:t>
            </w:r>
            <w:r>
              <w:rPr>
                <w:rFonts w:hint="eastAsia" w:ascii="宋体" w:hAnsi="宋体" w:eastAsia="宋体" w:cs="宋体"/>
                <w:color w:val="000000"/>
                <w:sz w:val="24"/>
                <w:szCs w:val="24"/>
                <w:highlight w:val="none"/>
              </w:rPr>
              <w:t>成果</w:t>
            </w:r>
            <w:r>
              <w:rPr>
                <w:rFonts w:hint="eastAsia" w:ascii="宋体" w:hAnsi="宋体" w:eastAsia="宋体" w:cs="宋体"/>
                <w:color w:val="000000"/>
                <w:sz w:val="24"/>
                <w:szCs w:val="24"/>
                <w:highlight w:val="none"/>
                <w:lang w:val="en-US" w:eastAsia="zh-CN"/>
              </w:rPr>
              <w:t>报告</w:t>
            </w:r>
            <w:r>
              <w:rPr>
                <w:rFonts w:hint="eastAsia" w:ascii="宋体" w:hAnsi="宋体" w:eastAsia="宋体" w:cs="宋体"/>
                <w:color w:val="000000"/>
                <w:sz w:val="24"/>
                <w:szCs w:val="24"/>
                <w:highlight w:val="none"/>
              </w:rPr>
              <w:t>编制、资料归档</w:t>
            </w:r>
            <w:r>
              <w:rPr>
                <w:rFonts w:hint="eastAsia" w:ascii="宋体" w:hAnsi="宋体" w:eastAsia="宋体" w:cs="宋体"/>
                <w:color w:val="000000"/>
                <w:sz w:val="24"/>
                <w:szCs w:val="24"/>
                <w:highlight w:val="none"/>
                <w:lang w:val="en-US" w:eastAsia="zh-CN"/>
              </w:rPr>
              <w:t>是否完整齐全</w:t>
            </w:r>
            <w:r>
              <w:rPr>
                <w:rFonts w:hint="eastAsia" w:ascii="宋体" w:hAnsi="宋体" w:eastAsia="宋体" w:cs="宋体"/>
                <w:kern w:val="0"/>
                <w:sz w:val="24"/>
                <w:szCs w:val="24"/>
                <w:highlight w:val="none"/>
                <w:lang w:val="en-US" w:eastAsia="zh-CN"/>
              </w:rPr>
              <w:t>等，</w:t>
            </w:r>
            <w:r>
              <w:rPr>
                <w:rFonts w:hint="eastAsia" w:ascii="宋体" w:hAnsi="宋体" w:cs="宋体"/>
                <w:color w:val="auto"/>
                <w:sz w:val="24"/>
                <w:szCs w:val="24"/>
                <w:highlight w:val="none"/>
                <w:lang w:eastAsia="zh-CN"/>
              </w:rPr>
              <w:t>由评委在规定分值范围内打分</w:t>
            </w:r>
            <w:r>
              <w:rPr>
                <w:rFonts w:hint="eastAsia" w:ascii="宋体" w:hAnsi="宋体" w:eastAsia="宋体" w:cs="宋体"/>
                <w:color w:val="auto"/>
                <w:sz w:val="24"/>
                <w:szCs w:val="24"/>
                <w:highlight w:val="none"/>
                <w:lang w:eastAsia="zh-CN"/>
              </w:rPr>
              <w:t>。</w:t>
            </w:r>
          </w:p>
        </w:tc>
        <w:tc>
          <w:tcPr>
            <w:tcW w:w="1183" w:type="dxa"/>
            <w:tcBorders>
              <w:top w:val="single" w:color="auto" w:sz="4" w:space="0"/>
              <w:left w:val="single" w:color="auto" w:sz="4" w:space="0"/>
              <w:bottom w:val="single" w:color="auto" w:sz="4" w:space="0"/>
              <w:right w:val="single" w:color="auto" w:sz="4" w:space="0"/>
            </w:tcBorders>
            <w:vAlign w:val="center"/>
          </w:tcPr>
          <w:p w14:paraId="02E2B62B">
            <w:pPr>
              <w:keepNext w:val="0"/>
              <w:keepLines w:val="0"/>
              <w:widowControl w:val="0"/>
              <w:suppressLineNumbers w:val="0"/>
              <w:spacing w:before="0" w:beforeAutospacing="0" w:after="0" w:afterAutospacing="0" w:line="240" w:lineRule="auto"/>
              <w:ind w:left="0" w:leftChars="0" w:right="0" w:rightChars="0"/>
              <w:jc w:val="center"/>
              <w:rPr>
                <w:rFonts w:hint="eastAsia" w:ascii="宋体" w:hAnsi="宋体" w:eastAsia="宋体" w:cs="宋体"/>
                <w:color w:val="auto"/>
                <w:kern w:val="2"/>
                <w:sz w:val="24"/>
                <w:szCs w:val="24"/>
                <w:highlight w:val="none"/>
                <w:lang w:val="en-US" w:eastAsia="zh-CN" w:bidi="ar"/>
              </w:rPr>
            </w:pPr>
            <w:r>
              <w:rPr>
                <w:rFonts w:hint="eastAsia" w:ascii="宋体" w:hAnsi="宋体" w:eastAsia="宋体" w:cs="宋体"/>
                <w:color w:val="auto"/>
                <w:kern w:val="2"/>
                <w:sz w:val="24"/>
                <w:szCs w:val="24"/>
                <w:highlight w:val="none"/>
                <w:lang w:val="en-US" w:eastAsia="zh-CN" w:bidi="ar"/>
              </w:rPr>
              <w:t>0-5分</w:t>
            </w:r>
          </w:p>
        </w:tc>
      </w:tr>
      <w:tr w14:paraId="2FD30F92">
        <w:tblPrEx>
          <w:tblCellMar>
            <w:top w:w="0" w:type="dxa"/>
            <w:left w:w="108" w:type="dxa"/>
            <w:bottom w:w="0" w:type="dxa"/>
            <w:right w:w="108" w:type="dxa"/>
          </w:tblCellMar>
        </w:tblPrEx>
        <w:trPr>
          <w:trHeight w:val="2363" w:hRule="atLeast"/>
        </w:trPr>
        <w:tc>
          <w:tcPr>
            <w:tcW w:w="945" w:type="dxa"/>
            <w:vMerge w:val="restart"/>
            <w:tcBorders>
              <w:top w:val="single" w:color="auto" w:sz="4" w:space="0"/>
              <w:left w:val="single" w:color="auto" w:sz="4" w:space="0"/>
              <w:right w:val="single" w:color="auto" w:sz="4" w:space="0"/>
            </w:tcBorders>
            <w:vAlign w:val="center"/>
          </w:tcPr>
          <w:p w14:paraId="7AAF545A">
            <w:pPr>
              <w:autoSpaceDE w:val="0"/>
              <w:autoSpaceDN w:val="0"/>
              <w:adjustRightInd w:val="0"/>
              <w:jc w:val="center"/>
              <w:outlineLvl w:val="0"/>
              <w:rPr>
                <w:rFonts w:hint="eastAsia" w:ascii="宋体" w:hAnsi="宋体" w:eastAsia="宋体" w:cs="宋体"/>
                <w:kern w:val="0"/>
                <w:sz w:val="24"/>
                <w:lang w:eastAsia="zh-CN" w:bidi="ar"/>
              </w:rPr>
            </w:pPr>
            <w:r>
              <w:rPr>
                <w:rFonts w:hint="eastAsia" w:ascii="宋体" w:hAnsi="宋体"/>
                <w:sz w:val="24"/>
                <w:lang w:val="en-US" w:eastAsia="zh-CN" w:bidi="ar"/>
              </w:rPr>
              <w:t>6</w:t>
            </w:r>
          </w:p>
        </w:tc>
        <w:tc>
          <w:tcPr>
            <w:tcW w:w="1406" w:type="dxa"/>
            <w:tcBorders>
              <w:top w:val="single" w:color="auto" w:sz="4" w:space="0"/>
              <w:left w:val="single" w:color="auto" w:sz="4" w:space="0"/>
              <w:right w:val="single" w:color="auto" w:sz="4" w:space="0"/>
            </w:tcBorders>
            <w:vAlign w:val="center"/>
          </w:tcPr>
          <w:p w14:paraId="0CBE6407">
            <w:pPr>
              <w:keepNext w:val="0"/>
              <w:keepLines w:val="0"/>
              <w:widowControl/>
              <w:suppressLineNumbers w:val="0"/>
              <w:spacing w:before="0" w:beforeAutospacing="0" w:after="0" w:afterAutospacing="0" w:line="240" w:lineRule="auto"/>
              <w:ind w:left="0" w:leftChars="0" w:right="0" w:rightChars="0"/>
              <w:jc w:val="center"/>
              <w:rPr>
                <w:rFonts w:hint="eastAsia" w:ascii="宋体" w:hAnsi="宋体" w:eastAsia="宋体" w:cs="宋体"/>
                <w:b w:val="0"/>
                <w:bCs w:val="0"/>
                <w:color w:val="auto"/>
                <w:kern w:val="2"/>
                <w:sz w:val="24"/>
                <w:szCs w:val="24"/>
                <w:lang w:val="en-US" w:eastAsia="zh-CN" w:bidi="ar"/>
              </w:rPr>
            </w:pPr>
            <w:r>
              <w:rPr>
                <w:rFonts w:hint="eastAsia" w:ascii="宋体" w:hAnsi="宋体" w:eastAsia="宋体" w:cs="宋体"/>
                <w:b w:val="0"/>
                <w:bCs w:val="0"/>
                <w:color w:val="auto"/>
                <w:kern w:val="2"/>
                <w:sz w:val="24"/>
                <w:szCs w:val="24"/>
                <w:lang w:val="en-US" w:eastAsia="zh-CN" w:bidi="ar"/>
              </w:rPr>
              <w:t>人员配备情况</w:t>
            </w:r>
          </w:p>
          <w:p w14:paraId="7D81CBD8">
            <w:pPr>
              <w:keepNext w:val="0"/>
              <w:keepLines w:val="0"/>
              <w:widowControl/>
              <w:suppressLineNumbers w:val="0"/>
              <w:spacing w:before="0" w:beforeAutospacing="0" w:after="0" w:afterAutospacing="0" w:line="240" w:lineRule="auto"/>
              <w:ind w:left="0" w:leftChars="0" w:right="0" w:rightChars="0"/>
              <w:jc w:val="center"/>
              <w:rPr>
                <w:rFonts w:hint="eastAsia" w:hAnsi="宋体" w:cs="宋体"/>
                <w:kern w:val="0"/>
                <w:sz w:val="24"/>
                <w:lang w:bidi="ar"/>
              </w:rPr>
            </w:pPr>
            <w:r>
              <w:rPr>
                <w:rFonts w:hint="eastAsia" w:ascii="宋体" w:hAnsi="宋体" w:eastAsia="宋体" w:cs="宋体"/>
                <w:b w:val="0"/>
                <w:bCs w:val="0"/>
                <w:color w:val="auto"/>
                <w:kern w:val="2"/>
                <w:sz w:val="24"/>
                <w:szCs w:val="24"/>
                <w:lang w:val="en-US" w:eastAsia="zh-CN" w:bidi="ar"/>
              </w:rPr>
              <w:t>（</w:t>
            </w:r>
            <w:r>
              <w:rPr>
                <w:rFonts w:hint="eastAsia" w:ascii="宋体" w:hAnsi="宋体" w:cs="宋体"/>
                <w:b w:val="0"/>
                <w:bCs w:val="0"/>
                <w:color w:val="auto"/>
                <w:kern w:val="2"/>
                <w:sz w:val="24"/>
                <w:szCs w:val="24"/>
                <w:lang w:val="en-US" w:eastAsia="zh-CN" w:bidi="ar"/>
              </w:rPr>
              <w:t>5分</w:t>
            </w:r>
            <w:r>
              <w:rPr>
                <w:rFonts w:hint="eastAsia" w:ascii="宋体" w:hAnsi="宋体" w:eastAsia="宋体" w:cs="宋体"/>
                <w:b w:val="0"/>
                <w:bCs w:val="0"/>
                <w:color w:val="auto"/>
                <w:kern w:val="2"/>
                <w:sz w:val="24"/>
                <w:szCs w:val="24"/>
                <w:lang w:val="en-US" w:eastAsia="zh-CN" w:bidi="ar"/>
              </w:rPr>
              <w:t>）</w:t>
            </w:r>
          </w:p>
        </w:tc>
        <w:tc>
          <w:tcPr>
            <w:tcW w:w="5829" w:type="dxa"/>
            <w:tcBorders>
              <w:top w:val="single" w:color="auto" w:sz="4" w:space="0"/>
              <w:left w:val="single" w:color="auto" w:sz="4" w:space="0"/>
              <w:right w:val="single" w:color="auto" w:sz="4" w:space="0"/>
            </w:tcBorders>
            <w:vAlign w:val="center"/>
          </w:tcPr>
          <w:p w14:paraId="39A6F7BD">
            <w:pPr>
              <w:spacing w:line="240" w:lineRule="auto"/>
              <w:rPr>
                <w:rFonts w:hint="eastAsia" w:ascii="宋体" w:hAnsi="宋体" w:eastAsia="宋体" w:cs="宋体"/>
                <w:color w:val="auto"/>
                <w:sz w:val="24"/>
                <w:szCs w:val="24"/>
                <w:highlight w:val="none"/>
                <w:lang w:val="en-US" w:eastAsia="zh-CN"/>
              </w:rPr>
            </w:pPr>
            <w:r>
              <w:rPr>
                <w:rFonts w:hint="eastAsia" w:ascii="宋体" w:hAnsi="宋体" w:eastAsia="宋体" w:cs="宋体"/>
                <w:kern w:val="0"/>
                <w:sz w:val="24"/>
                <w:szCs w:val="24"/>
                <w:lang w:val="en-US" w:eastAsia="zh-CN"/>
              </w:rPr>
              <w:t>根据供</w:t>
            </w:r>
            <w:r>
              <w:rPr>
                <w:rFonts w:hint="eastAsia" w:ascii="宋体" w:hAnsi="宋体" w:eastAsia="宋体" w:cs="宋体"/>
                <w:color w:val="auto"/>
                <w:sz w:val="24"/>
                <w:szCs w:val="24"/>
                <w:highlight w:val="none"/>
                <w:lang w:val="en-US" w:eastAsia="zh-CN"/>
              </w:rPr>
              <w:t>应商拟投入本项目</w:t>
            </w:r>
            <w:r>
              <w:rPr>
                <w:rFonts w:hint="eastAsia" w:ascii="宋体" w:hAnsi="宋体" w:eastAsia="宋体" w:cs="宋体"/>
                <w:color w:val="auto"/>
                <w:sz w:val="24"/>
                <w:szCs w:val="24"/>
                <w:highlight w:val="none"/>
                <w:lang w:eastAsia="zh-CN"/>
              </w:rPr>
              <w:t>服务人员岗位配置方案进行打分，</w:t>
            </w:r>
            <w:r>
              <w:rPr>
                <w:rFonts w:hint="eastAsia" w:ascii="宋体" w:hAnsi="宋体" w:eastAsia="宋体" w:cs="宋体"/>
                <w:color w:val="auto"/>
                <w:sz w:val="24"/>
                <w:szCs w:val="24"/>
                <w:highlight w:val="none"/>
                <w:lang w:val="en-US" w:eastAsia="zh-CN"/>
              </w:rPr>
              <w:t>人员</w:t>
            </w:r>
            <w:r>
              <w:rPr>
                <w:rFonts w:hint="eastAsia" w:ascii="宋体" w:hAnsi="宋体" w:eastAsia="宋体" w:cs="宋体"/>
                <w:color w:val="auto"/>
                <w:sz w:val="24"/>
                <w:szCs w:val="24"/>
                <w:highlight w:val="none"/>
                <w:lang w:eastAsia="zh-CN"/>
              </w:rPr>
              <w:t>的经验</w:t>
            </w:r>
            <w:r>
              <w:rPr>
                <w:rFonts w:hint="eastAsia" w:ascii="宋体" w:hAnsi="宋体" w:eastAsia="宋体" w:cs="宋体"/>
                <w:color w:val="auto"/>
                <w:sz w:val="24"/>
                <w:szCs w:val="24"/>
                <w:highlight w:val="none"/>
                <w:lang w:val="en-US" w:eastAsia="zh-CN"/>
              </w:rPr>
              <w:t>是否充足</w:t>
            </w:r>
            <w:r>
              <w:rPr>
                <w:rFonts w:hint="eastAsia" w:ascii="宋体" w:hAnsi="宋体" w:eastAsia="宋体" w:cs="宋体"/>
                <w:color w:val="auto"/>
                <w:sz w:val="24"/>
                <w:szCs w:val="24"/>
                <w:highlight w:val="none"/>
                <w:lang w:eastAsia="zh-CN"/>
              </w:rPr>
              <w:t>，人员配备是否充分，专业设置是否合理，岗位职责安排是否合理可行</w:t>
            </w:r>
            <w:r>
              <w:rPr>
                <w:rFonts w:hint="eastAsia" w:ascii="宋体" w:hAnsi="宋体" w:eastAsia="宋体" w:cs="宋体"/>
                <w:color w:val="auto"/>
                <w:sz w:val="24"/>
                <w:szCs w:val="24"/>
                <w:highlight w:val="none"/>
                <w:lang w:val="en-US" w:eastAsia="zh-CN"/>
              </w:rPr>
              <w:t>等方面，</w:t>
            </w:r>
            <w:r>
              <w:rPr>
                <w:rFonts w:hint="eastAsia" w:ascii="宋体" w:hAnsi="宋体" w:cs="宋体"/>
                <w:color w:val="auto"/>
                <w:sz w:val="24"/>
                <w:szCs w:val="24"/>
                <w:highlight w:val="none"/>
                <w:lang w:eastAsia="zh-CN"/>
              </w:rPr>
              <w:t>由评委在规定分值范围内打分</w:t>
            </w:r>
            <w:r>
              <w:rPr>
                <w:rFonts w:hint="eastAsia" w:ascii="宋体" w:hAnsi="宋体" w:eastAsia="宋体" w:cs="宋体"/>
                <w:color w:val="auto"/>
                <w:sz w:val="24"/>
                <w:szCs w:val="24"/>
                <w:highlight w:val="none"/>
                <w:lang w:eastAsia="zh-CN"/>
              </w:rPr>
              <w:t>。</w:t>
            </w:r>
          </w:p>
          <w:p w14:paraId="7EB08CCC">
            <w:pPr>
              <w:spacing w:line="240" w:lineRule="auto"/>
              <w:rPr>
                <w:rFonts w:hint="eastAsia" w:ascii="宋体" w:hAnsi="宋体" w:cs="宋体"/>
                <w:sz w:val="24"/>
              </w:rPr>
            </w:pPr>
            <w:r>
              <w:rPr>
                <w:rFonts w:hint="eastAsia" w:ascii="宋体" w:hAnsi="宋体" w:eastAsia="宋体" w:cs="宋体"/>
                <w:b/>
                <w:bCs/>
                <w:color w:val="auto"/>
                <w:kern w:val="2"/>
                <w:sz w:val="24"/>
                <w:szCs w:val="24"/>
                <w:highlight w:val="none"/>
                <w:lang w:val="en-US" w:eastAsia="zh-CN" w:bidi="ar-SA"/>
              </w:rPr>
              <w:t>注：</w:t>
            </w:r>
            <w:r>
              <w:rPr>
                <w:rFonts w:hint="eastAsia" w:ascii="宋体" w:hAnsi="宋体" w:cs="宋体"/>
                <w:b/>
                <w:bCs/>
                <w:color w:val="auto"/>
                <w:sz w:val="24"/>
                <w:highlight w:val="none"/>
                <w:lang w:val="en-US" w:eastAsia="zh-CN"/>
              </w:rPr>
              <w:t>需</w:t>
            </w:r>
            <w:r>
              <w:rPr>
                <w:rFonts w:hint="eastAsia" w:ascii="宋体" w:hAnsi="宋体" w:cs="宋体"/>
                <w:b/>
                <w:bCs/>
                <w:color w:val="auto"/>
                <w:sz w:val="24"/>
                <w:highlight w:val="none"/>
              </w:rPr>
              <w:t>提供相关证书及承诺为供应正式员工的承诺函</w:t>
            </w:r>
            <w:r>
              <w:rPr>
                <w:rFonts w:hint="eastAsia" w:ascii="宋体" w:hAnsi="宋体" w:cs="宋体"/>
                <w:b/>
                <w:bCs/>
                <w:color w:val="auto"/>
                <w:sz w:val="24"/>
                <w:highlight w:val="none"/>
                <w:lang w:eastAsia="zh-CN"/>
              </w:rPr>
              <w:t>（</w:t>
            </w:r>
            <w:r>
              <w:rPr>
                <w:rFonts w:hint="eastAsia" w:ascii="宋体" w:hAnsi="宋体" w:cs="宋体"/>
                <w:b/>
                <w:bCs/>
                <w:color w:val="auto"/>
                <w:sz w:val="24"/>
                <w:highlight w:val="none"/>
              </w:rPr>
              <w:t>劳动合同或社保证明）扫描件加盖供应商公章导入商务技术文件中，否则不得分。</w:t>
            </w:r>
          </w:p>
        </w:tc>
        <w:tc>
          <w:tcPr>
            <w:tcW w:w="1183" w:type="dxa"/>
            <w:tcBorders>
              <w:top w:val="single" w:color="auto" w:sz="4" w:space="0"/>
              <w:left w:val="single" w:color="auto" w:sz="4" w:space="0"/>
              <w:right w:val="single" w:color="auto" w:sz="4" w:space="0"/>
            </w:tcBorders>
            <w:vAlign w:val="center"/>
          </w:tcPr>
          <w:p w14:paraId="2B81DB9E">
            <w:pPr>
              <w:keepNext w:val="0"/>
              <w:keepLines w:val="0"/>
              <w:widowControl/>
              <w:suppressLineNumbers w:val="0"/>
              <w:spacing w:before="0" w:beforeAutospacing="0" w:after="0" w:afterAutospacing="0" w:line="240" w:lineRule="auto"/>
              <w:ind w:left="0" w:leftChars="0" w:right="0" w:rightChars="0"/>
              <w:jc w:val="center"/>
              <w:rPr>
                <w:rFonts w:hint="eastAsia" w:ascii="宋体" w:hAnsi="宋体" w:cs="宋体"/>
                <w:kern w:val="0"/>
                <w:sz w:val="24"/>
                <w:lang w:bidi="ar"/>
              </w:rPr>
            </w:pPr>
            <w:r>
              <w:rPr>
                <w:rFonts w:hint="eastAsia" w:ascii="宋体" w:hAnsi="宋体" w:eastAsia="宋体" w:cs="宋体"/>
                <w:color w:val="auto"/>
                <w:kern w:val="2"/>
                <w:sz w:val="24"/>
                <w:szCs w:val="24"/>
                <w:lang w:val="en-US" w:eastAsia="zh-CN" w:bidi="ar"/>
              </w:rPr>
              <w:t>0-</w:t>
            </w:r>
            <w:r>
              <w:rPr>
                <w:rFonts w:hint="eastAsia" w:ascii="宋体" w:hAnsi="宋体" w:cs="宋体"/>
                <w:color w:val="auto"/>
                <w:kern w:val="2"/>
                <w:sz w:val="24"/>
                <w:szCs w:val="24"/>
                <w:lang w:val="en-US" w:eastAsia="zh-CN" w:bidi="ar"/>
              </w:rPr>
              <w:t>5</w:t>
            </w:r>
            <w:r>
              <w:rPr>
                <w:rFonts w:hint="eastAsia" w:ascii="宋体" w:hAnsi="宋体" w:eastAsia="宋体" w:cs="宋体"/>
                <w:color w:val="auto"/>
                <w:kern w:val="2"/>
                <w:sz w:val="24"/>
                <w:szCs w:val="24"/>
                <w:lang w:val="en-US" w:eastAsia="zh-CN" w:bidi="ar"/>
              </w:rPr>
              <w:t>分</w:t>
            </w:r>
          </w:p>
        </w:tc>
      </w:tr>
      <w:tr w14:paraId="427854C8">
        <w:tblPrEx>
          <w:tblCellMar>
            <w:top w:w="0" w:type="dxa"/>
            <w:left w:w="108" w:type="dxa"/>
            <w:bottom w:w="0" w:type="dxa"/>
            <w:right w:w="108" w:type="dxa"/>
          </w:tblCellMar>
        </w:tblPrEx>
        <w:trPr>
          <w:trHeight w:val="790" w:hRule="atLeast"/>
        </w:trPr>
        <w:tc>
          <w:tcPr>
            <w:tcW w:w="945" w:type="dxa"/>
            <w:vMerge w:val="restart"/>
            <w:tcBorders>
              <w:top w:val="single" w:color="auto" w:sz="4" w:space="0"/>
              <w:left w:val="single" w:color="auto" w:sz="4" w:space="0"/>
              <w:right w:val="single" w:color="auto" w:sz="4" w:space="0"/>
            </w:tcBorders>
            <w:vAlign w:val="center"/>
          </w:tcPr>
          <w:p w14:paraId="4F091F57">
            <w:pPr>
              <w:keepNext w:val="0"/>
              <w:keepLines w:val="0"/>
              <w:widowControl/>
              <w:suppressLineNumbers w:val="0"/>
              <w:spacing w:before="0" w:beforeAutospacing="0" w:after="0" w:afterAutospacing="0" w:line="240" w:lineRule="auto"/>
              <w:ind w:left="0" w:leftChars="0" w:right="0" w:rightChars="0"/>
              <w:jc w:val="center"/>
              <w:rPr>
                <w:rFonts w:hint="eastAsia" w:ascii="宋体" w:hAnsi="宋体" w:eastAsia="宋体" w:cs="宋体"/>
                <w:kern w:val="0"/>
                <w:sz w:val="24"/>
                <w:lang w:eastAsia="zh-CN" w:bidi="ar"/>
              </w:rPr>
            </w:pPr>
            <w:r>
              <w:rPr>
                <w:rFonts w:hint="eastAsia" w:ascii="宋体" w:hAnsi="宋体" w:cs="宋体"/>
                <w:b w:val="0"/>
                <w:bCs w:val="0"/>
                <w:color w:val="auto"/>
                <w:kern w:val="0"/>
                <w:sz w:val="24"/>
                <w:szCs w:val="24"/>
                <w:lang w:val="en-US" w:eastAsia="zh-CN" w:bidi="ar"/>
              </w:rPr>
              <w:t>7</w:t>
            </w:r>
          </w:p>
        </w:tc>
        <w:tc>
          <w:tcPr>
            <w:tcW w:w="1406" w:type="dxa"/>
            <w:vMerge w:val="restart"/>
            <w:tcBorders>
              <w:top w:val="single" w:color="auto" w:sz="4" w:space="0"/>
              <w:left w:val="single" w:color="auto" w:sz="4" w:space="0"/>
              <w:right w:val="single" w:color="auto" w:sz="4" w:space="0"/>
            </w:tcBorders>
            <w:vAlign w:val="center"/>
          </w:tcPr>
          <w:p w14:paraId="2EB985BA">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leftChars="0" w:right="0" w:rightChars="0"/>
              <w:jc w:val="center"/>
              <w:textAlignment w:val="auto"/>
              <w:rPr>
                <w:rFonts w:hint="eastAsia" w:ascii="宋体" w:hAnsi="宋体" w:eastAsia="宋体" w:cs="宋体"/>
                <w:b w:val="0"/>
                <w:bCs w:val="0"/>
                <w:color w:val="auto"/>
                <w:kern w:val="2"/>
                <w:sz w:val="24"/>
                <w:szCs w:val="24"/>
                <w:highlight w:val="none"/>
                <w:lang w:val="en-US" w:eastAsia="zh-CN" w:bidi="ar"/>
              </w:rPr>
            </w:pPr>
            <w:r>
              <w:rPr>
                <w:rFonts w:hint="eastAsia" w:ascii="宋体" w:hAnsi="宋体" w:eastAsia="宋体" w:cs="宋体"/>
                <w:b w:val="0"/>
                <w:bCs w:val="0"/>
                <w:color w:val="auto"/>
                <w:kern w:val="2"/>
                <w:sz w:val="24"/>
                <w:szCs w:val="24"/>
                <w:highlight w:val="none"/>
                <w:lang w:val="en-US" w:eastAsia="zh-CN" w:bidi="ar"/>
              </w:rPr>
              <w:t>进度保障措施</w:t>
            </w:r>
          </w:p>
          <w:p w14:paraId="2C043B80">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leftChars="0" w:right="0" w:rightChars="0"/>
              <w:jc w:val="center"/>
              <w:textAlignment w:val="auto"/>
              <w:rPr>
                <w:rFonts w:hint="eastAsia" w:hAnsi="宋体" w:cs="宋体"/>
                <w:kern w:val="0"/>
                <w:sz w:val="24"/>
                <w:lang w:bidi="ar"/>
              </w:rPr>
            </w:pPr>
            <w:r>
              <w:rPr>
                <w:rFonts w:hint="eastAsia" w:ascii="宋体" w:hAnsi="宋体" w:eastAsia="宋体" w:cs="宋体"/>
                <w:b w:val="0"/>
                <w:bCs w:val="0"/>
                <w:color w:val="auto"/>
                <w:kern w:val="2"/>
                <w:sz w:val="24"/>
                <w:szCs w:val="24"/>
                <w:highlight w:val="none"/>
                <w:lang w:val="en-US" w:eastAsia="zh-CN" w:bidi="ar"/>
              </w:rPr>
              <w:t>（</w:t>
            </w:r>
            <w:r>
              <w:rPr>
                <w:rFonts w:hint="eastAsia" w:ascii="宋体" w:hAnsi="宋体" w:cs="宋体"/>
                <w:b w:val="0"/>
                <w:bCs w:val="0"/>
                <w:color w:val="auto"/>
                <w:kern w:val="2"/>
                <w:sz w:val="24"/>
                <w:szCs w:val="24"/>
                <w:highlight w:val="none"/>
                <w:lang w:val="en-US" w:eastAsia="zh-CN" w:bidi="ar"/>
              </w:rPr>
              <w:t>12</w:t>
            </w:r>
            <w:r>
              <w:rPr>
                <w:rFonts w:hint="eastAsia" w:ascii="宋体" w:hAnsi="宋体" w:eastAsia="宋体" w:cs="宋体"/>
                <w:b w:val="0"/>
                <w:bCs w:val="0"/>
                <w:color w:val="auto"/>
                <w:kern w:val="2"/>
                <w:sz w:val="24"/>
                <w:szCs w:val="24"/>
                <w:highlight w:val="none"/>
                <w:lang w:val="en-US" w:eastAsia="zh-CN" w:bidi="ar"/>
              </w:rPr>
              <w:t>分）</w:t>
            </w:r>
          </w:p>
        </w:tc>
        <w:tc>
          <w:tcPr>
            <w:tcW w:w="5829" w:type="dxa"/>
            <w:tcBorders>
              <w:top w:val="single" w:color="auto" w:sz="4" w:space="0"/>
              <w:left w:val="single" w:color="auto" w:sz="4" w:space="0"/>
              <w:right w:val="single" w:color="auto" w:sz="4" w:space="0"/>
            </w:tcBorders>
            <w:vAlign w:val="center"/>
          </w:tcPr>
          <w:p w14:paraId="474BE3A8">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leftChars="0" w:right="0" w:rightChars="0"/>
              <w:jc w:val="both"/>
              <w:textAlignment w:val="auto"/>
              <w:rPr>
                <w:rFonts w:hint="eastAsia" w:ascii="宋体" w:hAnsi="宋体"/>
                <w:sz w:val="24"/>
                <w:lang w:bidi="ar"/>
              </w:rPr>
            </w:pPr>
            <w:r>
              <w:rPr>
                <w:rFonts w:hint="eastAsia" w:ascii="宋体" w:hAnsi="宋体" w:cs="宋体"/>
                <w:kern w:val="0"/>
                <w:sz w:val="24"/>
                <w:szCs w:val="24"/>
                <w:lang w:val="en-US" w:eastAsia="zh-CN"/>
              </w:rPr>
              <w:t>根据供应商</w:t>
            </w:r>
            <w:r>
              <w:rPr>
                <w:rFonts w:hint="eastAsia" w:ascii="宋体" w:hAnsi="宋体" w:eastAsia="宋体" w:cs="宋体"/>
                <w:kern w:val="0"/>
                <w:sz w:val="24"/>
                <w:szCs w:val="24"/>
                <w:lang w:val="en-US" w:eastAsia="zh-CN"/>
              </w:rPr>
              <w:t>针对本项目制定</w:t>
            </w:r>
            <w:r>
              <w:rPr>
                <w:rFonts w:hint="eastAsia" w:ascii="宋体" w:hAnsi="宋体" w:cs="宋体"/>
                <w:kern w:val="0"/>
                <w:sz w:val="24"/>
                <w:szCs w:val="24"/>
                <w:lang w:val="en-US" w:eastAsia="zh-CN"/>
              </w:rPr>
              <w:t>的</w:t>
            </w:r>
            <w:r>
              <w:rPr>
                <w:rFonts w:hint="eastAsia" w:ascii="宋体" w:hAnsi="宋体" w:eastAsia="宋体" w:cs="宋体"/>
                <w:color w:val="000000"/>
                <w:kern w:val="0"/>
                <w:sz w:val="24"/>
                <w:szCs w:val="24"/>
                <w:highlight w:val="none"/>
                <w:lang w:val="zh-CN" w:eastAsia="zh-CN"/>
              </w:rPr>
              <w:t>整体工作阶段及任务划分</w:t>
            </w:r>
            <w:r>
              <w:rPr>
                <w:rFonts w:hint="eastAsia" w:ascii="宋体" w:hAnsi="宋体" w:eastAsia="宋体" w:cs="宋体"/>
                <w:color w:val="000000"/>
                <w:kern w:val="0"/>
                <w:sz w:val="24"/>
                <w:szCs w:val="24"/>
                <w:highlight w:val="none"/>
                <w:lang w:val="en-US" w:eastAsia="zh-CN"/>
              </w:rPr>
              <w:t>是否</w:t>
            </w:r>
            <w:r>
              <w:rPr>
                <w:rFonts w:hint="eastAsia" w:ascii="宋体" w:hAnsi="宋体" w:eastAsia="宋体" w:cs="宋体"/>
                <w:color w:val="000000"/>
                <w:kern w:val="0"/>
                <w:sz w:val="24"/>
                <w:szCs w:val="24"/>
                <w:highlight w:val="none"/>
                <w:lang w:val="zh-CN" w:eastAsia="zh-CN"/>
              </w:rPr>
              <w:t>科学、</w:t>
            </w:r>
            <w:r>
              <w:rPr>
                <w:rFonts w:hint="eastAsia" w:ascii="宋体" w:hAnsi="宋体" w:eastAsia="宋体" w:cs="宋体"/>
                <w:color w:val="000000"/>
                <w:kern w:val="0"/>
                <w:sz w:val="24"/>
                <w:szCs w:val="24"/>
                <w:highlight w:val="none"/>
                <w:lang w:val="en-US" w:eastAsia="zh-CN"/>
              </w:rPr>
              <w:t>合理、准确</w:t>
            </w:r>
            <w:r>
              <w:rPr>
                <w:rFonts w:hint="eastAsia" w:ascii="宋体" w:hAnsi="宋体" w:eastAsia="宋体" w:cs="宋体"/>
                <w:kern w:val="0"/>
                <w:sz w:val="24"/>
                <w:szCs w:val="24"/>
                <w:lang w:val="en-US" w:eastAsia="zh-CN"/>
              </w:rPr>
              <w:t>等，</w:t>
            </w:r>
            <w:r>
              <w:rPr>
                <w:rFonts w:hint="eastAsia" w:ascii="宋体" w:hAnsi="宋体" w:eastAsia="宋体" w:cs="宋体"/>
                <w:color w:val="auto"/>
                <w:sz w:val="24"/>
                <w:szCs w:val="24"/>
                <w:highlight w:val="none"/>
              </w:rPr>
              <w:t>由评委</w:t>
            </w:r>
            <w:r>
              <w:rPr>
                <w:rFonts w:hint="eastAsia" w:ascii="宋体" w:hAnsi="宋体" w:eastAsia="宋体" w:cs="宋体"/>
                <w:color w:val="auto"/>
                <w:sz w:val="24"/>
                <w:szCs w:val="24"/>
                <w:highlight w:val="none"/>
                <w:lang w:eastAsia="zh-CN"/>
              </w:rPr>
              <w:t>在</w:t>
            </w:r>
            <w:r>
              <w:rPr>
                <w:rFonts w:hint="eastAsia" w:ascii="宋体" w:hAnsi="宋体" w:cs="宋体"/>
                <w:color w:val="auto"/>
                <w:sz w:val="24"/>
                <w:szCs w:val="24"/>
                <w:highlight w:val="none"/>
                <w:lang w:eastAsia="zh-CN"/>
              </w:rPr>
              <w:t>规定</w:t>
            </w:r>
            <w:r>
              <w:rPr>
                <w:rFonts w:hint="eastAsia" w:ascii="宋体" w:hAnsi="宋体" w:eastAsia="宋体" w:cs="宋体"/>
                <w:color w:val="auto"/>
                <w:sz w:val="24"/>
                <w:szCs w:val="24"/>
                <w:highlight w:val="none"/>
                <w:lang w:eastAsia="zh-CN"/>
              </w:rPr>
              <w:t>分值范围内打分。</w:t>
            </w:r>
          </w:p>
        </w:tc>
        <w:tc>
          <w:tcPr>
            <w:tcW w:w="1183" w:type="dxa"/>
            <w:tcBorders>
              <w:top w:val="single" w:color="auto" w:sz="4" w:space="0"/>
              <w:left w:val="single" w:color="auto" w:sz="4" w:space="0"/>
              <w:bottom w:val="single" w:color="auto" w:sz="4" w:space="0"/>
              <w:right w:val="single" w:color="auto" w:sz="4" w:space="0"/>
            </w:tcBorders>
            <w:vAlign w:val="center"/>
          </w:tcPr>
          <w:p w14:paraId="19CF2CE9">
            <w:pPr>
              <w:keepNext w:val="0"/>
              <w:keepLines w:val="0"/>
              <w:widowControl/>
              <w:suppressLineNumbers w:val="0"/>
              <w:spacing w:before="0" w:beforeAutospacing="0" w:after="0" w:afterAutospacing="0" w:line="240" w:lineRule="auto"/>
              <w:ind w:left="0" w:leftChars="0" w:right="0" w:rightChars="0"/>
              <w:jc w:val="center"/>
              <w:rPr>
                <w:rFonts w:hint="eastAsia" w:ascii="宋体" w:hAnsi="宋体"/>
                <w:sz w:val="24"/>
                <w:lang w:bidi="ar"/>
              </w:rPr>
            </w:pPr>
            <w:r>
              <w:rPr>
                <w:rFonts w:hint="eastAsia" w:ascii="宋体" w:hAnsi="宋体" w:eastAsia="宋体" w:cs="宋体"/>
                <w:color w:val="auto"/>
                <w:kern w:val="2"/>
                <w:sz w:val="24"/>
                <w:szCs w:val="24"/>
                <w:lang w:val="en-US" w:eastAsia="zh-CN" w:bidi="ar"/>
              </w:rPr>
              <w:t>0-</w:t>
            </w:r>
            <w:r>
              <w:rPr>
                <w:rFonts w:hint="eastAsia" w:ascii="宋体" w:hAnsi="宋体" w:cs="宋体"/>
                <w:color w:val="auto"/>
                <w:kern w:val="2"/>
                <w:sz w:val="24"/>
                <w:szCs w:val="24"/>
                <w:lang w:val="en-US" w:eastAsia="zh-CN" w:bidi="ar"/>
              </w:rPr>
              <w:t>4</w:t>
            </w:r>
            <w:r>
              <w:rPr>
                <w:rFonts w:hint="eastAsia" w:ascii="宋体" w:hAnsi="宋体" w:eastAsia="宋体" w:cs="宋体"/>
                <w:color w:val="auto"/>
                <w:kern w:val="2"/>
                <w:sz w:val="24"/>
                <w:szCs w:val="24"/>
                <w:lang w:val="en-US" w:eastAsia="zh-CN" w:bidi="ar"/>
              </w:rPr>
              <w:t>分</w:t>
            </w:r>
          </w:p>
        </w:tc>
      </w:tr>
      <w:tr w14:paraId="7540E64C">
        <w:tblPrEx>
          <w:tblCellMar>
            <w:top w:w="0" w:type="dxa"/>
            <w:left w:w="108" w:type="dxa"/>
            <w:bottom w:w="0" w:type="dxa"/>
            <w:right w:w="108" w:type="dxa"/>
          </w:tblCellMar>
        </w:tblPrEx>
        <w:trPr>
          <w:trHeight w:val="790" w:hRule="atLeast"/>
        </w:trPr>
        <w:tc>
          <w:tcPr>
            <w:tcW w:w="945" w:type="dxa"/>
            <w:vMerge w:val="continue"/>
            <w:tcBorders>
              <w:left w:val="single" w:color="auto" w:sz="4" w:space="0"/>
              <w:right w:val="single" w:color="auto" w:sz="4" w:space="0"/>
            </w:tcBorders>
            <w:vAlign w:val="center"/>
          </w:tcPr>
          <w:p w14:paraId="7444E1A5">
            <w:pPr>
              <w:keepNext w:val="0"/>
              <w:keepLines w:val="0"/>
              <w:widowControl/>
              <w:suppressLineNumbers w:val="0"/>
              <w:spacing w:before="0" w:beforeAutospacing="0" w:after="0" w:afterAutospacing="0" w:line="240" w:lineRule="auto"/>
              <w:ind w:left="0" w:leftChars="0" w:right="0" w:rightChars="0"/>
              <w:jc w:val="center"/>
              <w:rPr>
                <w:rFonts w:hint="eastAsia" w:ascii="宋体" w:hAnsi="宋体" w:cs="宋体"/>
                <w:b w:val="0"/>
                <w:bCs w:val="0"/>
                <w:color w:val="auto"/>
                <w:kern w:val="0"/>
                <w:sz w:val="24"/>
                <w:szCs w:val="24"/>
                <w:lang w:val="en-US" w:eastAsia="zh-CN" w:bidi="ar"/>
              </w:rPr>
            </w:pPr>
          </w:p>
        </w:tc>
        <w:tc>
          <w:tcPr>
            <w:tcW w:w="1406" w:type="dxa"/>
            <w:vMerge w:val="continue"/>
            <w:tcBorders>
              <w:left w:val="single" w:color="auto" w:sz="4" w:space="0"/>
              <w:right w:val="single" w:color="auto" w:sz="4" w:space="0"/>
            </w:tcBorders>
            <w:vAlign w:val="center"/>
          </w:tcPr>
          <w:p w14:paraId="548F617B">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leftChars="0" w:right="0" w:rightChars="0"/>
              <w:jc w:val="center"/>
              <w:textAlignment w:val="auto"/>
              <w:rPr>
                <w:rFonts w:hint="eastAsia" w:ascii="宋体" w:hAnsi="宋体" w:eastAsia="宋体" w:cs="宋体"/>
                <w:b w:val="0"/>
                <w:bCs w:val="0"/>
                <w:color w:val="auto"/>
                <w:kern w:val="2"/>
                <w:sz w:val="24"/>
                <w:szCs w:val="24"/>
                <w:highlight w:val="none"/>
                <w:lang w:val="en-US" w:eastAsia="zh-CN" w:bidi="ar"/>
              </w:rPr>
            </w:pPr>
          </w:p>
        </w:tc>
        <w:tc>
          <w:tcPr>
            <w:tcW w:w="5829" w:type="dxa"/>
            <w:tcBorders>
              <w:top w:val="single" w:color="auto" w:sz="4" w:space="0"/>
              <w:left w:val="single" w:color="auto" w:sz="4" w:space="0"/>
              <w:right w:val="single" w:color="auto" w:sz="4" w:space="0"/>
            </w:tcBorders>
            <w:vAlign w:val="center"/>
          </w:tcPr>
          <w:p w14:paraId="2FB87F29">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leftChars="0" w:right="0" w:rightChars="0"/>
              <w:jc w:val="both"/>
              <w:textAlignment w:val="auto"/>
              <w:rPr>
                <w:rFonts w:hint="default" w:ascii="宋体" w:hAnsi="宋体" w:eastAsia="宋体" w:cs="宋体"/>
                <w:kern w:val="0"/>
                <w:sz w:val="24"/>
                <w:szCs w:val="24"/>
                <w:lang w:val="en-US" w:eastAsia="zh-CN"/>
              </w:rPr>
            </w:pPr>
            <w:r>
              <w:rPr>
                <w:rFonts w:hint="eastAsia" w:ascii="宋体" w:hAnsi="宋体" w:cs="宋体"/>
                <w:kern w:val="0"/>
                <w:sz w:val="24"/>
                <w:szCs w:val="24"/>
                <w:lang w:val="en-US" w:eastAsia="zh-CN"/>
              </w:rPr>
              <w:t>根据供应商针对本项目</w:t>
            </w:r>
            <w:r>
              <w:rPr>
                <w:rFonts w:hint="eastAsia" w:ascii="宋体" w:hAnsi="宋体" w:eastAsia="宋体" w:cs="宋体"/>
                <w:color w:val="000000"/>
                <w:kern w:val="0"/>
                <w:sz w:val="24"/>
                <w:szCs w:val="24"/>
                <w:highlight w:val="none"/>
                <w:lang w:val="zh-CN" w:eastAsia="zh-CN"/>
              </w:rPr>
              <w:t>关键时间节点</w:t>
            </w:r>
            <w:r>
              <w:rPr>
                <w:rFonts w:hint="eastAsia" w:ascii="宋体" w:hAnsi="宋体" w:eastAsia="宋体" w:cs="宋体"/>
                <w:color w:val="000000"/>
                <w:kern w:val="0"/>
                <w:sz w:val="24"/>
                <w:szCs w:val="24"/>
                <w:highlight w:val="none"/>
                <w:lang w:val="en-US" w:eastAsia="zh-CN"/>
              </w:rPr>
              <w:t>的</w:t>
            </w:r>
            <w:r>
              <w:rPr>
                <w:rFonts w:hint="eastAsia" w:ascii="宋体" w:hAnsi="宋体" w:eastAsia="宋体" w:cs="宋体"/>
                <w:color w:val="000000"/>
                <w:kern w:val="0"/>
                <w:sz w:val="24"/>
                <w:szCs w:val="24"/>
                <w:highlight w:val="none"/>
                <w:lang w:val="zh-CN" w:eastAsia="zh-CN"/>
              </w:rPr>
              <w:t>把握</w:t>
            </w:r>
            <w:r>
              <w:rPr>
                <w:rFonts w:hint="eastAsia" w:ascii="宋体" w:hAnsi="宋体" w:eastAsia="宋体" w:cs="宋体"/>
                <w:color w:val="000000"/>
                <w:kern w:val="0"/>
                <w:sz w:val="24"/>
                <w:szCs w:val="24"/>
                <w:highlight w:val="none"/>
                <w:lang w:val="en-US" w:eastAsia="zh-CN"/>
              </w:rPr>
              <w:t>是否</w:t>
            </w:r>
            <w:r>
              <w:rPr>
                <w:rFonts w:hint="eastAsia" w:ascii="宋体" w:hAnsi="宋体" w:eastAsia="宋体" w:cs="宋体"/>
                <w:color w:val="000000"/>
                <w:kern w:val="0"/>
                <w:sz w:val="24"/>
                <w:szCs w:val="24"/>
                <w:highlight w:val="none"/>
                <w:lang w:val="zh-CN" w:eastAsia="zh-CN"/>
              </w:rPr>
              <w:t>科学、</w:t>
            </w:r>
            <w:r>
              <w:rPr>
                <w:rFonts w:hint="eastAsia" w:ascii="宋体" w:hAnsi="宋体" w:eastAsia="宋体" w:cs="宋体"/>
                <w:color w:val="000000"/>
                <w:kern w:val="0"/>
                <w:sz w:val="24"/>
                <w:szCs w:val="24"/>
                <w:highlight w:val="none"/>
                <w:lang w:val="en-US" w:eastAsia="zh-CN"/>
              </w:rPr>
              <w:t>合理、准确</w:t>
            </w:r>
            <w:r>
              <w:rPr>
                <w:rFonts w:hint="eastAsia" w:ascii="宋体" w:hAnsi="宋体" w:eastAsia="宋体" w:cs="宋体"/>
                <w:kern w:val="0"/>
                <w:sz w:val="24"/>
                <w:szCs w:val="24"/>
                <w:lang w:val="en-US" w:eastAsia="zh-CN"/>
              </w:rPr>
              <w:t>等，</w:t>
            </w:r>
            <w:r>
              <w:rPr>
                <w:rFonts w:hint="eastAsia" w:ascii="宋体" w:hAnsi="宋体" w:eastAsia="宋体" w:cs="宋体"/>
                <w:color w:val="auto"/>
                <w:sz w:val="24"/>
                <w:szCs w:val="24"/>
                <w:highlight w:val="none"/>
              </w:rPr>
              <w:t>由评委</w:t>
            </w:r>
            <w:r>
              <w:rPr>
                <w:rFonts w:hint="eastAsia" w:ascii="宋体" w:hAnsi="宋体" w:eastAsia="宋体" w:cs="宋体"/>
                <w:color w:val="auto"/>
                <w:sz w:val="24"/>
                <w:szCs w:val="24"/>
                <w:highlight w:val="none"/>
                <w:lang w:eastAsia="zh-CN"/>
              </w:rPr>
              <w:t>在</w:t>
            </w:r>
            <w:r>
              <w:rPr>
                <w:rFonts w:hint="eastAsia" w:ascii="宋体" w:hAnsi="宋体" w:cs="宋体"/>
                <w:color w:val="auto"/>
                <w:sz w:val="24"/>
                <w:szCs w:val="24"/>
                <w:highlight w:val="none"/>
                <w:lang w:eastAsia="zh-CN"/>
              </w:rPr>
              <w:t>规定</w:t>
            </w:r>
            <w:r>
              <w:rPr>
                <w:rFonts w:hint="eastAsia" w:ascii="宋体" w:hAnsi="宋体" w:eastAsia="宋体" w:cs="宋体"/>
                <w:color w:val="auto"/>
                <w:sz w:val="24"/>
                <w:szCs w:val="24"/>
                <w:highlight w:val="none"/>
                <w:lang w:eastAsia="zh-CN"/>
              </w:rPr>
              <w:t>分值范围内打分。</w:t>
            </w:r>
          </w:p>
        </w:tc>
        <w:tc>
          <w:tcPr>
            <w:tcW w:w="1183" w:type="dxa"/>
            <w:tcBorders>
              <w:top w:val="single" w:color="auto" w:sz="4" w:space="0"/>
              <w:left w:val="single" w:color="auto" w:sz="4" w:space="0"/>
              <w:bottom w:val="single" w:color="auto" w:sz="4" w:space="0"/>
              <w:right w:val="single" w:color="auto" w:sz="4" w:space="0"/>
            </w:tcBorders>
            <w:vAlign w:val="center"/>
          </w:tcPr>
          <w:p w14:paraId="4CDE1C4A">
            <w:pPr>
              <w:keepNext w:val="0"/>
              <w:keepLines w:val="0"/>
              <w:widowControl/>
              <w:suppressLineNumbers w:val="0"/>
              <w:spacing w:before="0" w:beforeAutospacing="0" w:after="0" w:afterAutospacing="0" w:line="240" w:lineRule="auto"/>
              <w:ind w:left="0" w:leftChars="0" w:right="0" w:rightChars="0"/>
              <w:jc w:val="center"/>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0-</w:t>
            </w:r>
            <w:r>
              <w:rPr>
                <w:rFonts w:hint="eastAsia" w:ascii="宋体" w:hAnsi="宋体" w:cs="宋体"/>
                <w:color w:val="auto"/>
                <w:kern w:val="2"/>
                <w:sz w:val="24"/>
                <w:szCs w:val="24"/>
                <w:lang w:val="en-US" w:eastAsia="zh-CN" w:bidi="ar"/>
              </w:rPr>
              <w:t>4</w:t>
            </w:r>
            <w:r>
              <w:rPr>
                <w:rFonts w:hint="eastAsia" w:ascii="宋体" w:hAnsi="宋体" w:eastAsia="宋体" w:cs="宋体"/>
                <w:color w:val="auto"/>
                <w:kern w:val="2"/>
                <w:sz w:val="24"/>
                <w:szCs w:val="24"/>
                <w:lang w:val="en-US" w:eastAsia="zh-CN" w:bidi="ar"/>
              </w:rPr>
              <w:t>分</w:t>
            </w:r>
          </w:p>
        </w:tc>
      </w:tr>
      <w:tr w14:paraId="617037A5">
        <w:tblPrEx>
          <w:tblCellMar>
            <w:top w:w="0" w:type="dxa"/>
            <w:left w:w="108" w:type="dxa"/>
            <w:bottom w:w="0" w:type="dxa"/>
            <w:right w:w="108" w:type="dxa"/>
          </w:tblCellMar>
        </w:tblPrEx>
        <w:trPr>
          <w:trHeight w:val="734" w:hRule="atLeast"/>
        </w:trPr>
        <w:tc>
          <w:tcPr>
            <w:tcW w:w="945" w:type="dxa"/>
            <w:vMerge w:val="continue"/>
            <w:tcBorders>
              <w:left w:val="single" w:color="auto" w:sz="4" w:space="0"/>
              <w:bottom w:val="single" w:color="auto" w:sz="4" w:space="0"/>
              <w:right w:val="single" w:color="auto" w:sz="4" w:space="0"/>
            </w:tcBorders>
            <w:vAlign w:val="center"/>
          </w:tcPr>
          <w:p w14:paraId="20E67EFA">
            <w:pPr>
              <w:keepNext w:val="0"/>
              <w:keepLines w:val="0"/>
              <w:widowControl/>
              <w:suppressLineNumbers w:val="0"/>
              <w:spacing w:before="0" w:beforeAutospacing="0" w:after="0" w:afterAutospacing="0" w:line="240" w:lineRule="auto"/>
              <w:ind w:left="0" w:leftChars="0" w:right="0" w:rightChars="0"/>
              <w:jc w:val="center"/>
              <w:rPr>
                <w:rFonts w:hint="eastAsia" w:ascii="宋体" w:hAnsi="宋体" w:cs="宋体"/>
                <w:kern w:val="0"/>
                <w:sz w:val="24"/>
                <w:lang w:bidi="ar"/>
              </w:rPr>
            </w:pPr>
          </w:p>
        </w:tc>
        <w:tc>
          <w:tcPr>
            <w:tcW w:w="1406" w:type="dxa"/>
            <w:vMerge w:val="continue"/>
            <w:tcBorders>
              <w:left w:val="single" w:color="auto" w:sz="4" w:space="0"/>
              <w:bottom w:val="single" w:color="auto" w:sz="4" w:space="0"/>
              <w:right w:val="single" w:color="auto" w:sz="4" w:space="0"/>
            </w:tcBorders>
            <w:vAlign w:val="center"/>
          </w:tcPr>
          <w:p w14:paraId="64065A7D">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leftChars="0" w:right="0" w:rightChars="0"/>
              <w:jc w:val="center"/>
              <w:textAlignment w:val="auto"/>
              <w:rPr>
                <w:rFonts w:hint="eastAsia" w:ascii="宋体" w:hAnsi="宋体" w:cs="宋体"/>
                <w:bCs/>
                <w:sz w:val="24"/>
              </w:rPr>
            </w:pPr>
          </w:p>
        </w:tc>
        <w:tc>
          <w:tcPr>
            <w:tcW w:w="5829" w:type="dxa"/>
            <w:tcBorders>
              <w:top w:val="single" w:color="auto" w:sz="4" w:space="0"/>
              <w:left w:val="single" w:color="000000" w:sz="4" w:space="0"/>
              <w:bottom w:val="single" w:color="auto" w:sz="4" w:space="0"/>
              <w:right w:val="single" w:color="000000" w:sz="4" w:space="0"/>
            </w:tcBorders>
            <w:vAlign w:val="center"/>
          </w:tcPr>
          <w:p w14:paraId="7D82E44D">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leftChars="0" w:right="0" w:rightChars="0"/>
              <w:jc w:val="both"/>
              <w:textAlignment w:val="auto"/>
              <w:rPr>
                <w:rFonts w:hint="eastAsia" w:ascii="宋体" w:hAnsi="宋体" w:cs="宋体"/>
                <w:sz w:val="24"/>
              </w:rPr>
            </w:pPr>
            <w:r>
              <w:rPr>
                <w:rFonts w:hint="eastAsia" w:ascii="宋体" w:hAnsi="宋体" w:cs="宋体"/>
                <w:color w:val="000000"/>
                <w:kern w:val="0"/>
                <w:sz w:val="24"/>
                <w:szCs w:val="24"/>
                <w:highlight w:val="none"/>
                <w:lang w:val="en-US" w:eastAsia="zh-CN"/>
              </w:rPr>
              <w:t>根据供应商提出的</w:t>
            </w:r>
            <w:r>
              <w:rPr>
                <w:rFonts w:hint="eastAsia" w:ascii="宋体" w:hAnsi="宋体" w:eastAsia="宋体" w:cs="宋体"/>
                <w:color w:val="000000"/>
                <w:kern w:val="0"/>
                <w:sz w:val="24"/>
                <w:szCs w:val="24"/>
                <w:highlight w:val="none"/>
                <w:lang w:val="en-US" w:eastAsia="zh-CN"/>
              </w:rPr>
              <w:t>相关进度保障措施是否</w:t>
            </w:r>
            <w:r>
              <w:rPr>
                <w:rFonts w:hint="eastAsia" w:ascii="宋体" w:hAnsi="宋体" w:eastAsia="宋体" w:cs="宋体"/>
                <w:color w:val="000000"/>
                <w:kern w:val="0"/>
                <w:sz w:val="24"/>
                <w:szCs w:val="24"/>
                <w:highlight w:val="none"/>
                <w:lang w:val="zh-CN" w:eastAsia="zh-CN"/>
              </w:rPr>
              <w:t>科学、</w:t>
            </w:r>
            <w:r>
              <w:rPr>
                <w:rFonts w:hint="eastAsia" w:ascii="宋体" w:hAnsi="宋体" w:eastAsia="宋体" w:cs="宋体"/>
                <w:color w:val="000000"/>
                <w:kern w:val="0"/>
                <w:sz w:val="24"/>
                <w:szCs w:val="24"/>
                <w:highlight w:val="none"/>
                <w:lang w:val="en-US" w:eastAsia="zh-CN"/>
              </w:rPr>
              <w:t>合理、</w:t>
            </w:r>
            <w:r>
              <w:rPr>
                <w:rFonts w:hint="eastAsia" w:ascii="宋体" w:hAnsi="宋体" w:eastAsia="宋体" w:cs="宋体"/>
                <w:kern w:val="0"/>
                <w:sz w:val="24"/>
                <w:szCs w:val="24"/>
                <w:lang w:val="en-US" w:eastAsia="zh-CN"/>
              </w:rPr>
              <w:t>等，</w:t>
            </w:r>
            <w:r>
              <w:rPr>
                <w:rFonts w:hint="eastAsia" w:ascii="宋体" w:hAnsi="宋体" w:eastAsia="宋体" w:cs="宋体"/>
                <w:color w:val="auto"/>
                <w:sz w:val="24"/>
                <w:szCs w:val="24"/>
                <w:highlight w:val="none"/>
              </w:rPr>
              <w:t>由评委</w:t>
            </w:r>
            <w:r>
              <w:rPr>
                <w:rFonts w:hint="eastAsia" w:ascii="宋体" w:hAnsi="宋体" w:eastAsia="宋体" w:cs="宋体"/>
                <w:color w:val="auto"/>
                <w:sz w:val="24"/>
                <w:szCs w:val="24"/>
                <w:highlight w:val="none"/>
                <w:lang w:eastAsia="zh-CN"/>
              </w:rPr>
              <w:t>在</w:t>
            </w:r>
            <w:r>
              <w:rPr>
                <w:rFonts w:hint="eastAsia" w:ascii="宋体" w:hAnsi="宋体" w:cs="宋体"/>
                <w:color w:val="auto"/>
                <w:sz w:val="24"/>
                <w:szCs w:val="24"/>
                <w:highlight w:val="none"/>
                <w:lang w:eastAsia="zh-CN"/>
              </w:rPr>
              <w:t>规定</w:t>
            </w:r>
            <w:r>
              <w:rPr>
                <w:rFonts w:hint="eastAsia" w:ascii="宋体" w:hAnsi="宋体" w:eastAsia="宋体" w:cs="宋体"/>
                <w:color w:val="auto"/>
                <w:sz w:val="24"/>
                <w:szCs w:val="24"/>
                <w:highlight w:val="none"/>
                <w:lang w:eastAsia="zh-CN"/>
              </w:rPr>
              <w:t>分值范围内打分。</w:t>
            </w:r>
          </w:p>
        </w:tc>
        <w:tc>
          <w:tcPr>
            <w:tcW w:w="1183" w:type="dxa"/>
            <w:tcBorders>
              <w:top w:val="single" w:color="auto" w:sz="4" w:space="0"/>
              <w:left w:val="single" w:color="000000" w:sz="4" w:space="0"/>
              <w:bottom w:val="single" w:color="000000" w:sz="4" w:space="0"/>
              <w:right w:val="single" w:color="auto" w:sz="4" w:space="0"/>
            </w:tcBorders>
            <w:vAlign w:val="center"/>
          </w:tcPr>
          <w:p w14:paraId="217D5D47">
            <w:pPr>
              <w:keepNext w:val="0"/>
              <w:keepLines w:val="0"/>
              <w:widowControl/>
              <w:suppressLineNumbers w:val="0"/>
              <w:spacing w:before="0" w:beforeAutospacing="0" w:after="0" w:afterAutospacing="0" w:line="240" w:lineRule="auto"/>
              <w:ind w:left="0" w:leftChars="0" w:right="0" w:rightChars="0"/>
              <w:jc w:val="center"/>
              <w:rPr>
                <w:rFonts w:hint="eastAsia" w:ascii="宋体" w:hAnsi="宋体" w:cs="宋体"/>
                <w:kern w:val="0"/>
                <w:sz w:val="24"/>
                <w:lang w:bidi="ar"/>
              </w:rPr>
            </w:pPr>
            <w:r>
              <w:rPr>
                <w:rFonts w:hint="eastAsia" w:ascii="宋体" w:hAnsi="宋体" w:eastAsia="宋体" w:cs="宋体"/>
                <w:color w:val="auto"/>
                <w:kern w:val="2"/>
                <w:sz w:val="24"/>
                <w:szCs w:val="24"/>
                <w:lang w:val="en-US" w:eastAsia="zh-CN" w:bidi="ar"/>
              </w:rPr>
              <w:t>0-</w:t>
            </w:r>
            <w:r>
              <w:rPr>
                <w:rFonts w:hint="eastAsia" w:ascii="宋体" w:hAnsi="宋体" w:cs="宋体"/>
                <w:color w:val="auto"/>
                <w:kern w:val="2"/>
                <w:sz w:val="24"/>
                <w:szCs w:val="24"/>
                <w:lang w:val="en-US" w:eastAsia="zh-CN" w:bidi="ar"/>
              </w:rPr>
              <w:t>4</w:t>
            </w:r>
            <w:r>
              <w:rPr>
                <w:rFonts w:hint="eastAsia" w:ascii="宋体" w:hAnsi="宋体" w:eastAsia="宋体" w:cs="宋体"/>
                <w:color w:val="auto"/>
                <w:kern w:val="2"/>
                <w:sz w:val="24"/>
                <w:szCs w:val="24"/>
                <w:lang w:val="en-US" w:eastAsia="zh-CN" w:bidi="ar"/>
              </w:rPr>
              <w:t>分</w:t>
            </w:r>
          </w:p>
        </w:tc>
      </w:tr>
      <w:tr w14:paraId="4F2AEF8A">
        <w:tblPrEx>
          <w:tblCellMar>
            <w:top w:w="0" w:type="dxa"/>
            <w:left w:w="108" w:type="dxa"/>
            <w:bottom w:w="0" w:type="dxa"/>
            <w:right w:w="108" w:type="dxa"/>
          </w:tblCellMar>
        </w:tblPrEx>
        <w:trPr>
          <w:trHeight w:val="734" w:hRule="atLeast"/>
        </w:trPr>
        <w:tc>
          <w:tcPr>
            <w:tcW w:w="945" w:type="dxa"/>
            <w:tcBorders>
              <w:top w:val="single" w:color="auto" w:sz="4" w:space="0"/>
              <w:left w:val="single" w:color="auto" w:sz="4" w:space="0"/>
              <w:bottom w:val="single" w:color="auto" w:sz="4" w:space="0"/>
              <w:right w:val="single" w:color="000000" w:sz="4" w:space="0"/>
            </w:tcBorders>
            <w:vAlign w:val="center"/>
          </w:tcPr>
          <w:p w14:paraId="329BEA50">
            <w:pPr>
              <w:keepNext w:val="0"/>
              <w:keepLines w:val="0"/>
              <w:widowControl/>
              <w:suppressLineNumbers w:val="0"/>
              <w:spacing w:before="0" w:beforeAutospacing="0" w:after="0" w:afterAutospacing="0" w:line="240" w:lineRule="auto"/>
              <w:ind w:left="0" w:leftChars="0" w:right="0" w:rightChars="0"/>
              <w:jc w:val="center"/>
              <w:rPr>
                <w:rFonts w:hint="default" w:ascii="宋体" w:hAnsi="宋体" w:eastAsia="宋体" w:cs="宋体"/>
                <w:b w:val="0"/>
                <w:bCs w:val="0"/>
                <w:color w:val="auto"/>
                <w:kern w:val="0"/>
                <w:sz w:val="24"/>
                <w:szCs w:val="24"/>
                <w:lang w:val="en-US" w:eastAsia="zh-CN" w:bidi="ar"/>
              </w:rPr>
            </w:pPr>
            <w:r>
              <w:rPr>
                <w:rFonts w:hint="eastAsia" w:ascii="宋体" w:hAnsi="宋体" w:cs="宋体"/>
                <w:b w:val="0"/>
                <w:bCs w:val="0"/>
                <w:color w:val="auto"/>
                <w:kern w:val="0"/>
                <w:sz w:val="24"/>
                <w:szCs w:val="24"/>
                <w:lang w:val="en-US" w:eastAsia="zh-CN" w:bidi="ar"/>
              </w:rPr>
              <w:t>8</w:t>
            </w:r>
          </w:p>
        </w:tc>
        <w:tc>
          <w:tcPr>
            <w:tcW w:w="1406" w:type="dxa"/>
            <w:tcBorders>
              <w:top w:val="single" w:color="auto" w:sz="4" w:space="0"/>
              <w:left w:val="single" w:color="000000" w:sz="4" w:space="0"/>
              <w:bottom w:val="single" w:color="auto" w:sz="4" w:space="0"/>
              <w:right w:val="single" w:color="000000" w:sz="4" w:space="0"/>
            </w:tcBorders>
            <w:vAlign w:val="center"/>
          </w:tcPr>
          <w:p w14:paraId="22645CF3">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leftChars="0" w:right="0" w:rightChars="0"/>
              <w:jc w:val="center"/>
              <w:textAlignment w:val="auto"/>
              <w:rPr>
                <w:rFonts w:hint="default" w:ascii="宋体" w:hAnsi="宋体" w:eastAsia="宋体" w:cs="宋体"/>
                <w:b w:val="0"/>
                <w:bCs w:val="0"/>
                <w:color w:val="auto"/>
                <w:kern w:val="2"/>
                <w:sz w:val="24"/>
                <w:szCs w:val="24"/>
                <w:highlight w:val="none"/>
                <w:lang w:val="en-US" w:eastAsia="zh-CN" w:bidi="ar"/>
              </w:rPr>
            </w:pPr>
            <w:r>
              <w:rPr>
                <w:rFonts w:hint="eastAsia" w:ascii="宋体" w:hAnsi="宋体" w:eastAsia="宋体" w:cs="宋体"/>
                <w:b w:val="0"/>
                <w:bCs w:val="0"/>
                <w:color w:val="auto"/>
                <w:kern w:val="2"/>
                <w:sz w:val="24"/>
                <w:szCs w:val="24"/>
                <w:highlight w:val="none"/>
                <w:lang w:val="en-US" w:eastAsia="zh-CN" w:bidi="ar"/>
              </w:rPr>
              <w:t>培训方案（5分）</w:t>
            </w:r>
          </w:p>
        </w:tc>
        <w:tc>
          <w:tcPr>
            <w:tcW w:w="5829" w:type="dxa"/>
            <w:tcBorders>
              <w:top w:val="single" w:color="auto" w:sz="4" w:space="0"/>
              <w:left w:val="single" w:color="000000" w:sz="4" w:space="0"/>
              <w:bottom w:val="single" w:color="auto" w:sz="4" w:space="0"/>
              <w:right w:val="single" w:color="000000" w:sz="4" w:space="0"/>
            </w:tcBorders>
            <w:vAlign w:val="center"/>
          </w:tcPr>
          <w:p w14:paraId="664A2B94">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leftChars="0" w:right="0" w:rightChars="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kern w:val="0"/>
                <w:sz w:val="24"/>
                <w:szCs w:val="24"/>
                <w:lang w:val="en-US" w:eastAsia="zh-CN" w:bidi="zh-CN"/>
              </w:rPr>
              <w:t>根据供应商</w:t>
            </w:r>
            <w:r>
              <w:rPr>
                <w:rFonts w:hint="eastAsia" w:ascii="宋体" w:hAnsi="宋体" w:cs="宋体"/>
                <w:kern w:val="0"/>
                <w:sz w:val="24"/>
                <w:szCs w:val="24"/>
                <w:lang w:val="en-US" w:eastAsia="zh-CN" w:bidi="zh-CN"/>
              </w:rPr>
              <w:t>制定的人员培训体系</w:t>
            </w:r>
            <w:r>
              <w:rPr>
                <w:rFonts w:hint="eastAsia" w:ascii="宋体" w:hAnsi="宋体" w:eastAsia="宋体" w:cs="宋体"/>
                <w:kern w:val="0"/>
                <w:sz w:val="24"/>
                <w:szCs w:val="24"/>
                <w:lang w:val="en-US" w:eastAsia="zh-CN" w:bidi="zh-CN"/>
              </w:rPr>
              <w:t>、</w:t>
            </w:r>
            <w:r>
              <w:rPr>
                <w:rFonts w:hint="eastAsia" w:ascii="宋体" w:hAnsi="宋体" w:cs="宋体"/>
                <w:kern w:val="0"/>
                <w:sz w:val="24"/>
                <w:szCs w:val="24"/>
                <w:lang w:val="en-US" w:eastAsia="zh-CN" w:bidi="zh-CN"/>
              </w:rPr>
              <w:t>培训制度、培训计划及管理方案是否合理、可行</w:t>
            </w:r>
            <w:r>
              <w:rPr>
                <w:rFonts w:hint="eastAsia" w:ascii="宋体" w:hAnsi="宋体" w:eastAsia="宋体" w:cs="宋体"/>
                <w:kern w:val="0"/>
                <w:sz w:val="24"/>
                <w:szCs w:val="24"/>
                <w:lang w:val="en-US" w:eastAsia="zh-CN" w:bidi="zh-CN"/>
              </w:rPr>
              <w:t>等，</w:t>
            </w:r>
            <w:r>
              <w:rPr>
                <w:rFonts w:hint="eastAsia" w:ascii="宋体" w:hAnsi="宋体" w:eastAsia="宋体" w:cs="宋体"/>
                <w:kern w:val="0"/>
                <w:sz w:val="24"/>
                <w:szCs w:val="24"/>
                <w:lang w:val="zh-CN" w:eastAsia="zh-CN" w:bidi="zh-CN"/>
              </w:rPr>
              <w:t>由评委在</w:t>
            </w:r>
            <w:r>
              <w:rPr>
                <w:rFonts w:hint="eastAsia" w:ascii="宋体" w:hAnsi="宋体" w:cs="宋体"/>
                <w:color w:val="auto"/>
                <w:sz w:val="24"/>
                <w:szCs w:val="24"/>
                <w:highlight w:val="none"/>
                <w:lang w:eastAsia="zh-CN"/>
              </w:rPr>
              <w:t>规定</w:t>
            </w:r>
            <w:r>
              <w:rPr>
                <w:rFonts w:hint="eastAsia" w:ascii="宋体" w:hAnsi="宋体" w:eastAsia="宋体" w:cs="宋体"/>
                <w:color w:val="auto"/>
                <w:sz w:val="24"/>
                <w:szCs w:val="24"/>
                <w:highlight w:val="none"/>
                <w:lang w:eastAsia="zh-CN"/>
              </w:rPr>
              <w:t>分值范围内打分。</w:t>
            </w:r>
          </w:p>
        </w:tc>
        <w:tc>
          <w:tcPr>
            <w:tcW w:w="1183" w:type="dxa"/>
            <w:tcBorders>
              <w:top w:val="single" w:color="auto" w:sz="4" w:space="0"/>
              <w:left w:val="single" w:color="000000" w:sz="4" w:space="0"/>
              <w:bottom w:val="single" w:color="000000" w:sz="4" w:space="0"/>
              <w:right w:val="single" w:color="auto" w:sz="4" w:space="0"/>
            </w:tcBorders>
            <w:vAlign w:val="center"/>
          </w:tcPr>
          <w:p w14:paraId="227E775F">
            <w:pPr>
              <w:keepNext w:val="0"/>
              <w:keepLines w:val="0"/>
              <w:widowControl/>
              <w:suppressLineNumbers w:val="0"/>
              <w:spacing w:before="0" w:beforeAutospacing="0" w:after="0" w:afterAutospacing="0" w:line="240" w:lineRule="auto"/>
              <w:ind w:left="0" w:leftChars="0" w:right="0" w:rightChars="0"/>
              <w:jc w:val="center"/>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0-5分</w:t>
            </w:r>
          </w:p>
        </w:tc>
      </w:tr>
      <w:tr w14:paraId="0A5EDB27">
        <w:tblPrEx>
          <w:tblCellMar>
            <w:top w:w="0" w:type="dxa"/>
            <w:left w:w="108" w:type="dxa"/>
            <w:bottom w:w="0" w:type="dxa"/>
            <w:right w:w="108" w:type="dxa"/>
          </w:tblCellMar>
        </w:tblPrEx>
        <w:trPr>
          <w:trHeight w:val="734" w:hRule="atLeast"/>
        </w:trPr>
        <w:tc>
          <w:tcPr>
            <w:tcW w:w="945" w:type="dxa"/>
            <w:vMerge w:val="restart"/>
            <w:tcBorders>
              <w:top w:val="single" w:color="auto" w:sz="4" w:space="0"/>
              <w:left w:val="single" w:color="auto" w:sz="4" w:space="0"/>
              <w:right w:val="single" w:color="auto" w:sz="4" w:space="0"/>
            </w:tcBorders>
            <w:vAlign w:val="center"/>
          </w:tcPr>
          <w:p w14:paraId="330B5418">
            <w:pPr>
              <w:keepNext w:val="0"/>
              <w:keepLines w:val="0"/>
              <w:widowControl/>
              <w:suppressLineNumbers w:val="0"/>
              <w:spacing w:before="0" w:beforeAutospacing="0" w:after="0" w:afterAutospacing="0" w:line="240" w:lineRule="auto"/>
              <w:ind w:left="0" w:leftChars="0" w:right="0" w:rightChars="0"/>
              <w:jc w:val="center"/>
              <w:rPr>
                <w:rFonts w:hint="default" w:ascii="宋体" w:hAnsi="宋体"/>
                <w:sz w:val="24"/>
                <w:highlight w:val="yellow"/>
                <w:lang w:val="en-US" w:bidi="ar"/>
              </w:rPr>
            </w:pPr>
            <w:r>
              <w:rPr>
                <w:rFonts w:hint="eastAsia" w:ascii="宋体" w:hAnsi="宋体" w:cs="宋体"/>
                <w:b w:val="0"/>
                <w:bCs w:val="0"/>
                <w:color w:val="auto"/>
                <w:kern w:val="0"/>
                <w:sz w:val="24"/>
                <w:szCs w:val="24"/>
                <w:highlight w:val="none"/>
                <w:lang w:val="en-US" w:eastAsia="zh-CN" w:bidi="ar"/>
              </w:rPr>
              <w:t>9</w:t>
            </w:r>
          </w:p>
        </w:tc>
        <w:tc>
          <w:tcPr>
            <w:tcW w:w="1406" w:type="dxa"/>
            <w:vMerge w:val="restart"/>
            <w:tcBorders>
              <w:top w:val="single" w:color="auto" w:sz="4" w:space="0"/>
              <w:left w:val="single" w:color="auto" w:sz="4" w:space="0"/>
              <w:right w:val="single" w:color="auto" w:sz="4" w:space="0"/>
            </w:tcBorders>
            <w:vAlign w:val="center"/>
          </w:tcPr>
          <w:p w14:paraId="4A8F5FD5">
            <w:pPr>
              <w:keepNext w:val="0"/>
              <w:keepLines w:val="0"/>
              <w:pageBreakBefore w:val="0"/>
              <w:widowControl/>
              <w:kinsoku/>
              <w:wordWrap/>
              <w:overflowPunct/>
              <w:topLinePunct w:val="0"/>
              <w:autoSpaceDE/>
              <w:autoSpaceDN/>
              <w:bidi w:val="0"/>
              <w:adjustRightInd w:val="0"/>
              <w:snapToGrid w:val="0"/>
              <w:spacing w:line="360" w:lineRule="exact"/>
              <w:ind w:left="0"/>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服务能力及承诺</w:t>
            </w:r>
          </w:p>
          <w:p w14:paraId="5158D9BB">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leftChars="0" w:right="0" w:rightChars="0"/>
              <w:jc w:val="center"/>
              <w:textAlignment w:val="auto"/>
              <w:rPr>
                <w:rFonts w:hint="eastAsia" w:ascii="宋体" w:hAnsi="宋体" w:cs="宋体"/>
                <w:sz w:val="24"/>
                <w:highlight w:val="none"/>
                <w:lang w:bidi="ar"/>
              </w:rPr>
            </w:pPr>
            <w:r>
              <w:rPr>
                <w:rFonts w:hint="eastAsia" w:ascii="宋体" w:hAnsi="宋体" w:eastAsia="宋体" w:cs="宋体"/>
                <w:b w:val="0"/>
                <w:bCs w:val="0"/>
                <w:color w:val="auto"/>
                <w:kern w:val="2"/>
                <w:sz w:val="24"/>
                <w:szCs w:val="24"/>
                <w:highlight w:val="none"/>
                <w:lang w:val="en-US" w:eastAsia="zh-CN" w:bidi="ar"/>
              </w:rPr>
              <w:t>（</w:t>
            </w:r>
            <w:r>
              <w:rPr>
                <w:rFonts w:hint="eastAsia" w:ascii="宋体" w:hAnsi="宋体" w:cs="宋体"/>
                <w:b w:val="0"/>
                <w:bCs w:val="0"/>
                <w:color w:val="auto"/>
                <w:kern w:val="2"/>
                <w:sz w:val="24"/>
                <w:szCs w:val="24"/>
                <w:highlight w:val="none"/>
                <w:lang w:val="en-US" w:eastAsia="zh-CN" w:bidi="ar"/>
              </w:rPr>
              <w:t>7</w:t>
            </w:r>
            <w:r>
              <w:rPr>
                <w:rFonts w:hint="eastAsia" w:ascii="宋体" w:hAnsi="宋体" w:eastAsia="宋体" w:cs="宋体"/>
                <w:b w:val="0"/>
                <w:bCs w:val="0"/>
                <w:color w:val="auto"/>
                <w:kern w:val="2"/>
                <w:sz w:val="24"/>
                <w:szCs w:val="24"/>
                <w:highlight w:val="none"/>
                <w:lang w:val="en-US" w:eastAsia="zh-CN" w:bidi="ar"/>
              </w:rPr>
              <w:t>分）</w:t>
            </w:r>
          </w:p>
        </w:tc>
        <w:tc>
          <w:tcPr>
            <w:tcW w:w="5829" w:type="dxa"/>
            <w:tcBorders>
              <w:top w:val="single" w:color="auto" w:sz="4" w:space="0"/>
              <w:left w:val="single" w:color="auto" w:sz="4" w:space="0"/>
              <w:bottom w:val="single" w:color="auto" w:sz="4" w:space="0"/>
              <w:right w:val="single" w:color="auto" w:sz="4" w:space="0"/>
            </w:tcBorders>
            <w:vAlign w:val="center"/>
          </w:tcPr>
          <w:p w14:paraId="2FFDACFE">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leftChars="0" w:right="0" w:rightChars="0"/>
              <w:jc w:val="both"/>
              <w:textAlignment w:val="auto"/>
              <w:rPr>
                <w:rFonts w:hint="eastAsia" w:ascii="宋体" w:hAnsi="宋体" w:cs="宋体"/>
                <w:sz w:val="24"/>
                <w:highlight w:val="none"/>
                <w:lang w:bidi="ar"/>
              </w:rPr>
            </w:pPr>
            <w:r>
              <w:rPr>
                <w:rFonts w:hint="eastAsia" w:ascii="宋体" w:hAnsi="宋体" w:eastAsia="宋体" w:cs="宋体"/>
                <w:kern w:val="0"/>
                <w:sz w:val="24"/>
                <w:szCs w:val="24"/>
                <w:highlight w:val="none"/>
                <w:lang w:val="zh-CN" w:eastAsia="zh-CN" w:bidi="zh-CN"/>
              </w:rPr>
              <w:t>据供应商提供的</w:t>
            </w:r>
            <w:r>
              <w:rPr>
                <w:rFonts w:hint="eastAsia" w:ascii="宋体" w:hAnsi="宋体" w:cs="宋体"/>
                <w:kern w:val="0"/>
                <w:sz w:val="24"/>
                <w:szCs w:val="24"/>
                <w:highlight w:val="none"/>
                <w:lang w:val="en-US" w:eastAsia="zh-CN" w:bidi="zh-CN"/>
              </w:rPr>
              <w:t>服务内容与范围</w:t>
            </w:r>
            <w:r>
              <w:rPr>
                <w:rFonts w:hint="eastAsia" w:ascii="宋体" w:hAnsi="宋体" w:eastAsia="宋体" w:cs="宋体"/>
                <w:kern w:val="0"/>
                <w:sz w:val="24"/>
                <w:szCs w:val="24"/>
                <w:highlight w:val="none"/>
                <w:lang w:val="zh-CN" w:eastAsia="zh-CN" w:bidi="zh-CN"/>
              </w:rPr>
              <w:t>，</w:t>
            </w:r>
            <w:r>
              <w:rPr>
                <w:rFonts w:hint="eastAsia" w:ascii="宋体" w:hAnsi="宋体" w:eastAsia="宋体" w:cs="宋体"/>
                <w:snapToGrid w:val="0"/>
                <w:color w:val="000000"/>
                <w:sz w:val="24"/>
                <w:szCs w:val="24"/>
                <w:highlight w:val="none"/>
              </w:rPr>
              <w:t>服务响应时间等</w:t>
            </w:r>
            <w:r>
              <w:rPr>
                <w:rFonts w:hint="eastAsia" w:ascii="宋体" w:hAnsi="宋体" w:eastAsia="宋体" w:cs="宋体"/>
                <w:kern w:val="0"/>
                <w:sz w:val="24"/>
                <w:szCs w:val="24"/>
                <w:highlight w:val="none"/>
                <w:lang w:val="en-US" w:eastAsia="zh-CN"/>
              </w:rPr>
              <w:t>，</w:t>
            </w:r>
            <w:r>
              <w:rPr>
                <w:rFonts w:hint="eastAsia" w:ascii="宋体" w:hAnsi="宋体" w:eastAsia="宋体" w:cs="宋体"/>
                <w:color w:val="auto"/>
                <w:sz w:val="24"/>
                <w:szCs w:val="24"/>
                <w:highlight w:val="none"/>
              </w:rPr>
              <w:t>由评委</w:t>
            </w:r>
            <w:r>
              <w:rPr>
                <w:rFonts w:hint="eastAsia" w:ascii="宋体" w:hAnsi="宋体" w:eastAsia="宋体" w:cs="宋体"/>
                <w:color w:val="auto"/>
                <w:sz w:val="24"/>
                <w:szCs w:val="24"/>
                <w:highlight w:val="none"/>
                <w:lang w:eastAsia="zh-CN"/>
              </w:rPr>
              <w:t>在</w:t>
            </w:r>
            <w:r>
              <w:rPr>
                <w:rFonts w:hint="eastAsia" w:ascii="宋体" w:hAnsi="宋体" w:cs="宋体"/>
                <w:color w:val="auto"/>
                <w:sz w:val="24"/>
                <w:szCs w:val="24"/>
                <w:highlight w:val="none"/>
                <w:lang w:eastAsia="zh-CN"/>
              </w:rPr>
              <w:t>规定</w:t>
            </w:r>
            <w:r>
              <w:rPr>
                <w:rFonts w:hint="eastAsia" w:ascii="宋体" w:hAnsi="宋体" w:eastAsia="宋体" w:cs="宋体"/>
                <w:color w:val="auto"/>
                <w:sz w:val="24"/>
                <w:szCs w:val="24"/>
                <w:highlight w:val="none"/>
                <w:lang w:eastAsia="zh-CN"/>
              </w:rPr>
              <w:t>分值范围内打分。</w:t>
            </w:r>
          </w:p>
        </w:tc>
        <w:tc>
          <w:tcPr>
            <w:tcW w:w="1183" w:type="dxa"/>
            <w:tcBorders>
              <w:top w:val="single" w:color="auto" w:sz="4" w:space="0"/>
              <w:left w:val="single" w:color="auto" w:sz="4" w:space="0"/>
              <w:bottom w:val="single" w:color="auto" w:sz="4" w:space="0"/>
              <w:right w:val="single" w:color="auto" w:sz="4" w:space="0"/>
            </w:tcBorders>
            <w:vAlign w:val="center"/>
          </w:tcPr>
          <w:p w14:paraId="312B60B6">
            <w:pPr>
              <w:keepNext w:val="0"/>
              <w:keepLines w:val="0"/>
              <w:widowControl/>
              <w:suppressLineNumbers w:val="0"/>
              <w:spacing w:before="0" w:beforeAutospacing="0" w:after="0" w:afterAutospacing="0" w:line="240" w:lineRule="auto"/>
              <w:ind w:left="0" w:leftChars="0" w:right="0" w:rightChars="0"/>
              <w:jc w:val="center"/>
              <w:rPr>
                <w:rFonts w:hint="eastAsia" w:ascii="宋体" w:hAnsi="宋体" w:cs="宋体"/>
                <w:sz w:val="24"/>
                <w:highlight w:val="none"/>
                <w:lang w:bidi="ar"/>
              </w:rPr>
            </w:pPr>
            <w:r>
              <w:rPr>
                <w:rFonts w:hint="eastAsia" w:ascii="宋体" w:hAnsi="宋体" w:eastAsia="宋体" w:cs="宋体"/>
                <w:color w:val="auto"/>
                <w:kern w:val="2"/>
                <w:sz w:val="24"/>
                <w:szCs w:val="24"/>
                <w:highlight w:val="none"/>
                <w:lang w:val="en-US" w:eastAsia="zh-CN" w:bidi="ar"/>
              </w:rPr>
              <w:t>0-</w:t>
            </w:r>
            <w:r>
              <w:rPr>
                <w:rFonts w:hint="eastAsia" w:ascii="宋体" w:hAnsi="宋体" w:cs="宋体"/>
                <w:color w:val="auto"/>
                <w:kern w:val="2"/>
                <w:sz w:val="24"/>
                <w:szCs w:val="24"/>
                <w:highlight w:val="none"/>
                <w:lang w:val="en-US" w:eastAsia="zh-CN" w:bidi="ar"/>
              </w:rPr>
              <w:t>5</w:t>
            </w:r>
            <w:r>
              <w:rPr>
                <w:rFonts w:hint="eastAsia" w:ascii="宋体" w:hAnsi="宋体" w:eastAsia="宋体" w:cs="宋体"/>
                <w:color w:val="auto"/>
                <w:kern w:val="2"/>
                <w:sz w:val="24"/>
                <w:szCs w:val="24"/>
                <w:highlight w:val="none"/>
                <w:lang w:val="en-US" w:eastAsia="zh-CN" w:bidi="ar"/>
              </w:rPr>
              <w:t>分</w:t>
            </w:r>
          </w:p>
        </w:tc>
      </w:tr>
      <w:tr w14:paraId="1A760510">
        <w:tblPrEx>
          <w:tblCellMar>
            <w:top w:w="0" w:type="dxa"/>
            <w:left w:w="108" w:type="dxa"/>
            <w:bottom w:w="0" w:type="dxa"/>
            <w:right w:w="108" w:type="dxa"/>
          </w:tblCellMar>
        </w:tblPrEx>
        <w:trPr>
          <w:trHeight w:val="734" w:hRule="atLeast"/>
        </w:trPr>
        <w:tc>
          <w:tcPr>
            <w:tcW w:w="945" w:type="dxa"/>
            <w:vMerge w:val="continue"/>
            <w:tcBorders>
              <w:left w:val="single" w:color="auto" w:sz="4" w:space="0"/>
              <w:bottom w:val="single" w:color="auto" w:sz="4" w:space="0"/>
              <w:right w:val="single" w:color="auto" w:sz="4" w:space="0"/>
            </w:tcBorders>
            <w:vAlign w:val="center"/>
          </w:tcPr>
          <w:p w14:paraId="2322FD90">
            <w:pPr>
              <w:keepNext w:val="0"/>
              <w:keepLines w:val="0"/>
              <w:widowControl/>
              <w:suppressLineNumbers w:val="0"/>
              <w:spacing w:before="0" w:beforeAutospacing="0" w:after="0" w:afterAutospacing="0" w:line="240" w:lineRule="auto"/>
              <w:ind w:left="0" w:leftChars="0" w:right="0" w:rightChars="0"/>
              <w:jc w:val="center"/>
              <w:rPr>
                <w:rFonts w:hint="eastAsia" w:ascii="宋体" w:hAnsi="宋体" w:eastAsia="宋体" w:cs="宋体"/>
                <w:b w:val="0"/>
                <w:bCs w:val="0"/>
                <w:color w:val="auto"/>
                <w:kern w:val="0"/>
                <w:sz w:val="24"/>
                <w:szCs w:val="24"/>
                <w:highlight w:val="yellow"/>
                <w:lang w:val="en-US" w:eastAsia="zh-CN" w:bidi="ar"/>
              </w:rPr>
            </w:pPr>
          </w:p>
        </w:tc>
        <w:tc>
          <w:tcPr>
            <w:tcW w:w="1406" w:type="dxa"/>
            <w:vMerge w:val="continue"/>
            <w:tcBorders>
              <w:left w:val="single" w:color="auto" w:sz="4" w:space="0"/>
              <w:bottom w:val="single" w:color="auto" w:sz="4" w:space="0"/>
              <w:right w:val="single" w:color="auto" w:sz="4" w:space="0"/>
            </w:tcBorders>
            <w:vAlign w:val="center"/>
          </w:tcPr>
          <w:p w14:paraId="798416C4">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leftChars="0" w:right="0" w:rightChars="0"/>
              <w:jc w:val="center"/>
              <w:textAlignment w:val="auto"/>
              <w:rPr>
                <w:rFonts w:hint="eastAsia" w:ascii="宋体" w:hAnsi="宋体" w:eastAsia="宋体" w:cs="宋体"/>
                <w:b w:val="0"/>
                <w:bCs w:val="0"/>
                <w:color w:val="auto"/>
                <w:kern w:val="2"/>
                <w:sz w:val="24"/>
                <w:szCs w:val="24"/>
                <w:highlight w:val="none"/>
                <w:lang w:val="en-US" w:eastAsia="zh-CN" w:bidi="ar"/>
              </w:rPr>
            </w:pPr>
          </w:p>
        </w:tc>
        <w:tc>
          <w:tcPr>
            <w:tcW w:w="5829" w:type="dxa"/>
            <w:tcBorders>
              <w:top w:val="single" w:color="auto" w:sz="4" w:space="0"/>
              <w:left w:val="single" w:color="auto" w:sz="4" w:space="0"/>
              <w:bottom w:val="single" w:color="auto" w:sz="4" w:space="0"/>
              <w:right w:val="single" w:color="auto" w:sz="4" w:space="0"/>
            </w:tcBorders>
            <w:vAlign w:val="center"/>
          </w:tcPr>
          <w:p w14:paraId="701A541E">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leftChars="0" w:right="0" w:rightChars="0"/>
              <w:jc w:val="both"/>
              <w:textAlignment w:val="auto"/>
              <w:rPr>
                <w:rFonts w:hint="eastAsia" w:ascii="宋体" w:hAnsi="宋体" w:eastAsia="宋体" w:cs="宋体"/>
                <w:kern w:val="0"/>
                <w:sz w:val="24"/>
                <w:szCs w:val="24"/>
                <w:highlight w:val="none"/>
                <w:lang w:val="zh-CN" w:eastAsia="zh-CN" w:bidi="zh-CN"/>
              </w:rPr>
            </w:pPr>
            <w:r>
              <w:rPr>
                <w:rFonts w:hint="eastAsia" w:ascii="宋体" w:hAnsi="宋体" w:eastAsia="宋体" w:cs="宋体"/>
                <w:snapToGrid w:val="0"/>
                <w:color w:val="000000"/>
                <w:sz w:val="24"/>
                <w:szCs w:val="24"/>
                <w:highlight w:val="none"/>
              </w:rPr>
              <w:t>根据</w:t>
            </w:r>
            <w:r>
              <w:rPr>
                <w:rFonts w:hint="eastAsia" w:ascii="宋体" w:hAnsi="宋体" w:cs="宋体"/>
                <w:snapToGrid w:val="0"/>
                <w:color w:val="000000"/>
                <w:sz w:val="24"/>
                <w:szCs w:val="24"/>
                <w:highlight w:val="none"/>
                <w:lang w:val="en-US" w:eastAsia="zh-CN"/>
              </w:rPr>
              <w:t>供应商</w:t>
            </w:r>
            <w:r>
              <w:rPr>
                <w:rFonts w:hint="eastAsia" w:ascii="宋体" w:hAnsi="宋体" w:eastAsia="宋体" w:cs="宋体"/>
                <w:snapToGrid w:val="0"/>
                <w:color w:val="000000"/>
                <w:sz w:val="24"/>
                <w:szCs w:val="24"/>
                <w:highlight w:val="none"/>
              </w:rPr>
              <w:t>提供的服务承诺，在满足服务要求的基础上，提出其他优惠措施</w:t>
            </w:r>
            <w:r>
              <w:rPr>
                <w:rFonts w:hint="eastAsia" w:ascii="宋体" w:hAnsi="宋体" w:cs="宋体"/>
                <w:snapToGrid w:val="0"/>
                <w:color w:val="000000"/>
                <w:sz w:val="24"/>
                <w:szCs w:val="24"/>
                <w:highlight w:val="none"/>
                <w:lang w:val="en-US" w:eastAsia="zh-CN"/>
              </w:rPr>
              <w:t>等，</w:t>
            </w:r>
            <w:r>
              <w:rPr>
                <w:rFonts w:hint="eastAsia" w:ascii="宋体" w:hAnsi="宋体" w:eastAsia="宋体" w:cs="宋体"/>
                <w:color w:val="auto"/>
                <w:sz w:val="24"/>
                <w:szCs w:val="24"/>
                <w:highlight w:val="none"/>
              </w:rPr>
              <w:t>由评委</w:t>
            </w:r>
            <w:r>
              <w:rPr>
                <w:rFonts w:hint="eastAsia" w:ascii="宋体" w:hAnsi="宋体" w:eastAsia="宋体" w:cs="宋体"/>
                <w:color w:val="auto"/>
                <w:sz w:val="24"/>
                <w:szCs w:val="24"/>
                <w:highlight w:val="none"/>
                <w:lang w:eastAsia="zh-CN"/>
              </w:rPr>
              <w:t>在</w:t>
            </w:r>
            <w:r>
              <w:rPr>
                <w:rFonts w:hint="eastAsia" w:ascii="宋体" w:hAnsi="宋体" w:cs="宋体"/>
                <w:color w:val="auto"/>
                <w:sz w:val="24"/>
                <w:szCs w:val="24"/>
                <w:highlight w:val="none"/>
                <w:lang w:eastAsia="zh-CN"/>
              </w:rPr>
              <w:t>规定</w:t>
            </w:r>
            <w:r>
              <w:rPr>
                <w:rFonts w:hint="eastAsia" w:ascii="宋体" w:hAnsi="宋体" w:eastAsia="宋体" w:cs="宋体"/>
                <w:color w:val="auto"/>
                <w:sz w:val="24"/>
                <w:szCs w:val="24"/>
                <w:highlight w:val="none"/>
                <w:lang w:eastAsia="zh-CN"/>
              </w:rPr>
              <w:t>分值范围内打分。</w:t>
            </w:r>
          </w:p>
        </w:tc>
        <w:tc>
          <w:tcPr>
            <w:tcW w:w="1183" w:type="dxa"/>
            <w:tcBorders>
              <w:top w:val="single" w:color="auto" w:sz="4" w:space="0"/>
              <w:left w:val="single" w:color="auto" w:sz="4" w:space="0"/>
              <w:bottom w:val="single" w:color="auto" w:sz="4" w:space="0"/>
              <w:right w:val="single" w:color="auto" w:sz="4" w:space="0"/>
            </w:tcBorders>
            <w:vAlign w:val="center"/>
          </w:tcPr>
          <w:p w14:paraId="6D7DE31E">
            <w:pPr>
              <w:keepNext w:val="0"/>
              <w:keepLines w:val="0"/>
              <w:widowControl/>
              <w:suppressLineNumbers w:val="0"/>
              <w:spacing w:before="0" w:beforeAutospacing="0" w:after="0" w:afterAutospacing="0" w:line="240" w:lineRule="auto"/>
              <w:ind w:left="0" w:leftChars="0" w:right="0" w:rightChars="0"/>
              <w:jc w:val="center"/>
              <w:rPr>
                <w:rFonts w:hint="eastAsia" w:ascii="宋体" w:hAnsi="宋体" w:eastAsia="宋体" w:cs="宋体"/>
                <w:color w:val="auto"/>
                <w:kern w:val="2"/>
                <w:sz w:val="24"/>
                <w:szCs w:val="24"/>
                <w:highlight w:val="none"/>
                <w:lang w:val="en-US" w:eastAsia="zh-CN" w:bidi="ar"/>
              </w:rPr>
            </w:pPr>
            <w:r>
              <w:rPr>
                <w:rFonts w:hint="eastAsia" w:ascii="宋体" w:hAnsi="宋体" w:eastAsia="宋体" w:cs="宋体"/>
                <w:color w:val="auto"/>
                <w:kern w:val="2"/>
                <w:sz w:val="24"/>
                <w:szCs w:val="24"/>
                <w:highlight w:val="none"/>
                <w:lang w:val="en-US" w:eastAsia="zh-CN" w:bidi="ar"/>
              </w:rPr>
              <w:t>0-2分</w:t>
            </w:r>
          </w:p>
        </w:tc>
      </w:tr>
    </w:tbl>
    <w:p w14:paraId="29980983">
      <w:pPr>
        <w:spacing w:line="360" w:lineRule="auto"/>
        <w:jc w:val="left"/>
        <w:rPr>
          <w:rFonts w:hint="eastAsia" w:ascii="宋体" w:hAnsi="宋体" w:cs="宋体"/>
          <w:b/>
          <w:sz w:val="24"/>
        </w:rPr>
      </w:pPr>
      <w:r>
        <w:rPr>
          <w:rFonts w:hint="eastAsia" w:ascii="宋体" w:hAnsi="宋体" w:cs="宋体"/>
          <w:b/>
          <w:sz w:val="24"/>
        </w:rPr>
        <w:t>5.2磋商报价共10分,权重为10% ，由磋商小组根据以下内容统一计算打分：</w:t>
      </w:r>
    </w:p>
    <w:p w14:paraId="48B1A1E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rPr>
      </w:pPr>
      <w:r>
        <w:rPr>
          <w:rFonts w:hint="eastAsia" w:ascii="宋体" w:hAnsi="宋体" w:cs="宋体"/>
          <w:sz w:val="24"/>
        </w:rPr>
        <w:t>5.2.1报价评分应在报价范围口径一致的评审价基础上进行。属磋商文件不清楚引起的报价内容和口径不一致的，则按有关规定统一调整报价内容和口径，计算出供应商的最终评审价。属供应商失误造成的报价差错和遗漏，不得调整。</w:t>
      </w:r>
    </w:p>
    <w:p w14:paraId="619E224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rPr>
      </w:pPr>
      <w:r>
        <w:rPr>
          <w:rFonts w:hint="eastAsia" w:ascii="宋体" w:hAnsi="宋体" w:cs="宋体"/>
          <w:sz w:val="24"/>
        </w:rPr>
        <w:t>5.2.2最终报价超过最高限价的作无效标处理。</w:t>
      </w:r>
    </w:p>
    <w:p w14:paraId="0A957FB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rPr>
      </w:pPr>
      <w:r>
        <w:rPr>
          <w:rFonts w:hint="eastAsia" w:ascii="宋体" w:hAnsi="宋体" w:cs="宋体"/>
          <w:sz w:val="24"/>
        </w:rPr>
        <w:t>5.2.3最终报价有漏项的或报价数量少于磋商文件要求数量的作无效标处理。</w:t>
      </w:r>
    </w:p>
    <w:p w14:paraId="24526B3A">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cs="宋体"/>
          <w:b/>
          <w:sz w:val="24"/>
        </w:rPr>
      </w:pPr>
      <w:r>
        <w:rPr>
          <w:rFonts w:hint="eastAsia" w:ascii="宋体" w:hAnsi="宋体" w:cs="宋体"/>
          <w:b/>
          <w:sz w:val="24"/>
        </w:rPr>
        <w:t>5.2.4 报价得分按以下方式计算：</w:t>
      </w:r>
    </w:p>
    <w:p w14:paraId="08E8435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rPr>
      </w:pPr>
      <w:r>
        <w:rPr>
          <w:rFonts w:hint="eastAsia" w:ascii="宋体" w:hAnsi="宋体" w:cs="宋体"/>
          <w:sz w:val="24"/>
        </w:rPr>
        <w:t>（1）确定评审价：供应商的评审价=各供应商最终有效报价；</w:t>
      </w:r>
    </w:p>
    <w:p w14:paraId="516B83E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rPr>
      </w:pPr>
      <w:r>
        <w:rPr>
          <w:rFonts w:hint="eastAsia" w:ascii="宋体" w:hAnsi="宋体" w:cs="宋体"/>
          <w:sz w:val="24"/>
        </w:rPr>
        <w:t>（2）磋商基准价=各进入报价评分的各供应商有效评审价中的</w:t>
      </w:r>
      <w:r>
        <w:rPr>
          <w:rFonts w:hint="eastAsia" w:ascii="宋体" w:hAnsi="宋体" w:cs="宋体"/>
          <w:b/>
          <w:bCs/>
          <w:sz w:val="24"/>
        </w:rPr>
        <w:t>最低评审价</w:t>
      </w:r>
      <w:r>
        <w:rPr>
          <w:rFonts w:hint="eastAsia" w:ascii="宋体" w:hAnsi="宋体" w:cs="宋体"/>
          <w:sz w:val="24"/>
        </w:rPr>
        <w:t>；</w:t>
      </w:r>
    </w:p>
    <w:p w14:paraId="24B0B42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rPr>
      </w:pPr>
      <w:r>
        <w:rPr>
          <w:rFonts w:hint="eastAsia" w:ascii="宋体" w:hAnsi="宋体" w:cs="宋体"/>
          <w:sz w:val="24"/>
        </w:rPr>
        <w:t>（3）评审价等于磋商基准价的得10分，其他供应商的报价得分按下列公式计算：报价得分=（磋商基准价/各供应商最终评审价）×报价权重×100。</w:t>
      </w:r>
    </w:p>
    <w:p w14:paraId="29FAFCB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rPr>
      </w:pPr>
      <w:r>
        <w:rPr>
          <w:rFonts w:hint="eastAsia" w:ascii="宋体" w:hAnsi="宋体" w:cs="宋体"/>
          <w:sz w:val="24"/>
        </w:rPr>
        <w:t>（4）落实政府采购扶持政策说明：本项目面向中小企业采购，不进行价格扣除或价格分加分。</w:t>
      </w:r>
    </w:p>
    <w:p w14:paraId="1CBE41E4">
      <w:pPr>
        <w:spacing w:line="360" w:lineRule="auto"/>
        <w:rPr>
          <w:rFonts w:hint="eastAsia" w:ascii="宋体" w:hAnsi="宋体"/>
          <w:b/>
          <w:sz w:val="24"/>
        </w:rPr>
      </w:pPr>
      <w:r>
        <w:rPr>
          <w:rFonts w:hint="eastAsia" w:ascii="宋体" w:hAnsi="宋体" w:cs="宋体"/>
          <w:b/>
          <w:sz w:val="24"/>
        </w:rPr>
        <w:t>5.3本项目最终得分=商务技术得分＋报价得分。</w:t>
      </w:r>
    </w:p>
    <w:p w14:paraId="49F284E5">
      <w:pPr>
        <w:pStyle w:val="7"/>
        <w:spacing w:after="0"/>
        <w:ind w:firstLine="0" w:firstLineChars="0"/>
        <w:rPr>
          <w:rFonts w:hint="eastAsia" w:ascii="宋体" w:hAnsi="宋体"/>
          <w:sz w:val="32"/>
        </w:rPr>
      </w:pPr>
      <w:bookmarkStart w:id="494" w:name="_Toc1493"/>
      <w:bookmarkStart w:id="495" w:name="_Toc8018"/>
      <w:bookmarkStart w:id="496" w:name="_Toc26424"/>
      <w:bookmarkStart w:id="497" w:name="_Toc13625"/>
      <w:bookmarkStart w:id="498" w:name="_Toc5758"/>
      <w:r>
        <w:rPr>
          <w:rFonts w:hint="eastAsia" w:ascii="宋体" w:hAnsi="宋体"/>
          <w:sz w:val="32"/>
        </w:rPr>
        <w:t>六   磋商纪律和要求</w:t>
      </w:r>
      <w:bookmarkEnd w:id="477"/>
      <w:bookmarkEnd w:id="478"/>
      <w:bookmarkEnd w:id="479"/>
      <w:bookmarkEnd w:id="494"/>
      <w:bookmarkEnd w:id="495"/>
      <w:bookmarkEnd w:id="496"/>
      <w:bookmarkEnd w:id="497"/>
      <w:bookmarkEnd w:id="498"/>
    </w:p>
    <w:p w14:paraId="77E12073">
      <w:pPr>
        <w:spacing w:line="360" w:lineRule="auto"/>
        <w:ind w:firstLine="480" w:firstLineChars="200"/>
        <w:rPr>
          <w:rFonts w:hint="eastAsia" w:ascii="宋体" w:hAnsi="宋体"/>
          <w:sz w:val="24"/>
        </w:rPr>
      </w:pPr>
      <w:r>
        <w:rPr>
          <w:rFonts w:hint="eastAsia" w:ascii="宋体" w:hAnsi="宋体"/>
          <w:sz w:val="24"/>
        </w:rPr>
        <w:t>6.1磋商小组成员必须公平、公正评审，遵纪守法，客观、廉洁地履行职责。</w:t>
      </w:r>
    </w:p>
    <w:p w14:paraId="12A6E520">
      <w:pPr>
        <w:spacing w:line="360" w:lineRule="auto"/>
        <w:ind w:firstLine="480" w:firstLineChars="200"/>
        <w:rPr>
          <w:rFonts w:hint="eastAsia" w:ascii="宋体" w:hAnsi="宋体"/>
          <w:sz w:val="24"/>
        </w:rPr>
      </w:pPr>
      <w:r>
        <w:rPr>
          <w:rFonts w:hint="eastAsia" w:ascii="宋体" w:hAnsi="宋体"/>
          <w:sz w:val="24"/>
        </w:rPr>
        <w:t>6.2磋商小组成员在评审开始前，应关闭并上交随身携带的各种通信工具。</w:t>
      </w:r>
    </w:p>
    <w:p w14:paraId="27B0AE28">
      <w:pPr>
        <w:spacing w:line="360" w:lineRule="auto"/>
        <w:ind w:firstLine="480" w:firstLineChars="200"/>
        <w:rPr>
          <w:rFonts w:hint="eastAsia" w:ascii="宋体" w:hAnsi="宋体"/>
          <w:sz w:val="24"/>
        </w:rPr>
      </w:pPr>
      <w:r>
        <w:rPr>
          <w:rFonts w:hint="eastAsia" w:ascii="宋体" w:hAnsi="宋体"/>
          <w:sz w:val="24"/>
        </w:rPr>
        <w:t>6.3磋商小组成员在评审过程中，未经许可不得中途离开评审现场，不得迟到早退。</w:t>
      </w:r>
    </w:p>
    <w:p w14:paraId="4015EA7B">
      <w:pPr>
        <w:spacing w:line="360" w:lineRule="auto"/>
        <w:ind w:firstLine="480" w:firstLineChars="200"/>
        <w:rPr>
          <w:rFonts w:hint="eastAsia" w:ascii="宋体" w:hAnsi="宋体"/>
          <w:sz w:val="24"/>
        </w:rPr>
      </w:pPr>
      <w:r>
        <w:rPr>
          <w:rFonts w:hint="eastAsia" w:ascii="宋体" w:hAnsi="宋体"/>
          <w:sz w:val="24"/>
        </w:rPr>
        <w:t>6.4磋商小组成员和工作人员不得透露评审过程中的讨论情况和评审结果。</w:t>
      </w:r>
    </w:p>
    <w:p w14:paraId="23D14222">
      <w:pPr>
        <w:spacing w:line="360" w:lineRule="auto"/>
        <w:ind w:firstLine="480"/>
        <w:rPr>
          <w:rFonts w:hint="eastAsia" w:ascii="宋体" w:hAnsi="宋体"/>
          <w:sz w:val="24"/>
        </w:rPr>
      </w:pPr>
      <w:r>
        <w:rPr>
          <w:rFonts w:hint="eastAsia" w:ascii="宋体" w:hAnsi="宋体"/>
          <w:sz w:val="24"/>
        </w:rPr>
        <w:t>6.5评审时，磋商小组成员须按磋商文件规定的程序、条件和标准，对供应商响应文件的合规性、完整性和有效性进行审查、比较和评估，其中对供应商的资格条件、主要技术参数、报价和其他评审要素等，磋商小组成员应逐项进行审查、比较，不得漏评少评。如发现与磋商文件要求相偏离的，应对其偏离情形进行必要的核实，并在工作底稿中予以说明；如属于实质性偏离或符合无效响应文件的，可询问供应商，并允许供应商进行陈述申辩，但不允许其对偏离条款进行补充、修正或撤回。</w:t>
      </w:r>
    </w:p>
    <w:p w14:paraId="2DE2D6D6">
      <w:pPr>
        <w:spacing w:line="360" w:lineRule="auto"/>
        <w:ind w:firstLine="480" w:firstLineChars="200"/>
        <w:rPr>
          <w:rFonts w:hint="eastAsia" w:ascii="宋体" w:hAnsi="宋体"/>
          <w:sz w:val="24"/>
        </w:rPr>
      </w:pPr>
      <w:r>
        <w:rPr>
          <w:rFonts w:hint="eastAsia" w:ascii="宋体" w:hAnsi="宋体"/>
          <w:sz w:val="24"/>
        </w:rPr>
        <w:t>6.6采购人、采购代理机构不得向磋商小组的磋商小组成员作倾向性、误导性的解释或者说明。</w:t>
      </w:r>
    </w:p>
    <w:p w14:paraId="7258AA54">
      <w:pPr>
        <w:spacing w:line="360" w:lineRule="auto"/>
        <w:ind w:firstLine="480" w:firstLineChars="200"/>
        <w:rPr>
          <w:rFonts w:hint="eastAsia" w:ascii="宋体" w:hAnsi="宋体"/>
          <w:sz w:val="24"/>
        </w:rPr>
      </w:pPr>
      <w:r>
        <w:rPr>
          <w:rFonts w:hint="eastAsia" w:ascii="宋体" w:hAnsi="宋体"/>
          <w:sz w:val="24"/>
        </w:rPr>
        <w:t>6.7采购代理机构应当为磋商小组成员提供必要的评审条件和相应的评审工作底稿，并严格按规定程序组织磋商小组成员有步骤地进行项目评审，对各磋商小组成员的评审情况和评审意见进行合理性和合规性审查，对明显畸高、畸低的重大差异评审情况（如其总评分偏离平均分30%以上），提醒相关磋商小组成员进行复核或书面说明理由。</w:t>
      </w:r>
    </w:p>
    <w:p w14:paraId="4E8B4982">
      <w:pPr>
        <w:spacing w:line="360" w:lineRule="auto"/>
        <w:ind w:firstLine="480" w:firstLineChars="200"/>
        <w:rPr>
          <w:rFonts w:hint="eastAsia" w:ascii="宋体" w:hAnsi="宋体"/>
          <w:sz w:val="24"/>
        </w:rPr>
      </w:pPr>
      <w:r>
        <w:rPr>
          <w:rFonts w:hint="eastAsia" w:ascii="宋体" w:hAnsi="宋体"/>
          <w:sz w:val="24"/>
          <w:szCs w:val="21"/>
        </w:rPr>
        <w:t>6.8磋商小组成员在评审过程中不得将自己的观点强加给其他磋商小组成员，磋商小组成员应自主发表见解，对评审意见承担个人责任。</w:t>
      </w:r>
    </w:p>
    <w:p w14:paraId="508FD6C5">
      <w:pPr>
        <w:spacing w:line="360" w:lineRule="auto"/>
        <w:ind w:firstLine="480" w:firstLineChars="200"/>
        <w:rPr>
          <w:rFonts w:hint="eastAsia" w:ascii="宋体" w:hAnsi="宋体"/>
          <w:sz w:val="24"/>
        </w:rPr>
      </w:pPr>
      <w:r>
        <w:rPr>
          <w:rFonts w:hint="eastAsia" w:ascii="宋体" w:hAnsi="宋体"/>
          <w:sz w:val="24"/>
        </w:rPr>
        <w:t>6.9评审结束后，磋商小组应向采购代理机构提交项目评审报告。评审报告是采购人确定成交人的合法依据，磋商小组应当如实、客观地反映评审情况，按磋商文件的评审办法和细则的规定推荐成交候选人，说明推荐理由，并重点对成交候选人的技术、服务和价格等情况进行评价和比较。如排名第一的供应商报价为最高报价的，评审报告中必须对其报价的合理性等进行分析和特别说明。</w:t>
      </w:r>
    </w:p>
    <w:p w14:paraId="392F158A">
      <w:pPr>
        <w:spacing w:line="360" w:lineRule="auto"/>
        <w:ind w:firstLine="480" w:firstLineChars="200"/>
        <w:rPr>
          <w:rFonts w:hint="eastAsia" w:ascii="宋体" w:hAnsi="宋体"/>
          <w:sz w:val="24"/>
        </w:rPr>
      </w:pPr>
      <w:r>
        <w:rPr>
          <w:rFonts w:hint="eastAsia" w:ascii="宋体" w:hAnsi="宋体"/>
          <w:sz w:val="24"/>
        </w:rPr>
        <w:t>6.10磋商小组成员应当独立、客观、公正地提出评审意见，不得带有倾向性，不得影响其他磋商小组成员评审，并在评审报告上签字；如对评审报告有异议的，可在报告上签署不同意见，并说明理由，否则将视为同意。</w:t>
      </w:r>
    </w:p>
    <w:p w14:paraId="5E5A1E08">
      <w:pPr>
        <w:spacing w:line="360" w:lineRule="auto"/>
        <w:ind w:firstLine="480" w:firstLineChars="200"/>
        <w:rPr>
          <w:rFonts w:hint="eastAsia" w:ascii="宋体" w:hAnsi="宋体"/>
          <w:sz w:val="24"/>
        </w:rPr>
      </w:pPr>
      <w:r>
        <w:rPr>
          <w:rFonts w:hint="eastAsia" w:ascii="宋体" w:hAnsi="宋体"/>
          <w:sz w:val="24"/>
        </w:rPr>
        <w:t>6.11磋商小组成员应当遵守评审工作纪律，不得泄露评审文件、评审情况和评审中获悉的商业秘密。</w:t>
      </w:r>
    </w:p>
    <w:p w14:paraId="423EFD03">
      <w:pPr>
        <w:spacing w:line="360" w:lineRule="auto"/>
        <w:ind w:firstLine="480" w:firstLineChars="200"/>
        <w:rPr>
          <w:rFonts w:hint="eastAsia" w:ascii="宋体" w:hAnsi="宋体"/>
          <w:sz w:val="24"/>
        </w:rPr>
      </w:pPr>
      <w:r>
        <w:rPr>
          <w:rFonts w:hint="eastAsia" w:ascii="宋体" w:hAnsi="宋体"/>
          <w:sz w:val="24"/>
        </w:rPr>
        <w:t>磋商小组在评审过程中发现供应商有行贿、提供虚假材料或者串通等违法行为的，应当及时向财政部门报告。</w:t>
      </w:r>
    </w:p>
    <w:p w14:paraId="057D2958">
      <w:pPr>
        <w:spacing w:line="360" w:lineRule="auto"/>
        <w:ind w:firstLine="480" w:firstLineChars="200"/>
        <w:rPr>
          <w:rFonts w:hint="eastAsia" w:ascii="宋体" w:hAnsi="宋体"/>
          <w:sz w:val="24"/>
        </w:rPr>
      </w:pPr>
      <w:r>
        <w:rPr>
          <w:rFonts w:hint="eastAsia" w:ascii="宋体" w:hAnsi="宋体"/>
          <w:sz w:val="24"/>
        </w:rPr>
        <w:t>6.12磋商文件内容违反国家有关强制性规定的，磋商小组应当停止评审并向采购代理机构说明情况。</w:t>
      </w:r>
    </w:p>
    <w:p w14:paraId="2DA7D2DC">
      <w:pPr>
        <w:spacing w:line="360" w:lineRule="auto"/>
        <w:ind w:firstLine="480" w:firstLineChars="200"/>
        <w:rPr>
          <w:rFonts w:hint="eastAsia" w:ascii="宋体" w:hAnsi="宋体"/>
          <w:sz w:val="24"/>
        </w:rPr>
      </w:pPr>
      <w:r>
        <w:rPr>
          <w:rFonts w:hint="eastAsia" w:ascii="宋体" w:hAnsi="宋体"/>
          <w:sz w:val="24"/>
        </w:rPr>
        <w:t>6.13磋商小组成员应当配合采购代理机构答复供应商提出的质疑。</w:t>
      </w:r>
    </w:p>
    <w:p w14:paraId="1A511D1D">
      <w:pPr>
        <w:spacing w:line="360" w:lineRule="auto"/>
        <w:ind w:firstLine="480" w:firstLineChars="200"/>
        <w:rPr>
          <w:rFonts w:hint="eastAsia" w:ascii="宋体" w:hAnsi="宋体"/>
          <w:sz w:val="24"/>
        </w:rPr>
      </w:pPr>
      <w:r>
        <w:rPr>
          <w:rFonts w:hint="eastAsia" w:ascii="宋体" w:hAnsi="宋体"/>
          <w:sz w:val="24"/>
        </w:rPr>
        <w:t>6.14磋商小组成员应当配合财政部门的投诉处理工作。</w:t>
      </w:r>
    </w:p>
    <w:p w14:paraId="34D6972F">
      <w:pPr>
        <w:spacing w:line="360" w:lineRule="auto"/>
        <w:ind w:firstLine="480" w:firstLineChars="200"/>
        <w:rPr>
          <w:rFonts w:hint="eastAsia" w:ascii="宋体" w:hAnsi="宋体"/>
          <w:sz w:val="24"/>
        </w:rPr>
      </w:pPr>
      <w:r>
        <w:rPr>
          <w:rFonts w:hint="eastAsia" w:ascii="宋体" w:hAnsi="宋体"/>
          <w:sz w:val="24"/>
        </w:rPr>
        <w:t>6.15磋商小组成员有如下行为之一的，责令改正，给予警告，可以并处一千元以下的罚款：</w:t>
      </w:r>
    </w:p>
    <w:p w14:paraId="2772C203">
      <w:pPr>
        <w:spacing w:line="360" w:lineRule="auto"/>
        <w:ind w:firstLine="480" w:firstLineChars="200"/>
        <w:rPr>
          <w:rFonts w:hint="eastAsia" w:ascii="宋体" w:hAnsi="宋体"/>
          <w:sz w:val="24"/>
        </w:rPr>
      </w:pPr>
      <w:r>
        <w:rPr>
          <w:rFonts w:hint="eastAsia" w:ascii="宋体" w:hAnsi="宋体"/>
          <w:sz w:val="24"/>
        </w:rPr>
        <w:t>6.15.1明知应当回避而未主动回避的;</w:t>
      </w:r>
    </w:p>
    <w:p w14:paraId="7889C20E">
      <w:pPr>
        <w:spacing w:line="360" w:lineRule="auto"/>
        <w:ind w:firstLine="480" w:firstLineChars="200"/>
        <w:rPr>
          <w:rFonts w:hint="eastAsia" w:ascii="宋体" w:hAnsi="宋体"/>
          <w:sz w:val="24"/>
        </w:rPr>
      </w:pPr>
      <w:r>
        <w:rPr>
          <w:rFonts w:hint="eastAsia" w:ascii="宋体" w:hAnsi="宋体"/>
          <w:sz w:val="24"/>
        </w:rPr>
        <w:t>6.15.2在知道自己为磋商小组成员身份后至评审结束前的时段内私下接触供应商的;</w:t>
      </w:r>
    </w:p>
    <w:p w14:paraId="57E6928A">
      <w:pPr>
        <w:spacing w:line="360" w:lineRule="auto"/>
        <w:ind w:firstLine="480" w:firstLineChars="200"/>
        <w:rPr>
          <w:rFonts w:hint="eastAsia" w:ascii="宋体" w:hAnsi="宋体"/>
          <w:sz w:val="24"/>
        </w:rPr>
      </w:pPr>
      <w:r>
        <w:rPr>
          <w:rFonts w:hint="eastAsia" w:ascii="宋体" w:hAnsi="宋体"/>
          <w:sz w:val="24"/>
        </w:rPr>
        <w:t>6.15.3在评审过程中擅离职守，影响评审程序正常进行的;</w:t>
      </w:r>
    </w:p>
    <w:p w14:paraId="439090EC">
      <w:pPr>
        <w:spacing w:line="360" w:lineRule="auto"/>
        <w:ind w:firstLine="480" w:firstLineChars="200"/>
        <w:rPr>
          <w:rFonts w:hint="eastAsia" w:ascii="宋体" w:hAnsi="宋体"/>
          <w:sz w:val="24"/>
        </w:rPr>
      </w:pPr>
      <w:r>
        <w:rPr>
          <w:rFonts w:hint="eastAsia" w:ascii="宋体" w:hAnsi="宋体"/>
          <w:sz w:val="24"/>
        </w:rPr>
        <w:t>6.15.4在评审过程有明显不合理或者不正当倾向性的;</w:t>
      </w:r>
    </w:p>
    <w:p w14:paraId="1C1490F1">
      <w:pPr>
        <w:spacing w:line="360" w:lineRule="auto"/>
        <w:ind w:firstLine="480" w:firstLineChars="200"/>
        <w:rPr>
          <w:rFonts w:hint="eastAsia" w:ascii="宋体" w:hAnsi="宋体"/>
          <w:sz w:val="24"/>
        </w:rPr>
      </w:pPr>
      <w:r>
        <w:rPr>
          <w:rFonts w:hint="eastAsia" w:ascii="宋体" w:hAnsi="宋体"/>
          <w:sz w:val="24"/>
        </w:rPr>
        <w:t>6.15.5未按磋商文件规定的评审方法和标准进行评审的。</w:t>
      </w:r>
    </w:p>
    <w:p w14:paraId="5C0933E8">
      <w:pPr>
        <w:spacing w:line="360" w:lineRule="auto"/>
        <w:ind w:firstLine="480" w:firstLineChars="200"/>
        <w:rPr>
          <w:rFonts w:hint="eastAsia" w:ascii="宋体" w:hAnsi="宋体"/>
          <w:sz w:val="24"/>
        </w:rPr>
      </w:pPr>
      <w:r>
        <w:rPr>
          <w:rFonts w:hint="eastAsia" w:ascii="宋体" w:hAnsi="宋体"/>
          <w:sz w:val="24"/>
        </w:rPr>
        <w:t>6.15.6上述6.15.1至6.15.5行为影响成交结果的，成交结果无效。</w:t>
      </w:r>
    </w:p>
    <w:p w14:paraId="68193A9F">
      <w:pPr>
        <w:spacing w:line="360" w:lineRule="auto"/>
        <w:ind w:firstLine="480" w:firstLineChars="200"/>
        <w:rPr>
          <w:rFonts w:hint="eastAsia" w:ascii="宋体" w:hAnsi="宋体"/>
          <w:sz w:val="24"/>
        </w:rPr>
      </w:pPr>
      <w:r>
        <w:rPr>
          <w:rFonts w:hint="eastAsia" w:ascii="宋体" w:hAnsi="宋体"/>
          <w:sz w:val="24"/>
        </w:rPr>
        <w:t>6.16采购代理机构可对各磋商小组成员的专业技术水平和职业道德素质等情况进行评价，并可将评价意见在评审结束后2个工作日内反馈给财政部门，财政部门以此作为对磋商小组成员的考核管理依据。</w:t>
      </w:r>
    </w:p>
    <w:p w14:paraId="2AEAE2D2">
      <w:pPr>
        <w:spacing w:line="360" w:lineRule="auto"/>
        <w:ind w:firstLine="480" w:firstLineChars="200"/>
        <w:rPr>
          <w:rFonts w:hint="eastAsia" w:ascii="宋体" w:hAnsi="宋体"/>
          <w:sz w:val="24"/>
        </w:rPr>
      </w:pPr>
      <w:r>
        <w:rPr>
          <w:rFonts w:hint="eastAsia" w:ascii="宋体" w:hAnsi="宋体"/>
          <w:sz w:val="24"/>
        </w:rPr>
        <w:t>6.17政府采购磋商小组成员未按照磋商文件规定的评审程序、评审方法和评审标准进行独立评审或者泄露评审文件、评审情况的，由财政部门给予警告，并处2000元以上2万元以下的罚款；影响成交、成交结果的，处2万元以上5万元以下的罚款，禁止其参加政府采购评审活动。</w:t>
      </w:r>
    </w:p>
    <w:p w14:paraId="100C4BD6">
      <w:pPr>
        <w:spacing w:line="360" w:lineRule="auto"/>
        <w:ind w:firstLine="480" w:firstLineChars="200"/>
        <w:rPr>
          <w:rFonts w:hint="eastAsia" w:ascii="宋体" w:hAnsi="宋体"/>
          <w:sz w:val="24"/>
        </w:rPr>
      </w:pPr>
      <w:r>
        <w:rPr>
          <w:rFonts w:hint="eastAsia" w:ascii="宋体" w:hAnsi="宋体"/>
          <w:sz w:val="24"/>
        </w:rPr>
        <w:t>政府采购磋商小组成员与供应商存在利害关系未回避的，处2万元以上5万元以下的罚款，禁止其参加政府采购评审活动。</w:t>
      </w:r>
    </w:p>
    <w:p w14:paraId="42C61766">
      <w:pPr>
        <w:spacing w:line="360" w:lineRule="auto"/>
        <w:ind w:firstLine="480" w:firstLineChars="200"/>
        <w:rPr>
          <w:rFonts w:hint="eastAsia" w:ascii="宋体" w:hAnsi="宋体"/>
          <w:sz w:val="24"/>
        </w:rPr>
      </w:pPr>
      <w:r>
        <w:rPr>
          <w:rFonts w:hint="eastAsia" w:ascii="宋体" w:hAnsi="宋体"/>
          <w:sz w:val="24"/>
        </w:rPr>
        <w:t>政府采购磋商小组成员收受采购人、采购代理机构、供应商贿赂或者获取其他不正当利益，构成犯罪的，依法追究刑事责任；尚不构成犯罪的，处2万元以上5万元以下的罚款，禁止其参加政府采购评审活动。</w:t>
      </w:r>
    </w:p>
    <w:p w14:paraId="6B34E88F">
      <w:pPr>
        <w:spacing w:line="360" w:lineRule="auto"/>
        <w:ind w:firstLine="480" w:firstLineChars="200"/>
        <w:rPr>
          <w:rFonts w:hint="eastAsia" w:ascii="宋体" w:hAnsi="宋体"/>
        </w:rPr>
      </w:pPr>
      <w:r>
        <w:rPr>
          <w:rFonts w:hint="eastAsia" w:ascii="宋体" w:hAnsi="宋体"/>
          <w:sz w:val="24"/>
        </w:rPr>
        <w:t>政府采购磋商小组成员有上述违法行为的，其评审意见无效，不得获取评审费；有违法所得的，没收违法所得；给他人造成损失的，依法承担民事责任。</w:t>
      </w:r>
    </w:p>
    <w:sectPr>
      <w:pgSz w:w="11906" w:h="16838"/>
      <w:pgMar w:top="1588" w:right="1304" w:bottom="1361" w:left="1361" w:header="851" w:footer="992" w:gutter="0"/>
      <w:pgBorders>
        <w:top w:val="none" w:sz="0" w:space="0"/>
        <w:left w:val="none" w:sz="0" w:space="0"/>
        <w:bottom w:val="none" w:sz="0" w:space="0"/>
        <w:right w:val="none" w:sz="0" w:space="0"/>
      </w:pgBorders>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PingFang SC Regular">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Arial Unicode MS">
    <w:altName w:val="宋体"/>
    <w:panose1 w:val="020B0604020202020204"/>
    <w:charset w:val="86"/>
    <w:family w:val="auto"/>
    <w:pitch w:val="default"/>
    <w:sig w:usb0="00000000" w:usb1="00000000" w:usb2="0000003F" w:usb3="00000000" w:csb0="603F01FF" w:csb1="FFFF0000"/>
  </w:font>
  <w:font w:name="新宋体">
    <w:panose1 w:val="02010609030101010101"/>
    <w:charset w:val="86"/>
    <w:family w:val="modern"/>
    <w:pitch w:val="default"/>
    <w:sig w:usb0="000002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9814F4">
    <w:pPr>
      <w:pStyle w:val="23"/>
    </w:pPr>
    <w:r>
      <w:rPr>
        <w:rFonts w:hint="eastAsia"/>
      </w:rPr>
      <w:t>卓正招标咨询（丽水）有限公司               电话：（0578）2062916          传真：（0578）2062917</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9CE9B7">
    <w:pPr>
      <w:pStyle w:val="2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C63CAD">
    <w:pPr>
      <w:jc w:val="center"/>
      <w:rPr>
        <w:kern w:val="1"/>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284DBD">
    <w:pPr>
      <w:pStyle w:val="23"/>
      <w:ind w:firstLine="105"/>
      <w:rPr>
        <w:sz w:val="21"/>
        <w:szCs w:val="20"/>
      </w:rPr>
    </w:pPr>
    <w:r>
      <w:rPr>
        <w:rFonts w:hint="eastAsia"/>
        <w:sz w:val="21"/>
        <w:szCs w:val="20"/>
      </w:rPr>
      <w:t>卓正招标咨询（丽水）有限公司       电话：（0578）206291</w:t>
    </w:r>
    <w:r>
      <w:rPr>
        <w:rFonts w:hint="eastAsia"/>
        <w:sz w:val="21"/>
        <w:szCs w:val="20"/>
        <w:lang w:val="en-US" w:eastAsia="zh-CN"/>
      </w:rPr>
      <w:t>5</w:t>
    </w:r>
    <w:r>
      <w:rPr>
        <w:rFonts w:hint="eastAsia"/>
        <w:sz w:val="21"/>
        <w:szCs w:val="20"/>
      </w:rPr>
      <w:t xml:space="preserve">      传真：（0578）2062917</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2CFC27">
    <w:pPr>
      <w:pStyle w:val="25"/>
      <w:pBdr>
        <w:bottom w:val="none" w:color="auto" w:sz="0" w:space="1"/>
      </w:pBdr>
      <w:jc w:val="left"/>
    </w:pPr>
    <w:r>
      <w:rPr>
        <w:rFonts w:hint="eastAsia"/>
        <w:szCs w:val="18"/>
        <w:u w:val="single"/>
      </w:rPr>
      <w:t xml:space="preserve">莲都区太平乡地质灾害风险调查评价项目（电子交易）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A768AB">
    <w:pPr>
      <w:pStyle w:val="2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C8BF14">
    <w:pPr>
      <w:jc w:val="center"/>
      <w:rPr>
        <w:kern w:val="1"/>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CFC8ED">
    <w:pPr>
      <w:pStyle w:val="25"/>
      <w:pBdr>
        <w:bottom w:val="single" w:color="auto" w:sz="4" w:space="1"/>
      </w:pBdr>
      <w:jc w:val="left"/>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A3A91C1">
                          <w:pPr>
                            <w:pStyle w:val="25"/>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A3A91C1">
                    <w:pPr>
                      <w:pStyle w:val="25"/>
                    </w:pPr>
                    <w:r>
                      <w:fldChar w:fldCharType="begin"/>
                    </w:r>
                    <w:r>
                      <w:instrText xml:space="preserve"> PAGE  \* MERGEFORMAT </w:instrText>
                    </w:r>
                    <w:r>
                      <w:fldChar w:fldCharType="separate"/>
                    </w:r>
                    <w:r>
                      <w:t>2</w:t>
                    </w:r>
                    <w:r>
                      <w:fldChar w:fldCharType="end"/>
                    </w:r>
                  </w:p>
                </w:txbxContent>
              </v:textbox>
            </v:shape>
          </w:pict>
        </mc:Fallback>
      </mc:AlternateContent>
    </w:r>
    <w:r>
      <w:rPr>
        <w:rFonts w:hint="eastAsia"/>
        <w:sz w:val="18"/>
        <w:lang w:eastAsia="zh-CN"/>
      </w:rPr>
      <w:t>丽水市经常化创建全国县级文明城市第三方无感评估项目</w:t>
    </w:r>
    <w:r>
      <w:rPr>
        <w:rFonts w:hint="eastAsia"/>
      </w:rPr>
      <w:t>（电子交易）</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CD6869"/>
    <w:multiLevelType w:val="singleLevel"/>
    <w:tmpl w:val="92CD6869"/>
    <w:lvl w:ilvl="0" w:tentative="0">
      <w:start w:val="6"/>
      <w:numFmt w:val="chineseCounting"/>
      <w:suff w:val="nothing"/>
      <w:lvlText w:val="%1、"/>
      <w:lvlJc w:val="left"/>
      <w:rPr>
        <w:rFonts w:hint="eastAsia"/>
      </w:rPr>
    </w:lvl>
  </w:abstractNum>
  <w:abstractNum w:abstractNumId="1">
    <w:nsid w:val="A14ECABD"/>
    <w:multiLevelType w:val="singleLevel"/>
    <w:tmpl w:val="A14ECABD"/>
    <w:lvl w:ilvl="0" w:tentative="0">
      <w:start w:val="7"/>
      <w:numFmt w:val="chineseCounting"/>
      <w:suff w:val="nothing"/>
      <w:lvlText w:val="%1、"/>
      <w:lvlJc w:val="left"/>
      <w:rPr>
        <w:rFonts w:hint="eastAsia"/>
      </w:rPr>
    </w:lvl>
  </w:abstractNum>
  <w:abstractNum w:abstractNumId="2">
    <w:nsid w:val="FFBAAB5B"/>
    <w:multiLevelType w:val="singleLevel"/>
    <w:tmpl w:val="FFBAAB5B"/>
    <w:lvl w:ilvl="0" w:tentative="0">
      <w:start w:val="11"/>
      <w:numFmt w:val="decimal"/>
      <w:lvlText w:val="%1."/>
      <w:lvlJc w:val="left"/>
      <w:pPr>
        <w:tabs>
          <w:tab w:val="left" w:pos="312"/>
        </w:tabs>
      </w:pPr>
    </w:lvl>
  </w:abstractNum>
  <w:abstractNum w:abstractNumId="3">
    <w:nsid w:val="011D1C0F"/>
    <w:multiLevelType w:val="singleLevel"/>
    <w:tmpl w:val="011D1C0F"/>
    <w:lvl w:ilvl="0" w:tentative="0">
      <w:start w:val="2"/>
      <w:numFmt w:val="decimal"/>
      <w:suff w:val="space"/>
      <w:lvlText w:val="%1."/>
      <w:lvlJc w:val="left"/>
    </w:lvl>
  </w:abstractNum>
  <w:abstractNum w:abstractNumId="4">
    <w:nsid w:val="49279404"/>
    <w:multiLevelType w:val="singleLevel"/>
    <w:tmpl w:val="49279404"/>
    <w:lvl w:ilvl="0" w:tentative="0">
      <w:start w:val="3"/>
      <w:numFmt w:val="chineseCounting"/>
      <w:suff w:val="nothing"/>
      <w:lvlText w:val="%1、"/>
      <w:lvlJc w:val="left"/>
      <w:rPr>
        <w:rFonts w:hint="eastAsia"/>
      </w:rPr>
    </w:lvl>
  </w:abstractNum>
  <w:num w:numId="1">
    <w:abstractNumId w:val="1"/>
  </w:num>
  <w:num w:numId="2">
    <w:abstractNumId w:val="4"/>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I5MTZjMTBkOWFmNDUxMTc0Y2ZmNTgyOGI0YjI4MTUifQ=="/>
  </w:docVars>
  <w:rsids>
    <w:rsidRoot w:val="00172A27"/>
    <w:rsid w:val="000006A0"/>
    <w:rsid w:val="00000960"/>
    <w:rsid w:val="00000ABA"/>
    <w:rsid w:val="00001180"/>
    <w:rsid w:val="00001B3E"/>
    <w:rsid w:val="00002807"/>
    <w:rsid w:val="00003025"/>
    <w:rsid w:val="00003CF2"/>
    <w:rsid w:val="00003D32"/>
    <w:rsid w:val="00004D5A"/>
    <w:rsid w:val="000055D9"/>
    <w:rsid w:val="00005AAE"/>
    <w:rsid w:val="000066A8"/>
    <w:rsid w:val="00006D41"/>
    <w:rsid w:val="00007E1E"/>
    <w:rsid w:val="00007E29"/>
    <w:rsid w:val="00010AD9"/>
    <w:rsid w:val="00011BB6"/>
    <w:rsid w:val="0001207A"/>
    <w:rsid w:val="00013693"/>
    <w:rsid w:val="0001457F"/>
    <w:rsid w:val="0001495C"/>
    <w:rsid w:val="0001549A"/>
    <w:rsid w:val="00015556"/>
    <w:rsid w:val="000157BC"/>
    <w:rsid w:val="0001631C"/>
    <w:rsid w:val="0001640D"/>
    <w:rsid w:val="00021DF6"/>
    <w:rsid w:val="00022415"/>
    <w:rsid w:val="000261B1"/>
    <w:rsid w:val="00026F2D"/>
    <w:rsid w:val="00027561"/>
    <w:rsid w:val="000304BB"/>
    <w:rsid w:val="000305B0"/>
    <w:rsid w:val="00030919"/>
    <w:rsid w:val="000329E0"/>
    <w:rsid w:val="00034DDF"/>
    <w:rsid w:val="00035E4F"/>
    <w:rsid w:val="0003611B"/>
    <w:rsid w:val="000365EA"/>
    <w:rsid w:val="00036B64"/>
    <w:rsid w:val="000424C3"/>
    <w:rsid w:val="00044AD6"/>
    <w:rsid w:val="000468B6"/>
    <w:rsid w:val="00046D0B"/>
    <w:rsid w:val="0005016F"/>
    <w:rsid w:val="0005019D"/>
    <w:rsid w:val="000504B5"/>
    <w:rsid w:val="000517F2"/>
    <w:rsid w:val="00051D38"/>
    <w:rsid w:val="00052788"/>
    <w:rsid w:val="000544BA"/>
    <w:rsid w:val="00055E25"/>
    <w:rsid w:val="00055FD6"/>
    <w:rsid w:val="00056B93"/>
    <w:rsid w:val="00057E7C"/>
    <w:rsid w:val="00060C3A"/>
    <w:rsid w:val="00060C51"/>
    <w:rsid w:val="00063B9D"/>
    <w:rsid w:val="00064D60"/>
    <w:rsid w:val="00065037"/>
    <w:rsid w:val="00066E6E"/>
    <w:rsid w:val="00067470"/>
    <w:rsid w:val="000678B1"/>
    <w:rsid w:val="00071625"/>
    <w:rsid w:val="0007236E"/>
    <w:rsid w:val="00072701"/>
    <w:rsid w:val="00072CD3"/>
    <w:rsid w:val="00074C0E"/>
    <w:rsid w:val="00074D47"/>
    <w:rsid w:val="00074F50"/>
    <w:rsid w:val="00075F89"/>
    <w:rsid w:val="000766EF"/>
    <w:rsid w:val="0008028A"/>
    <w:rsid w:val="000814D1"/>
    <w:rsid w:val="00082925"/>
    <w:rsid w:val="00083959"/>
    <w:rsid w:val="00083968"/>
    <w:rsid w:val="00084717"/>
    <w:rsid w:val="00084D38"/>
    <w:rsid w:val="00085C53"/>
    <w:rsid w:val="0008661A"/>
    <w:rsid w:val="0008730F"/>
    <w:rsid w:val="00087577"/>
    <w:rsid w:val="00087E3C"/>
    <w:rsid w:val="00087F67"/>
    <w:rsid w:val="0009059E"/>
    <w:rsid w:val="00091090"/>
    <w:rsid w:val="0009149C"/>
    <w:rsid w:val="000919C3"/>
    <w:rsid w:val="00091C5D"/>
    <w:rsid w:val="000949E7"/>
    <w:rsid w:val="000955A1"/>
    <w:rsid w:val="00095843"/>
    <w:rsid w:val="000959D8"/>
    <w:rsid w:val="00097B13"/>
    <w:rsid w:val="000A02FA"/>
    <w:rsid w:val="000A0706"/>
    <w:rsid w:val="000A2096"/>
    <w:rsid w:val="000A23EF"/>
    <w:rsid w:val="000A245A"/>
    <w:rsid w:val="000A2748"/>
    <w:rsid w:val="000A2976"/>
    <w:rsid w:val="000A2BCD"/>
    <w:rsid w:val="000A2D1B"/>
    <w:rsid w:val="000A321C"/>
    <w:rsid w:val="000A32FE"/>
    <w:rsid w:val="000A35BE"/>
    <w:rsid w:val="000A3F6F"/>
    <w:rsid w:val="000A46EE"/>
    <w:rsid w:val="000A4BD5"/>
    <w:rsid w:val="000A4C69"/>
    <w:rsid w:val="000A4C8C"/>
    <w:rsid w:val="000A4CC6"/>
    <w:rsid w:val="000A500B"/>
    <w:rsid w:val="000A53D7"/>
    <w:rsid w:val="000A5B10"/>
    <w:rsid w:val="000A5E37"/>
    <w:rsid w:val="000A6993"/>
    <w:rsid w:val="000A69FE"/>
    <w:rsid w:val="000A73CE"/>
    <w:rsid w:val="000A7528"/>
    <w:rsid w:val="000A77CC"/>
    <w:rsid w:val="000A77F6"/>
    <w:rsid w:val="000B1AA4"/>
    <w:rsid w:val="000B30AF"/>
    <w:rsid w:val="000B4E8E"/>
    <w:rsid w:val="000B5525"/>
    <w:rsid w:val="000B5888"/>
    <w:rsid w:val="000B6FFC"/>
    <w:rsid w:val="000C03D9"/>
    <w:rsid w:val="000C1EB4"/>
    <w:rsid w:val="000C28DA"/>
    <w:rsid w:val="000C319C"/>
    <w:rsid w:val="000C3D80"/>
    <w:rsid w:val="000C4495"/>
    <w:rsid w:val="000C61C8"/>
    <w:rsid w:val="000D0795"/>
    <w:rsid w:val="000D1DE6"/>
    <w:rsid w:val="000D20CD"/>
    <w:rsid w:val="000D2D8A"/>
    <w:rsid w:val="000D4970"/>
    <w:rsid w:val="000D5D78"/>
    <w:rsid w:val="000D7506"/>
    <w:rsid w:val="000D7564"/>
    <w:rsid w:val="000E01BE"/>
    <w:rsid w:val="000E0D34"/>
    <w:rsid w:val="000E0EC4"/>
    <w:rsid w:val="000E14A8"/>
    <w:rsid w:val="000E251E"/>
    <w:rsid w:val="000E2961"/>
    <w:rsid w:val="000E3AD0"/>
    <w:rsid w:val="000E4A82"/>
    <w:rsid w:val="000E5BE7"/>
    <w:rsid w:val="000E6B68"/>
    <w:rsid w:val="000E6C4B"/>
    <w:rsid w:val="000E7A76"/>
    <w:rsid w:val="000F1267"/>
    <w:rsid w:val="000F1464"/>
    <w:rsid w:val="000F2773"/>
    <w:rsid w:val="000F2850"/>
    <w:rsid w:val="000F30C7"/>
    <w:rsid w:val="000F3433"/>
    <w:rsid w:val="000F390B"/>
    <w:rsid w:val="000F39E5"/>
    <w:rsid w:val="000F3A7E"/>
    <w:rsid w:val="000F3C6A"/>
    <w:rsid w:val="000F534A"/>
    <w:rsid w:val="000F5657"/>
    <w:rsid w:val="000F6969"/>
    <w:rsid w:val="000F6CDB"/>
    <w:rsid w:val="000F7D4F"/>
    <w:rsid w:val="0010022F"/>
    <w:rsid w:val="00100504"/>
    <w:rsid w:val="001039F7"/>
    <w:rsid w:val="00103CA4"/>
    <w:rsid w:val="00104180"/>
    <w:rsid w:val="00104CA8"/>
    <w:rsid w:val="00105741"/>
    <w:rsid w:val="00105CE9"/>
    <w:rsid w:val="00106817"/>
    <w:rsid w:val="00106B51"/>
    <w:rsid w:val="00106BAE"/>
    <w:rsid w:val="00107A6F"/>
    <w:rsid w:val="001107EB"/>
    <w:rsid w:val="00110B8B"/>
    <w:rsid w:val="001110AF"/>
    <w:rsid w:val="001110CA"/>
    <w:rsid w:val="0011114A"/>
    <w:rsid w:val="00111157"/>
    <w:rsid w:val="00112848"/>
    <w:rsid w:val="001145BA"/>
    <w:rsid w:val="00114846"/>
    <w:rsid w:val="00114F8A"/>
    <w:rsid w:val="0011547E"/>
    <w:rsid w:val="0011799A"/>
    <w:rsid w:val="00117C17"/>
    <w:rsid w:val="00120B40"/>
    <w:rsid w:val="001214A7"/>
    <w:rsid w:val="00121930"/>
    <w:rsid w:val="0012257D"/>
    <w:rsid w:val="0012297F"/>
    <w:rsid w:val="00122DE7"/>
    <w:rsid w:val="00123143"/>
    <w:rsid w:val="001244EF"/>
    <w:rsid w:val="0012460C"/>
    <w:rsid w:val="001249CF"/>
    <w:rsid w:val="00125168"/>
    <w:rsid w:val="001255C7"/>
    <w:rsid w:val="00125E4E"/>
    <w:rsid w:val="00125EC5"/>
    <w:rsid w:val="0012644E"/>
    <w:rsid w:val="00127CBE"/>
    <w:rsid w:val="00127FDF"/>
    <w:rsid w:val="00130B69"/>
    <w:rsid w:val="00130E31"/>
    <w:rsid w:val="00131177"/>
    <w:rsid w:val="00131923"/>
    <w:rsid w:val="00132156"/>
    <w:rsid w:val="00132186"/>
    <w:rsid w:val="0013243C"/>
    <w:rsid w:val="001327C8"/>
    <w:rsid w:val="00133720"/>
    <w:rsid w:val="001345DC"/>
    <w:rsid w:val="0013471D"/>
    <w:rsid w:val="00134B56"/>
    <w:rsid w:val="00134D95"/>
    <w:rsid w:val="0013531F"/>
    <w:rsid w:val="00135C2F"/>
    <w:rsid w:val="00136638"/>
    <w:rsid w:val="00136C08"/>
    <w:rsid w:val="00136E98"/>
    <w:rsid w:val="001375BA"/>
    <w:rsid w:val="001375CE"/>
    <w:rsid w:val="001409EE"/>
    <w:rsid w:val="00140E47"/>
    <w:rsid w:val="00140EB1"/>
    <w:rsid w:val="00141371"/>
    <w:rsid w:val="00141838"/>
    <w:rsid w:val="00142734"/>
    <w:rsid w:val="00142A08"/>
    <w:rsid w:val="00142EF9"/>
    <w:rsid w:val="00143005"/>
    <w:rsid w:val="001431D1"/>
    <w:rsid w:val="00143495"/>
    <w:rsid w:val="00144798"/>
    <w:rsid w:val="0014627F"/>
    <w:rsid w:val="0014666D"/>
    <w:rsid w:val="001469EC"/>
    <w:rsid w:val="001472B0"/>
    <w:rsid w:val="00147848"/>
    <w:rsid w:val="00152C23"/>
    <w:rsid w:val="00152D63"/>
    <w:rsid w:val="00153169"/>
    <w:rsid w:val="0015434A"/>
    <w:rsid w:val="001544FE"/>
    <w:rsid w:val="00154AA7"/>
    <w:rsid w:val="00154DC8"/>
    <w:rsid w:val="0015585D"/>
    <w:rsid w:val="00156374"/>
    <w:rsid w:val="0015662A"/>
    <w:rsid w:val="0015745D"/>
    <w:rsid w:val="001609B4"/>
    <w:rsid w:val="00162CEC"/>
    <w:rsid w:val="0016392E"/>
    <w:rsid w:val="00163C0A"/>
    <w:rsid w:val="00163E59"/>
    <w:rsid w:val="00164A6C"/>
    <w:rsid w:val="00165A80"/>
    <w:rsid w:val="00165D1C"/>
    <w:rsid w:val="001663DC"/>
    <w:rsid w:val="00166AF8"/>
    <w:rsid w:val="001679D5"/>
    <w:rsid w:val="00171B4F"/>
    <w:rsid w:val="0017273C"/>
    <w:rsid w:val="00172A27"/>
    <w:rsid w:val="00173884"/>
    <w:rsid w:val="00173D2D"/>
    <w:rsid w:val="00174C30"/>
    <w:rsid w:val="00174EAB"/>
    <w:rsid w:val="00175C99"/>
    <w:rsid w:val="001770BA"/>
    <w:rsid w:val="00181D08"/>
    <w:rsid w:val="001823F4"/>
    <w:rsid w:val="00183262"/>
    <w:rsid w:val="001833FB"/>
    <w:rsid w:val="00183BCE"/>
    <w:rsid w:val="00184167"/>
    <w:rsid w:val="00184318"/>
    <w:rsid w:val="0018459E"/>
    <w:rsid w:val="00185225"/>
    <w:rsid w:val="0018538A"/>
    <w:rsid w:val="00186056"/>
    <w:rsid w:val="0018652E"/>
    <w:rsid w:val="00186C07"/>
    <w:rsid w:val="00186D4C"/>
    <w:rsid w:val="001872C7"/>
    <w:rsid w:val="0019068C"/>
    <w:rsid w:val="00191430"/>
    <w:rsid w:val="00193DE0"/>
    <w:rsid w:val="00194214"/>
    <w:rsid w:val="00194ED9"/>
    <w:rsid w:val="00195182"/>
    <w:rsid w:val="00195AD4"/>
    <w:rsid w:val="00196122"/>
    <w:rsid w:val="001964FF"/>
    <w:rsid w:val="0019677C"/>
    <w:rsid w:val="00196EE8"/>
    <w:rsid w:val="0019740B"/>
    <w:rsid w:val="0019754F"/>
    <w:rsid w:val="00197650"/>
    <w:rsid w:val="0019765B"/>
    <w:rsid w:val="00197B8A"/>
    <w:rsid w:val="001A3417"/>
    <w:rsid w:val="001A3AD1"/>
    <w:rsid w:val="001A3D39"/>
    <w:rsid w:val="001A3FB9"/>
    <w:rsid w:val="001A5BAC"/>
    <w:rsid w:val="001A5DA7"/>
    <w:rsid w:val="001A735D"/>
    <w:rsid w:val="001B0073"/>
    <w:rsid w:val="001B2946"/>
    <w:rsid w:val="001B3638"/>
    <w:rsid w:val="001B4306"/>
    <w:rsid w:val="001B4D23"/>
    <w:rsid w:val="001B56F0"/>
    <w:rsid w:val="001B5BE9"/>
    <w:rsid w:val="001B60B5"/>
    <w:rsid w:val="001C0B29"/>
    <w:rsid w:val="001C1FD9"/>
    <w:rsid w:val="001C43BA"/>
    <w:rsid w:val="001C4856"/>
    <w:rsid w:val="001C4A0E"/>
    <w:rsid w:val="001C4DED"/>
    <w:rsid w:val="001C50A0"/>
    <w:rsid w:val="001C5523"/>
    <w:rsid w:val="001C6A10"/>
    <w:rsid w:val="001D1104"/>
    <w:rsid w:val="001D1D98"/>
    <w:rsid w:val="001D1FD4"/>
    <w:rsid w:val="001D3FF8"/>
    <w:rsid w:val="001D51F1"/>
    <w:rsid w:val="001D659F"/>
    <w:rsid w:val="001D7912"/>
    <w:rsid w:val="001E03EB"/>
    <w:rsid w:val="001E24EA"/>
    <w:rsid w:val="001E2B0F"/>
    <w:rsid w:val="001E4ECC"/>
    <w:rsid w:val="001E5417"/>
    <w:rsid w:val="001E552C"/>
    <w:rsid w:val="001E5546"/>
    <w:rsid w:val="001E57FF"/>
    <w:rsid w:val="001E58B8"/>
    <w:rsid w:val="001E61D6"/>
    <w:rsid w:val="001E6CF8"/>
    <w:rsid w:val="001E6D98"/>
    <w:rsid w:val="001F0225"/>
    <w:rsid w:val="001F0A8A"/>
    <w:rsid w:val="001F0E54"/>
    <w:rsid w:val="001F1B00"/>
    <w:rsid w:val="001F1BD5"/>
    <w:rsid w:val="001F1D89"/>
    <w:rsid w:val="001F2250"/>
    <w:rsid w:val="001F2A5A"/>
    <w:rsid w:val="001F42E6"/>
    <w:rsid w:val="001F46EF"/>
    <w:rsid w:val="001F4876"/>
    <w:rsid w:val="001F4DAB"/>
    <w:rsid w:val="001F6175"/>
    <w:rsid w:val="001F66EB"/>
    <w:rsid w:val="001F7678"/>
    <w:rsid w:val="001F7B4B"/>
    <w:rsid w:val="001F7C96"/>
    <w:rsid w:val="00200293"/>
    <w:rsid w:val="002005FA"/>
    <w:rsid w:val="00200915"/>
    <w:rsid w:val="00200E1F"/>
    <w:rsid w:val="00201323"/>
    <w:rsid w:val="0020184D"/>
    <w:rsid w:val="0020277F"/>
    <w:rsid w:val="0020286C"/>
    <w:rsid w:val="00202A58"/>
    <w:rsid w:val="0020350B"/>
    <w:rsid w:val="00205302"/>
    <w:rsid w:val="00205AB1"/>
    <w:rsid w:val="00206455"/>
    <w:rsid w:val="0020729F"/>
    <w:rsid w:val="00207648"/>
    <w:rsid w:val="002077B2"/>
    <w:rsid w:val="00210C43"/>
    <w:rsid w:val="002115F5"/>
    <w:rsid w:val="00212604"/>
    <w:rsid w:val="00213C56"/>
    <w:rsid w:val="00213CD3"/>
    <w:rsid w:val="002142DB"/>
    <w:rsid w:val="002151DF"/>
    <w:rsid w:val="002157B7"/>
    <w:rsid w:val="00215832"/>
    <w:rsid w:val="00216222"/>
    <w:rsid w:val="0021636B"/>
    <w:rsid w:val="0021687E"/>
    <w:rsid w:val="00216BCD"/>
    <w:rsid w:val="0021758A"/>
    <w:rsid w:val="00217AE6"/>
    <w:rsid w:val="00220101"/>
    <w:rsid w:val="00220C14"/>
    <w:rsid w:val="00220E57"/>
    <w:rsid w:val="00221209"/>
    <w:rsid w:val="00221F89"/>
    <w:rsid w:val="00223470"/>
    <w:rsid w:val="00223E50"/>
    <w:rsid w:val="0022404D"/>
    <w:rsid w:val="00224E33"/>
    <w:rsid w:val="00225024"/>
    <w:rsid w:val="002250B9"/>
    <w:rsid w:val="00225B1A"/>
    <w:rsid w:val="00226076"/>
    <w:rsid w:val="00226B5E"/>
    <w:rsid w:val="00226C80"/>
    <w:rsid w:val="00226E42"/>
    <w:rsid w:val="00227044"/>
    <w:rsid w:val="002279F7"/>
    <w:rsid w:val="00230A57"/>
    <w:rsid w:val="00232DB8"/>
    <w:rsid w:val="00233553"/>
    <w:rsid w:val="002337E9"/>
    <w:rsid w:val="00234775"/>
    <w:rsid w:val="00235BFC"/>
    <w:rsid w:val="00236AF0"/>
    <w:rsid w:val="0023702D"/>
    <w:rsid w:val="00237460"/>
    <w:rsid w:val="00240153"/>
    <w:rsid w:val="00241C5F"/>
    <w:rsid w:val="0024394F"/>
    <w:rsid w:val="0024560C"/>
    <w:rsid w:val="00246956"/>
    <w:rsid w:val="00247DC5"/>
    <w:rsid w:val="00247E1B"/>
    <w:rsid w:val="00247E6E"/>
    <w:rsid w:val="00250246"/>
    <w:rsid w:val="0025146E"/>
    <w:rsid w:val="00252D9F"/>
    <w:rsid w:val="00254B8C"/>
    <w:rsid w:val="00255181"/>
    <w:rsid w:val="00255868"/>
    <w:rsid w:val="0025592C"/>
    <w:rsid w:val="00255AEA"/>
    <w:rsid w:val="0025644A"/>
    <w:rsid w:val="00256CEB"/>
    <w:rsid w:val="0025766A"/>
    <w:rsid w:val="0025794E"/>
    <w:rsid w:val="00257A48"/>
    <w:rsid w:val="00257D2E"/>
    <w:rsid w:val="00257FA4"/>
    <w:rsid w:val="00260B9A"/>
    <w:rsid w:val="0026144F"/>
    <w:rsid w:val="0026149F"/>
    <w:rsid w:val="00261CC8"/>
    <w:rsid w:val="00261D53"/>
    <w:rsid w:val="002630C1"/>
    <w:rsid w:val="002633D4"/>
    <w:rsid w:val="00263ED9"/>
    <w:rsid w:val="0026422A"/>
    <w:rsid w:val="002646AC"/>
    <w:rsid w:val="00264CA9"/>
    <w:rsid w:val="002661AF"/>
    <w:rsid w:val="00266386"/>
    <w:rsid w:val="002663EB"/>
    <w:rsid w:val="00266FAA"/>
    <w:rsid w:val="002674C1"/>
    <w:rsid w:val="00267FB8"/>
    <w:rsid w:val="002710D5"/>
    <w:rsid w:val="002710E3"/>
    <w:rsid w:val="00271C2A"/>
    <w:rsid w:val="002728E5"/>
    <w:rsid w:val="002738B9"/>
    <w:rsid w:val="00273A02"/>
    <w:rsid w:val="00273B34"/>
    <w:rsid w:val="0027431F"/>
    <w:rsid w:val="002750A2"/>
    <w:rsid w:val="00275997"/>
    <w:rsid w:val="00276EE0"/>
    <w:rsid w:val="00277278"/>
    <w:rsid w:val="00277DB6"/>
    <w:rsid w:val="0028001F"/>
    <w:rsid w:val="002805C6"/>
    <w:rsid w:val="002811BA"/>
    <w:rsid w:val="0028130A"/>
    <w:rsid w:val="002814C5"/>
    <w:rsid w:val="00281D5A"/>
    <w:rsid w:val="002820E8"/>
    <w:rsid w:val="00282FEC"/>
    <w:rsid w:val="00285298"/>
    <w:rsid w:val="002853AC"/>
    <w:rsid w:val="002858A5"/>
    <w:rsid w:val="0028670C"/>
    <w:rsid w:val="0028675E"/>
    <w:rsid w:val="00286997"/>
    <w:rsid w:val="00287C5A"/>
    <w:rsid w:val="002901A9"/>
    <w:rsid w:val="0029057E"/>
    <w:rsid w:val="00291113"/>
    <w:rsid w:val="0029246E"/>
    <w:rsid w:val="00293A38"/>
    <w:rsid w:val="00293E55"/>
    <w:rsid w:val="002946FB"/>
    <w:rsid w:val="002949C8"/>
    <w:rsid w:val="00294B56"/>
    <w:rsid w:val="00294D39"/>
    <w:rsid w:val="00294EE4"/>
    <w:rsid w:val="00296373"/>
    <w:rsid w:val="00296D1E"/>
    <w:rsid w:val="00296FEA"/>
    <w:rsid w:val="002A012C"/>
    <w:rsid w:val="002A111D"/>
    <w:rsid w:val="002A3109"/>
    <w:rsid w:val="002A3A8B"/>
    <w:rsid w:val="002A4325"/>
    <w:rsid w:val="002A495F"/>
    <w:rsid w:val="002A4D0A"/>
    <w:rsid w:val="002A6659"/>
    <w:rsid w:val="002A67FC"/>
    <w:rsid w:val="002A6B9A"/>
    <w:rsid w:val="002A7012"/>
    <w:rsid w:val="002A7094"/>
    <w:rsid w:val="002A7599"/>
    <w:rsid w:val="002A774E"/>
    <w:rsid w:val="002B12B4"/>
    <w:rsid w:val="002B1FD6"/>
    <w:rsid w:val="002B2B37"/>
    <w:rsid w:val="002B4641"/>
    <w:rsid w:val="002B47A3"/>
    <w:rsid w:val="002B4CC4"/>
    <w:rsid w:val="002B53F6"/>
    <w:rsid w:val="002B5E67"/>
    <w:rsid w:val="002B6789"/>
    <w:rsid w:val="002C0454"/>
    <w:rsid w:val="002C1D77"/>
    <w:rsid w:val="002C2D57"/>
    <w:rsid w:val="002C38A3"/>
    <w:rsid w:val="002C3B51"/>
    <w:rsid w:val="002C3F99"/>
    <w:rsid w:val="002C46DF"/>
    <w:rsid w:val="002C508D"/>
    <w:rsid w:val="002C5325"/>
    <w:rsid w:val="002C6360"/>
    <w:rsid w:val="002C7999"/>
    <w:rsid w:val="002D08B6"/>
    <w:rsid w:val="002D1CCF"/>
    <w:rsid w:val="002D26C1"/>
    <w:rsid w:val="002D3548"/>
    <w:rsid w:val="002D495F"/>
    <w:rsid w:val="002D4DFF"/>
    <w:rsid w:val="002D4EE8"/>
    <w:rsid w:val="002D5118"/>
    <w:rsid w:val="002D5CB3"/>
    <w:rsid w:val="002D6898"/>
    <w:rsid w:val="002D690E"/>
    <w:rsid w:val="002D6AD4"/>
    <w:rsid w:val="002D77E3"/>
    <w:rsid w:val="002E126C"/>
    <w:rsid w:val="002E1988"/>
    <w:rsid w:val="002E306D"/>
    <w:rsid w:val="002E440E"/>
    <w:rsid w:val="002E6103"/>
    <w:rsid w:val="002E630A"/>
    <w:rsid w:val="002E688D"/>
    <w:rsid w:val="002E70CC"/>
    <w:rsid w:val="002E7428"/>
    <w:rsid w:val="002F17A5"/>
    <w:rsid w:val="002F1F04"/>
    <w:rsid w:val="002F272A"/>
    <w:rsid w:val="002F2BDE"/>
    <w:rsid w:val="002F3EC4"/>
    <w:rsid w:val="002F3F1B"/>
    <w:rsid w:val="002F6924"/>
    <w:rsid w:val="002F77DE"/>
    <w:rsid w:val="002F7F5F"/>
    <w:rsid w:val="00300419"/>
    <w:rsid w:val="00300CB0"/>
    <w:rsid w:val="00300CB5"/>
    <w:rsid w:val="00301266"/>
    <w:rsid w:val="003014CB"/>
    <w:rsid w:val="00301995"/>
    <w:rsid w:val="0030280F"/>
    <w:rsid w:val="00302F0F"/>
    <w:rsid w:val="0030304B"/>
    <w:rsid w:val="0030488B"/>
    <w:rsid w:val="00304D46"/>
    <w:rsid w:val="00304FE4"/>
    <w:rsid w:val="0030608A"/>
    <w:rsid w:val="00310201"/>
    <w:rsid w:val="00310308"/>
    <w:rsid w:val="003105A1"/>
    <w:rsid w:val="00310E7F"/>
    <w:rsid w:val="003118A5"/>
    <w:rsid w:val="00311B8F"/>
    <w:rsid w:val="00312392"/>
    <w:rsid w:val="00313665"/>
    <w:rsid w:val="00314EBC"/>
    <w:rsid w:val="00315E2E"/>
    <w:rsid w:val="00316284"/>
    <w:rsid w:val="00316B5B"/>
    <w:rsid w:val="00316D30"/>
    <w:rsid w:val="00317BD2"/>
    <w:rsid w:val="00317E19"/>
    <w:rsid w:val="00317E99"/>
    <w:rsid w:val="00320745"/>
    <w:rsid w:val="00320B91"/>
    <w:rsid w:val="00321246"/>
    <w:rsid w:val="0032139C"/>
    <w:rsid w:val="003215AB"/>
    <w:rsid w:val="00321C0E"/>
    <w:rsid w:val="00321CAB"/>
    <w:rsid w:val="003221FF"/>
    <w:rsid w:val="00322CC6"/>
    <w:rsid w:val="00322ED6"/>
    <w:rsid w:val="003231D0"/>
    <w:rsid w:val="00324438"/>
    <w:rsid w:val="00324624"/>
    <w:rsid w:val="00324735"/>
    <w:rsid w:val="0032479C"/>
    <w:rsid w:val="0032572D"/>
    <w:rsid w:val="00326405"/>
    <w:rsid w:val="003276DB"/>
    <w:rsid w:val="00327B28"/>
    <w:rsid w:val="0033028D"/>
    <w:rsid w:val="003307B4"/>
    <w:rsid w:val="0033096C"/>
    <w:rsid w:val="00330A52"/>
    <w:rsid w:val="003317E0"/>
    <w:rsid w:val="0033233F"/>
    <w:rsid w:val="003325A0"/>
    <w:rsid w:val="003330CB"/>
    <w:rsid w:val="003334CA"/>
    <w:rsid w:val="00334D24"/>
    <w:rsid w:val="00335900"/>
    <w:rsid w:val="00336755"/>
    <w:rsid w:val="0033695B"/>
    <w:rsid w:val="00336B96"/>
    <w:rsid w:val="003373AB"/>
    <w:rsid w:val="00337C8B"/>
    <w:rsid w:val="00337F19"/>
    <w:rsid w:val="00340174"/>
    <w:rsid w:val="00340B9E"/>
    <w:rsid w:val="00341296"/>
    <w:rsid w:val="00341397"/>
    <w:rsid w:val="0034179F"/>
    <w:rsid w:val="00341D52"/>
    <w:rsid w:val="0034228A"/>
    <w:rsid w:val="00342B24"/>
    <w:rsid w:val="00343DB7"/>
    <w:rsid w:val="003441D8"/>
    <w:rsid w:val="003449E7"/>
    <w:rsid w:val="0034694E"/>
    <w:rsid w:val="003479B7"/>
    <w:rsid w:val="00352650"/>
    <w:rsid w:val="0035272C"/>
    <w:rsid w:val="00353A9B"/>
    <w:rsid w:val="00355B37"/>
    <w:rsid w:val="00355FA4"/>
    <w:rsid w:val="00356C7B"/>
    <w:rsid w:val="00360D8C"/>
    <w:rsid w:val="00360DA7"/>
    <w:rsid w:val="00360EB3"/>
    <w:rsid w:val="00361429"/>
    <w:rsid w:val="003614B5"/>
    <w:rsid w:val="00361BE8"/>
    <w:rsid w:val="003620DD"/>
    <w:rsid w:val="003625B6"/>
    <w:rsid w:val="003625C8"/>
    <w:rsid w:val="00363BFC"/>
    <w:rsid w:val="00363CDB"/>
    <w:rsid w:val="00364463"/>
    <w:rsid w:val="0036480B"/>
    <w:rsid w:val="00365885"/>
    <w:rsid w:val="0036588F"/>
    <w:rsid w:val="003659D9"/>
    <w:rsid w:val="00365AE9"/>
    <w:rsid w:val="00366EEA"/>
    <w:rsid w:val="003671EB"/>
    <w:rsid w:val="003710BD"/>
    <w:rsid w:val="00371AD7"/>
    <w:rsid w:val="00372307"/>
    <w:rsid w:val="00372996"/>
    <w:rsid w:val="00372E44"/>
    <w:rsid w:val="00374591"/>
    <w:rsid w:val="00374F81"/>
    <w:rsid w:val="003773C9"/>
    <w:rsid w:val="003773E2"/>
    <w:rsid w:val="00377D07"/>
    <w:rsid w:val="00377D71"/>
    <w:rsid w:val="00380A6D"/>
    <w:rsid w:val="00380FAC"/>
    <w:rsid w:val="00381096"/>
    <w:rsid w:val="00381479"/>
    <w:rsid w:val="00381530"/>
    <w:rsid w:val="00382152"/>
    <w:rsid w:val="00382974"/>
    <w:rsid w:val="00383127"/>
    <w:rsid w:val="00383977"/>
    <w:rsid w:val="003848FA"/>
    <w:rsid w:val="00385BDE"/>
    <w:rsid w:val="003872E9"/>
    <w:rsid w:val="003904AC"/>
    <w:rsid w:val="00390504"/>
    <w:rsid w:val="003906C0"/>
    <w:rsid w:val="00390950"/>
    <w:rsid w:val="00391A22"/>
    <w:rsid w:val="003923F6"/>
    <w:rsid w:val="003930E6"/>
    <w:rsid w:val="00393BD5"/>
    <w:rsid w:val="00393ED9"/>
    <w:rsid w:val="0039404C"/>
    <w:rsid w:val="00394171"/>
    <w:rsid w:val="003942BB"/>
    <w:rsid w:val="00394474"/>
    <w:rsid w:val="00395CFD"/>
    <w:rsid w:val="00396A04"/>
    <w:rsid w:val="003A037C"/>
    <w:rsid w:val="003A134C"/>
    <w:rsid w:val="003A1A4B"/>
    <w:rsid w:val="003A2F56"/>
    <w:rsid w:val="003A3088"/>
    <w:rsid w:val="003A47B3"/>
    <w:rsid w:val="003A507E"/>
    <w:rsid w:val="003A51A9"/>
    <w:rsid w:val="003A57CB"/>
    <w:rsid w:val="003A5CF7"/>
    <w:rsid w:val="003A6166"/>
    <w:rsid w:val="003A6197"/>
    <w:rsid w:val="003A64E2"/>
    <w:rsid w:val="003A6B76"/>
    <w:rsid w:val="003A6B79"/>
    <w:rsid w:val="003A703B"/>
    <w:rsid w:val="003A76BB"/>
    <w:rsid w:val="003A7B82"/>
    <w:rsid w:val="003A7E42"/>
    <w:rsid w:val="003B19BB"/>
    <w:rsid w:val="003B3642"/>
    <w:rsid w:val="003B39CF"/>
    <w:rsid w:val="003B3CB9"/>
    <w:rsid w:val="003B43DF"/>
    <w:rsid w:val="003B463F"/>
    <w:rsid w:val="003B4BF3"/>
    <w:rsid w:val="003B57EC"/>
    <w:rsid w:val="003B7505"/>
    <w:rsid w:val="003B7622"/>
    <w:rsid w:val="003B7C24"/>
    <w:rsid w:val="003C044A"/>
    <w:rsid w:val="003C1D35"/>
    <w:rsid w:val="003C211F"/>
    <w:rsid w:val="003C25EF"/>
    <w:rsid w:val="003C2C18"/>
    <w:rsid w:val="003C2F57"/>
    <w:rsid w:val="003C34EF"/>
    <w:rsid w:val="003C637E"/>
    <w:rsid w:val="003C6414"/>
    <w:rsid w:val="003C6980"/>
    <w:rsid w:val="003C6EEF"/>
    <w:rsid w:val="003C72B6"/>
    <w:rsid w:val="003C72F9"/>
    <w:rsid w:val="003D1A7A"/>
    <w:rsid w:val="003D2559"/>
    <w:rsid w:val="003D2685"/>
    <w:rsid w:val="003D2E4D"/>
    <w:rsid w:val="003D4CB0"/>
    <w:rsid w:val="003D4F1D"/>
    <w:rsid w:val="003D54F2"/>
    <w:rsid w:val="003D681A"/>
    <w:rsid w:val="003E14BD"/>
    <w:rsid w:val="003E30A7"/>
    <w:rsid w:val="003E34B6"/>
    <w:rsid w:val="003E3808"/>
    <w:rsid w:val="003E4676"/>
    <w:rsid w:val="003E50F0"/>
    <w:rsid w:val="003E771A"/>
    <w:rsid w:val="003E781A"/>
    <w:rsid w:val="003F09FC"/>
    <w:rsid w:val="003F0C7F"/>
    <w:rsid w:val="003F2500"/>
    <w:rsid w:val="003F2894"/>
    <w:rsid w:val="003F2D4C"/>
    <w:rsid w:val="003F35ED"/>
    <w:rsid w:val="003F53A8"/>
    <w:rsid w:val="003F5A9A"/>
    <w:rsid w:val="003F5C0B"/>
    <w:rsid w:val="003F6103"/>
    <w:rsid w:val="003F6798"/>
    <w:rsid w:val="00400DEB"/>
    <w:rsid w:val="0040125D"/>
    <w:rsid w:val="004028CF"/>
    <w:rsid w:val="00403BBF"/>
    <w:rsid w:val="00404110"/>
    <w:rsid w:val="00404D6C"/>
    <w:rsid w:val="00407269"/>
    <w:rsid w:val="0040760B"/>
    <w:rsid w:val="00410EBC"/>
    <w:rsid w:val="00412D47"/>
    <w:rsid w:val="00413E80"/>
    <w:rsid w:val="00414AA8"/>
    <w:rsid w:val="00415970"/>
    <w:rsid w:val="00416F08"/>
    <w:rsid w:val="00417CEC"/>
    <w:rsid w:val="00417E84"/>
    <w:rsid w:val="0042088F"/>
    <w:rsid w:val="00421F44"/>
    <w:rsid w:val="004237F7"/>
    <w:rsid w:val="00424A58"/>
    <w:rsid w:val="00425345"/>
    <w:rsid w:val="00425636"/>
    <w:rsid w:val="0042667F"/>
    <w:rsid w:val="00427036"/>
    <w:rsid w:val="004271E4"/>
    <w:rsid w:val="00430464"/>
    <w:rsid w:val="00430CEC"/>
    <w:rsid w:val="004312C6"/>
    <w:rsid w:val="004315AF"/>
    <w:rsid w:val="00432CA4"/>
    <w:rsid w:val="00432F19"/>
    <w:rsid w:val="00435001"/>
    <w:rsid w:val="00435EDC"/>
    <w:rsid w:val="00440119"/>
    <w:rsid w:val="004407C7"/>
    <w:rsid w:val="004408DF"/>
    <w:rsid w:val="004419BB"/>
    <w:rsid w:val="00441CE9"/>
    <w:rsid w:val="00442CB0"/>
    <w:rsid w:val="00443410"/>
    <w:rsid w:val="004441AA"/>
    <w:rsid w:val="00444C30"/>
    <w:rsid w:val="00444D40"/>
    <w:rsid w:val="00446124"/>
    <w:rsid w:val="00447AB7"/>
    <w:rsid w:val="00450217"/>
    <w:rsid w:val="00450667"/>
    <w:rsid w:val="00450DB4"/>
    <w:rsid w:val="00451A9F"/>
    <w:rsid w:val="004521F7"/>
    <w:rsid w:val="00452599"/>
    <w:rsid w:val="00453A06"/>
    <w:rsid w:val="00453B85"/>
    <w:rsid w:val="004540D6"/>
    <w:rsid w:val="0045575E"/>
    <w:rsid w:val="004559AF"/>
    <w:rsid w:val="00455E70"/>
    <w:rsid w:val="00456513"/>
    <w:rsid w:val="00457E6A"/>
    <w:rsid w:val="0046211A"/>
    <w:rsid w:val="0046243D"/>
    <w:rsid w:val="00462928"/>
    <w:rsid w:val="004643A2"/>
    <w:rsid w:val="00464DD6"/>
    <w:rsid w:val="00465537"/>
    <w:rsid w:val="00466341"/>
    <w:rsid w:val="00467D57"/>
    <w:rsid w:val="0047029E"/>
    <w:rsid w:val="0047031F"/>
    <w:rsid w:val="004703AD"/>
    <w:rsid w:val="00470C08"/>
    <w:rsid w:val="004718A7"/>
    <w:rsid w:val="0047266C"/>
    <w:rsid w:val="0047278C"/>
    <w:rsid w:val="004739B0"/>
    <w:rsid w:val="00473B3B"/>
    <w:rsid w:val="00475073"/>
    <w:rsid w:val="00475148"/>
    <w:rsid w:val="004759C2"/>
    <w:rsid w:val="0047604E"/>
    <w:rsid w:val="004766E7"/>
    <w:rsid w:val="00476B71"/>
    <w:rsid w:val="00477318"/>
    <w:rsid w:val="004775D8"/>
    <w:rsid w:val="00481236"/>
    <w:rsid w:val="004817FD"/>
    <w:rsid w:val="00481B1D"/>
    <w:rsid w:val="00481BBD"/>
    <w:rsid w:val="0048243C"/>
    <w:rsid w:val="0048289D"/>
    <w:rsid w:val="00482E28"/>
    <w:rsid w:val="004834C8"/>
    <w:rsid w:val="0048399F"/>
    <w:rsid w:val="00483BB5"/>
    <w:rsid w:val="00485C96"/>
    <w:rsid w:val="00486BB4"/>
    <w:rsid w:val="00487521"/>
    <w:rsid w:val="00487B4D"/>
    <w:rsid w:val="00490979"/>
    <w:rsid w:val="00492CC7"/>
    <w:rsid w:val="00493C7D"/>
    <w:rsid w:val="00493DA8"/>
    <w:rsid w:val="00494492"/>
    <w:rsid w:val="004967EE"/>
    <w:rsid w:val="00496C0D"/>
    <w:rsid w:val="0049781D"/>
    <w:rsid w:val="00497E97"/>
    <w:rsid w:val="004A00F9"/>
    <w:rsid w:val="004A1D8A"/>
    <w:rsid w:val="004A2262"/>
    <w:rsid w:val="004A27A7"/>
    <w:rsid w:val="004A292B"/>
    <w:rsid w:val="004A2A8E"/>
    <w:rsid w:val="004A315C"/>
    <w:rsid w:val="004A3957"/>
    <w:rsid w:val="004A3A63"/>
    <w:rsid w:val="004A4BC4"/>
    <w:rsid w:val="004A5B22"/>
    <w:rsid w:val="004A634E"/>
    <w:rsid w:val="004A6760"/>
    <w:rsid w:val="004A780E"/>
    <w:rsid w:val="004B045F"/>
    <w:rsid w:val="004B09E9"/>
    <w:rsid w:val="004B0D36"/>
    <w:rsid w:val="004B16DF"/>
    <w:rsid w:val="004B18FB"/>
    <w:rsid w:val="004B2D9C"/>
    <w:rsid w:val="004B3166"/>
    <w:rsid w:val="004B3B28"/>
    <w:rsid w:val="004B44A1"/>
    <w:rsid w:val="004B4C0D"/>
    <w:rsid w:val="004B559C"/>
    <w:rsid w:val="004B577C"/>
    <w:rsid w:val="004B5E4A"/>
    <w:rsid w:val="004B6284"/>
    <w:rsid w:val="004B6520"/>
    <w:rsid w:val="004B6DF2"/>
    <w:rsid w:val="004B7BCA"/>
    <w:rsid w:val="004C035E"/>
    <w:rsid w:val="004C0693"/>
    <w:rsid w:val="004C07CB"/>
    <w:rsid w:val="004C2943"/>
    <w:rsid w:val="004C34F9"/>
    <w:rsid w:val="004C3BD2"/>
    <w:rsid w:val="004C52D8"/>
    <w:rsid w:val="004C5776"/>
    <w:rsid w:val="004C59E8"/>
    <w:rsid w:val="004C5BDF"/>
    <w:rsid w:val="004C6863"/>
    <w:rsid w:val="004C6D73"/>
    <w:rsid w:val="004C76A0"/>
    <w:rsid w:val="004D0055"/>
    <w:rsid w:val="004D14A7"/>
    <w:rsid w:val="004D1E25"/>
    <w:rsid w:val="004D235B"/>
    <w:rsid w:val="004D2895"/>
    <w:rsid w:val="004D28DF"/>
    <w:rsid w:val="004D3982"/>
    <w:rsid w:val="004D42FE"/>
    <w:rsid w:val="004D4650"/>
    <w:rsid w:val="004D4FFF"/>
    <w:rsid w:val="004D5B7B"/>
    <w:rsid w:val="004D646F"/>
    <w:rsid w:val="004D78F6"/>
    <w:rsid w:val="004E165F"/>
    <w:rsid w:val="004E2AF3"/>
    <w:rsid w:val="004E2F6C"/>
    <w:rsid w:val="004E33BA"/>
    <w:rsid w:val="004E35B8"/>
    <w:rsid w:val="004E35E5"/>
    <w:rsid w:val="004E3F3D"/>
    <w:rsid w:val="004E4356"/>
    <w:rsid w:val="004E4DD6"/>
    <w:rsid w:val="004E55E2"/>
    <w:rsid w:val="004E6C6D"/>
    <w:rsid w:val="004E70D8"/>
    <w:rsid w:val="004E7109"/>
    <w:rsid w:val="004E7179"/>
    <w:rsid w:val="004F08BE"/>
    <w:rsid w:val="004F0A2A"/>
    <w:rsid w:val="004F0C90"/>
    <w:rsid w:val="004F0E98"/>
    <w:rsid w:val="004F22DA"/>
    <w:rsid w:val="004F2B89"/>
    <w:rsid w:val="004F30BE"/>
    <w:rsid w:val="004F343E"/>
    <w:rsid w:val="004F3A1B"/>
    <w:rsid w:val="004F3AF4"/>
    <w:rsid w:val="004F3C2C"/>
    <w:rsid w:val="004F3E65"/>
    <w:rsid w:val="004F4554"/>
    <w:rsid w:val="004F479D"/>
    <w:rsid w:val="004F4CE0"/>
    <w:rsid w:val="004F7F32"/>
    <w:rsid w:val="005002B0"/>
    <w:rsid w:val="00500F0A"/>
    <w:rsid w:val="00503432"/>
    <w:rsid w:val="00503CD3"/>
    <w:rsid w:val="00503D75"/>
    <w:rsid w:val="00504633"/>
    <w:rsid w:val="00504937"/>
    <w:rsid w:val="0050757B"/>
    <w:rsid w:val="005102FC"/>
    <w:rsid w:val="00510519"/>
    <w:rsid w:val="005112D1"/>
    <w:rsid w:val="00511EB1"/>
    <w:rsid w:val="005120AC"/>
    <w:rsid w:val="0051699F"/>
    <w:rsid w:val="00520DED"/>
    <w:rsid w:val="0052116C"/>
    <w:rsid w:val="00522137"/>
    <w:rsid w:val="00523975"/>
    <w:rsid w:val="00524A1C"/>
    <w:rsid w:val="00526FA4"/>
    <w:rsid w:val="0052759C"/>
    <w:rsid w:val="00527618"/>
    <w:rsid w:val="00527986"/>
    <w:rsid w:val="00527E7F"/>
    <w:rsid w:val="00527ECC"/>
    <w:rsid w:val="00530422"/>
    <w:rsid w:val="0053081F"/>
    <w:rsid w:val="00530F2A"/>
    <w:rsid w:val="005314C4"/>
    <w:rsid w:val="00532EFF"/>
    <w:rsid w:val="00533050"/>
    <w:rsid w:val="00533E81"/>
    <w:rsid w:val="00533F9D"/>
    <w:rsid w:val="00534B8F"/>
    <w:rsid w:val="00534C4A"/>
    <w:rsid w:val="00534F45"/>
    <w:rsid w:val="00535666"/>
    <w:rsid w:val="00537344"/>
    <w:rsid w:val="005379B4"/>
    <w:rsid w:val="00540D4F"/>
    <w:rsid w:val="0054200D"/>
    <w:rsid w:val="00543757"/>
    <w:rsid w:val="00544112"/>
    <w:rsid w:val="00544C8B"/>
    <w:rsid w:val="00546AB6"/>
    <w:rsid w:val="005502FF"/>
    <w:rsid w:val="00550651"/>
    <w:rsid w:val="00550730"/>
    <w:rsid w:val="00551556"/>
    <w:rsid w:val="00552444"/>
    <w:rsid w:val="00552C02"/>
    <w:rsid w:val="00553FDB"/>
    <w:rsid w:val="00554816"/>
    <w:rsid w:val="0055700A"/>
    <w:rsid w:val="005570FD"/>
    <w:rsid w:val="005572AB"/>
    <w:rsid w:val="00560185"/>
    <w:rsid w:val="00560477"/>
    <w:rsid w:val="00561F06"/>
    <w:rsid w:val="005620E8"/>
    <w:rsid w:val="00562872"/>
    <w:rsid w:val="00563C31"/>
    <w:rsid w:val="0056412F"/>
    <w:rsid w:val="00564544"/>
    <w:rsid w:val="00564817"/>
    <w:rsid w:val="00564B50"/>
    <w:rsid w:val="005651AE"/>
    <w:rsid w:val="00565BFC"/>
    <w:rsid w:val="00565E98"/>
    <w:rsid w:val="00566338"/>
    <w:rsid w:val="0057067A"/>
    <w:rsid w:val="0057068B"/>
    <w:rsid w:val="005709FE"/>
    <w:rsid w:val="0057110E"/>
    <w:rsid w:val="0057126B"/>
    <w:rsid w:val="00571301"/>
    <w:rsid w:val="00571430"/>
    <w:rsid w:val="00571924"/>
    <w:rsid w:val="00571B90"/>
    <w:rsid w:val="00571CCC"/>
    <w:rsid w:val="00572A74"/>
    <w:rsid w:val="00572C16"/>
    <w:rsid w:val="00572FA2"/>
    <w:rsid w:val="00573276"/>
    <w:rsid w:val="00575AF2"/>
    <w:rsid w:val="00576603"/>
    <w:rsid w:val="00577076"/>
    <w:rsid w:val="005800EA"/>
    <w:rsid w:val="005807E2"/>
    <w:rsid w:val="0058158B"/>
    <w:rsid w:val="005815F6"/>
    <w:rsid w:val="00581ED2"/>
    <w:rsid w:val="00581F19"/>
    <w:rsid w:val="00582770"/>
    <w:rsid w:val="00583428"/>
    <w:rsid w:val="00583A80"/>
    <w:rsid w:val="005841F7"/>
    <w:rsid w:val="00584A77"/>
    <w:rsid w:val="005858D3"/>
    <w:rsid w:val="00585C40"/>
    <w:rsid w:val="00590AB0"/>
    <w:rsid w:val="005911A4"/>
    <w:rsid w:val="0059272D"/>
    <w:rsid w:val="00592776"/>
    <w:rsid w:val="00592789"/>
    <w:rsid w:val="00592F55"/>
    <w:rsid w:val="005937FE"/>
    <w:rsid w:val="00593871"/>
    <w:rsid w:val="00593D1D"/>
    <w:rsid w:val="005948D1"/>
    <w:rsid w:val="005964A7"/>
    <w:rsid w:val="005969A2"/>
    <w:rsid w:val="00596ACF"/>
    <w:rsid w:val="00597C11"/>
    <w:rsid w:val="005A145F"/>
    <w:rsid w:val="005A1991"/>
    <w:rsid w:val="005A21BE"/>
    <w:rsid w:val="005A30C9"/>
    <w:rsid w:val="005A30DA"/>
    <w:rsid w:val="005A3A29"/>
    <w:rsid w:val="005A3D11"/>
    <w:rsid w:val="005A42E5"/>
    <w:rsid w:val="005A4AF5"/>
    <w:rsid w:val="005A4CDC"/>
    <w:rsid w:val="005A5D9A"/>
    <w:rsid w:val="005A6B69"/>
    <w:rsid w:val="005B071A"/>
    <w:rsid w:val="005B0CCF"/>
    <w:rsid w:val="005B1724"/>
    <w:rsid w:val="005B173A"/>
    <w:rsid w:val="005B1C4B"/>
    <w:rsid w:val="005B2A1A"/>
    <w:rsid w:val="005B49B5"/>
    <w:rsid w:val="005B5196"/>
    <w:rsid w:val="005B53BF"/>
    <w:rsid w:val="005B66EA"/>
    <w:rsid w:val="005B69DF"/>
    <w:rsid w:val="005C0148"/>
    <w:rsid w:val="005C0780"/>
    <w:rsid w:val="005C167B"/>
    <w:rsid w:val="005C17FC"/>
    <w:rsid w:val="005C55D6"/>
    <w:rsid w:val="005C5698"/>
    <w:rsid w:val="005C608A"/>
    <w:rsid w:val="005C614D"/>
    <w:rsid w:val="005C6691"/>
    <w:rsid w:val="005C68EF"/>
    <w:rsid w:val="005C6C5F"/>
    <w:rsid w:val="005C6F1C"/>
    <w:rsid w:val="005C71E1"/>
    <w:rsid w:val="005C72CB"/>
    <w:rsid w:val="005C7C23"/>
    <w:rsid w:val="005C7F1F"/>
    <w:rsid w:val="005D1841"/>
    <w:rsid w:val="005D1CCD"/>
    <w:rsid w:val="005D1EF6"/>
    <w:rsid w:val="005D25AC"/>
    <w:rsid w:val="005D3F3A"/>
    <w:rsid w:val="005D426B"/>
    <w:rsid w:val="005D4556"/>
    <w:rsid w:val="005D5D37"/>
    <w:rsid w:val="005D6136"/>
    <w:rsid w:val="005D6D16"/>
    <w:rsid w:val="005D7597"/>
    <w:rsid w:val="005D7AF8"/>
    <w:rsid w:val="005D7BB1"/>
    <w:rsid w:val="005E06F9"/>
    <w:rsid w:val="005E0D75"/>
    <w:rsid w:val="005E2DE0"/>
    <w:rsid w:val="005E2FEC"/>
    <w:rsid w:val="005E453F"/>
    <w:rsid w:val="005E4A0F"/>
    <w:rsid w:val="005E4A11"/>
    <w:rsid w:val="005E4A4A"/>
    <w:rsid w:val="005E4E23"/>
    <w:rsid w:val="005E5EB1"/>
    <w:rsid w:val="005E7300"/>
    <w:rsid w:val="005E7C19"/>
    <w:rsid w:val="005F0628"/>
    <w:rsid w:val="005F0F63"/>
    <w:rsid w:val="005F1519"/>
    <w:rsid w:val="005F25F3"/>
    <w:rsid w:val="005F2761"/>
    <w:rsid w:val="005F27CD"/>
    <w:rsid w:val="005F2808"/>
    <w:rsid w:val="005F2983"/>
    <w:rsid w:val="005F2D84"/>
    <w:rsid w:val="005F3A3A"/>
    <w:rsid w:val="005F502A"/>
    <w:rsid w:val="005F593F"/>
    <w:rsid w:val="005F7191"/>
    <w:rsid w:val="005F7AE3"/>
    <w:rsid w:val="005F7D18"/>
    <w:rsid w:val="00600B2A"/>
    <w:rsid w:val="00600CD4"/>
    <w:rsid w:val="00601A10"/>
    <w:rsid w:val="00602525"/>
    <w:rsid w:val="0060336F"/>
    <w:rsid w:val="0060402E"/>
    <w:rsid w:val="00604094"/>
    <w:rsid w:val="00604391"/>
    <w:rsid w:val="00604C6A"/>
    <w:rsid w:val="00605006"/>
    <w:rsid w:val="00605B87"/>
    <w:rsid w:val="00605EEE"/>
    <w:rsid w:val="00607EB0"/>
    <w:rsid w:val="00610A76"/>
    <w:rsid w:val="00610D37"/>
    <w:rsid w:val="00614266"/>
    <w:rsid w:val="0061632D"/>
    <w:rsid w:val="00616492"/>
    <w:rsid w:val="006178E7"/>
    <w:rsid w:val="006217E1"/>
    <w:rsid w:val="00621A0A"/>
    <w:rsid w:val="00621B4B"/>
    <w:rsid w:val="00621C2F"/>
    <w:rsid w:val="0062340D"/>
    <w:rsid w:val="0062375E"/>
    <w:rsid w:val="00623D23"/>
    <w:rsid w:val="00623D40"/>
    <w:rsid w:val="00624776"/>
    <w:rsid w:val="00624A81"/>
    <w:rsid w:val="00624B82"/>
    <w:rsid w:val="00626CA7"/>
    <w:rsid w:val="00627626"/>
    <w:rsid w:val="006279BE"/>
    <w:rsid w:val="00627F8B"/>
    <w:rsid w:val="006304C9"/>
    <w:rsid w:val="006336D7"/>
    <w:rsid w:val="00634390"/>
    <w:rsid w:val="00635181"/>
    <w:rsid w:val="006353E7"/>
    <w:rsid w:val="00635722"/>
    <w:rsid w:val="006361AB"/>
    <w:rsid w:val="006370B1"/>
    <w:rsid w:val="00637951"/>
    <w:rsid w:val="00640290"/>
    <w:rsid w:val="006406C2"/>
    <w:rsid w:val="00640873"/>
    <w:rsid w:val="00641D19"/>
    <w:rsid w:val="00642470"/>
    <w:rsid w:val="006425B8"/>
    <w:rsid w:val="006426FB"/>
    <w:rsid w:val="006433DA"/>
    <w:rsid w:val="00644D33"/>
    <w:rsid w:val="00644E55"/>
    <w:rsid w:val="00646D0F"/>
    <w:rsid w:val="00650A9A"/>
    <w:rsid w:val="00650DAD"/>
    <w:rsid w:val="0065249F"/>
    <w:rsid w:val="00652714"/>
    <w:rsid w:val="00652EFC"/>
    <w:rsid w:val="00653907"/>
    <w:rsid w:val="00654187"/>
    <w:rsid w:val="006554D4"/>
    <w:rsid w:val="006555E5"/>
    <w:rsid w:val="00656C2D"/>
    <w:rsid w:val="00656F18"/>
    <w:rsid w:val="00656F7A"/>
    <w:rsid w:val="00657D5C"/>
    <w:rsid w:val="006618A6"/>
    <w:rsid w:val="00662063"/>
    <w:rsid w:val="0066254C"/>
    <w:rsid w:val="00663891"/>
    <w:rsid w:val="00666349"/>
    <w:rsid w:val="00666505"/>
    <w:rsid w:val="0066761B"/>
    <w:rsid w:val="00667837"/>
    <w:rsid w:val="00667C4B"/>
    <w:rsid w:val="00670E66"/>
    <w:rsid w:val="006712A7"/>
    <w:rsid w:val="006715F4"/>
    <w:rsid w:val="00671BFD"/>
    <w:rsid w:val="00671E43"/>
    <w:rsid w:val="0067249F"/>
    <w:rsid w:val="006725ED"/>
    <w:rsid w:val="00672ED9"/>
    <w:rsid w:val="00673588"/>
    <w:rsid w:val="0067387A"/>
    <w:rsid w:val="00673D2B"/>
    <w:rsid w:val="0067512C"/>
    <w:rsid w:val="0067597E"/>
    <w:rsid w:val="00675D55"/>
    <w:rsid w:val="00676327"/>
    <w:rsid w:val="00676915"/>
    <w:rsid w:val="00676A8F"/>
    <w:rsid w:val="00676B6F"/>
    <w:rsid w:val="006809B6"/>
    <w:rsid w:val="00680A4A"/>
    <w:rsid w:val="00680E38"/>
    <w:rsid w:val="00681ABD"/>
    <w:rsid w:val="00682F77"/>
    <w:rsid w:val="00684482"/>
    <w:rsid w:val="00684950"/>
    <w:rsid w:val="00685EC3"/>
    <w:rsid w:val="00686317"/>
    <w:rsid w:val="00686BBB"/>
    <w:rsid w:val="00687E8A"/>
    <w:rsid w:val="00690C0A"/>
    <w:rsid w:val="00691368"/>
    <w:rsid w:val="0069186D"/>
    <w:rsid w:val="00691A3F"/>
    <w:rsid w:val="00691B77"/>
    <w:rsid w:val="00691D2C"/>
    <w:rsid w:val="00692BCE"/>
    <w:rsid w:val="0069310C"/>
    <w:rsid w:val="006954E0"/>
    <w:rsid w:val="00697C08"/>
    <w:rsid w:val="00697E79"/>
    <w:rsid w:val="006A0269"/>
    <w:rsid w:val="006A0A37"/>
    <w:rsid w:val="006A1CDA"/>
    <w:rsid w:val="006A2066"/>
    <w:rsid w:val="006A20A2"/>
    <w:rsid w:val="006A28A3"/>
    <w:rsid w:val="006A2C47"/>
    <w:rsid w:val="006A2EF2"/>
    <w:rsid w:val="006A35F1"/>
    <w:rsid w:val="006A37FF"/>
    <w:rsid w:val="006A4F0A"/>
    <w:rsid w:val="006A6E0E"/>
    <w:rsid w:val="006A733C"/>
    <w:rsid w:val="006B0033"/>
    <w:rsid w:val="006B0856"/>
    <w:rsid w:val="006B0EF4"/>
    <w:rsid w:val="006B27AE"/>
    <w:rsid w:val="006B3DA1"/>
    <w:rsid w:val="006B461F"/>
    <w:rsid w:val="006B58C1"/>
    <w:rsid w:val="006B5BE0"/>
    <w:rsid w:val="006B7666"/>
    <w:rsid w:val="006B770D"/>
    <w:rsid w:val="006B7AB3"/>
    <w:rsid w:val="006C03AF"/>
    <w:rsid w:val="006C0CA2"/>
    <w:rsid w:val="006C15D0"/>
    <w:rsid w:val="006C1B34"/>
    <w:rsid w:val="006C2EC9"/>
    <w:rsid w:val="006C3958"/>
    <w:rsid w:val="006C39DA"/>
    <w:rsid w:val="006C4D93"/>
    <w:rsid w:val="006C4EEC"/>
    <w:rsid w:val="006C4FE9"/>
    <w:rsid w:val="006C5AE0"/>
    <w:rsid w:val="006C70E2"/>
    <w:rsid w:val="006D1F2E"/>
    <w:rsid w:val="006D3E81"/>
    <w:rsid w:val="006D4060"/>
    <w:rsid w:val="006D628E"/>
    <w:rsid w:val="006D65EC"/>
    <w:rsid w:val="006D6D24"/>
    <w:rsid w:val="006D6D2A"/>
    <w:rsid w:val="006D7085"/>
    <w:rsid w:val="006E035C"/>
    <w:rsid w:val="006E04BC"/>
    <w:rsid w:val="006E0A00"/>
    <w:rsid w:val="006E0F9E"/>
    <w:rsid w:val="006E3053"/>
    <w:rsid w:val="006E30A6"/>
    <w:rsid w:val="006E321B"/>
    <w:rsid w:val="006E37B5"/>
    <w:rsid w:val="006E3D8D"/>
    <w:rsid w:val="006E46AD"/>
    <w:rsid w:val="006E49F5"/>
    <w:rsid w:val="006E4BE0"/>
    <w:rsid w:val="006E4E68"/>
    <w:rsid w:val="006E658E"/>
    <w:rsid w:val="006E73A7"/>
    <w:rsid w:val="006E7DA1"/>
    <w:rsid w:val="006F050C"/>
    <w:rsid w:val="006F13EE"/>
    <w:rsid w:val="006F1F6E"/>
    <w:rsid w:val="006F2C6D"/>
    <w:rsid w:val="006F38F2"/>
    <w:rsid w:val="006F430A"/>
    <w:rsid w:val="006F5D16"/>
    <w:rsid w:val="006F63FA"/>
    <w:rsid w:val="006F7A8E"/>
    <w:rsid w:val="0070001E"/>
    <w:rsid w:val="007003A5"/>
    <w:rsid w:val="007008BC"/>
    <w:rsid w:val="007013D5"/>
    <w:rsid w:val="0070140E"/>
    <w:rsid w:val="0070282C"/>
    <w:rsid w:val="00702FF4"/>
    <w:rsid w:val="00703A77"/>
    <w:rsid w:val="007040A1"/>
    <w:rsid w:val="00705B33"/>
    <w:rsid w:val="00705E38"/>
    <w:rsid w:val="0070619B"/>
    <w:rsid w:val="007068E5"/>
    <w:rsid w:val="00707155"/>
    <w:rsid w:val="00707399"/>
    <w:rsid w:val="00707DCC"/>
    <w:rsid w:val="00710A52"/>
    <w:rsid w:val="00710B3A"/>
    <w:rsid w:val="00712B4C"/>
    <w:rsid w:val="00712CFE"/>
    <w:rsid w:val="00713D88"/>
    <w:rsid w:val="00714961"/>
    <w:rsid w:val="007153D3"/>
    <w:rsid w:val="0071597D"/>
    <w:rsid w:val="007162AD"/>
    <w:rsid w:val="0071630D"/>
    <w:rsid w:val="007164AE"/>
    <w:rsid w:val="00717D52"/>
    <w:rsid w:val="00717E64"/>
    <w:rsid w:val="007200CA"/>
    <w:rsid w:val="00720D3D"/>
    <w:rsid w:val="0072187E"/>
    <w:rsid w:val="00722D19"/>
    <w:rsid w:val="00723513"/>
    <w:rsid w:val="007246C9"/>
    <w:rsid w:val="00724C4B"/>
    <w:rsid w:val="007255BD"/>
    <w:rsid w:val="00725A57"/>
    <w:rsid w:val="00725E10"/>
    <w:rsid w:val="00726D1F"/>
    <w:rsid w:val="00726D3A"/>
    <w:rsid w:val="007276D9"/>
    <w:rsid w:val="00727967"/>
    <w:rsid w:val="00727B54"/>
    <w:rsid w:val="00730091"/>
    <w:rsid w:val="00730672"/>
    <w:rsid w:val="007306DE"/>
    <w:rsid w:val="00730EE7"/>
    <w:rsid w:val="00732460"/>
    <w:rsid w:val="0073265A"/>
    <w:rsid w:val="00732679"/>
    <w:rsid w:val="00732B7B"/>
    <w:rsid w:val="0073414A"/>
    <w:rsid w:val="0073453E"/>
    <w:rsid w:val="0073523F"/>
    <w:rsid w:val="007353C3"/>
    <w:rsid w:val="00735A85"/>
    <w:rsid w:val="00736215"/>
    <w:rsid w:val="00736767"/>
    <w:rsid w:val="00736787"/>
    <w:rsid w:val="00740243"/>
    <w:rsid w:val="007402FB"/>
    <w:rsid w:val="007404A4"/>
    <w:rsid w:val="0074136C"/>
    <w:rsid w:val="0074169A"/>
    <w:rsid w:val="00742230"/>
    <w:rsid w:val="00742A8E"/>
    <w:rsid w:val="00746229"/>
    <w:rsid w:val="00747555"/>
    <w:rsid w:val="00750491"/>
    <w:rsid w:val="007516D6"/>
    <w:rsid w:val="00752413"/>
    <w:rsid w:val="0075275A"/>
    <w:rsid w:val="007552E9"/>
    <w:rsid w:val="00756051"/>
    <w:rsid w:val="007560EF"/>
    <w:rsid w:val="007565E8"/>
    <w:rsid w:val="00756B3F"/>
    <w:rsid w:val="00757D06"/>
    <w:rsid w:val="00760348"/>
    <w:rsid w:val="00761134"/>
    <w:rsid w:val="007630F2"/>
    <w:rsid w:val="00763773"/>
    <w:rsid w:val="007637A8"/>
    <w:rsid w:val="007641EB"/>
    <w:rsid w:val="0076467C"/>
    <w:rsid w:val="007646FC"/>
    <w:rsid w:val="007647C6"/>
    <w:rsid w:val="00765DD9"/>
    <w:rsid w:val="007673C6"/>
    <w:rsid w:val="00767586"/>
    <w:rsid w:val="007707DE"/>
    <w:rsid w:val="00770B5A"/>
    <w:rsid w:val="00771A1A"/>
    <w:rsid w:val="007720E0"/>
    <w:rsid w:val="00772503"/>
    <w:rsid w:val="00772EA3"/>
    <w:rsid w:val="007740D6"/>
    <w:rsid w:val="007743E6"/>
    <w:rsid w:val="00775D6F"/>
    <w:rsid w:val="00776130"/>
    <w:rsid w:val="00777600"/>
    <w:rsid w:val="00777A56"/>
    <w:rsid w:val="00777DFE"/>
    <w:rsid w:val="00777EFB"/>
    <w:rsid w:val="0078087F"/>
    <w:rsid w:val="007817DB"/>
    <w:rsid w:val="00782D24"/>
    <w:rsid w:val="00784DEB"/>
    <w:rsid w:val="00785092"/>
    <w:rsid w:val="00786FA2"/>
    <w:rsid w:val="007878F1"/>
    <w:rsid w:val="0079294B"/>
    <w:rsid w:val="00792C07"/>
    <w:rsid w:val="00792E6B"/>
    <w:rsid w:val="00793575"/>
    <w:rsid w:val="007938F8"/>
    <w:rsid w:val="007939CC"/>
    <w:rsid w:val="00794105"/>
    <w:rsid w:val="0079445D"/>
    <w:rsid w:val="00795001"/>
    <w:rsid w:val="00795695"/>
    <w:rsid w:val="00796996"/>
    <w:rsid w:val="00797B0A"/>
    <w:rsid w:val="00797D82"/>
    <w:rsid w:val="007A1AF0"/>
    <w:rsid w:val="007A1F29"/>
    <w:rsid w:val="007A5600"/>
    <w:rsid w:val="007B06EF"/>
    <w:rsid w:val="007B09AA"/>
    <w:rsid w:val="007B0F65"/>
    <w:rsid w:val="007B2074"/>
    <w:rsid w:val="007B2D48"/>
    <w:rsid w:val="007B3406"/>
    <w:rsid w:val="007B5514"/>
    <w:rsid w:val="007B5E32"/>
    <w:rsid w:val="007B62D1"/>
    <w:rsid w:val="007B6DC4"/>
    <w:rsid w:val="007C0F6F"/>
    <w:rsid w:val="007C1448"/>
    <w:rsid w:val="007C15DD"/>
    <w:rsid w:val="007C22EE"/>
    <w:rsid w:val="007C2569"/>
    <w:rsid w:val="007C2BD9"/>
    <w:rsid w:val="007C3272"/>
    <w:rsid w:val="007C3CE5"/>
    <w:rsid w:val="007C3E02"/>
    <w:rsid w:val="007C47D6"/>
    <w:rsid w:val="007C507F"/>
    <w:rsid w:val="007C5C42"/>
    <w:rsid w:val="007C6918"/>
    <w:rsid w:val="007C791D"/>
    <w:rsid w:val="007D04EF"/>
    <w:rsid w:val="007D3404"/>
    <w:rsid w:val="007D34C3"/>
    <w:rsid w:val="007D3D37"/>
    <w:rsid w:val="007D3E1E"/>
    <w:rsid w:val="007D4A5A"/>
    <w:rsid w:val="007D5846"/>
    <w:rsid w:val="007D608A"/>
    <w:rsid w:val="007D6B82"/>
    <w:rsid w:val="007D6C5E"/>
    <w:rsid w:val="007D6FA6"/>
    <w:rsid w:val="007D70CB"/>
    <w:rsid w:val="007D74FD"/>
    <w:rsid w:val="007E00E2"/>
    <w:rsid w:val="007E03E9"/>
    <w:rsid w:val="007E077D"/>
    <w:rsid w:val="007E0FF2"/>
    <w:rsid w:val="007E105C"/>
    <w:rsid w:val="007E11F1"/>
    <w:rsid w:val="007E1934"/>
    <w:rsid w:val="007E2182"/>
    <w:rsid w:val="007E2BE8"/>
    <w:rsid w:val="007E4C91"/>
    <w:rsid w:val="007E6303"/>
    <w:rsid w:val="007E69FD"/>
    <w:rsid w:val="007F0CAF"/>
    <w:rsid w:val="007F1004"/>
    <w:rsid w:val="007F164B"/>
    <w:rsid w:val="007F1C58"/>
    <w:rsid w:val="007F3DDD"/>
    <w:rsid w:val="007F4345"/>
    <w:rsid w:val="007F52C7"/>
    <w:rsid w:val="007F54AB"/>
    <w:rsid w:val="007F5742"/>
    <w:rsid w:val="007F57CD"/>
    <w:rsid w:val="007F64C2"/>
    <w:rsid w:val="007F773A"/>
    <w:rsid w:val="008005F1"/>
    <w:rsid w:val="008009E5"/>
    <w:rsid w:val="00800B16"/>
    <w:rsid w:val="00801593"/>
    <w:rsid w:val="00802294"/>
    <w:rsid w:val="008039CA"/>
    <w:rsid w:val="00803AA6"/>
    <w:rsid w:val="00803D8B"/>
    <w:rsid w:val="00803F2C"/>
    <w:rsid w:val="00804093"/>
    <w:rsid w:val="00804735"/>
    <w:rsid w:val="008049A8"/>
    <w:rsid w:val="00804ACC"/>
    <w:rsid w:val="00805292"/>
    <w:rsid w:val="00805A1D"/>
    <w:rsid w:val="00805EA7"/>
    <w:rsid w:val="00806082"/>
    <w:rsid w:val="008061DB"/>
    <w:rsid w:val="00806439"/>
    <w:rsid w:val="00806C55"/>
    <w:rsid w:val="00806D2A"/>
    <w:rsid w:val="00806E90"/>
    <w:rsid w:val="008100A1"/>
    <w:rsid w:val="00811508"/>
    <w:rsid w:val="00811B1D"/>
    <w:rsid w:val="00812046"/>
    <w:rsid w:val="00814A23"/>
    <w:rsid w:val="00814FDF"/>
    <w:rsid w:val="008152A0"/>
    <w:rsid w:val="00816332"/>
    <w:rsid w:val="00816B06"/>
    <w:rsid w:val="0081708D"/>
    <w:rsid w:val="00817675"/>
    <w:rsid w:val="00820107"/>
    <w:rsid w:val="00820383"/>
    <w:rsid w:val="008207FB"/>
    <w:rsid w:val="00820DD8"/>
    <w:rsid w:val="00821D99"/>
    <w:rsid w:val="00821FDB"/>
    <w:rsid w:val="00822205"/>
    <w:rsid w:val="008231D0"/>
    <w:rsid w:val="00823B85"/>
    <w:rsid w:val="008245E9"/>
    <w:rsid w:val="00824A09"/>
    <w:rsid w:val="00825CD9"/>
    <w:rsid w:val="00826E24"/>
    <w:rsid w:val="00827A91"/>
    <w:rsid w:val="00827AA3"/>
    <w:rsid w:val="00830B69"/>
    <w:rsid w:val="008321E1"/>
    <w:rsid w:val="008334B2"/>
    <w:rsid w:val="00834063"/>
    <w:rsid w:val="0083479A"/>
    <w:rsid w:val="008350E1"/>
    <w:rsid w:val="00835E42"/>
    <w:rsid w:val="00835F2D"/>
    <w:rsid w:val="00837C87"/>
    <w:rsid w:val="0084019A"/>
    <w:rsid w:val="008420A3"/>
    <w:rsid w:val="00842784"/>
    <w:rsid w:val="00842BE6"/>
    <w:rsid w:val="0084391E"/>
    <w:rsid w:val="00845497"/>
    <w:rsid w:val="00845697"/>
    <w:rsid w:val="008457FA"/>
    <w:rsid w:val="00846224"/>
    <w:rsid w:val="00846E15"/>
    <w:rsid w:val="008470E2"/>
    <w:rsid w:val="00847AF8"/>
    <w:rsid w:val="008508E0"/>
    <w:rsid w:val="0085092F"/>
    <w:rsid w:val="0085337C"/>
    <w:rsid w:val="0085417D"/>
    <w:rsid w:val="008548E8"/>
    <w:rsid w:val="00856B08"/>
    <w:rsid w:val="00860B80"/>
    <w:rsid w:val="008614A4"/>
    <w:rsid w:val="00862232"/>
    <w:rsid w:val="008626EA"/>
    <w:rsid w:val="008628B0"/>
    <w:rsid w:val="00864AFC"/>
    <w:rsid w:val="008654B7"/>
    <w:rsid w:val="00866BA6"/>
    <w:rsid w:val="008670DA"/>
    <w:rsid w:val="00870CA9"/>
    <w:rsid w:val="0087117B"/>
    <w:rsid w:val="008714A2"/>
    <w:rsid w:val="008715D5"/>
    <w:rsid w:val="00871B2C"/>
    <w:rsid w:val="008721D6"/>
    <w:rsid w:val="00875743"/>
    <w:rsid w:val="00875857"/>
    <w:rsid w:val="00875EC0"/>
    <w:rsid w:val="008761BA"/>
    <w:rsid w:val="008763BE"/>
    <w:rsid w:val="00876426"/>
    <w:rsid w:val="00876DC3"/>
    <w:rsid w:val="0087759B"/>
    <w:rsid w:val="0087782A"/>
    <w:rsid w:val="00877B23"/>
    <w:rsid w:val="00877DEA"/>
    <w:rsid w:val="008805D7"/>
    <w:rsid w:val="00881214"/>
    <w:rsid w:val="0088289F"/>
    <w:rsid w:val="00882E13"/>
    <w:rsid w:val="008830C3"/>
    <w:rsid w:val="0088438F"/>
    <w:rsid w:val="0088451C"/>
    <w:rsid w:val="00885283"/>
    <w:rsid w:val="008855A2"/>
    <w:rsid w:val="00885692"/>
    <w:rsid w:val="008871D9"/>
    <w:rsid w:val="00891887"/>
    <w:rsid w:val="00891A39"/>
    <w:rsid w:val="00891C0B"/>
    <w:rsid w:val="00891C2A"/>
    <w:rsid w:val="008926A0"/>
    <w:rsid w:val="00894673"/>
    <w:rsid w:val="00894D14"/>
    <w:rsid w:val="008958D2"/>
    <w:rsid w:val="00895AC9"/>
    <w:rsid w:val="0089616D"/>
    <w:rsid w:val="00896BC9"/>
    <w:rsid w:val="00896FEA"/>
    <w:rsid w:val="008975B9"/>
    <w:rsid w:val="0089781A"/>
    <w:rsid w:val="008979EE"/>
    <w:rsid w:val="008A0088"/>
    <w:rsid w:val="008A0244"/>
    <w:rsid w:val="008A05E1"/>
    <w:rsid w:val="008A0852"/>
    <w:rsid w:val="008A0A0A"/>
    <w:rsid w:val="008A3AEF"/>
    <w:rsid w:val="008A4CCC"/>
    <w:rsid w:val="008A5202"/>
    <w:rsid w:val="008B0224"/>
    <w:rsid w:val="008B0AFE"/>
    <w:rsid w:val="008B0D97"/>
    <w:rsid w:val="008B118E"/>
    <w:rsid w:val="008B1A16"/>
    <w:rsid w:val="008B1DE9"/>
    <w:rsid w:val="008B209D"/>
    <w:rsid w:val="008B2FCB"/>
    <w:rsid w:val="008B30F1"/>
    <w:rsid w:val="008B3638"/>
    <w:rsid w:val="008B4550"/>
    <w:rsid w:val="008B5B0A"/>
    <w:rsid w:val="008B655C"/>
    <w:rsid w:val="008B669A"/>
    <w:rsid w:val="008B66B2"/>
    <w:rsid w:val="008B66ED"/>
    <w:rsid w:val="008B79F5"/>
    <w:rsid w:val="008B7DED"/>
    <w:rsid w:val="008C006C"/>
    <w:rsid w:val="008C10A7"/>
    <w:rsid w:val="008C1879"/>
    <w:rsid w:val="008C1E03"/>
    <w:rsid w:val="008C2D44"/>
    <w:rsid w:val="008C369C"/>
    <w:rsid w:val="008C3BA2"/>
    <w:rsid w:val="008C4B11"/>
    <w:rsid w:val="008C4DD7"/>
    <w:rsid w:val="008C5EAA"/>
    <w:rsid w:val="008C6175"/>
    <w:rsid w:val="008C6827"/>
    <w:rsid w:val="008C6F4C"/>
    <w:rsid w:val="008C7514"/>
    <w:rsid w:val="008C7FC4"/>
    <w:rsid w:val="008D02E5"/>
    <w:rsid w:val="008D116B"/>
    <w:rsid w:val="008D1DB3"/>
    <w:rsid w:val="008D2712"/>
    <w:rsid w:val="008D428C"/>
    <w:rsid w:val="008D488F"/>
    <w:rsid w:val="008D5195"/>
    <w:rsid w:val="008D78BF"/>
    <w:rsid w:val="008E08A7"/>
    <w:rsid w:val="008E2029"/>
    <w:rsid w:val="008E22CF"/>
    <w:rsid w:val="008E2821"/>
    <w:rsid w:val="008E3407"/>
    <w:rsid w:val="008E3B20"/>
    <w:rsid w:val="008E3BAE"/>
    <w:rsid w:val="008E50F5"/>
    <w:rsid w:val="008E5FEE"/>
    <w:rsid w:val="008E64E8"/>
    <w:rsid w:val="008E6836"/>
    <w:rsid w:val="008E6D6A"/>
    <w:rsid w:val="008E732B"/>
    <w:rsid w:val="008F05DB"/>
    <w:rsid w:val="008F1A9E"/>
    <w:rsid w:val="008F2216"/>
    <w:rsid w:val="008F3AEF"/>
    <w:rsid w:val="008F4040"/>
    <w:rsid w:val="008F44ED"/>
    <w:rsid w:val="008F4B5A"/>
    <w:rsid w:val="008F56DD"/>
    <w:rsid w:val="008F583A"/>
    <w:rsid w:val="008F5878"/>
    <w:rsid w:val="008F6232"/>
    <w:rsid w:val="008F6852"/>
    <w:rsid w:val="008F7170"/>
    <w:rsid w:val="009018A9"/>
    <w:rsid w:val="0090264A"/>
    <w:rsid w:val="00902C2A"/>
    <w:rsid w:val="00904195"/>
    <w:rsid w:val="009043CD"/>
    <w:rsid w:val="00904DF4"/>
    <w:rsid w:val="0090502C"/>
    <w:rsid w:val="00905FDF"/>
    <w:rsid w:val="009067C4"/>
    <w:rsid w:val="009100D1"/>
    <w:rsid w:val="00911921"/>
    <w:rsid w:val="009125DF"/>
    <w:rsid w:val="00912888"/>
    <w:rsid w:val="00913390"/>
    <w:rsid w:val="00913518"/>
    <w:rsid w:val="00913620"/>
    <w:rsid w:val="009148FF"/>
    <w:rsid w:val="00914D93"/>
    <w:rsid w:val="00914DEC"/>
    <w:rsid w:val="00916562"/>
    <w:rsid w:val="00916C5F"/>
    <w:rsid w:val="00916DDD"/>
    <w:rsid w:val="00916FD9"/>
    <w:rsid w:val="009178C9"/>
    <w:rsid w:val="009179AB"/>
    <w:rsid w:val="00917AF3"/>
    <w:rsid w:val="00921360"/>
    <w:rsid w:val="00921A8F"/>
    <w:rsid w:val="00922121"/>
    <w:rsid w:val="0092269B"/>
    <w:rsid w:val="0092299C"/>
    <w:rsid w:val="00923B68"/>
    <w:rsid w:val="009248CB"/>
    <w:rsid w:val="009257EF"/>
    <w:rsid w:val="00925ABC"/>
    <w:rsid w:val="00926925"/>
    <w:rsid w:val="009306AC"/>
    <w:rsid w:val="00930E7A"/>
    <w:rsid w:val="00934646"/>
    <w:rsid w:val="0093586A"/>
    <w:rsid w:val="00935ED6"/>
    <w:rsid w:val="00936502"/>
    <w:rsid w:val="009373AF"/>
    <w:rsid w:val="0093748A"/>
    <w:rsid w:val="009377D8"/>
    <w:rsid w:val="0093786D"/>
    <w:rsid w:val="00940E1D"/>
    <w:rsid w:val="009411B2"/>
    <w:rsid w:val="0094567F"/>
    <w:rsid w:val="0094578A"/>
    <w:rsid w:val="00945922"/>
    <w:rsid w:val="00945E5A"/>
    <w:rsid w:val="00946335"/>
    <w:rsid w:val="00946BC2"/>
    <w:rsid w:val="0094721A"/>
    <w:rsid w:val="009475BC"/>
    <w:rsid w:val="0094785C"/>
    <w:rsid w:val="009479E3"/>
    <w:rsid w:val="00947CA2"/>
    <w:rsid w:val="009505E2"/>
    <w:rsid w:val="0095149D"/>
    <w:rsid w:val="0095152D"/>
    <w:rsid w:val="009517A8"/>
    <w:rsid w:val="00952EB2"/>
    <w:rsid w:val="0095319E"/>
    <w:rsid w:val="00953A87"/>
    <w:rsid w:val="00954D1A"/>
    <w:rsid w:val="00955167"/>
    <w:rsid w:val="009554F1"/>
    <w:rsid w:val="009555D7"/>
    <w:rsid w:val="00956497"/>
    <w:rsid w:val="00957573"/>
    <w:rsid w:val="00960D24"/>
    <w:rsid w:val="009620B3"/>
    <w:rsid w:val="00962914"/>
    <w:rsid w:val="00965333"/>
    <w:rsid w:val="00965722"/>
    <w:rsid w:val="0096603E"/>
    <w:rsid w:val="009662E1"/>
    <w:rsid w:val="009703EB"/>
    <w:rsid w:val="009704B9"/>
    <w:rsid w:val="00970FF2"/>
    <w:rsid w:val="00972332"/>
    <w:rsid w:val="009725E9"/>
    <w:rsid w:val="00972D01"/>
    <w:rsid w:val="00973603"/>
    <w:rsid w:val="00973800"/>
    <w:rsid w:val="0097396F"/>
    <w:rsid w:val="009746AA"/>
    <w:rsid w:val="009748A4"/>
    <w:rsid w:val="00974B04"/>
    <w:rsid w:val="00975D3D"/>
    <w:rsid w:val="00975DB0"/>
    <w:rsid w:val="00975FEC"/>
    <w:rsid w:val="00980DA5"/>
    <w:rsid w:val="009813A0"/>
    <w:rsid w:val="00981D35"/>
    <w:rsid w:val="009827B9"/>
    <w:rsid w:val="00982A8F"/>
    <w:rsid w:val="00984037"/>
    <w:rsid w:val="009848B6"/>
    <w:rsid w:val="00985B6E"/>
    <w:rsid w:val="00985B9A"/>
    <w:rsid w:val="0098608A"/>
    <w:rsid w:val="009863D7"/>
    <w:rsid w:val="00986FE0"/>
    <w:rsid w:val="00987765"/>
    <w:rsid w:val="009877B4"/>
    <w:rsid w:val="00987F01"/>
    <w:rsid w:val="00990518"/>
    <w:rsid w:val="00990BF6"/>
    <w:rsid w:val="00991666"/>
    <w:rsid w:val="00991D11"/>
    <w:rsid w:val="00991D7A"/>
    <w:rsid w:val="00991E7E"/>
    <w:rsid w:val="00992799"/>
    <w:rsid w:val="009937A0"/>
    <w:rsid w:val="0099429F"/>
    <w:rsid w:val="00994966"/>
    <w:rsid w:val="00995F96"/>
    <w:rsid w:val="00996258"/>
    <w:rsid w:val="009973BC"/>
    <w:rsid w:val="009A0C72"/>
    <w:rsid w:val="009A25F2"/>
    <w:rsid w:val="009A2895"/>
    <w:rsid w:val="009A2962"/>
    <w:rsid w:val="009A2A02"/>
    <w:rsid w:val="009A338C"/>
    <w:rsid w:val="009A3909"/>
    <w:rsid w:val="009A4981"/>
    <w:rsid w:val="009A54EE"/>
    <w:rsid w:val="009A6168"/>
    <w:rsid w:val="009A669E"/>
    <w:rsid w:val="009A6D07"/>
    <w:rsid w:val="009A7408"/>
    <w:rsid w:val="009A76C4"/>
    <w:rsid w:val="009A7DBF"/>
    <w:rsid w:val="009A7E93"/>
    <w:rsid w:val="009B233B"/>
    <w:rsid w:val="009B2486"/>
    <w:rsid w:val="009B2D67"/>
    <w:rsid w:val="009B2DE8"/>
    <w:rsid w:val="009B2EA0"/>
    <w:rsid w:val="009B2F08"/>
    <w:rsid w:val="009B519D"/>
    <w:rsid w:val="009B667C"/>
    <w:rsid w:val="009B68D7"/>
    <w:rsid w:val="009B7895"/>
    <w:rsid w:val="009B7B96"/>
    <w:rsid w:val="009C0000"/>
    <w:rsid w:val="009C1A46"/>
    <w:rsid w:val="009C3591"/>
    <w:rsid w:val="009C3E1B"/>
    <w:rsid w:val="009C3EE2"/>
    <w:rsid w:val="009C6227"/>
    <w:rsid w:val="009C78E5"/>
    <w:rsid w:val="009D0575"/>
    <w:rsid w:val="009D0629"/>
    <w:rsid w:val="009D0D66"/>
    <w:rsid w:val="009D0E0C"/>
    <w:rsid w:val="009D0EAA"/>
    <w:rsid w:val="009D2FF1"/>
    <w:rsid w:val="009D4368"/>
    <w:rsid w:val="009D5AAC"/>
    <w:rsid w:val="009D6319"/>
    <w:rsid w:val="009D759C"/>
    <w:rsid w:val="009D7AA1"/>
    <w:rsid w:val="009D7B4C"/>
    <w:rsid w:val="009E1091"/>
    <w:rsid w:val="009E1383"/>
    <w:rsid w:val="009E1DDA"/>
    <w:rsid w:val="009E2303"/>
    <w:rsid w:val="009E3693"/>
    <w:rsid w:val="009E3ED1"/>
    <w:rsid w:val="009E405A"/>
    <w:rsid w:val="009E4098"/>
    <w:rsid w:val="009E48EE"/>
    <w:rsid w:val="009E50BB"/>
    <w:rsid w:val="009E5A5E"/>
    <w:rsid w:val="009E610C"/>
    <w:rsid w:val="009E6C8E"/>
    <w:rsid w:val="009E6F3E"/>
    <w:rsid w:val="009E7CF1"/>
    <w:rsid w:val="009F026A"/>
    <w:rsid w:val="009F1F7F"/>
    <w:rsid w:val="009F21F2"/>
    <w:rsid w:val="009F2FCE"/>
    <w:rsid w:val="009F4D4B"/>
    <w:rsid w:val="009F5166"/>
    <w:rsid w:val="009F5929"/>
    <w:rsid w:val="009F6438"/>
    <w:rsid w:val="009F64D5"/>
    <w:rsid w:val="009F7B90"/>
    <w:rsid w:val="00A01B9E"/>
    <w:rsid w:val="00A02355"/>
    <w:rsid w:val="00A02936"/>
    <w:rsid w:val="00A02D3F"/>
    <w:rsid w:val="00A033CD"/>
    <w:rsid w:val="00A04DC1"/>
    <w:rsid w:val="00A057B9"/>
    <w:rsid w:val="00A05881"/>
    <w:rsid w:val="00A05FEA"/>
    <w:rsid w:val="00A066D1"/>
    <w:rsid w:val="00A07479"/>
    <w:rsid w:val="00A07B45"/>
    <w:rsid w:val="00A107F6"/>
    <w:rsid w:val="00A12451"/>
    <w:rsid w:val="00A130A0"/>
    <w:rsid w:val="00A132CE"/>
    <w:rsid w:val="00A137D5"/>
    <w:rsid w:val="00A137EE"/>
    <w:rsid w:val="00A14152"/>
    <w:rsid w:val="00A142DC"/>
    <w:rsid w:val="00A143C4"/>
    <w:rsid w:val="00A146CA"/>
    <w:rsid w:val="00A149B3"/>
    <w:rsid w:val="00A15B6D"/>
    <w:rsid w:val="00A15F6F"/>
    <w:rsid w:val="00A16377"/>
    <w:rsid w:val="00A16BC0"/>
    <w:rsid w:val="00A16BD5"/>
    <w:rsid w:val="00A22200"/>
    <w:rsid w:val="00A22A48"/>
    <w:rsid w:val="00A2340C"/>
    <w:rsid w:val="00A2425F"/>
    <w:rsid w:val="00A24464"/>
    <w:rsid w:val="00A24C74"/>
    <w:rsid w:val="00A25DF6"/>
    <w:rsid w:val="00A273E6"/>
    <w:rsid w:val="00A278D7"/>
    <w:rsid w:val="00A310D2"/>
    <w:rsid w:val="00A319D6"/>
    <w:rsid w:val="00A32732"/>
    <w:rsid w:val="00A33005"/>
    <w:rsid w:val="00A3439A"/>
    <w:rsid w:val="00A34473"/>
    <w:rsid w:val="00A344E7"/>
    <w:rsid w:val="00A345B9"/>
    <w:rsid w:val="00A34FBC"/>
    <w:rsid w:val="00A3571A"/>
    <w:rsid w:val="00A3584F"/>
    <w:rsid w:val="00A3606F"/>
    <w:rsid w:val="00A36823"/>
    <w:rsid w:val="00A37A44"/>
    <w:rsid w:val="00A37A73"/>
    <w:rsid w:val="00A40142"/>
    <w:rsid w:val="00A4081B"/>
    <w:rsid w:val="00A41FB4"/>
    <w:rsid w:val="00A424A6"/>
    <w:rsid w:val="00A428A3"/>
    <w:rsid w:val="00A431F6"/>
    <w:rsid w:val="00A434E7"/>
    <w:rsid w:val="00A44044"/>
    <w:rsid w:val="00A44423"/>
    <w:rsid w:val="00A44C25"/>
    <w:rsid w:val="00A44F9E"/>
    <w:rsid w:val="00A45F63"/>
    <w:rsid w:val="00A46D42"/>
    <w:rsid w:val="00A4793E"/>
    <w:rsid w:val="00A47F66"/>
    <w:rsid w:val="00A5013C"/>
    <w:rsid w:val="00A505CE"/>
    <w:rsid w:val="00A50902"/>
    <w:rsid w:val="00A5183B"/>
    <w:rsid w:val="00A53116"/>
    <w:rsid w:val="00A5335D"/>
    <w:rsid w:val="00A53DF2"/>
    <w:rsid w:val="00A54320"/>
    <w:rsid w:val="00A546E7"/>
    <w:rsid w:val="00A5714C"/>
    <w:rsid w:val="00A57298"/>
    <w:rsid w:val="00A6071D"/>
    <w:rsid w:val="00A629B0"/>
    <w:rsid w:val="00A641FA"/>
    <w:rsid w:val="00A65539"/>
    <w:rsid w:val="00A65FF4"/>
    <w:rsid w:val="00A66747"/>
    <w:rsid w:val="00A67E7E"/>
    <w:rsid w:val="00A67EF4"/>
    <w:rsid w:val="00A67F2D"/>
    <w:rsid w:val="00A70BCC"/>
    <w:rsid w:val="00A70CBF"/>
    <w:rsid w:val="00A71A8E"/>
    <w:rsid w:val="00A72931"/>
    <w:rsid w:val="00A72A9E"/>
    <w:rsid w:val="00A7342B"/>
    <w:rsid w:val="00A74965"/>
    <w:rsid w:val="00A7548D"/>
    <w:rsid w:val="00A75E6D"/>
    <w:rsid w:val="00A75E83"/>
    <w:rsid w:val="00A76225"/>
    <w:rsid w:val="00A76316"/>
    <w:rsid w:val="00A77469"/>
    <w:rsid w:val="00A77586"/>
    <w:rsid w:val="00A77723"/>
    <w:rsid w:val="00A77F9C"/>
    <w:rsid w:val="00A801BC"/>
    <w:rsid w:val="00A81DA2"/>
    <w:rsid w:val="00A83A79"/>
    <w:rsid w:val="00A83E68"/>
    <w:rsid w:val="00A85507"/>
    <w:rsid w:val="00A8619E"/>
    <w:rsid w:val="00A86263"/>
    <w:rsid w:val="00A86B17"/>
    <w:rsid w:val="00A874FE"/>
    <w:rsid w:val="00A8759D"/>
    <w:rsid w:val="00A877FC"/>
    <w:rsid w:val="00A87C53"/>
    <w:rsid w:val="00A87E66"/>
    <w:rsid w:val="00A902D3"/>
    <w:rsid w:val="00A90552"/>
    <w:rsid w:val="00A93365"/>
    <w:rsid w:val="00A938B3"/>
    <w:rsid w:val="00A945A5"/>
    <w:rsid w:val="00A95297"/>
    <w:rsid w:val="00A962AE"/>
    <w:rsid w:val="00A968FB"/>
    <w:rsid w:val="00A97E93"/>
    <w:rsid w:val="00AA03D9"/>
    <w:rsid w:val="00AA17B8"/>
    <w:rsid w:val="00AA2474"/>
    <w:rsid w:val="00AA29F1"/>
    <w:rsid w:val="00AA2CC2"/>
    <w:rsid w:val="00AA2FE2"/>
    <w:rsid w:val="00AA4B86"/>
    <w:rsid w:val="00AA585D"/>
    <w:rsid w:val="00AA6F08"/>
    <w:rsid w:val="00AA70E0"/>
    <w:rsid w:val="00AA7BB0"/>
    <w:rsid w:val="00AB0028"/>
    <w:rsid w:val="00AB00B2"/>
    <w:rsid w:val="00AB06A3"/>
    <w:rsid w:val="00AB19B7"/>
    <w:rsid w:val="00AB2A16"/>
    <w:rsid w:val="00AB2FB9"/>
    <w:rsid w:val="00AB3743"/>
    <w:rsid w:val="00AB49A5"/>
    <w:rsid w:val="00AB53F6"/>
    <w:rsid w:val="00AB5780"/>
    <w:rsid w:val="00AB57E5"/>
    <w:rsid w:val="00AB58F8"/>
    <w:rsid w:val="00AB70C8"/>
    <w:rsid w:val="00AB7D75"/>
    <w:rsid w:val="00AC19E2"/>
    <w:rsid w:val="00AC34D1"/>
    <w:rsid w:val="00AC3F2B"/>
    <w:rsid w:val="00AC49A0"/>
    <w:rsid w:val="00AC5184"/>
    <w:rsid w:val="00AC60FD"/>
    <w:rsid w:val="00AC6161"/>
    <w:rsid w:val="00AC79A1"/>
    <w:rsid w:val="00AD172B"/>
    <w:rsid w:val="00AD1ACD"/>
    <w:rsid w:val="00AD3395"/>
    <w:rsid w:val="00AD4DD5"/>
    <w:rsid w:val="00AD5418"/>
    <w:rsid w:val="00AD66F2"/>
    <w:rsid w:val="00AD7EEB"/>
    <w:rsid w:val="00AE0754"/>
    <w:rsid w:val="00AE0ABD"/>
    <w:rsid w:val="00AE0B5C"/>
    <w:rsid w:val="00AE0FED"/>
    <w:rsid w:val="00AE108A"/>
    <w:rsid w:val="00AE2E6C"/>
    <w:rsid w:val="00AE2FA3"/>
    <w:rsid w:val="00AE335C"/>
    <w:rsid w:val="00AE3878"/>
    <w:rsid w:val="00AE3BEC"/>
    <w:rsid w:val="00AE454A"/>
    <w:rsid w:val="00AE4BF2"/>
    <w:rsid w:val="00AE5028"/>
    <w:rsid w:val="00AE69A7"/>
    <w:rsid w:val="00AF0913"/>
    <w:rsid w:val="00AF18D0"/>
    <w:rsid w:val="00AF2E31"/>
    <w:rsid w:val="00AF36B9"/>
    <w:rsid w:val="00AF3F22"/>
    <w:rsid w:val="00AF5FE2"/>
    <w:rsid w:val="00AF6AB1"/>
    <w:rsid w:val="00AF7A59"/>
    <w:rsid w:val="00B00763"/>
    <w:rsid w:val="00B015EC"/>
    <w:rsid w:val="00B01E28"/>
    <w:rsid w:val="00B01FE5"/>
    <w:rsid w:val="00B02644"/>
    <w:rsid w:val="00B03B32"/>
    <w:rsid w:val="00B04340"/>
    <w:rsid w:val="00B04FC4"/>
    <w:rsid w:val="00B0612C"/>
    <w:rsid w:val="00B07739"/>
    <w:rsid w:val="00B10A36"/>
    <w:rsid w:val="00B10F4F"/>
    <w:rsid w:val="00B11AC0"/>
    <w:rsid w:val="00B11E3F"/>
    <w:rsid w:val="00B13940"/>
    <w:rsid w:val="00B14DD5"/>
    <w:rsid w:val="00B14E65"/>
    <w:rsid w:val="00B14E9B"/>
    <w:rsid w:val="00B1556F"/>
    <w:rsid w:val="00B15774"/>
    <w:rsid w:val="00B16FAD"/>
    <w:rsid w:val="00B20761"/>
    <w:rsid w:val="00B20C9E"/>
    <w:rsid w:val="00B20CD5"/>
    <w:rsid w:val="00B22361"/>
    <w:rsid w:val="00B22A3B"/>
    <w:rsid w:val="00B23B1E"/>
    <w:rsid w:val="00B23E13"/>
    <w:rsid w:val="00B24442"/>
    <w:rsid w:val="00B2448D"/>
    <w:rsid w:val="00B244C7"/>
    <w:rsid w:val="00B24B3D"/>
    <w:rsid w:val="00B24EF6"/>
    <w:rsid w:val="00B24F52"/>
    <w:rsid w:val="00B253DB"/>
    <w:rsid w:val="00B256DA"/>
    <w:rsid w:val="00B274E4"/>
    <w:rsid w:val="00B27E7C"/>
    <w:rsid w:val="00B30D57"/>
    <w:rsid w:val="00B31120"/>
    <w:rsid w:val="00B314C3"/>
    <w:rsid w:val="00B3183D"/>
    <w:rsid w:val="00B318CB"/>
    <w:rsid w:val="00B31974"/>
    <w:rsid w:val="00B330E7"/>
    <w:rsid w:val="00B33A3A"/>
    <w:rsid w:val="00B33A64"/>
    <w:rsid w:val="00B3415E"/>
    <w:rsid w:val="00B35128"/>
    <w:rsid w:val="00B36F30"/>
    <w:rsid w:val="00B371AD"/>
    <w:rsid w:val="00B3731D"/>
    <w:rsid w:val="00B37588"/>
    <w:rsid w:val="00B4144D"/>
    <w:rsid w:val="00B41D0A"/>
    <w:rsid w:val="00B420A8"/>
    <w:rsid w:val="00B424E2"/>
    <w:rsid w:val="00B43AA6"/>
    <w:rsid w:val="00B43E83"/>
    <w:rsid w:val="00B43F9A"/>
    <w:rsid w:val="00B44C18"/>
    <w:rsid w:val="00B45D63"/>
    <w:rsid w:val="00B46441"/>
    <w:rsid w:val="00B50B38"/>
    <w:rsid w:val="00B5111D"/>
    <w:rsid w:val="00B5134B"/>
    <w:rsid w:val="00B52F9E"/>
    <w:rsid w:val="00B54117"/>
    <w:rsid w:val="00B549EF"/>
    <w:rsid w:val="00B55982"/>
    <w:rsid w:val="00B55CA6"/>
    <w:rsid w:val="00B55EEE"/>
    <w:rsid w:val="00B56CC8"/>
    <w:rsid w:val="00B56E1D"/>
    <w:rsid w:val="00B57276"/>
    <w:rsid w:val="00B57AD8"/>
    <w:rsid w:val="00B603EC"/>
    <w:rsid w:val="00B60908"/>
    <w:rsid w:val="00B61359"/>
    <w:rsid w:val="00B61F85"/>
    <w:rsid w:val="00B620DE"/>
    <w:rsid w:val="00B6271E"/>
    <w:rsid w:val="00B62B4B"/>
    <w:rsid w:val="00B62E1F"/>
    <w:rsid w:val="00B639A4"/>
    <w:rsid w:val="00B63D51"/>
    <w:rsid w:val="00B642D0"/>
    <w:rsid w:val="00B64974"/>
    <w:rsid w:val="00B6557C"/>
    <w:rsid w:val="00B65872"/>
    <w:rsid w:val="00B65886"/>
    <w:rsid w:val="00B65B8D"/>
    <w:rsid w:val="00B65ED1"/>
    <w:rsid w:val="00B66324"/>
    <w:rsid w:val="00B668A3"/>
    <w:rsid w:val="00B668D0"/>
    <w:rsid w:val="00B67026"/>
    <w:rsid w:val="00B676EA"/>
    <w:rsid w:val="00B67BC7"/>
    <w:rsid w:val="00B70047"/>
    <w:rsid w:val="00B70D6F"/>
    <w:rsid w:val="00B70F65"/>
    <w:rsid w:val="00B7331A"/>
    <w:rsid w:val="00B738F3"/>
    <w:rsid w:val="00B73B58"/>
    <w:rsid w:val="00B73E64"/>
    <w:rsid w:val="00B73EF4"/>
    <w:rsid w:val="00B744F0"/>
    <w:rsid w:val="00B76208"/>
    <w:rsid w:val="00B76FE9"/>
    <w:rsid w:val="00B775E6"/>
    <w:rsid w:val="00B80751"/>
    <w:rsid w:val="00B80A7B"/>
    <w:rsid w:val="00B811FC"/>
    <w:rsid w:val="00B828FF"/>
    <w:rsid w:val="00B830AA"/>
    <w:rsid w:val="00B83276"/>
    <w:rsid w:val="00B84125"/>
    <w:rsid w:val="00B84934"/>
    <w:rsid w:val="00B85F22"/>
    <w:rsid w:val="00B862D2"/>
    <w:rsid w:val="00B86C7E"/>
    <w:rsid w:val="00B8748E"/>
    <w:rsid w:val="00B903A9"/>
    <w:rsid w:val="00B90443"/>
    <w:rsid w:val="00B90992"/>
    <w:rsid w:val="00B90B51"/>
    <w:rsid w:val="00B91C44"/>
    <w:rsid w:val="00B91CE2"/>
    <w:rsid w:val="00B92625"/>
    <w:rsid w:val="00B92CCC"/>
    <w:rsid w:val="00B9623A"/>
    <w:rsid w:val="00B96B14"/>
    <w:rsid w:val="00B96DF8"/>
    <w:rsid w:val="00B97DF9"/>
    <w:rsid w:val="00BA01E1"/>
    <w:rsid w:val="00BA06DF"/>
    <w:rsid w:val="00BA08E3"/>
    <w:rsid w:val="00BA099D"/>
    <w:rsid w:val="00BA13C5"/>
    <w:rsid w:val="00BA35E2"/>
    <w:rsid w:val="00BA3799"/>
    <w:rsid w:val="00BA42A9"/>
    <w:rsid w:val="00BA57C6"/>
    <w:rsid w:val="00BA5E19"/>
    <w:rsid w:val="00BA6E33"/>
    <w:rsid w:val="00BA787C"/>
    <w:rsid w:val="00BA7C85"/>
    <w:rsid w:val="00BB03B6"/>
    <w:rsid w:val="00BB0AE7"/>
    <w:rsid w:val="00BB0F49"/>
    <w:rsid w:val="00BB1B1A"/>
    <w:rsid w:val="00BB397C"/>
    <w:rsid w:val="00BB3E80"/>
    <w:rsid w:val="00BB41DB"/>
    <w:rsid w:val="00BB56FA"/>
    <w:rsid w:val="00BB5B56"/>
    <w:rsid w:val="00BB6243"/>
    <w:rsid w:val="00BB6282"/>
    <w:rsid w:val="00BB6444"/>
    <w:rsid w:val="00BB7B5C"/>
    <w:rsid w:val="00BC062D"/>
    <w:rsid w:val="00BC0EC6"/>
    <w:rsid w:val="00BC3388"/>
    <w:rsid w:val="00BC6E06"/>
    <w:rsid w:val="00BC6F99"/>
    <w:rsid w:val="00BD00A7"/>
    <w:rsid w:val="00BD02DF"/>
    <w:rsid w:val="00BD0300"/>
    <w:rsid w:val="00BD0600"/>
    <w:rsid w:val="00BD1E4D"/>
    <w:rsid w:val="00BD1E66"/>
    <w:rsid w:val="00BD39F0"/>
    <w:rsid w:val="00BD3ABA"/>
    <w:rsid w:val="00BD42FA"/>
    <w:rsid w:val="00BD49D9"/>
    <w:rsid w:val="00BD56B8"/>
    <w:rsid w:val="00BD6B04"/>
    <w:rsid w:val="00BE0A9D"/>
    <w:rsid w:val="00BE1DF1"/>
    <w:rsid w:val="00BE1F47"/>
    <w:rsid w:val="00BE2244"/>
    <w:rsid w:val="00BE2364"/>
    <w:rsid w:val="00BE2AEF"/>
    <w:rsid w:val="00BE4748"/>
    <w:rsid w:val="00BE4AD0"/>
    <w:rsid w:val="00BE5A40"/>
    <w:rsid w:val="00BE68B4"/>
    <w:rsid w:val="00BE69A6"/>
    <w:rsid w:val="00BE79F9"/>
    <w:rsid w:val="00BF0976"/>
    <w:rsid w:val="00BF0BA0"/>
    <w:rsid w:val="00BF104C"/>
    <w:rsid w:val="00BF10BD"/>
    <w:rsid w:val="00BF14FC"/>
    <w:rsid w:val="00BF1789"/>
    <w:rsid w:val="00BF1CB7"/>
    <w:rsid w:val="00BF202D"/>
    <w:rsid w:val="00BF25F5"/>
    <w:rsid w:val="00BF33FE"/>
    <w:rsid w:val="00BF4409"/>
    <w:rsid w:val="00BF4C23"/>
    <w:rsid w:val="00BF5167"/>
    <w:rsid w:val="00BF58D1"/>
    <w:rsid w:val="00BF5AB2"/>
    <w:rsid w:val="00BF68A1"/>
    <w:rsid w:val="00BF6F8F"/>
    <w:rsid w:val="00BF6FD1"/>
    <w:rsid w:val="00BF725B"/>
    <w:rsid w:val="00BF7A18"/>
    <w:rsid w:val="00C0076A"/>
    <w:rsid w:val="00C007F4"/>
    <w:rsid w:val="00C00A8F"/>
    <w:rsid w:val="00C010CA"/>
    <w:rsid w:val="00C01196"/>
    <w:rsid w:val="00C01846"/>
    <w:rsid w:val="00C01C91"/>
    <w:rsid w:val="00C1040E"/>
    <w:rsid w:val="00C105D4"/>
    <w:rsid w:val="00C11EF3"/>
    <w:rsid w:val="00C12552"/>
    <w:rsid w:val="00C12779"/>
    <w:rsid w:val="00C12991"/>
    <w:rsid w:val="00C12FA1"/>
    <w:rsid w:val="00C12FFE"/>
    <w:rsid w:val="00C133A1"/>
    <w:rsid w:val="00C13977"/>
    <w:rsid w:val="00C14382"/>
    <w:rsid w:val="00C147A5"/>
    <w:rsid w:val="00C15045"/>
    <w:rsid w:val="00C15CD6"/>
    <w:rsid w:val="00C169F9"/>
    <w:rsid w:val="00C20724"/>
    <w:rsid w:val="00C20AD0"/>
    <w:rsid w:val="00C211B4"/>
    <w:rsid w:val="00C22D5C"/>
    <w:rsid w:val="00C238AD"/>
    <w:rsid w:val="00C23965"/>
    <w:rsid w:val="00C23DDA"/>
    <w:rsid w:val="00C24EAF"/>
    <w:rsid w:val="00C2601F"/>
    <w:rsid w:val="00C27AF7"/>
    <w:rsid w:val="00C300CD"/>
    <w:rsid w:val="00C312AE"/>
    <w:rsid w:val="00C332BD"/>
    <w:rsid w:val="00C3375D"/>
    <w:rsid w:val="00C34221"/>
    <w:rsid w:val="00C343C6"/>
    <w:rsid w:val="00C343E5"/>
    <w:rsid w:val="00C34E8F"/>
    <w:rsid w:val="00C34EF5"/>
    <w:rsid w:val="00C3504D"/>
    <w:rsid w:val="00C362F2"/>
    <w:rsid w:val="00C36CC9"/>
    <w:rsid w:val="00C40A3F"/>
    <w:rsid w:val="00C40AD9"/>
    <w:rsid w:val="00C415BB"/>
    <w:rsid w:val="00C4180F"/>
    <w:rsid w:val="00C41E73"/>
    <w:rsid w:val="00C42633"/>
    <w:rsid w:val="00C427CB"/>
    <w:rsid w:val="00C42B25"/>
    <w:rsid w:val="00C43A42"/>
    <w:rsid w:val="00C44EE0"/>
    <w:rsid w:val="00C46C28"/>
    <w:rsid w:val="00C47618"/>
    <w:rsid w:val="00C47C9E"/>
    <w:rsid w:val="00C502F1"/>
    <w:rsid w:val="00C50470"/>
    <w:rsid w:val="00C506DA"/>
    <w:rsid w:val="00C50B8B"/>
    <w:rsid w:val="00C516EE"/>
    <w:rsid w:val="00C526BC"/>
    <w:rsid w:val="00C56468"/>
    <w:rsid w:val="00C5673B"/>
    <w:rsid w:val="00C57870"/>
    <w:rsid w:val="00C578A6"/>
    <w:rsid w:val="00C57A02"/>
    <w:rsid w:val="00C62944"/>
    <w:rsid w:val="00C62CFD"/>
    <w:rsid w:val="00C6319B"/>
    <w:rsid w:val="00C63DAE"/>
    <w:rsid w:val="00C63EF1"/>
    <w:rsid w:val="00C65979"/>
    <w:rsid w:val="00C66452"/>
    <w:rsid w:val="00C66A39"/>
    <w:rsid w:val="00C66DEB"/>
    <w:rsid w:val="00C679B4"/>
    <w:rsid w:val="00C70429"/>
    <w:rsid w:val="00C706D2"/>
    <w:rsid w:val="00C70E1F"/>
    <w:rsid w:val="00C71563"/>
    <w:rsid w:val="00C71CEC"/>
    <w:rsid w:val="00C7344E"/>
    <w:rsid w:val="00C742DA"/>
    <w:rsid w:val="00C748ED"/>
    <w:rsid w:val="00C75026"/>
    <w:rsid w:val="00C757C7"/>
    <w:rsid w:val="00C75AB2"/>
    <w:rsid w:val="00C76AA2"/>
    <w:rsid w:val="00C779D9"/>
    <w:rsid w:val="00C806A7"/>
    <w:rsid w:val="00C8077D"/>
    <w:rsid w:val="00C80FA8"/>
    <w:rsid w:val="00C822C8"/>
    <w:rsid w:val="00C83C7F"/>
    <w:rsid w:val="00C8405E"/>
    <w:rsid w:val="00C84BC1"/>
    <w:rsid w:val="00C85335"/>
    <w:rsid w:val="00C8534B"/>
    <w:rsid w:val="00C8576F"/>
    <w:rsid w:val="00C865BF"/>
    <w:rsid w:val="00C8736F"/>
    <w:rsid w:val="00C8759F"/>
    <w:rsid w:val="00C875B8"/>
    <w:rsid w:val="00C87E57"/>
    <w:rsid w:val="00C904BB"/>
    <w:rsid w:val="00C911B1"/>
    <w:rsid w:val="00C916F6"/>
    <w:rsid w:val="00C93CA7"/>
    <w:rsid w:val="00C95AA3"/>
    <w:rsid w:val="00C962EA"/>
    <w:rsid w:val="00C9708C"/>
    <w:rsid w:val="00CA069F"/>
    <w:rsid w:val="00CA0881"/>
    <w:rsid w:val="00CA19E0"/>
    <w:rsid w:val="00CA248E"/>
    <w:rsid w:val="00CA2A36"/>
    <w:rsid w:val="00CA2FC3"/>
    <w:rsid w:val="00CA3A87"/>
    <w:rsid w:val="00CA3D04"/>
    <w:rsid w:val="00CA56CB"/>
    <w:rsid w:val="00CA648C"/>
    <w:rsid w:val="00CB03F4"/>
    <w:rsid w:val="00CB22F1"/>
    <w:rsid w:val="00CB23E2"/>
    <w:rsid w:val="00CB25BA"/>
    <w:rsid w:val="00CB2EF8"/>
    <w:rsid w:val="00CB376E"/>
    <w:rsid w:val="00CB461E"/>
    <w:rsid w:val="00CB5BF3"/>
    <w:rsid w:val="00CB5CE2"/>
    <w:rsid w:val="00CB5E1C"/>
    <w:rsid w:val="00CB64B1"/>
    <w:rsid w:val="00CB6C04"/>
    <w:rsid w:val="00CB6E8E"/>
    <w:rsid w:val="00CB76D6"/>
    <w:rsid w:val="00CB77E7"/>
    <w:rsid w:val="00CB7F4B"/>
    <w:rsid w:val="00CB7FE1"/>
    <w:rsid w:val="00CC07A7"/>
    <w:rsid w:val="00CC0843"/>
    <w:rsid w:val="00CC0F75"/>
    <w:rsid w:val="00CC2CC0"/>
    <w:rsid w:val="00CC2DCB"/>
    <w:rsid w:val="00CC464B"/>
    <w:rsid w:val="00CC5B7C"/>
    <w:rsid w:val="00CC6A96"/>
    <w:rsid w:val="00CC6D15"/>
    <w:rsid w:val="00CC7B5E"/>
    <w:rsid w:val="00CD0EB5"/>
    <w:rsid w:val="00CD2119"/>
    <w:rsid w:val="00CD24E0"/>
    <w:rsid w:val="00CD2F89"/>
    <w:rsid w:val="00CD3387"/>
    <w:rsid w:val="00CD353A"/>
    <w:rsid w:val="00CD414C"/>
    <w:rsid w:val="00CD51B9"/>
    <w:rsid w:val="00CD5D6A"/>
    <w:rsid w:val="00CD5FF7"/>
    <w:rsid w:val="00CD6CFE"/>
    <w:rsid w:val="00CD704C"/>
    <w:rsid w:val="00CD73E1"/>
    <w:rsid w:val="00CE0EF0"/>
    <w:rsid w:val="00CE1F56"/>
    <w:rsid w:val="00CE5044"/>
    <w:rsid w:val="00CE50DA"/>
    <w:rsid w:val="00CF1F1D"/>
    <w:rsid w:val="00CF1FEC"/>
    <w:rsid w:val="00CF2311"/>
    <w:rsid w:val="00CF25B6"/>
    <w:rsid w:val="00CF2F8C"/>
    <w:rsid w:val="00CF3011"/>
    <w:rsid w:val="00CF37E0"/>
    <w:rsid w:val="00CF4287"/>
    <w:rsid w:val="00CF5D45"/>
    <w:rsid w:val="00CF5D8A"/>
    <w:rsid w:val="00CF60D7"/>
    <w:rsid w:val="00CF66E5"/>
    <w:rsid w:val="00CF6FC2"/>
    <w:rsid w:val="00CF7CFF"/>
    <w:rsid w:val="00D0152B"/>
    <w:rsid w:val="00D016D6"/>
    <w:rsid w:val="00D01EE3"/>
    <w:rsid w:val="00D02E7E"/>
    <w:rsid w:val="00D02F0E"/>
    <w:rsid w:val="00D03A07"/>
    <w:rsid w:val="00D03C3D"/>
    <w:rsid w:val="00D040EC"/>
    <w:rsid w:val="00D0418F"/>
    <w:rsid w:val="00D04D25"/>
    <w:rsid w:val="00D05260"/>
    <w:rsid w:val="00D0530A"/>
    <w:rsid w:val="00D05F7C"/>
    <w:rsid w:val="00D05F8F"/>
    <w:rsid w:val="00D0666A"/>
    <w:rsid w:val="00D06D53"/>
    <w:rsid w:val="00D11203"/>
    <w:rsid w:val="00D11206"/>
    <w:rsid w:val="00D141C4"/>
    <w:rsid w:val="00D144D8"/>
    <w:rsid w:val="00D14B66"/>
    <w:rsid w:val="00D15EFE"/>
    <w:rsid w:val="00D16486"/>
    <w:rsid w:val="00D16591"/>
    <w:rsid w:val="00D20E72"/>
    <w:rsid w:val="00D21351"/>
    <w:rsid w:val="00D21E0D"/>
    <w:rsid w:val="00D2269D"/>
    <w:rsid w:val="00D234C0"/>
    <w:rsid w:val="00D236BA"/>
    <w:rsid w:val="00D23DB0"/>
    <w:rsid w:val="00D24106"/>
    <w:rsid w:val="00D24EC2"/>
    <w:rsid w:val="00D2568D"/>
    <w:rsid w:val="00D25974"/>
    <w:rsid w:val="00D26280"/>
    <w:rsid w:val="00D27356"/>
    <w:rsid w:val="00D276B7"/>
    <w:rsid w:val="00D301CA"/>
    <w:rsid w:val="00D30405"/>
    <w:rsid w:val="00D30D22"/>
    <w:rsid w:val="00D30F72"/>
    <w:rsid w:val="00D3264E"/>
    <w:rsid w:val="00D32A04"/>
    <w:rsid w:val="00D33074"/>
    <w:rsid w:val="00D354DF"/>
    <w:rsid w:val="00D35528"/>
    <w:rsid w:val="00D35DC8"/>
    <w:rsid w:val="00D35E5A"/>
    <w:rsid w:val="00D37B02"/>
    <w:rsid w:val="00D400C5"/>
    <w:rsid w:val="00D40548"/>
    <w:rsid w:val="00D40AAA"/>
    <w:rsid w:val="00D42DB3"/>
    <w:rsid w:val="00D42ECA"/>
    <w:rsid w:val="00D4342E"/>
    <w:rsid w:val="00D43AC5"/>
    <w:rsid w:val="00D43C4E"/>
    <w:rsid w:val="00D461BC"/>
    <w:rsid w:val="00D465EB"/>
    <w:rsid w:val="00D4780F"/>
    <w:rsid w:val="00D47989"/>
    <w:rsid w:val="00D50843"/>
    <w:rsid w:val="00D50F9D"/>
    <w:rsid w:val="00D52394"/>
    <w:rsid w:val="00D5261A"/>
    <w:rsid w:val="00D53789"/>
    <w:rsid w:val="00D53803"/>
    <w:rsid w:val="00D53A6C"/>
    <w:rsid w:val="00D53B3B"/>
    <w:rsid w:val="00D54474"/>
    <w:rsid w:val="00D54900"/>
    <w:rsid w:val="00D54E83"/>
    <w:rsid w:val="00D55D6C"/>
    <w:rsid w:val="00D61A3F"/>
    <w:rsid w:val="00D61D19"/>
    <w:rsid w:val="00D621C5"/>
    <w:rsid w:val="00D62A14"/>
    <w:rsid w:val="00D631F4"/>
    <w:rsid w:val="00D64081"/>
    <w:rsid w:val="00D65F35"/>
    <w:rsid w:val="00D6728A"/>
    <w:rsid w:val="00D67326"/>
    <w:rsid w:val="00D673C9"/>
    <w:rsid w:val="00D70A32"/>
    <w:rsid w:val="00D72504"/>
    <w:rsid w:val="00D72808"/>
    <w:rsid w:val="00D72F94"/>
    <w:rsid w:val="00D73F02"/>
    <w:rsid w:val="00D748AE"/>
    <w:rsid w:val="00D80953"/>
    <w:rsid w:val="00D81703"/>
    <w:rsid w:val="00D81A32"/>
    <w:rsid w:val="00D81A67"/>
    <w:rsid w:val="00D81AD9"/>
    <w:rsid w:val="00D824B1"/>
    <w:rsid w:val="00D84097"/>
    <w:rsid w:val="00D8520A"/>
    <w:rsid w:val="00D87162"/>
    <w:rsid w:val="00D8738C"/>
    <w:rsid w:val="00D87880"/>
    <w:rsid w:val="00D878B7"/>
    <w:rsid w:val="00D91331"/>
    <w:rsid w:val="00D91559"/>
    <w:rsid w:val="00D91B9F"/>
    <w:rsid w:val="00D93066"/>
    <w:rsid w:val="00D9336B"/>
    <w:rsid w:val="00D94BF2"/>
    <w:rsid w:val="00D9591A"/>
    <w:rsid w:val="00D9761F"/>
    <w:rsid w:val="00D97D48"/>
    <w:rsid w:val="00DA063B"/>
    <w:rsid w:val="00DA2852"/>
    <w:rsid w:val="00DA41DD"/>
    <w:rsid w:val="00DA4E4C"/>
    <w:rsid w:val="00DA5A60"/>
    <w:rsid w:val="00DA62AD"/>
    <w:rsid w:val="00DA6B13"/>
    <w:rsid w:val="00DA7B3B"/>
    <w:rsid w:val="00DB03FF"/>
    <w:rsid w:val="00DB045E"/>
    <w:rsid w:val="00DB0E21"/>
    <w:rsid w:val="00DB0E72"/>
    <w:rsid w:val="00DB2DB1"/>
    <w:rsid w:val="00DB41CC"/>
    <w:rsid w:val="00DC0397"/>
    <w:rsid w:val="00DC04D3"/>
    <w:rsid w:val="00DC0A67"/>
    <w:rsid w:val="00DC12BD"/>
    <w:rsid w:val="00DC1EE9"/>
    <w:rsid w:val="00DC2F05"/>
    <w:rsid w:val="00DC4B15"/>
    <w:rsid w:val="00DC4B25"/>
    <w:rsid w:val="00DC4BE1"/>
    <w:rsid w:val="00DC4CED"/>
    <w:rsid w:val="00DC5973"/>
    <w:rsid w:val="00DD3011"/>
    <w:rsid w:val="00DD31E9"/>
    <w:rsid w:val="00DD3EEC"/>
    <w:rsid w:val="00DD420A"/>
    <w:rsid w:val="00DD49B4"/>
    <w:rsid w:val="00DD4F43"/>
    <w:rsid w:val="00DD5DAC"/>
    <w:rsid w:val="00DE01F5"/>
    <w:rsid w:val="00DE054C"/>
    <w:rsid w:val="00DE05A0"/>
    <w:rsid w:val="00DE089C"/>
    <w:rsid w:val="00DE10FF"/>
    <w:rsid w:val="00DE16B6"/>
    <w:rsid w:val="00DE2CE3"/>
    <w:rsid w:val="00DE4883"/>
    <w:rsid w:val="00DE55B3"/>
    <w:rsid w:val="00DE5882"/>
    <w:rsid w:val="00DE6925"/>
    <w:rsid w:val="00DE7D72"/>
    <w:rsid w:val="00DE7E04"/>
    <w:rsid w:val="00DF043A"/>
    <w:rsid w:val="00DF0654"/>
    <w:rsid w:val="00DF1277"/>
    <w:rsid w:val="00DF22A2"/>
    <w:rsid w:val="00DF27C9"/>
    <w:rsid w:val="00DF3128"/>
    <w:rsid w:val="00DF3DB8"/>
    <w:rsid w:val="00DF4789"/>
    <w:rsid w:val="00DF5236"/>
    <w:rsid w:val="00DF5572"/>
    <w:rsid w:val="00DF6055"/>
    <w:rsid w:val="00DF6074"/>
    <w:rsid w:val="00DF6649"/>
    <w:rsid w:val="00DF7621"/>
    <w:rsid w:val="00DF78DC"/>
    <w:rsid w:val="00DF7A71"/>
    <w:rsid w:val="00E01B10"/>
    <w:rsid w:val="00E02ED1"/>
    <w:rsid w:val="00E04907"/>
    <w:rsid w:val="00E05617"/>
    <w:rsid w:val="00E06282"/>
    <w:rsid w:val="00E065B1"/>
    <w:rsid w:val="00E07646"/>
    <w:rsid w:val="00E103B5"/>
    <w:rsid w:val="00E11460"/>
    <w:rsid w:val="00E12D1C"/>
    <w:rsid w:val="00E138EF"/>
    <w:rsid w:val="00E139CE"/>
    <w:rsid w:val="00E1400C"/>
    <w:rsid w:val="00E14433"/>
    <w:rsid w:val="00E15151"/>
    <w:rsid w:val="00E1521D"/>
    <w:rsid w:val="00E15955"/>
    <w:rsid w:val="00E1758D"/>
    <w:rsid w:val="00E178C5"/>
    <w:rsid w:val="00E179B2"/>
    <w:rsid w:val="00E205BF"/>
    <w:rsid w:val="00E219A8"/>
    <w:rsid w:val="00E23B71"/>
    <w:rsid w:val="00E249F8"/>
    <w:rsid w:val="00E2612F"/>
    <w:rsid w:val="00E2721B"/>
    <w:rsid w:val="00E27278"/>
    <w:rsid w:val="00E2759D"/>
    <w:rsid w:val="00E302CD"/>
    <w:rsid w:val="00E3069C"/>
    <w:rsid w:val="00E30BB6"/>
    <w:rsid w:val="00E30D6D"/>
    <w:rsid w:val="00E30E83"/>
    <w:rsid w:val="00E31EF7"/>
    <w:rsid w:val="00E32209"/>
    <w:rsid w:val="00E3225D"/>
    <w:rsid w:val="00E328FC"/>
    <w:rsid w:val="00E331C1"/>
    <w:rsid w:val="00E3325F"/>
    <w:rsid w:val="00E34207"/>
    <w:rsid w:val="00E34D71"/>
    <w:rsid w:val="00E35358"/>
    <w:rsid w:val="00E36640"/>
    <w:rsid w:val="00E37052"/>
    <w:rsid w:val="00E377C2"/>
    <w:rsid w:val="00E40806"/>
    <w:rsid w:val="00E40A74"/>
    <w:rsid w:val="00E41B2C"/>
    <w:rsid w:val="00E436B9"/>
    <w:rsid w:val="00E46AA0"/>
    <w:rsid w:val="00E47E73"/>
    <w:rsid w:val="00E510BB"/>
    <w:rsid w:val="00E51C2F"/>
    <w:rsid w:val="00E527E3"/>
    <w:rsid w:val="00E52ED4"/>
    <w:rsid w:val="00E53071"/>
    <w:rsid w:val="00E54C53"/>
    <w:rsid w:val="00E55BC0"/>
    <w:rsid w:val="00E60BBB"/>
    <w:rsid w:val="00E61661"/>
    <w:rsid w:val="00E63B9D"/>
    <w:rsid w:val="00E6413F"/>
    <w:rsid w:val="00E6416E"/>
    <w:rsid w:val="00E64FF4"/>
    <w:rsid w:val="00E65831"/>
    <w:rsid w:val="00E65CF6"/>
    <w:rsid w:val="00E65CFA"/>
    <w:rsid w:val="00E6622E"/>
    <w:rsid w:val="00E6632F"/>
    <w:rsid w:val="00E706B1"/>
    <w:rsid w:val="00E715C6"/>
    <w:rsid w:val="00E71CF0"/>
    <w:rsid w:val="00E73934"/>
    <w:rsid w:val="00E73E47"/>
    <w:rsid w:val="00E76C5F"/>
    <w:rsid w:val="00E77B5D"/>
    <w:rsid w:val="00E80A74"/>
    <w:rsid w:val="00E82B56"/>
    <w:rsid w:val="00E83496"/>
    <w:rsid w:val="00E83524"/>
    <w:rsid w:val="00E84C02"/>
    <w:rsid w:val="00E878A4"/>
    <w:rsid w:val="00E87E41"/>
    <w:rsid w:val="00E9011D"/>
    <w:rsid w:val="00E9041C"/>
    <w:rsid w:val="00E90E0D"/>
    <w:rsid w:val="00E91954"/>
    <w:rsid w:val="00E9275E"/>
    <w:rsid w:val="00E93237"/>
    <w:rsid w:val="00E935F5"/>
    <w:rsid w:val="00E973CA"/>
    <w:rsid w:val="00E97611"/>
    <w:rsid w:val="00EA1543"/>
    <w:rsid w:val="00EA2AF2"/>
    <w:rsid w:val="00EA3877"/>
    <w:rsid w:val="00EA3C7E"/>
    <w:rsid w:val="00EA4247"/>
    <w:rsid w:val="00EA4435"/>
    <w:rsid w:val="00EA608E"/>
    <w:rsid w:val="00EA63EA"/>
    <w:rsid w:val="00EA757E"/>
    <w:rsid w:val="00EB11CB"/>
    <w:rsid w:val="00EB1D89"/>
    <w:rsid w:val="00EB2AFF"/>
    <w:rsid w:val="00EB2C41"/>
    <w:rsid w:val="00EB2F3A"/>
    <w:rsid w:val="00EB4489"/>
    <w:rsid w:val="00EB4CE2"/>
    <w:rsid w:val="00EB73A7"/>
    <w:rsid w:val="00EB7A46"/>
    <w:rsid w:val="00EB7BEF"/>
    <w:rsid w:val="00EB7CF7"/>
    <w:rsid w:val="00EC0A5F"/>
    <w:rsid w:val="00EC2107"/>
    <w:rsid w:val="00EC22B1"/>
    <w:rsid w:val="00EC3A1C"/>
    <w:rsid w:val="00EC5079"/>
    <w:rsid w:val="00EC6344"/>
    <w:rsid w:val="00EC64DE"/>
    <w:rsid w:val="00EC7292"/>
    <w:rsid w:val="00EC74B7"/>
    <w:rsid w:val="00ED3CEF"/>
    <w:rsid w:val="00ED66B3"/>
    <w:rsid w:val="00ED674E"/>
    <w:rsid w:val="00ED7441"/>
    <w:rsid w:val="00ED7BDE"/>
    <w:rsid w:val="00EE1604"/>
    <w:rsid w:val="00EE1804"/>
    <w:rsid w:val="00EE1F9C"/>
    <w:rsid w:val="00EE5309"/>
    <w:rsid w:val="00EE5628"/>
    <w:rsid w:val="00EE6A41"/>
    <w:rsid w:val="00EE7975"/>
    <w:rsid w:val="00EE7CF4"/>
    <w:rsid w:val="00EE7DD5"/>
    <w:rsid w:val="00EF04A0"/>
    <w:rsid w:val="00EF0561"/>
    <w:rsid w:val="00EF0B71"/>
    <w:rsid w:val="00EF18ED"/>
    <w:rsid w:val="00EF2C45"/>
    <w:rsid w:val="00EF3B67"/>
    <w:rsid w:val="00EF52F6"/>
    <w:rsid w:val="00EF5671"/>
    <w:rsid w:val="00EF65C5"/>
    <w:rsid w:val="00EF66B1"/>
    <w:rsid w:val="00EF713D"/>
    <w:rsid w:val="00EF7C41"/>
    <w:rsid w:val="00F007BF"/>
    <w:rsid w:val="00F01087"/>
    <w:rsid w:val="00F02847"/>
    <w:rsid w:val="00F029BE"/>
    <w:rsid w:val="00F03131"/>
    <w:rsid w:val="00F0352E"/>
    <w:rsid w:val="00F04113"/>
    <w:rsid w:val="00F054A6"/>
    <w:rsid w:val="00F054AE"/>
    <w:rsid w:val="00F05815"/>
    <w:rsid w:val="00F05D31"/>
    <w:rsid w:val="00F06136"/>
    <w:rsid w:val="00F07895"/>
    <w:rsid w:val="00F07DEA"/>
    <w:rsid w:val="00F101C0"/>
    <w:rsid w:val="00F107C3"/>
    <w:rsid w:val="00F11EE5"/>
    <w:rsid w:val="00F129CC"/>
    <w:rsid w:val="00F12B59"/>
    <w:rsid w:val="00F12B8D"/>
    <w:rsid w:val="00F12F79"/>
    <w:rsid w:val="00F133B5"/>
    <w:rsid w:val="00F13F26"/>
    <w:rsid w:val="00F1411E"/>
    <w:rsid w:val="00F14226"/>
    <w:rsid w:val="00F15697"/>
    <w:rsid w:val="00F15D8F"/>
    <w:rsid w:val="00F15EEB"/>
    <w:rsid w:val="00F16AC2"/>
    <w:rsid w:val="00F177C3"/>
    <w:rsid w:val="00F178E9"/>
    <w:rsid w:val="00F203AA"/>
    <w:rsid w:val="00F206E0"/>
    <w:rsid w:val="00F20F26"/>
    <w:rsid w:val="00F211CB"/>
    <w:rsid w:val="00F212EE"/>
    <w:rsid w:val="00F21DC6"/>
    <w:rsid w:val="00F21FF8"/>
    <w:rsid w:val="00F23CBE"/>
    <w:rsid w:val="00F23E74"/>
    <w:rsid w:val="00F2404A"/>
    <w:rsid w:val="00F247E9"/>
    <w:rsid w:val="00F24DA6"/>
    <w:rsid w:val="00F25407"/>
    <w:rsid w:val="00F255C9"/>
    <w:rsid w:val="00F25B97"/>
    <w:rsid w:val="00F26B24"/>
    <w:rsid w:val="00F276AC"/>
    <w:rsid w:val="00F27ACA"/>
    <w:rsid w:val="00F27AF8"/>
    <w:rsid w:val="00F27FD2"/>
    <w:rsid w:val="00F310D3"/>
    <w:rsid w:val="00F32CD4"/>
    <w:rsid w:val="00F339BD"/>
    <w:rsid w:val="00F3465E"/>
    <w:rsid w:val="00F3492C"/>
    <w:rsid w:val="00F3599A"/>
    <w:rsid w:val="00F36A0E"/>
    <w:rsid w:val="00F4016E"/>
    <w:rsid w:val="00F4177B"/>
    <w:rsid w:val="00F431B4"/>
    <w:rsid w:val="00F4499C"/>
    <w:rsid w:val="00F46567"/>
    <w:rsid w:val="00F46831"/>
    <w:rsid w:val="00F478FD"/>
    <w:rsid w:val="00F47993"/>
    <w:rsid w:val="00F479AF"/>
    <w:rsid w:val="00F47CA7"/>
    <w:rsid w:val="00F51123"/>
    <w:rsid w:val="00F52B4D"/>
    <w:rsid w:val="00F534B5"/>
    <w:rsid w:val="00F53EBB"/>
    <w:rsid w:val="00F5452D"/>
    <w:rsid w:val="00F54F88"/>
    <w:rsid w:val="00F556A6"/>
    <w:rsid w:val="00F56198"/>
    <w:rsid w:val="00F5626F"/>
    <w:rsid w:val="00F564DB"/>
    <w:rsid w:val="00F5772C"/>
    <w:rsid w:val="00F578E8"/>
    <w:rsid w:val="00F57FF3"/>
    <w:rsid w:val="00F60D32"/>
    <w:rsid w:val="00F6238C"/>
    <w:rsid w:val="00F62815"/>
    <w:rsid w:val="00F62E39"/>
    <w:rsid w:val="00F6347B"/>
    <w:rsid w:val="00F63947"/>
    <w:rsid w:val="00F640BF"/>
    <w:rsid w:val="00F64131"/>
    <w:rsid w:val="00F646B8"/>
    <w:rsid w:val="00F6666D"/>
    <w:rsid w:val="00F70B8A"/>
    <w:rsid w:val="00F71F45"/>
    <w:rsid w:val="00F736E9"/>
    <w:rsid w:val="00F74121"/>
    <w:rsid w:val="00F7466F"/>
    <w:rsid w:val="00F747AE"/>
    <w:rsid w:val="00F74E99"/>
    <w:rsid w:val="00F752D9"/>
    <w:rsid w:val="00F762B1"/>
    <w:rsid w:val="00F7637A"/>
    <w:rsid w:val="00F77628"/>
    <w:rsid w:val="00F8038D"/>
    <w:rsid w:val="00F80472"/>
    <w:rsid w:val="00F809D5"/>
    <w:rsid w:val="00F815A0"/>
    <w:rsid w:val="00F81B01"/>
    <w:rsid w:val="00F82360"/>
    <w:rsid w:val="00F82D21"/>
    <w:rsid w:val="00F858F1"/>
    <w:rsid w:val="00F8663C"/>
    <w:rsid w:val="00F86AF2"/>
    <w:rsid w:val="00F910E0"/>
    <w:rsid w:val="00F91E2E"/>
    <w:rsid w:val="00F93488"/>
    <w:rsid w:val="00F935FF"/>
    <w:rsid w:val="00F937B1"/>
    <w:rsid w:val="00F93964"/>
    <w:rsid w:val="00F93AE0"/>
    <w:rsid w:val="00F948EF"/>
    <w:rsid w:val="00F9495C"/>
    <w:rsid w:val="00F95B21"/>
    <w:rsid w:val="00F95C05"/>
    <w:rsid w:val="00FA0BC0"/>
    <w:rsid w:val="00FA16A7"/>
    <w:rsid w:val="00FA170F"/>
    <w:rsid w:val="00FA2175"/>
    <w:rsid w:val="00FA2D9C"/>
    <w:rsid w:val="00FA35E5"/>
    <w:rsid w:val="00FA3C1E"/>
    <w:rsid w:val="00FA3DAF"/>
    <w:rsid w:val="00FA4396"/>
    <w:rsid w:val="00FA567C"/>
    <w:rsid w:val="00FB0B55"/>
    <w:rsid w:val="00FB0BCB"/>
    <w:rsid w:val="00FB1535"/>
    <w:rsid w:val="00FB1608"/>
    <w:rsid w:val="00FB17B1"/>
    <w:rsid w:val="00FB4F15"/>
    <w:rsid w:val="00FB596F"/>
    <w:rsid w:val="00FB6045"/>
    <w:rsid w:val="00FB6E6D"/>
    <w:rsid w:val="00FB7101"/>
    <w:rsid w:val="00FB7A8E"/>
    <w:rsid w:val="00FC0588"/>
    <w:rsid w:val="00FC06A6"/>
    <w:rsid w:val="00FC1465"/>
    <w:rsid w:val="00FC3CFF"/>
    <w:rsid w:val="00FC53A4"/>
    <w:rsid w:val="00FC61D8"/>
    <w:rsid w:val="00FD09E3"/>
    <w:rsid w:val="00FD10B1"/>
    <w:rsid w:val="00FD11FE"/>
    <w:rsid w:val="00FD2781"/>
    <w:rsid w:val="00FD2889"/>
    <w:rsid w:val="00FD35B0"/>
    <w:rsid w:val="00FD38B7"/>
    <w:rsid w:val="00FD47EF"/>
    <w:rsid w:val="00FD5164"/>
    <w:rsid w:val="00FD7078"/>
    <w:rsid w:val="00FD7524"/>
    <w:rsid w:val="00FD7598"/>
    <w:rsid w:val="00FD792F"/>
    <w:rsid w:val="00FE1084"/>
    <w:rsid w:val="00FE1130"/>
    <w:rsid w:val="00FE122D"/>
    <w:rsid w:val="00FE29AD"/>
    <w:rsid w:val="00FE6551"/>
    <w:rsid w:val="00FE739D"/>
    <w:rsid w:val="00FF1661"/>
    <w:rsid w:val="00FF1BA7"/>
    <w:rsid w:val="00FF1F54"/>
    <w:rsid w:val="00FF2412"/>
    <w:rsid w:val="00FF27F0"/>
    <w:rsid w:val="00FF37A9"/>
    <w:rsid w:val="00FF3DAB"/>
    <w:rsid w:val="00FF480E"/>
    <w:rsid w:val="00FF5656"/>
    <w:rsid w:val="00FF72BC"/>
    <w:rsid w:val="00FF73F1"/>
    <w:rsid w:val="00FF7CAF"/>
    <w:rsid w:val="011728FC"/>
    <w:rsid w:val="014632E9"/>
    <w:rsid w:val="0155370A"/>
    <w:rsid w:val="0156268C"/>
    <w:rsid w:val="01CA216C"/>
    <w:rsid w:val="01CD16A1"/>
    <w:rsid w:val="024E3F3E"/>
    <w:rsid w:val="02771735"/>
    <w:rsid w:val="0292728B"/>
    <w:rsid w:val="02B0018B"/>
    <w:rsid w:val="03012F09"/>
    <w:rsid w:val="038E196D"/>
    <w:rsid w:val="03A743E0"/>
    <w:rsid w:val="049B394B"/>
    <w:rsid w:val="04E64966"/>
    <w:rsid w:val="04FC0E96"/>
    <w:rsid w:val="05595D5D"/>
    <w:rsid w:val="056A3A4A"/>
    <w:rsid w:val="05BE4EFA"/>
    <w:rsid w:val="05D26A0C"/>
    <w:rsid w:val="05E25CD8"/>
    <w:rsid w:val="05EC5A6F"/>
    <w:rsid w:val="05ED01D7"/>
    <w:rsid w:val="05F53A5E"/>
    <w:rsid w:val="05F6454F"/>
    <w:rsid w:val="06227D95"/>
    <w:rsid w:val="063D6C89"/>
    <w:rsid w:val="06587D46"/>
    <w:rsid w:val="06A2481C"/>
    <w:rsid w:val="06C470CB"/>
    <w:rsid w:val="06D03D80"/>
    <w:rsid w:val="06F8553D"/>
    <w:rsid w:val="07781E60"/>
    <w:rsid w:val="079D36AF"/>
    <w:rsid w:val="07AB0349"/>
    <w:rsid w:val="07D433FC"/>
    <w:rsid w:val="07EC2616"/>
    <w:rsid w:val="08351BD7"/>
    <w:rsid w:val="08D0541C"/>
    <w:rsid w:val="09632591"/>
    <w:rsid w:val="09B1408A"/>
    <w:rsid w:val="09F913F4"/>
    <w:rsid w:val="0A610298"/>
    <w:rsid w:val="0AAA04C8"/>
    <w:rsid w:val="0AC869EC"/>
    <w:rsid w:val="0B3B267D"/>
    <w:rsid w:val="0B582596"/>
    <w:rsid w:val="0BA8107C"/>
    <w:rsid w:val="0BFF5ADB"/>
    <w:rsid w:val="0C1B5A9E"/>
    <w:rsid w:val="0C1C09B9"/>
    <w:rsid w:val="0C3E7442"/>
    <w:rsid w:val="0C745D6A"/>
    <w:rsid w:val="0C9A5430"/>
    <w:rsid w:val="0CE95B9C"/>
    <w:rsid w:val="0CFE7913"/>
    <w:rsid w:val="0D6C40D7"/>
    <w:rsid w:val="0D991370"/>
    <w:rsid w:val="0E2A13FA"/>
    <w:rsid w:val="0E2F75DE"/>
    <w:rsid w:val="0E3B66C8"/>
    <w:rsid w:val="0E4417F8"/>
    <w:rsid w:val="0E571AB3"/>
    <w:rsid w:val="0E6655D6"/>
    <w:rsid w:val="0E883192"/>
    <w:rsid w:val="0EB977F0"/>
    <w:rsid w:val="0F0C31E5"/>
    <w:rsid w:val="0F8E6586"/>
    <w:rsid w:val="0FA80195"/>
    <w:rsid w:val="0FDD12BC"/>
    <w:rsid w:val="10631C7A"/>
    <w:rsid w:val="117874EE"/>
    <w:rsid w:val="1198193E"/>
    <w:rsid w:val="119836EC"/>
    <w:rsid w:val="119E225B"/>
    <w:rsid w:val="131B229D"/>
    <w:rsid w:val="137D2DCB"/>
    <w:rsid w:val="13C9522F"/>
    <w:rsid w:val="144E31C8"/>
    <w:rsid w:val="144F1701"/>
    <w:rsid w:val="149C4CFB"/>
    <w:rsid w:val="14E5107F"/>
    <w:rsid w:val="150C68CB"/>
    <w:rsid w:val="1524457A"/>
    <w:rsid w:val="155F12D6"/>
    <w:rsid w:val="159077D1"/>
    <w:rsid w:val="160C6457"/>
    <w:rsid w:val="1629588B"/>
    <w:rsid w:val="165247B2"/>
    <w:rsid w:val="166B402D"/>
    <w:rsid w:val="166D3379"/>
    <w:rsid w:val="16873D30"/>
    <w:rsid w:val="16915513"/>
    <w:rsid w:val="16A20B69"/>
    <w:rsid w:val="17956124"/>
    <w:rsid w:val="17BA3DF5"/>
    <w:rsid w:val="184939B2"/>
    <w:rsid w:val="187612CC"/>
    <w:rsid w:val="18861934"/>
    <w:rsid w:val="18A62B93"/>
    <w:rsid w:val="18ED2570"/>
    <w:rsid w:val="1969500A"/>
    <w:rsid w:val="19B124F2"/>
    <w:rsid w:val="19D8588C"/>
    <w:rsid w:val="19EC11AD"/>
    <w:rsid w:val="19F405EA"/>
    <w:rsid w:val="19F464F4"/>
    <w:rsid w:val="1A0A0C28"/>
    <w:rsid w:val="1A17588F"/>
    <w:rsid w:val="1A297560"/>
    <w:rsid w:val="1A622AE9"/>
    <w:rsid w:val="1B17437C"/>
    <w:rsid w:val="1B375D24"/>
    <w:rsid w:val="1B740D26"/>
    <w:rsid w:val="1B8C46D7"/>
    <w:rsid w:val="1C7611E4"/>
    <w:rsid w:val="1C9A61BB"/>
    <w:rsid w:val="1CAD32CA"/>
    <w:rsid w:val="1CB044D2"/>
    <w:rsid w:val="1CB74803"/>
    <w:rsid w:val="1CCD3E6E"/>
    <w:rsid w:val="1D292501"/>
    <w:rsid w:val="1E157EE3"/>
    <w:rsid w:val="1E3E73CA"/>
    <w:rsid w:val="1E772D04"/>
    <w:rsid w:val="1E832C89"/>
    <w:rsid w:val="1EA86988"/>
    <w:rsid w:val="1EC213A0"/>
    <w:rsid w:val="1ED61F4D"/>
    <w:rsid w:val="1EDA62DA"/>
    <w:rsid w:val="1EF31E06"/>
    <w:rsid w:val="1FEF4816"/>
    <w:rsid w:val="200C59D1"/>
    <w:rsid w:val="20134BB0"/>
    <w:rsid w:val="20232657"/>
    <w:rsid w:val="204257B5"/>
    <w:rsid w:val="204B3829"/>
    <w:rsid w:val="20592BE1"/>
    <w:rsid w:val="20937867"/>
    <w:rsid w:val="20C078B2"/>
    <w:rsid w:val="210448FA"/>
    <w:rsid w:val="211707FA"/>
    <w:rsid w:val="2153617C"/>
    <w:rsid w:val="215E3743"/>
    <w:rsid w:val="21CA18A7"/>
    <w:rsid w:val="22120B85"/>
    <w:rsid w:val="22742B9E"/>
    <w:rsid w:val="22792CA9"/>
    <w:rsid w:val="227F6295"/>
    <w:rsid w:val="228C2D1A"/>
    <w:rsid w:val="23043709"/>
    <w:rsid w:val="23197571"/>
    <w:rsid w:val="231F3E73"/>
    <w:rsid w:val="236C49ED"/>
    <w:rsid w:val="23DB1BDB"/>
    <w:rsid w:val="23F42BC6"/>
    <w:rsid w:val="247F0DAF"/>
    <w:rsid w:val="2485392A"/>
    <w:rsid w:val="24DD57C6"/>
    <w:rsid w:val="24E231A5"/>
    <w:rsid w:val="24EA5F91"/>
    <w:rsid w:val="25146263"/>
    <w:rsid w:val="25836668"/>
    <w:rsid w:val="25DB0C06"/>
    <w:rsid w:val="26CC7C68"/>
    <w:rsid w:val="26CD578F"/>
    <w:rsid w:val="26EE2392"/>
    <w:rsid w:val="270556EA"/>
    <w:rsid w:val="27247346"/>
    <w:rsid w:val="27402E3A"/>
    <w:rsid w:val="27A556D6"/>
    <w:rsid w:val="27D112AE"/>
    <w:rsid w:val="27DA387A"/>
    <w:rsid w:val="27E46FCB"/>
    <w:rsid w:val="27FD18B9"/>
    <w:rsid w:val="281C69CE"/>
    <w:rsid w:val="28BB315D"/>
    <w:rsid w:val="28C606E7"/>
    <w:rsid w:val="28E315F7"/>
    <w:rsid w:val="291B4ED7"/>
    <w:rsid w:val="296F4161"/>
    <w:rsid w:val="2A0E67EA"/>
    <w:rsid w:val="2A2257BA"/>
    <w:rsid w:val="2A5C7555"/>
    <w:rsid w:val="2A77438F"/>
    <w:rsid w:val="2A7A35D4"/>
    <w:rsid w:val="2A7B0189"/>
    <w:rsid w:val="2AF423F4"/>
    <w:rsid w:val="2B0D4410"/>
    <w:rsid w:val="2BF870D4"/>
    <w:rsid w:val="2C1627F5"/>
    <w:rsid w:val="2C4216CE"/>
    <w:rsid w:val="2C5451CC"/>
    <w:rsid w:val="2C624BCB"/>
    <w:rsid w:val="2C731DBF"/>
    <w:rsid w:val="2CC80C03"/>
    <w:rsid w:val="2CE618B6"/>
    <w:rsid w:val="2D1D7CBF"/>
    <w:rsid w:val="2D396901"/>
    <w:rsid w:val="2D6B0C61"/>
    <w:rsid w:val="2D6E5808"/>
    <w:rsid w:val="2DB66F7C"/>
    <w:rsid w:val="2DCF003E"/>
    <w:rsid w:val="2E2760CC"/>
    <w:rsid w:val="2E313B0A"/>
    <w:rsid w:val="2E402CEA"/>
    <w:rsid w:val="2E5549E7"/>
    <w:rsid w:val="2E690A82"/>
    <w:rsid w:val="2E8437BB"/>
    <w:rsid w:val="2E9D3BB8"/>
    <w:rsid w:val="2ED75C93"/>
    <w:rsid w:val="2F307887"/>
    <w:rsid w:val="2F412C84"/>
    <w:rsid w:val="2F650C5A"/>
    <w:rsid w:val="2FDC6D90"/>
    <w:rsid w:val="2FDE6C5E"/>
    <w:rsid w:val="2FE8458F"/>
    <w:rsid w:val="2FFE3D6B"/>
    <w:rsid w:val="30444929"/>
    <w:rsid w:val="30F24734"/>
    <w:rsid w:val="31462D0D"/>
    <w:rsid w:val="315B7369"/>
    <w:rsid w:val="31A87524"/>
    <w:rsid w:val="31BE0AF5"/>
    <w:rsid w:val="31D026A1"/>
    <w:rsid w:val="31EE13DB"/>
    <w:rsid w:val="31F64430"/>
    <w:rsid w:val="322C1F03"/>
    <w:rsid w:val="33125CD6"/>
    <w:rsid w:val="33353898"/>
    <w:rsid w:val="333C7412"/>
    <w:rsid w:val="33634DED"/>
    <w:rsid w:val="340B30FF"/>
    <w:rsid w:val="34373F3F"/>
    <w:rsid w:val="348B7A67"/>
    <w:rsid w:val="348E47AF"/>
    <w:rsid w:val="349F68E8"/>
    <w:rsid w:val="34AF4D5E"/>
    <w:rsid w:val="34C020AE"/>
    <w:rsid w:val="34C8503C"/>
    <w:rsid w:val="35586714"/>
    <w:rsid w:val="359E6C74"/>
    <w:rsid w:val="36423D32"/>
    <w:rsid w:val="364E56EE"/>
    <w:rsid w:val="3655075B"/>
    <w:rsid w:val="36A5527E"/>
    <w:rsid w:val="36FD098F"/>
    <w:rsid w:val="37382A52"/>
    <w:rsid w:val="376143FD"/>
    <w:rsid w:val="37BE5168"/>
    <w:rsid w:val="3818090F"/>
    <w:rsid w:val="384B66E9"/>
    <w:rsid w:val="38635EF7"/>
    <w:rsid w:val="389414E2"/>
    <w:rsid w:val="38DA2B85"/>
    <w:rsid w:val="38E3655F"/>
    <w:rsid w:val="39702623"/>
    <w:rsid w:val="3986639D"/>
    <w:rsid w:val="39BA7F17"/>
    <w:rsid w:val="3A176FF5"/>
    <w:rsid w:val="3A557B1D"/>
    <w:rsid w:val="3A871371"/>
    <w:rsid w:val="3AEE1E10"/>
    <w:rsid w:val="3AF30853"/>
    <w:rsid w:val="3B410FAC"/>
    <w:rsid w:val="3B4F1833"/>
    <w:rsid w:val="3B5E5C75"/>
    <w:rsid w:val="3B9F1CAF"/>
    <w:rsid w:val="3BB17E76"/>
    <w:rsid w:val="3BDC3FD3"/>
    <w:rsid w:val="3C8876C6"/>
    <w:rsid w:val="3D3679ED"/>
    <w:rsid w:val="3D632551"/>
    <w:rsid w:val="3DA40443"/>
    <w:rsid w:val="3E077323"/>
    <w:rsid w:val="3E157CEF"/>
    <w:rsid w:val="3E267D1C"/>
    <w:rsid w:val="3E46434D"/>
    <w:rsid w:val="3E4D56DB"/>
    <w:rsid w:val="3E500D27"/>
    <w:rsid w:val="3E5A0293"/>
    <w:rsid w:val="3E6C6624"/>
    <w:rsid w:val="3E79027E"/>
    <w:rsid w:val="3EA37D57"/>
    <w:rsid w:val="3EC843A0"/>
    <w:rsid w:val="3EF142B8"/>
    <w:rsid w:val="3F220916"/>
    <w:rsid w:val="3F282E19"/>
    <w:rsid w:val="3F311D6C"/>
    <w:rsid w:val="3F47037C"/>
    <w:rsid w:val="3F6D0B2B"/>
    <w:rsid w:val="3F9D61EE"/>
    <w:rsid w:val="3FD10A64"/>
    <w:rsid w:val="3FEC3B1C"/>
    <w:rsid w:val="3FF65DDD"/>
    <w:rsid w:val="3FF706EC"/>
    <w:rsid w:val="401364B0"/>
    <w:rsid w:val="4015269F"/>
    <w:rsid w:val="40706275"/>
    <w:rsid w:val="40AF6D31"/>
    <w:rsid w:val="40FE0F0E"/>
    <w:rsid w:val="417F6ACC"/>
    <w:rsid w:val="42216359"/>
    <w:rsid w:val="42267B3E"/>
    <w:rsid w:val="429431DC"/>
    <w:rsid w:val="42984A4B"/>
    <w:rsid w:val="42AD3882"/>
    <w:rsid w:val="42F07906"/>
    <w:rsid w:val="43103E8A"/>
    <w:rsid w:val="432D18FE"/>
    <w:rsid w:val="43AF4742"/>
    <w:rsid w:val="441A31DB"/>
    <w:rsid w:val="4441783B"/>
    <w:rsid w:val="44BF6C17"/>
    <w:rsid w:val="44F71EFD"/>
    <w:rsid w:val="44FE625A"/>
    <w:rsid w:val="450257D1"/>
    <w:rsid w:val="450D39A9"/>
    <w:rsid w:val="45126D36"/>
    <w:rsid w:val="451546BC"/>
    <w:rsid w:val="45194113"/>
    <w:rsid w:val="45351D08"/>
    <w:rsid w:val="454409BE"/>
    <w:rsid w:val="455235D7"/>
    <w:rsid w:val="455530C7"/>
    <w:rsid w:val="457051C9"/>
    <w:rsid w:val="458605EC"/>
    <w:rsid w:val="46481E90"/>
    <w:rsid w:val="46A63BDA"/>
    <w:rsid w:val="46AB4D94"/>
    <w:rsid w:val="46C2653A"/>
    <w:rsid w:val="46D97302"/>
    <w:rsid w:val="47073C6A"/>
    <w:rsid w:val="47326066"/>
    <w:rsid w:val="473D2419"/>
    <w:rsid w:val="478F466E"/>
    <w:rsid w:val="479402F5"/>
    <w:rsid w:val="4800676A"/>
    <w:rsid w:val="481E5BCB"/>
    <w:rsid w:val="482E1B16"/>
    <w:rsid w:val="489973AA"/>
    <w:rsid w:val="48A9347F"/>
    <w:rsid w:val="48E56510"/>
    <w:rsid w:val="48FE7276"/>
    <w:rsid w:val="49866E1B"/>
    <w:rsid w:val="49D20104"/>
    <w:rsid w:val="4A6C513B"/>
    <w:rsid w:val="4A82164A"/>
    <w:rsid w:val="4AB03725"/>
    <w:rsid w:val="4AC414F6"/>
    <w:rsid w:val="4B2D7E01"/>
    <w:rsid w:val="4B5C79CE"/>
    <w:rsid w:val="4B645E12"/>
    <w:rsid w:val="4B8235DC"/>
    <w:rsid w:val="4BDC1E4C"/>
    <w:rsid w:val="4BFC49BF"/>
    <w:rsid w:val="4C235CCD"/>
    <w:rsid w:val="4CA566E2"/>
    <w:rsid w:val="4CCC6B7A"/>
    <w:rsid w:val="4CF16FBC"/>
    <w:rsid w:val="4D0162A7"/>
    <w:rsid w:val="4D2574A9"/>
    <w:rsid w:val="4DC62E8D"/>
    <w:rsid w:val="4DEC2188"/>
    <w:rsid w:val="4E49312A"/>
    <w:rsid w:val="4E6001A8"/>
    <w:rsid w:val="4E755A27"/>
    <w:rsid w:val="4E7B4B73"/>
    <w:rsid w:val="4E8A3555"/>
    <w:rsid w:val="4E946A0E"/>
    <w:rsid w:val="4F0D32DF"/>
    <w:rsid w:val="4F2002A2"/>
    <w:rsid w:val="4FC30B7E"/>
    <w:rsid w:val="4FE11A74"/>
    <w:rsid w:val="50045782"/>
    <w:rsid w:val="5008125C"/>
    <w:rsid w:val="510D2AA8"/>
    <w:rsid w:val="513323A5"/>
    <w:rsid w:val="51361FFF"/>
    <w:rsid w:val="519D6BDD"/>
    <w:rsid w:val="51B353FD"/>
    <w:rsid w:val="51BD67C2"/>
    <w:rsid w:val="51C40A30"/>
    <w:rsid w:val="51E66FFC"/>
    <w:rsid w:val="522E1D2D"/>
    <w:rsid w:val="5324620C"/>
    <w:rsid w:val="53364030"/>
    <w:rsid w:val="53455C41"/>
    <w:rsid w:val="53681C58"/>
    <w:rsid w:val="537B5CC6"/>
    <w:rsid w:val="53812B18"/>
    <w:rsid w:val="545F54AA"/>
    <w:rsid w:val="54F22802"/>
    <w:rsid w:val="554B0EAF"/>
    <w:rsid w:val="5572737D"/>
    <w:rsid w:val="55A25DF1"/>
    <w:rsid w:val="56CE6187"/>
    <w:rsid w:val="56D57BC4"/>
    <w:rsid w:val="56F01703"/>
    <w:rsid w:val="57754B46"/>
    <w:rsid w:val="57EC3417"/>
    <w:rsid w:val="57FE2441"/>
    <w:rsid w:val="58042272"/>
    <w:rsid w:val="58622EED"/>
    <w:rsid w:val="58D42829"/>
    <w:rsid w:val="58F85DEC"/>
    <w:rsid w:val="5919023C"/>
    <w:rsid w:val="594A6647"/>
    <w:rsid w:val="5A2C2E43"/>
    <w:rsid w:val="5AD00DCE"/>
    <w:rsid w:val="5AD831C3"/>
    <w:rsid w:val="5B0B032C"/>
    <w:rsid w:val="5B127639"/>
    <w:rsid w:val="5B5E6F41"/>
    <w:rsid w:val="5B6D0D13"/>
    <w:rsid w:val="5BB809D2"/>
    <w:rsid w:val="5BED29AE"/>
    <w:rsid w:val="5CAA7C2A"/>
    <w:rsid w:val="5CF9318F"/>
    <w:rsid w:val="5D437F7D"/>
    <w:rsid w:val="5D6975C2"/>
    <w:rsid w:val="5DC664B8"/>
    <w:rsid w:val="5DD010E5"/>
    <w:rsid w:val="5DFFF5F2"/>
    <w:rsid w:val="5E510410"/>
    <w:rsid w:val="5E6957C1"/>
    <w:rsid w:val="5EC0783E"/>
    <w:rsid w:val="5EFFB86C"/>
    <w:rsid w:val="5F1C6AC8"/>
    <w:rsid w:val="5F204F6C"/>
    <w:rsid w:val="5F515FB7"/>
    <w:rsid w:val="5FD90725"/>
    <w:rsid w:val="604A1623"/>
    <w:rsid w:val="60621AE8"/>
    <w:rsid w:val="60E26F06"/>
    <w:rsid w:val="610C5E78"/>
    <w:rsid w:val="6124055A"/>
    <w:rsid w:val="61DC074C"/>
    <w:rsid w:val="61E25C21"/>
    <w:rsid w:val="62D06DF9"/>
    <w:rsid w:val="62D97532"/>
    <w:rsid w:val="6346155B"/>
    <w:rsid w:val="638C50FB"/>
    <w:rsid w:val="63E304FC"/>
    <w:rsid w:val="63F96AED"/>
    <w:rsid w:val="64E078AA"/>
    <w:rsid w:val="65216ADA"/>
    <w:rsid w:val="65451FB6"/>
    <w:rsid w:val="6574456D"/>
    <w:rsid w:val="660A6A48"/>
    <w:rsid w:val="661E50E3"/>
    <w:rsid w:val="664E6551"/>
    <w:rsid w:val="667016B7"/>
    <w:rsid w:val="66EF4D18"/>
    <w:rsid w:val="67691430"/>
    <w:rsid w:val="67D0240D"/>
    <w:rsid w:val="67E67E83"/>
    <w:rsid w:val="67ED1ED5"/>
    <w:rsid w:val="68034375"/>
    <w:rsid w:val="68BB1D66"/>
    <w:rsid w:val="68D9369F"/>
    <w:rsid w:val="690152AE"/>
    <w:rsid w:val="693370F8"/>
    <w:rsid w:val="693764BC"/>
    <w:rsid w:val="69A2427D"/>
    <w:rsid w:val="6A6B466F"/>
    <w:rsid w:val="6AB67DD0"/>
    <w:rsid w:val="6AC47CC0"/>
    <w:rsid w:val="6AFC79BD"/>
    <w:rsid w:val="6B15282D"/>
    <w:rsid w:val="6BE251C8"/>
    <w:rsid w:val="6C0D529E"/>
    <w:rsid w:val="6C2C6080"/>
    <w:rsid w:val="6C3319C6"/>
    <w:rsid w:val="6C58319A"/>
    <w:rsid w:val="6C6539F8"/>
    <w:rsid w:val="6D540855"/>
    <w:rsid w:val="6DE54739"/>
    <w:rsid w:val="6DF901E4"/>
    <w:rsid w:val="6E4F4C08"/>
    <w:rsid w:val="6E9543B1"/>
    <w:rsid w:val="6EA77C40"/>
    <w:rsid w:val="6F4A43C7"/>
    <w:rsid w:val="6F71097A"/>
    <w:rsid w:val="6FB747DC"/>
    <w:rsid w:val="6FCC3E02"/>
    <w:rsid w:val="702602EB"/>
    <w:rsid w:val="70931459"/>
    <w:rsid w:val="70E5514A"/>
    <w:rsid w:val="715B118F"/>
    <w:rsid w:val="71747D76"/>
    <w:rsid w:val="717C39CC"/>
    <w:rsid w:val="71DD5A85"/>
    <w:rsid w:val="720C498A"/>
    <w:rsid w:val="72180639"/>
    <w:rsid w:val="723D76A0"/>
    <w:rsid w:val="72400252"/>
    <w:rsid w:val="72671BC0"/>
    <w:rsid w:val="72D1045E"/>
    <w:rsid w:val="732D64D2"/>
    <w:rsid w:val="733D289D"/>
    <w:rsid w:val="735B0505"/>
    <w:rsid w:val="73BD1E31"/>
    <w:rsid w:val="73E84F83"/>
    <w:rsid w:val="741E12F5"/>
    <w:rsid w:val="75491A51"/>
    <w:rsid w:val="7597625D"/>
    <w:rsid w:val="76312C11"/>
    <w:rsid w:val="765A10A6"/>
    <w:rsid w:val="76915947"/>
    <w:rsid w:val="76B455F0"/>
    <w:rsid w:val="76D71AB9"/>
    <w:rsid w:val="770805D1"/>
    <w:rsid w:val="77106CCA"/>
    <w:rsid w:val="772F6504"/>
    <w:rsid w:val="773172B6"/>
    <w:rsid w:val="774A15F3"/>
    <w:rsid w:val="77E051C2"/>
    <w:rsid w:val="780954C8"/>
    <w:rsid w:val="788552EA"/>
    <w:rsid w:val="78A44CC4"/>
    <w:rsid w:val="797655D1"/>
    <w:rsid w:val="799C4845"/>
    <w:rsid w:val="79D82EC8"/>
    <w:rsid w:val="79E8198A"/>
    <w:rsid w:val="79F4281B"/>
    <w:rsid w:val="7A3F0E47"/>
    <w:rsid w:val="7A5073DE"/>
    <w:rsid w:val="7A910246"/>
    <w:rsid w:val="7ACB25FC"/>
    <w:rsid w:val="7ADE4ABF"/>
    <w:rsid w:val="7B3D739A"/>
    <w:rsid w:val="7B496C73"/>
    <w:rsid w:val="7BAB6FC2"/>
    <w:rsid w:val="7BB0282A"/>
    <w:rsid w:val="7C750B9F"/>
    <w:rsid w:val="7D0E438E"/>
    <w:rsid w:val="7D146014"/>
    <w:rsid w:val="7D172638"/>
    <w:rsid w:val="7D3069D8"/>
    <w:rsid w:val="7D4C0330"/>
    <w:rsid w:val="7D937D0D"/>
    <w:rsid w:val="7DD70064"/>
    <w:rsid w:val="7E046E5D"/>
    <w:rsid w:val="7E3964E4"/>
    <w:rsid w:val="7E525E1A"/>
    <w:rsid w:val="7E5E3C19"/>
    <w:rsid w:val="7E64479B"/>
    <w:rsid w:val="7EE66563"/>
    <w:rsid w:val="7EEA1162"/>
    <w:rsid w:val="7EFC7B34"/>
    <w:rsid w:val="7F2C7AA4"/>
    <w:rsid w:val="7F3657B4"/>
    <w:rsid w:val="7F7569A3"/>
    <w:rsid w:val="7F7D1FF7"/>
    <w:rsid w:val="7FEE0AD7"/>
    <w:rsid w:val="BEDF47CA"/>
    <w:rsid w:val="E6F3E199"/>
    <w:rsid w:val="FFFF26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qFormat="1"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link w:val="43"/>
    <w:qFormat/>
    <w:uiPriority w:val="0"/>
    <w:pPr>
      <w:keepNext/>
      <w:keepLines/>
      <w:spacing w:before="340" w:after="330" w:line="578" w:lineRule="auto"/>
      <w:outlineLvl w:val="0"/>
    </w:pPr>
    <w:rPr>
      <w:b/>
      <w:bCs/>
      <w:kern w:val="44"/>
      <w:sz w:val="44"/>
      <w:szCs w:val="44"/>
    </w:rPr>
  </w:style>
  <w:style w:type="paragraph" w:styleId="6">
    <w:name w:val="heading 2"/>
    <w:basedOn w:val="1"/>
    <w:next w:val="1"/>
    <w:qFormat/>
    <w:uiPriority w:val="0"/>
    <w:pPr>
      <w:keepNext/>
      <w:adjustRightInd w:val="0"/>
      <w:snapToGrid w:val="0"/>
      <w:spacing w:before="120" w:after="120" w:line="360" w:lineRule="auto"/>
      <w:jc w:val="center"/>
      <w:textAlignment w:val="baseline"/>
      <w:outlineLvl w:val="1"/>
    </w:pPr>
    <w:rPr>
      <w:rFonts w:ascii="仿宋_GB2312" w:eastAsia="仿宋_GB2312"/>
      <w:b/>
      <w:kern w:val="0"/>
      <w:sz w:val="36"/>
      <w:szCs w:val="20"/>
    </w:rPr>
  </w:style>
  <w:style w:type="paragraph" w:styleId="7">
    <w:name w:val="heading 3"/>
    <w:basedOn w:val="1"/>
    <w:next w:val="1"/>
    <w:link w:val="45"/>
    <w:qFormat/>
    <w:uiPriority w:val="9"/>
    <w:pPr>
      <w:keepNext/>
      <w:keepLines/>
      <w:spacing w:before="260" w:after="260" w:line="360" w:lineRule="auto"/>
      <w:ind w:firstLine="602" w:firstLineChars="200"/>
      <w:outlineLvl w:val="2"/>
    </w:pPr>
    <w:rPr>
      <w:rFonts w:ascii="仿宋_GB2312" w:hAnsi="仿宋_GB2312"/>
      <w:b/>
      <w:bCs/>
      <w:sz w:val="30"/>
      <w:szCs w:val="20"/>
    </w:rPr>
  </w:style>
  <w:style w:type="paragraph" w:styleId="8">
    <w:name w:val="heading 4"/>
    <w:basedOn w:val="1"/>
    <w:next w:val="1"/>
    <w:link w:val="46"/>
    <w:qFormat/>
    <w:uiPriority w:val="0"/>
    <w:pPr>
      <w:keepNext/>
      <w:keepLines/>
      <w:spacing w:before="280" w:after="290" w:line="376" w:lineRule="auto"/>
      <w:outlineLvl w:val="3"/>
    </w:pPr>
    <w:rPr>
      <w:rFonts w:ascii="Cambria" w:hAnsi="Cambria"/>
      <w:b/>
      <w:bCs/>
      <w:sz w:val="28"/>
      <w:szCs w:val="28"/>
    </w:rPr>
  </w:style>
  <w:style w:type="paragraph" w:styleId="9">
    <w:name w:val="heading 5"/>
    <w:basedOn w:val="1"/>
    <w:next w:val="1"/>
    <w:link w:val="47"/>
    <w:qFormat/>
    <w:uiPriority w:val="0"/>
    <w:pPr>
      <w:keepNext/>
      <w:keepLines/>
      <w:spacing w:before="280" w:after="290" w:line="376" w:lineRule="auto"/>
      <w:outlineLvl w:val="4"/>
    </w:pPr>
    <w:rPr>
      <w:b/>
      <w:bCs/>
      <w:sz w:val="28"/>
      <w:szCs w:val="28"/>
    </w:rPr>
  </w:style>
  <w:style w:type="paragraph" w:styleId="10">
    <w:name w:val="heading 6"/>
    <w:basedOn w:val="1"/>
    <w:next w:val="1"/>
    <w:link w:val="48"/>
    <w:qFormat/>
    <w:uiPriority w:val="0"/>
    <w:pPr>
      <w:keepNext/>
      <w:keepLines/>
      <w:spacing w:before="240" w:after="64" w:line="320" w:lineRule="auto"/>
      <w:outlineLvl w:val="5"/>
    </w:pPr>
    <w:rPr>
      <w:rFonts w:ascii="Cambria" w:hAnsi="Cambria"/>
      <w:b/>
      <w:bCs/>
      <w:sz w:val="24"/>
    </w:rPr>
  </w:style>
  <w:style w:type="character" w:default="1" w:styleId="35">
    <w:name w:val="Default Paragraph Font"/>
    <w:semiHidden/>
    <w:unhideWhenUsed/>
    <w:qFormat/>
    <w:uiPriority w:val="1"/>
  </w:style>
  <w:style w:type="table" w:default="1" w:styleId="33">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4"/>
    <w:qFormat/>
    <w:uiPriority w:val="99"/>
    <w:pPr>
      <w:ind w:firstLine="420"/>
    </w:pPr>
    <w:rPr>
      <w:szCs w:val="21"/>
    </w:rPr>
  </w:style>
  <w:style w:type="paragraph" w:styleId="3">
    <w:name w:val="Body Text Indent"/>
    <w:basedOn w:val="1"/>
    <w:next w:val="1"/>
    <w:link w:val="52"/>
    <w:qFormat/>
    <w:uiPriority w:val="0"/>
    <w:pPr>
      <w:spacing w:after="120"/>
      <w:ind w:left="420" w:leftChars="200"/>
    </w:pPr>
  </w:style>
  <w:style w:type="paragraph" w:customStyle="1" w:styleId="4">
    <w:name w:val="xl53"/>
    <w:basedOn w:val="1"/>
    <w:next w:val="1"/>
    <w:qFormat/>
    <w:uiPriority w:val="99"/>
    <w:pPr>
      <w:widowControl/>
      <w:pBdr>
        <w:top w:val="single" w:color="auto" w:sz="4" w:space="0"/>
        <w:left w:val="single" w:color="auto" w:sz="8" w:space="0"/>
        <w:bottom w:val="single" w:color="auto" w:sz="8" w:space="0"/>
        <w:right w:val="single" w:color="auto" w:sz="4" w:space="0"/>
      </w:pBdr>
      <w:spacing w:before="100" w:beforeAutospacing="1" w:after="100" w:afterAutospacing="1" w:line="100" w:lineRule="exact"/>
      <w:jc w:val="center"/>
    </w:pPr>
    <w:rPr>
      <w:rFonts w:ascii="宋体" w:hAnsi="宋体"/>
      <w:b/>
      <w:bCs/>
      <w:kern w:val="0"/>
      <w:sz w:val="20"/>
      <w:szCs w:val="20"/>
    </w:rPr>
  </w:style>
  <w:style w:type="paragraph" w:styleId="11">
    <w:name w:val="Normal Indent"/>
    <w:basedOn w:val="1"/>
    <w:next w:val="1"/>
    <w:link w:val="44"/>
    <w:qFormat/>
    <w:uiPriority w:val="0"/>
    <w:pPr>
      <w:ind w:firstLine="420"/>
    </w:pPr>
    <w:rPr>
      <w:szCs w:val="20"/>
    </w:rPr>
  </w:style>
  <w:style w:type="paragraph" w:styleId="12">
    <w:name w:val="caption"/>
    <w:basedOn w:val="1"/>
    <w:next w:val="1"/>
    <w:qFormat/>
    <w:uiPriority w:val="0"/>
    <w:rPr>
      <w:rFonts w:ascii="Cambria" w:hAnsi="Cambria" w:eastAsia="黑体"/>
      <w:kern w:val="0"/>
      <w:sz w:val="20"/>
      <w:szCs w:val="20"/>
    </w:rPr>
  </w:style>
  <w:style w:type="paragraph" w:styleId="13">
    <w:name w:val="toa heading"/>
    <w:basedOn w:val="1"/>
    <w:next w:val="1"/>
    <w:qFormat/>
    <w:uiPriority w:val="0"/>
    <w:pPr>
      <w:spacing w:before="120" w:line="240" w:lineRule="atLeast"/>
    </w:pPr>
    <w:rPr>
      <w:rFonts w:ascii="Arial" w:hAnsi="Arial" w:cs="Arial"/>
      <w:sz w:val="24"/>
    </w:rPr>
  </w:style>
  <w:style w:type="paragraph" w:styleId="14">
    <w:name w:val="annotation text"/>
    <w:basedOn w:val="1"/>
    <w:link w:val="49"/>
    <w:qFormat/>
    <w:uiPriority w:val="0"/>
    <w:pPr>
      <w:jc w:val="left"/>
    </w:pPr>
  </w:style>
  <w:style w:type="paragraph" w:styleId="15">
    <w:name w:val="Body Text"/>
    <w:basedOn w:val="1"/>
    <w:next w:val="1"/>
    <w:link w:val="50"/>
    <w:qFormat/>
    <w:uiPriority w:val="99"/>
    <w:pPr>
      <w:spacing w:after="120"/>
    </w:pPr>
  </w:style>
  <w:style w:type="paragraph" w:styleId="16">
    <w:name w:val="List 2"/>
    <w:basedOn w:val="1"/>
    <w:qFormat/>
    <w:uiPriority w:val="0"/>
    <w:pPr>
      <w:ind w:left="100" w:leftChars="200" w:hanging="200" w:hangingChars="200"/>
    </w:pPr>
  </w:style>
  <w:style w:type="paragraph" w:styleId="17">
    <w:name w:val="Block Text"/>
    <w:basedOn w:val="1"/>
    <w:unhideWhenUsed/>
    <w:qFormat/>
    <w:uiPriority w:val="0"/>
    <w:pPr>
      <w:spacing w:line="500" w:lineRule="exact"/>
      <w:ind w:left="280" w:leftChars="100" w:right="260" w:rightChars="93" w:firstLine="700" w:firstLineChars="250"/>
    </w:pPr>
    <w:rPr>
      <w:sz w:val="28"/>
      <w:szCs w:val="20"/>
    </w:rPr>
  </w:style>
  <w:style w:type="paragraph" w:styleId="18">
    <w:name w:val="toc 3"/>
    <w:basedOn w:val="1"/>
    <w:next w:val="1"/>
    <w:qFormat/>
    <w:uiPriority w:val="39"/>
    <w:pPr>
      <w:tabs>
        <w:tab w:val="right" w:leader="dot" w:pos="9060"/>
      </w:tabs>
      <w:ind w:left="1"/>
    </w:pPr>
    <w:rPr>
      <w:rFonts w:ascii="仿宋_GB2312" w:eastAsia="仿宋_GB2312"/>
      <w:sz w:val="24"/>
      <w:szCs w:val="36"/>
    </w:rPr>
  </w:style>
  <w:style w:type="paragraph" w:styleId="19">
    <w:name w:val="Plain Text"/>
    <w:basedOn w:val="1"/>
    <w:link w:val="53"/>
    <w:qFormat/>
    <w:uiPriority w:val="0"/>
    <w:rPr>
      <w:rFonts w:ascii="宋体" w:hAnsi="Courier New"/>
      <w:szCs w:val="20"/>
    </w:rPr>
  </w:style>
  <w:style w:type="paragraph" w:styleId="20">
    <w:name w:val="Date"/>
    <w:basedOn w:val="1"/>
    <w:next w:val="1"/>
    <w:link w:val="54"/>
    <w:qFormat/>
    <w:uiPriority w:val="0"/>
    <w:pPr>
      <w:adjustRightInd w:val="0"/>
      <w:spacing w:line="312" w:lineRule="atLeast"/>
    </w:pPr>
    <w:rPr>
      <w:rFonts w:ascii="仿宋_GB2312" w:eastAsia="仿宋_GB2312"/>
      <w:kern w:val="0"/>
      <w:sz w:val="28"/>
      <w:szCs w:val="20"/>
    </w:rPr>
  </w:style>
  <w:style w:type="paragraph" w:styleId="21">
    <w:name w:val="Body Text Indent 2"/>
    <w:basedOn w:val="1"/>
    <w:qFormat/>
    <w:uiPriority w:val="0"/>
    <w:pPr>
      <w:snapToGrid w:val="0"/>
      <w:spacing w:line="400" w:lineRule="exact"/>
      <w:ind w:firstLine="480"/>
    </w:pPr>
    <w:rPr>
      <w:rFonts w:eastAsia="仿宋_GB2312"/>
      <w:sz w:val="24"/>
    </w:rPr>
  </w:style>
  <w:style w:type="paragraph" w:styleId="22">
    <w:name w:val="Balloon Text"/>
    <w:basedOn w:val="1"/>
    <w:link w:val="55"/>
    <w:qFormat/>
    <w:uiPriority w:val="99"/>
    <w:rPr>
      <w:sz w:val="18"/>
      <w:szCs w:val="18"/>
    </w:rPr>
  </w:style>
  <w:style w:type="paragraph" w:styleId="23">
    <w:name w:val="footer"/>
    <w:basedOn w:val="1"/>
    <w:link w:val="56"/>
    <w:qFormat/>
    <w:uiPriority w:val="99"/>
    <w:pPr>
      <w:tabs>
        <w:tab w:val="center" w:pos="4153"/>
        <w:tab w:val="right" w:pos="8306"/>
      </w:tabs>
      <w:snapToGrid w:val="0"/>
      <w:jc w:val="left"/>
    </w:pPr>
    <w:rPr>
      <w:sz w:val="18"/>
      <w:szCs w:val="18"/>
    </w:rPr>
  </w:style>
  <w:style w:type="paragraph" w:styleId="24">
    <w:name w:val="envelope return"/>
    <w:basedOn w:val="1"/>
    <w:qFormat/>
    <w:uiPriority w:val="0"/>
    <w:pPr>
      <w:snapToGrid w:val="0"/>
    </w:pPr>
    <w:rPr>
      <w:rFonts w:ascii="Arial" w:hAnsi="Arial"/>
    </w:rPr>
  </w:style>
  <w:style w:type="paragraph" w:styleId="25">
    <w:name w:val="header"/>
    <w:basedOn w:val="1"/>
    <w:link w:val="57"/>
    <w:qFormat/>
    <w:uiPriority w:val="99"/>
    <w:pPr>
      <w:pBdr>
        <w:bottom w:val="single" w:color="auto" w:sz="6" w:space="1"/>
      </w:pBdr>
      <w:tabs>
        <w:tab w:val="center" w:pos="4153"/>
        <w:tab w:val="right" w:pos="8306"/>
      </w:tabs>
      <w:adjustRightInd w:val="0"/>
      <w:spacing w:line="240" w:lineRule="atLeast"/>
      <w:jc w:val="center"/>
    </w:pPr>
    <w:rPr>
      <w:kern w:val="0"/>
      <w:sz w:val="18"/>
      <w:szCs w:val="20"/>
    </w:rPr>
  </w:style>
  <w:style w:type="paragraph" w:styleId="26">
    <w:name w:val="toc 1"/>
    <w:basedOn w:val="1"/>
    <w:next w:val="1"/>
    <w:qFormat/>
    <w:uiPriority w:val="0"/>
  </w:style>
  <w:style w:type="paragraph" w:styleId="27">
    <w:name w:val="toc 6"/>
    <w:basedOn w:val="1"/>
    <w:next w:val="1"/>
    <w:qFormat/>
    <w:uiPriority w:val="0"/>
    <w:pPr>
      <w:autoSpaceDE w:val="0"/>
      <w:autoSpaceDN w:val="0"/>
      <w:adjustRightInd w:val="0"/>
      <w:ind w:left="2100" w:leftChars="1000"/>
      <w:jc w:val="left"/>
    </w:pPr>
    <w:rPr>
      <w:kern w:val="0"/>
      <w:sz w:val="20"/>
      <w:szCs w:val="20"/>
    </w:rPr>
  </w:style>
  <w:style w:type="paragraph" w:styleId="28">
    <w:name w:val="toc 2"/>
    <w:basedOn w:val="1"/>
    <w:next w:val="1"/>
    <w:qFormat/>
    <w:uiPriority w:val="39"/>
    <w:pPr>
      <w:tabs>
        <w:tab w:val="right" w:leader="dot" w:pos="9060"/>
      </w:tabs>
    </w:pPr>
    <w:rPr>
      <w:rFonts w:ascii="宋体" w:hAnsi="宋体"/>
      <w:b/>
      <w:bCs/>
      <w:sz w:val="24"/>
    </w:rPr>
  </w:style>
  <w:style w:type="paragraph" w:styleId="29">
    <w:name w:val="Normal (Web)"/>
    <w:basedOn w:val="1"/>
    <w:link w:val="58"/>
    <w:qFormat/>
    <w:uiPriority w:val="0"/>
    <w:pPr>
      <w:widowControl/>
      <w:spacing w:before="100" w:beforeAutospacing="1" w:after="100" w:afterAutospacing="1"/>
      <w:jc w:val="left"/>
    </w:pPr>
    <w:rPr>
      <w:rFonts w:ascii="宋体" w:hAnsi="宋体"/>
      <w:kern w:val="0"/>
      <w:sz w:val="24"/>
    </w:rPr>
  </w:style>
  <w:style w:type="paragraph" w:styleId="30">
    <w:name w:val="Title"/>
    <w:basedOn w:val="1"/>
    <w:link w:val="59"/>
    <w:qFormat/>
    <w:uiPriority w:val="0"/>
    <w:pPr>
      <w:widowControl/>
      <w:overflowPunct w:val="0"/>
      <w:autoSpaceDE w:val="0"/>
      <w:autoSpaceDN w:val="0"/>
      <w:adjustRightInd w:val="0"/>
      <w:spacing w:line="420" w:lineRule="exact"/>
      <w:jc w:val="center"/>
      <w:textAlignment w:val="baseline"/>
    </w:pPr>
    <w:rPr>
      <w:rFonts w:eastAsia="黑体"/>
      <w:b/>
      <w:kern w:val="0"/>
      <w:sz w:val="28"/>
      <w:szCs w:val="20"/>
      <w:lang w:val="en-GB"/>
    </w:rPr>
  </w:style>
  <w:style w:type="paragraph" w:styleId="31">
    <w:name w:val="annotation subject"/>
    <w:basedOn w:val="14"/>
    <w:next w:val="14"/>
    <w:link w:val="60"/>
    <w:qFormat/>
    <w:uiPriority w:val="0"/>
    <w:rPr>
      <w:b/>
      <w:bCs/>
    </w:rPr>
  </w:style>
  <w:style w:type="paragraph" w:styleId="32">
    <w:name w:val="Body Text First Indent"/>
    <w:basedOn w:val="15"/>
    <w:next w:val="1"/>
    <w:link w:val="51"/>
    <w:qFormat/>
    <w:uiPriority w:val="0"/>
    <w:pPr>
      <w:ind w:firstLine="420" w:firstLineChars="100"/>
    </w:pPr>
  </w:style>
  <w:style w:type="table" w:styleId="34">
    <w:name w:val="Table Grid"/>
    <w:basedOn w:val="33"/>
    <w:qFormat/>
    <w:uiPriority w:val="59"/>
    <w:pPr>
      <w:widowControl w:val="0"/>
      <w:spacing w:line="380" w:lineRule="exact"/>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6">
    <w:name w:val="Strong"/>
    <w:qFormat/>
    <w:uiPriority w:val="22"/>
    <w:rPr>
      <w:b/>
    </w:rPr>
  </w:style>
  <w:style w:type="character" w:styleId="37">
    <w:name w:val="page number"/>
    <w:qFormat/>
    <w:uiPriority w:val="0"/>
  </w:style>
  <w:style w:type="character" w:styleId="38">
    <w:name w:val="FollowedHyperlink"/>
    <w:qFormat/>
    <w:uiPriority w:val="99"/>
    <w:rPr>
      <w:color w:val="800080"/>
      <w:u w:val="single"/>
    </w:rPr>
  </w:style>
  <w:style w:type="character" w:styleId="39">
    <w:name w:val="Hyperlink"/>
    <w:qFormat/>
    <w:uiPriority w:val="99"/>
    <w:rPr>
      <w:color w:val="0000FF"/>
      <w:u w:val="single"/>
    </w:rPr>
  </w:style>
  <w:style w:type="character" w:styleId="40">
    <w:name w:val="annotation reference"/>
    <w:qFormat/>
    <w:uiPriority w:val="0"/>
    <w:rPr>
      <w:sz w:val="21"/>
      <w:szCs w:val="21"/>
    </w:rPr>
  </w:style>
  <w:style w:type="paragraph" w:customStyle="1" w:styleId="41">
    <w:name w:val="_Style 3"/>
    <w:qFormat/>
    <w:uiPriority w:val="1"/>
    <w:pPr>
      <w:widowControl w:val="0"/>
      <w:jc w:val="both"/>
    </w:pPr>
    <w:rPr>
      <w:rFonts w:ascii="Times New Roman" w:hAnsi="Times New Roman" w:eastAsia="宋体" w:cs="Times New Roman"/>
      <w:kern w:val="2"/>
      <w:sz w:val="21"/>
      <w:szCs w:val="22"/>
      <w:lang w:val="en-US" w:eastAsia="zh-CN" w:bidi="ar-SA"/>
    </w:rPr>
  </w:style>
  <w:style w:type="paragraph" w:customStyle="1" w:styleId="42">
    <w:name w:val="样式 正文文本缩进 + 左  0 字符"/>
    <w:basedOn w:val="3"/>
    <w:qFormat/>
    <w:uiPriority w:val="0"/>
    <w:pPr>
      <w:spacing w:after="0" w:line="360" w:lineRule="auto"/>
      <w:ind w:left="0" w:leftChars="0" w:firstLine="250" w:firstLineChars="250"/>
    </w:pPr>
    <w:rPr>
      <w:rFonts w:cs="宋体"/>
      <w:sz w:val="24"/>
    </w:rPr>
  </w:style>
  <w:style w:type="character" w:customStyle="1" w:styleId="43">
    <w:name w:val="标题 1 字符"/>
    <w:link w:val="5"/>
    <w:qFormat/>
    <w:uiPriority w:val="0"/>
    <w:rPr>
      <w:b/>
      <w:bCs/>
      <w:kern w:val="44"/>
      <w:sz w:val="44"/>
      <w:szCs w:val="44"/>
    </w:rPr>
  </w:style>
  <w:style w:type="character" w:customStyle="1" w:styleId="44">
    <w:name w:val="正文缩进 字符"/>
    <w:link w:val="11"/>
    <w:qFormat/>
    <w:uiPriority w:val="0"/>
    <w:rPr>
      <w:kern w:val="2"/>
      <w:sz w:val="21"/>
    </w:rPr>
  </w:style>
  <w:style w:type="character" w:customStyle="1" w:styleId="45">
    <w:name w:val="标题 3 字符"/>
    <w:link w:val="7"/>
    <w:qFormat/>
    <w:uiPriority w:val="9"/>
    <w:rPr>
      <w:rFonts w:ascii="仿宋_GB2312" w:hAnsi="仿宋_GB2312" w:eastAsia="宋体"/>
      <w:b/>
      <w:bCs/>
      <w:kern w:val="2"/>
      <w:sz w:val="30"/>
    </w:rPr>
  </w:style>
  <w:style w:type="character" w:customStyle="1" w:styleId="46">
    <w:name w:val="标题 4 字符"/>
    <w:link w:val="8"/>
    <w:semiHidden/>
    <w:qFormat/>
    <w:uiPriority w:val="0"/>
    <w:rPr>
      <w:rFonts w:ascii="Cambria" w:hAnsi="Cambria" w:eastAsia="宋体" w:cs="Times New Roman"/>
      <w:b/>
      <w:bCs/>
      <w:kern w:val="2"/>
      <w:sz w:val="28"/>
      <w:szCs w:val="28"/>
    </w:rPr>
  </w:style>
  <w:style w:type="character" w:customStyle="1" w:styleId="47">
    <w:name w:val="标题 5 字符"/>
    <w:link w:val="9"/>
    <w:semiHidden/>
    <w:qFormat/>
    <w:uiPriority w:val="0"/>
    <w:rPr>
      <w:b/>
      <w:bCs/>
      <w:kern w:val="2"/>
      <w:sz w:val="28"/>
      <w:szCs w:val="28"/>
    </w:rPr>
  </w:style>
  <w:style w:type="character" w:customStyle="1" w:styleId="48">
    <w:name w:val="标题 6 字符"/>
    <w:link w:val="10"/>
    <w:semiHidden/>
    <w:qFormat/>
    <w:uiPriority w:val="0"/>
    <w:rPr>
      <w:rFonts w:ascii="Cambria" w:hAnsi="Cambria" w:eastAsia="宋体" w:cs="Times New Roman"/>
      <w:b/>
      <w:bCs/>
      <w:kern w:val="2"/>
      <w:sz w:val="24"/>
      <w:szCs w:val="24"/>
    </w:rPr>
  </w:style>
  <w:style w:type="character" w:customStyle="1" w:styleId="49">
    <w:name w:val="批注文字 字符"/>
    <w:link w:val="14"/>
    <w:qFormat/>
    <w:uiPriority w:val="0"/>
    <w:rPr>
      <w:kern w:val="2"/>
      <w:sz w:val="21"/>
      <w:szCs w:val="24"/>
    </w:rPr>
  </w:style>
  <w:style w:type="character" w:customStyle="1" w:styleId="50">
    <w:name w:val="正文文本 字符"/>
    <w:link w:val="15"/>
    <w:qFormat/>
    <w:uiPriority w:val="0"/>
    <w:rPr>
      <w:kern w:val="2"/>
      <w:sz w:val="21"/>
      <w:szCs w:val="24"/>
    </w:rPr>
  </w:style>
  <w:style w:type="character" w:customStyle="1" w:styleId="51">
    <w:name w:val="正文文本首行缩进 字符"/>
    <w:link w:val="32"/>
    <w:qFormat/>
    <w:uiPriority w:val="0"/>
  </w:style>
  <w:style w:type="character" w:customStyle="1" w:styleId="52">
    <w:name w:val="正文文本缩进 字符"/>
    <w:link w:val="3"/>
    <w:qFormat/>
    <w:uiPriority w:val="0"/>
    <w:rPr>
      <w:kern w:val="2"/>
      <w:sz w:val="21"/>
      <w:szCs w:val="24"/>
    </w:rPr>
  </w:style>
  <w:style w:type="character" w:customStyle="1" w:styleId="53">
    <w:name w:val="纯文本 字符1"/>
    <w:link w:val="19"/>
    <w:qFormat/>
    <w:uiPriority w:val="0"/>
    <w:rPr>
      <w:rFonts w:ascii="宋体" w:hAnsi="Courier New"/>
      <w:kern w:val="2"/>
      <w:sz w:val="21"/>
    </w:rPr>
  </w:style>
  <w:style w:type="character" w:customStyle="1" w:styleId="54">
    <w:name w:val="日期 字符"/>
    <w:link w:val="20"/>
    <w:qFormat/>
    <w:uiPriority w:val="0"/>
    <w:rPr>
      <w:rFonts w:ascii="仿宋_GB2312" w:eastAsia="仿宋_GB2312"/>
      <w:sz w:val="28"/>
    </w:rPr>
  </w:style>
  <w:style w:type="character" w:customStyle="1" w:styleId="55">
    <w:name w:val="批注框文本 字符"/>
    <w:link w:val="22"/>
    <w:qFormat/>
    <w:uiPriority w:val="99"/>
    <w:rPr>
      <w:kern w:val="2"/>
      <w:sz w:val="18"/>
      <w:szCs w:val="18"/>
    </w:rPr>
  </w:style>
  <w:style w:type="character" w:customStyle="1" w:styleId="56">
    <w:name w:val="页脚 字符"/>
    <w:link w:val="23"/>
    <w:qFormat/>
    <w:uiPriority w:val="99"/>
    <w:rPr>
      <w:kern w:val="2"/>
      <w:sz w:val="18"/>
      <w:szCs w:val="18"/>
    </w:rPr>
  </w:style>
  <w:style w:type="character" w:customStyle="1" w:styleId="57">
    <w:name w:val="页眉 字符"/>
    <w:link w:val="25"/>
    <w:qFormat/>
    <w:uiPriority w:val="99"/>
    <w:rPr>
      <w:sz w:val="18"/>
    </w:rPr>
  </w:style>
  <w:style w:type="character" w:customStyle="1" w:styleId="58">
    <w:name w:val="普通(网站) 字符"/>
    <w:link w:val="29"/>
    <w:qFormat/>
    <w:uiPriority w:val="0"/>
    <w:rPr>
      <w:rFonts w:ascii="宋体" w:hAnsi="宋体"/>
      <w:sz w:val="24"/>
      <w:szCs w:val="24"/>
    </w:rPr>
  </w:style>
  <w:style w:type="character" w:customStyle="1" w:styleId="59">
    <w:name w:val="标题 字符"/>
    <w:link w:val="30"/>
    <w:qFormat/>
    <w:uiPriority w:val="0"/>
    <w:rPr>
      <w:rFonts w:eastAsia="黑体"/>
      <w:b/>
      <w:sz w:val="28"/>
      <w:lang w:val="en-GB"/>
    </w:rPr>
  </w:style>
  <w:style w:type="character" w:customStyle="1" w:styleId="60">
    <w:name w:val="批注主题 字符"/>
    <w:link w:val="31"/>
    <w:qFormat/>
    <w:uiPriority w:val="0"/>
    <w:rPr>
      <w:b/>
      <w:bCs/>
      <w:kern w:val="2"/>
      <w:sz w:val="21"/>
      <w:szCs w:val="24"/>
    </w:rPr>
  </w:style>
  <w:style w:type="character" w:customStyle="1" w:styleId="61">
    <w:name w:val="标题 3 Char"/>
    <w:qFormat/>
    <w:uiPriority w:val="9"/>
    <w:rPr>
      <w:rFonts w:ascii="仿宋_GB2312" w:eastAsia="仿宋_GB2312"/>
      <w:b/>
      <w:bCs/>
      <w:kern w:val="2"/>
      <w:sz w:val="30"/>
    </w:rPr>
  </w:style>
  <w:style w:type="character" w:customStyle="1" w:styleId="62">
    <w:name w:val="列表段落 字符"/>
    <w:link w:val="63"/>
    <w:qFormat/>
    <w:uiPriority w:val="34"/>
    <w:rPr>
      <w:kern w:val="2"/>
      <w:sz w:val="24"/>
      <w:szCs w:val="24"/>
    </w:rPr>
  </w:style>
  <w:style w:type="paragraph" w:styleId="63">
    <w:name w:val="List Paragraph"/>
    <w:basedOn w:val="1"/>
    <w:link w:val="62"/>
    <w:qFormat/>
    <w:uiPriority w:val="34"/>
    <w:pPr>
      <w:ind w:firstLine="420" w:firstLineChars="200"/>
    </w:pPr>
    <w:rPr>
      <w:sz w:val="24"/>
    </w:rPr>
  </w:style>
  <w:style w:type="character" w:customStyle="1" w:styleId="64">
    <w:name w:val="纯文本 Char1_4"/>
    <w:link w:val="65"/>
    <w:qFormat/>
    <w:uiPriority w:val="0"/>
    <w:rPr>
      <w:rFonts w:ascii="宋体" w:hAnsi="Courier New"/>
      <w:kern w:val="2"/>
      <w:sz w:val="21"/>
    </w:rPr>
  </w:style>
  <w:style w:type="paragraph" w:customStyle="1" w:styleId="65">
    <w:name w:val="纯文本_5_0"/>
    <w:basedOn w:val="1"/>
    <w:link w:val="64"/>
    <w:qFormat/>
    <w:uiPriority w:val="0"/>
    <w:rPr>
      <w:rFonts w:ascii="宋体" w:hAnsi="Courier New"/>
      <w:szCs w:val="20"/>
    </w:rPr>
  </w:style>
  <w:style w:type="character" w:customStyle="1" w:styleId="66">
    <w:name w:val="纯文本 字符"/>
    <w:qFormat/>
    <w:uiPriority w:val="0"/>
    <w:rPr>
      <w:rFonts w:ascii="宋体" w:hAnsi="Courier New" w:eastAsia="宋体"/>
      <w:kern w:val="2"/>
      <w:sz w:val="21"/>
      <w:lang w:val="en-US" w:eastAsia="zh-CN" w:bidi="ar-SA"/>
    </w:rPr>
  </w:style>
  <w:style w:type="character" w:customStyle="1" w:styleId="67">
    <w:name w:val="纯文本 Char1_3"/>
    <w:link w:val="68"/>
    <w:qFormat/>
    <w:uiPriority w:val="0"/>
    <w:rPr>
      <w:rFonts w:ascii="宋体" w:hAnsi="Courier New"/>
      <w:kern w:val="2"/>
      <w:sz w:val="21"/>
    </w:rPr>
  </w:style>
  <w:style w:type="paragraph" w:customStyle="1" w:styleId="68">
    <w:name w:val="纯文本_3"/>
    <w:basedOn w:val="69"/>
    <w:link w:val="67"/>
    <w:qFormat/>
    <w:uiPriority w:val="0"/>
    <w:rPr>
      <w:rFonts w:ascii="宋体" w:hAnsi="Courier New"/>
      <w:szCs w:val="20"/>
    </w:rPr>
  </w:style>
  <w:style w:type="paragraph" w:customStyle="1" w:styleId="69">
    <w:name w:val="正文_5"/>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70">
    <w:name w:val="纯文本 Char1_4_3"/>
    <w:qFormat/>
    <w:uiPriority w:val="0"/>
    <w:rPr>
      <w:rFonts w:ascii="宋体" w:hAnsi="Courier New"/>
      <w:kern w:val="2"/>
      <w:sz w:val="21"/>
    </w:rPr>
  </w:style>
  <w:style w:type="character" w:customStyle="1" w:styleId="71">
    <w:name w:val="样式1 Char"/>
    <w:link w:val="72"/>
    <w:qFormat/>
    <w:uiPriority w:val="0"/>
    <w:rPr>
      <w:rFonts w:ascii="Times New Roman" w:hAnsi="Times New Roman"/>
      <w:kern w:val="2"/>
      <w:sz w:val="24"/>
    </w:rPr>
  </w:style>
  <w:style w:type="paragraph" w:customStyle="1" w:styleId="72">
    <w:name w:val="样式1"/>
    <w:basedOn w:val="1"/>
    <w:link w:val="71"/>
    <w:qFormat/>
    <w:uiPriority w:val="0"/>
    <w:pPr>
      <w:spacing w:line="360" w:lineRule="auto"/>
      <w:ind w:firstLine="420" w:firstLineChars="200"/>
    </w:pPr>
    <w:rPr>
      <w:sz w:val="24"/>
      <w:szCs w:val="20"/>
    </w:rPr>
  </w:style>
  <w:style w:type="character" w:customStyle="1" w:styleId="73">
    <w:name w:val="纯文本 Char"/>
    <w:qFormat/>
    <w:uiPriority w:val="0"/>
    <w:rPr>
      <w:rFonts w:ascii="宋体" w:hAnsi="Courier New"/>
      <w:kern w:val="2"/>
      <w:sz w:val="21"/>
    </w:rPr>
  </w:style>
  <w:style w:type="character" w:customStyle="1" w:styleId="74">
    <w:name w:val="纯文本 Char_0"/>
    <w:link w:val="75"/>
    <w:qFormat/>
    <w:uiPriority w:val="0"/>
    <w:rPr>
      <w:rFonts w:ascii="宋体" w:hAnsi="Courier New"/>
      <w:kern w:val="2"/>
      <w:sz w:val="21"/>
      <w:szCs w:val="21"/>
    </w:rPr>
  </w:style>
  <w:style w:type="paragraph" w:customStyle="1" w:styleId="75">
    <w:name w:val="纯文本_0_0"/>
    <w:basedOn w:val="76"/>
    <w:link w:val="74"/>
    <w:qFormat/>
    <w:uiPriority w:val="0"/>
    <w:rPr>
      <w:rFonts w:ascii="宋体" w:hAnsi="Courier New"/>
      <w:szCs w:val="21"/>
    </w:rPr>
  </w:style>
  <w:style w:type="paragraph" w:customStyle="1" w:styleId="76">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77">
    <w:name w:val="paragraph1 Char"/>
    <w:link w:val="78"/>
    <w:qFormat/>
    <w:uiPriority w:val="0"/>
    <w:rPr>
      <w:rFonts w:ascii="Arial" w:hAnsi="Arial"/>
      <w:sz w:val="24"/>
      <w:szCs w:val="24"/>
    </w:rPr>
  </w:style>
  <w:style w:type="paragraph" w:customStyle="1" w:styleId="78">
    <w:name w:val="paragraph1"/>
    <w:basedOn w:val="1"/>
    <w:link w:val="77"/>
    <w:qFormat/>
    <w:uiPriority w:val="0"/>
    <w:pPr>
      <w:spacing w:afterLines="30" w:line="360" w:lineRule="auto"/>
      <w:ind w:firstLine="480" w:firstLineChars="200"/>
    </w:pPr>
    <w:rPr>
      <w:rFonts w:ascii="Arial" w:hAnsi="Arial"/>
      <w:kern w:val="0"/>
      <w:sz w:val="24"/>
    </w:rPr>
  </w:style>
  <w:style w:type="character" w:customStyle="1" w:styleId="79">
    <w:name w:val="纯文本 Char1_1"/>
    <w:link w:val="80"/>
    <w:qFormat/>
    <w:uiPriority w:val="0"/>
    <w:rPr>
      <w:rFonts w:ascii="宋体" w:hAnsi="Courier New"/>
      <w:kern w:val="2"/>
      <w:sz w:val="21"/>
    </w:rPr>
  </w:style>
  <w:style w:type="paragraph" w:customStyle="1" w:styleId="80">
    <w:name w:val="纯文本_1"/>
    <w:basedOn w:val="1"/>
    <w:link w:val="79"/>
    <w:qFormat/>
    <w:uiPriority w:val="0"/>
    <w:rPr>
      <w:rFonts w:ascii="宋体" w:hAnsi="Courier New"/>
      <w:szCs w:val="20"/>
    </w:rPr>
  </w:style>
  <w:style w:type="character" w:customStyle="1" w:styleId="81">
    <w:name w:val="px141"/>
    <w:qFormat/>
    <w:uiPriority w:val="0"/>
    <w:rPr>
      <w:rFonts w:hint="default"/>
      <w:sz w:val="21"/>
      <w:szCs w:val="21"/>
    </w:rPr>
  </w:style>
  <w:style w:type="character" w:customStyle="1" w:styleId="82">
    <w:name w:val="p141"/>
    <w:qFormat/>
    <w:uiPriority w:val="0"/>
    <w:rPr>
      <w:sz w:val="21"/>
      <w:u w:val="none"/>
    </w:rPr>
  </w:style>
  <w:style w:type="character" w:customStyle="1" w:styleId="83">
    <w:name w:val="文档正文 Char"/>
    <w:link w:val="84"/>
    <w:qFormat/>
    <w:uiPriority w:val="0"/>
    <w:rPr>
      <w:rFonts w:ascii="Tahoma" w:hAnsi="Tahoma" w:eastAsia="仿宋_GB2312"/>
      <w:sz w:val="28"/>
    </w:rPr>
  </w:style>
  <w:style w:type="paragraph" w:customStyle="1" w:styleId="84">
    <w:name w:val="文档正文"/>
    <w:basedOn w:val="1"/>
    <w:link w:val="83"/>
    <w:qFormat/>
    <w:uiPriority w:val="0"/>
    <w:pPr>
      <w:spacing w:line="360" w:lineRule="auto"/>
      <w:ind w:firstLine="480" w:firstLineChars="200"/>
    </w:pPr>
    <w:rPr>
      <w:rFonts w:ascii="Tahoma" w:hAnsi="Tahoma" w:eastAsia="仿宋_GB2312"/>
      <w:kern w:val="0"/>
      <w:sz w:val="28"/>
      <w:szCs w:val="20"/>
    </w:rPr>
  </w:style>
  <w:style w:type="character" w:customStyle="1" w:styleId="85">
    <w:name w:val="正文1 Char2"/>
    <w:link w:val="86"/>
    <w:qFormat/>
    <w:uiPriority w:val="0"/>
    <w:rPr>
      <w:kern w:val="2"/>
      <w:sz w:val="21"/>
      <w:lang w:val="en-US" w:eastAsia="zh-CN" w:bidi="ar-SA"/>
    </w:rPr>
  </w:style>
  <w:style w:type="paragraph" w:customStyle="1" w:styleId="86">
    <w:name w:val="正文1"/>
    <w:link w:val="85"/>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87">
    <w:name w:val="正文文本缩进 2 Char"/>
    <w:semiHidden/>
    <w:qFormat/>
    <w:uiPriority w:val="99"/>
  </w:style>
  <w:style w:type="character" w:customStyle="1" w:styleId="88">
    <w:name w:val="纯文本 Char2"/>
    <w:qFormat/>
    <w:uiPriority w:val="0"/>
    <w:rPr>
      <w:rFonts w:ascii="宋体" w:hAnsi="Courier New" w:eastAsia="宋体"/>
      <w:kern w:val="2"/>
      <w:sz w:val="21"/>
      <w:lang w:val="en-US" w:eastAsia="zh-CN" w:bidi="ar-SA"/>
    </w:rPr>
  </w:style>
  <w:style w:type="character" w:customStyle="1" w:styleId="89">
    <w:name w:val="bookmark-item"/>
    <w:qFormat/>
    <w:uiPriority w:val="0"/>
  </w:style>
  <w:style w:type="character" w:customStyle="1" w:styleId="90">
    <w:name w:val="纯文本 Char1_0"/>
    <w:link w:val="91"/>
    <w:qFormat/>
    <w:locked/>
    <w:uiPriority w:val="0"/>
    <w:rPr>
      <w:rFonts w:ascii="宋体" w:hAnsi="Courier New"/>
      <w:kern w:val="2"/>
      <w:sz w:val="21"/>
      <w:szCs w:val="22"/>
    </w:rPr>
  </w:style>
  <w:style w:type="paragraph" w:customStyle="1" w:styleId="91">
    <w:name w:val="纯文本_0"/>
    <w:basedOn w:val="1"/>
    <w:link w:val="90"/>
    <w:unhideWhenUsed/>
    <w:qFormat/>
    <w:uiPriority w:val="0"/>
    <w:rPr>
      <w:rFonts w:ascii="宋体" w:hAnsi="Courier New"/>
      <w:szCs w:val="22"/>
    </w:rPr>
  </w:style>
  <w:style w:type="character" w:customStyle="1" w:styleId="92">
    <w:name w:val="Char Char1"/>
    <w:link w:val="93"/>
    <w:qFormat/>
    <w:locked/>
    <w:uiPriority w:val="99"/>
    <w:rPr>
      <w:rFonts w:ascii="Tahoma" w:hAnsi="Tahoma" w:cs="Tahoma"/>
      <w:kern w:val="2"/>
      <w:sz w:val="24"/>
    </w:rPr>
  </w:style>
  <w:style w:type="paragraph" w:customStyle="1" w:styleId="93">
    <w:name w:val="Char"/>
    <w:basedOn w:val="1"/>
    <w:link w:val="92"/>
    <w:qFormat/>
    <w:uiPriority w:val="99"/>
    <w:rPr>
      <w:rFonts w:ascii="Tahoma" w:hAnsi="Tahoma"/>
      <w:sz w:val="24"/>
      <w:szCs w:val="20"/>
    </w:rPr>
  </w:style>
  <w:style w:type="character" w:customStyle="1" w:styleId="94">
    <w:name w:val="正文缩进 Char2"/>
    <w:qFormat/>
    <w:uiPriority w:val="0"/>
    <w:rPr>
      <w:kern w:val="2"/>
      <w:sz w:val="21"/>
    </w:rPr>
  </w:style>
  <w:style w:type="character" w:customStyle="1" w:styleId="95">
    <w:name w:val="标题 Char1"/>
    <w:qFormat/>
    <w:uiPriority w:val="0"/>
    <w:rPr>
      <w:rFonts w:ascii="Cambria" w:hAnsi="Cambria" w:cs="Times New Roman"/>
      <w:b/>
      <w:bCs/>
      <w:kern w:val="2"/>
      <w:sz w:val="32"/>
      <w:szCs w:val="32"/>
    </w:rPr>
  </w:style>
  <w:style w:type="character" w:customStyle="1" w:styleId="96">
    <w:name w:val="纯文本 Char1_4_0"/>
    <w:link w:val="97"/>
    <w:qFormat/>
    <w:uiPriority w:val="0"/>
    <w:rPr>
      <w:rFonts w:ascii="宋体" w:hAnsi="Courier New"/>
      <w:kern w:val="2"/>
      <w:sz w:val="21"/>
    </w:rPr>
  </w:style>
  <w:style w:type="paragraph" w:customStyle="1" w:styleId="97">
    <w:name w:val="纯文本_4_0"/>
    <w:basedOn w:val="1"/>
    <w:link w:val="96"/>
    <w:qFormat/>
    <w:uiPriority w:val="0"/>
    <w:rPr>
      <w:rFonts w:ascii="宋体" w:hAnsi="Courier New"/>
      <w:szCs w:val="20"/>
    </w:rPr>
  </w:style>
  <w:style w:type="character" w:customStyle="1" w:styleId="98">
    <w:name w:val="纯文本 Char1"/>
    <w:qFormat/>
    <w:uiPriority w:val="0"/>
    <w:rPr>
      <w:rFonts w:ascii="宋体" w:hAnsi="Courier New" w:eastAsia="宋体"/>
      <w:kern w:val="2"/>
      <w:sz w:val="21"/>
      <w:lang w:val="en-US" w:eastAsia="zh-CN" w:bidi="ar-SA"/>
    </w:rPr>
  </w:style>
  <w:style w:type="character" w:customStyle="1" w:styleId="99">
    <w:name w:val="my正文 Char"/>
    <w:link w:val="100"/>
    <w:qFormat/>
    <w:uiPriority w:val="0"/>
    <w:rPr>
      <w:kern w:val="2"/>
      <w:sz w:val="24"/>
      <w:szCs w:val="24"/>
      <w:lang w:val="zh-CN"/>
    </w:rPr>
  </w:style>
  <w:style w:type="paragraph" w:customStyle="1" w:styleId="100">
    <w:name w:val="my正文"/>
    <w:basedOn w:val="1"/>
    <w:link w:val="99"/>
    <w:qFormat/>
    <w:uiPriority w:val="0"/>
    <w:pPr>
      <w:widowControl/>
      <w:spacing w:line="360" w:lineRule="auto"/>
      <w:ind w:firstLine="480" w:firstLineChars="200"/>
    </w:pPr>
    <w:rPr>
      <w:sz w:val="24"/>
      <w:lang w:val="zh-CN"/>
    </w:rPr>
  </w:style>
  <w:style w:type="paragraph" w:customStyle="1" w:styleId="101">
    <w:name w:val="纯文本1"/>
    <w:basedOn w:val="1"/>
    <w:qFormat/>
    <w:uiPriority w:val="0"/>
    <w:pPr>
      <w:adjustRightInd w:val="0"/>
      <w:jc w:val="left"/>
      <w:textAlignment w:val="baseline"/>
    </w:pPr>
    <w:rPr>
      <w:rFonts w:ascii="宋体" w:hAnsi="Courier New"/>
      <w:sz w:val="24"/>
      <w:szCs w:val="20"/>
    </w:rPr>
  </w:style>
  <w:style w:type="paragraph" w:customStyle="1" w:styleId="102">
    <w:name w:val="Normal_20"/>
    <w:qFormat/>
    <w:uiPriority w:val="0"/>
    <w:rPr>
      <w:rFonts w:ascii="黑体" w:hAnsi="黑体" w:eastAsia="黑体" w:cs="Times New Roman"/>
      <w:b/>
      <w:sz w:val="32"/>
      <w:szCs w:val="24"/>
      <w:lang w:val="en-US" w:eastAsia="zh-CN" w:bidi="ar-SA"/>
    </w:rPr>
  </w:style>
  <w:style w:type="paragraph" w:customStyle="1" w:styleId="103">
    <w:name w:val="正文_2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04">
    <w:name w:val="正文文字缩进"/>
    <w:basedOn w:val="1"/>
    <w:next w:val="1"/>
    <w:qFormat/>
    <w:uiPriority w:val="0"/>
    <w:pPr>
      <w:widowControl/>
      <w:spacing w:line="400" w:lineRule="atLeast"/>
      <w:ind w:left="210" w:firstLine="210"/>
    </w:pPr>
    <w:rPr>
      <w:rFonts w:ascii="宋体"/>
      <w:color w:val="000000"/>
      <w:szCs w:val="20"/>
    </w:rPr>
  </w:style>
  <w:style w:type="paragraph" w:customStyle="1" w:styleId="105">
    <w:name w:val="正文_1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6">
    <w:name w:val="正文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7">
    <w:name w:val="方案正文"/>
    <w:basedOn w:val="1"/>
    <w:qFormat/>
    <w:uiPriority w:val="0"/>
    <w:pPr>
      <w:snapToGrid w:val="0"/>
      <w:spacing w:line="360" w:lineRule="auto"/>
      <w:ind w:firstLine="200" w:firstLineChars="200"/>
    </w:pPr>
    <w:rPr>
      <w:rFonts w:ascii="宋体"/>
      <w:spacing w:val="2"/>
      <w:position w:val="-4"/>
      <w:sz w:val="24"/>
      <w:szCs w:val="72"/>
    </w:rPr>
  </w:style>
  <w:style w:type="paragraph" w:customStyle="1" w:styleId="108">
    <w:name w:val="正文_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9">
    <w:name w:val="正文_8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0">
    <w:name w:val="样式 首行缩进:  2 字符"/>
    <w:basedOn w:val="1"/>
    <w:qFormat/>
    <w:uiPriority w:val="0"/>
    <w:pPr>
      <w:spacing w:line="360" w:lineRule="auto"/>
      <w:ind w:firstLine="480" w:firstLineChars="200"/>
    </w:pPr>
    <w:rPr>
      <w:rFonts w:cs="宋体"/>
      <w:sz w:val="24"/>
      <w:szCs w:val="20"/>
    </w:rPr>
  </w:style>
  <w:style w:type="paragraph" w:customStyle="1" w:styleId="111">
    <w:name w:val="纯文本_4_3"/>
    <w:basedOn w:val="105"/>
    <w:qFormat/>
    <w:uiPriority w:val="0"/>
    <w:rPr>
      <w:rFonts w:ascii="宋体" w:hAnsi="Courier New"/>
      <w:szCs w:val="20"/>
    </w:rPr>
  </w:style>
  <w:style w:type="paragraph" w:customStyle="1" w:styleId="112">
    <w:name w:val="InfoBlack"/>
    <w:basedOn w:val="1"/>
    <w:qFormat/>
    <w:uiPriority w:val="0"/>
    <w:pPr>
      <w:widowControl/>
      <w:spacing w:line="500" w:lineRule="exact"/>
    </w:pPr>
    <w:rPr>
      <w:rFonts w:ascii="宋体" w:hAnsi="宋体"/>
      <w:bCs/>
      <w:color w:val="000000"/>
      <w:sz w:val="28"/>
      <w:szCs w:val="20"/>
    </w:rPr>
  </w:style>
  <w:style w:type="paragraph" w:customStyle="1" w:styleId="113">
    <w:name w:val="正文_13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4">
    <w:name w:val="正文_8_0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15">
    <w:name w:val="列出段落1"/>
    <w:basedOn w:val="1"/>
    <w:qFormat/>
    <w:uiPriority w:val="34"/>
    <w:pPr>
      <w:ind w:firstLine="420" w:firstLineChars="200"/>
    </w:pPr>
    <w:rPr>
      <w:szCs w:val="20"/>
    </w:rPr>
  </w:style>
  <w:style w:type="paragraph" w:customStyle="1" w:styleId="116">
    <w:name w:val="Normal_2"/>
    <w:qFormat/>
    <w:uiPriority w:val="0"/>
    <w:rPr>
      <w:rFonts w:ascii="黑体" w:hAnsi="黑体" w:eastAsia="黑体" w:cs="Times New Roman"/>
      <w:b/>
      <w:sz w:val="32"/>
      <w:szCs w:val="24"/>
      <w:lang w:val="en-US" w:eastAsia="zh-CN" w:bidi="ar-SA"/>
    </w:rPr>
  </w:style>
  <w:style w:type="paragraph" w:customStyle="1" w:styleId="117">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18">
    <w:name w:val="普通(网站)_0"/>
    <w:basedOn w:val="1"/>
    <w:unhideWhenUsed/>
    <w:qFormat/>
    <w:uiPriority w:val="0"/>
    <w:pPr>
      <w:widowControl/>
      <w:spacing w:before="100" w:beforeAutospacing="1" w:after="100" w:afterAutospacing="1"/>
      <w:jc w:val="left"/>
    </w:pPr>
    <w:rPr>
      <w:rFonts w:ascii="宋体" w:hAnsi="宋体"/>
      <w:kern w:val="0"/>
      <w:sz w:val="24"/>
      <w:szCs w:val="22"/>
    </w:rPr>
  </w:style>
  <w:style w:type="paragraph" w:customStyle="1" w:styleId="119">
    <w:name w:val="0"/>
    <w:basedOn w:val="1"/>
    <w:qFormat/>
    <w:uiPriority w:val="0"/>
    <w:pPr>
      <w:widowControl/>
      <w:snapToGrid w:val="0"/>
      <w:spacing w:line="365" w:lineRule="atLeast"/>
      <w:ind w:left="1"/>
    </w:pPr>
    <w:rPr>
      <w:rFonts w:eastAsia="仿宋_GB2312"/>
      <w:sz w:val="20"/>
      <w:szCs w:val="20"/>
    </w:rPr>
  </w:style>
  <w:style w:type="paragraph" w:customStyle="1" w:styleId="120">
    <w:name w:val="正文（首行缩进两字）"/>
    <w:basedOn w:val="1"/>
    <w:next w:val="1"/>
    <w:qFormat/>
    <w:uiPriority w:val="0"/>
    <w:pPr>
      <w:widowControl/>
      <w:ind w:firstLine="420"/>
    </w:pPr>
    <w:rPr>
      <w:rFonts w:ascii="宋体"/>
      <w:color w:val="000000"/>
      <w:szCs w:val="20"/>
    </w:rPr>
  </w:style>
  <w:style w:type="paragraph" w:customStyle="1" w:styleId="121">
    <w:name w:val="正文_1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2">
    <w:name w:val="正文_10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23">
    <w:name w:val="!!正文"/>
    <w:basedOn w:val="1"/>
    <w:qFormat/>
    <w:uiPriority w:val="0"/>
    <w:pPr>
      <w:snapToGrid w:val="0"/>
      <w:spacing w:before="30" w:beforeLines="30" w:after="30" w:afterLines="30" w:line="360" w:lineRule="auto"/>
      <w:ind w:firstLine="200" w:firstLineChars="200"/>
    </w:pPr>
    <w:rPr>
      <w:rFonts w:ascii="宋体" w:hAnsi="宋体" w:cs="宋体"/>
      <w:sz w:val="24"/>
      <w:szCs w:val="20"/>
    </w:rPr>
  </w:style>
  <w:style w:type="paragraph" w:customStyle="1" w:styleId="124">
    <w:name w:val="_Style 10"/>
    <w:basedOn w:val="1"/>
    <w:qFormat/>
    <w:uiPriority w:val="0"/>
    <w:rPr>
      <w:rFonts w:ascii="仿宋_GB2312" w:eastAsia="仿宋_GB2312"/>
      <w:b/>
      <w:sz w:val="32"/>
      <w:szCs w:val="32"/>
    </w:rPr>
  </w:style>
  <w:style w:type="paragraph" w:customStyle="1" w:styleId="125">
    <w:name w:val="indent1"/>
    <w:basedOn w:val="1"/>
    <w:qFormat/>
    <w:uiPriority w:val="0"/>
    <w:pPr>
      <w:widowControl/>
      <w:spacing w:before="100" w:beforeAutospacing="1" w:after="100" w:afterAutospacing="1"/>
      <w:ind w:firstLine="480"/>
      <w:jc w:val="left"/>
    </w:pPr>
    <w:rPr>
      <w:rFonts w:ascii="微软雅黑" w:hAnsi="微软雅黑" w:eastAsia="微软雅黑" w:cs="宋体"/>
      <w:kern w:val="0"/>
      <w:sz w:val="24"/>
    </w:rPr>
  </w:style>
  <w:style w:type="paragraph" w:customStyle="1" w:styleId="126">
    <w:name w:val="p0"/>
    <w:basedOn w:val="1"/>
    <w:qFormat/>
    <w:uiPriority w:val="0"/>
    <w:pPr>
      <w:widowControl/>
      <w:spacing w:before="100" w:beforeAutospacing="1" w:after="100" w:afterAutospacing="1"/>
      <w:jc w:val="left"/>
    </w:pPr>
    <w:rPr>
      <w:rFonts w:ascii="宋体" w:hAnsi="宋体" w:cs="宋体"/>
      <w:kern w:val="0"/>
      <w:sz w:val="24"/>
    </w:rPr>
  </w:style>
  <w:style w:type="paragraph" w:customStyle="1" w:styleId="127">
    <w:name w:val="Normal_22"/>
    <w:qFormat/>
    <w:uiPriority w:val="0"/>
    <w:pPr>
      <w:widowControl w:val="0"/>
      <w:jc w:val="both"/>
    </w:pPr>
    <w:rPr>
      <w:rFonts w:ascii="Times New Roman" w:hAnsi="Times New Roman" w:eastAsia="Times New Roman" w:cs="Times New Roman"/>
      <w:lang w:val="en-US" w:eastAsia="zh-CN" w:bidi="ar-SA"/>
    </w:rPr>
  </w:style>
  <w:style w:type="paragraph" w:customStyle="1" w:styleId="128">
    <w:name w:val="正文_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9">
    <w:name w:val="正文空2格  1."/>
    <w:basedOn w:val="1"/>
    <w:qFormat/>
    <w:uiPriority w:val="0"/>
    <w:pPr>
      <w:adjustRightInd w:val="0"/>
      <w:spacing w:line="360" w:lineRule="auto"/>
      <w:ind w:firstLine="480" w:firstLineChars="200"/>
      <w:textAlignment w:val="baseline"/>
    </w:pPr>
    <w:rPr>
      <w:rFonts w:ascii="宋体" w:eastAsia="仿宋" w:cs="宋体"/>
      <w:kern w:val="0"/>
      <w:sz w:val="28"/>
      <w:szCs w:val="20"/>
    </w:rPr>
  </w:style>
  <w:style w:type="paragraph" w:customStyle="1" w:styleId="130">
    <w:name w:val="首行缩进"/>
    <w:basedOn w:val="1"/>
    <w:qFormat/>
    <w:uiPriority w:val="0"/>
    <w:pPr>
      <w:spacing w:line="360" w:lineRule="auto"/>
      <w:ind w:firstLine="480" w:firstLineChars="200"/>
      <w:jc w:val="left"/>
    </w:pPr>
    <w:rPr>
      <w:rFonts w:ascii="宋体" w:hAnsi="宋体"/>
      <w:sz w:val="24"/>
      <w:szCs w:val="22"/>
    </w:rPr>
  </w:style>
  <w:style w:type="paragraph" w:customStyle="1" w:styleId="131">
    <w:name w:val="Normal_1"/>
    <w:qFormat/>
    <w:uiPriority w:val="0"/>
    <w:rPr>
      <w:rFonts w:ascii="黑体" w:hAnsi="黑体" w:eastAsia="黑体" w:cs="Times New Roman"/>
      <w:b/>
      <w:sz w:val="32"/>
      <w:szCs w:val="24"/>
      <w:lang w:val="en-US" w:eastAsia="zh-CN" w:bidi="ar-SA"/>
    </w:rPr>
  </w:style>
  <w:style w:type="paragraph" w:customStyle="1" w:styleId="132">
    <w:name w:val="正文_18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33">
    <w:name w:val="样式 正文缩进 + 首行缩进:  2 字符"/>
    <w:basedOn w:val="11"/>
    <w:qFormat/>
    <w:uiPriority w:val="99"/>
    <w:pPr>
      <w:spacing w:line="360" w:lineRule="auto"/>
      <w:ind w:firstLine="200" w:firstLineChars="200"/>
    </w:pPr>
    <w:rPr>
      <w:rFonts w:cs="宋体"/>
      <w:sz w:val="24"/>
    </w:rPr>
  </w:style>
  <w:style w:type="paragraph" w:customStyle="1" w:styleId="134">
    <w:name w:val="正文_2_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35">
    <w:name w:val="正文_15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36">
    <w:name w:val="样式6"/>
    <w:basedOn w:val="1"/>
    <w:qFormat/>
    <w:uiPriority w:val="0"/>
    <w:pPr>
      <w:spacing w:line="360" w:lineRule="auto"/>
      <w:ind w:firstLine="200" w:firstLineChars="200"/>
      <w:jc w:val="left"/>
    </w:pPr>
    <w:rPr>
      <w:sz w:val="24"/>
    </w:rPr>
  </w:style>
  <w:style w:type="character" w:customStyle="1" w:styleId="137">
    <w:name w:val="NormalCharacter"/>
    <w:semiHidden/>
    <w:qFormat/>
    <w:uiPriority w:val="99"/>
  </w:style>
  <w:style w:type="paragraph" w:customStyle="1" w:styleId="138">
    <w:name w:val="正文 "/>
    <w:qFormat/>
    <w:uiPriority w:val="0"/>
    <w:pPr>
      <w:widowControl w:val="0"/>
      <w:adjustRightInd w:val="0"/>
      <w:spacing w:line="318" w:lineRule="atLeast"/>
      <w:ind w:left="369" w:firstLine="369"/>
      <w:jc w:val="both"/>
      <w:textAlignment w:val="baseline"/>
    </w:pPr>
    <w:rPr>
      <w:rFonts w:ascii="宋体" w:hAnsi="Calibri" w:eastAsia="宋体" w:cs="Times New Roman"/>
      <w:kern w:val="2"/>
      <w:sz w:val="21"/>
      <w:lang w:val="en-US" w:eastAsia="zh-CN" w:bidi="ar-SA"/>
    </w:rPr>
  </w:style>
  <w:style w:type="paragraph" w:customStyle="1" w:styleId="139">
    <w:name w:val="无间隔1"/>
    <w:basedOn w:val="1"/>
    <w:qFormat/>
    <w:uiPriority w:val="1"/>
    <w:rPr>
      <w:rFonts w:hint="eastAsia"/>
      <w:sz w:val="24"/>
    </w:rPr>
  </w:style>
  <w:style w:type="paragraph" w:customStyle="1" w:styleId="140">
    <w:name w:val="默认"/>
    <w:basedOn w:val="1"/>
    <w:qFormat/>
    <w:uiPriority w:val="0"/>
    <w:pPr>
      <w:keepNext w:val="0"/>
      <w:keepLines w:val="0"/>
      <w:widowControl/>
      <w:suppressLineNumbers w:val="0"/>
      <w:spacing w:before="160" w:beforeAutospacing="0" w:after="0" w:afterAutospacing="0" w:line="288" w:lineRule="auto"/>
      <w:ind w:left="0" w:right="0"/>
      <w:jc w:val="left"/>
    </w:pPr>
    <w:rPr>
      <w:rFonts w:hint="default" w:ascii="PingFang SC Regular" w:hAnsi="PingFang SC Regular" w:eastAsia="Arial Unicode MS" w:cs="Arial Unicode MS"/>
      <w:color w:val="000000"/>
      <w:kern w:val="0"/>
      <w:sz w:val="24"/>
      <w:szCs w:val="24"/>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63</Pages>
  <Words>18976</Words>
  <Characters>20749</Characters>
  <Lines>353</Lines>
  <Paragraphs>99</Paragraphs>
  <TotalTime>0</TotalTime>
  <ScaleCrop>false</ScaleCrop>
  <LinksUpToDate>false</LinksUpToDate>
  <CharactersWithSpaces>21664</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2022-04-06T08:51:00Z</dcterms:created>
  <dc:creator>Windows User</dc:creator>
  <cp:lastModifiedBy>陈伟央</cp:lastModifiedBy>
  <cp:lastPrinted>2021-10-28T07:39:00Z</cp:lastPrinted>
  <dcterms:modified xsi:type="dcterms:W3CDTF">2025-06-24T07:51:23Z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BC33D711D45B4CC8B1C4DDB5E8EEE428_13</vt:lpwstr>
  </property>
  <property fmtid="{D5CDD505-2E9C-101B-9397-08002B2CF9AE}" pid="4" name="KSOTemplateDocerSaveRecord">
    <vt:lpwstr>eyJoZGlkIjoiNzkyODc0N2U5NzBiMzViMDVmYWE1NjQ5Y2M1MjZkMDYiLCJ1c2VySWQiOiIxMTQ5MDI5OTU2In0=</vt:lpwstr>
  </property>
</Properties>
</file>