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rPr>
          <w:rFonts w:hint="eastAsia" w:ascii="宋体" w:hAnsi="宋体" w:eastAsia="宋体" w:cs="宋体"/>
          <w:color w:val="auto"/>
        </w:rPr>
      </w:pPr>
    </w:p>
    <w:p>
      <w:pPr>
        <w:jc w:val="center"/>
        <w:rPr>
          <w:rFonts w:hint="eastAsia" w:ascii="宋体" w:hAnsi="宋体" w:eastAsia="宋体" w:cs="宋体"/>
          <w:color w:val="auto"/>
          <w:sz w:val="72"/>
          <w:szCs w:val="72"/>
        </w:rPr>
      </w:pPr>
      <w:bookmarkStart w:id="0" w:name="_Toc493956011"/>
      <w:bookmarkStart w:id="1" w:name="_Toc493928401"/>
      <w:r>
        <w:rPr>
          <w:rFonts w:hint="eastAsia" w:ascii="宋体" w:hAnsi="宋体" w:eastAsia="宋体" w:cs="宋体"/>
          <w:color w:val="auto"/>
          <w:sz w:val="72"/>
          <w:szCs w:val="72"/>
        </w:rPr>
        <w:t>招标文件</w:t>
      </w:r>
      <w:bookmarkEnd w:id="0"/>
      <w:bookmarkEnd w:id="1"/>
    </w:p>
    <w:p>
      <w:pPr>
        <w:spacing w:line="480" w:lineRule="auto"/>
        <w:rPr>
          <w:rFonts w:hint="eastAsia" w:ascii="宋体" w:hAnsi="宋体" w:eastAsia="宋体" w:cs="宋体"/>
          <w:color w:val="auto"/>
        </w:rPr>
      </w:pPr>
    </w:p>
    <w:p>
      <w:pPr>
        <w:spacing w:line="480" w:lineRule="auto"/>
        <w:rPr>
          <w:rFonts w:hint="eastAsia" w:ascii="宋体" w:hAnsi="宋体" w:eastAsia="宋体" w:cs="宋体"/>
          <w:color w:val="auto"/>
        </w:rPr>
      </w:pPr>
    </w:p>
    <w:p>
      <w:pPr>
        <w:spacing w:line="480" w:lineRule="auto"/>
        <w:rPr>
          <w:rFonts w:hint="eastAsia" w:ascii="宋体" w:hAnsi="宋体" w:eastAsia="宋体" w:cs="宋体"/>
          <w:color w:val="auto"/>
        </w:rPr>
      </w:pPr>
    </w:p>
    <w:p>
      <w:pPr>
        <w:spacing w:line="480" w:lineRule="auto"/>
        <w:rPr>
          <w:rFonts w:hint="eastAsia" w:ascii="宋体" w:hAnsi="宋体" w:eastAsia="宋体" w:cs="宋体"/>
          <w:color w:val="auto"/>
        </w:rPr>
      </w:pPr>
    </w:p>
    <w:p>
      <w:pPr>
        <w:spacing w:line="480" w:lineRule="auto"/>
        <w:rPr>
          <w:rFonts w:hint="eastAsia" w:ascii="宋体" w:hAnsi="宋体" w:eastAsia="宋体" w:cs="宋体"/>
          <w:color w:val="auto"/>
        </w:rPr>
      </w:pPr>
    </w:p>
    <w:tbl>
      <w:tblPr>
        <w:tblStyle w:val="41"/>
        <w:tblW w:w="4999" w:type="pct"/>
        <w:jc w:val="center"/>
        <w:tblLayout w:type="autofit"/>
        <w:tblCellMar>
          <w:top w:w="0" w:type="dxa"/>
          <w:left w:w="108" w:type="dxa"/>
          <w:bottom w:w="0" w:type="dxa"/>
          <w:right w:w="108" w:type="dxa"/>
        </w:tblCellMar>
      </w:tblPr>
      <w:tblGrid>
        <w:gridCol w:w="2527"/>
        <w:gridCol w:w="5993"/>
      </w:tblGrid>
      <w:tr>
        <w:tblPrEx>
          <w:tblCellMar>
            <w:top w:w="0" w:type="dxa"/>
            <w:left w:w="108" w:type="dxa"/>
            <w:bottom w:w="0" w:type="dxa"/>
            <w:right w:w="108" w:type="dxa"/>
          </w:tblCellMar>
        </w:tblPrEx>
        <w:trPr>
          <w:trHeight w:val="1484" w:hRule="atLeast"/>
          <w:jc w:val="center"/>
        </w:trPr>
        <w:tc>
          <w:tcPr>
            <w:tcW w:w="1483" w:type="pct"/>
            <w:vAlign w:val="center"/>
          </w:tcPr>
          <w:p>
            <w:pPr>
              <w:ind w:left="-103" w:leftChars="-49"/>
              <w:jc w:val="left"/>
              <w:rPr>
                <w:rFonts w:hint="eastAsia" w:ascii="宋体" w:hAnsi="宋体" w:eastAsia="宋体" w:cs="宋体"/>
                <w:color w:val="auto"/>
                <w:sz w:val="32"/>
                <w:szCs w:val="32"/>
              </w:rPr>
            </w:pPr>
            <w:bookmarkStart w:id="2" w:name="_Toc493928402"/>
            <w:bookmarkStart w:id="3" w:name="_Toc493956012"/>
            <w:r>
              <w:rPr>
                <w:rFonts w:hint="eastAsia" w:ascii="宋体" w:hAnsi="宋体" w:eastAsia="宋体" w:cs="宋体"/>
                <w:color w:val="auto"/>
                <w:sz w:val="32"/>
                <w:szCs w:val="32"/>
              </w:rPr>
              <w:t>项</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目</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编</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号：</w:t>
            </w:r>
            <w:bookmarkEnd w:id="2"/>
            <w:bookmarkEnd w:id="3"/>
          </w:p>
        </w:tc>
        <w:tc>
          <w:tcPr>
            <w:tcW w:w="3516" w:type="pct"/>
            <w:vAlign w:val="center"/>
          </w:tcPr>
          <w:p>
            <w:pPr>
              <w:ind w:left="-4" w:leftChars="0" w:firstLine="4" w:firstLineChars="0"/>
              <w:jc w:val="left"/>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龙政采F2020-81G17</w:t>
            </w:r>
          </w:p>
        </w:tc>
      </w:tr>
      <w:tr>
        <w:tblPrEx>
          <w:tblCellMar>
            <w:top w:w="0" w:type="dxa"/>
            <w:left w:w="108" w:type="dxa"/>
            <w:bottom w:w="0" w:type="dxa"/>
            <w:right w:w="108" w:type="dxa"/>
          </w:tblCellMar>
        </w:tblPrEx>
        <w:trPr>
          <w:trHeight w:val="1484" w:hRule="atLeast"/>
          <w:jc w:val="center"/>
        </w:trPr>
        <w:tc>
          <w:tcPr>
            <w:tcW w:w="1483" w:type="pct"/>
            <w:vAlign w:val="center"/>
          </w:tcPr>
          <w:p>
            <w:pPr>
              <w:ind w:left="-103" w:leftChars="-49"/>
              <w:jc w:val="left"/>
              <w:rPr>
                <w:rFonts w:hint="eastAsia" w:ascii="宋体" w:hAnsi="宋体" w:eastAsia="宋体" w:cs="宋体"/>
                <w:color w:val="auto"/>
                <w:sz w:val="32"/>
                <w:szCs w:val="32"/>
              </w:rPr>
            </w:pPr>
            <w:bookmarkStart w:id="4" w:name="_Toc493956014"/>
            <w:bookmarkStart w:id="5" w:name="_Toc493928404"/>
            <w:r>
              <w:rPr>
                <w:rFonts w:hint="eastAsia" w:ascii="宋体" w:hAnsi="宋体" w:eastAsia="宋体" w:cs="宋体"/>
                <w:color w:val="auto"/>
                <w:sz w:val="32"/>
                <w:szCs w:val="32"/>
              </w:rPr>
              <w:t>项</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目</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名</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称：</w:t>
            </w:r>
            <w:bookmarkEnd w:id="4"/>
            <w:bookmarkEnd w:id="5"/>
          </w:p>
        </w:tc>
        <w:tc>
          <w:tcPr>
            <w:tcW w:w="351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32"/>
                <w:szCs w:val="32"/>
              </w:rPr>
            </w:pPr>
            <w:r>
              <w:rPr>
                <w:rFonts w:hint="eastAsia" w:ascii="宋体" w:hAnsi="宋体" w:cs="宋体"/>
                <w:color w:val="auto"/>
                <w:sz w:val="32"/>
                <w:szCs w:val="32"/>
                <w:lang w:eastAsia="zh-CN"/>
              </w:rPr>
              <w:t>龙泉市塔石金岗工业园区废水处理厂委托运营采购项目</w:t>
            </w:r>
          </w:p>
        </w:tc>
      </w:tr>
      <w:tr>
        <w:tblPrEx>
          <w:tblCellMar>
            <w:top w:w="0" w:type="dxa"/>
            <w:left w:w="108" w:type="dxa"/>
            <w:bottom w:w="0" w:type="dxa"/>
            <w:right w:w="108" w:type="dxa"/>
          </w:tblCellMar>
        </w:tblPrEx>
        <w:trPr>
          <w:trHeight w:val="1484" w:hRule="atLeast"/>
          <w:jc w:val="center"/>
        </w:trPr>
        <w:tc>
          <w:tcPr>
            <w:tcW w:w="1483" w:type="pct"/>
            <w:vAlign w:val="center"/>
          </w:tcPr>
          <w:p>
            <w:pPr>
              <w:ind w:left="-103" w:leftChars="-49"/>
              <w:jc w:val="left"/>
              <w:rPr>
                <w:rFonts w:hint="eastAsia" w:ascii="宋体" w:hAnsi="宋体" w:eastAsia="宋体" w:cs="宋体"/>
                <w:color w:val="auto"/>
                <w:sz w:val="32"/>
                <w:szCs w:val="32"/>
              </w:rPr>
            </w:pPr>
            <w:bookmarkStart w:id="6" w:name="_Toc493928406"/>
            <w:bookmarkStart w:id="7" w:name="_Toc493956016"/>
            <w:r>
              <w:rPr>
                <w:rFonts w:hint="eastAsia" w:ascii="宋体" w:hAnsi="宋体" w:eastAsia="宋体" w:cs="宋体"/>
                <w:color w:val="auto"/>
                <w:sz w:val="32"/>
                <w:szCs w:val="32"/>
              </w:rPr>
              <w:t xml:space="preserve">采 </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购</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 xml:space="preserve"> 人：</w:t>
            </w:r>
            <w:bookmarkEnd w:id="6"/>
            <w:bookmarkEnd w:id="7"/>
          </w:p>
        </w:tc>
        <w:tc>
          <w:tcPr>
            <w:tcW w:w="3516" w:type="pct"/>
            <w:vAlign w:val="center"/>
          </w:tcPr>
          <w:p>
            <w:pPr>
              <w:keepNext w:val="0"/>
              <w:keepLines w:val="0"/>
              <w:pageBreakBefore w:val="0"/>
              <w:widowControl w:val="0"/>
              <w:kinsoku/>
              <w:wordWrap/>
              <w:overflowPunct/>
              <w:topLinePunct w:val="0"/>
              <w:autoSpaceDE/>
              <w:autoSpaceDN/>
              <w:bidi w:val="0"/>
              <w:adjustRightInd w:val="0"/>
              <w:snapToGrid w:val="0"/>
              <w:ind w:left="0" w:leftChars="0"/>
              <w:jc w:val="left"/>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龙泉市塔石工农业综合开发有限公司</w:t>
            </w:r>
          </w:p>
        </w:tc>
      </w:tr>
      <w:tr>
        <w:tblPrEx>
          <w:tblCellMar>
            <w:top w:w="0" w:type="dxa"/>
            <w:left w:w="108" w:type="dxa"/>
            <w:bottom w:w="0" w:type="dxa"/>
            <w:right w:w="108" w:type="dxa"/>
          </w:tblCellMar>
        </w:tblPrEx>
        <w:trPr>
          <w:trHeight w:val="1484" w:hRule="atLeast"/>
          <w:jc w:val="center"/>
        </w:trPr>
        <w:tc>
          <w:tcPr>
            <w:tcW w:w="1483" w:type="pct"/>
            <w:vAlign w:val="center"/>
          </w:tcPr>
          <w:p>
            <w:pPr>
              <w:ind w:right="-109" w:rightChars="-52"/>
              <w:jc w:val="distribute"/>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sz w:val="32"/>
                <w:szCs w:val="32"/>
              </w:rPr>
              <w:t>代理机构：</w:t>
            </w:r>
          </w:p>
        </w:tc>
        <w:tc>
          <w:tcPr>
            <w:tcW w:w="3516" w:type="pct"/>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sz w:val="32"/>
                <w:szCs w:val="32"/>
                <w:lang w:eastAsia="zh-CN"/>
              </w:rPr>
              <w:t>丽水市中兴工程咨询有限公司</w:t>
            </w:r>
          </w:p>
        </w:tc>
      </w:tr>
      <w:tr>
        <w:tblPrEx>
          <w:tblCellMar>
            <w:top w:w="0" w:type="dxa"/>
            <w:left w:w="108" w:type="dxa"/>
            <w:bottom w:w="0" w:type="dxa"/>
            <w:right w:w="108" w:type="dxa"/>
          </w:tblCellMar>
        </w:tblPrEx>
        <w:trPr>
          <w:trHeight w:val="970" w:hRule="atLeast"/>
          <w:jc w:val="center"/>
        </w:trPr>
        <w:tc>
          <w:tcPr>
            <w:tcW w:w="5000" w:type="pct"/>
            <w:gridSpan w:val="2"/>
            <w:vAlign w:val="center"/>
          </w:tcPr>
          <w:p>
            <w:pPr>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二〇二〇年</w:t>
            </w:r>
            <w:r>
              <w:rPr>
                <w:rFonts w:hint="eastAsia" w:ascii="宋体" w:hAnsi="宋体" w:cs="宋体"/>
                <w:color w:val="auto"/>
                <w:sz w:val="32"/>
                <w:szCs w:val="32"/>
                <w:lang w:val="en-US" w:eastAsia="zh-CN"/>
              </w:rPr>
              <w:t>七</w:t>
            </w:r>
            <w:r>
              <w:rPr>
                <w:rFonts w:hint="eastAsia" w:ascii="宋体" w:hAnsi="宋体" w:eastAsia="宋体" w:cs="宋体"/>
                <w:color w:val="auto"/>
                <w:sz w:val="32"/>
                <w:szCs w:val="32"/>
                <w:lang w:val="en-US" w:eastAsia="zh-CN"/>
              </w:rPr>
              <w:t>月</w:t>
            </w:r>
          </w:p>
        </w:tc>
      </w:tr>
    </w:tbl>
    <w:p>
      <w:pPr>
        <w:spacing w:line="480" w:lineRule="auto"/>
        <w:rPr>
          <w:rFonts w:hint="eastAsia" w:ascii="宋体" w:hAnsi="宋体" w:eastAsia="宋体" w:cs="宋体"/>
          <w:color w:val="auto"/>
        </w:rPr>
      </w:pPr>
    </w:p>
    <w:p>
      <w:pPr>
        <w:pStyle w:val="38"/>
        <w:spacing w:after="240"/>
        <w:rPr>
          <w:rFonts w:hint="eastAsia" w:ascii="宋体" w:hAnsi="宋体" w:eastAsia="宋体" w:cs="宋体"/>
          <w:color w:val="auto"/>
        </w:rPr>
        <w:sectPr>
          <w:footerReference r:id="rId6" w:type="first"/>
          <w:headerReference r:id="rId3" w:type="default"/>
          <w:footerReference r:id="rId5" w:type="default"/>
          <w:headerReference r:id="rId4" w:type="even"/>
          <w:pgSz w:w="11906" w:h="16838"/>
          <w:pgMar w:top="1440" w:right="1800" w:bottom="1440" w:left="1800" w:header="851" w:footer="850" w:gutter="0"/>
          <w:pgBorders>
            <w:top w:val="none" w:sz="0" w:space="0"/>
            <w:left w:val="none" w:sz="0" w:space="0"/>
            <w:bottom w:val="none" w:sz="0" w:space="0"/>
            <w:right w:val="none" w:sz="0" w:space="0"/>
          </w:pgBorders>
          <w:pgNumType w:start="1"/>
          <w:cols w:space="0" w:num="1"/>
          <w:titlePg/>
          <w:docGrid w:linePitch="312" w:charSpace="0"/>
        </w:sectPr>
      </w:pPr>
    </w:p>
    <w:p>
      <w:pPr>
        <w:autoSpaceDE w:val="0"/>
        <w:autoSpaceDN w:val="0"/>
        <w:spacing w:line="360" w:lineRule="auto"/>
        <w:jc w:val="center"/>
        <w:textAlignment w:val="bottom"/>
        <w:rPr>
          <w:rFonts w:hint="eastAsia" w:ascii="宋体" w:hAnsi="宋体" w:eastAsia="宋体" w:cs="宋体"/>
          <w:color w:val="auto"/>
          <w:sz w:val="32"/>
          <w:szCs w:val="32"/>
        </w:rPr>
      </w:pPr>
      <w:bookmarkStart w:id="8" w:name="_Toc530551803"/>
      <w:bookmarkStart w:id="9" w:name="_Toc531358958"/>
    </w:p>
    <w:p>
      <w:pPr>
        <w:pStyle w:val="2"/>
        <w:rPr>
          <w:rFonts w:hint="eastAsia" w:ascii="宋体" w:hAnsi="宋体" w:eastAsia="宋体" w:cs="宋体"/>
          <w:color w:val="auto"/>
          <w:sz w:val="32"/>
          <w:szCs w:val="32"/>
        </w:rPr>
      </w:pPr>
    </w:p>
    <w:p>
      <w:pPr>
        <w:pStyle w:val="4"/>
        <w:rPr>
          <w:rFonts w:hint="eastAsia"/>
        </w:rPr>
      </w:pPr>
    </w:p>
    <w:p>
      <w:pPr>
        <w:autoSpaceDE w:val="0"/>
        <w:autoSpaceDN w:val="0"/>
        <w:spacing w:line="360" w:lineRule="auto"/>
        <w:ind w:firstLine="640" w:firstLineChars="200"/>
        <w:jc w:val="both"/>
        <w:textAlignment w:val="bottom"/>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项目名称：</w:t>
      </w:r>
      <w:r>
        <w:rPr>
          <w:rFonts w:hint="eastAsia" w:ascii="宋体" w:hAnsi="宋体" w:eastAsia="宋体" w:cs="宋体"/>
          <w:color w:val="auto"/>
          <w:sz w:val="32"/>
          <w:szCs w:val="32"/>
          <w:lang w:eastAsia="zh-CN"/>
        </w:rPr>
        <w:t>龙泉市塔石金岗工业园区废水处理厂</w:t>
      </w:r>
    </w:p>
    <w:p>
      <w:pPr>
        <w:autoSpaceDE w:val="0"/>
        <w:autoSpaceDN w:val="0"/>
        <w:spacing w:line="360" w:lineRule="auto"/>
        <w:ind w:firstLine="2240" w:firstLineChars="700"/>
        <w:jc w:val="both"/>
        <w:textAlignment w:val="bottom"/>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委托运营采购项目</w:t>
      </w:r>
    </w:p>
    <w:p>
      <w:pPr>
        <w:keepNext w:val="0"/>
        <w:keepLines w:val="0"/>
        <w:pageBreakBefore w:val="0"/>
        <w:widowControl w:val="0"/>
        <w:kinsoku/>
        <w:wordWrap/>
        <w:overflowPunct/>
        <w:topLinePunct w:val="0"/>
        <w:autoSpaceDE/>
        <w:autoSpaceDN/>
        <w:bidi w:val="0"/>
        <w:adjustRightInd/>
        <w:snapToGrid/>
        <w:spacing w:before="1249" w:beforeLines="400" w:line="840" w:lineRule="auto"/>
        <w:ind w:left="0" w:leftChars="0" w:firstLine="640" w:firstLineChars="200"/>
        <w:jc w:val="both"/>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采购编号</w:t>
      </w:r>
      <w:r>
        <w:rPr>
          <w:rFonts w:hint="eastAsia" w:ascii="宋体" w:hAnsi="宋体" w:eastAsia="宋体" w:cs="宋体"/>
          <w:color w:val="auto"/>
          <w:sz w:val="32"/>
          <w:szCs w:val="32"/>
          <w:lang w:eastAsia="zh-CN"/>
        </w:rPr>
        <w:t>：龙政采F2020-81G17</w:t>
      </w:r>
    </w:p>
    <w:p>
      <w:pPr>
        <w:keepNext w:val="0"/>
        <w:keepLines w:val="0"/>
        <w:pageBreakBefore w:val="0"/>
        <w:widowControl w:val="0"/>
        <w:kinsoku/>
        <w:wordWrap/>
        <w:overflowPunct/>
        <w:topLinePunct w:val="0"/>
        <w:bidi w:val="0"/>
        <w:adjustRightInd/>
        <w:snapToGrid/>
        <w:spacing w:line="840" w:lineRule="auto"/>
        <w:ind w:left="0" w:leftChars="0" w:firstLine="640" w:firstLineChars="200"/>
        <w:jc w:val="both"/>
        <w:rPr>
          <w:rFonts w:hint="eastAsia" w:ascii="宋体" w:hAnsi="宋体" w:cs="宋体"/>
          <w:color w:val="auto"/>
          <w:sz w:val="32"/>
          <w:szCs w:val="32"/>
          <w:lang w:eastAsia="zh-CN"/>
        </w:rPr>
      </w:pPr>
      <w:r>
        <w:rPr>
          <w:rFonts w:hint="eastAsia" w:ascii="宋体" w:hAnsi="宋体" w:eastAsia="宋体" w:cs="宋体"/>
          <w:color w:val="auto"/>
          <w:sz w:val="32"/>
          <w:szCs w:val="32"/>
        </w:rPr>
        <w:t>采 购 人：</w:t>
      </w:r>
      <w:r>
        <w:rPr>
          <w:rFonts w:hint="eastAsia" w:ascii="宋体" w:hAnsi="宋体" w:eastAsia="宋体" w:cs="宋体"/>
          <w:color w:val="auto"/>
          <w:sz w:val="32"/>
          <w:szCs w:val="32"/>
          <w:lang w:eastAsia="zh-CN"/>
        </w:rPr>
        <w:t>龙泉市塔石工农业综合开发有限公司</w:t>
      </w: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盖章</w:t>
      </w:r>
      <w:r>
        <w:rPr>
          <w:rFonts w:hint="eastAsia" w:ascii="宋体" w:hAnsi="宋体" w:cs="宋体"/>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840" w:lineRule="auto"/>
        <w:ind w:left="0" w:leftChars="0" w:firstLine="640" w:firstLineChars="200"/>
        <w:textAlignment w:val="bottom"/>
        <w:rPr>
          <w:rFonts w:hint="eastAsia" w:ascii="宋体" w:hAnsi="宋体" w:eastAsia="宋体" w:cs="宋体"/>
          <w:color w:val="auto"/>
          <w:sz w:val="32"/>
          <w:szCs w:val="32"/>
        </w:rPr>
      </w:pPr>
      <w:r>
        <w:rPr>
          <w:rFonts w:hint="eastAsia" w:ascii="宋体" w:hAnsi="宋体" w:eastAsia="宋体" w:cs="宋体"/>
          <w:color w:val="auto"/>
          <w:sz w:val="32"/>
          <w:szCs w:val="32"/>
        </w:rPr>
        <w:t>法定代表人或授权代表：</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（签字）</w:t>
      </w:r>
    </w:p>
    <w:p>
      <w:pPr>
        <w:keepNext w:val="0"/>
        <w:keepLines w:val="0"/>
        <w:pageBreakBefore w:val="0"/>
        <w:widowControl w:val="0"/>
        <w:kinsoku/>
        <w:wordWrap/>
        <w:overflowPunct/>
        <w:topLinePunct w:val="0"/>
        <w:autoSpaceDE w:val="0"/>
        <w:autoSpaceDN w:val="0"/>
        <w:bidi w:val="0"/>
        <w:adjustRightInd/>
        <w:snapToGrid/>
        <w:spacing w:line="840" w:lineRule="auto"/>
        <w:ind w:left="0" w:leftChars="0" w:firstLine="640" w:firstLineChars="200"/>
        <w:textAlignment w:val="bottom"/>
        <w:rPr>
          <w:rFonts w:hint="eastAsia" w:ascii="宋体" w:hAnsi="宋体" w:eastAsia="宋体" w:cs="宋体"/>
          <w:color w:val="auto"/>
          <w:sz w:val="32"/>
          <w:szCs w:val="32"/>
        </w:rPr>
      </w:pPr>
      <w:r>
        <w:rPr>
          <w:rFonts w:hint="eastAsia" w:ascii="宋体" w:hAnsi="宋体" w:eastAsia="宋体" w:cs="宋体"/>
          <w:color w:val="auto"/>
          <w:sz w:val="32"/>
          <w:szCs w:val="32"/>
        </w:rPr>
        <w:t>采购代理机构：</w:t>
      </w:r>
      <w:r>
        <w:rPr>
          <w:rFonts w:hint="eastAsia" w:ascii="宋体" w:hAnsi="宋体" w:eastAsia="宋体" w:cs="宋体"/>
          <w:color w:val="auto"/>
          <w:sz w:val="32"/>
          <w:szCs w:val="32"/>
          <w:lang w:eastAsia="zh-CN"/>
        </w:rPr>
        <w:t>丽水市中兴工程咨询有限公司</w:t>
      </w:r>
      <w:r>
        <w:rPr>
          <w:rFonts w:hint="eastAsia" w:ascii="宋体" w:hAnsi="宋体" w:eastAsia="宋体" w:cs="宋体"/>
          <w:color w:val="auto"/>
          <w:sz w:val="32"/>
          <w:szCs w:val="32"/>
        </w:rPr>
        <w:t>（盖章）</w:t>
      </w:r>
    </w:p>
    <w:p>
      <w:pPr>
        <w:keepNext w:val="0"/>
        <w:keepLines w:val="0"/>
        <w:pageBreakBefore w:val="0"/>
        <w:widowControl w:val="0"/>
        <w:kinsoku/>
        <w:wordWrap/>
        <w:overflowPunct/>
        <w:topLinePunct w:val="0"/>
        <w:autoSpaceDE w:val="0"/>
        <w:autoSpaceDN w:val="0"/>
        <w:bidi w:val="0"/>
        <w:adjustRightInd/>
        <w:snapToGrid/>
        <w:spacing w:line="840" w:lineRule="auto"/>
        <w:ind w:left="0" w:leftChars="0" w:firstLine="640" w:firstLineChars="200"/>
        <w:textAlignment w:val="bottom"/>
        <w:rPr>
          <w:rFonts w:hint="eastAsia" w:ascii="宋体" w:hAnsi="宋体" w:eastAsia="宋体" w:cs="宋体"/>
          <w:color w:val="auto"/>
          <w:sz w:val="32"/>
          <w:szCs w:val="32"/>
        </w:rPr>
      </w:pPr>
      <w:r>
        <w:rPr>
          <w:rFonts w:hint="eastAsia" w:ascii="宋体" w:hAnsi="宋体" w:eastAsia="宋体" w:cs="宋体"/>
          <w:color w:val="auto"/>
          <w:sz w:val="32"/>
          <w:szCs w:val="32"/>
        </w:rPr>
        <w:t>法定代表人或授权代表：</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（签字）</w:t>
      </w:r>
    </w:p>
    <w:p>
      <w:pPr>
        <w:pStyle w:val="256"/>
        <w:keepNext w:val="0"/>
        <w:keepLines w:val="0"/>
        <w:pageBreakBefore w:val="0"/>
        <w:kinsoku/>
        <w:wordWrap/>
        <w:topLinePunct w:val="0"/>
        <w:bidi w:val="0"/>
        <w:spacing w:before="48" w:after="48" w:line="840" w:lineRule="auto"/>
        <w:jc w:val="center"/>
        <w:rPr>
          <w:rFonts w:hint="eastAsia" w:ascii="宋体" w:hAnsi="宋体" w:eastAsia="宋体" w:cs="宋体"/>
          <w:color w:val="auto"/>
        </w:rPr>
      </w:pPr>
      <w:bookmarkStart w:id="10" w:name="_Toc28274"/>
      <w:bookmarkStart w:id="11" w:name="_Toc34746792"/>
      <w:bookmarkStart w:id="12" w:name="_Toc25598"/>
      <w:bookmarkStart w:id="13" w:name="_Toc12715"/>
      <w:bookmarkStart w:id="14" w:name="_Toc15234"/>
      <w:bookmarkStart w:id="15" w:name="_Toc28609"/>
      <w:bookmarkStart w:id="16" w:name="_Toc29145"/>
      <w:bookmarkStart w:id="17" w:name="_Toc22293"/>
      <w:r>
        <w:rPr>
          <w:rFonts w:hint="eastAsia" w:ascii="宋体" w:hAnsi="宋体" w:eastAsia="宋体" w:cs="宋体"/>
          <w:color w:val="auto"/>
          <w:kern w:val="2"/>
          <w:sz w:val="32"/>
          <w:szCs w:val="32"/>
          <w:lang w:bidi="ar-SA"/>
        </w:rPr>
        <w:t>日期：</w:t>
      </w:r>
      <w:bookmarkEnd w:id="10"/>
      <w:bookmarkEnd w:id="11"/>
      <w:bookmarkEnd w:id="12"/>
      <w:bookmarkEnd w:id="13"/>
      <w:r>
        <w:rPr>
          <w:rFonts w:hint="eastAsia" w:ascii="宋体" w:hAnsi="宋体" w:eastAsia="宋体" w:cs="宋体"/>
          <w:color w:val="auto"/>
          <w:kern w:val="2"/>
          <w:sz w:val="32"/>
          <w:szCs w:val="32"/>
          <w:lang w:val="en-US" w:eastAsia="zh-CN" w:bidi="ar-SA"/>
        </w:rPr>
        <w:t>二〇二〇年</w:t>
      </w:r>
      <w:r>
        <w:rPr>
          <w:rFonts w:hint="eastAsia" w:cs="宋体"/>
          <w:color w:val="auto"/>
          <w:kern w:val="2"/>
          <w:sz w:val="32"/>
          <w:szCs w:val="32"/>
          <w:lang w:val="en-US" w:eastAsia="zh-CN" w:bidi="ar-SA"/>
        </w:rPr>
        <w:t>七</w:t>
      </w:r>
      <w:r>
        <w:rPr>
          <w:rFonts w:hint="eastAsia" w:ascii="宋体" w:hAnsi="宋体" w:eastAsia="宋体" w:cs="宋体"/>
          <w:color w:val="auto"/>
          <w:kern w:val="2"/>
          <w:sz w:val="32"/>
          <w:szCs w:val="32"/>
          <w:lang w:val="en-US" w:eastAsia="zh-CN" w:bidi="ar-SA"/>
        </w:rPr>
        <w:t>月</w:t>
      </w:r>
      <w:bookmarkEnd w:id="14"/>
      <w:bookmarkEnd w:id="15"/>
      <w:bookmarkEnd w:id="16"/>
      <w:bookmarkEnd w:id="17"/>
    </w:p>
    <w:p>
      <w:pPr>
        <w:pStyle w:val="38"/>
        <w:spacing w:after="240"/>
        <w:rPr>
          <w:rFonts w:hint="eastAsia" w:ascii="宋体" w:hAnsi="宋体" w:eastAsia="宋体" w:cs="宋体"/>
          <w:color w:val="auto"/>
        </w:rPr>
        <w:sectPr>
          <w:headerReference r:id="rId7" w:type="first"/>
          <w:footerReference r:id="rId10" w:type="first"/>
          <w:footerReference r:id="rId8" w:type="default"/>
          <w:footerReference r:id="rId9" w:type="even"/>
          <w:pgSz w:w="11906" w:h="16838"/>
          <w:pgMar w:top="1440" w:right="1800" w:bottom="1440" w:left="1800" w:header="1077" w:footer="850" w:gutter="0"/>
          <w:pgBorders>
            <w:top w:val="none" w:sz="0" w:space="0"/>
            <w:left w:val="none" w:sz="0" w:space="0"/>
            <w:bottom w:val="none" w:sz="0" w:space="0"/>
            <w:right w:val="none" w:sz="0" w:space="0"/>
          </w:pgBorders>
          <w:pgNumType w:start="1"/>
          <w:cols w:space="0" w:num="1"/>
          <w:titlePg/>
          <w:docGrid w:linePitch="312" w:charSpace="0"/>
        </w:sectPr>
      </w:pPr>
    </w:p>
    <w:bookmarkEnd w:id="8"/>
    <w:bookmarkEnd w:id="9"/>
    <w:p>
      <w:pPr>
        <w:pStyle w:val="38"/>
        <w:spacing w:after="240"/>
        <w:ind w:firstLine="643" w:firstLineChars="200"/>
        <w:rPr>
          <w:rFonts w:hint="eastAsia" w:ascii="宋体" w:hAnsi="宋体" w:eastAsia="宋体" w:cs="宋体"/>
          <w:color w:val="auto"/>
        </w:rPr>
      </w:pPr>
      <w:bookmarkStart w:id="18" w:name="_Toc21330"/>
      <w:bookmarkStart w:id="19" w:name="_Toc15209"/>
      <w:bookmarkStart w:id="20" w:name="_Toc18908"/>
      <w:bookmarkStart w:id="21" w:name="_Toc5963"/>
      <w:bookmarkStart w:id="22" w:name="_Toc14077252"/>
      <w:bookmarkStart w:id="23" w:name="_Toc530551804"/>
      <w:bookmarkStart w:id="24" w:name="_Toc531358959"/>
      <w:bookmarkStart w:id="25" w:name="_Toc493956018"/>
      <w:r>
        <w:rPr>
          <w:rFonts w:hint="eastAsia" w:ascii="宋体" w:hAnsi="宋体" w:eastAsia="宋体" w:cs="宋体"/>
          <w:color w:val="auto"/>
        </w:rPr>
        <w:t>目  录</w:t>
      </w:r>
      <w:bookmarkEnd w:id="18"/>
      <w:bookmarkEnd w:id="19"/>
      <w:bookmarkEnd w:id="20"/>
      <w:bookmarkEnd w:id="21"/>
      <w:bookmarkStart w:id="26" w:name="_Toc69635410"/>
    </w:p>
    <w:p>
      <w:pPr>
        <w:pStyle w:val="30"/>
        <w:tabs>
          <w:tab w:val="right" w:leader="dot" w:pos="8306"/>
          <w:tab w:val="clear" w:pos="9060"/>
        </w:tabs>
        <w:rPr>
          <w:rFonts w:hint="eastAsia" w:ascii="宋体" w:hAnsi="宋体" w:eastAsia="宋体" w:cs="宋体"/>
          <w:b w:val="0"/>
          <w:bCs w:val="0"/>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_Toc15213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第一章 招标公告</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color w:val="auto"/>
          <w:sz w:val="24"/>
          <w:szCs w:val="24"/>
        </w:rPr>
        <w:fldChar w:fldCharType="end"/>
      </w:r>
    </w:p>
    <w:p>
      <w:pPr>
        <w:pStyle w:val="34"/>
        <w:tabs>
          <w:tab w:val="right" w:leader="dot" w:pos="8306"/>
        </w:tabs>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_Toc1195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第二章</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投标人须知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34"/>
        <w:tabs>
          <w:tab w:val="right" w:leader="dot" w:pos="8306"/>
        </w:tabs>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_Toc13252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前附表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_Toc13252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_Toc4594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一、总则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_Toc4594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_Toc20780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二、招标文件说明</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_Toc20780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_Toc29089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三、投标文件的编写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_Toc29089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_Toc29573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四、投标文件的提交</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_Toc29573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_Toc2811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五、开标和评审</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_Toc2811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9</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_Toc22631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六、投标无效的情形</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_Toc22631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_Toc13099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七、法律责任</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_Toc13099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_Toc7795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八、询问</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_Toc7795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_Toc23504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九、质疑</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_Toc23504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_Toc4170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十、投诉</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_Toc4170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_Toc11929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十</w:t>
      </w: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rPr>
        <w:t>、授予合同</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_Toc11929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_Toc23595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十</w:t>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、验收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_Toc23595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_Toc18152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十</w:t>
      </w:r>
      <w:r>
        <w:rPr>
          <w:rFonts w:hint="eastAsia" w:ascii="宋体" w:hAnsi="宋体" w:eastAsia="宋体" w:cs="宋体"/>
          <w:b w:val="0"/>
          <w:bCs w:val="0"/>
          <w:sz w:val="24"/>
          <w:szCs w:val="24"/>
          <w:lang w:val="en-US" w:eastAsia="zh-CN"/>
        </w:rPr>
        <w:t>三</w:t>
      </w:r>
      <w:r>
        <w:rPr>
          <w:rFonts w:hint="eastAsia" w:ascii="宋体" w:hAnsi="宋体" w:eastAsia="宋体" w:cs="宋体"/>
          <w:b w:val="0"/>
          <w:bCs w:val="0"/>
          <w:sz w:val="24"/>
          <w:szCs w:val="24"/>
        </w:rPr>
        <w:t>、政府采购政策</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_Toc18152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_Toc17794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十</w:t>
      </w:r>
      <w:r>
        <w:rPr>
          <w:rFonts w:hint="eastAsia" w:ascii="宋体" w:hAnsi="宋体" w:eastAsia="宋体" w:cs="宋体"/>
          <w:b w:val="0"/>
          <w:bCs w:val="0"/>
          <w:sz w:val="24"/>
          <w:szCs w:val="24"/>
          <w:lang w:val="en-US" w:eastAsia="zh-CN"/>
        </w:rPr>
        <w:t>四</w:t>
      </w:r>
      <w:r>
        <w:rPr>
          <w:rFonts w:hint="eastAsia" w:ascii="宋体" w:hAnsi="宋体" w:eastAsia="宋体" w:cs="宋体"/>
          <w:b w:val="0"/>
          <w:bCs w:val="0"/>
          <w:sz w:val="24"/>
          <w:szCs w:val="24"/>
        </w:rPr>
        <w:t>、其他事项</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_Toc17794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17</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34"/>
        <w:tabs>
          <w:tab w:val="right" w:leader="dot" w:pos="8306"/>
        </w:tabs>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_Toc429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kern w:val="0"/>
          <w:sz w:val="24"/>
          <w:szCs w:val="24"/>
        </w:rPr>
        <w:t xml:space="preserve">第三章 </w:t>
      </w:r>
      <w:r>
        <w:rPr>
          <w:rFonts w:hint="eastAsia" w:ascii="宋体" w:hAnsi="宋体" w:eastAsia="宋体" w:cs="宋体"/>
          <w:b w:val="0"/>
          <w:bCs w:val="0"/>
          <w:sz w:val="24"/>
          <w:szCs w:val="24"/>
        </w:rPr>
        <w:t>技术要求</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_Toc429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19</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30"/>
        <w:tabs>
          <w:tab w:val="right" w:leader="dot" w:pos="8306"/>
          <w:tab w:val="clear" w:pos="9060"/>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_Toc23750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第四章 政府采购合同格式（范本）</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_Toc23750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34"/>
        <w:tabs>
          <w:tab w:val="right" w:leader="dot" w:pos="8306"/>
        </w:tabs>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_Toc8088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第五章</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投标相关文件格式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_Toc8088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30</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_Toc27301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一  资格审查文件格式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_Toc27301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30</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_Toc2213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1、公司有效营业执照</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_Toc2213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_Toc17437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2、授权委托书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_Toc17437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_Toc22653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3、财务状况报告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_Toc22653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_Toc29045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4、依法缴纳税收和社会保障资金</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_Toc29045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_Toc25842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5、资格声明</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_Toc25842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_Toc19767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6、无重大违法记录声明书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_Toc19767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38</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_Toc4710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二  资信商务</w:t>
      </w:r>
      <w:r>
        <w:rPr>
          <w:rFonts w:hint="eastAsia" w:ascii="宋体" w:hAnsi="宋体" w:eastAsia="宋体" w:cs="宋体"/>
          <w:b w:val="0"/>
          <w:bCs w:val="0"/>
          <w:sz w:val="24"/>
          <w:szCs w:val="24"/>
          <w:lang w:eastAsia="zh-CN"/>
        </w:rPr>
        <w:t>及技术</w:t>
      </w:r>
      <w:r>
        <w:rPr>
          <w:rFonts w:hint="eastAsia" w:ascii="宋体" w:hAnsi="宋体" w:eastAsia="宋体" w:cs="宋体"/>
          <w:b w:val="0"/>
          <w:bCs w:val="0"/>
          <w:sz w:val="24"/>
          <w:szCs w:val="24"/>
        </w:rPr>
        <w:t>文件</w:t>
      </w:r>
      <w:r>
        <w:rPr>
          <w:rFonts w:hint="eastAsia" w:ascii="宋体" w:hAnsi="宋体" w:eastAsia="宋体" w:cs="宋体"/>
          <w:b w:val="0"/>
          <w:bCs w:val="0"/>
          <w:sz w:val="24"/>
          <w:szCs w:val="24"/>
          <w:lang w:eastAsia="zh-CN"/>
        </w:rPr>
        <w:t>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_Toc4710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39</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_Toc13909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eastAsia="zh-CN"/>
        </w:rPr>
        <w:t>（一）资信及商务部分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_Toc13909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39</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_Toc26894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技术文件格式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_Toc26894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22"/>
        <w:tabs>
          <w:tab w:val="right" w:leader="dot" w:pos="8306"/>
        </w:tabs>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_Toc4379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三</w:t>
      </w:r>
      <w:r>
        <w:rPr>
          <w:rFonts w:hint="eastAsia" w:ascii="宋体" w:hAnsi="宋体" w:eastAsia="宋体" w:cs="宋体"/>
          <w:b w:val="0"/>
          <w:bCs w:val="0"/>
          <w:sz w:val="24"/>
          <w:szCs w:val="24"/>
        </w:rPr>
        <w:t xml:space="preserve">  报价文件格式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_Toc4379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pStyle w:val="34"/>
        <w:tabs>
          <w:tab w:val="right" w:leader="dot" w:pos="8306"/>
        </w:tabs>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sz w:val="24"/>
          <w:szCs w:val="24"/>
        </w:rPr>
        <w:instrText xml:space="preserve"> HYPERLINK \l _Toc31679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第六章 评标办法和细则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_Toc31679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57</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right"/>
        <w:textAlignment w:val="auto"/>
        <w:rPr>
          <w:rFonts w:hint="eastAsia" w:ascii="宋体" w:hAnsi="宋体" w:eastAsia="宋体" w:cs="宋体"/>
          <w:color w:val="auto"/>
        </w:rPr>
      </w:pPr>
      <w:r>
        <w:rPr>
          <w:rFonts w:hint="eastAsia" w:ascii="宋体" w:hAnsi="宋体" w:eastAsia="宋体" w:cs="宋体"/>
          <w:color w:val="auto"/>
          <w:szCs w:val="24"/>
        </w:rPr>
        <w:fldChar w:fldCharType="end"/>
      </w:r>
    </w:p>
    <w:bookmarkEnd w:id="26"/>
    <w:p>
      <w:pPr>
        <w:pStyle w:val="6"/>
        <w:spacing w:before="0" w:after="0" w:line="400" w:lineRule="exact"/>
        <w:rPr>
          <w:rFonts w:hint="eastAsia" w:ascii="宋体" w:hAnsi="宋体" w:eastAsia="宋体" w:cs="宋体"/>
          <w:color w:val="auto"/>
        </w:rPr>
        <w:sectPr>
          <w:headerReference r:id="rId11" w:type="default"/>
          <w:footerReference r:id="rId12" w:type="default"/>
          <w:pgSz w:w="11906" w:h="16838"/>
          <w:pgMar w:top="1440" w:right="1800" w:bottom="1440" w:left="1800" w:header="851" w:footer="850" w:gutter="0"/>
          <w:pgBorders>
            <w:top w:val="none" w:sz="0" w:space="0"/>
            <w:left w:val="none" w:sz="0" w:space="0"/>
            <w:bottom w:val="none" w:sz="0" w:space="0"/>
            <w:right w:val="none" w:sz="0" w:space="0"/>
          </w:pgBorders>
          <w:cols w:space="0" w:num="1"/>
          <w:titlePg/>
          <w:docGrid w:linePitch="312" w:charSpace="0"/>
        </w:sectPr>
      </w:pPr>
    </w:p>
    <w:bookmarkEnd w:id="22"/>
    <w:p>
      <w:pPr>
        <w:pStyle w:val="5"/>
        <w:keepNext/>
        <w:keepLines w:val="0"/>
        <w:pageBreakBefore/>
        <w:widowControl w:val="0"/>
        <w:tabs>
          <w:tab w:val="left" w:pos="0"/>
          <w:tab w:val="left" w:pos="3165"/>
          <w:tab w:val="center" w:pos="4153"/>
        </w:tabs>
        <w:kinsoku/>
        <w:wordWrap/>
        <w:overflowPunct/>
        <w:topLinePunct w:val="0"/>
        <w:autoSpaceDE w:val="0"/>
        <w:autoSpaceDN w:val="0"/>
        <w:bidi w:val="0"/>
        <w:adjustRightInd w:val="0"/>
        <w:snapToGrid/>
        <w:spacing w:before="0" w:after="0" w:line="360" w:lineRule="auto"/>
        <w:jc w:val="center"/>
        <w:textAlignment w:val="bottom"/>
        <w:rPr>
          <w:rFonts w:hint="eastAsia" w:ascii="宋体" w:hAnsi="宋体" w:eastAsia="宋体" w:cs="宋体"/>
        </w:rPr>
      </w:pPr>
      <w:bookmarkStart w:id="27" w:name="_Toc35393789"/>
      <w:bookmarkStart w:id="28" w:name="_Toc28359001"/>
      <w:r>
        <w:rPr>
          <w:rFonts w:hint="eastAsia" w:ascii="宋体" w:hAnsi="宋体" w:eastAsia="宋体" w:cs="宋体"/>
          <w:lang w:val="en-US" w:eastAsia="zh-CN"/>
        </w:rPr>
        <w:t xml:space="preserve">第一章 </w:t>
      </w:r>
      <w:r>
        <w:rPr>
          <w:rFonts w:hint="eastAsia" w:ascii="宋体" w:hAnsi="宋体" w:eastAsia="宋体" w:cs="宋体"/>
        </w:rPr>
        <w:t>招标公告</w:t>
      </w:r>
      <w:bookmarkEnd w:id="27"/>
      <w:bookmarkEnd w:id="28"/>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left="0" w:leftChars="0" w:firstLine="420" w:firstLineChars="150"/>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rPr>
              <w:t>项目概况</w:t>
            </w:r>
            <w:r>
              <w:rPr>
                <w:rFonts w:hint="eastAsia" w:ascii="宋体" w:hAnsi="宋体" w:cs="宋体"/>
                <w:sz w:val="28"/>
                <w:szCs w:val="28"/>
                <w:vertAlign w:val="baseline"/>
                <w:lang w:eastAsia="zh-CN"/>
              </w:rPr>
              <w:t>：</w:t>
            </w:r>
          </w:p>
          <w:p>
            <w:pPr>
              <w:ind w:left="0" w:leftChars="0" w:firstLine="420" w:firstLineChars="150"/>
              <w:rPr>
                <w:rFonts w:hint="eastAsia"/>
                <w:vertAlign w:val="baseline"/>
              </w:rPr>
            </w:pPr>
            <w:r>
              <w:rPr>
                <w:rFonts w:hint="eastAsia" w:ascii="宋体" w:hAnsi="宋体" w:eastAsia="宋体" w:cs="宋体"/>
                <w:sz w:val="28"/>
                <w:szCs w:val="28"/>
                <w:u w:val="single"/>
                <w:vertAlign w:val="baseline"/>
              </w:rPr>
              <w:t>龙泉市塔石金岗工业园区废水处理厂委托运营采购项目</w:t>
            </w:r>
            <w:r>
              <w:rPr>
                <w:rFonts w:hint="eastAsia" w:ascii="宋体" w:hAnsi="宋体" w:cs="宋体"/>
                <w:sz w:val="28"/>
                <w:szCs w:val="28"/>
                <w:u w:val="single"/>
                <w:vertAlign w:val="baseline"/>
                <w:lang w:val="en-US" w:eastAsia="zh-CN"/>
              </w:rPr>
              <w:t xml:space="preserve"> </w:t>
            </w:r>
            <w:r>
              <w:rPr>
                <w:rFonts w:hint="eastAsia" w:ascii="宋体" w:hAnsi="宋体" w:eastAsia="宋体" w:cs="宋体"/>
                <w:sz w:val="28"/>
                <w:szCs w:val="28"/>
                <w:vertAlign w:val="baseline"/>
              </w:rPr>
              <w:t>招标项目的潜在投标人应在</w:t>
            </w:r>
            <w:r>
              <w:rPr>
                <w:rFonts w:hint="eastAsia" w:ascii="宋体" w:hAnsi="宋体" w:eastAsia="宋体" w:cs="宋体"/>
                <w:sz w:val="28"/>
                <w:szCs w:val="28"/>
                <w:u w:val="single"/>
                <w:vertAlign w:val="baseline"/>
              </w:rPr>
              <w:t>浙江政府采购网（www.zjzfcg.gov.cn）</w:t>
            </w:r>
            <w:r>
              <w:rPr>
                <w:rFonts w:hint="eastAsia" w:ascii="宋体" w:hAnsi="宋体" w:eastAsia="宋体" w:cs="宋体"/>
                <w:sz w:val="28"/>
                <w:szCs w:val="28"/>
                <w:vertAlign w:val="baseline"/>
              </w:rPr>
              <w:t>获取招标文件，并于</w:t>
            </w:r>
            <w:r>
              <w:rPr>
                <w:rFonts w:hint="eastAsia" w:ascii="宋体" w:hAnsi="宋体" w:eastAsia="宋体" w:cs="宋体"/>
                <w:sz w:val="28"/>
                <w:szCs w:val="28"/>
                <w:u w:val="single"/>
                <w:vertAlign w:val="baseline"/>
              </w:rPr>
              <w:t>2020</w:t>
            </w:r>
            <w:r>
              <w:rPr>
                <w:rFonts w:hint="eastAsia" w:ascii="宋体" w:hAnsi="宋体" w:eastAsia="宋体" w:cs="宋体"/>
                <w:sz w:val="28"/>
                <w:szCs w:val="28"/>
                <w:vertAlign w:val="baseline"/>
              </w:rPr>
              <w:t>年</w:t>
            </w:r>
            <w:r>
              <w:rPr>
                <w:rFonts w:hint="eastAsia" w:ascii="宋体" w:hAnsi="宋体" w:eastAsia="宋体" w:cs="宋体"/>
                <w:sz w:val="28"/>
                <w:szCs w:val="28"/>
                <w:u w:val="single"/>
                <w:vertAlign w:val="baseline"/>
              </w:rPr>
              <w:t>7</w:t>
            </w:r>
            <w:r>
              <w:rPr>
                <w:rFonts w:hint="eastAsia" w:ascii="宋体" w:hAnsi="宋体" w:eastAsia="宋体" w:cs="宋体"/>
                <w:sz w:val="28"/>
                <w:szCs w:val="28"/>
                <w:vertAlign w:val="baseline"/>
              </w:rPr>
              <w:t>月</w:t>
            </w:r>
            <w:r>
              <w:rPr>
                <w:rFonts w:hint="eastAsia" w:ascii="宋体" w:hAnsi="宋体" w:eastAsia="宋体" w:cs="宋体"/>
                <w:sz w:val="28"/>
                <w:szCs w:val="28"/>
                <w:u w:val="single"/>
                <w:vertAlign w:val="baseline"/>
              </w:rPr>
              <w:t>28</w:t>
            </w:r>
            <w:r>
              <w:rPr>
                <w:rFonts w:hint="eastAsia" w:ascii="宋体" w:hAnsi="宋体" w:eastAsia="宋体" w:cs="宋体"/>
                <w:sz w:val="28"/>
                <w:szCs w:val="28"/>
                <w:vertAlign w:val="baseline"/>
              </w:rPr>
              <w:t>日</w:t>
            </w:r>
            <w:r>
              <w:rPr>
                <w:rFonts w:hint="eastAsia" w:ascii="宋体" w:hAnsi="宋体" w:eastAsia="宋体" w:cs="宋体"/>
                <w:sz w:val="28"/>
                <w:szCs w:val="28"/>
                <w:u w:val="single"/>
                <w:vertAlign w:val="baseline"/>
              </w:rPr>
              <w:t>9</w:t>
            </w:r>
            <w:r>
              <w:rPr>
                <w:rFonts w:hint="eastAsia" w:ascii="宋体" w:hAnsi="宋体" w:eastAsia="宋体" w:cs="宋体"/>
                <w:sz w:val="28"/>
                <w:szCs w:val="28"/>
                <w:vertAlign w:val="baseline"/>
              </w:rPr>
              <w:t>点</w:t>
            </w:r>
            <w:r>
              <w:rPr>
                <w:rFonts w:hint="eastAsia" w:ascii="宋体" w:hAnsi="宋体" w:eastAsia="宋体" w:cs="宋体"/>
                <w:sz w:val="28"/>
                <w:szCs w:val="28"/>
                <w:u w:val="single"/>
                <w:vertAlign w:val="baseline"/>
              </w:rPr>
              <w:t>30</w:t>
            </w:r>
            <w:r>
              <w:rPr>
                <w:rFonts w:hint="eastAsia" w:ascii="宋体" w:hAnsi="宋体" w:eastAsia="宋体" w:cs="宋体"/>
                <w:sz w:val="28"/>
                <w:szCs w:val="28"/>
                <w:vertAlign w:val="baseline"/>
              </w:rPr>
              <w:t>分（北京时间）前递交投标文件。</w:t>
            </w:r>
          </w:p>
        </w:tc>
      </w:tr>
    </w:tbl>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29" w:name="_Toc35393621"/>
      <w:bookmarkStart w:id="30" w:name="_Toc28359002"/>
      <w:bookmarkStart w:id="31" w:name="_Toc35393790"/>
      <w:bookmarkStart w:id="32" w:name="_Toc28359079"/>
      <w:bookmarkStart w:id="33" w:name="_Hlk24379207"/>
      <w:r>
        <w:rPr>
          <w:rFonts w:hint="eastAsia" w:ascii="宋体" w:hAnsi="宋体" w:eastAsia="宋体" w:cs="宋体"/>
          <w:b w:val="0"/>
          <w:sz w:val="28"/>
          <w:szCs w:val="28"/>
        </w:rPr>
        <w:t>一、项目基本情况</w:t>
      </w:r>
      <w:bookmarkEnd w:id="29"/>
      <w:bookmarkEnd w:id="30"/>
      <w:bookmarkEnd w:id="31"/>
      <w:bookmarkEnd w:id="32"/>
    </w:p>
    <w:p>
      <w:pPr>
        <w:spacing w:line="240" w:lineRule="auto"/>
        <w:ind w:firstLine="480" w:firstLineChars="200"/>
        <w:rPr>
          <w:rFonts w:hint="default" w:ascii="宋体" w:hAnsi="宋体" w:eastAsia="宋体" w:cs="宋体"/>
          <w:i w:val="0"/>
          <w:iCs w:val="0"/>
          <w:color w:val="FF0000"/>
          <w:sz w:val="24"/>
          <w:szCs w:val="24"/>
          <w:lang w:val="en-US" w:eastAsia="zh-CN"/>
        </w:rPr>
      </w:pPr>
      <w:r>
        <w:rPr>
          <w:rFonts w:hint="eastAsia" w:ascii="宋体" w:hAnsi="宋体" w:cs="宋体"/>
          <w:i w:val="0"/>
          <w:iCs w:val="0"/>
          <w:sz w:val="24"/>
          <w:szCs w:val="24"/>
          <w:lang w:val="en-US" w:eastAsia="zh-CN"/>
        </w:rPr>
        <w:t>1.</w:t>
      </w:r>
      <w:r>
        <w:rPr>
          <w:rFonts w:hint="eastAsia" w:ascii="宋体" w:hAnsi="宋体" w:eastAsia="宋体" w:cs="宋体"/>
          <w:i w:val="0"/>
          <w:iCs w:val="0"/>
          <w:sz w:val="24"/>
          <w:szCs w:val="24"/>
        </w:rPr>
        <w:t>项目编号：</w:t>
      </w:r>
      <w:r>
        <w:rPr>
          <w:rFonts w:hint="eastAsia" w:ascii="宋体" w:hAnsi="宋体" w:cs="宋体"/>
          <w:i w:val="0"/>
          <w:iCs w:val="0"/>
          <w:sz w:val="24"/>
          <w:szCs w:val="24"/>
          <w:u w:val="single"/>
          <w:lang w:val="en-US" w:eastAsia="zh-CN"/>
        </w:rPr>
        <w:t>龙政采F2020-81G17；</w:t>
      </w:r>
    </w:p>
    <w:p>
      <w:pPr>
        <w:spacing w:line="240" w:lineRule="auto"/>
        <w:ind w:firstLine="480" w:firstLineChars="200"/>
        <w:rPr>
          <w:rFonts w:hint="default" w:ascii="宋体" w:hAnsi="宋体" w:eastAsia="宋体" w:cs="宋体"/>
          <w:i w:val="0"/>
          <w:iCs w:val="0"/>
          <w:sz w:val="24"/>
          <w:szCs w:val="24"/>
          <w:lang w:val="en-US" w:eastAsia="zh-CN"/>
        </w:rPr>
      </w:pPr>
      <w:r>
        <w:rPr>
          <w:rFonts w:hint="eastAsia" w:ascii="宋体" w:hAnsi="宋体" w:cs="宋体"/>
          <w:i w:val="0"/>
          <w:iCs w:val="0"/>
          <w:sz w:val="24"/>
          <w:szCs w:val="24"/>
          <w:lang w:val="en-US" w:eastAsia="zh-CN"/>
        </w:rPr>
        <w:t>2.</w:t>
      </w:r>
      <w:r>
        <w:rPr>
          <w:rFonts w:hint="eastAsia" w:ascii="宋体" w:hAnsi="宋体" w:eastAsia="宋体" w:cs="宋体"/>
          <w:i w:val="0"/>
          <w:iCs w:val="0"/>
          <w:sz w:val="24"/>
          <w:szCs w:val="24"/>
        </w:rPr>
        <w:t>项目名称：</w:t>
      </w:r>
      <w:r>
        <w:rPr>
          <w:rFonts w:hint="eastAsia" w:ascii="宋体" w:hAnsi="宋体" w:eastAsia="宋体" w:cs="宋体"/>
          <w:i w:val="0"/>
          <w:iCs w:val="0"/>
          <w:sz w:val="24"/>
          <w:szCs w:val="24"/>
          <w:u w:val="single"/>
          <w:lang w:eastAsia="zh-CN"/>
        </w:rPr>
        <w:t>龙泉市塔石金岗工业园区废水处理厂委托运营采购项目</w:t>
      </w:r>
      <w:bookmarkEnd w:id="33"/>
      <w:r>
        <w:rPr>
          <w:rFonts w:hint="eastAsia" w:ascii="宋体" w:hAnsi="宋体" w:cs="宋体"/>
          <w:i w:val="0"/>
          <w:iCs w:val="0"/>
          <w:sz w:val="24"/>
          <w:szCs w:val="24"/>
          <w:u w:val="single"/>
          <w:lang w:val="en-US" w:eastAsia="zh-CN"/>
        </w:rPr>
        <w:t>；</w:t>
      </w:r>
    </w:p>
    <w:p>
      <w:pPr>
        <w:spacing w:line="240" w:lineRule="auto"/>
        <w:ind w:firstLine="480" w:firstLineChars="200"/>
        <w:rPr>
          <w:rFonts w:hint="default" w:ascii="宋体" w:hAnsi="宋体" w:eastAsia="宋体" w:cs="宋体"/>
          <w:i w:val="0"/>
          <w:iCs w:val="0"/>
          <w:sz w:val="24"/>
          <w:szCs w:val="24"/>
          <w:lang w:val="en-US" w:eastAsia="zh-CN"/>
        </w:rPr>
      </w:pPr>
      <w:r>
        <w:rPr>
          <w:rFonts w:hint="eastAsia" w:ascii="宋体" w:hAnsi="宋体" w:cs="宋体"/>
          <w:i w:val="0"/>
          <w:iCs w:val="0"/>
          <w:sz w:val="24"/>
          <w:szCs w:val="24"/>
          <w:lang w:val="en-US" w:eastAsia="zh-CN"/>
        </w:rPr>
        <w:t>3.</w:t>
      </w:r>
      <w:r>
        <w:rPr>
          <w:rFonts w:hint="eastAsia" w:ascii="宋体" w:hAnsi="宋体" w:eastAsia="宋体" w:cs="宋体"/>
          <w:i w:val="0"/>
          <w:iCs w:val="0"/>
          <w:sz w:val="24"/>
          <w:szCs w:val="24"/>
        </w:rPr>
        <w:t>预算金额：</w:t>
      </w:r>
      <w:r>
        <w:rPr>
          <w:rFonts w:hint="eastAsia" w:ascii="宋体" w:hAnsi="宋体" w:eastAsia="宋体" w:cs="宋体"/>
          <w:i w:val="0"/>
          <w:iCs w:val="0"/>
          <w:sz w:val="24"/>
          <w:szCs w:val="24"/>
          <w:u w:val="single"/>
          <w:lang w:val="en-US" w:eastAsia="zh-CN"/>
        </w:rPr>
        <w:t>910万元（70元/吨）；</w:t>
      </w:r>
    </w:p>
    <w:p>
      <w:pPr>
        <w:spacing w:line="240" w:lineRule="auto"/>
        <w:ind w:firstLine="480" w:firstLineChars="200"/>
        <w:rPr>
          <w:rFonts w:hint="default" w:ascii="宋体" w:hAnsi="宋体" w:eastAsia="宋体" w:cs="宋体"/>
          <w:i w:val="0"/>
          <w:iCs w:val="0"/>
          <w:sz w:val="24"/>
          <w:szCs w:val="24"/>
          <w:lang w:val="en-US" w:eastAsia="zh-CN"/>
        </w:rPr>
      </w:pPr>
      <w:r>
        <w:rPr>
          <w:rFonts w:hint="eastAsia" w:ascii="宋体" w:hAnsi="宋体" w:cs="宋体"/>
          <w:i w:val="0"/>
          <w:iCs w:val="0"/>
          <w:sz w:val="24"/>
          <w:szCs w:val="24"/>
          <w:lang w:val="en-US" w:eastAsia="zh-CN"/>
        </w:rPr>
        <w:t>4.</w:t>
      </w:r>
      <w:r>
        <w:rPr>
          <w:rFonts w:hint="eastAsia" w:ascii="宋体" w:hAnsi="宋体" w:eastAsia="宋体" w:cs="宋体"/>
          <w:i w:val="0"/>
          <w:iCs w:val="0"/>
          <w:sz w:val="24"/>
          <w:szCs w:val="24"/>
        </w:rPr>
        <w:t>最高限价：</w:t>
      </w:r>
      <w:r>
        <w:rPr>
          <w:rFonts w:hint="eastAsia" w:ascii="宋体" w:hAnsi="宋体" w:eastAsia="宋体" w:cs="宋体"/>
          <w:i w:val="0"/>
          <w:iCs w:val="0"/>
          <w:sz w:val="24"/>
          <w:szCs w:val="24"/>
          <w:u w:val="single"/>
          <w:lang w:val="en-US" w:eastAsia="zh-CN"/>
        </w:rPr>
        <w:t>70</w:t>
      </w:r>
      <w:r>
        <w:rPr>
          <w:rFonts w:hint="eastAsia" w:ascii="宋体" w:hAnsi="宋体" w:eastAsia="宋体" w:cs="宋体"/>
          <w:i w:val="0"/>
          <w:iCs w:val="0"/>
          <w:sz w:val="24"/>
          <w:szCs w:val="24"/>
          <w:u w:val="single"/>
          <w:lang w:eastAsia="zh-CN"/>
        </w:rPr>
        <w:t>元/吨（</w:t>
      </w:r>
      <w:r>
        <w:rPr>
          <w:rFonts w:hint="eastAsia" w:ascii="宋体" w:hAnsi="宋体" w:eastAsia="宋体" w:cs="宋体"/>
          <w:i w:val="0"/>
          <w:iCs w:val="0"/>
          <w:sz w:val="24"/>
          <w:szCs w:val="24"/>
          <w:u w:val="single"/>
          <w:lang w:val="en-US" w:eastAsia="zh-CN"/>
        </w:rPr>
        <w:t>年工业废水排放量约13万吨/年</w:t>
      </w:r>
      <w:r>
        <w:rPr>
          <w:rFonts w:hint="eastAsia" w:ascii="宋体" w:hAnsi="宋体" w:eastAsia="宋体" w:cs="宋体"/>
          <w:i w:val="0"/>
          <w:iCs w:val="0"/>
          <w:sz w:val="24"/>
          <w:szCs w:val="24"/>
          <w:u w:val="single"/>
          <w:lang w:eastAsia="zh-CN"/>
        </w:rPr>
        <w:t>）</w:t>
      </w:r>
      <w:r>
        <w:rPr>
          <w:rFonts w:hint="eastAsia" w:ascii="宋体" w:hAnsi="宋体" w:eastAsia="宋体" w:cs="宋体"/>
          <w:i w:val="0"/>
          <w:iCs w:val="0"/>
          <w:sz w:val="24"/>
          <w:szCs w:val="24"/>
          <w:u w:val="single"/>
          <w:lang w:val="en-US" w:eastAsia="zh-CN"/>
        </w:rPr>
        <w:t>；</w:t>
      </w:r>
    </w:p>
    <w:p>
      <w:pPr>
        <w:spacing w:line="240" w:lineRule="auto"/>
        <w:ind w:firstLine="480" w:firstLineChars="200"/>
        <w:rPr>
          <w:rFonts w:hint="eastAsia" w:ascii="宋体" w:hAnsi="宋体" w:eastAsia="宋体" w:cs="宋体"/>
          <w:i w:val="0"/>
          <w:iCs w:val="0"/>
          <w:sz w:val="24"/>
          <w:szCs w:val="24"/>
        </w:rPr>
      </w:pPr>
      <w:r>
        <w:rPr>
          <w:rFonts w:hint="eastAsia" w:ascii="宋体" w:hAnsi="宋体" w:cs="宋体"/>
          <w:i w:val="0"/>
          <w:iCs w:val="0"/>
          <w:sz w:val="24"/>
          <w:szCs w:val="24"/>
          <w:lang w:val="en-US" w:eastAsia="zh-CN"/>
        </w:rPr>
        <w:t>5.</w:t>
      </w:r>
      <w:r>
        <w:rPr>
          <w:rFonts w:hint="eastAsia" w:ascii="宋体" w:hAnsi="宋体" w:eastAsia="宋体" w:cs="宋体"/>
          <w:i w:val="0"/>
          <w:iCs w:val="0"/>
          <w:sz w:val="24"/>
          <w:szCs w:val="24"/>
        </w:rPr>
        <w:t>采购需求：</w:t>
      </w:r>
      <w:r>
        <w:rPr>
          <w:rFonts w:hint="eastAsia" w:ascii="宋体" w:hAnsi="宋体" w:eastAsia="宋体" w:cs="宋体"/>
          <w:i w:val="0"/>
          <w:iCs w:val="0"/>
          <w:sz w:val="24"/>
          <w:szCs w:val="24"/>
          <w:u w:val="single"/>
          <w:lang w:eastAsia="zh-CN"/>
        </w:rPr>
        <w:t>废水处理厂</w:t>
      </w:r>
      <w:r>
        <w:rPr>
          <w:rFonts w:hint="eastAsia" w:ascii="宋体" w:hAnsi="宋体" w:eastAsia="宋体" w:cs="宋体"/>
          <w:i w:val="0"/>
          <w:iCs w:val="0"/>
          <w:sz w:val="24"/>
          <w:szCs w:val="24"/>
          <w:u w:val="single"/>
          <w:lang w:val="en-US" w:eastAsia="zh-CN"/>
        </w:rPr>
        <w:t>的</w:t>
      </w:r>
      <w:r>
        <w:rPr>
          <w:rFonts w:hint="eastAsia" w:ascii="宋体" w:hAnsi="宋体" w:eastAsia="宋体" w:cs="宋体"/>
          <w:i w:val="0"/>
          <w:iCs w:val="0"/>
          <w:sz w:val="24"/>
          <w:szCs w:val="24"/>
          <w:u w:val="single"/>
          <w:lang w:eastAsia="zh-CN"/>
        </w:rPr>
        <w:t>日常运行与维护、园区内工业废水总管网的日常巡查</w:t>
      </w:r>
      <w:r>
        <w:rPr>
          <w:rFonts w:hint="eastAsia" w:ascii="宋体" w:hAnsi="宋体" w:eastAsia="宋体" w:cs="宋体"/>
          <w:i w:val="0"/>
          <w:iCs w:val="0"/>
          <w:sz w:val="24"/>
          <w:szCs w:val="24"/>
          <w:u w:val="single"/>
          <w:lang w:val="en-US" w:eastAsia="zh-CN"/>
        </w:rPr>
        <w:t>及维护</w:t>
      </w:r>
      <w:r>
        <w:rPr>
          <w:rFonts w:hint="eastAsia" w:ascii="宋体" w:hAnsi="宋体" w:eastAsia="宋体" w:cs="宋体"/>
          <w:i w:val="0"/>
          <w:iCs w:val="0"/>
          <w:sz w:val="24"/>
          <w:szCs w:val="24"/>
          <w:u w:val="single"/>
          <w:lang w:eastAsia="zh-CN"/>
        </w:rPr>
        <w:t>等</w:t>
      </w:r>
      <w:r>
        <w:rPr>
          <w:rFonts w:hint="eastAsia" w:ascii="宋体" w:hAnsi="宋体" w:eastAsia="宋体" w:cs="宋体"/>
          <w:i w:val="0"/>
          <w:iCs w:val="0"/>
          <w:sz w:val="24"/>
          <w:szCs w:val="24"/>
          <w:u w:val="single"/>
          <w:lang w:val="en-US" w:eastAsia="zh-CN"/>
        </w:rPr>
        <w:t>；</w:t>
      </w:r>
    </w:p>
    <w:p>
      <w:pPr>
        <w:spacing w:line="240" w:lineRule="auto"/>
        <w:ind w:firstLine="480" w:firstLineChars="200"/>
        <w:rPr>
          <w:rFonts w:hint="eastAsia" w:ascii="宋体" w:hAnsi="宋体" w:eastAsia="宋体" w:cs="宋体"/>
          <w:i w:val="0"/>
          <w:iCs w:val="0"/>
          <w:sz w:val="24"/>
          <w:szCs w:val="24"/>
          <w:u w:val="single"/>
          <w:lang w:val="en-US" w:eastAsia="zh-CN"/>
        </w:rPr>
      </w:pPr>
      <w:r>
        <w:rPr>
          <w:rFonts w:hint="eastAsia" w:ascii="宋体" w:hAnsi="宋体" w:cs="宋体"/>
          <w:i w:val="0"/>
          <w:iCs w:val="0"/>
          <w:sz w:val="24"/>
          <w:szCs w:val="24"/>
          <w:lang w:val="en-US" w:eastAsia="zh-CN"/>
        </w:rPr>
        <w:t>6.</w:t>
      </w:r>
      <w:r>
        <w:rPr>
          <w:rFonts w:hint="eastAsia" w:ascii="宋体" w:hAnsi="宋体" w:eastAsia="宋体" w:cs="宋体"/>
          <w:i w:val="0"/>
          <w:iCs w:val="0"/>
          <w:sz w:val="24"/>
          <w:szCs w:val="24"/>
        </w:rPr>
        <w:t>合同履行期限：</w:t>
      </w:r>
      <w:r>
        <w:rPr>
          <w:rFonts w:hint="eastAsia" w:ascii="宋体" w:hAnsi="宋体" w:eastAsia="宋体" w:cs="宋体"/>
          <w:i w:val="0"/>
          <w:iCs w:val="0"/>
          <w:sz w:val="24"/>
          <w:szCs w:val="24"/>
          <w:u w:val="single"/>
          <w:lang w:val="en-US" w:eastAsia="zh-CN"/>
        </w:rPr>
        <w:t>一年；</w:t>
      </w:r>
    </w:p>
    <w:p>
      <w:pPr>
        <w:spacing w:line="240" w:lineRule="auto"/>
        <w:ind w:firstLine="480" w:firstLineChars="200"/>
        <w:rPr>
          <w:rFonts w:hint="eastAsia" w:ascii="宋体" w:hAnsi="宋体" w:eastAsia="宋体" w:cs="宋体"/>
          <w:sz w:val="28"/>
          <w:szCs w:val="28"/>
        </w:rPr>
      </w:pPr>
      <w:r>
        <w:rPr>
          <w:rFonts w:hint="eastAsia" w:ascii="宋体" w:hAnsi="宋体" w:cs="宋体"/>
          <w:i w:val="0"/>
          <w:iCs w:val="0"/>
          <w:sz w:val="24"/>
          <w:szCs w:val="24"/>
          <w:lang w:val="en-US" w:eastAsia="zh-CN"/>
        </w:rPr>
        <w:t>7.</w:t>
      </w: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接受联合体投标。</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34" w:name="_Toc35393791"/>
      <w:bookmarkStart w:id="35" w:name="_Toc35393622"/>
      <w:bookmarkStart w:id="36" w:name="_Toc28359080"/>
      <w:bookmarkStart w:id="37" w:name="_Toc28359003"/>
      <w:r>
        <w:rPr>
          <w:rFonts w:hint="eastAsia" w:ascii="宋体" w:hAnsi="宋体" w:eastAsia="宋体" w:cs="宋体"/>
          <w:b w:val="0"/>
          <w:sz w:val="28"/>
          <w:szCs w:val="28"/>
        </w:rPr>
        <w:t>二、申请人的资格要求：</w:t>
      </w:r>
      <w:bookmarkEnd w:id="34"/>
      <w:bookmarkEnd w:id="35"/>
      <w:bookmarkEnd w:id="36"/>
      <w:bookmarkEnd w:id="37"/>
    </w:p>
    <w:p>
      <w:pPr>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1.满足《中华人民共和国政府采购法》第二十二条规定；</w:t>
      </w:r>
    </w:p>
    <w:p>
      <w:pPr>
        <w:spacing w:line="240" w:lineRule="auto"/>
        <w:ind w:firstLine="480" w:firstLineChars="200"/>
        <w:rPr>
          <w:rFonts w:hint="eastAsia" w:ascii="宋体" w:hAnsi="宋体" w:eastAsia="宋体" w:cs="宋体"/>
          <w:i w:val="0"/>
          <w:iCs w:val="0"/>
          <w:sz w:val="24"/>
          <w:szCs w:val="24"/>
        </w:rPr>
      </w:pPr>
      <w:bookmarkStart w:id="38" w:name="_Toc28359081"/>
      <w:bookmarkStart w:id="39" w:name="_Toc28359004"/>
      <w:r>
        <w:rPr>
          <w:rFonts w:hint="eastAsia" w:ascii="宋体" w:hAnsi="宋体" w:eastAsia="宋体" w:cs="宋体"/>
          <w:i w:val="0"/>
          <w:iCs w:val="0"/>
          <w:sz w:val="24"/>
          <w:szCs w:val="24"/>
        </w:rPr>
        <w:t>2.落实政府采购政策需满足的资格要求：</w:t>
      </w:r>
      <w:r>
        <w:rPr>
          <w:rFonts w:hint="eastAsia" w:ascii="宋体" w:hAnsi="宋体" w:eastAsia="宋体" w:cs="宋体"/>
          <w:i w:val="0"/>
          <w:iCs w:val="0"/>
          <w:sz w:val="24"/>
          <w:szCs w:val="24"/>
          <w:u w:val="single"/>
        </w:rPr>
        <w:t>（如属于专门面向中小企业采购的项目,供应商应为中小微企业、监狱企业、残疾人福利性单位)</w:t>
      </w:r>
    </w:p>
    <w:p>
      <w:pPr>
        <w:snapToGrid w:val="0"/>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3.本项目的特定资格要求：</w:t>
      </w:r>
    </w:p>
    <w:p>
      <w:pPr>
        <w:snapToGrid w:val="0"/>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（1）具有独立承担民事责任的能力；</w:t>
      </w:r>
    </w:p>
    <w:p>
      <w:pPr>
        <w:snapToGrid w:val="0"/>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（2）具有良好的商业信誉和健全的财务会计制度；</w:t>
      </w:r>
    </w:p>
    <w:p>
      <w:pPr>
        <w:snapToGrid w:val="0"/>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（3）具有履行合同所必需的设备和专业技术能力；</w:t>
      </w:r>
    </w:p>
    <w:p>
      <w:pPr>
        <w:snapToGrid w:val="0"/>
        <w:spacing w:line="24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（4）有依法缴纳税收和社会保障资金的良好记录；</w:t>
      </w:r>
    </w:p>
    <w:p>
      <w:pPr>
        <w:snapToGrid w:val="0"/>
        <w:spacing w:line="240" w:lineRule="auto"/>
        <w:ind w:firstLine="480" w:firstLineChars="200"/>
        <w:rPr>
          <w:rFonts w:hint="eastAsia" w:ascii="宋体" w:hAnsi="宋体" w:eastAsia="宋体" w:cs="宋体"/>
          <w:sz w:val="28"/>
          <w:szCs w:val="28"/>
        </w:rPr>
      </w:pPr>
      <w:r>
        <w:rPr>
          <w:rFonts w:hint="eastAsia" w:ascii="宋体" w:hAnsi="宋体" w:eastAsia="宋体" w:cs="宋体"/>
          <w:i w:val="0"/>
          <w:iCs w:val="0"/>
          <w:sz w:val="24"/>
          <w:szCs w:val="24"/>
        </w:rPr>
        <w:t>（5）参加政府采购活动前三年内，在经营活动中没有重大违法记录；</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40" w:name="_Toc35393623"/>
      <w:bookmarkStart w:id="41" w:name="_Toc35393792"/>
      <w:r>
        <w:rPr>
          <w:rFonts w:hint="eastAsia" w:ascii="宋体" w:hAnsi="宋体" w:eastAsia="宋体" w:cs="宋体"/>
          <w:b w:val="0"/>
          <w:sz w:val="28"/>
          <w:szCs w:val="28"/>
        </w:rPr>
        <w:t>三、获取招标文件</w:t>
      </w:r>
      <w:bookmarkEnd w:id="38"/>
      <w:bookmarkEnd w:id="39"/>
      <w:bookmarkEnd w:id="40"/>
      <w:bookmarkEnd w:id="41"/>
    </w:p>
    <w:p>
      <w:pPr>
        <w:spacing w:line="240" w:lineRule="auto"/>
        <w:ind w:firstLine="54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时间：</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7</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7</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28</w:t>
      </w:r>
      <w:r>
        <w:rPr>
          <w:rFonts w:hint="eastAsia" w:ascii="宋体" w:hAnsi="宋体" w:eastAsia="宋体" w:cs="宋体"/>
          <w:sz w:val="24"/>
          <w:szCs w:val="24"/>
          <w:u w:val="single"/>
        </w:rPr>
        <w:t>日</w:t>
      </w:r>
      <w:r>
        <w:rPr>
          <w:rFonts w:hint="eastAsia" w:ascii="宋体" w:hAnsi="宋体" w:eastAsia="宋体" w:cs="宋体"/>
          <w:sz w:val="24"/>
          <w:szCs w:val="24"/>
        </w:rPr>
        <w:t>，每天上午</w:t>
      </w:r>
      <w:r>
        <w:rPr>
          <w:rFonts w:hint="eastAsia" w:ascii="宋体" w:hAnsi="宋体" w:eastAsia="宋体" w:cs="宋体"/>
          <w:sz w:val="24"/>
          <w:szCs w:val="24"/>
          <w:u w:val="single"/>
          <w:lang w:val="en-US" w:eastAsia="zh-CN"/>
        </w:rPr>
        <w:t>8:30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12:00</w:t>
      </w:r>
      <w:r>
        <w:rPr>
          <w:rFonts w:hint="eastAsia" w:ascii="宋体" w:hAnsi="宋体" w:eastAsia="宋体" w:cs="宋体"/>
          <w:sz w:val="24"/>
          <w:szCs w:val="24"/>
        </w:rPr>
        <w:t>，下午</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15:00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18:00</w:t>
      </w:r>
      <w:r>
        <w:rPr>
          <w:rFonts w:hint="eastAsia" w:ascii="宋体" w:hAnsi="宋体" w:eastAsia="宋体" w:cs="宋体"/>
          <w:sz w:val="24"/>
          <w:szCs w:val="24"/>
        </w:rPr>
        <w:t>（北京时间，法定节假日除外）</w:t>
      </w:r>
    </w:p>
    <w:p>
      <w:pPr>
        <w:spacing w:line="240" w:lineRule="auto"/>
        <w:ind w:firstLine="540"/>
        <w:rPr>
          <w:rFonts w:hint="eastAsia" w:ascii="宋体" w:hAnsi="宋体" w:eastAsia="宋体" w:cs="宋体"/>
          <w:sz w:val="24"/>
          <w:szCs w:val="24"/>
          <w:u w:val="single"/>
        </w:rPr>
      </w:pPr>
      <w:r>
        <w:rPr>
          <w:rFonts w:hint="eastAsia" w:ascii="宋体" w:hAnsi="宋体" w:cs="宋体"/>
          <w:sz w:val="24"/>
          <w:szCs w:val="24"/>
          <w:lang w:val="en-US" w:eastAsia="zh-CN"/>
        </w:rPr>
        <w:t>2.</w:t>
      </w:r>
      <w:r>
        <w:rPr>
          <w:rFonts w:hint="eastAsia" w:ascii="宋体" w:hAnsi="宋体" w:eastAsia="宋体" w:cs="宋体"/>
          <w:sz w:val="24"/>
          <w:szCs w:val="24"/>
        </w:rPr>
        <w:t>地点：</w:t>
      </w:r>
      <w:r>
        <w:rPr>
          <w:rFonts w:hint="eastAsia" w:ascii="宋体" w:hAnsi="宋体" w:eastAsia="宋体" w:cs="宋体"/>
          <w:sz w:val="24"/>
          <w:szCs w:val="24"/>
          <w:u w:val="single"/>
        </w:rPr>
        <w:t>浙江政府采购网（www.zjzfcg.gov.cn）</w:t>
      </w:r>
    </w:p>
    <w:p>
      <w:pPr>
        <w:spacing w:line="240" w:lineRule="auto"/>
        <w:ind w:firstLine="540"/>
        <w:rPr>
          <w:rFonts w:hint="eastAsia" w:ascii="宋体" w:hAnsi="宋体" w:eastAsia="宋体" w:cs="宋体"/>
          <w:sz w:val="24"/>
          <w:szCs w:val="24"/>
          <w:u w:val="single"/>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rPr>
        <w:t>方式：</w:t>
      </w:r>
      <w:r>
        <w:rPr>
          <w:rFonts w:hint="eastAsia" w:ascii="宋体" w:hAnsi="宋体" w:eastAsia="宋体" w:cs="宋体"/>
          <w:sz w:val="24"/>
          <w:szCs w:val="24"/>
          <w:u w:val="single"/>
          <w:lang w:val="en-US" w:eastAsia="zh-CN"/>
        </w:rPr>
        <w:t>网上下载</w:t>
      </w:r>
    </w:p>
    <w:p>
      <w:pPr>
        <w:spacing w:line="240" w:lineRule="auto"/>
        <w:ind w:firstLine="540"/>
        <w:rPr>
          <w:rFonts w:hint="eastAsia" w:ascii="宋体" w:hAnsi="宋体" w:eastAsia="宋体" w:cs="宋体"/>
          <w:sz w:val="28"/>
          <w:szCs w:val="28"/>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rPr>
        <w:t>售价：</w:t>
      </w:r>
      <w:r>
        <w:rPr>
          <w:rFonts w:hint="eastAsia" w:ascii="宋体" w:hAnsi="宋体" w:eastAsia="宋体" w:cs="宋体"/>
          <w:sz w:val="24"/>
          <w:szCs w:val="24"/>
          <w:lang w:val="en-US" w:eastAsia="zh-CN"/>
        </w:rPr>
        <w:t>/</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42" w:name="_Toc28359082"/>
      <w:bookmarkStart w:id="43" w:name="_Toc28359005"/>
      <w:bookmarkStart w:id="44" w:name="_Toc35393624"/>
      <w:bookmarkStart w:id="45" w:name="_Toc35393793"/>
      <w:r>
        <w:rPr>
          <w:rFonts w:hint="eastAsia" w:ascii="宋体" w:hAnsi="宋体" w:eastAsia="宋体" w:cs="宋体"/>
          <w:b w:val="0"/>
          <w:sz w:val="28"/>
          <w:szCs w:val="28"/>
        </w:rPr>
        <w:t>四、提交投标文件</w:t>
      </w:r>
      <w:bookmarkEnd w:id="42"/>
      <w:bookmarkEnd w:id="43"/>
      <w:r>
        <w:rPr>
          <w:rFonts w:hint="eastAsia" w:ascii="宋体" w:hAnsi="宋体" w:eastAsia="宋体" w:cs="宋体"/>
          <w:b w:val="0"/>
          <w:sz w:val="28"/>
          <w:szCs w:val="28"/>
        </w:rPr>
        <w:t>截止时间、开标时间和地点</w:t>
      </w:r>
      <w:bookmarkEnd w:id="44"/>
      <w:bookmarkEnd w:id="45"/>
    </w:p>
    <w:p>
      <w:pPr>
        <w:spacing w:line="240" w:lineRule="auto"/>
        <w:ind w:firstLine="480" w:firstLineChars="200"/>
        <w:rPr>
          <w:rFonts w:hint="eastAsia" w:ascii="宋体" w:hAnsi="宋体" w:eastAsia="宋体" w:cs="宋体"/>
          <w:bCs/>
          <w:sz w:val="24"/>
          <w:szCs w:val="24"/>
          <w:u w:val="single"/>
        </w:rPr>
      </w:pPr>
      <w:r>
        <w:rPr>
          <w:rFonts w:hint="eastAsia" w:ascii="宋体" w:hAnsi="宋体" w:cs="宋体"/>
          <w:bCs/>
          <w:sz w:val="24"/>
          <w:szCs w:val="24"/>
          <w:u w:val="none"/>
          <w:lang w:val="en-US" w:eastAsia="zh-CN"/>
        </w:rPr>
        <w:t>1.</w:t>
      </w:r>
      <w:r>
        <w:rPr>
          <w:rFonts w:hint="eastAsia" w:ascii="宋体" w:hAnsi="宋体" w:eastAsia="宋体" w:cs="宋体"/>
          <w:bCs/>
          <w:sz w:val="24"/>
          <w:szCs w:val="24"/>
          <w:u w:val="none"/>
          <w:lang w:val="en-US" w:eastAsia="zh-CN"/>
        </w:rPr>
        <w:t>投标截止时间：</w:t>
      </w:r>
      <w:r>
        <w:rPr>
          <w:rFonts w:hint="eastAsia" w:ascii="宋体" w:hAnsi="宋体" w:eastAsia="宋体" w:cs="宋体"/>
          <w:bCs/>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7</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28</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spacing w:line="240" w:lineRule="auto"/>
        <w:ind w:firstLine="480" w:firstLineChars="200"/>
        <w:rPr>
          <w:rFonts w:hint="eastAsia" w:ascii="宋体" w:hAnsi="宋体" w:eastAsia="宋体" w:cs="宋体"/>
          <w:sz w:val="24"/>
          <w:szCs w:val="24"/>
          <w:u w:val="single"/>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地点：</w:t>
      </w:r>
      <w:r>
        <w:rPr>
          <w:rFonts w:hint="eastAsia" w:ascii="宋体" w:hAnsi="宋体" w:eastAsia="宋体" w:cs="宋体"/>
          <w:sz w:val="24"/>
          <w:szCs w:val="24"/>
          <w:u w:val="single"/>
        </w:rPr>
        <w:t>龙泉市公共资源交易中心开标室（龙泉市贤良路333号行政中心西副楼四楼）</w:t>
      </w:r>
      <w:r>
        <w:rPr>
          <w:rFonts w:hint="eastAsia" w:ascii="宋体" w:hAnsi="宋体" w:eastAsia="宋体" w:cs="宋体"/>
          <w:sz w:val="24"/>
          <w:szCs w:val="24"/>
          <w:u w:val="single"/>
          <w:lang w:eastAsia="zh-CN"/>
        </w:rPr>
        <w:t>（投标人应于投标截止时间前将电子加密标书上传到政采云平台，逾期或未上传成功的将导致无法投标或投标无效。）</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u w:val="none"/>
          <w:lang w:val="en-US" w:eastAsia="zh-CN" w:bidi="ar-SA"/>
        </w:rPr>
        <w:t>备注：为确保采购项目顺利实施，避免因政采云上电子投标文件解密失败导致投标方投标无效，投标人方可在2020年7月28日09时30分前将在政采云平台上最后生成的具备电子签章的备份加密投标文件（文件名后缀为备份文件四字的首字母）以电子邮件方式传送至邮箱（553133954@qq.com），传送的备份电子投标文件需打包压缩并加密，加密密码由投标方自行保管，如政采云上电子投标文件出现解密失败情况（开标</w:t>
      </w:r>
      <w:r>
        <w:rPr>
          <w:rFonts w:hint="eastAsia" w:ascii="宋体" w:hAnsi="宋体" w:eastAsia="宋体" w:cs="宋体"/>
          <w:color w:val="auto"/>
          <w:kern w:val="2"/>
          <w:sz w:val="24"/>
          <w:szCs w:val="24"/>
          <w:u w:val="none"/>
          <w:lang w:val="en-US" w:eastAsia="zh-CN" w:bidi="ar-SA"/>
        </w:rPr>
        <w:t>当日9：30-10：</w:t>
      </w:r>
      <w:r>
        <w:rPr>
          <w:rFonts w:hint="eastAsia" w:ascii="宋体" w:hAnsi="宋体" w:eastAsia="宋体" w:cs="宋体"/>
          <w:color w:val="auto"/>
          <w:kern w:val="2"/>
          <w:sz w:val="24"/>
          <w:szCs w:val="24"/>
          <w:u w:val="none"/>
          <w:lang w:val="en-US" w:eastAsia="zh-CN" w:bidi="ar-SA"/>
        </w:rPr>
        <w:fldChar w:fldCharType="begin"/>
      </w:r>
      <w:r>
        <w:rPr>
          <w:rFonts w:hint="eastAsia" w:ascii="宋体" w:hAnsi="宋体" w:eastAsia="宋体" w:cs="宋体"/>
          <w:color w:val="auto"/>
          <w:kern w:val="2"/>
          <w:sz w:val="24"/>
          <w:szCs w:val="24"/>
          <w:u w:val="none"/>
          <w:lang w:val="en-US" w:eastAsia="zh-CN" w:bidi="ar-SA"/>
        </w:rPr>
        <w:instrText xml:space="preserve"> HYPERLINK "mailto:30期间进行解密），投标方可按照自身意愿确认是否同意提供加密密码解密传送至邮箱（553133954@qq.com）的备份文件，并以备份文件作为替代电子投标文件，如投标方未按照规定时间（2020年7月27日上午9时30分前）及要求提供有效备份文件，同时政采云上投标文件解密失败的，将导致投标无效。" </w:instrText>
      </w:r>
      <w:r>
        <w:rPr>
          <w:rFonts w:hint="eastAsia" w:ascii="宋体" w:hAnsi="宋体" w:eastAsia="宋体" w:cs="宋体"/>
          <w:color w:val="auto"/>
          <w:kern w:val="2"/>
          <w:sz w:val="24"/>
          <w:szCs w:val="24"/>
          <w:u w:val="none"/>
          <w:lang w:val="en-US" w:eastAsia="zh-CN" w:bidi="ar-SA"/>
        </w:rPr>
        <w:fldChar w:fldCharType="separate"/>
      </w:r>
      <w:r>
        <w:rPr>
          <w:rStyle w:val="47"/>
          <w:rFonts w:hint="eastAsia" w:ascii="宋体" w:hAnsi="宋体" w:eastAsia="宋体" w:cs="宋体"/>
          <w:color w:val="auto"/>
          <w:kern w:val="2"/>
          <w:sz w:val="24"/>
          <w:szCs w:val="24"/>
          <w:u w:val="none"/>
          <w:lang w:val="en-US" w:eastAsia="zh-CN" w:bidi="ar-SA"/>
        </w:rPr>
        <w:t>30期间进行解密），投标方可按照自身意愿确认是否同意提供加密密码解密传送至邮箱（553133954@qq.com）的备份文件，并以备份文件作为替代电子投标文件，如投标方未按照规定时间（2020年7月28日上午9时30分前）及要求提供有效备份文件，同时政采云上投标文件解密失败的，将导致投标无效。</w:t>
      </w:r>
      <w:r>
        <w:rPr>
          <w:rFonts w:hint="eastAsia" w:ascii="宋体" w:hAnsi="宋体" w:eastAsia="宋体" w:cs="宋体"/>
          <w:color w:val="auto"/>
          <w:kern w:val="2"/>
          <w:sz w:val="24"/>
          <w:szCs w:val="24"/>
          <w:u w:val="none"/>
          <w:lang w:val="en-US" w:eastAsia="zh-CN" w:bidi="ar-SA"/>
        </w:rPr>
        <w:fldChar w:fldCharType="end"/>
      </w:r>
    </w:p>
    <w:p>
      <w:pPr>
        <w:pStyle w:val="4"/>
        <w:spacing w:line="240" w:lineRule="auto"/>
        <w:ind w:left="0" w:leftChars="0" w:firstLine="240" w:firstLineChars="100"/>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投标方无需在开标当天到达开标现场对电子投标进行解密，可在公司办公场地在规定时间内对电子投标文件进行解密。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或采购代理机构提出质疑。质疑人对采购人、采购代理机构的答复不满意或者采购人、采购代理机构未在规定的时间内作出答复的，可以在答复期满后十五个工作日内向同级监督管理部门投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4.电子投标注意事项：</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4.1.请务必确保投标文件制作客户端为最新版本，旧版本可能导致投标文件解密失败。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4.2.请务必确保投标文件制作时所用的CA锁与投标文件解密时的CA锁为同一把，否则可能导致投标文件解密失败。</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default" w:eastAsia="宋体"/>
          <w:lang w:val="en-US" w:eastAsia="zh-CN"/>
        </w:rPr>
      </w:pPr>
      <w:r>
        <w:rPr>
          <w:rFonts w:hint="eastAsia" w:ascii="宋体" w:hAnsi="宋体" w:eastAsia="宋体" w:cs="宋体"/>
          <w:kern w:val="2"/>
          <w:sz w:val="24"/>
          <w:szCs w:val="24"/>
          <w:lang w:val="en-US" w:eastAsia="zh-CN" w:bidi="ar-SA"/>
        </w:rPr>
        <w:t>4.3.在投标文件解密前，请务必检验CA锁与所用电脑的兼容性，部分电脑因 CA 驱动未正常安装、USB接口兼容性差等原因可能造成投标文件解密失败。</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46" w:name="_Toc28359084"/>
      <w:bookmarkStart w:id="47" w:name="_Toc35393625"/>
      <w:bookmarkStart w:id="48" w:name="_Toc35393794"/>
      <w:bookmarkStart w:id="49" w:name="_Toc28359007"/>
      <w:r>
        <w:rPr>
          <w:rFonts w:hint="eastAsia" w:ascii="宋体" w:hAnsi="宋体" w:eastAsia="宋体" w:cs="宋体"/>
          <w:b w:val="0"/>
          <w:sz w:val="28"/>
          <w:szCs w:val="28"/>
        </w:rPr>
        <w:t>五、公告期限</w:t>
      </w:r>
      <w:bookmarkEnd w:id="46"/>
      <w:bookmarkEnd w:id="47"/>
      <w:bookmarkEnd w:id="48"/>
      <w:bookmarkEnd w:id="49"/>
    </w:p>
    <w:p>
      <w:pPr>
        <w:ind w:firstLine="480" w:firstLineChars="200"/>
        <w:rPr>
          <w:rFonts w:hint="eastAsia" w:ascii="宋体" w:hAnsi="宋体" w:eastAsia="宋体" w:cs="宋体"/>
          <w:kern w:val="0"/>
          <w:sz w:val="24"/>
          <w:szCs w:val="24"/>
        </w:rPr>
      </w:pPr>
      <w:r>
        <w:rPr>
          <w:rFonts w:hint="eastAsia" w:ascii="宋体" w:hAnsi="宋体" w:cs="宋体"/>
          <w:kern w:val="0"/>
          <w:sz w:val="24"/>
          <w:szCs w:val="24"/>
          <w:lang w:val="en-US" w:eastAsia="zh-CN"/>
        </w:rPr>
        <w:t>1.</w:t>
      </w:r>
      <w:r>
        <w:rPr>
          <w:rFonts w:hint="eastAsia" w:ascii="宋体" w:hAnsi="宋体" w:eastAsia="宋体" w:cs="宋体"/>
          <w:kern w:val="0"/>
          <w:sz w:val="24"/>
          <w:szCs w:val="24"/>
        </w:rPr>
        <w:t>自本公告发布之日起5个工作日。</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50" w:name="_Toc35393626"/>
      <w:bookmarkStart w:id="51" w:name="_Toc35393795"/>
      <w:r>
        <w:rPr>
          <w:rFonts w:hint="eastAsia" w:ascii="宋体" w:hAnsi="宋体" w:eastAsia="宋体" w:cs="宋体"/>
          <w:b w:val="0"/>
          <w:sz w:val="28"/>
          <w:szCs w:val="28"/>
        </w:rPr>
        <w:t>六、其他补充事宜</w:t>
      </w:r>
      <w:bookmarkEnd w:id="50"/>
      <w:bookmarkEnd w:id="51"/>
    </w:p>
    <w:p>
      <w:pPr>
        <w:pStyle w:val="226"/>
        <w:ind w:left="495" w:firstLine="0" w:firstLineChars="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本项目实行电子投标，应按照本项目招标文件和政采云平台的要求编制；投标人在使用系统进行投标的过程中遇到涉及平台使用的任何问题，可致电政采云平台技术支持热线咨询，联系方式：400-881-7190。</w:t>
      </w:r>
    </w:p>
    <w:p>
      <w:pPr>
        <w:pStyle w:val="226"/>
        <w:ind w:left="495" w:firstLine="0" w:firstLineChars="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投标人应在开标前完成CA数字证书办理（汇信和天谷CA已经互认，须注意CA锁有效期）。（办理流程详见http</w:t>
      </w:r>
      <w:r>
        <w:rPr>
          <w:rFonts w:hint="eastAsia" w:ascii="宋体" w:hAnsi="宋体" w:eastAsia="宋体" w:cs="宋体"/>
          <w:sz w:val="24"/>
          <w:szCs w:val="24"/>
          <w:lang w:eastAsia="zh-CN"/>
        </w:rPr>
        <w:t>：</w:t>
      </w:r>
      <w:r>
        <w:rPr>
          <w:rFonts w:hint="eastAsia" w:ascii="宋体" w:hAnsi="宋体" w:eastAsia="宋体" w:cs="宋体"/>
          <w:sz w:val="24"/>
          <w:szCs w:val="24"/>
        </w:rPr>
        <w:t>//www.zjzfcg.gov.cn/bidClientTemplate/2019-05-27/12945.html）。完成CA数字证书办理预计一周左右，建议各投标人抓紧时间办理，CA锁办理可联系CA锁公司客服400-881-7190。</w:t>
      </w:r>
    </w:p>
    <w:p>
      <w:pPr>
        <w:pStyle w:val="226"/>
        <w:ind w:left="495" w:firstLine="0" w:firstLineChars="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投标人通过政采云平台电子投标工具制作投标文件，电子投标工具请供应商自行前往浙江省政府采购网下载并安装，（下载网址：http</w:t>
      </w:r>
      <w:r>
        <w:rPr>
          <w:rFonts w:hint="eastAsia" w:ascii="宋体" w:hAnsi="宋体" w:eastAsia="宋体" w:cs="宋体"/>
          <w:sz w:val="24"/>
          <w:szCs w:val="24"/>
          <w:lang w:eastAsia="zh-CN"/>
        </w:rPr>
        <w:t>：</w:t>
      </w:r>
      <w:r>
        <w:rPr>
          <w:rFonts w:hint="eastAsia" w:ascii="宋体" w:hAnsi="宋体" w:eastAsia="宋体" w:cs="宋体"/>
          <w:sz w:val="24"/>
          <w:szCs w:val="24"/>
        </w:rPr>
        <w:t>//www.zjzfcg.gov.cn/download/index.html?_=1571637782379），项目采购电子招投标全流程操作指南详见网址：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"https://help.zcygov.cn/web/site_2/2018/12-28/2573.html" </w:instrText>
      </w:r>
      <w:r>
        <w:rPr>
          <w:rFonts w:hint="eastAsia" w:ascii="宋体" w:hAnsi="宋体" w:eastAsia="宋体" w:cs="宋体"/>
          <w:sz w:val="24"/>
          <w:szCs w:val="24"/>
        </w:rPr>
        <w:fldChar w:fldCharType="separate"/>
      </w:r>
      <w:r>
        <w:rPr>
          <w:rFonts w:hint="eastAsia" w:ascii="宋体" w:hAnsi="宋体" w:eastAsia="宋体" w:cs="宋体"/>
          <w:sz w:val="24"/>
          <w:szCs w:val="24"/>
        </w:rPr>
        <w:t>https</w:t>
      </w:r>
      <w:r>
        <w:rPr>
          <w:rFonts w:hint="eastAsia" w:ascii="宋体" w:hAnsi="宋体" w:eastAsia="宋体" w:cs="宋体"/>
          <w:sz w:val="24"/>
          <w:szCs w:val="24"/>
          <w:lang w:eastAsia="zh-CN"/>
        </w:rPr>
        <w:t>：</w:t>
      </w:r>
      <w:r>
        <w:rPr>
          <w:rFonts w:hint="eastAsia" w:ascii="宋体" w:hAnsi="宋体" w:eastAsia="宋体" w:cs="宋体"/>
          <w:sz w:val="24"/>
          <w:szCs w:val="24"/>
        </w:rPr>
        <w:t>//help.zcygov.cn/web/site_2/2018/12-28/2573.html</w:t>
      </w:r>
      <w:r>
        <w:rPr>
          <w:rFonts w:hint="eastAsia" w:ascii="宋体" w:hAnsi="宋体" w:eastAsia="宋体" w:cs="宋体"/>
          <w:sz w:val="24"/>
          <w:szCs w:val="24"/>
        </w:rPr>
        <w:fldChar w:fldCharType="end"/>
      </w:r>
    </w:p>
    <w:p>
      <w:pPr>
        <w:pStyle w:val="226"/>
        <w:ind w:left="495" w:firstLine="0" w:firstLineChars="0"/>
        <w:rPr>
          <w:rFonts w:hint="eastAsia" w:ascii="宋体" w:hAnsi="宋体" w:eastAsia="宋体" w:cs="宋体"/>
          <w:sz w:val="24"/>
          <w:szCs w:val="24"/>
        </w:rPr>
      </w:pPr>
      <w:r>
        <w:rPr>
          <w:rFonts w:hint="eastAsia" w:ascii="宋体" w:hAnsi="宋体" w:eastAsia="宋体" w:cs="宋体"/>
          <w:sz w:val="24"/>
          <w:szCs w:val="24"/>
        </w:rPr>
        <w:t>投标客户端下载网址已更新，请各供应商务必下载最新版本制作投标文件.</w:t>
      </w:r>
    </w:p>
    <w:p>
      <w:pPr>
        <w:pStyle w:val="226"/>
        <w:ind w:left="495" w:firstLine="0" w:firstLineChars="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招标文件获取：</w:t>
      </w:r>
    </w:p>
    <w:p>
      <w:pPr>
        <w:pStyle w:val="226"/>
        <w:ind w:left="495" w:firstLine="0" w:firstLineChars="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1. 获取招标文件时间：公告发布之日起至投标文件截止时间前；</w:t>
      </w:r>
    </w:p>
    <w:p>
      <w:pPr>
        <w:pStyle w:val="226"/>
        <w:ind w:left="495" w:firstLine="0" w:firstLineChars="0"/>
        <w:rPr>
          <w:rFonts w:hint="eastAsia" w:ascii="宋体" w:hAnsi="宋体" w:eastAsia="宋体" w:cs="宋体"/>
          <w:sz w:val="28"/>
          <w:szCs w:val="28"/>
        </w:rPr>
      </w:pPr>
      <w:r>
        <w:rPr>
          <w:rFonts w:hint="eastAsia" w:ascii="宋体" w:hAnsi="宋体" w:cs="宋体"/>
          <w:sz w:val="24"/>
          <w:szCs w:val="24"/>
          <w:lang w:val="en-US" w:eastAsia="zh-CN"/>
        </w:rPr>
        <w:t>4.</w:t>
      </w:r>
      <w:r>
        <w:rPr>
          <w:rFonts w:hint="eastAsia" w:ascii="宋体" w:hAnsi="宋体" w:eastAsia="宋体" w:cs="宋体"/>
          <w:sz w:val="24"/>
          <w:szCs w:val="24"/>
        </w:rPr>
        <w:t>2. 已注册政采云平台的投标人可登陆平台，申请获取采购文件（在工作台“项目采购-获取采购文件”处）；未在政采云平台注册的投标人可以登录</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"https://middle.zcygov.cn/settle-front/" \l "/registry" </w:instrText>
      </w:r>
      <w:r>
        <w:rPr>
          <w:rFonts w:hint="eastAsia" w:ascii="宋体" w:hAnsi="宋体" w:eastAsia="宋体" w:cs="宋体"/>
          <w:sz w:val="24"/>
          <w:szCs w:val="24"/>
        </w:rPr>
        <w:fldChar w:fldCharType="separate"/>
      </w:r>
      <w:r>
        <w:rPr>
          <w:rFonts w:hint="eastAsia" w:ascii="宋体" w:hAnsi="宋体" w:eastAsia="宋体" w:cs="宋体"/>
          <w:sz w:val="24"/>
          <w:szCs w:val="24"/>
        </w:rPr>
        <w:t>https</w:t>
      </w:r>
      <w:r>
        <w:rPr>
          <w:rFonts w:hint="eastAsia" w:ascii="宋体" w:hAnsi="宋体" w:eastAsia="宋体" w:cs="宋体"/>
          <w:sz w:val="24"/>
          <w:szCs w:val="24"/>
          <w:lang w:eastAsia="zh-CN"/>
        </w:rPr>
        <w:t>：</w:t>
      </w:r>
      <w:r>
        <w:rPr>
          <w:rFonts w:hint="eastAsia" w:ascii="宋体" w:hAnsi="宋体" w:eastAsia="宋体" w:cs="宋体"/>
          <w:sz w:val="24"/>
          <w:szCs w:val="24"/>
        </w:rPr>
        <w:t>//middle.zcygov.cn/settle-front/#/registry</w:t>
      </w:r>
      <w:r>
        <w:rPr>
          <w:rFonts w:hint="eastAsia" w:ascii="宋体" w:hAnsi="宋体" w:eastAsia="宋体" w:cs="宋体"/>
          <w:sz w:val="24"/>
          <w:szCs w:val="24"/>
        </w:rPr>
        <w:fldChar w:fldCharType="end"/>
      </w:r>
      <w:r>
        <w:rPr>
          <w:rFonts w:hint="eastAsia" w:ascii="宋体" w:hAnsi="宋体" w:eastAsia="宋体" w:cs="宋体"/>
          <w:sz w:val="24"/>
          <w:szCs w:val="24"/>
        </w:rPr>
        <w:t>申请注册。</w:t>
      </w:r>
    </w:p>
    <w:p>
      <w:pPr>
        <w:pStyle w:val="6"/>
        <w:keepNext/>
        <w:keepLines/>
        <w:pageBreakBefore w:val="0"/>
        <w:widowControl w:val="0"/>
        <w:kinsoku/>
        <w:wordWrap/>
        <w:overflowPunct/>
        <w:topLinePunct w:val="0"/>
        <w:autoSpaceDE/>
        <w:autoSpaceDN/>
        <w:bidi w:val="0"/>
        <w:adjustRightInd/>
        <w:snapToGrid/>
        <w:spacing w:before="60" w:after="60" w:line="240" w:lineRule="auto"/>
        <w:jc w:val="left"/>
        <w:textAlignment w:val="auto"/>
        <w:rPr>
          <w:rFonts w:hint="eastAsia" w:ascii="宋体" w:hAnsi="宋体" w:eastAsia="宋体" w:cs="宋体"/>
          <w:b w:val="0"/>
          <w:sz w:val="28"/>
          <w:szCs w:val="28"/>
        </w:rPr>
      </w:pPr>
      <w:bookmarkStart w:id="52" w:name="_Toc28359008"/>
      <w:bookmarkStart w:id="53" w:name="_Toc35393627"/>
      <w:bookmarkStart w:id="54" w:name="_Toc28359085"/>
      <w:bookmarkStart w:id="55" w:name="_Toc35393796"/>
      <w:r>
        <w:rPr>
          <w:rFonts w:hint="eastAsia" w:ascii="宋体" w:hAnsi="宋体" w:eastAsia="宋体" w:cs="宋体"/>
          <w:b w:val="0"/>
          <w:sz w:val="28"/>
          <w:szCs w:val="28"/>
        </w:rPr>
        <w:t>七、对本次招标提出询问，请按以下方式联系。</w:t>
      </w:r>
      <w:bookmarkEnd w:id="52"/>
      <w:bookmarkEnd w:id="53"/>
      <w:bookmarkEnd w:id="54"/>
      <w:bookmarkEnd w:id="55"/>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1.采购人信息</w:t>
      </w:r>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名 </w:t>
      </w:r>
      <w:r>
        <w:rPr>
          <w:rFonts w:hint="eastAsia" w:hAnsi="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u w:val="single"/>
          <w:lang w:val="en-US" w:eastAsia="zh-CN"/>
        </w:rPr>
        <w:t>龙泉市塔石工农业综合开发有限公司</w:t>
      </w:r>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w:t>
      </w:r>
      <w:r>
        <w:rPr>
          <w:rFonts w:hint="eastAsia" w:hAnsi="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lang w:val="en-US" w:eastAsia="zh-CN"/>
        </w:rPr>
        <w:t>龙泉市塔石街道</w:t>
      </w:r>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联系方式：</w:t>
      </w:r>
      <w:bookmarkStart w:id="56" w:name="_Toc28359086"/>
      <w:bookmarkStart w:id="57" w:name="_Toc28359009"/>
      <w:r>
        <w:rPr>
          <w:rFonts w:hint="eastAsia" w:ascii="宋体" w:hAnsi="宋体" w:eastAsia="宋体" w:cs="宋体"/>
          <w:sz w:val="24"/>
          <w:szCs w:val="24"/>
          <w:u w:val="single"/>
          <w:lang w:val="en-US" w:eastAsia="zh-CN"/>
        </w:rPr>
        <w:t>李先生  0578-7751131</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2.采购代理机构信息</w:t>
      </w:r>
      <w:bookmarkEnd w:id="56"/>
      <w:bookmarkEnd w:id="57"/>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名</w:t>
      </w:r>
      <w:r>
        <w:rPr>
          <w:rFonts w:hint="eastAsia" w:hAnsi="宋体" w:cs="宋体"/>
          <w:sz w:val="24"/>
          <w:szCs w:val="24"/>
          <w:lang w:val="en-US" w:eastAsia="zh-CN"/>
        </w:rPr>
        <w:t xml:space="preserve">   </w:t>
      </w:r>
      <w:r>
        <w:rPr>
          <w:rFonts w:hint="eastAsia" w:ascii="宋体" w:hAnsi="宋体" w:eastAsia="宋体" w:cs="宋体"/>
          <w:sz w:val="24"/>
          <w:szCs w:val="24"/>
        </w:rPr>
        <w:t xml:space="preserve"> 称：</w:t>
      </w:r>
      <w:r>
        <w:rPr>
          <w:rFonts w:hint="eastAsia" w:ascii="宋体" w:hAnsi="宋体" w:eastAsia="宋体" w:cs="宋体"/>
          <w:sz w:val="24"/>
          <w:szCs w:val="24"/>
          <w:u w:val="single"/>
          <w:lang w:val="en-US" w:eastAsia="zh-CN"/>
        </w:rPr>
        <w:t>丽水市中兴工程咨询有限公司</w:t>
      </w:r>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　</w:t>
      </w:r>
      <w:r>
        <w:rPr>
          <w:rFonts w:hint="eastAsia" w:hAnsi="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lang w:val="en-US" w:eastAsia="zh-CN"/>
        </w:rPr>
        <w:t>龙泉市华楼街268号财富大厦501室</w:t>
      </w:r>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联系方式：</w:t>
      </w:r>
      <w:bookmarkStart w:id="58" w:name="_Toc28359087"/>
      <w:bookmarkStart w:id="59" w:name="_Toc28359010"/>
      <w:r>
        <w:rPr>
          <w:rFonts w:hint="eastAsia" w:ascii="宋体" w:hAnsi="宋体" w:eastAsia="宋体" w:cs="宋体"/>
          <w:sz w:val="24"/>
          <w:szCs w:val="24"/>
          <w:u w:val="single"/>
          <w:lang w:val="en-US" w:eastAsia="zh-CN"/>
        </w:rPr>
        <w:t>钟刘俊  0578-7218377</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58"/>
      <w:bookmarkEnd w:id="59"/>
    </w:p>
    <w:p>
      <w:pPr>
        <w:pStyle w:val="23"/>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u w:val="single"/>
          <w:lang w:val="en-US" w:eastAsia="zh-CN"/>
        </w:rPr>
        <w:t>李先生</w:t>
      </w:r>
    </w:p>
    <w:p>
      <w:pPr>
        <w:pStyle w:val="23"/>
        <w:spacing w:line="360" w:lineRule="auto"/>
        <w:ind w:firstLine="720" w:firstLineChars="300"/>
        <w:rPr>
          <w:rFonts w:hint="eastAsia" w:ascii="宋体" w:hAnsi="宋体" w:eastAsia="宋体" w:cs="宋体"/>
          <w:kern w:val="2"/>
          <w:sz w:val="24"/>
          <w:szCs w:val="24"/>
          <w:u w:val="single"/>
          <w:lang w:val="en-US" w:eastAsia="zh-CN" w:bidi="ar-SA"/>
        </w:rPr>
      </w:pPr>
      <w:r>
        <w:rPr>
          <w:rFonts w:hint="eastAsia" w:ascii="宋体" w:hAnsi="宋体" w:eastAsia="宋体" w:cs="宋体"/>
          <w:sz w:val="24"/>
          <w:szCs w:val="24"/>
        </w:rPr>
        <w:t>电　</w:t>
      </w:r>
      <w:r>
        <w:rPr>
          <w:rFonts w:hint="eastAsia" w:hAnsi="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kern w:val="2"/>
          <w:sz w:val="24"/>
          <w:szCs w:val="24"/>
          <w:u w:val="single"/>
          <w:lang w:val="en-US" w:eastAsia="zh-CN" w:bidi="ar-SA"/>
        </w:rPr>
        <w:t>0578-7751131</w:t>
      </w:r>
    </w:p>
    <w:p>
      <w:pPr>
        <w:pStyle w:val="38"/>
        <w:spacing w:before="0" w:after="0" w:line="400" w:lineRule="exact"/>
        <w:jc w:val="both"/>
        <w:rPr>
          <w:rFonts w:hint="eastAsia" w:ascii="宋体" w:hAnsi="宋体" w:eastAsia="宋体" w:cs="宋体"/>
          <w:color w:val="auto"/>
          <w:sz w:val="21"/>
          <w:szCs w:val="21"/>
        </w:rPr>
        <w:sectPr>
          <w:headerReference r:id="rId13" w:type="first"/>
          <w:footerReference r:id="rId15" w:type="first"/>
          <w:footerReference r:id="rId14" w:type="default"/>
          <w:type w:val="continuous"/>
          <w:pgSz w:w="11906" w:h="16838"/>
          <w:pgMar w:top="1440" w:right="1800" w:bottom="1440" w:left="1800" w:header="851" w:footer="1134" w:gutter="0"/>
          <w:pgBorders>
            <w:top w:val="none" w:sz="0" w:space="0"/>
            <w:left w:val="none" w:sz="0" w:space="0"/>
            <w:bottom w:val="none" w:sz="0" w:space="0"/>
            <w:right w:val="none" w:sz="0" w:space="0"/>
          </w:pgBorders>
          <w:pgNumType w:fmt="decimal" w:start="1"/>
          <w:cols w:space="0" w:num="1"/>
          <w:titlePg/>
          <w:docGrid w:linePitch="312" w:charSpace="0"/>
        </w:sectPr>
      </w:pPr>
    </w:p>
    <w:bookmarkEnd w:id="23"/>
    <w:bookmarkEnd w:id="24"/>
    <w:bookmarkEnd w:id="25"/>
    <w:p>
      <w:pPr>
        <w:pStyle w:val="6"/>
        <w:spacing w:before="0" w:after="0" w:line="340" w:lineRule="exact"/>
        <w:ind w:firstLine="723" w:firstLineChars="200"/>
        <w:rPr>
          <w:rFonts w:hint="eastAsia" w:ascii="宋体" w:hAnsi="宋体" w:eastAsia="宋体" w:cs="宋体"/>
          <w:color w:val="auto"/>
        </w:rPr>
      </w:pPr>
      <w:bookmarkStart w:id="60" w:name="_Toc3701"/>
      <w:bookmarkStart w:id="61" w:name="_Toc1195"/>
      <w:bookmarkStart w:id="62" w:name="_Toc18792"/>
      <w:bookmarkStart w:id="63" w:name="EB4c7125c6dc654ed08b5f32dccfe34746"/>
      <w:bookmarkStart w:id="64" w:name="_Toc1006"/>
      <w:bookmarkStart w:id="65" w:name="_Toc409683143"/>
      <w:bookmarkStart w:id="66" w:name="_Toc517793541"/>
      <w:bookmarkStart w:id="67" w:name="_Toc471315194"/>
      <w:r>
        <w:rPr>
          <w:rFonts w:hint="eastAsia" w:ascii="宋体" w:hAnsi="宋体" w:eastAsia="宋体" w:cs="宋体"/>
          <w:color w:val="auto"/>
        </w:rPr>
        <w:t>第二章投标人须知</w:t>
      </w:r>
      <w:bookmarkEnd w:id="60"/>
      <w:bookmarkEnd w:id="61"/>
    </w:p>
    <w:p>
      <w:pPr>
        <w:pStyle w:val="6"/>
        <w:spacing w:before="0" w:after="0" w:line="340" w:lineRule="exact"/>
        <w:ind w:firstLine="723" w:firstLineChars="200"/>
        <w:jc w:val="left"/>
        <w:rPr>
          <w:rFonts w:hint="eastAsia" w:ascii="宋体" w:hAnsi="宋体" w:eastAsia="宋体" w:cs="宋体"/>
          <w:color w:val="auto"/>
        </w:rPr>
      </w:pPr>
      <w:bookmarkStart w:id="68" w:name="_Toc13252"/>
      <w:r>
        <w:rPr>
          <w:rFonts w:hint="eastAsia" w:ascii="宋体" w:hAnsi="宋体" w:eastAsia="宋体" w:cs="宋体"/>
          <w:color w:val="auto"/>
        </w:rPr>
        <w:t>前附表</w:t>
      </w:r>
      <w:bookmarkEnd w:id="62"/>
      <w:bookmarkEnd w:id="68"/>
    </w:p>
    <w:tbl>
      <w:tblPr>
        <w:tblStyle w:val="41"/>
        <w:tblW w:w="9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187"/>
        <w:gridCol w:w="1973"/>
        <w:gridCol w:w="1262"/>
        <w:gridCol w:w="37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635" w:type="dxa"/>
            <w:tcBorders>
              <w:top w:val="double" w:color="auto" w:sz="4" w:space="0"/>
              <w:left w:val="doub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
                <w:bCs/>
                <w:snapToGrid w:val="0"/>
                <w:color w:val="auto"/>
                <w:szCs w:val="21"/>
              </w:rPr>
            </w:pPr>
            <w:r>
              <w:rPr>
                <w:rFonts w:hint="eastAsia" w:ascii="宋体" w:hAnsi="宋体" w:eastAsia="宋体" w:cs="宋体"/>
                <w:b/>
                <w:bCs/>
                <w:snapToGrid w:val="0"/>
                <w:color w:val="auto"/>
                <w:szCs w:val="21"/>
                <w:highlight w:val="white"/>
              </w:rPr>
              <w:t>序号</w:t>
            </w:r>
          </w:p>
        </w:tc>
        <w:tc>
          <w:tcPr>
            <w:tcW w:w="2187" w:type="dxa"/>
            <w:tcBorders>
              <w:top w:val="double" w:color="auto" w:sz="4" w:space="0"/>
              <w:left w:val="single" w:color="auto" w:sz="4" w:space="0"/>
              <w:bottom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highlight w:val="white"/>
              </w:rPr>
              <w:t>须知项目</w:t>
            </w:r>
          </w:p>
        </w:tc>
        <w:tc>
          <w:tcPr>
            <w:tcW w:w="7011" w:type="dxa"/>
            <w:gridSpan w:val="3"/>
            <w:tcBorders>
              <w:top w:val="double" w:color="auto" w:sz="4" w:space="0"/>
              <w:bottom w:val="single" w:color="auto" w:sz="4" w:space="0"/>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highlight w:val="white"/>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top w:val="single" w:color="auto" w:sz="4" w:space="0"/>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1</w:t>
            </w:r>
          </w:p>
        </w:tc>
        <w:tc>
          <w:tcPr>
            <w:tcW w:w="2187" w:type="dxa"/>
            <w:tcBorders>
              <w:top w:val="single" w:color="auto" w:sz="4" w:space="0"/>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项目名称</w:t>
            </w:r>
          </w:p>
        </w:tc>
        <w:tc>
          <w:tcPr>
            <w:tcW w:w="7011" w:type="dxa"/>
            <w:gridSpan w:val="3"/>
            <w:tcBorders>
              <w:top w:val="single" w:color="auto" w:sz="4" w:space="0"/>
              <w:right w:val="doub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Cs w:val="21"/>
                <w:lang w:eastAsia="zh-CN"/>
              </w:rPr>
            </w:pPr>
            <w:r>
              <w:rPr>
                <w:rFonts w:hint="eastAsia" w:ascii="宋体" w:hAnsi="宋体" w:cs="宋体"/>
                <w:color w:val="auto"/>
                <w:szCs w:val="21"/>
                <w:lang w:eastAsia="zh-CN"/>
              </w:rPr>
              <w:t>龙泉市塔石金岗工业园区废水处理厂委托运营采购项目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2</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采购人</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szCs w:val="21"/>
                <w:lang w:eastAsia="zh-CN"/>
              </w:rPr>
            </w:pPr>
            <w:r>
              <w:rPr>
                <w:rFonts w:hint="eastAsia" w:ascii="宋体" w:hAnsi="宋体" w:eastAsia="宋体" w:cs="宋体"/>
                <w:color w:val="auto"/>
                <w:szCs w:val="21"/>
                <w:lang w:eastAsia="zh-CN"/>
              </w:rPr>
              <w:t>龙泉市塔石工农业综合开发有限公司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3</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采购代理机构</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丽水市中兴工程咨询有限公司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4</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采购人式</w:t>
            </w:r>
          </w:p>
        </w:tc>
        <w:tc>
          <w:tcPr>
            <w:tcW w:w="1973" w:type="dxa"/>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color w:val="auto"/>
                <w:szCs w:val="21"/>
              </w:rPr>
            </w:pPr>
            <w:r>
              <w:rPr>
                <w:rFonts w:hint="eastAsia" w:ascii="宋体" w:hAnsi="宋体" w:eastAsia="宋体" w:cs="宋体"/>
                <w:bCs/>
                <w:color w:val="auto"/>
                <w:szCs w:val="21"/>
              </w:rPr>
              <w:t>公开招标</w:t>
            </w:r>
          </w:p>
        </w:tc>
        <w:tc>
          <w:tcPr>
            <w:tcW w:w="1262" w:type="dxa"/>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
                <w:bCs/>
                <w:color w:val="auto"/>
                <w:szCs w:val="21"/>
              </w:rPr>
            </w:pPr>
            <w:r>
              <w:rPr>
                <w:rFonts w:hint="eastAsia" w:ascii="宋体" w:hAnsi="宋体" w:eastAsia="宋体" w:cs="宋体"/>
                <w:b/>
                <w:bCs/>
                <w:color w:val="auto"/>
                <w:szCs w:val="21"/>
              </w:rPr>
              <w:t>组织方式</w:t>
            </w:r>
          </w:p>
        </w:tc>
        <w:tc>
          <w:tcPr>
            <w:tcW w:w="3776" w:type="dxa"/>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szCs w:val="21"/>
              </w:rPr>
            </w:pPr>
            <w:r>
              <w:rPr>
                <w:rFonts w:hint="eastAsia" w:ascii="宋体" w:hAnsi="宋体" w:eastAsia="宋体" w:cs="宋体"/>
                <w:bCs/>
                <w:color w:val="auto"/>
                <w:szCs w:val="21"/>
              </w:rPr>
              <w:t>分散采购委托代理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5</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Cs/>
                <w:snapToGrid w:val="0"/>
                <w:color w:val="auto"/>
                <w:szCs w:val="21"/>
              </w:rPr>
            </w:pPr>
            <w:r>
              <w:rPr>
                <w:rFonts w:hint="eastAsia" w:ascii="宋体" w:hAnsi="宋体" w:eastAsia="宋体" w:cs="宋体"/>
                <w:color w:val="auto"/>
              </w:rPr>
              <w:t>投标单位资格要求</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Cs/>
                <w:snapToGrid w:val="0"/>
                <w:color w:val="auto"/>
                <w:szCs w:val="21"/>
              </w:rPr>
            </w:pPr>
            <w:r>
              <w:rPr>
                <w:rFonts w:hint="eastAsia" w:ascii="宋体" w:hAnsi="宋体" w:eastAsia="宋体" w:cs="宋体"/>
                <w:color w:val="auto"/>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6</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投标有效期</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提交投标文件的截止之日起90天内有效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1"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9</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color w:val="auto"/>
                <w:szCs w:val="21"/>
              </w:rPr>
            </w:pPr>
            <w:r>
              <w:rPr>
                <w:rFonts w:hint="eastAsia" w:ascii="宋体" w:hAnsi="宋体" w:eastAsia="宋体" w:cs="宋体"/>
                <w:bCs/>
                <w:color w:val="auto"/>
                <w:szCs w:val="21"/>
                <w:highlight w:val="white"/>
              </w:rPr>
              <w:t>招标文件质疑</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spacing w:line="320" w:lineRule="exact"/>
              <w:textAlignment w:val="auto"/>
              <w:rPr>
                <w:rFonts w:hint="eastAsia" w:ascii="宋体" w:hAnsi="宋体" w:eastAsia="宋体" w:cs="宋体"/>
                <w:bCs/>
                <w:color w:val="auto"/>
                <w:szCs w:val="21"/>
              </w:rPr>
            </w:pPr>
            <w:r>
              <w:rPr>
                <w:rFonts w:hint="eastAsia" w:ascii="宋体" w:hAnsi="宋体" w:eastAsia="宋体" w:cs="宋体"/>
                <w:color w:val="auto"/>
                <w:szCs w:val="21"/>
              </w:rPr>
              <w:t>自获取采购文件之日（获取截止日之后获取采购文件的，以获取截止日为准）或者采购文件公告期限届满之日（招标公告届满日为公告发布后的第6个工作日）起7个工作日内，以书面形式向采购人和采购代理机构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10</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rPr>
            </w:pPr>
            <w:r>
              <w:rPr>
                <w:rFonts w:hint="eastAsia" w:ascii="宋体" w:hAnsi="宋体" w:eastAsia="宋体" w:cs="宋体"/>
                <w:color w:val="auto"/>
                <w:szCs w:val="21"/>
              </w:rPr>
              <w:t>招标文件澄清或修改时间</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snapToGrid w:val="0"/>
                <w:color w:val="auto"/>
                <w:szCs w:val="21"/>
              </w:rPr>
            </w:pPr>
            <w:r>
              <w:rPr>
                <w:rFonts w:hint="eastAsia" w:ascii="宋体" w:hAnsi="宋体" w:eastAsia="宋体" w:cs="宋体"/>
                <w:color w:val="auto"/>
                <w:szCs w:val="21"/>
              </w:rPr>
              <w:t>投标截止时间15天前。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lang w:eastAsia="zh-CN"/>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1</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rPr>
              <w:t>履约保证金交纳方式</w:t>
            </w:r>
          </w:p>
        </w:tc>
        <w:tc>
          <w:tcPr>
            <w:tcW w:w="7011" w:type="dxa"/>
            <w:gridSpan w:val="3"/>
            <w:tcBorders>
              <w:right w:val="double" w:color="auto" w:sz="4" w:space="0"/>
            </w:tcBorders>
            <w:noWrap/>
            <w:vAlign w:val="top"/>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
                <w:bCs/>
                <w:color w:val="auto"/>
                <w:szCs w:val="21"/>
                <w:lang w:eastAsia="zh-CN"/>
              </w:rPr>
            </w:pPr>
            <w:r>
              <w:rPr>
                <w:rFonts w:hint="eastAsia" w:ascii="宋体" w:hAnsi="宋体" w:eastAsia="宋体" w:cs="宋体"/>
                <w:b/>
                <w:bCs/>
                <w:color w:val="auto"/>
                <w:szCs w:val="21"/>
              </w:rPr>
              <w:t>履约保证金：</w:t>
            </w:r>
            <w:r>
              <w:rPr>
                <w:rFonts w:hint="eastAsia" w:ascii="宋体" w:hAnsi="宋体" w:cs="宋体"/>
                <w:b/>
                <w:bCs/>
                <w:color w:val="auto"/>
                <w:szCs w:val="21"/>
                <w:u w:val="single"/>
                <w:lang w:val="en-US" w:eastAsia="zh-CN"/>
              </w:rPr>
              <w:t>肆拾五万元整。</w:t>
            </w:r>
          </w:p>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
                <w:bCs/>
                <w:color w:val="auto"/>
                <w:szCs w:val="21"/>
              </w:rPr>
            </w:pPr>
            <w:r>
              <w:rPr>
                <w:rFonts w:hint="eastAsia" w:ascii="宋体" w:hAnsi="宋体" w:eastAsia="宋体" w:cs="宋体"/>
                <w:b/>
                <w:bCs/>
                <w:color w:val="auto"/>
                <w:szCs w:val="21"/>
              </w:rPr>
              <w:t>履约保证金交纳截止时间：</w:t>
            </w:r>
            <w:r>
              <w:rPr>
                <w:rFonts w:hint="eastAsia" w:ascii="宋体" w:hAnsi="宋体" w:eastAsia="宋体" w:cs="宋体"/>
                <w:b/>
                <w:bCs/>
                <w:color w:val="auto"/>
                <w:szCs w:val="21"/>
                <w:u w:val="single"/>
                <w:lang w:val="en-US" w:eastAsia="zh-CN"/>
              </w:rPr>
              <w:t>签订合同之前</w:t>
            </w:r>
            <w:r>
              <w:rPr>
                <w:rFonts w:hint="eastAsia" w:ascii="宋体" w:hAnsi="宋体" w:cs="宋体"/>
                <w:b/>
                <w:bCs/>
                <w:color w:val="auto"/>
                <w:szCs w:val="21"/>
                <w:u w:val="single"/>
                <w:lang w:val="en-US" w:eastAsia="zh-CN"/>
              </w:rPr>
              <w:t>。</w:t>
            </w:r>
          </w:p>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
                <w:bCs/>
                <w:color w:val="auto"/>
                <w:szCs w:val="21"/>
              </w:rPr>
            </w:pPr>
            <w:r>
              <w:rPr>
                <w:rFonts w:hint="eastAsia" w:ascii="宋体" w:hAnsi="宋体" w:cs="宋体"/>
                <w:b/>
                <w:bCs/>
                <w:color w:val="auto"/>
                <w:szCs w:val="21"/>
                <w:lang w:val="en-US" w:eastAsia="zh-CN"/>
              </w:rPr>
              <w:t>交纳方式：</w:t>
            </w:r>
            <w:r>
              <w:rPr>
                <w:rFonts w:hint="eastAsia" w:ascii="宋体" w:hAnsi="宋体" w:cs="宋体"/>
                <w:b/>
                <w:bCs/>
                <w:color w:val="auto"/>
                <w:szCs w:val="21"/>
                <w:u w:val="single"/>
                <w:lang w:val="en-US" w:eastAsia="zh-CN"/>
              </w:rPr>
              <w:t>通</w:t>
            </w:r>
            <w:r>
              <w:rPr>
                <w:rFonts w:hint="eastAsia" w:ascii="宋体" w:hAnsi="宋体" w:eastAsia="宋体" w:cs="宋体"/>
                <w:b/>
                <w:bCs/>
                <w:color w:val="auto"/>
                <w:szCs w:val="21"/>
                <w:u w:val="single"/>
                <w:lang w:val="en-US" w:eastAsia="zh-CN"/>
              </w:rPr>
              <w:t>过银行转账或者现金形式交纳。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lang w:eastAsia="zh-CN"/>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2</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ind w:firstLine="420" w:firstLineChars="20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投标文件</w:t>
            </w:r>
          </w:p>
          <w:p>
            <w:pPr>
              <w:keepNext w:val="0"/>
              <w:keepLines w:val="0"/>
              <w:pageBreakBefore w:val="0"/>
              <w:widowControl w:val="0"/>
              <w:kinsoku/>
              <w:wordWrap/>
              <w:overflowPunct/>
              <w:topLinePunct w:val="0"/>
              <w:autoSpaceDE/>
              <w:autoSpaceDN/>
              <w:bidi w:val="0"/>
              <w:snapToGrid w:val="0"/>
              <w:ind w:firstLine="420" w:firstLineChars="20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递交方式</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color w:val="auto"/>
                <w:szCs w:val="21"/>
              </w:rPr>
            </w:pPr>
            <w:r>
              <w:rPr>
                <w:rFonts w:hint="eastAsia" w:ascii="宋体" w:hAnsi="宋体" w:eastAsia="宋体" w:cs="宋体"/>
                <w:bCs/>
                <w:snapToGrid w:val="0"/>
                <w:color w:val="auto"/>
                <w:szCs w:val="21"/>
              </w:rPr>
              <w:t>供应商应于2020年</w:t>
            </w:r>
            <w:r>
              <w:rPr>
                <w:rFonts w:hint="eastAsia" w:ascii="宋体" w:hAnsi="宋体" w:cs="宋体"/>
                <w:bCs/>
                <w:snapToGrid w:val="0"/>
                <w:color w:val="auto"/>
                <w:szCs w:val="21"/>
                <w:lang w:val="en-US" w:eastAsia="zh-CN"/>
              </w:rPr>
              <w:t>7月28日</w:t>
            </w:r>
            <w:r>
              <w:rPr>
                <w:rFonts w:hint="eastAsia" w:ascii="宋体" w:hAnsi="宋体" w:eastAsia="宋体" w:cs="宋体"/>
                <w:bCs/>
                <w:snapToGrid w:val="0"/>
                <w:color w:val="auto"/>
                <w:szCs w:val="21"/>
              </w:rPr>
              <w:t>上午9：30前在“政采云”上自行加密上传电子投标文件，逾期上传或未按要求上传的投标文件将予以拒收。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01"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lang w:eastAsia="zh-CN"/>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3</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ind w:firstLine="420" w:firstLineChars="20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开标时间</w:t>
            </w:r>
          </w:p>
          <w:p>
            <w:pPr>
              <w:keepNext w:val="0"/>
              <w:keepLines w:val="0"/>
              <w:pageBreakBefore w:val="0"/>
              <w:widowControl w:val="0"/>
              <w:kinsoku/>
              <w:wordWrap/>
              <w:overflowPunct/>
              <w:topLinePunct w:val="0"/>
              <w:autoSpaceDE/>
              <w:autoSpaceDN/>
              <w:bidi w:val="0"/>
              <w:snapToGrid w:val="0"/>
              <w:ind w:firstLine="420" w:firstLineChars="200"/>
              <w:jc w:val="center"/>
              <w:textAlignment w:val="auto"/>
              <w:rPr>
                <w:rFonts w:hint="eastAsia" w:ascii="宋体" w:hAnsi="宋体" w:eastAsia="宋体" w:cs="宋体"/>
                <w:bCs/>
                <w:snapToGrid w:val="0"/>
                <w:color w:val="auto"/>
                <w:szCs w:val="21"/>
              </w:rPr>
            </w:pPr>
            <w:r>
              <w:rPr>
                <w:rFonts w:hint="eastAsia" w:ascii="宋体" w:hAnsi="宋体" w:eastAsia="宋体" w:cs="宋体"/>
                <w:bCs/>
                <w:snapToGrid w:val="0"/>
                <w:color w:val="auto"/>
                <w:szCs w:val="21"/>
              </w:rPr>
              <w:t>及地点</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b/>
                <w:color w:val="auto"/>
                <w:szCs w:val="21"/>
                <w:u w:val="single"/>
              </w:rPr>
            </w:pPr>
            <w:r>
              <w:rPr>
                <w:rFonts w:hint="eastAsia" w:ascii="宋体" w:hAnsi="宋体" w:eastAsia="宋体" w:cs="宋体"/>
                <w:b/>
                <w:color w:val="auto"/>
                <w:szCs w:val="21"/>
                <w:u w:val="single"/>
              </w:rPr>
              <w:t>时间：2020年</w:t>
            </w:r>
            <w:r>
              <w:rPr>
                <w:rFonts w:hint="eastAsia" w:ascii="宋体" w:hAnsi="宋体" w:cs="宋体"/>
                <w:b/>
                <w:color w:val="auto"/>
                <w:szCs w:val="21"/>
                <w:u w:val="single"/>
                <w:lang w:val="en-US" w:eastAsia="zh-CN"/>
              </w:rPr>
              <w:t>7月28日</w:t>
            </w:r>
            <w:r>
              <w:rPr>
                <w:rFonts w:hint="eastAsia" w:ascii="宋体" w:hAnsi="宋体" w:eastAsia="宋体" w:cs="宋体"/>
                <w:b/>
                <w:color w:val="auto"/>
                <w:szCs w:val="21"/>
                <w:u w:val="single"/>
              </w:rPr>
              <w:t>9时30分开始</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Cs w:val="21"/>
              </w:rPr>
            </w:pPr>
            <w:r>
              <w:rPr>
                <w:rFonts w:hint="eastAsia" w:ascii="宋体" w:hAnsi="宋体" w:eastAsia="宋体" w:cs="宋体"/>
                <w:bCs/>
                <w:color w:val="auto"/>
                <w:szCs w:val="21"/>
              </w:rPr>
              <w:t>地点：龙泉市公共资源交易中心开标室（龙泉市贤良路333号行政中心西副楼四楼）</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kern w:val="0"/>
                <w:szCs w:val="21"/>
              </w:rPr>
            </w:pPr>
            <w:r>
              <w:rPr>
                <w:rFonts w:hint="eastAsia" w:ascii="宋体" w:hAnsi="宋体" w:eastAsia="宋体" w:cs="宋体"/>
                <w:b/>
                <w:color w:val="auto"/>
                <w:szCs w:val="21"/>
              </w:rPr>
              <w:t>开标时间后1小时内（2020年</w:t>
            </w:r>
            <w:r>
              <w:rPr>
                <w:rFonts w:hint="eastAsia" w:ascii="宋体" w:hAnsi="宋体" w:cs="宋体"/>
                <w:b/>
                <w:color w:val="auto"/>
                <w:szCs w:val="21"/>
                <w:lang w:eastAsia="zh-CN"/>
              </w:rPr>
              <w:t>7月28日</w:t>
            </w:r>
            <w:r>
              <w:rPr>
                <w:rFonts w:hint="eastAsia" w:ascii="宋体" w:hAnsi="宋体" w:eastAsia="宋体" w:cs="宋体"/>
                <w:b/>
                <w:color w:val="auto"/>
                <w:szCs w:val="21"/>
              </w:rPr>
              <w:t>上午10</w:t>
            </w:r>
            <w:r>
              <w:rPr>
                <w:rFonts w:hint="eastAsia" w:ascii="宋体" w:hAnsi="宋体" w:cs="宋体"/>
                <w:b/>
                <w:color w:val="auto"/>
                <w:szCs w:val="21"/>
                <w:lang w:eastAsia="zh-CN"/>
              </w:rPr>
              <w:t>：</w:t>
            </w:r>
            <w:r>
              <w:rPr>
                <w:rFonts w:hint="eastAsia" w:ascii="宋体" w:hAnsi="宋体" w:eastAsia="宋体" w:cs="宋体"/>
                <w:b/>
                <w:color w:val="auto"/>
                <w:szCs w:val="21"/>
              </w:rPr>
              <w:t>30前）供应商可以登录“政采云”平台，用“项目采购-开标评标”功能进行解密投标文件。若供应商在规定时间内无法解密或解密失败，将导致投标无效或失败。</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bCs/>
                <w:color w:val="auto"/>
                <w:szCs w:val="21"/>
              </w:rPr>
            </w:pPr>
            <w:r>
              <w:rPr>
                <w:rFonts w:hint="eastAsia" w:ascii="宋体" w:hAnsi="宋体" w:eastAsia="宋体" w:cs="宋体"/>
                <w:b/>
                <w:color w:val="auto"/>
                <w:kern w:val="0"/>
                <w:szCs w:val="21"/>
              </w:rPr>
              <w:t>投标方无需在开标当天到达开标现场对电子投标进行解密，可在公司办公场地在规定时间内对电子投标文件进行解密。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7"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szCs w:val="21"/>
                <w:lang w:eastAsia="zh-CN"/>
              </w:rPr>
            </w:pPr>
            <w:r>
              <w:rPr>
                <w:rFonts w:hint="eastAsia" w:ascii="宋体" w:hAnsi="宋体" w:cs="宋体"/>
                <w:bCs/>
                <w:snapToGrid w:val="0"/>
                <w:color w:val="auto"/>
                <w:szCs w:val="21"/>
                <w:lang w:val="en-US" w:eastAsia="zh-CN"/>
              </w:rPr>
              <w:t>14</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color w:val="auto"/>
                <w:szCs w:val="21"/>
              </w:rPr>
            </w:pPr>
            <w:r>
              <w:rPr>
                <w:rFonts w:hint="eastAsia" w:ascii="宋体" w:hAnsi="宋体" w:eastAsia="宋体" w:cs="宋体"/>
                <w:bCs/>
                <w:color w:val="auto"/>
                <w:szCs w:val="21"/>
                <w:highlight w:val="white"/>
              </w:rPr>
              <w:t>中标结果公告及中标通知书</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szCs w:val="21"/>
              </w:rPr>
            </w:pPr>
            <w:r>
              <w:rPr>
                <w:rFonts w:hint="eastAsia" w:ascii="宋体" w:hAnsi="宋体" w:eastAsia="宋体" w:cs="宋体"/>
                <w:bCs/>
                <w:color w:val="auto"/>
                <w:szCs w:val="21"/>
              </w:rPr>
              <w:t>中标结果公告在浙江政府采购网（www.zjzfcg.gov.cn）、丽水市公共资源交易网（www.lssggzy.com）等媒体上发布，并发布中标通知书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5"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5</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snapToGrid w:val="0"/>
                <w:color w:val="auto"/>
                <w:szCs w:val="21"/>
              </w:rPr>
              <w:t>评标办法和细则</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rPr>
              <w:t>详见本招标文件第六章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6"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6</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highlight w:val="white"/>
              </w:rPr>
              <w:t>签订合同</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rPr>
              <w:t>中标通知书发出之日起</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日内，按照采购文件确定的事项签订采购合同。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7"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snapToGrid w:val="0"/>
                <w:color w:val="auto"/>
                <w:szCs w:val="21"/>
              </w:rPr>
              <w:t>1</w:t>
            </w:r>
            <w:r>
              <w:rPr>
                <w:rFonts w:hint="eastAsia" w:ascii="宋体" w:hAnsi="宋体" w:cs="宋体"/>
                <w:bCs/>
                <w:snapToGrid w:val="0"/>
                <w:color w:val="auto"/>
                <w:szCs w:val="21"/>
                <w:lang w:val="en-US" w:eastAsia="zh-CN"/>
              </w:rPr>
              <w:t>7</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snapToGrid w:val="0"/>
                <w:color w:val="auto"/>
                <w:szCs w:val="21"/>
                <w:highlight w:val="white"/>
              </w:rPr>
              <w:t>发布媒体</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kern w:val="2"/>
                <w:sz w:val="21"/>
                <w:szCs w:val="21"/>
                <w:highlight w:val="green"/>
                <w:lang w:val="en-US" w:eastAsia="zh-CN" w:bidi="ar-SA"/>
              </w:rPr>
            </w:pPr>
            <w:r>
              <w:rPr>
                <w:rFonts w:hint="eastAsia" w:ascii="宋体" w:hAnsi="宋体" w:eastAsia="宋体" w:cs="宋体"/>
                <w:bCs/>
                <w:color w:val="auto"/>
                <w:szCs w:val="21"/>
                <w:highlight w:val="white"/>
              </w:rPr>
              <w:t xml:space="preserve">浙江政府采购网（www.zjzfcg.gov.cn）、丽水市公共资源交易网（www.lssggzy.com）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7" w:hRule="exact"/>
          <w:jc w:val="center"/>
        </w:trPr>
        <w:tc>
          <w:tcPr>
            <w:tcW w:w="635" w:type="dxa"/>
            <w:tcBorders>
              <w:left w:val="doub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宋体" w:hAnsi="宋体" w:eastAsia="宋体" w:cs="宋体"/>
                <w:bCs/>
                <w:snapToGrid w:val="0"/>
                <w:color w:val="auto"/>
                <w:kern w:val="2"/>
                <w:sz w:val="21"/>
                <w:szCs w:val="21"/>
                <w:lang w:val="en-US" w:eastAsia="zh-CN" w:bidi="ar-SA"/>
              </w:rPr>
            </w:pPr>
            <w:r>
              <w:rPr>
                <w:rFonts w:hint="eastAsia" w:ascii="宋体" w:hAnsi="宋体" w:cs="宋体"/>
                <w:bCs/>
                <w:snapToGrid w:val="0"/>
                <w:color w:val="auto"/>
                <w:kern w:val="2"/>
                <w:sz w:val="21"/>
                <w:szCs w:val="21"/>
                <w:lang w:val="en-US" w:eastAsia="zh-CN" w:bidi="ar-SA"/>
              </w:rPr>
              <w:t>18</w:t>
            </w:r>
          </w:p>
        </w:tc>
        <w:tc>
          <w:tcPr>
            <w:tcW w:w="218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宋体" w:hAnsi="宋体" w:eastAsia="宋体" w:cs="宋体"/>
                <w:bCs/>
                <w:snapToGrid w:val="0"/>
                <w:color w:val="auto"/>
                <w:kern w:val="2"/>
                <w:sz w:val="21"/>
                <w:szCs w:val="21"/>
                <w:lang w:val="en-US" w:eastAsia="zh-CN" w:bidi="ar-SA"/>
              </w:rPr>
            </w:pPr>
            <w:r>
              <w:rPr>
                <w:rFonts w:hint="eastAsia" w:ascii="宋体" w:hAnsi="宋体" w:eastAsia="宋体" w:cs="宋体"/>
                <w:bCs/>
                <w:color w:val="auto"/>
                <w:szCs w:val="21"/>
                <w:highlight w:val="white"/>
              </w:rPr>
              <w:t>采购文件</w:t>
            </w:r>
            <w:r>
              <w:rPr>
                <w:rFonts w:hint="eastAsia" w:ascii="宋体" w:hAnsi="宋体" w:eastAsia="宋体" w:cs="宋体"/>
                <w:bCs/>
                <w:snapToGrid w:val="0"/>
                <w:color w:val="auto"/>
                <w:szCs w:val="21"/>
                <w:highlight w:val="white"/>
              </w:rPr>
              <w:t>解释</w:t>
            </w:r>
          </w:p>
        </w:tc>
        <w:tc>
          <w:tcPr>
            <w:tcW w:w="7011" w:type="dxa"/>
            <w:gridSpan w:val="3"/>
            <w:tcBorders>
              <w:right w:val="double" w:color="auto" w:sz="4" w:space="0"/>
            </w:tcBorders>
            <w:noWrap/>
            <w:vAlign w:val="center"/>
          </w:tcPr>
          <w:p>
            <w:pPr>
              <w:keepNext w:val="0"/>
              <w:keepLines w:val="0"/>
              <w:pageBreakBefore w:val="0"/>
              <w:widowControl w:val="0"/>
              <w:kinsoku/>
              <w:wordWrap/>
              <w:overflowPunct/>
              <w:topLinePunct w:val="0"/>
              <w:autoSpaceDE/>
              <w:autoSpaceDN/>
              <w:bidi w:val="0"/>
              <w:snapToGrid w:val="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highlight w:val="white"/>
              </w:rPr>
              <w:t>本项目采购文件的解释权属于</w:t>
            </w:r>
            <w:r>
              <w:rPr>
                <w:rFonts w:hint="eastAsia" w:ascii="宋体" w:hAnsi="宋体" w:eastAsia="宋体" w:cs="宋体"/>
                <w:bCs/>
                <w:color w:val="auto"/>
                <w:szCs w:val="21"/>
                <w:highlight w:val="white"/>
                <w:lang w:eastAsia="zh-CN"/>
              </w:rPr>
              <w:t>丽水市中兴工程咨询有限公司</w:t>
            </w:r>
          </w:p>
        </w:tc>
      </w:tr>
      <w:bookmarkEnd w:id="63"/>
    </w:tbl>
    <w:p>
      <w:pPr>
        <w:pStyle w:val="7"/>
        <w:spacing w:before="0" w:after="0" w:line="480" w:lineRule="exact"/>
        <w:ind w:firstLine="602" w:firstLineChars="200"/>
        <w:rPr>
          <w:rFonts w:hint="eastAsia" w:ascii="宋体" w:hAnsi="宋体" w:eastAsia="宋体" w:cs="宋体"/>
          <w:color w:val="auto"/>
        </w:rPr>
      </w:pPr>
      <w:bookmarkStart w:id="69" w:name="_Toc4594"/>
      <w:r>
        <w:rPr>
          <w:rFonts w:hint="eastAsia" w:ascii="宋体" w:hAnsi="宋体" w:eastAsia="宋体" w:cs="宋体"/>
          <w:color w:val="auto"/>
        </w:rPr>
        <w:t>一、   总则</w:t>
      </w:r>
      <w:bookmarkEnd w:id="64"/>
      <w:bookmarkEnd w:id="69"/>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1.适用范围</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1.1招标文件适用于本次所述项目的采购行为（法律、法规另有规定的，从其规定）。</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2.定义</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2.1.1“采购人”系</w:t>
      </w:r>
      <w:r>
        <w:rPr>
          <w:rFonts w:hint="eastAsia" w:ascii="宋体" w:hAnsi="宋体" w:eastAsia="宋体" w:cs="宋体"/>
          <w:color w:val="auto"/>
          <w:sz w:val="24"/>
          <w:lang w:eastAsia="zh-CN"/>
        </w:rPr>
        <w:t>龙泉市塔石工农业综合开发有限公司</w:t>
      </w:r>
      <w:r>
        <w:rPr>
          <w:rFonts w:hint="eastAsia" w:ascii="宋体" w:hAnsi="宋体" w:eastAsia="宋体" w:cs="宋体"/>
          <w:color w:val="auto"/>
          <w:sz w:val="24"/>
        </w:rPr>
        <w:t>。</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 “投标人”系指符合本项目投标人应具备的资格要求并报名参与项目投标的供应商。</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 “采购代理机构”系指</w:t>
      </w:r>
      <w:r>
        <w:rPr>
          <w:rFonts w:hint="eastAsia" w:ascii="宋体" w:hAnsi="宋体" w:eastAsia="宋体" w:cs="宋体"/>
          <w:color w:val="auto"/>
          <w:sz w:val="24"/>
          <w:lang w:eastAsia="zh-CN"/>
        </w:rPr>
        <w:t>丽水市中兴工程咨询有限公司</w:t>
      </w:r>
      <w:r>
        <w:rPr>
          <w:rFonts w:hint="eastAsia" w:ascii="宋体" w:hAnsi="宋体" w:eastAsia="宋体" w:cs="宋体"/>
          <w:color w:val="auto"/>
          <w:sz w:val="24"/>
        </w:rPr>
        <w:t>。</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2.1.4“负责人”系指法人企业的法定代表人，或其他组织为法律、行政法规规定代表单位行使职权的主要负责人。</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2.1.5“合同”系指买卖双方签署的规定买卖双方权利与义务的协议，以及所有的附件、附录和招标文件所提到的构成合同的所有文件。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2.1.6“产品”系指投标人按招标文件规定，须向采购人提供的一切产品（包括：虚拟产品），以及产品相关的保险、税金、备品备件、附件、耗材、工具、手册及其它有关技术资料和材料等。</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2.1.7“服务”系指投标人按招标文件规定应承担的送货上门、安装、调试、技术协助、校准、培训、技术指导以及其他类似的附随义务。</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2.1.8“▲” 系指实质性要求条款。</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3.投标人资格条件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3.1符合第一章第“5”条规定；</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3.2按招标文件要求提交投标保证金；</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3.3投标人应遵守有关的法律、法规和规章条例。</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4.联合体说明</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4.1本项目不接受联合体投标。</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5.特别说明</w:t>
      </w:r>
    </w:p>
    <w:p>
      <w:pPr>
        <w:spacing w:line="48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▲5.1单位负责人为同一人或者存在直接控股、管理关系的不同投标人，以及属于同一母公司或集团的不同投标人不得参加同一合同项下的政府采购活动。</w:t>
      </w:r>
    </w:p>
    <w:p>
      <w:pPr>
        <w:spacing w:line="480" w:lineRule="exact"/>
        <w:ind w:firstLine="482" w:firstLineChars="200"/>
        <w:rPr>
          <w:rFonts w:hint="eastAsia" w:ascii="宋体" w:hAnsi="宋体" w:eastAsia="宋体" w:cs="宋体"/>
          <w:color w:val="auto"/>
          <w:sz w:val="24"/>
        </w:rPr>
      </w:pPr>
      <w:r>
        <w:rPr>
          <w:rFonts w:hint="eastAsia" w:ascii="宋体" w:hAnsi="宋体" w:eastAsia="宋体" w:cs="宋体"/>
          <w:b/>
          <w:bCs/>
          <w:color w:val="auto"/>
          <w:sz w:val="24"/>
        </w:rPr>
        <w:t>▲</w:t>
      </w:r>
      <w:r>
        <w:rPr>
          <w:rFonts w:hint="eastAsia" w:ascii="宋体" w:hAnsi="宋体" w:eastAsia="宋体" w:cs="宋体"/>
          <w:color w:val="auto"/>
          <w:sz w:val="24"/>
        </w:rPr>
        <w:t>5.2为采购项目提供整体设计、规范编制或者项目管理、监理、检测等服务的供应商，不得再参加该采购项目的其他采购活动。</w:t>
      </w:r>
    </w:p>
    <w:p>
      <w:pPr>
        <w:spacing w:line="480" w:lineRule="exact"/>
        <w:ind w:firstLine="480" w:firstLineChars="200"/>
        <w:rPr>
          <w:rFonts w:hint="eastAsia" w:ascii="宋体" w:hAnsi="宋体" w:eastAsia="宋体" w:cs="宋体"/>
          <w:color w:val="auto"/>
        </w:rPr>
      </w:pPr>
      <w:r>
        <w:rPr>
          <w:rFonts w:hint="eastAsia" w:ascii="宋体" w:hAnsi="宋体" w:eastAsia="宋体" w:cs="宋体"/>
          <w:color w:val="auto"/>
          <w:sz w:val="24"/>
        </w:rPr>
        <w:t>5.3投标人自行承担所有与投标有关的全部费用。</w:t>
      </w:r>
      <w:bookmarkStart w:id="70" w:name="EBb242ed4d95ae426f999df4b9b64f51fb"/>
      <w:bookmarkEnd w:id="70"/>
      <w:bookmarkStart w:id="71" w:name="EBf33655181aa74616a4714729efbcef95"/>
      <w:bookmarkEnd w:id="71"/>
    </w:p>
    <w:p>
      <w:pPr>
        <w:pStyle w:val="7"/>
        <w:spacing w:before="0" w:after="0" w:line="480" w:lineRule="exact"/>
        <w:ind w:firstLine="602" w:firstLineChars="200"/>
        <w:rPr>
          <w:rFonts w:hint="eastAsia" w:ascii="宋体" w:hAnsi="宋体" w:eastAsia="宋体" w:cs="宋体"/>
          <w:color w:val="auto"/>
        </w:rPr>
      </w:pPr>
      <w:bookmarkStart w:id="72" w:name="_Toc20780"/>
      <w:bookmarkStart w:id="73" w:name="_Toc16042"/>
      <w:r>
        <w:rPr>
          <w:rFonts w:hint="eastAsia" w:ascii="宋体" w:hAnsi="宋体" w:eastAsia="宋体" w:cs="宋体"/>
          <w:color w:val="auto"/>
        </w:rPr>
        <w:t>二 、招标文件说明</w:t>
      </w:r>
      <w:bookmarkEnd w:id="72"/>
      <w:bookmarkEnd w:id="73"/>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6.招标文件的构成</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6.1招标文件用以阐明所需货物及服务、招标、投标程序和合同条款。招标文件由下述部分组成：</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6.1.1招标公告</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6.1.2投标人须知</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6.1.3招标要求</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6.1.4政府采购合同格式</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6.1.5投标相关文件格式</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6.1.6评标办法和细则</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6.1.7与本项目有关的招标文件澄清、答复、修改、补充的内容</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7.投标人的风险</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7.1投标人应认真阅读招标文件中的所有条款。投标人没有按照招标文件的要求提供全部资料，或者投标人没有对招标文件在各方面作出实质性响应是投标人的风险，并可能导致其投标被拒绝。</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8.招标文件的发售及澄清</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8.1招标文件澄清、答复、修改、补充的内容为招标文件的组成部分。</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8.2报名供应商认真阅读招标文件，应于招标文件规定的时间前向采购代理机构（传真）提出澄清申请。采购代理机构对已发出的招标文件进行必要的澄清或者修改。澄清或者修改内容可能影响投标文件编制的，采购代理机构在投标截止时间15日前,在“浙江政府采购网”、“</w:t>
      </w:r>
      <w:r>
        <w:rPr>
          <w:rFonts w:hint="eastAsia" w:ascii="宋体" w:hAnsi="宋体" w:eastAsia="宋体" w:cs="宋体"/>
          <w:color w:val="auto"/>
          <w:kern w:val="0"/>
          <w:sz w:val="24"/>
        </w:rPr>
        <w:t>丽水市公共资源交易网</w:t>
      </w:r>
      <w:r>
        <w:rPr>
          <w:rFonts w:hint="eastAsia" w:ascii="宋体" w:hAnsi="宋体" w:eastAsia="宋体" w:cs="宋体"/>
          <w:color w:val="auto"/>
          <w:sz w:val="24"/>
        </w:rPr>
        <w:t>”公布更正公告，并对其具有约束力。不足15日的，采购代理机构有权顺延提交投标文件的截止时间。</w:t>
      </w:r>
    </w:p>
    <w:p>
      <w:pPr>
        <w:pStyle w:val="7"/>
        <w:spacing w:before="0" w:after="0" w:line="480" w:lineRule="exact"/>
        <w:ind w:firstLine="643" w:firstLineChars="200"/>
        <w:rPr>
          <w:rFonts w:hint="eastAsia" w:ascii="宋体" w:hAnsi="宋体" w:eastAsia="宋体" w:cs="宋体"/>
          <w:color w:val="auto"/>
          <w:sz w:val="32"/>
        </w:rPr>
      </w:pPr>
      <w:bookmarkStart w:id="74" w:name="_Toc2619"/>
      <w:bookmarkStart w:id="75" w:name="_Toc29089"/>
      <w:r>
        <w:rPr>
          <w:rFonts w:hint="eastAsia" w:ascii="宋体" w:hAnsi="宋体" w:eastAsia="宋体" w:cs="宋体"/>
          <w:color w:val="auto"/>
          <w:sz w:val="32"/>
        </w:rPr>
        <w:t>三、投标文件的编写</w:t>
      </w:r>
      <w:bookmarkEnd w:id="74"/>
      <w:bookmarkEnd w:id="75"/>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9.要求</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9.1投标人应仔细阅读招标文件的所有内容，按照招标文件的要求提交投标文件，并对所提供的全部资料的真实性承担法律责任。</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9.2投标文件、投标人与采购有关的往来通知、函件和文件均应使用中文。如涉及非中文内容的，投标人有义务将其内容翻译成中文，一切对非中文内容的误解，都将由投标人承担。</w:t>
      </w:r>
    </w:p>
    <w:p>
      <w:pPr>
        <w:spacing w:line="480" w:lineRule="exact"/>
        <w:ind w:left="5" w:firstLine="480" w:firstLineChars="200"/>
        <w:jc w:val="left"/>
        <w:rPr>
          <w:rFonts w:hint="eastAsia" w:ascii="宋体" w:hAnsi="宋体" w:eastAsia="宋体" w:cs="宋体"/>
          <w:b/>
          <w:color w:val="auto"/>
          <w:sz w:val="24"/>
        </w:rPr>
      </w:pPr>
      <w:r>
        <w:rPr>
          <w:rFonts w:hint="eastAsia" w:ascii="宋体" w:hAnsi="宋体" w:eastAsia="宋体" w:cs="宋体"/>
          <w:color w:val="auto"/>
          <w:sz w:val="24"/>
        </w:rPr>
        <w:t>9.3</w:t>
      </w:r>
      <w:r>
        <w:rPr>
          <w:rFonts w:hint="eastAsia" w:ascii="宋体" w:hAnsi="宋体" w:eastAsia="宋体" w:cs="宋体"/>
          <w:b/>
          <w:color w:val="auto"/>
          <w:sz w:val="24"/>
        </w:rPr>
        <w:t>其中电子投标文件编制要求：按政采云平台供应商项目采购-电子招投标操作指南（网址：help.zcygov.cn/web/site_2/2018/12-28/2573.html）和本招标文件要求编制并进行关联定位；</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9.4由于未按招标文件的规定要求编制投标文件，导致评审小组作出的对投标方的误判，责任由投标方自己承担。</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10投标文件的形式、效力和组成</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10.1投标文件分为：电子投标文件。</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10.2投标文件的效力：电子投标文件和备份电子投标文件具有同等效力，内容应完全一致。其中备份电子投标文件不作为强制要求，供应商仅提交备份电子投标文件的，投标无效。</w:t>
      </w:r>
    </w:p>
    <w:p>
      <w:pPr>
        <w:spacing w:line="480" w:lineRule="exact"/>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10.3投标文件的启用，按先后顺位分别为电子投标文件、备份电子投标文件。</w:t>
      </w:r>
    </w:p>
    <w:p>
      <w:pPr>
        <w:spacing w:line="480" w:lineRule="exact"/>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10.4投标文件应分为资格审查文件、资信商务及技术文件、报价文件三部分,电子投标文件中所有加盖公章均采用CA签章。资格审查文件、资信商务及技术文件如有报价的内容, 其投标文件无效。报价文件如有资信商务及技术内容, 其资信商务及技术内容评标时将作为无效内容。</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11. 投标文件编制内容和要求</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11.1资格审查文件编制内容和要求：</w:t>
      </w:r>
      <w:r>
        <w:rPr>
          <w:rFonts w:hint="eastAsia" w:ascii="宋体" w:hAnsi="宋体" w:eastAsia="宋体" w:cs="宋体"/>
          <w:color w:val="auto"/>
          <w:sz w:val="24"/>
        </w:rPr>
        <w:t>格式见第五章资格审查文件格式。</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sz w:val="24"/>
        </w:rPr>
        <w:t>▲11.1.1 公司有效营业执照</w:t>
      </w:r>
      <w:r>
        <w:rPr>
          <w:rFonts w:hint="eastAsia" w:ascii="宋体" w:hAnsi="宋体" w:eastAsia="宋体" w:cs="宋体"/>
          <w:color w:val="auto"/>
          <w:sz w:val="24"/>
          <w:u w:val="single"/>
        </w:rPr>
        <w:t>原件和复印件</w:t>
      </w:r>
      <w:r>
        <w:rPr>
          <w:rFonts w:hint="eastAsia" w:ascii="宋体" w:hAnsi="宋体" w:eastAsia="宋体" w:cs="宋体"/>
          <w:color w:val="auto"/>
          <w:kern w:val="0"/>
          <w:sz w:val="24"/>
        </w:rPr>
        <w:t>（在浙江政府采购网注册的供应商不需要提供原件核对，但须提供浙江政府采购网注册供应商注册信息内容截图）；</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▲11.1.2负责人身份证（提供负责人身份证原件的扫描件进入投标文件）；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11.1.3投标人财务状况报告，应提供经审计的财务报告或银行出具的资信证明；</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11.1.4依法缴纳税收和社会保障资金的相关材料：</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a.提供投标人税务登记证（国税、地税）和参加本项目采购活动前近三个月内相应税务机关出具的完税证明，包括增值税、企业所得税等凭据的复印件；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b.提供投标人社会保险登记证和参加政府采购活动前近三个月内缴纳社会保险的凭据（专用收据或社会保险缴纳清单）复印件；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c.依法免税或不需要缴纳社会保障资金的投标人，应提供相应文件证明其依法免税或不需要缴纳社会保障资金的材料复印件；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注：营业执照属于三证合一的，则不需要提供税务登记证复印件；营业执照属于五证合一的，则不需要提供税务登记证和社会保险登记证复印件。</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▲11.1.5资格声明；</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▲11.1.6无重大违法记录声明书；</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11.2资信商务及技术文件编制内容和要求：详见第五章格式。</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11.3报价文件内容</w:t>
      </w:r>
      <w:r>
        <w:rPr>
          <w:rFonts w:hint="eastAsia" w:ascii="宋体" w:hAnsi="宋体" w:cs="宋体"/>
          <w:color w:val="auto"/>
          <w:sz w:val="24"/>
          <w:lang w:eastAsia="zh-CN"/>
        </w:rPr>
        <w:t>：</w:t>
      </w:r>
      <w:r>
        <w:rPr>
          <w:rFonts w:hint="eastAsia" w:ascii="宋体" w:hAnsi="宋体" w:eastAsia="宋体" w:cs="宋体"/>
          <w:color w:val="auto"/>
          <w:sz w:val="24"/>
        </w:rPr>
        <w:t xml:space="preserve"> 详见第五章格式。</w:t>
      </w:r>
    </w:p>
    <w:p>
      <w:pPr>
        <w:spacing w:line="48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▲投标人应在招标文件所附的投标价格表上写明投标单价。投标人只允许有一个报价,采购人不接受有任何选择的报价。投标报价超出最高限价的不进入报价标评审，视报价分为零分。</w:t>
      </w:r>
      <w:r>
        <w:rPr>
          <w:rFonts w:hint="eastAsia" w:ascii="宋体" w:hAnsi="宋体" w:eastAsia="宋体" w:cs="宋体"/>
          <w:b/>
          <w:color w:val="auto"/>
          <w:sz w:val="24"/>
        </w:rPr>
        <w:t>并不得推荐为中标候选人。</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11.4</w:t>
      </w:r>
      <w:r>
        <w:rPr>
          <w:rFonts w:hint="eastAsia" w:ascii="宋体" w:hAnsi="宋体" w:eastAsia="宋体" w:cs="宋体"/>
          <w:b/>
          <w:color w:val="auto"/>
          <w:sz w:val="24"/>
        </w:rPr>
        <w:t>.</w:t>
      </w:r>
      <w:r>
        <w:rPr>
          <w:rFonts w:hint="eastAsia" w:ascii="宋体" w:hAnsi="宋体" w:eastAsia="宋体" w:cs="宋体"/>
          <w:color w:val="auto"/>
          <w:sz w:val="24"/>
        </w:rPr>
        <w:t>2投标相关报价明细表填写时应详细注明该表列举的费用及分项清单。</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12.投标有效期</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2</w:t>
      </w:r>
      <w:r>
        <w:rPr>
          <w:rFonts w:hint="eastAsia" w:ascii="宋体" w:hAnsi="宋体" w:eastAsia="宋体" w:cs="宋体"/>
          <w:color w:val="auto"/>
          <w:sz w:val="24"/>
        </w:rPr>
        <w:t>.1</w:t>
      </w:r>
      <w:r>
        <w:rPr>
          <w:rFonts w:hint="eastAsia" w:ascii="宋体" w:hAnsi="宋体" w:eastAsia="宋体" w:cs="宋体"/>
          <w:bCs/>
          <w:snapToGrid w:val="0"/>
          <w:color w:val="auto"/>
          <w:sz w:val="24"/>
        </w:rPr>
        <w:t>提交投标文件的截止之日起90天内有效</w:t>
      </w:r>
      <w:r>
        <w:rPr>
          <w:rFonts w:hint="eastAsia" w:ascii="宋体" w:hAnsi="宋体" w:eastAsia="宋体" w:cs="宋体"/>
          <w:color w:val="auto"/>
          <w:sz w:val="24"/>
        </w:rPr>
        <w:t>。</w:t>
      </w:r>
    </w:p>
    <w:p>
      <w:pPr>
        <w:pStyle w:val="7"/>
        <w:spacing w:before="0" w:after="0" w:line="500" w:lineRule="exact"/>
        <w:ind w:firstLine="643" w:firstLineChars="200"/>
        <w:rPr>
          <w:rFonts w:hint="eastAsia" w:ascii="宋体" w:hAnsi="宋体" w:eastAsia="宋体" w:cs="宋体"/>
          <w:color w:val="auto"/>
          <w:sz w:val="32"/>
        </w:rPr>
      </w:pPr>
      <w:bookmarkStart w:id="76" w:name="_Toc56928685"/>
      <w:bookmarkStart w:id="77" w:name="_Toc107820049"/>
      <w:bookmarkStart w:id="78" w:name="_Toc17453"/>
      <w:bookmarkStart w:id="79" w:name="_Toc29573"/>
      <w:r>
        <w:rPr>
          <w:rFonts w:hint="eastAsia" w:ascii="宋体" w:hAnsi="宋体" w:eastAsia="宋体" w:cs="宋体"/>
          <w:color w:val="auto"/>
          <w:sz w:val="32"/>
        </w:rPr>
        <w:t>四、 投标文件的</w:t>
      </w:r>
      <w:bookmarkEnd w:id="76"/>
      <w:bookmarkEnd w:id="77"/>
      <w:r>
        <w:rPr>
          <w:rFonts w:hint="eastAsia" w:ascii="宋体" w:hAnsi="宋体" w:eastAsia="宋体" w:cs="宋体"/>
          <w:color w:val="auto"/>
          <w:sz w:val="32"/>
        </w:rPr>
        <w:t>提交</w:t>
      </w:r>
      <w:bookmarkEnd w:id="78"/>
      <w:bookmarkEnd w:id="79"/>
    </w:p>
    <w:p>
      <w:pPr>
        <w:tabs>
          <w:tab w:val="left" w:pos="315"/>
        </w:tabs>
        <w:adjustRightInd w:val="0"/>
        <w:snapToGrid w:val="0"/>
        <w:spacing w:line="50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14、电子投标文件上传的地点和截止时间</w:t>
      </w:r>
    </w:p>
    <w:p>
      <w:pPr>
        <w:spacing w:line="5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供应商应于2020年</w:t>
      </w:r>
      <w:r>
        <w:rPr>
          <w:rFonts w:hint="eastAsia" w:ascii="宋体" w:hAnsi="宋体" w:cs="宋体"/>
          <w:b/>
          <w:color w:val="auto"/>
          <w:sz w:val="24"/>
          <w:szCs w:val="24"/>
          <w:lang w:eastAsia="zh-CN"/>
        </w:rPr>
        <w:t>7月28日</w:t>
      </w:r>
      <w:r>
        <w:rPr>
          <w:rFonts w:hint="eastAsia" w:ascii="宋体" w:hAnsi="宋体" w:eastAsia="宋体" w:cs="宋体"/>
          <w:b/>
          <w:color w:val="auto"/>
          <w:sz w:val="24"/>
          <w:szCs w:val="24"/>
        </w:rPr>
        <w:t>上午9：30前在“政采云”上自行加密上传电子投标文件，逾期上传或未按要求上传的投标文件将予以拒收。</w:t>
      </w:r>
    </w:p>
    <w:p>
      <w:pPr>
        <w:tabs>
          <w:tab w:val="left" w:pos="315"/>
        </w:tabs>
        <w:adjustRightInd w:val="0"/>
        <w:snapToGrid w:val="0"/>
        <w:spacing w:line="500" w:lineRule="exact"/>
        <w:ind w:firstLine="482" w:firstLineChars="200"/>
        <w:rPr>
          <w:rFonts w:hint="eastAsia" w:ascii="宋体" w:hAnsi="宋体" w:eastAsia="宋体" w:cs="宋体"/>
          <w:b/>
          <w:bCs/>
          <w:color w:val="auto"/>
          <w:sz w:val="24"/>
          <w:szCs w:val="24"/>
          <w:u w:val="single"/>
        </w:rPr>
      </w:pPr>
      <w:r>
        <w:rPr>
          <w:rFonts w:hint="eastAsia" w:ascii="宋体" w:hAnsi="宋体" w:eastAsia="宋体" w:cs="宋体"/>
          <w:b/>
          <w:bCs/>
          <w:color w:val="auto"/>
          <w:sz w:val="24"/>
          <w:szCs w:val="24"/>
        </w:rPr>
        <w:t>15、迟交的投标文件</w:t>
      </w:r>
    </w:p>
    <w:p>
      <w:pPr>
        <w:tabs>
          <w:tab w:val="left" w:pos="315"/>
        </w:tabs>
        <w:adjustRightInd w:val="0"/>
        <w:snapToGrid w:val="0"/>
        <w:spacing w:line="500" w:lineRule="exact"/>
        <w:ind w:firstLine="456"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招标方在规定的投标截止时间以后“政采云平台”将不接收投标文件。</w:t>
      </w:r>
    </w:p>
    <w:p>
      <w:pPr>
        <w:spacing w:line="5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16、投标文件解密</w:t>
      </w:r>
    </w:p>
    <w:p>
      <w:pPr>
        <w:spacing w:line="5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开标时间后1小时内（2020年</w:t>
      </w:r>
      <w:r>
        <w:rPr>
          <w:rFonts w:hint="eastAsia" w:ascii="宋体" w:hAnsi="宋体" w:cs="宋体"/>
          <w:b/>
          <w:color w:val="auto"/>
          <w:sz w:val="24"/>
          <w:szCs w:val="24"/>
          <w:lang w:eastAsia="zh-CN"/>
        </w:rPr>
        <w:t>7月28日</w:t>
      </w:r>
      <w:r>
        <w:rPr>
          <w:rFonts w:hint="eastAsia" w:ascii="宋体" w:hAnsi="宋体" w:eastAsia="宋体" w:cs="宋体"/>
          <w:b/>
          <w:color w:val="auto"/>
          <w:sz w:val="24"/>
          <w:szCs w:val="24"/>
        </w:rPr>
        <w:t>上午10</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30前）供应商可以登录“政采云”平台，用“项目采购-开标评标”功能进行解密投标文件。若供应商在规定时间内无法解密或解密失败，将导致投标无效或失败。</w:t>
      </w:r>
    </w:p>
    <w:p>
      <w:pPr>
        <w:pStyle w:val="23"/>
        <w:adjustRightInd w:val="0"/>
        <w:snapToGrid w:val="0"/>
        <w:spacing w:line="500" w:lineRule="exact"/>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u w:val="single"/>
        </w:rPr>
        <w:t>备注：为确保采购项目顺利实施，避免因政采云上电子投标文件解密失败导致投标方投标无效，投标方可在2020年</w:t>
      </w:r>
      <w:r>
        <w:rPr>
          <w:rFonts w:hint="eastAsia" w:hAnsi="宋体" w:cs="宋体"/>
          <w:color w:val="auto"/>
          <w:kern w:val="0"/>
          <w:sz w:val="24"/>
          <w:szCs w:val="24"/>
          <w:u w:val="single"/>
          <w:lang w:val="en-US" w:eastAsia="zh-CN"/>
        </w:rPr>
        <w:t>7月28日</w:t>
      </w:r>
      <w:r>
        <w:rPr>
          <w:rFonts w:hint="eastAsia" w:ascii="宋体" w:hAnsi="宋体" w:eastAsia="宋体" w:cs="宋体"/>
          <w:color w:val="auto"/>
          <w:kern w:val="0"/>
          <w:sz w:val="24"/>
          <w:szCs w:val="24"/>
          <w:u w:val="single"/>
        </w:rPr>
        <w:t>上午9时30分前将在政采云平台上最后生成的具备电子签章的备份加密投标文件（文件名后缀为备份文件四字的首字母）以电子邮件方式传送至邮箱（</w:t>
      </w:r>
      <w:r>
        <w:rPr>
          <w:rFonts w:hint="eastAsia" w:ascii="宋体" w:hAnsi="宋体" w:eastAsia="宋体" w:cs="宋体"/>
          <w:color w:val="auto"/>
          <w:kern w:val="0"/>
          <w:sz w:val="24"/>
          <w:szCs w:val="24"/>
          <w:u w:val="single"/>
          <w:lang w:eastAsia="zh-CN"/>
        </w:rPr>
        <w:t>553133954</w:t>
      </w:r>
      <w:r>
        <w:rPr>
          <w:rFonts w:hint="eastAsia" w:ascii="宋体" w:hAnsi="宋体" w:eastAsia="宋体" w:cs="宋体"/>
          <w:color w:val="auto"/>
          <w:kern w:val="0"/>
          <w:sz w:val="24"/>
          <w:szCs w:val="24"/>
          <w:u w:val="single"/>
        </w:rPr>
        <w:t>@qq.com），传送的备份电子投标文件需打包压缩并加密，加密密码由投标方自行保管，如政采云上电子投标文件出现解密失败情况（开标当日9</w:t>
      </w:r>
      <w:r>
        <w:rPr>
          <w:rFonts w:hint="eastAsia" w:hAnsi="宋体" w:cs="宋体"/>
          <w:color w:val="auto"/>
          <w:kern w:val="0"/>
          <w:sz w:val="24"/>
          <w:szCs w:val="24"/>
          <w:u w:val="single"/>
          <w:lang w:eastAsia="zh-CN"/>
        </w:rPr>
        <w:t>：</w:t>
      </w:r>
      <w:r>
        <w:rPr>
          <w:rFonts w:hint="eastAsia" w:ascii="宋体" w:hAnsi="宋体" w:eastAsia="宋体" w:cs="宋体"/>
          <w:color w:val="auto"/>
          <w:kern w:val="0"/>
          <w:sz w:val="24"/>
          <w:szCs w:val="24"/>
          <w:u w:val="single"/>
        </w:rPr>
        <w:t>30-10</w:t>
      </w:r>
      <w:r>
        <w:rPr>
          <w:rFonts w:hint="eastAsia" w:hAnsi="宋体" w:cs="宋体"/>
          <w:color w:val="auto"/>
          <w:kern w:val="0"/>
          <w:sz w:val="24"/>
          <w:szCs w:val="24"/>
          <w:u w:val="single"/>
          <w:lang w:eastAsia="zh-CN"/>
        </w:rPr>
        <w:t>：</w:t>
      </w:r>
      <w:r>
        <w:rPr>
          <w:rFonts w:hint="eastAsia" w:ascii="宋体" w:hAnsi="宋体" w:eastAsia="宋体" w:cs="宋体"/>
          <w:color w:val="auto"/>
          <w:kern w:val="0"/>
          <w:sz w:val="24"/>
          <w:szCs w:val="24"/>
          <w:u w:val="single"/>
        </w:rPr>
        <w:t>30期间进行解密），投标方可按照自身意愿确认是否同意提供加密密码解密传送至邮箱（</w:t>
      </w:r>
      <w:r>
        <w:rPr>
          <w:rFonts w:hint="eastAsia" w:ascii="宋体" w:hAnsi="宋体" w:eastAsia="宋体" w:cs="宋体"/>
          <w:color w:val="auto"/>
          <w:kern w:val="0"/>
          <w:sz w:val="24"/>
          <w:szCs w:val="24"/>
          <w:u w:val="single"/>
          <w:lang w:eastAsia="zh-CN"/>
        </w:rPr>
        <w:t>553133954</w:t>
      </w:r>
      <w:r>
        <w:rPr>
          <w:rFonts w:hint="eastAsia" w:ascii="宋体" w:hAnsi="宋体" w:eastAsia="宋体" w:cs="宋体"/>
          <w:color w:val="auto"/>
          <w:kern w:val="0"/>
          <w:sz w:val="24"/>
          <w:szCs w:val="24"/>
          <w:u w:val="single"/>
        </w:rPr>
        <w:t>@qq.com）的备份文件，并以备份文件作为替代电子投标文件，如投标方未按照规定时间（2020年</w:t>
      </w:r>
      <w:r>
        <w:rPr>
          <w:rFonts w:hint="eastAsia" w:hAnsi="宋体" w:cs="宋体"/>
          <w:color w:val="auto"/>
          <w:kern w:val="0"/>
          <w:sz w:val="24"/>
          <w:szCs w:val="24"/>
          <w:u w:val="single"/>
          <w:lang w:val="en-US" w:eastAsia="zh-CN"/>
        </w:rPr>
        <w:t>7月28日</w:t>
      </w:r>
      <w:r>
        <w:rPr>
          <w:rFonts w:hint="eastAsia" w:ascii="宋体" w:hAnsi="宋体" w:eastAsia="宋体" w:cs="宋体"/>
          <w:color w:val="auto"/>
          <w:kern w:val="0"/>
          <w:sz w:val="24"/>
          <w:szCs w:val="24"/>
          <w:u w:val="single"/>
        </w:rPr>
        <w:t>上午9时30分前）及要求提供有效备份文件，同时政采云上投标文件解密失败的，将导致投标无效。</w:t>
      </w:r>
    </w:p>
    <w:p>
      <w:pPr>
        <w:tabs>
          <w:tab w:val="left" w:pos="315"/>
        </w:tabs>
        <w:adjustRightInd w:val="0"/>
        <w:snapToGrid w:val="0"/>
        <w:spacing w:line="500" w:lineRule="exact"/>
        <w:ind w:firstLine="482" w:firstLineChars="200"/>
        <w:rPr>
          <w:rFonts w:hint="eastAsia" w:ascii="宋体" w:hAnsi="宋体" w:eastAsia="宋体" w:cs="宋体"/>
          <w:b/>
          <w:bCs/>
          <w:color w:val="auto"/>
          <w:sz w:val="24"/>
          <w:szCs w:val="24"/>
        </w:rPr>
      </w:pPr>
      <w:r>
        <w:rPr>
          <w:rFonts w:hint="eastAsia" w:ascii="宋体" w:hAnsi="宋体" w:eastAsia="宋体" w:cs="宋体"/>
          <w:b/>
          <w:color w:val="auto"/>
          <w:sz w:val="24"/>
          <w:szCs w:val="24"/>
        </w:rPr>
        <w:t>17、</w:t>
      </w:r>
      <w:r>
        <w:rPr>
          <w:rFonts w:hint="eastAsia" w:ascii="宋体" w:hAnsi="宋体" w:eastAsia="宋体" w:cs="宋体"/>
          <w:b/>
          <w:bCs/>
          <w:color w:val="auto"/>
          <w:sz w:val="24"/>
          <w:szCs w:val="24"/>
        </w:rPr>
        <w:t>投标文件的补充、修改与撤回</w:t>
      </w:r>
    </w:p>
    <w:p>
      <w:pPr>
        <w:tabs>
          <w:tab w:val="left" w:pos="315"/>
        </w:tabs>
        <w:adjustRightInd w:val="0"/>
        <w:snapToGrid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17.1投标人在提交投标文件以后，在规定的投标截止时间之前，可以以重新补充修改或撤回已上传的投标文件，补充、修改的内容为投标文件的组成部分。</w:t>
      </w:r>
    </w:p>
    <w:p>
      <w:pPr>
        <w:pStyle w:val="3"/>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17.2在投标截止时间之后，投标人不得对其投标做任何修改。</w:t>
      </w:r>
    </w:p>
    <w:p>
      <w:pPr>
        <w:pStyle w:val="23"/>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17.3从投标截止时间至投标人在投标书格式中确定的投标有效期期满这段时间内，投标人不得撤回其投标。</w:t>
      </w:r>
    </w:p>
    <w:p>
      <w:pPr>
        <w:pStyle w:val="7"/>
        <w:numPr>
          <w:ilvl w:val="0"/>
          <w:numId w:val="1"/>
        </w:numPr>
        <w:spacing w:before="0" w:after="0" w:line="440" w:lineRule="exact"/>
        <w:ind w:firstLine="643" w:firstLineChars="200"/>
        <w:rPr>
          <w:rFonts w:hint="eastAsia" w:ascii="宋体" w:hAnsi="宋体" w:eastAsia="宋体" w:cs="宋体"/>
          <w:color w:val="auto"/>
          <w:sz w:val="32"/>
        </w:rPr>
      </w:pPr>
      <w:bookmarkStart w:id="80" w:name="_Toc107820050"/>
      <w:bookmarkStart w:id="81" w:name="_Toc20629"/>
      <w:bookmarkStart w:id="82" w:name="_Toc2811"/>
      <w:r>
        <w:rPr>
          <w:rFonts w:hint="eastAsia" w:ascii="宋体" w:hAnsi="宋体" w:eastAsia="宋体" w:cs="宋体"/>
          <w:color w:val="auto"/>
          <w:sz w:val="32"/>
        </w:rPr>
        <w:t>开标和评</w:t>
      </w:r>
      <w:bookmarkEnd w:id="80"/>
      <w:r>
        <w:rPr>
          <w:rFonts w:hint="eastAsia" w:ascii="宋体" w:hAnsi="宋体" w:eastAsia="宋体" w:cs="宋体"/>
          <w:color w:val="auto"/>
          <w:sz w:val="32"/>
        </w:rPr>
        <w:t>审</w:t>
      </w:r>
      <w:bookmarkEnd w:id="81"/>
      <w:bookmarkEnd w:id="82"/>
    </w:p>
    <w:p>
      <w:pPr>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18.开标</w:t>
      </w:r>
    </w:p>
    <w:p>
      <w:pPr>
        <w:spacing w:line="3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18.1本项目实行电子开评标，投标方无需前往开评标现场，只需在规定时间内在“政采云”平台上上传电子投标文件。</w:t>
      </w:r>
    </w:p>
    <w:p>
      <w:pPr>
        <w:pStyle w:val="3"/>
        <w:spacing w:line="440" w:lineRule="exact"/>
        <w:ind w:right="579"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18.2</w:t>
      </w:r>
      <w:r>
        <w:rPr>
          <w:rFonts w:hint="eastAsia" w:ascii="宋体" w:hAnsi="宋体" w:eastAsia="宋体" w:cs="宋体"/>
          <w:color w:val="auto"/>
          <w:sz w:val="24"/>
          <w:szCs w:val="24"/>
        </w:rPr>
        <w:t>电子开评标及评审程序</w:t>
      </w:r>
    </w:p>
    <w:p>
      <w:pPr>
        <w:spacing w:line="3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2.1投标截止时间后的1小时内（开标当日上午9</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30-10</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 xml:space="preserve">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以外，建议全程由一台电脑进行操作（包括标书制作、上传、解密等），中途不要更换电脑； </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2.2.评标委员会对投标方的资格和商务技术响应文件进行评审；</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2.3评标委员会对报价情况进行评审；</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2.4在系统上公布评审结果。</w:t>
      </w:r>
    </w:p>
    <w:p>
      <w:pPr>
        <w:spacing w:line="440" w:lineRule="exact"/>
        <w:ind w:firstLine="482" w:firstLineChars="200"/>
        <w:rPr>
          <w:rFonts w:hint="eastAsia" w:ascii="宋体" w:hAnsi="宋体" w:eastAsia="宋体" w:cs="宋体"/>
          <w:b/>
          <w:color w:val="auto"/>
          <w:sz w:val="24"/>
          <w:szCs w:val="24"/>
          <w:u w:val="single"/>
        </w:rPr>
      </w:pPr>
      <w:r>
        <w:rPr>
          <w:rFonts w:hint="eastAsia" w:ascii="宋体" w:hAnsi="宋体" w:eastAsia="宋体" w:cs="宋体"/>
          <w:b/>
          <w:color w:val="auto"/>
          <w:sz w:val="24"/>
          <w:szCs w:val="24"/>
          <w:u w:val="single"/>
        </w:rPr>
        <w:t>特别说明：政采云公司如对电子化开标及评审程序有调整的，按调整后的程序操作。</w:t>
      </w:r>
    </w:p>
    <w:p>
      <w:pPr>
        <w:spacing w:line="480" w:lineRule="exact"/>
        <w:ind w:firstLine="482" w:firstLineChars="200"/>
        <w:rPr>
          <w:rFonts w:hint="eastAsia" w:ascii="宋体" w:hAnsi="宋体" w:eastAsia="宋体" w:cs="宋体"/>
          <w:b/>
          <w:color w:val="auto"/>
          <w:sz w:val="24"/>
          <w:szCs w:val="24"/>
        </w:rPr>
      </w:pPr>
      <w:bookmarkStart w:id="83" w:name="_Toc415648536"/>
      <w:bookmarkStart w:id="84" w:name="_Toc396838136"/>
      <w:bookmarkStart w:id="85" w:name="_Toc393869892"/>
      <w:bookmarkStart w:id="86" w:name="_Toc334087238"/>
      <w:bookmarkStart w:id="87" w:name="_Toc107820051"/>
      <w:bookmarkStart w:id="88" w:name="_Toc394928032"/>
      <w:bookmarkStart w:id="89" w:name="_Toc335664280"/>
      <w:bookmarkStart w:id="90" w:name="_Toc393869894"/>
      <w:r>
        <w:rPr>
          <w:rFonts w:hint="eastAsia" w:ascii="宋体" w:hAnsi="宋体" w:eastAsia="宋体" w:cs="宋体"/>
          <w:b/>
          <w:color w:val="auto"/>
          <w:sz w:val="24"/>
          <w:szCs w:val="24"/>
        </w:rPr>
        <w:t>20. 资格审查</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20.1 采购人或采购代理机构按资格要求和资格审查文件要求对投标人进行资格审查及记录。并当场告知审查结果。</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20.2经资格审查后合格的投标人不足三家的，不得进入评审，并按相关规定重新组织招标。</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21. 评审流程：详见第六章。</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22. 投标文件的澄清</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22.1对</w:t>
      </w:r>
      <w:r>
        <w:rPr>
          <w:rFonts w:hint="eastAsia" w:ascii="宋体" w:hAnsi="宋体" w:eastAsia="宋体" w:cs="宋体"/>
          <w:color w:val="auto"/>
          <w:kern w:val="0"/>
          <w:sz w:val="24"/>
        </w:rPr>
        <w:t>投标文件</w:t>
      </w:r>
      <w:r>
        <w:rPr>
          <w:rFonts w:hint="eastAsia" w:ascii="宋体" w:hAnsi="宋体" w:eastAsia="宋体" w:cs="宋体"/>
          <w:color w:val="auto"/>
          <w:sz w:val="24"/>
        </w:rPr>
        <w:t>中含义不明确、同类问题表述不一致或者有明显文字和计算错误的内容，评标委员会应当以书面形式要求投标人作出必要的澄清、说明或者补正。</w:t>
      </w:r>
      <w:r>
        <w:rPr>
          <w:rFonts w:hint="eastAsia" w:ascii="宋体" w:hAnsi="宋体" w:eastAsia="宋体" w:cs="宋体"/>
          <w:b/>
          <w:color w:val="auto"/>
          <w:sz w:val="24"/>
        </w:rPr>
        <w:t>电子投标文件澄清、说明或者补正通过电子交易平台交换数据电子文件，供应商提交澄清说明或补正的时间为30分钟。</w:t>
      </w:r>
      <w:r>
        <w:rPr>
          <w:rFonts w:hint="eastAsia" w:ascii="宋体" w:hAnsi="宋体" w:eastAsia="宋体" w:cs="宋体"/>
          <w:color w:val="auto"/>
          <w:sz w:val="24"/>
        </w:rPr>
        <w:t>投标人的澄清、说明或者补正不得超出投标文件的范围或者改变投标文件的实质性内容。</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22.2报价算术错误将按以下方法修正：</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color w:val="auto"/>
          <w:sz w:val="24"/>
        </w:rPr>
        <w:t>（1）</w:t>
      </w:r>
      <w:r>
        <w:rPr>
          <w:rFonts w:hint="eastAsia" w:ascii="宋体" w:hAnsi="宋体" w:eastAsia="宋体" w:cs="宋体"/>
          <w:color w:val="auto"/>
          <w:kern w:val="0"/>
          <w:sz w:val="24"/>
        </w:rPr>
        <w:t>报价文件</w:t>
      </w:r>
      <w:r>
        <w:rPr>
          <w:rFonts w:hint="eastAsia" w:ascii="宋体" w:hAnsi="宋体" w:eastAsia="宋体" w:cs="宋体"/>
          <w:bCs/>
          <w:color w:val="auto"/>
          <w:sz w:val="24"/>
        </w:rPr>
        <w:t>中开标一览表（报价表）内容与</w:t>
      </w:r>
      <w:r>
        <w:rPr>
          <w:rFonts w:hint="eastAsia" w:ascii="宋体" w:hAnsi="宋体" w:eastAsia="宋体" w:cs="宋体"/>
          <w:color w:val="auto"/>
          <w:kern w:val="0"/>
          <w:sz w:val="24"/>
        </w:rPr>
        <w:t>报价</w:t>
      </w:r>
      <w:r>
        <w:rPr>
          <w:rFonts w:hint="eastAsia" w:ascii="宋体" w:hAnsi="宋体" w:eastAsia="宋体" w:cs="宋体"/>
          <w:bCs/>
          <w:color w:val="auto"/>
          <w:sz w:val="24"/>
        </w:rPr>
        <w:t>明细表相应内容不一致的，以开标一览表（报价表）为准；</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（2）报价文件的大写金额和小写金额不一致的，以大写金额为准；</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（3）单价金额小数点或者百分比有明显错位的，以开标一览表（报价表）的总价为准，并修改单价；</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（4）总价金额与按单价汇总金额不一致的，以单价金额计算结果为准；</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（5）同时出现两种以上不一致的，按上述顺序修正；</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bCs/>
          <w:color w:val="auto"/>
          <w:sz w:val="24"/>
        </w:rPr>
        <w:t>（6）对不同文字文本</w:t>
      </w:r>
      <w:r>
        <w:rPr>
          <w:rFonts w:hint="eastAsia" w:ascii="宋体" w:hAnsi="宋体" w:eastAsia="宋体" w:cs="宋体"/>
          <w:color w:val="auto"/>
          <w:kern w:val="0"/>
          <w:sz w:val="24"/>
        </w:rPr>
        <w:t>投标文件</w:t>
      </w:r>
      <w:r>
        <w:rPr>
          <w:rFonts w:hint="eastAsia" w:ascii="宋体" w:hAnsi="宋体" w:eastAsia="宋体" w:cs="宋体"/>
          <w:bCs/>
          <w:color w:val="auto"/>
          <w:sz w:val="24"/>
        </w:rPr>
        <w:t>的解释发生异议的，以中文文本为准；</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（7）修正错误的的投标报价，经投标人的负责人（或授权代表）同意签字确认后产生约束力。调整后的投标报价对投标人具有约束作用。若投标人不接受修正后的投标报价，则其投标将作为无效投标处理。</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23. 对投标文件的比较和评估</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23.1评标委员会根据招标文件规定的评审办法和标准、对符合性审查合格投标人的投标文件及澄清答复内容进行商务和技术评估，综合比较与评价，并按照平等、客观、公正的原则对投标文件进行综合评审和评分。</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24. 评标报告</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评标委员会根据全体评审成员签字的原始评审记录和评审结果编写评标报告，并推荐中标候选人，评审报告由评标委员会成员签字确认提交。</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25. 保密和评审过程的监控</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25.1 自开标时间起至中标结果公告发布时间止，凡属于审查、澄清、评估和比较投标的有关资料，且与授予合同有关的信息都不得向任何投标人或与上述评审过程无关的人员透露。</w:t>
      </w:r>
    </w:p>
    <w:p>
      <w:pPr>
        <w:spacing w:line="460" w:lineRule="exact"/>
        <w:ind w:firstLine="480" w:firstLineChars="200"/>
        <w:rPr>
          <w:rFonts w:hint="eastAsia" w:ascii="宋体" w:hAnsi="宋体" w:eastAsia="宋体" w:cs="宋体"/>
          <w:color w:val="auto"/>
          <w:sz w:val="20"/>
        </w:rPr>
      </w:pPr>
      <w:r>
        <w:rPr>
          <w:rFonts w:hint="eastAsia" w:ascii="宋体" w:hAnsi="宋体" w:eastAsia="宋体" w:cs="宋体"/>
          <w:color w:val="auto"/>
          <w:sz w:val="24"/>
        </w:rPr>
        <w:t>25.2 本项目开标、评审过程实行全程录音、录像监控，投标人在开标、评审过程中所进行的试图影响评审结果的不公正行为或授予合同决定的过程施加影响的企图和行为，可能导致其投标被拒绝。</w:t>
      </w:r>
    </w:p>
    <w:p>
      <w:pPr>
        <w:pStyle w:val="7"/>
        <w:spacing w:before="0" w:after="0" w:line="460" w:lineRule="exact"/>
        <w:ind w:firstLine="602" w:firstLineChars="200"/>
        <w:rPr>
          <w:rFonts w:hint="eastAsia" w:ascii="宋体" w:hAnsi="宋体" w:eastAsia="宋体" w:cs="宋体"/>
          <w:color w:val="auto"/>
        </w:rPr>
      </w:pPr>
      <w:bookmarkStart w:id="91" w:name="_Toc3094"/>
      <w:bookmarkStart w:id="92" w:name="_Toc493956039"/>
      <w:bookmarkStart w:id="93" w:name="_Toc494555855"/>
      <w:bookmarkStart w:id="94" w:name="_Toc22631"/>
      <w:r>
        <w:rPr>
          <w:rFonts w:hint="eastAsia" w:ascii="宋体" w:hAnsi="宋体" w:eastAsia="宋体" w:cs="宋体"/>
          <w:color w:val="auto"/>
        </w:rPr>
        <w:t>六、投标无效的情形</w:t>
      </w:r>
      <w:bookmarkEnd w:id="91"/>
      <w:bookmarkEnd w:id="92"/>
      <w:bookmarkEnd w:id="93"/>
      <w:bookmarkEnd w:id="94"/>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eastAsia="宋体" w:cs="宋体"/>
          <w:color w:val="auto"/>
          <w:kern w:val="0"/>
          <w:sz w:val="24"/>
        </w:rPr>
        <w:t>投标文件</w:t>
      </w:r>
      <w:r>
        <w:rPr>
          <w:rFonts w:hint="eastAsia" w:ascii="宋体" w:hAnsi="宋体" w:eastAsia="宋体" w:cs="宋体"/>
          <w:color w:val="auto"/>
          <w:sz w:val="24"/>
        </w:rPr>
        <w:t>无效：</w:t>
      </w:r>
    </w:p>
    <w:p>
      <w:pPr>
        <w:spacing w:line="460" w:lineRule="exact"/>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26.1逾期上传电子档投标文件至“政采云”平台的；</w:t>
      </w:r>
    </w:p>
    <w:p>
      <w:pPr>
        <w:spacing w:line="460" w:lineRule="exact"/>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26.2电子投标文件未按规定要求提供电子签章的。</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26.3 电子投标的，电子投标文件未在规定时间内解密的（备份电子投标文件按要求提供的除外）；</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26.4不具备招标文件规定资格要求的；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26.5 投标有效期不足的；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26.6评标委员会评定有实质上 “▲”条款的负偏离的；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26.7评标委员会评定有非实质性负偏离超过招标文件规定项数的；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26.8投标文件含有采购人不能接受的附加条款的；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26.9报价超过招标文件中规定的预算金额或者最高限价的；</w:t>
      </w:r>
    </w:p>
    <w:p>
      <w:pPr>
        <w:spacing w:line="460" w:lineRule="exact"/>
        <w:ind w:firstLine="482" w:firstLineChars="200"/>
        <w:rPr>
          <w:rFonts w:hint="eastAsia" w:ascii="宋体" w:hAnsi="宋体" w:eastAsia="宋体" w:cs="宋体"/>
          <w:b/>
          <w:color w:val="auto"/>
          <w:kern w:val="0"/>
          <w:sz w:val="24"/>
        </w:rPr>
      </w:pPr>
      <w:r>
        <w:rPr>
          <w:rFonts w:hint="eastAsia" w:ascii="宋体" w:hAnsi="宋体" w:eastAsia="宋体" w:cs="宋体"/>
          <w:b/>
          <w:color w:val="auto"/>
          <w:kern w:val="0"/>
          <w:sz w:val="24"/>
        </w:rPr>
        <w:t>26.10招标文件中未要求，但投标人给予赠品、回扣或与采购无关的其他商品、服务的；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26.11投标报价存在漏项或报价数量少于采购要求的；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26.13投标人已明知采购期间或之后企业将发生兼并改制，或提供的产品将停产、淘汰，或必须有偿使用专供的备品备件和试剂耗材的，及其他应当告知采购人可能影响采购项目实施或损害采购人利益的信息，不在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eastAsia="宋体" w:cs="宋体"/>
          <w:color w:val="auto"/>
          <w:kern w:val="0"/>
          <w:sz w:val="24"/>
        </w:rPr>
        <w:t>投标文件</w:t>
      </w:r>
      <w:r>
        <w:rPr>
          <w:rFonts w:hint="eastAsia" w:ascii="宋体" w:hAnsi="宋体" w:eastAsia="宋体" w:cs="宋体"/>
          <w:color w:val="auto"/>
          <w:sz w:val="24"/>
        </w:rPr>
        <w:t>中予以特别说明的；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26.14提供虚假材料谋取中标的；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26.15在招标过程中与采购人进行协商谈判、不按招标文件和中标人的</w:t>
      </w:r>
      <w:r>
        <w:rPr>
          <w:rFonts w:hint="eastAsia" w:ascii="宋体" w:hAnsi="宋体" w:eastAsia="宋体" w:cs="宋体"/>
          <w:color w:val="auto"/>
          <w:kern w:val="0"/>
          <w:sz w:val="24"/>
        </w:rPr>
        <w:t>投标文件</w:t>
      </w:r>
      <w:r>
        <w:rPr>
          <w:rFonts w:hint="eastAsia" w:ascii="宋体" w:hAnsi="宋体" w:eastAsia="宋体" w:cs="宋体"/>
          <w:color w:val="auto"/>
          <w:sz w:val="24"/>
        </w:rPr>
        <w:t>订立合同，或者与采购人另行订立背离合同实质性内容的协议的；</w:t>
      </w:r>
    </w:p>
    <w:p>
      <w:pPr>
        <w:spacing w:line="460" w:lineRule="exact"/>
        <w:ind w:firstLine="480" w:firstLineChars="200"/>
        <w:rPr>
          <w:rFonts w:hint="eastAsia" w:ascii="宋体" w:hAnsi="宋体" w:eastAsia="宋体" w:cs="宋体"/>
          <w:color w:val="auto"/>
        </w:rPr>
      </w:pPr>
      <w:r>
        <w:rPr>
          <w:rFonts w:hint="eastAsia" w:ascii="宋体" w:hAnsi="宋体" w:eastAsia="宋体" w:cs="宋体"/>
          <w:color w:val="auto"/>
          <w:sz w:val="24"/>
        </w:rPr>
        <w:t>26.16招标文件规定的其他</w:t>
      </w:r>
      <w:r>
        <w:rPr>
          <w:rFonts w:hint="eastAsia" w:ascii="宋体" w:hAnsi="宋体" w:eastAsia="宋体" w:cs="宋体"/>
          <w:color w:val="auto"/>
          <w:kern w:val="0"/>
          <w:sz w:val="24"/>
        </w:rPr>
        <w:t>投标文件</w:t>
      </w:r>
      <w:r>
        <w:rPr>
          <w:rFonts w:hint="eastAsia" w:ascii="宋体" w:hAnsi="宋体" w:eastAsia="宋体" w:cs="宋体"/>
          <w:color w:val="auto"/>
          <w:sz w:val="24"/>
        </w:rPr>
        <w:t>无效情形。</w:t>
      </w:r>
      <w:bookmarkStart w:id="95" w:name="EB09b84f7f941446eb81ae304223ba6dc4"/>
      <w:bookmarkEnd w:id="95"/>
      <w:bookmarkStart w:id="96" w:name="EBdafef940fa674575a283c03dcfd15197"/>
      <w:bookmarkEnd w:id="96"/>
    </w:p>
    <w:p>
      <w:pPr>
        <w:pStyle w:val="7"/>
        <w:spacing w:before="0" w:after="0" w:line="460" w:lineRule="exact"/>
        <w:ind w:firstLine="643" w:firstLineChars="200"/>
        <w:rPr>
          <w:rFonts w:hint="eastAsia" w:ascii="宋体" w:hAnsi="宋体" w:eastAsia="宋体" w:cs="宋体"/>
          <w:b w:val="0"/>
          <w:bCs w:val="0"/>
          <w:color w:val="auto"/>
          <w:sz w:val="32"/>
        </w:rPr>
      </w:pPr>
      <w:bookmarkStart w:id="97" w:name="_Toc13099"/>
      <w:bookmarkStart w:id="98" w:name="_Toc18711"/>
      <w:bookmarkStart w:id="99" w:name="_Toc494555856"/>
      <w:bookmarkStart w:id="100" w:name="_Toc493956040"/>
      <w:r>
        <w:rPr>
          <w:rFonts w:hint="eastAsia" w:ascii="宋体" w:hAnsi="宋体" w:eastAsia="宋体" w:cs="宋体"/>
          <w:color w:val="auto"/>
          <w:sz w:val="32"/>
        </w:rPr>
        <w:t>七、法律责任</w:t>
      </w:r>
      <w:bookmarkEnd w:id="97"/>
      <w:bookmarkEnd w:id="98"/>
      <w:bookmarkEnd w:id="99"/>
      <w:bookmarkEnd w:id="100"/>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27.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27.1提供虚假材料谋取中标的；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27.2采取不正当手段诋毁、排挤其他投标人的；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27.3与采购人、其他投标人或者采购代理机构恶意串通的；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27.4向采购人、采购代理机构行贿或者提供其他不正当利益的；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27.5在招标采购过程中与采购人进行协商谈判的；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27.6拒绝有关部门监督检查或者提供虚假情况的；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投标人有前款27.1至27.5项情形之一的，中标无效。</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28.投标人有下列情形之一的，依照政府采购法第七十七条第一款的规定追究法律责任：</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28.1向评标委员会或者评标委员会成员行贿或者提供其他不正当利益；</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28.2中标或者成交后无正当理由拒不与采购人签订政府采购合同；</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28.3未按照招标文件确定的事项签订政府采购合同；</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28.4将政府采购合同转包；</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28.5提供假冒伪劣产品；</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28.6擅自变更、中止或者终止政府采购合同。</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29.投标人捏造事实、提供虚假材料或者以非法手段取得证明材料进行投诉的，由财政部门列入不良行为记录名单，禁止其1至3年内参加政府采购活动。</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30.有下列情形之一的，属于恶意串通，对投标人依照政府采购法第七十七条第一款的规定追究法律责任，对采购人、采购代理机构及其工作人员依照政府采购法第七十二条的规定追究法律责任：</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30.1投标人直接或者间接从采购人或者采购代理机构处获得其他投标人的相关情况并修改其</w:t>
      </w:r>
      <w:r>
        <w:rPr>
          <w:rFonts w:hint="eastAsia" w:ascii="宋体" w:hAnsi="宋体" w:eastAsia="宋体" w:cs="宋体"/>
          <w:color w:val="auto"/>
          <w:kern w:val="0"/>
          <w:sz w:val="24"/>
        </w:rPr>
        <w:t>投标文件</w:t>
      </w:r>
      <w:r>
        <w:rPr>
          <w:rFonts w:hint="eastAsia" w:ascii="宋体" w:hAnsi="宋体" w:eastAsia="宋体" w:cs="宋体"/>
          <w:color w:val="auto"/>
          <w:sz w:val="24"/>
        </w:rPr>
        <w:t>；</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30.2投标人按照采购人或者采购代理机构的授意撤换、修改</w:t>
      </w:r>
      <w:r>
        <w:rPr>
          <w:rFonts w:hint="eastAsia" w:ascii="宋体" w:hAnsi="宋体" w:eastAsia="宋体" w:cs="宋体"/>
          <w:color w:val="auto"/>
          <w:kern w:val="0"/>
          <w:sz w:val="24"/>
        </w:rPr>
        <w:t>投标文件</w:t>
      </w:r>
      <w:r>
        <w:rPr>
          <w:rFonts w:hint="eastAsia" w:ascii="宋体" w:hAnsi="宋体" w:eastAsia="宋体" w:cs="宋体"/>
          <w:color w:val="auto"/>
          <w:sz w:val="24"/>
        </w:rPr>
        <w:t>；</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30.3投标人之间协商报价、技术方案等</w:t>
      </w:r>
      <w:r>
        <w:rPr>
          <w:rFonts w:hint="eastAsia" w:ascii="宋体" w:hAnsi="宋体" w:eastAsia="宋体" w:cs="宋体"/>
          <w:color w:val="auto"/>
          <w:kern w:val="0"/>
          <w:sz w:val="24"/>
        </w:rPr>
        <w:t>投标文件</w:t>
      </w:r>
      <w:r>
        <w:rPr>
          <w:rFonts w:hint="eastAsia" w:ascii="宋体" w:hAnsi="宋体" w:eastAsia="宋体" w:cs="宋体"/>
          <w:color w:val="auto"/>
          <w:sz w:val="24"/>
        </w:rPr>
        <w:t>的实质性内容；</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30.4属于同一集团、协会、商会等组织成员的投标人按照该组织要求协同参加政府采购活动；</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30.5投标人之间事先约定由某一特定投标人中标、成交；</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30.6投标人之间商定部分投标人放弃参加政府采购活动或者放弃中标、成交；</w:t>
      </w:r>
    </w:p>
    <w:p>
      <w:pPr>
        <w:spacing w:line="460" w:lineRule="exact"/>
        <w:ind w:firstLine="480" w:firstLineChars="200"/>
        <w:rPr>
          <w:rFonts w:hint="eastAsia" w:ascii="宋体" w:hAnsi="宋体" w:eastAsia="宋体" w:cs="宋体"/>
          <w:color w:val="auto"/>
          <w:sz w:val="20"/>
        </w:rPr>
      </w:pPr>
      <w:r>
        <w:rPr>
          <w:rFonts w:hint="eastAsia" w:ascii="宋体" w:hAnsi="宋体" w:eastAsia="宋体" w:cs="宋体"/>
          <w:color w:val="auto"/>
          <w:sz w:val="24"/>
        </w:rPr>
        <w:t>30.7投标人与采购人或者采购代理机构之间、投标人相互之间，为谋求特定投标人中标、成交或者排斥其他投标人的其他串通行为；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30.8 不同投标人的投标文件由同一单位或者个人编制；</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30.9 不同投标人委托同一单位或者个人办理投标事宜；</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30.10 不同投标人的投标文件载明的项目管理成员或者联系人员为同一人；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30.11 不同投标人的投标文件异常一致或者投标报价呈规律性差异；</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30.12 不同投标人的投标文件相互混装；</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30.13 不同投标人的投标保证金从同一单位或者个人的账户转出。</w:t>
      </w:r>
    </w:p>
    <w:p>
      <w:pPr>
        <w:pStyle w:val="7"/>
        <w:spacing w:before="0" w:after="0" w:line="460" w:lineRule="exact"/>
        <w:ind w:firstLine="643" w:firstLineChars="200"/>
        <w:rPr>
          <w:rFonts w:hint="eastAsia" w:ascii="宋体" w:hAnsi="宋体" w:eastAsia="宋体" w:cs="宋体"/>
          <w:color w:val="auto"/>
          <w:sz w:val="32"/>
        </w:rPr>
      </w:pPr>
      <w:bookmarkStart w:id="101" w:name="_Toc20083"/>
      <w:bookmarkStart w:id="102" w:name="_Toc7795"/>
      <w:r>
        <w:rPr>
          <w:rFonts w:hint="eastAsia" w:ascii="宋体" w:hAnsi="宋体" w:eastAsia="宋体" w:cs="宋体"/>
          <w:color w:val="auto"/>
          <w:sz w:val="32"/>
        </w:rPr>
        <w:t>八、询问</w:t>
      </w:r>
      <w:bookmarkEnd w:id="83"/>
      <w:bookmarkEnd w:id="84"/>
      <w:bookmarkEnd w:id="85"/>
      <w:bookmarkEnd w:id="101"/>
      <w:bookmarkEnd w:id="102"/>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31.投标人有权就采购活动的事项在有效时限内提出询问。</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31.1投标人对采购活动事项有疑问的，可向采购代理机构提出询问，采购代理机构将在3个工作日内对供应商依法提出的询问作出答复，但答复的内容不涉及商业秘密。</w:t>
      </w:r>
    </w:p>
    <w:p>
      <w:pPr>
        <w:spacing w:line="460" w:lineRule="exact"/>
        <w:ind w:firstLine="480" w:firstLineChars="200"/>
        <w:rPr>
          <w:rFonts w:hint="eastAsia" w:ascii="宋体" w:hAnsi="宋体" w:eastAsia="宋体" w:cs="宋体"/>
          <w:color w:val="auto"/>
          <w:sz w:val="24"/>
        </w:rPr>
      </w:pPr>
      <w:bookmarkStart w:id="103" w:name="_Toc176659672"/>
      <w:bookmarkStart w:id="104" w:name="_Toc334087237"/>
      <w:bookmarkStart w:id="105" w:name="_Toc393869893"/>
      <w:bookmarkStart w:id="106" w:name="_Toc335664279"/>
      <w:bookmarkStart w:id="107" w:name="_Toc396838137"/>
      <w:r>
        <w:rPr>
          <w:rFonts w:hint="eastAsia" w:ascii="宋体" w:hAnsi="宋体" w:eastAsia="宋体" w:cs="宋体"/>
          <w:color w:val="auto"/>
          <w:sz w:val="24"/>
        </w:rPr>
        <w:t>31.2对招标文件有疑问的，应在规定的时间内向采购代理机构书面提出。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31.2.1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31.2.2采购代理机构将在投标截止时间十五日前对投标人澄清的要求予以答复，答复内容将在浙江政府采购网（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"http://60.190.126.3:8080/wcm/WCMV6/editor/editor/招标文件（新版）.doc" </w:instrText>
      </w:r>
      <w:r>
        <w:rPr>
          <w:rFonts w:hint="eastAsia" w:ascii="宋体" w:hAnsi="宋体" w:eastAsia="宋体" w:cs="宋体"/>
          <w:color w:val="auto"/>
        </w:rPr>
        <w:fldChar w:fldCharType="separate"/>
      </w:r>
      <w:r>
        <w:rPr>
          <w:rFonts w:hint="eastAsia" w:ascii="宋体" w:hAnsi="宋体" w:eastAsia="宋体" w:cs="宋体"/>
          <w:color w:val="auto"/>
          <w:sz w:val="24"/>
        </w:rPr>
        <w:t>www.zjzfcg.gov.cn</w:t>
      </w:r>
      <w:r>
        <w:rPr>
          <w:rFonts w:hint="eastAsia" w:ascii="宋体" w:hAnsi="宋体" w:eastAsia="宋体" w:cs="宋体"/>
          <w:color w:val="auto"/>
          <w:sz w:val="24"/>
        </w:rPr>
        <w:fldChar w:fldCharType="end"/>
      </w:r>
      <w:r>
        <w:rPr>
          <w:rFonts w:hint="eastAsia" w:ascii="宋体" w:hAnsi="宋体" w:eastAsia="宋体" w:cs="宋体"/>
          <w:color w:val="auto"/>
          <w:sz w:val="24"/>
        </w:rPr>
        <w:t>）、</w:t>
      </w:r>
      <w:r>
        <w:rPr>
          <w:rFonts w:hint="eastAsia" w:ascii="宋体" w:hAnsi="宋体" w:eastAsia="宋体" w:cs="宋体"/>
          <w:color w:val="auto"/>
          <w:kern w:val="0"/>
          <w:sz w:val="24"/>
        </w:rPr>
        <w:t xml:space="preserve">丽水市公共资源交易网（www.lssggzy.com） </w:t>
      </w:r>
      <w:r>
        <w:rPr>
          <w:rFonts w:hint="eastAsia" w:ascii="宋体" w:hAnsi="宋体" w:eastAsia="宋体" w:cs="宋体"/>
          <w:color w:val="auto"/>
          <w:sz w:val="24"/>
        </w:rPr>
        <w:t>上予以公布，请投标人务必关注相关网站，投标人因自身贻误行为导致投标失败的，责任自负。</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31.3投标人提出的询问超出采购人对采购代理机构委托授权范围的，采购代理机构应当告知供应商向采购人提出。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31.4政府采购评审专家应当配合采购人或者采购代理机构答复投标人的询问。</w:t>
      </w:r>
    </w:p>
    <w:p>
      <w:pPr>
        <w:pStyle w:val="7"/>
        <w:spacing w:before="0" w:after="0" w:line="460" w:lineRule="exact"/>
        <w:ind w:firstLine="643" w:firstLineChars="200"/>
        <w:rPr>
          <w:rFonts w:hint="eastAsia" w:ascii="宋体" w:hAnsi="宋体" w:eastAsia="宋体" w:cs="宋体"/>
          <w:color w:val="auto"/>
          <w:sz w:val="32"/>
        </w:rPr>
      </w:pPr>
      <w:bookmarkStart w:id="108" w:name="_Toc10356"/>
      <w:bookmarkStart w:id="109" w:name="_Toc23504"/>
      <w:bookmarkStart w:id="110" w:name="_Toc415648537"/>
      <w:r>
        <w:rPr>
          <w:rFonts w:hint="eastAsia" w:ascii="宋体" w:hAnsi="宋体" w:eastAsia="宋体" w:cs="宋体"/>
          <w:color w:val="auto"/>
          <w:sz w:val="32"/>
        </w:rPr>
        <w:t>九、质疑</w:t>
      </w:r>
      <w:bookmarkEnd w:id="103"/>
      <w:bookmarkEnd w:id="104"/>
      <w:bookmarkEnd w:id="105"/>
      <w:bookmarkEnd w:id="106"/>
      <w:bookmarkEnd w:id="107"/>
      <w:bookmarkEnd w:id="108"/>
      <w:bookmarkEnd w:id="109"/>
      <w:bookmarkEnd w:id="110"/>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32.1投标人认为招标文件、采购过程和中标结果使自己的权益受到损害的，可以在知道或者应知其权益受到损害之日起七个工作日内，以书面形式向采购代理机构提出质疑。</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32.2质疑的主要内容应符合相关法律法规以及浙江省和丽水市相关文件的规定。质疑内容涉及保密事项，质疑供应商应提供有效的信息来源或有效证据。</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32.3质疑供应商可直接提交、传真或邮寄方式提交质疑书（一式三份以上）。以其他方式提出的质疑，采购代理机构可不予接受、答复。</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32.3.1邮寄方式送达质疑书的，以采购代理机构实际收到邮件之日作为收到质疑的日期。</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32.3.2传真方式送达质疑书的，质疑供应商应当取得采购代理机构确认收到传真的意见，并及时将质疑书原件送达采购代理机构。采购代理机构以实际收到原件之日作为收到质疑的日期。</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32.3.3在质疑期限届满前，质疑书已经邮寄或传真成功的，质疑不视为过期。</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32.4质疑供应商提供的相关材料中有外文资料的，应将与质疑相关的外文资料完整、客观、真实地翻译为中文，并注明翻译人员姓名、工作单位、联系方式等信息。</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32.5采购代理机构在收到质疑供应商的书面质疑后7个工作日内作出答复，并以书面形式答复质疑供应商。</w:t>
      </w:r>
    </w:p>
    <w:p>
      <w:pPr>
        <w:pStyle w:val="23"/>
        <w:spacing w:line="46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32.6质疑供应商捏造事实、提供虚假材料进行质疑的，采购代理机构报告同级财政部门，由同级财政部门审查，情况属实的，应列入不良行为记录，并在指定的媒体上公告，投标保证金不予退还。</w:t>
      </w:r>
    </w:p>
    <w:p>
      <w:pPr>
        <w:pStyle w:val="7"/>
        <w:spacing w:before="0" w:after="0" w:line="460" w:lineRule="exact"/>
        <w:ind w:firstLine="643" w:firstLineChars="200"/>
        <w:rPr>
          <w:rFonts w:hint="eastAsia" w:ascii="宋体" w:hAnsi="宋体" w:eastAsia="宋体" w:cs="宋体"/>
          <w:color w:val="auto"/>
          <w:sz w:val="32"/>
          <w:lang w:val="en-US" w:eastAsia="zh-CN"/>
        </w:rPr>
      </w:pPr>
      <w:bookmarkStart w:id="111" w:name="_Toc4170"/>
      <w:r>
        <w:rPr>
          <w:rFonts w:hint="eastAsia" w:ascii="宋体" w:hAnsi="宋体" w:eastAsia="宋体" w:cs="宋体"/>
          <w:color w:val="auto"/>
          <w:sz w:val="32"/>
          <w:lang w:val="en-US" w:eastAsia="zh-CN"/>
        </w:rPr>
        <w:t>十、投诉</w:t>
      </w:r>
      <w:bookmarkEnd w:id="111"/>
    </w:p>
    <w:p>
      <w:pPr>
        <w:pStyle w:val="23"/>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bCs/>
          <w:color w:val="auto"/>
          <w:kern w:val="2"/>
          <w:sz w:val="32"/>
          <w:szCs w:val="20"/>
          <w:lang w:val="en-US" w:eastAsia="zh-CN" w:bidi="ar-SA"/>
        </w:rPr>
      </w:pPr>
      <w:r>
        <w:rPr>
          <w:rFonts w:hint="eastAsia" w:ascii="宋体" w:hAnsi="宋体" w:eastAsia="宋体" w:cs="宋体"/>
          <w:color w:val="auto"/>
          <w:sz w:val="24"/>
          <w:szCs w:val="21"/>
          <w:lang w:val="en-US" w:eastAsia="zh-CN"/>
        </w:rPr>
        <w:t>33.1</w:t>
      </w:r>
      <w:r>
        <w:rPr>
          <w:rFonts w:hint="eastAsia" w:ascii="宋体" w:hAnsi="宋体" w:eastAsia="宋体" w:cs="宋体"/>
          <w:color w:val="auto"/>
          <w:sz w:val="24"/>
          <w:szCs w:val="21"/>
        </w:rPr>
        <w:t>. 质疑投标人对采购代理机构的答复不满意或者采购代理机构未在规定时间内答复的，可以在答复期满后十五个工作日内按有关规定，向</w:t>
      </w:r>
      <w:bookmarkStart w:id="112" w:name="EB182f669a4c17453fae644b1dea2457c2"/>
      <w:r>
        <w:rPr>
          <w:rFonts w:hint="eastAsia" w:ascii="宋体" w:hAnsi="宋体" w:eastAsia="宋体" w:cs="宋体"/>
          <w:color w:val="auto"/>
          <w:sz w:val="24"/>
          <w:szCs w:val="21"/>
        </w:rPr>
        <w:t>龙泉市</w:t>
      </w:r>
      <w:bookmarkEnd w:id="112"/>
      <w:r>
        <w:rPr>
          <w:rFonts w:hint="eastAsia" w:hAnsi="宋体" w:cs="宋体"/>
          <w:color w:val="auto"/>
          <w:sz w:val="24"/>
          <w:szCs w:val="21"/>
          <w:lang w:val="en-US" w:eastAsia="zh-CN"/>
        </w:rPr>
        <w:t>塔石街道纪检部门</w:t>
      </w:r>
      <w:r>
        <w:rPr>
          <w:rFonts w:hint="eastAsia" w:ascii="宋体" w:hAnsi="宋体" w:eastAsia="宋体" w:cs="宋体"/>
          <w:color w:val="auto"/>
          <w:sz w:val="24"/>
          <w:szCs w:val="21"/>
        </w:rPr>
        <w:t>投诉。</w:t>
      </w:r>
    </w:p>
    <w:bookmarkEnd w:id="86"/>
    <w:bookmarkEnd w:id="87"/>
    <w:bookmarkEnd w:id="88"/>
    <w:bookmarkEnd w:id="89"/>
    <w:bookmarkEnd w:id="90"/>
    <w:p>
      <w:pPr>
        <w:pStyle w:val="7"/>
        <w:spacing w:before="0" w:after="0" w:line="460" w:lineRule="exact"/>
        <w:ind w:firstLine="643" w:firstLineChars="200"/>
        <w:rPr>
          <w:rFonts w:hint="eastAsia" w:ascii="宋体" w:hAnsi="宋体" w:eastAsia="宋体" w:cs="宋体"/>
          <w:color w:val="auto"/>
          <w:sz w:val="32"/>
        </w:rPr>
      </w:pPr>
      <w:bookmarkStart w:id="113" w:name="_Toc10303"/>
      <w:bookmarkStart w:id="114" w:name="_Toc511063475"/>
      <w:bookmarkStart w:id="115" w:name="_Toc11929"/>
      <w:bookmarkStart w:id="116" w:name="_Toc513047133"/>
      <w:r>
        <w:rPr>
          <w:rFonts w:hint="eastAsia" w:ascii="宋体" w:hAnsi="宋体" w:eastAsia="宋体" w:cs="宋体"/>
          <w:color w:val="auto"/>
          <w:sz w:val="32"/>
        </w:rPr>
        <w:t>十</w:t>
      </w:r>
      <w:r>
        <w:rPr>
          <w:rFonts w:hint="eastAsia" w:ascii="宋体" w:hAnsi="宋体" w:eastAsia="宋体" w:cs="宋体"/>
          <w:color w:val="auto"/>
          <w:sz w:val="32"/>
          <w:lang w:val="en-US" w:eastAsia="zh-CN"/>
        </w:rPr>
        <w:t>一</w:t>
      </w:r>
      <w:r>
        <w:rPr>
          <w:rFonts w:hint="eastAsia" w:ascii="宋体" w:hAnsi="宋体" w:eastAsia="宋体" w:cs="宋体"/>
          <w:color w:val="auto"/>
          <w:sz w:val="32"/>
        </w:rPr>
        <w:t>、授予合同</w:t>
      </w:r>
      <w:bookmarkEnd w:id="113"/>
      <w:bookmarkEnd w:id="114"/>
      <w:bookmarkEnd w:id="115"/>
      <w:bookmarkEnd w:id="116"/>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34. 中标结果公告及中标通知书</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34.1采购代理机构将在“浙江政府采购网”和“丽水市公共资源交易网”上发布中标结果公告。中标结果公告内容不包括国家秘密、商业秘密</w:t>
      </w:r>
      <w:r>
        <w:rPr>
          <w:rFonts w:hint="eastAsia" w:ascii="宋体" w:hAnsi="宋体" w:eastAsia="宋体" w:cs="宋体"/>
          <w:color w:val="auto"/>
          <w:sz w:val="24"/>
        </w:rPr>
        <w:t>。</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34.2发布中标公告的同时，采购代理机构向中标人书面发出中标通知书。</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35.授予合同时变更数量的权力</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35.1采购人需追加与合同标的相同的货物、工程或者服务的，在不改变合同其他条款的前提下，可经同级政府采购管理办公室批准直接与中标人签订补充合同，但所补充合同的采购金额不得超过原合同采购金额的10%。</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36.签订合同</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36.1中标人自中标通知书发出之日起30天内与采购人签定合同。</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36.2招标文件、中标人的投标文件及其澄清文件等,均为签订合同的依据。</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36.3中标人不遵守招标文件和投标文件的要约条款及所作的承诺,擅自修改报价或在中标通知书发出之日起30天内,借故拖延、拒签合同者,采购人将不退还投标保证金。同时采购人有权取消该投标人的中标资格。</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按有关法律法规中标人拒绝与采购人签订合同的，采购人可以按照评审报告推荐的中标候选人名单排序，确定下一候选人为中标人，也可以重新开展政府采购活动。</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36.4询问或者质疑事项可能影响中标结果的，采购人应当暂停签订合同，已经签订合同的，应当中止履行合同。（中标结果的质疑期为中标结果公告期限届满之日起七个工作日）。</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36.5如中标人在履约期间未履行有关义务或项目未验收通过的，采购人将延期退还中标供应商履约保证金，直到中标人正常履行有关义务止。</w:t>
      </w:r>
    </w:p>
    <w:p>
      <w:pPr>
        <w:pStyle w:val="7"/>
        <w:spacing w:before="0" w:after="0" w:line="460" w:lineRule="exact"/>
        <w:ind w:firstLine="643" w:firstLineChars="200"/>
        <w:rPr>
          <w:rFonts w:hint="eastAsia" w:ascii="宋体" w:hAnsi="宋体" w:eastAsia="宋体" w:cs="宋体"/>
          <w:color w:val="auto"/>
          <w:sz w:val="32"/>
        </w:rPr>
      </w:pPr>
      <w:bookmarkStart w:id="117" w:name="_Toc513047134"/>
      <w:bookmarkStart w:id="118" w:name="_Toc511063476"/>
      <w:bookmarkStart w:id="119" w:name="_Toc23783"/>
      <w:bookmarkStart w:id="120" w:name="_Toc23595"/>
      <w:r>
        <w:rPr>
          <w:rFonts w:hint="eastAsia" w:ascii="宋体" w:hAnsi="宋体" w:eastAsia="宋体" w:cs="宋体"/>
          <w:color w:val="auto"/>
          <w:sz w:val="32"/>
        </w:rPr>
        <w:t>十</w:t>
      </w:r>
      <w:r>
        <w:rPr>
          <w:rFonts w:hint="eastAsia" w:ascii="宋体" w:hAnsi="宋体" w:eastAsia="宋体" w:cs="宋体"/>
          <w:color w:val="auto"/>
          <w:sz w:val="32"/>
          <w:lang w:val="en-US" w:eastAsia="zh-CN"/>
        </w:rPr>
        <w:t>二</w:t>
      </w:r>
      <w:r>
        <w:rPr>
          <w:rFonts w:hint="eastAsia" w:ascii="宋体" w:hAnsi="宋体" w:eastAsia="宋体" w:cs="宋体"/>
          <w:color w:val="auto"/>
          <w:sz w:val="32"/>
        </w:rPr>
        <w:t>、验收</w:t>
      </w:r>
      <w:bookmarkEnd w:id="117"/>
      <w:bookmarkEnd w:id="118"/>
      <w:bookmarkEnd w:id="119"/>
      <w:bookmarkEnd w:id="120"/>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37.采购人应当按照政府采购合同规定的技术、服务、安全标准组织对投标人履约情况进行验收，并出具验收书。验收书应当包括每一项技术、服务、安全标准的履约情况。</w:t>
      </w:r>
    </w:p>
    <w:p>
      <w:pPr>
        <w:pStyle w:val="37"/>
        <w:snapToGrid w:val="0"/>
        <w:spacing w:before="0" w:beforeAutospacing="0" w:after="0" w:afterAutospacing="0" w:line="460" w:lineRule="exact"/>
        <w:ind w:firstLine="480" w:firstLineChars="200"/>
        <w:jc w:val="both"/>
        <w:rPr>
          <w:rFonts w:hint="eastAsia" w:ascii="宋体" w:hAnsi="宋体" w:eastAsia="宋体" w:cs="宋体"/>
          <w:color w:val="auto"/>
          <w:kern w:val="2"/>
        </w:rPr>
      </w:pPr>
      <w:r>
        <w:rPr>
          <w:rFonts w:hint="eastAsia" w:ascii="宋体" w:hAnsi="宋体" w:eastAsia="宋体" w:cs="宋体"/>
          <w:color w:val="auto"/>
          <w:kern w:val="2"/>
        </w:rPr>
        <w:t>37.1如本项目采购人将邀请其他投标人或者第三方机构参与验收、核对中标产品的技术指标、规格型号、保修服务、承诺等内容，是否和</w:t>
      </w:r>
      <w:r>
        <w:rPr>
          <w:rFonts w:hint="eastAsia" w:ascii="宋体" w:hAnsi="宋体" w:eastAsia="宋体" w:cs="宋体"/>
          <w:color w:val="auto"/>
        </w:rPr>
        <w:t>招标文件</w:t>
      </w:r>
      <w:r>
        <w:rPr>
          <w:rFonts w:hint="eastAsia" w:ascii="宋体" w:hAnsi="宋体" w:eastAsia="宋体" w:cs="宋体"/>
          <w:color w:val="auto"/>
          <w:kern w:val="2"/>
        </w:rPr>
        <w:t>、中标人</w:t>
      </w:r>
      <w:r>
        <w:rPr>
          <w:rFonts w:hint="eastAsia" w:ascii="宋体" w:hAnsi="宋体" w:eastAsia="宋体" w:cs="宋体"/>
          <w:color w:val="auto"/>
        </w:rPr>
        <w:t>投标文件</w:t>
      </w:r>
      <w:r>
        <w:rPr>
          <w:rFonts w:hint="eastAsia" w:ascii="宋体" w:hAnsi="宋体" w:eastAsia="宋体" w:cs="宋体"/>
          <w:color w:val="auto"/>
          <w:kern w:val="2"/>
        </w:rPr>
        <w:t>的内容相符合。</w:t>
      </w:r>
    </w:p>
    <w:p>
      <w:pPr>
        <w:pStyle w:val="37"/>
        <w:snapToGrid w:val="0"/>
        <w:spacing w:before="0" w:beforeAutospacing="0" w:after="0" w:afterAutospacing="0" w:line="460" w:lineRule="exact"/>
        <w:ind w:firstLine="480" w:firstLineChars="200"/>
        <w:jc w:val="both"/>
        <w:rPr>
          <w:rFonts w:hint="eastAsia" w:ascii="宋体" w:hAnsi="宋体" w:eastAsia="宋体" w:cs="宋体"/>
          <w:color w:val="auto"/>
          <w:kern w:val="2"/>
        </w:rPr>
      </w:pPr>
      <w:r>
        <w:rPr>
          <w:rFonts w:hint="eastAsia" w:ascii="宋体" w:hAnsi="宋体" w:eastAsia="宋体" w:cs="宋体"/>
          <w:color w:val="auto"/>
          <w:kern w:val="2"/>
        </w:rPr>
        <w:t>37.2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460" w:lineRule="exact"/>
        <w:ind w:firstLine="480" w:firstLineChars="200"/>
        <w:rPr>
          <w:rFonts w:hint="eastAsia" w:ascii="宋体" w:hAnsi="宋体" w:eastAsia="宋体" w:cs="宋体"/>
          <w:color w:val="auto"/>
          <w:sz w:val="20"/>
        </w:rPr>
      </w:pPr>
      <w:r>
        <w:rPr>
          <w:rFonts w:hint="eastAsia" w:ascii="宋体" w:hAnsi="宋体" w:eastAsia="宋体" w:cs="宋体"/>
          <w:color w:val="auto"/>
          <w:sz w:val="24"/>
        </w:rPr>
        <w:t>37.3其他投标人应遵守诚实信用、实事求是的原则，在验收期间积极配合采购人组织的验收工作，不得影响或阻扰验收工作的正常进行。参与验收的一切费用，原则上由投标人自行承担。</w:t>
      </w:r>
      <w:bookmarkStart w:id="121" w:name="EB2f50be56a5df4291a19f1a40e16bfb61"/>
      <w:bookmarkEnd w:id="121"/>
      <w:bookmarkStart w:id="122" w:name="EBd2522df597074a4482c1669877a67a9b"/>
      <w:bookmarkEnd w:id="122"/>
    </w:p>
    <w:p>
      <w:pPr>
        <w:pStyle w:val="7"/>
        <w:spacing w:before="0" w:after="0" w:line="460" w:lineRule="exact"/>
        <w:ind w:firstLine="643" w:firstLineChars="200"/>
        <w:rPr>
          <w:rFonts w:hint="eastAsia" w:ascii="宋体" w:hAnsi="宋体" w:eastAsia="宋体" w:cs="宋体"/>
          <w:color w:val="auto"/>
          <w:sz w:val="32"/>
        </w:rPr>
      </w:pPr>
      <w:bookmarkStart w:id="123" w:name="_Toc18586"/>
      <w:bookmarkStart w:id="124" w:name="_Toc18152"/>
      <w:bookmarkStart w:id="125" w:name="_Toc513047135"/>
      <w:bookmarkStart w:id="126" w:name="_Toc493956047"/>
      <w:bookmarkStart w:id="127" w:name="_Toc504979896"/>
      <w:r>
        <w:rPr>
          <w:rFonts w:hint="eastAsia" w:ascii="宋体" w:hAnsi="宋体" w:eastAsia="宋体" w:cs="宋体"/>
          <w:color w:val="auto"/>
          <w:sz w:val="32"/>
        </w:rPr>
        <w:t>十</w:t>
      </w:r>
      <w:r>
        <w:rPr>
          <w:rFonts w:hint="eastAsia" w:ascii="宋体" w:hAnsi="宋体" w:eastAsia="宋体" w:cs="宋体"/>
          <w:color w:val="auto"/>
          <w:sz w:val="32"/>
          <w:lang w:val="en-US" w:eastAsia="zh-CN"/>
        </w:rPr>
        <w:t>三</w:t>
      </w:r>
      <w:r>
        <w:rPr>
          <w:rFonts w:hint="eastAsia" w:ascii="宋体" w:hAnsi="宋体" w:eastAsia="宋体" w:cs="宋体"/>
          <w:color w:val="auto"/>
          <w:sz w:val="32"/>
        </w:rPr>
        <w:t>、政府采购政策</w:t>
      </w:r>
      <w:bookmarkEnd w:id="123"/>
      <w:bookmarkEnd w:id="124"/>
      <w:bookmarkEnd w:id="125"/>
      <w:bookmarkEnd w:id="126"/>
      <w:bookmarkEnd w:id="127"/>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38.关于中小企业参与政府采购活动的规定</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38.1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（1）符合中小企业划分标准；</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（2）提供本企业制造的货物、承担的工程或者服务，或者提供其他中小企业制造的货物。本项所称货物不包括使用大型企业注册商标的货物。</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本办法所称中小企业划分标准，是指国务院有关部门根据企业从业人员、营业收入、资产总额等指标制定的中小企业划型标准。</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小型、微型企业提供中型企业制造的货物的，视同为中型企业。</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38.2 根据《转发财政部工业和信息化部关于印发〈政府采购促进中小企业发展暂行办法〉的通知》（浙财采监〔2012〕11号）的有关规定，参加浙江省政府采购的中小企业投标人，应根据省财政厅《关于开展政府采购供应商网上注册登记和诚信管理工作的通知》（浙财采监〔2010〕8号)的要求，通过浙江政府采购网申请注册加入政府采购供应商库。</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中标（成交）候选投标人后再申请注册入库。</w:t>
      </w:r>
      <w:bookmarkStart w:id="128" w:name="EBcc06b000945a49bfabe33284d6b98662"/>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38.3 根据《政府采购促进中小企业发展暂行办法》（财库〔2011〕181号）、《关于政府采购支持监狱企业发展有关问题的通知》（财库〔2014〕68号)、《关于促进残疾人就业政府采购政策的通知》（财库〔2017〕141号）等文件有关规定要求，对小微企业、监狱企业和残疾人福利企业的产品价格给予 </w:t>
      </w:r>
      <w:r>
        <w:rPr>
          <w:rFonts w:hint="eastAsia" w:ascii="宋体" w:hAnsi="宋体" w:eastAsia="宋体" w:cs="宋体"/>
          <w:color w:val="auto"/>
          <w:sz w:val="24"/>
          <w:u w:val="single"/>
        </w:rPr>
        <w:t xml:space="preserve"> 6%</w:t>
      </w:r>
      <w:r>
        <w:rPr>
          <w:rFonts w:hint="eastAsia" w:ascii="宋体" w:hAnsi="宋体" w:eastAsia="宋体" w:cs="宋体"/>
          <w:color w:val="auto"/>
          <w:sz w:val="24"/>
        </w:rPr>
        <w:t>扣除。</w:t>
      </w:r>
    </w:p>
    <w:bookmarkEnd w:id="128"/>
    <w:p>
      <w:pPr>
        <w:pStyle w:val="7"/>
        <w:spacing w:before="0" w:after="0" w:line="460" w:lineRule="exact"/>
        <w:ind w:firstLine="602" w:firstLineChars="200"/>
        <w:rPr>
          <w:rFonts w:hint="eastAsia" w:ascii="宋体" w:hAnsi="宋体" w:eastAsia="宋体" w:cs="宋体"/>
          <w:b w:val="0"/>
          <w:bCs w:val="0"/>
          <w:color w:val="auto"/>
          <w:sz w:val="24"/>
        </w:rPr>
      </w:pPr>
      <w:bookmarkStart w:id="129" w:name="_Toc17794"/>
      <w:bookmarkStart w:id="130" w:name="_Toc513047136"/>
      <w:bookmarkStart w:id="131" w:name="_Toc3569"/>
      <w:bookmarkStart w:id="132" w:name="_Toc511063477"/>
      <w:r>
        <w:rPr>
          <w:rFonts w:hint="eastAsia" w:ascii="宋体" w:hAnsi="宋体" w:eastAsia="宋体" w:cs="宋体"/>
          <w:color w:val="auto"/>
        </w:rPr>
        <w:t>十</w:t>
      </w:r>
      <w:r>
        <w:rPr>
          <w:rFonts w:hint="eastAsia" w:ascii="宋体" w:hAnsi="宋体" w:eastAsia="宋体" w:cs="宋体"/>
          <w:color w:val="auto"/>
          <w:lang w:val="en-US" w:eastAsia="zh-CN"/>
        </w:rPr>
        <w:t>四</w:t>
      </w:r>
      <w:r>
        <w:rPr>
          <w:rFonts w:hint="eastAsia" w:ascii="宋体" w:hAnsi="宋体" w:eastAsia="宋体" w:cs="宋体"/>
          <w:color w:val="auto"/>
        </w:rPr>
        <w:t>、其他事项</w:t>
      </w:r>
      <w:bookmarkEnd w:id="129"/>
      <w:bookmarkEnd w:id="130"/>
      <w:bookmarkEnd w:id="131"/>
      <w:bookmarkEnd w:id="132"/>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bCs/>
          <w:color w:val="auto"/>
          <w:sz w:val="24"/>
        </w:rPr>
        <w:t>39.</w:t>
      </w:r>
      <w:r>
        <w:rPr>
          <w:rFonts w:hint="eastAsia" w:ascii="宋体" w:hAnsi="宋体" w:eastAsia="宋体" w:cs="宋体"/>
          <w:color w:val="auto"/>
          <w:sz w:val="24"/>
        </w:rPr>
        <w:t xml:space="preserve"> 解释权 </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39.1本招标文件是根据国家有关法律、法规、规章和有关规定编制的,解释权属采购代理机构。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bCs/>
          <w:color w:val="auto"/>
          <w:sz w:val="24"/>
        </w:rPr>
        <w:t>40. 采购代理机构</w:t>
      </w:r>
      <w:r>
        <w:rPr>
          <w:rFonts w:hint="eastAsia" w:ascii="宋体" w:hAnsi="宋体" w:eastAsia="宋体" w:cs="宋体"/>
          <w:color w:val="auto"/>
          <w:sz w:val="24"/>
        </w:rPr>
        <w:t>对决标结果不负责解释。</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41. 采购代理服务费</w:t>
      </w:r>
      <w:r>
        <w:rPr>
          <w:rFonts w:hint="eastAsia" w:ascii="宋体" w:hAnsi="宋体" w:cs="宋体"/>
          <w:bCs/>
          <w:color w:val="auto"/>
          <w:sz w:val="24"/>
          <w:lang w:eastAsia="zh-CN"/>
        </w:rPr>
        <w:t>：</w:t>
      </w:r>
      <w:r>
        <w:rPr>
          <w:rFonts w:hint="eastAsia" w:ascii="宋体" w:hAnsi="宋体" w:eastAsia="宋体" w:cs="宋体"/>
          <w:bCs/>
          <w:color w:val="auto"/>
          <w:sz w:val="24"/>
        </w:rPr>
        <w:t xml:space="preserve"> 由中标人支付采购代理服务费，费用以中标价按下表货物类收费标准收取，采用差额定率累计法计算，中标人在领取中标通知书前向招标代理机构支付。</w:t>
      </w:r>
    </w:p>
    <w:tbl>
      <w:tblPr>
        <w:tblStyle w:val="4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2062"/>
        <w:gridCol w:w="2062"/>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中标金额（万元）</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货物招标</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服务招标</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100以下</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1.5%</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1.5%</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100-500</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1.1%</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0.8%</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500-1000</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0.8%</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0.45%</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1000-5000</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0.5%</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0.25%</w:t>
            </w:r>
          </w:p>
        </w:tc>
        <w:tc>
          <w:tcPr>
            <w:tcW w:w="12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0.35%</w:t>
            </w:r>
          </w:p>
        </w:tc>
      </w:tr>
    </w:tbl>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例如：中标金额为100万元，计算采购代理服务收费额如下：100万元×l.5％＝15000元；</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4</w:t>
      </w: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1</w:t>
      </w:r>
      <w:r>
        <w:rPr>
          <w:rFonts w:hint="eastAsia" w:ascii="宋体" w:hAnsi="宋体" w:eastAsia="宋体" w:cs="宋体"/>
          <w:bCs/>
          <w:color w:val="auto"/>
          <w:sz w:val="24"/>
        </w:rPr>
        <w:t>评标专家评审、交通费用：根据现行的财政部门规定收取；</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注：①本项目稿费、审稿费、编辑费、出版费及相关税费均由中标人提供，计入投标总价，中标后不予调整。</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②采购人委派的评标专家参加评标活动系职务行为，根据省、市、区的有关规定不得收取评标专家费用，如果评委中有1个采购人评委参加评标则相应扣除评标专家评审、交通费用。</w:t>
      </w:r>
    </w:p>
    <w:p>
      <w:pPr>
        <w:spacing w:line="46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4</w:t>
      </w: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1</w:t>
      </w:r>
      <w:r>
        <w:rPr>
          <w:rFonts w:hint="eastAsia" w:ascii="宋体" w:hAnsi="宋体" w:eastAsia="宋体" w:cs="宋体"/>
          <w:bCs/>
          <w:color w:val="auto"/>
          <w:sz w:val="24"/>
        </w:rPr>
        <w:t>采购代理服务费支付：由中标人支付采购代理服务费，中标人在领取中标通知书前向采购代理机构支付采购代理服务费，采购代理服务费可以是现金或银行转账形式支付。</w:t>
      </w:r>
    </w:p>
    <w:p>
      <w:pPr>
        <w:keepNext/>
        <w:adjustRightInd w:val="0"/>
        <w:snapToGrid w:val="0"/>
        <w:spacing w:line="460" w:lineRule="exact"/>
        <w:jc w:val="center"/>
        <w:textAlignment w:val="baseline"/>
        <w:outlineLvl w:val="1"/>
        <w:rPr>
          <w:rFonts w:hint="eastAsia" w:ascii="宋体" w:hAnsi="宋体" w:eastAsia="宋体" w:cs="宋体"/>
          <w:b/>
          <w:color w:val="auto"/>
          <w:kern w:val="0"/>
          <w:sz w:val="36"/>
          <w:szCs w:val="20"/>
        </w:rPr>
      </w:pPr>
    </w:p>
    <w:p>
      <w:pPr>
        <w:keepNext/>
        <w:adjustRightInd w:val="0"/>
        <w:snapToGrid w:val="0"/>
        <w:spacing w:line="460" w:lineRule="exact"/>
        <w:jc w:val="center"/>
        <w:textAlignment w:val="baseline"/>
        <w:outlineLvl w:val="1"/>
        <w:rPr>
          <w:rFonts w:hint="eastAsia" w:ascii="宋体" w:hAnsi="宋体" w:eastAsia="宋体" w:cs="宋体"/>
          <w:b/>
          <w:color w:val="auto"/>
          <w:kern w:val="0"/>
          <w:sz w:val="36"/>
          <w:szCs w:val="20"/>
        </w:rPr>
      </w:pPr>
    </w:p>
    <w:p>
      <w:pPr>
        <w:ind w:firstLine="723" w:firstLineChars="200"/>
        <w:rPr>
          <w:rFonts w:hint="eastAsia" w:ascii="宋体" w:hAnsi="宋体" w:eastAsia="宋体" w:cs="宋体"/>
          <w:b/>
          <w:color w:val="auto"/>
          <w:kern w:val="0"/>
          <w:sz w:val="36"/>
          <w:szCs w:val="20"/>
        </w:rPr>
      </w:pPr>
      <w:r>
        <w:rPr>
          <w:rFonts w:hint="eastAsia" w:ascii="宋体" w:hAnsi="宋体" w:eastAsia="宋体" w:cs="宋体"/>
          <w:b/>
          <w:color w:val="auto"/>
          <w:kern w:val="0"/>
          <w:sz w:val="36"/>
          <w:szCs w:val="20"/>
        </w:rPr>
        <w:br w:type="page"/>
      </w:r>
    </w:p>
    <w:p>
      <w:pPr>
        <w:pStyle w:val="6"/>
        <w:spacing w:line="560" w:lineRule="exact"/>
        <w:ind w:firstLine="723" w:firstLineChars="200"/>
        <w:rPr>
          <w:rFonts w:hint="eastAsia" w:ascii="宋体" w:hAnsi="宋体" w:eastAsia="宋体" w:cs="宋体"/>
          <w:color w:val="auto"/>
        </w:rPr>
      </w:pPr>
      <w:bookmarkStart w:id="133" w:name="_Toc429"/>
      <w:r>
        <w:rPr>
          <w:rFonts w:hint="eastAsia" w:ascii="宋体" w:hAnsi="宋体" w:eastAsia="宋体" w:cs="宋体"/>
          <w:b/>
          <w:color w:val="auto"/>
          <w:kern w:val="0"/>
          <w:sz w:val="36"/>
          <w:szCs w:val="20"/>
        </w:rPr>
        <w:t xml:space="preserve">第三章  </w:t>
      </w:r>
      <w:bookmarkEnd w:id="65"/>
      <w:bookmarkEnd w:id="66"/>
      <w:bookmarkEnd w:id="67"/>
      <w:bookmarkStart w:id="134" w:name="_Toc493956049"/>
      <w:bookmarkStart w:id="135" w:name="_Toc530551874"/>
      <w:bookmarkStart w:id="136" w:name="_Toc531359036"/>
      <w:r>
        <w:rPr>
          <w:rFonts w:hint="eastAsia" w:ascii="宋体" w:hAnsi="宋体" w:eastAsia="宋体" w:cs="宋体"/>
          <w:color w:val="auto"/>
        </w:rPr>
        <w:t>技术要求</w:t>
      </w:r>
      <w:bookmarkEnd w:id="133"/>
    </w:p>
    <w:p>
      <w:pPr>
        <w:pStyle w:val="258"/>
        <w:spacing w:line="240" w:lineRule="auto"/>
        <w:ind w:firstLine="480" w:firstLineChars="200"/>
        <w:rPr>
          <w:rFonts w:hint="eastAsia" w:ascii="宋体" w:hAnsi="宋体" w:eastAsia="宋体" w:cs="宋体"/>
          <w:color w:val="auto"/>
        </w:rPr>
      </w:pPr>
      <w:bookmarkStart w:id="137" w:name="_Toc32127"/>
      <w:bookmarkStart w:id="138" w:name="_Toc25747501"/>
      <w:r>
        <w:rPr>
          <w:rFonts w:hint="eastAsia" w:ascii="宋体" w:hAnsi="宋体" w:eastAsia="宋体" w:cs="宋体"/>
          <w:color w:val="auto"/>
        </w:rPr>
        <w:t>根据浙财采监字[2007]2号文件规定：除采购文件明确的品牌外，欢迎其他能满足本项目技术需求且性能与所明确品牌相当的产品参加。技术参数中带▲号部分为必须满足或优于，否则视为无效投标，技术参数中“★”是重要指标。</w:t>
      </w:r>
    </w:p>
    <w:p>
      <w:pPr>
        <w:pStyle w:val="7"/>
        <w:keepNext/>
        <w:keepLines/>
        <w:pageBreakBefore w:val="0"/>
        <w:widowControl w:val="0"/>
        <w:kinsoku/>
        <w:wordWrap/>
        <w:overflowPunct/>
        <w:topLinePunct w:val="0"/>
        <w:autoSpaceDE/>
        <w:autoSpaceDN/>
        <w:bidi w:val="0"/>
        <w:adjustRightInd/>
        <w:snapToGrid/>
        <w:spacing w:before="0" w:after="0" w:line="360" w:lineRule="auto"/>
        <w:ind w:left="0" w:firstLine="562" w:firstLineChars="200"/>
        <w:textAlignment w:val="auto"/>
        <w:rPr>
          <w:rFonts w:hint="eastAsia" w:ascii="宋体" w:hAnsi="宋体" w:eastAsia="宋体" w:cs="宋体"/>
          <w:color w:val="auto"/>
          <w:sz w:val="28"/>
          <w:szCs w:val="28"/>
        </w:rPr>
      </w:pPr>
      <w:bookmarkStart w:id="139" w:name="_Toc28017"/>
      <w:bookmarkStart w:id="140" w:name="_Toc2033"/>
      <w:bookmarkStart w:id="141" w:name="_Toc25355"/>
      <w:r>
        <w:rPr>
          <w:rFonts w:hint="eastAsia" w:ascii="宋体" w:hAnsi="宋体" w:eastAsia="宋体" w:cs="宋体"/>
          <w:color w:val="auto"/>
          <w:sz w:val="28"/>
          <w:szCs w:val="28"/>
        </w:rPr>
        <w:t>一、项目概况</w:t>
      </w:r>
      <w:bookmarkEnd w:id="139"/>
      <w:bookmarkEnd w:id="140"/>
      <w:bookmarkEnd w:id="141"/>
    </w:p>
    <w:p>
      <w:pPr>
        <w:spacing w:line="240" w:lineRule="auto"/>
        <w:ind w:firstLine="480" w:firstLineChars="200"/>
        <w:rPr>
          <w:rFonts w:hint="eastAsia" w:ascii="宋体" w:hAnsi="宋体" w:eastAsia="宋体" w:cs="宋体"/>
          <w:snapToGrid w:val="0"/>
          <w:color w:val="auto"/>
          <w:sz w:val="24"/>
          <w:szCs w:val="21"/>
        </w:rPr>
      </w:pPr>
      <w:r>
        <w:rPr>
          <w:rFonts w:hint="eastAsia" w:ascii="宋体" w:hAnsi="宋体" w:eastAsia="宋体" w:cs="宋体"/>
          <w:snapToGrid w:val="0"/>
          <w:color w:val="auto"/>
          <w:sz w:val="24"/>
          <w:szCs w:val="21"/>
        </w:rPr>
        <w:t>(一)、</w:t>
      </w:r>
      <w:r>
        <w:rPr>
          <w:rFonts w:hint="eastAsia" w:ascii="宋体" w:hAnsi="宋体" w:cs="宋体"/>
          <w:snapToGrid w:val="0"/>
          <w:color w:val="auto"/>
          <w:sz w:val="24"/>
          <w:szCs w:val="21"/>
          <w:lang w:eastAsia="zh-CN"/>
        </w:rPr>
        <w:t>龙泉市塔石金岗工业园区废水处理厂委托运营采购项目</w:t>
      </w:r>
      <w:r>
        <w:rPr>
          <w:rFonts w:hint="eastAsia" w:ascii="宋体" w:hAnsi="宋体" w:eastAsia="宋体" w:cs="宋体"/>
          <w:snapToGrid w:val="0"/>
          <w:color w:val="auto"/>
          <w:sz w:val="24"/>
          <w:szCs w:val="21"/>
        </w:rPr>
        <w:t>，内容包括：</w:t>
      </w:r>
      <w:r>
        <w:rPr>
          <w:rFonts w:hint="eastAsia" w:ascii="宋体" w:hAnsi="宋体" w:eastAsia="宋体" w:cs="宋体"/>
          <w:b/>
          <w:bCs/>
          <w:spacing w:val="-1"/>
          <w:sz w:val="24"/>
        </w:rPr>
        <w:t>废水处理厂</w:t>
      </w:r>
      <w:r>
        <w:rPr>
          <w:rFonts w:hint="eastAsia" w:ascii="宋体" w:hAnsi="宋体" w:cs="宋体"/>
          <w:b/>
          <w:bCs/>
          <w:spacing w:val="-1"/>
          <w:sz w:val="24"/>
          <w:lang w:val="en-US" w:eastAsia="zh-CN"/>
        </w:rPr>
        <w:t>的</w:t>
      </w:r>
      <w:r>
        <w:rPr>
          <w:rFonts w:hint="eastAsia" w:ascii="宋体" w:hAnsi="宋体" w:eastAsia="宋体" w:cs="宋体"/>
          <w:b/>
          <w:bCs/>
          <w:spacing w:val="-1"/>
          <w:sz w:val="24"/>
        </w:rPr>
        <w:t>日常运行与维护、园区内工业废水总管网的日常巡查</w:t>
      </w:r>
      <w:r>
        <w:rPr>
          <w:rFonts w:hint="eastAsia" w:ascii="宋体" w:hAnsi="宋体" w:cs="宋体"/>
          <w:b/>
          <w:bCs/>
          <w:spacing w:val="-1"/>
          <w:sz w:val="24"/>
          <w:lang w:val="en-US" w:eastAsia="zh-CN"/>
        </w:rPr>
        <w:t>及维护</w:t>
      </w:r>
      <w:r>
        <w:rPr>
          <w:rFonts w:hint="eastAsia" w:ascii="宋体" w:hAnsi="宋体" w:eastAsia="宋体" w:cs="宋体"/>
          <w:b/>
          <w:bCs/>
          <w:sz w:val="24"/>
        </w:rPr>
        <w:t>等。</w:t>
      </w:r>
    </w:p>
    <w:p>
      <w:pPr>
        <w:spacing w:line="240" w:lineRule="auto"/>
        <w:ind w:firstLine="480" w:firstLineChars="200"/>
        <w:rPr>
          <w:rFonts w:hint="eastAsia" w:ascii="宋体" w:hAnsi="宋体" w:eastAsia="宋体" w:cs="宋体"/>
          <w:snapToGrid w:val="0"/>
          <w:color w:val="auto"/>
          <w:sz w:val="24"/>
          <w:szCs w:val="21"/>
        </w:rPr>
      </w:pPr>
      <w:r>
        <w:rPr>
          <w:rFonts w:hint="eastAsia" w:ascii="宋体" w:hAnsi="宋体" w:eastAsia="宋体" w:cs="宋体"/>
          <w:snapToGrid w:val="0"/>
          <w:color w:val="auto"/>
          <w:sz w:val="24"/>
          <w:szCs w:val="21"/>
        </w:rPr>
        <w:t>(二)、</w:t>
      </w:r>
      <w:r>
        <w:rPr>
          <w:rFonts w:hint="eastAsia" w:ascii="宋体" w:hAnsi="宋体" w:cs="宋体"/>
          <w:snapToGrid w:val="0"/>
          <w:color w:val="auto"/>
          <w:sz w:val="24"/>
          <w:szCs w:val="21"/>
          <w:lang w:eastAsia="zh-CN"/>
        </w:rPr>
        <w:t>龙泉市塔石金岗工业园区废水处理厂委托运营采购项目</w:t>
      </w:r>
      <w:r>
        <w:rPr>
          <w:rFonts w:hint="eastAsia" w:ascii="宋体" w:hAnsi="宋体" w:eastAsia="宋体" w:cs="宋体"/>
          <w:snapToGrid w:val="0"/>
          <w:color w:val="auto"/>
          <w:sz w:val="24"/>
          <w:szCs w:val="21"/>
        </w:rPr>
        <w:t>技术要求</w:t>
      </w:r>
    </w:p>
    <w:bookmarkEnd w:id="137"/>
    <w:p>
      <w:pPr>
        <w:pStyle w:val="3"/>
        <w:keepNext w:val="0"/>
        <w:keepLines w:val="0"/>
        <w:pageBreakBefore w:val="0"/>
        <w:widowControl w:val="0"/>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rPr>
      </w:pPr>
      <w:r>
        <w:rPr>
          <w:rFonts w:hint="eastAsia" w:ascii="宋体" w:hAnsi="宋体" w:eastAsia="宋体" w:cs="宋体"/>
        </w:rPr>
        <w:t>1、要求与责任</w:t>
      </w:r>
    </w:p>
    <w:p>
      <w:pPr>
        <w:pStyle w:val="226"/>
        <w:keepNext w:val="0"/>
        <w:keepLines w:val="0"/>
        <w:pageBreakBefore w:val="0"/>
        <w:widowControl w:val="0"/>
        <w:numPr>
          <w:ilvl w:val="0"/>
          <w:numId w:val="0"/>
        </w:numPr>
        <w:tabs>
          <w:tab w:val="left" w:pos="1499"/>
        </w:tabs>
        <w:kinsoku/>
        <w:wordWrap/>
        <w:overflowPunct/>
        <w:topLinePunct w:val="0"/>
        <w:autoSpaceDE/>
        <w:autoSpaceDN/>
        <w:bidi w:val="0"/>
        <w:adjustRightInd w:val="0"/>
        <w:snapToGrid w:val="0"/>
        <w:spacing w:before="0" w:after="0" w:line="240" w:lineRule="auto"/>
        <w:ind w:right="0" w:rightChars="0" w:firstLine="480" w:firstLineChars="200"/>
        <w:jc w:val="left"/>
        <w:textAlignment w:val="auto"/>
        <w:rPr>
          <w:rFonts w:hint="eastAsia"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、要求废水处理厂能够执行相关的标准达标排放。</w:t>
      </w:r>
    </w:p>
    <w:p>
      <w:pPr>
        <w:pStyle w:val="226"/>
        <w:numPr>
          <w:ilvl w:val="0"/>
          <w:numId w:val="0"/>
        </w:numPr>
        <w:tabs>
          <w:tab w:val="left" w:pos="1499"/>
        </w:tabs>
        <w:spacing w:before="0" w:after="0" w:line="304" w:lineRule="exact"/>
        <w:ind w:right="0" w:rightChars="0" w:firstLine="480" w:firstLineChars="200"/>
        <w:jc w:val="left"/>
        <w:rPr>
          <w:rFonts w:hint="eastAsia" w:ascii="宋体" w:hAnsi="宋体" w:eastAsia="宋体" w:cs="宋体"/>
          <w:sz w:val="24"/>
        </w:rPr>
      </w:pPr>
      <w:r>
        <w:rPr>
          <w:rFonts w:hint="eastAsia" w:ascii="宋体" w:hAnsi="宋体" w:eastAsia="宋体" w:cs="宋体"/>
          <w:sz w:val="24"/>
        </w:rPr>
        <w:t>运维达到有关处置标准、安全标准、环境标准；</w:t>
      </w:r>
    </w:p>
    <w:p>
      <w:pPr>
        <w:pStyle w:val="226"/>
        <w:numPr>
          <w:ilvl w:val="0"/>
          <w:numId w:val="0"/>
        </w:numPr>
        <w:tabs>
          <w:tab w:val="left" w:pos="1499"/>
        </w:tabs>
        <w:spacing w:before="0" w:after="0" w:line="304" w:lineRule="exact"/>
        <w:ind w:right="0" w:rightChars="0" w:firstLine="480" w:firstLineChars="200"/>
        <w:jc w:val="left"/>
        <w:rPr>
          <w:rFonts w:hint="eastAsia" w:ascii="宋体" w:hAnsi="宋体" w:eastAsia="宋体" w:cs="宋体"/>
          <w:sz w:val="24"/>
        </w:rPr>
      </w:pPr>
      <w:r>
        <w:rPr>
          <w:rFonts w:hint="eastAsia" w:ascii="宋体" w:hAnsi="宋体" w:eastAsia="宋体" w:cs="宋体"/>
          <w:sz w:val="24"/>
        </w:rPr>
        <w:t>设备检修、维护、损坏（损耗）设备更换及药剂添加；</w:t>
      </w:r>
    </w:p>
    <w:p>
      <w:pPr>
        <w:pStyle w:val="226"/>
        <w:numPr>
          <w:ilvl w:val="0"/>
          <w:numId w:val="0"/>
        </w:numPr>
        <w:tabs>
          <w:tab w:val="left" w:pos="1499"/>
        </w:tabs>
        <w:spacing w:before="0" w:after="0" w:line="304" w:lineRule="exact"/>
        <w:ind w:right="0" w:rightChars="0" w:firstLine="480" w:firstLineChars="200"/>
        <w:jc w:val="left"/>
        <w:rPr>
          <w:rFonts w:hint="eastAsia" w:ascii="宋体" w:hAnsi="宋体" w:eastAsia="宋体" w:cs="宋体"/>
          <w:sz w:val="24"/>
          <w:lang w:eastAsia="zh-CN"/>
        </w:rPr>
      </w:pPr>
      <w:r>
        <w:rPr>
          <w:rFonts w:hint="eastAsia" w:ascii="宋体" w:hAnsi="宋体" w:eastAsia="宋体" w:cs="宋体"/>
          <w:sz w:val="24"/>
        </w:rPr>
        <w:t>需年度提交运维报告、环境监测报告等</w:t>
      </w:r>
      <w:r>
        <w:rPr>
          <w:rFonts w:hint="eastAsia" w:ascii="宋体" w:hAnsi="宋体" w:cs="宋体"/>
          <w:sz w:val="24"/>
          <w:lang w:eastAsia="zh-CN"/>
        </w:rPr>
        <w:t>；</w:t>
      </w:r>
    </w:p>
    <w:p>
      <w:pPr>
        <w:pStyle w:val="226"/>
        <w:numPr>
          <w:ilvl w:val="0"/>
          <w:numId w:val="0"/>
        </w:numPr>
        <w:tabs>
          <w:tab w:val="left" w:pos="1499"/>
        </w:tabs>
        <w:spacing w:before="0" w:after="0" w:line="304" w:lineRule="exact"/>
        <w:ind w:right="0" w:rightChars="0" w:firstLine="480" w:firstLineChars="200"/>
        <w:jc w:val="left"/>
        <w:rPr>
          <w:rFonts w:hint="eastAsia" w:ascii="宋体" w:hAnsi="宋体" w:eastAsia="宋体" w:cs="宋体"/>
          <w:sz w:val="24"/>
        </w:rPr>
      </w:pPr>
      <w:r>
        <w:rPr>
          <w:rFonts w:hint="eastAsia" w:ascii="宋体" w:hAnsi="宋体" w:eastAsia="宋体" w:cs="宋体"/>
          <w:sz w:val="24"/>
        </w:rPr>
        <w:t>如果运营方在运维中出现任何问题自行负责。</w:t>
      </w:r>
    </w:p>
    <w:p>
      <w:pPr>
        <w:pStyle w:val="226"/>
        <w:numPr>
          <w:ilvl w:val="0"/>
          <w:numId w:val="0"/>
        </w:numPr>
        <w:tabs>
          <w:tab w:val="left" w:pos="1499"/>
        </w:tabs>
        <w:spacing w:before="0" w:after="0" w:line="304" w:lineRule="exact"/>
        <w:ind w:right="0" w:rightChars="0" w:firstLine="400" w:firstLineChars="200"/>
        <w:jc w:val="left"/>
        <w:rPr>
          <w:rFonts w:hint="eastAsia" w:ascii="宋体" w:hAnsi="宋体" w:eastAsia="宋体" w:cs="宋体"/>
          <w:b/>
          <w:bCs/>
          <w:sz w:val="24"/>
        </w:rPr>
      </w:pPr>
      <w:r>
        <w:rPr>
          <w:rFonts w:hint="eastAsia" w:ascii="宋体" w:hAnsi="宋体" w:eastAsia="宋体" w:cs="宋体"/>
          <w:color w:val="auto"/>
        </w:rPr>
        <w:t>▲</w:t>
      </w:r>
      <w:r>
        <w:rPr>
          <w:rFonts w:hint="eastAsia" w:ascii="宋体" w:hAnsi="宋体" w:eastAsia="宋体" w:cs="宋体"/>
          <w:b/>
          <w:bCs/>
          <w:spacing w:val="-1"/>
          <w:sz w:val="24"/>
        </w:rPr>
        <w:t>运维项目包括：废水处理厂</w:t>
      </w:r>
      <w:r>
        <w:rPr>
          <w:rFonts w:hint="eastAsia" w:ascii="宋体" w:hAnsi="宋体" w:cs="宋体"/>
          <w:b/>
          <w:bCs/>
          <w:spacing w:val="-1"/>
          <w:sz w:val="24"/>
          <w:lang w:val="en-US" w:eastAsia="zh-CN"/>
        </w:rPr>
        <w:t>的</w:t>
      </w:r>
      <w:r>
        <w:rPr>
          <w:rFonts w:hint="eastAsia" w:ascii="宋体" w:hAnsi="宋体" w:eastAsia="宋体" w:cs="宋体"/>
          <w:b/>
          <w:bCs/>
          <w:spacing w:val="-1"/>
          <w:sz w:val="24"/>
        </w:rPr>
        <w:t>日常运行与维护、园区内工业废水总管网的日常巡查</w:t>
      </w:r>
      <w:r>
        <w:rPr>
          <w:rFonts w:hint="eastAsia" w:ascii="宋体" w:hAnsi="宋体" w:cs="宋体"/>
          <w:b/>
          <w:bCs/>
          <w:spacing w:val="-1"/>
          <w:sz w:val="24"/>
          <w:lang w:val="en-US" w:eastAsia="zh-CN"/>
        </w:rPr>
        <w:t>及维护</w:t>
      </w:r>
      <w:r>
        <w:rPr>
          <w:rFonts w:hint="eastAsia" w:ascii="宋体" w:hAnsi="宋体" w:eastAsia="宋体" w:cs="宋体"/>
          <w:b/>
          <w:bCs/>
          <w:sz w:val="24"/>
        </w:rPr>
        <w:t>等。</w:t>
      </w:r>
    </w:p>
    <w:p>
      <w:pPr>
        <w:pStyle w:val="3"/>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塔石金岗工业园区废水处理厂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textAlignment w:val="auto"/>
        <w:rPr>
          <w:rFonts w:hint="eastAsia" w:ascii="宋体" w:hAnsi="宋体" w:eastAsia="宋体" w:cs="宋体"/>
          <w:b/>
          <w:sz w:val="21"/>
          <w:szCs w:val="18"/>
        </w:rPr>
      </w:pPr>
      <w:r>
        <w:rPr>
          <w:rFonts w:hint="eastAsia" w:ascii="宋体" w:hAnsi="宋体" w:eastAsia="宋体" w:cs="宋体"/>
          <w:b/>
          <w:sz w:val="21"/>
          <w:szCs w:val="18"/>
          <w:lang w:val="en-US" w:eastAsia="zh-CN"/>
        </w:rPr>
        <w:t>2.1</w:t>
      </w:r>
      <w:r>
        <w:rPr>
          <w:rFonts w:hint="eastAsia" w:ascii="宋体" w:hAnsi="宋体" w:eastAsia="宋体" w:cs="宋体"/>
          <w:b/>
          <w:sz w:val="21"/>
          <w:szCs w:val="18"/>
        </w:rPr>
        <w:t>废水执行《钢铁工业水污染物排放标准》（GB13456－2012）中的直接排放标准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textAlignment w:val="auto"/>
        <w:rPr>
          <w:rFonts w:hint="eastAsia" w:ascii="宋体" w:hAnsi="宋体" w:eastAsia="宋体" w:cs="宋体"/>
          <w:b/>
          <w:sz w:val="21"/>
          <w:szCs w:val="18"/>
        </w:rPr>
      </w:pPr>
      <w:r>
        <w:rPr>
          <w:rFonts w:hint="eastAsia" w:ascii="宋体" w:hAnsi="宋体" w:eastAsia="宋体" w:cs="宋体"/>
          <w:b/>
          <w:sz w:val="21"/>
          <w:szCs w:val="18"/>
        </w:rPr>
        <w:t>单位：mg/L （pH除外）</w:t>
      </w:r>
    </w:p>
    <w:tbl>
      <w:tblPr>
        <w:tblStyle w:val="41"/>
        <w:tblW w:w="5012"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989"/>
        <w:gridCol w:w="542"/>
        <w:gridCol w:w="656"/>
        <w:gridCol w:w="818"/>
        <w:gridCol w:w="658"/>
        <w:gridCol w:w="658"/>
        <w:gridCol w:w="658"/>
        <w:gridCol w:w="743"/>
        <w:gridCol w:w="658"/>
        <w:gridCol w:w="658"/>
        <w:gridCol w:w="658"/>
        <w:gridCol w:w="6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591" w:type="pct"/>
            <w:tcBorders>
              <w:tl2br w:val="nil"/>
              <w:tr2bl w:val="nil"/>
            </w:tcBorders>
          </w:tcPr>
          <w:p>
            <w:pPr>
              <w:pStyle w:val="266"/>
              <w:keepNext w:val="0"/>
              <w:keepLines w:val="0"/>
              <w:pageBreakBefore w:val="0"/>
              <w:widowControl w:val="0"/>
              <w:kinsoku/>
              <w:wordWrap/>
              <w:overflowPunct/>
              <w:topLinePunct w:val="0"/>
              <w:autoSpaceDE/>
              <w:autoSpaceDN/>
              <w:bidi w:val="0"/>
              <w:adjustRightInd w:val="0"/>
              <w:snapToGrid w:val="0"/>
              <w:ind w:firstLine="400" w:firstLineChars="200"/>
              <w:textAlignment w:val="auto"/>
              <w:rPr>
                <w:rFonts w:hint="eastAsia" w:cs="宋体"/>
                <w:b/>
                <w:sz w:val="20"/>
                <w:lang w:val="en-US" w:eastAsia="zh-CN"/>
              </w:rPr>
            </w:pPr>
            <w:r>
              <w:rPr>
                <w:sz w:val="20"/>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-10160</wp:posOffset>
                      </wp:positionV>
                      <wp:extent cx="622935" cy="843915"/>
                      <wp:effectExtent l="5080" t="3810" r="19685" b="9525"/>
                      <wp:wrapNone/>
                      <wp:docPr id="7" name="直接连接符 7"/>
                      <wp:cNvGraphicFramePr/>
                      <a:graphic xmlns:a="http://schemas.openxmlformats.org/drawingml/2006/main">
                        <a:graphicData uri="http://schemas.microsoft.com/office/word/2010/wordprocessingShape">
                          <wps:wsp>
                            <wps:cNvCnPr/>
                            <wps:spPr>
                              <a:xfrm>
                                <a:off x="1139825" y="5444490"/>
                                <a:ext cx="622935" cy="8439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0.8pt;height:66.45pt;width:49.05pt;z-index:251673600;mso-width-relative:page;mso-height-relative:page;" filled="f" stroked="t" coordsize="21600,21600" o:gfxdata="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&#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uHRv2AAAAAgBAAAPAAAAAAAAAAEAIAAAACIAAABk&#10;cnMvZG93bnJldi54bWxQSwECFAAUAAAACACHTuJAdg8+9c0BAABdAwAADgAAAAAAAAABACAAAAAn&#10;AQAAZHJzL2Uyb0RvYy54bWxQSwUGAAAAAAYABgBZAQAAZgUAAAAA&#10;">
                      <v:fill on="f" focussize="0,0"/>
                      <v:stroke weight="1pt" color="#000000 [3213]" joinstyle="round"/>
                      <v:imagedata o:title=""/>
                      <o:lock v:ext="edit" aspectratio="f"/>
                    </v:line>
                  </w:pict>
                </mc:Fallback>
              </mc:AlternateContent>
            </w:r>
            <w:r>
              <w:rPr>
                <w:rFonts w:hint="eastAsia" w:cs="宋体"/>
                <w:b/>
                <w:sz w:val="20"/>
                <w:lang w:val="en-US" w:eastAsia="zh-CN"/>
              </w:rPr>
              <w:t>评价</w:t>
            </w:r>
          </w:p>
          <w:p>
            <w:pPr>
              <w:pStyle w:val="266"/>
              <w:keepNext w:val="0"/>
              <w:keepLines w:val="0"/>
              <w:pageBreakBefore w:val="0"/>
              <w:widowControl w:val="0"/>
              <w:kinsoku/>
              <w:wordWrap/>
              <w:overflowPunct/>
              <w:topLinePunct w:val="0"/>
              <w:autoSpaceDE/>
              <w:autoSpaceDN/>
              <w:bidi w:val="0"/>
              <w:adjustRightInd w:val="0"/>
              <w:snapToGrid w:val="0"/>
              <w:ind w:firstLine="402" w:firstLineChars="200"/>
              <w:textAlignment w:val="auto"/>
              <w:rPr>
                <w:rFonts w:hint="default" w:ascii="宋体" w:hAnsi="宋体" w:eastAsia="宋体" w:cs="宋体"/>
                <w:b/>
                <w:sz w:val="20"/>
                <w:lang w:val="en-US" w:eastAsia="zh-CN"/>
              </w:rPr>
            </w:pPr>
            <w:r>
              <w:rPr>
                <w:rFonts w:hint="eastAsia" w:cs="宋体"/>
                <w:b/>
                <w:sz w:val="20"/>
                <w:lang w:val="en-US" w:eastAsia="zh-CN"/>
              </w:rPr>
              <w:t>项目</w:t>
            </w:r>
          </w:p>
          <w:p>
            <w:pPr>
              <w:pStyle w:val="266"/>
              <w:rPr>
                <w:rFonts w:hint="eastAsia" w:ascii="宋体" w:hAnsi="宋体" w:eastAsia="宋体" w:cs="宋体"/>
                <w:b/>
                <w:sz w:val="20"/>
              </w:rPr>
            </w:pPr>
          </w:p>
          <w:p>
            <w:pPr>
              <w:pStyle w:val="266"/>
              <w:rPr>
                <w:rFonts w:hint="eastAsia" w:ascii="宋体" w:hAnsi="宋体" w:eastAsia="宋体" w:cs="宋体"/>
                <w:b/>
                <w:sz w:val="20"/>
              </w:rPr>
            </w:pPr>
          </w:p>
          <w:p>
            <w:pPr>
              <w:pStyle w:val="266"/>
              <w:ind w:left="0" w:leftChars="0" w:firstLine="0" w:firstLineChars="0"/>
              <w:rPr>
                <w:rFonts w:hint="eastAsia" w:ascii="宋体" w:hAnsi="宋体" w:eastAsia="宋体" w:cs="宋体"/>
                <w:b/>
                <w:sz w:val="20"/>
              </w:rPr>
            </w:pPr>
            <w:r>
              <w:rPr>
                <w:rFonts w:hint="eastAsia" w:ascii="宋体" w:hAnsi="宋体" w:eastAsia="宋体" w:cs="宋体"/>
                <w:b/>
                <w:sz w:val="20"/>
              </w:rPr>
              <w:t>标准值</w:t>
            </w:r>
          </w:p>
        </w:tc>
        <w:tc>
          <w:tcPr>
            <w:tcW w:w="324"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0"/>
              </w:rPr>
            </w:pPr>
            <w:r>
              <w:rPr>
                <w:rFonts w:hint="eastAsia" w:ascii="宋体" w:hAnsi="宋体" w:eastAsia="宋体" w:cs="宋体"/>
                <w:b/>
                <w:sz w:val="20"/>
              </w:rPr>
              <w:t>pH</w:t>
            </w:r>
          </w:p>
          <w:p>
            <w:pPr>
              <w:pStyle w:val="26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0"/>
              </w:rPr>
            </w:pPr>
            <w:r>
              <w:rPr>
                <w:rFonts w:hint="eastAsia" w:ascii="宋体" w:hAnsi="宋体" w:eastAsia="宋体" w:cs="宋体"/>
                <w:b/>
                <w:sz w:val="20"/>
              </w:rPr>
              <w:t>值</w:t>
            </w:r>
          </w:p>
        </w:tc>
        <w:tc>
          <w:tcPr>
            <w:tcW w:w="39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0"/>
              </w:rPr>
            </w:pPr>
            <w:r>
              <w:rPr>
                <w:rFonts w:hint="eastAsia" w:ascii="宋体" w:hAnsi="宋体" w:eastAsia="宋体" w:cs="宋体"/>
                <w:b/>
                <w:sz w:val="20"/>
              </w:rPr>
              <w:t>SS</w:t>
            </w:r>
          </w:p>
        </w:tc>
        <w:tc>
          <w:tcPr>
            <w:tcW w:w="489"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0"/>
              </w:rPr>
            </w:pPr>
            <w:r>
              <w:rPr>
                <w:rFonts w:hint="eastAsia" w:ascii="宋体" w:hAnsi="宋体" w:eastAsia="宋体" w:cs="宋体"/>
                <w:b/>
                <w:sz w:val="20"/>
              </w:rPr>
              <w:t>CODcr</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0"/>
              </w:rPr>
            </w:pPr>
            <w:r>
              <w:rPr>
                <w:rFonts w:hint="eastAsia" w:ascii="宋体" w:hAnsi="宋体" w:eastAsia="宋体" w:cs="宋体"/>
                <w:b/>
                <w:sz w:val="20"/>
              </w:rPr>
              <w:t>氨氮</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sz w:val="20"/>
              </w:rPr>
              <w:t>总氮</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sz w:val="20"/>
              </w:rPr>
              <w:t>石</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sz w:val="20"/>
              </w:rPr>
              <w:t>油</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w w:val="99"/>
                <w:sz w:val="20"/>
              </w:rPr>
              <w:t>类</w:t>
            </w:r>
          </w:p>
        </w:tc>
        <w:tc>
          <w:tcPr>
            <w:tcW w:w="444"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氟</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化</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w w:val="99"/>
                <w:sz w:val="20"/>
              </w:rPr>
              <w:t>物</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总</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铁</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rPr>
            </w:pPr>
            <w:r>
              <w:rPr>
                <w:rFonts w:hint="eastAsia" w:ascii="宋体" w:hAnsi="宋体" w:eastAsia="宋体" w:cs="宋体"/>
                <w:b/>
                <w:w w:val="95"/>
                <w:sz w:val="20"/>
              </w:rPr>
              <w:t>a</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六</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价</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w w:val="99"/>
                <w:sz w:val="20"/>
              </w:rPr>
              <w:t>铬</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w w:val="95"/>
                <w:sz w:val="20"/>
              </w:rPr>
            </w:pPr>
            <w:r>
              <w:rPr>
                <w:rFonts w:hint="eastAsia" w:ascii="宋体" w:hAnsi="宋体" w:eastAsia="宋体" w:cs="宋体"/>
                <w:b/>
                <w:w w:val="95"/>
                <w:sz w:val="20"/>
              </w:rPr>
              <w:t>总</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w w:val="95"/>
                <w:sz w:val="20"/>
              </w:rPr>
              <w:t>铬</w:t>
            </w:r>
          </w:p>
        </w:tc>
        <w:tc>
          <w:tcPr>
            <w:tcW w:w="397"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sz w:val="20"/>
              </w:rPr>
              <w:t>总</w:t>
            </w:r>
          </w:p>
          <w:p>
            <w:pPr>
              <w:pStyle w:val="26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rPr>
            </w:pPr>
            <w:r>
              <w:rPr>
                <w:rFonts w:hint="eastAsia" w:ascii="宋体" w:hAnsi="宋体" w:eastAsia="宋体" w:cs="宋体"/>
                <w:b/>
                <w:sz w:val="20"/>
              </w:rPr>
              <w:t>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8" w:hRule="atLeast"/>
          <w:jc w:val="center"/>
        </w:trPr>
        <w:tc>
          <w:tcPr>
            <w:tcW w:w="591"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宋体" w:hAnsi="宋体" w:eastAsia="宋体" w:cs="宋体"/>
                <w:sz w:val="20"/>
              </w:rPr>
            </w:pPr>
            <w:r>
              <w:rPr>
                <w:rFonts w:hint="eastAsia" w:ascii="宋体" w:hAnsi="宋体" w:eastAsia="宋体" w:cs="宋体"/>
                <w:sz w:val="20"/>
              </w:rPr>
              <w:t>一级标准A标准</w:t>
            </w:r>
          </w:p>
        </w:tc>
        <w:tc>
          <w:tcPr>
            <w:tcW w:w="324"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6~9</w:t>
            </w:r>
          </w:p>
        </w:tc>
        <w:tc>
          <w:tcPr>
            <w:tcW w:w="39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≤30</w:t>
            </w:r>
          </w:p>
        </w:tc>
        <w:tc>
          <w:tcPr>
            <w:tcW w:w="489"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≤70</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≤5</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≤15</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≤3</w:t>
            </w:r>
          </w:p>
        </w:tc>
        <w:tc>
          <w:tcPr>
            <w:tcW w:w="444"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≤10</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2"/>
              </w:rPr>
            </w:pPr>
            <w:r>
              <w:rPr>
                <w:rFonts w:hint="eastAsia" w:ascii="宋体" w:hAnsi="宋体" w:eastAsia="宋体" w:cs="宋体"/>
                <w:sz w:val="22"/>
              </w:rPr>
              <w:t>≤3</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≤0.5</w:t>
            </w:r>
          </w:p>
        </w:tc>
        <w:tc>
          <w:tcPr>
            <w:tcW w:w="393"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w w:val="95"/>
                <w:sz w:val="20"/>
              </w:rPr>
              <w:t>≤1.5</w:t>
            </w:r>
          </w:p>
        </w:tc>
        <w:tc>
          <w:tcPr>
            <w:tcW w:w="397"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≤1.0</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left"/>
        <w:textAlignment w:val="auto"/>
        <w:rPr>
          <w:rFonts w:hint="eastAsia" w:ascii="宋体" w:hAnsi="宋体" w:eastAsia="宋体" w:cs="宋体"/>
          <w:sz w:val="18"/>
        </w:rPr>
      </w:pPr>
      <w:r>
        <w:rPr>
          <w:rFonts w:hint="eastAsia" w:ascii="宋体" w:hAnsi="宋体" w:eastAsia="宋体" w:cs="宋体"/>
          <w:sz w:val="18"/>
        </w:rPr>
        <w:t>注：a.排放废水pH值小于7时执行该限值；总铁执行《酸洗废水排放总铁浓度限值》（DB33/844-2011）一级标准。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textAlignment w:val="auto"/>
        <w:rPr>
          <w:rFonts w:hint="eastAsia" w:ascii="宋体" w:hAnsi="宋体" w:eastAsia="宋体" w:cs="宋体"/>
          <w:b/>
          <w:sz w:val="21"/>
          <w:szCs w:val="18"/>
        </w:rPr>
      </w:pPr>
      <w:r>
        <w:rPr>
          <w:rFonts w:hint="eastAsia" w:ascii="宋体" w:hAnsi="宋体" w:eastAsia="宋体" w:cs="宋体"/>
          <w:b/>
          <w:sz w:val="21"/>
          <w:szCs w:val="18"/>
          <w:lang w:val="en-US" w:eastAsia="zh-CN"/>
        </w:rPr>
        <w:t>2.2</w:t>
      </w:r>
      <w:r>
        <w:rPr>
          <w:rFonts w:hint="eastAsia" w:ascii="宋体" w:hAnsi="宋体" w:eastAsia="宋体" w:cs="宋体"/>
          <w:b/>
          <w:sz w:val="21"/>
          <w:szCs w:val="18"/>
        </w:rPr>
        <w:t>环境噪声执行《工业企业厂界环境噪声排放标准》（GB12348-2008）II类标准</w:t>
      </w:r>
    </w:p>
    <w:tbl>
      <w:tblPr>
        <w:tblStyle w:val="42"/>
        <w:tblW w:w="4902"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773"/>
        <w:gridCol w:w="2512"/>
        <w:gridCol w:w="30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4" w:hRule="atLeast"/>
          <w:jc w:val="center"/>
        </w:trPr>
        <w:tc>
          <w:tcPr>
            <w:tcW w:w="16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line="360" w:lineRule="auto"/>
              <w:ind w:right="0"/>
              <w:jc w:val="right"/>
              <w:textAlignment w:val="auto"/>
              <w:rPr>
                <w:rFonts w:hint="eastAsia" w:ascii="仿宋" w:hAnsi="Calibri" w:eastAsia="仿宋" w:cs="Times New Roman"/>
                <w:b/>
                <w:kern w:val="2"/>
                <w:sz w:val="20"/>
                <w:szCs w:val="22"/>
                <w:lang w:val="en-US" w:eastAsia="zh-CN" w:bidi="ar-SA"/>
              </w:rPr>
            </w:pPr>
            <w:r>
              <w:rPr>
                <w:sz w:val="20"/>
              </w:rPr>
              <mc:AlternateContent>
                <mc:Choice Requires="wps">
                  <w:drawing>
                    <wp:anchor distT="0" distB="0" distL="114300" distR="114300" simplePos="0" relativeHeight="251674624" behindDoc="0" locked="0" layoutInCell="1" allowOverlap="1">
                      <wp:simplePos x="0" y="0"/>
                      <wp:positionH relativeFrom="column">
                        <wp:posOffset>-63500</wp:posOffset>
                      </wp:positionH>
                      <wp:positionV relativeFrom="paragraph">
                        <wp:posOffset>5715</wp:posOffset>
                      </wp:positionV>
                      <wp:extent cx="1758950" cy="732790"/>
                      <wp:effectExtent l="2540" t="5715" r="10160" b="23495"/>
                      <wp:wrapNone/>
                      <wp:docPr id="8" name="直接连接符 8"/>
                      <wp:cNvGraphicFramePr/>
                      <a:graphic xmlns:a="http://schemas.openxmlformats.org/drawingml/2006/main">
                        <a:graphicData uri="http://schemas.microsoft.com/office/word/2010/wordprocessingShape">
                          <wps:wsp>
                            <wps:cNvCnPr/>
                            <wps:spPr>
                              <a:xfrm>
                                <a:off x="1132205" y="7299325"/>
                                <a:ext cx="1758950" cy="7327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pt;margin-top:0.45pt;height:57.7pt;width:138.5pt;z-index:251674624;mso-width-relative:page;mso-height-relative:page;" filled="f" stroked="t" coordsize="21600,21600" o:gfxdata="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&#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UcKA1wAAAAgBAAAPAAAAAAAAAAEAIAAAACIAAABk&#10;cnMvZG93bnJldi54bWxQSwECFAAUAAAACACHTuJAhboLNc4BAABeAwAADgAAAAAAAAABACAAAAAm&#10;AQAAZHJzL2Uyb0RvYy54bWxQSwUGAAAAAAYABgBZAQAAZgUAAAAA&#10;">
                      <v:fill on="f" focussize="0,0"/>
                      <v:stroke weight="1pt" color="#000000 [3213]" joinstyle="round"/>
                      <v:imagedata o:title=""/>
                      <o:lock v:ext="edit" aspectratio="f"/>
                    </v:line>
                  </w:pict>
                </mc:Fallback>
              </mc:AlternateContent>
            </w:r>
            <w:r>
              <w:rPr>
                <w:rFonts w:hint="eastAsia" w:ascii="仿宋" w:hAnsi="Calibri" w:eastAsia="仿宋" w:cs="Times New Roman"/>
                <w:b/>
                <w:kern w:val="2"/>
                <w:sz w:val="20"/>
                <w:szCs w:val="22"/>
                <w:lang w:val="en-US" w:eastAsia="zh-CN" w:bidi="ar-SA"/>
              </w:rPr>
              <w:t>时段</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0" w:line="360" w:lineRule="auto"/>
              <w:ind w:right="0"/>
              <w:jc w:val="left"/>
              <w:textAlignment w:val="auto"/>
              <w:rPr>
                <w:rFonts w:hint="eastAsia"/>
              </w:rPr>
            </w:pPr>
            <w:r>
              <w:rPr>
                <w:rFonts w:hint="eastAsia" w:ascii="仿宋" w:eastAsia="仿宋"/>
                <w:b/>
                <w:sz w:val="20"/>
                <w:lang w:val="en-US" w:eastAsia="zh-CN"/>
              </w:rPr>
              <w:t>功能区类别</w:t>
            </w:r>
          </w:p>
        </w:tc>
        <w:tc>
          <w:tcPr>
            <w:tcW w:w="3340" w:type="pct"/>
            <w:gridSpan w:val="2"/>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rPr>
            </w:pPr>
            <w:r>
              <w:rPr>
                <w:rFonts w:hint="eastAsia" w:ascii="仿宋" w:eastAsia="仿宋"/>
                <w:b/>
                <w:sz w:val="20"/>
              </w:rPr>
              <w:t>标准值（Leq，dB（A））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0" w:hRule="atLeast"/>
          <w:jc w:val="center"/>
        </w:trPr>
        <w:tc>
          <w:tcPr>
            <w:tcW w:w="1659" w:type="pct"/>
            <w:tcBorders>
              <w:tl2br w:val="nil"/>
              <w:tr2bl w:val="nil"/>
            </w:tcBorders>
          </w:tcPr>
          <w:p>
            <w:pPr>
              <w:pStyle w:val="3"/>
              <w:spacing w:line="240" w:lineRule="auto"/>
              <w:rPr>
                <w:rFonts w:hint="eastAsia"/>
                <w:vertAlign w:val="baseline"/>
              </w:rPr>
            </w:pPr>
          </w:p>
        </w:tc>
        <w:tc>
          <w:tcPr>
            <w:tcW w:w="1502" w:type="pct"/>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eastAsia="仿宋"/>
                <w:b/>
                <w:sz w:val="20"/>
              </w:rPr>
            </w:pPr>
            <w:r>
              <w:rPr>
                <w:rFonts w:hint="eastAsia" w:ascii="仿宋" w:eastAsia="仿宋"/>
                <w:b/>
                <w:sz w:val="20"/>
                <w:lang w:val="en-US" w:eastAsia="zh-CN"/>
              </w:rPr>
              <w:t>昼间</w:t>
            </w:r>
          </w:p>
        </w:tc>
        <w:tc>
          <w:tcPr>
            <w:tcW w:w="1837" w:type="pct"/>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eastAsia="仿宋"/>
                <w:b/>
                <w:sz w:val="20"/>
              </w:rPr>
            </w:pPr>
            <w:r>
              <w:rPr>
                <w:rFonts w:hint="eastAsia" w:ascii="仿宋" w:eastAsia="仿宋"/>
                <w:b/>
                <w:sz w:val="20"/>
              </w:rPr>
              <w:t>夜间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7" w:hRule="atLeast"/>
          <w:jc w:val="center"/>
        </w:trPr>
        <w:tc>
          <w:tcPr>
            <w:tcW w:w="1659"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kern w:val="2"/>
                <w:sz w:val="20"/>
                <w:szCs w:val="22"/>
                <w:lang w:val="zh-CN" w:eastAsia="zh-CN" w:bidi="zh-CN"/>
              </w:rPr>
            </w:pPr>
            <w:r>
              <w:rPr>
                <w:rFonts w:hint="eastAsia" w:ascii="宋体" w:hAnsi="宋体" w:eastAsia="宋体" w:cs="宋体"/>
                <w:sz w:val="20"/>
                <w:lang w:val="en-US" w:eastAsia="zh-CN"/>
              </w:rPr>
              <w:t>II</w:t>
            </w:r>
            <w:r>
              <w:rPr>
                <w:rFonts w:hint="eastAsia" w:ascii="宋体" w:hAnsi="宋体" w:eastAsia="宋体" w:cs="宋体"/>
                <w:sz w:val="20"/>
              </w:rPr>
              <w:t>类</w:t>
            </w:r>
          </w:p>
        </w:tc>
        <w:tc>
          <w:tcPr>
            <w:tcW w:w="150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2"/>
                <w:sz w:val="20"/>
                <w:szCs w:val="22"/>
                <w:lang w:val="en-US" w:eastAsia="zh-CN" w:bidi="zh-CN"/>
              </w:rPr>
            </w:pPr>
            <w:r>
              <w:rPr>
                <w:rFonts w:hint="eastAsia" w:ascii="宋体" w:hAnsi="宋体" w:eastAsia="宋体" w:cs="宋体"/>
                <w:sz w:val="20"/>
                <w:lang w:val="en-US" w:eastAsia="zh-CN"/>
              </w:rPr>
              <w:t>60</w:t>
            </w:r>
          </w:p>
        </w:tc>
        <w:tc>
          <w:tcPr>
            <w:tcW w:w="1837" w:type="pct"/>
            <w:tcBorders>
              <w:tl2br w:val="nil"/>
              <w:tr2bl w:val="nil"/>
            </w:tcBorders>
            <w:vAlign w:val="center"/>
          </w:tcPr>
          <w:p>
            <w:pPr>
              <w:pStyle w:val="266"/>
              <w:ind w:left="1318" w:leftChars="0" w:right="1295" w:rightChars="0"/>
              <w:jc w:val="center"/>
              <w:rPr>
                <w:rFonts w:hint="eastAsia" w:ascii="宋体" w:hAnsi="宋体" w:eastAsia="宋体" w:cs="宋体"/>
                <w:kern w:val="2"/>
                <w:sz w:val="20"/>
                <w:szCs w:val="22"/>
                <w:lang w:val="zh-CN" w:eastAsia="zh-CN" w:bidi="zh-CN"/>
              </w:rPr>
            </w:pPr>
            <w:r>
              <w:rPr>
                <w:rFonts w:hint="eastAsia" w:ascii="宋体" w:hAnsi="宋体" w:eastAsia="宋体" w:cs="宋体"/>
                <w:sz w:val="20"/>
              </w:rPr>
              <w:t>50</w:t>
            </w:r>
          </w:p>
        </w:tc>
      </w:tr>
    </w:tbl>
    <w:p>
      <w:pPr>
        <w:pStyle w:val="226"/>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after="0" w:line="240" w:lineRule="auto"/>
        <w:ind w:right="0" w:rightChars="0" w:firstLine="422" w:firstLineChars="200"/>
        <w:jc w:val="left"/>
        <w:textAlignment w:val="auto"/>
        <w:rPr>
          <w:rFonts w:hint="eastAsia" w:ascii="宋体" w:hAnsi="宋体" w:eastAsia="宋体" w:cs="宋体"/>
          <w:b/>
          <w:kern w:val="2"/>
          <w:sz w:val="21"/>
          <w:szCs w:val="18"/>
          <w:lang w:val="en-US" w:eastAsia="zh-CN" w:bidi="ar-SA"/>
        </w:rPr>
      </w:pPr>
      <w:r>
        <w:rPr>
          <w:rFonts w:hint="eastAsia" w:ascii="宋体" w:hAnsi="宋体" w:eastAsia="宋体" w:cs="宋体"/>
          <w:b/>
          <w:kern w:val="2"/>
          <w:sz w:val="21"/>
          <w:szCs w:val="18"/>
          <w:lang w:val="en-US" w:eastAsia="zh-CN" w:bidi="ar-SA"/>
        </w:rPr>
        <w:t>2.3废气执行《大气污染物综合排放标准》（GB16297-1996）中的二级标准  单位：mg/m3</w:t>
      </w:r>
    </w:p>
    <w:tbl>
      <w:tblPr>
        <w:tblStyle w:val="41"/>
        <w:tblW w:w="4999"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925"/>
        <w:gridCol w:w="3206"/>
        <w:gridCol w:w="32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154" w:type="pct"/>
            <w:tcBorders>
              <w:tl2br w:val="nil"/>
              <w:tr2bl w:val="nil"/>
            </w:tcBorders>
          </w:tcPr>
          <w:p>
            <w:pPr>
              <w:pStyle w:val="266"/>
              <w:spacing w:before="5"/>
              <w:ind w:firstLine="280" w:firstLineChars="200"/>
              <w:rPr>
                <w:rFonts w:hint="eastAsia" w:ascii="宋体" w:hAnsi="宋体" w:eastAsia="宋体" w:cs="宋体"/>
                <w:b/>
                <w:sz w:val="17"/>
              </w:rPr>
            </w:pPr>
            <w:r>
              <w:rPr>
                <w:sz w:val="14"/>
              </w:rPr>
              <mc:AlternateContent>
                <mc:Choice Requires="wps">
                  <w:drawing>
                    <wp:anchor distT="0" distB="0" distL="114300" distR="114300" simplePos="0" relativeHeight="251671552" behindDoc="0" locked="0" layoutInCell="1" allowOverlap="1">
                      <wp:simplePos x="0" y="0"/>
                      <wp:positionH relativeFrom="column">
                        <wp:posOffset>-10160</wp:posOffset>
                      </wp:positionH>
                      <wp:positionV relativeFrom="paragraph">
                        <wp:posOffset>-1905</wp:posOffset>
                      </wp:positionV>
                      <wp:extent cx="1235710" cy="349250"/>
                      <wp:effectExtent l="1270" t="4445" r="1270" b="8255"/>
                      <wp:wrapNone/>
                      <wp:docPr id="20" name="直接连接符 20"/>
                      <wp:cNvGraphicFramePr/>
                      <a:graphic xmlns:a="http://schemas.openxmlformats.org/drawingml/2006/main">
                        <a:graphicData uri="http://schemas.microsoft.com/office/word/2010/wordprocessingShape">
                          <wps:wsp>
                            <wps:cNvCnPr/>
                            <wps:spPr>
                              <a:xfrm>
                                <a:off x="458470" y="1064895"/>
                                <a:ext cx="1235710" cy="349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0.15pt;height:27.5pt;width:97.3pt;z-index:251671552;mso-width-relative:page;mso-height-relative:page;" filled="f" stroked="t" coordsize="21600,21600" o:gfxdata="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4GbnvWAAAABwEAAA8AAAAAAAAAAQAgAAAAIgAA&#10;AGRycy9kb3ducmV2LnhtbFBLAQIUABQAAAAIAIdO4kA7BDsr0QEAAF4DAAAOAAAAAAAAAAEAIAAA&#10;ACUBAABkcnMvZTJvRG9jLnhtbFBLBQYAAAAABgAGAFkBAABoBQAAAAA=&#10;">
                      <v:fill on="f" focussize="0,0"/>
                      <v:stroke color="#000000 [3213]" joinstyle="round"/>
                      <v:imagedata o:title=""/>
                      <o:lock v:ext="edit" aspectratio="f"/>
                    </v:line>
                  </w:pict>
                </mc:Fallback>
              </mc:AlternateContent>
            </w:r>
            <w:r>
              <w:rPr>
                <w:rFonts w:hint="eastAsia" w:cs="宋体"/>
                <w:b/>
                <w:sz w:val="20"/>
                <w:lang w:val="en-US" w:eastAsia="zh-CN"/>
              </w:rPr>
              <w:t xml:space="preserve">      </w:t>
            </w:r>
            <w:r>
              <w:rPr>
                <w:rFonts w:hint="eastAsia" w:ascii="宋体" w:hAnsi="宋体" w:eastAsia="宋体" w:cs="宋体"/>
                <w:b/>
                <w:sz w:val="20"/>
              </w:rPr>
              <w:t>评价项目</w:t>
            </w:r>
          </w:p>
          <w:p>
            <w:pPr>
              <w:pStyle w:val="266"/>
              <w:spacing w:before="1"/>
              <w:rPr>
                <w:rFonts w:hint="eastAsia" w:ascii="宋体" w:hAnsi="宋体" w:eastAsia="宋体" w:cs="宋体"/>
                <w:b/>
                <w:sz w:val="20"/>
              </w:rPr>
            </w:pPr>
            <w:r>
              <w:rPr>
                <w:rFonts w:hint="eastAsia" w:ascii="宋体" w:hAnsi="宋体" w:eastAsia="宋体" w:cs="宋体"/>
                <w:b/>
                <w:sz w:val="20"/>
              </w:rPr>
              <w:t>排放标准</w:t>
            </w:r>
          </w:p>
        </w:tc>
        <w:tc>
          <w:tcPr>
            <w:tcW w:w="192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sz w:val="20"/>
              </w:rPr>
            </w:pPr>
            <w:r>
              <w:rPr>
                <w:rFonts w:hint="eastAsia" w:ascii="宋体" w:hAnsi="宋体" w:eastAsia="宋体" w:cs="宋体"/>
                <w:sz w:val="20"/>
              </w:rPr>
              <w:t>NOx</w:t>
            </w:r>
          </w:p>
        </w:tc>
        <w:tc>
          <w:tcPr>
            <w:tcW w:w="192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HF</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jc w:val="center"/>
        </w:trPr>
        <w:tc>
          <w:tcPr>
            <w:tcW w:w="1154"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标准限值</w:t>
            </w:r>
          </w:p>
        </w:tc>
        <w:tc>
          <w:tcPr>
            <w:tcW w:w="192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0.12</w:t>
            </w:r>
          </w:p>
        </w:tc>
        <w:tc>
          <w:tcPr>
            <w:tcW w:w="1922" w:type="pct"/>
            <w:tcBorders>
              <w:tl2br w:val="nil"/>
              <w:tr2bl w:val="nil"/>
            </w:tcBorders>
            <w:vAlign w:val="center"/>
          </w:tcPr>
          <w:p>
            <w:pPr>
              <w:pStyle w:val="266"/>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0"/>
              </w:rPr>
            </w:pPr>
            <w:r>
              <w:rPr>
                <w:rFonts w:hint="eastAsia" w:ascii="宋体" w:hAnsi="宋体" w:eastAsia="宋体" w:cs="宋体"/>
                <w:sz w:val="20"/>
              </w:rPr>
              <w:t>0.20</w:t>
            </w:r>
          </w:p>
        </w:tc>
      </w:tr>
    </w:tbl>
    <w:p>
      <w:pPr>
        <w:spacing w:before="13"/>
        <w:ind w:left="160" w:right="0" w:firstLine="360" w:firstLineChars="200"/>
        <w:jc w:val="left"/>
        <w:rPr>
          <w:rFonts w:hint="eastAsia" w:ascii="宋体" w:hAnsi="宋体" w:eastAsia="宋体" w:cs="宋体"/>
          <w:sz w:val="18"/>
        </w:rPr>
      </w:pPr>
      <w:r>
        <w:rPr>
          <w:rFonts w:hint="eastAsia" w:ascii="宋体" w:hAnsi="宋体" w:eastAsia="宋体" w:cs="宋体"/>
          <w:sz w:val="18"/>
        </w:rPr>
        <w:t>注：无组织排放监控浓度执行该限值。</w:t>
      </w:r>
    </w:p>
    <w:p>
      <w:pPr>
        <w:keepNext w:val="0"/>
        <w:keepLines w:val="0"/>
        <w:pageBreakBefore w:val="0"/>
        <w:widowControl w:val="0"/>
        <w:kinsoku/>
        <w:wordWrap/>
        <w:overflowPunct/>
        <w:topLinePunct w:val="0"/>
        <w:autoSpaceDE/>
        <w:autoSpaceDN/>
        <w:bidi w:val="0"/>
        <w:adjustRightInd/>
        <w:snapToGrid/>
        <w:spacing w:line="240" w:lineRule="auto"/>
        <w:ind w:left="0" w:right="0" w:firstLine="442" w:firstLineChars="200"/>
        <w:jc w:val="left"/>
        <w:textAlignment w:val="auto"/>
        <w:rPr>
          <w:rFonts w:hint="eastAsia" w:ascii="宋体" w:hAnsi="宋体" w:eastAsia="宋体" w:cs="宋体"/>
          <w:b/>
          <w:sz w:val="22"/>
        </w:rPr>
      </w:pPr>
      <w:r>
        <w:rPr>
          <w:rFonts w:hint="eastAsia" w:ascii="宋体" w:hAnsi="宋体" w:eastAsia="宋体" w:cs="宋体"/>
          <w:b/>
          <w:sz w:val="22"/>
          <w:lang w:val="en-US" w:eastAsia="zh-CN"/>
        </w:rPr>
        <w:t>2.4</w:t>
      </w:r>
      <w:r>
        <w:rPr>
          <w:rFonts w:hint="eastAsia" w:ascii="宋体" w:hAnsi="宋体" w:eastAsia="宋体" w:cs="宋体"/>
          <w:b/>
          <w:sz w:val="22"/>
        </w:rPr>
        <w:t>固体废物</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442" w:firstLineChars="200"/>
        <w:jc w:val="left"/>
        <w:textAlignment w:val="auto"/>
        <w:rPr>
          <w:rFonts w:hint="eastAsia" w:ascii="宋体" w:hAnsi="宋体" w:eastAsia="宋体" w:cs="宋体"/>
          <w:b/>
          <w:sz w:val="22"/>
        </w:rPr>
      </w:pPr>
      <w:r>
        <w:rPr>
          <w:rFonts w:hint="eastAsia" w:ascii="宋体" w:hAnsi="宋体" w:eastAsia="宋体" w:cs="宋体"/>
          <w:b/>
          <w:sz w:val="22"/>
        </w:rPr>
        <w:t>项目固体废物的处理、处置均应满足 《中华人民共和国固体废物污染环境防治法》中的有关规定要求。危险废物及一般工业固体废物分别执行《危险废物贮存污染控制标准》（GB18597- 2001）和《一般工业固体废物贮存、处置场污染控制标准》（GB18599-2001）。</w:t>
      </w:r>
    </w:p>
    <w:p>
      <w:pPr>
        <w:pStyle w:val="13"/>
        <w:keepNext w:val="0"/>
        <w:pageBreakBefore w:val="0"/>
        <w:kinsoku/>
        <w:wordWrap/>
        <w:overflowPunct/>
        <w:topLinePunct w:val="0"/>
        <w:autoSpaceDE/>
        <w:autoSpaceDN/>
        <w:bidi w:val="0"/>
        <w:adjustRightInd/>
        <w:snapToGrid/>
        <w:spacing w:before="0" w:after="0" w:line="240" w:lineRule="auto"/>
        <w:ind w:left="578" w:leftChars="0"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、废水处理厂人员配备及运维服务等要求：</w:t>
      </w:r>
    </w:p>
    <w:tbl>
      <w:tblPr>
        <w:tblStyle w:val="4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4"/>
        <w:gridCol w:w="7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66" w:type="pct"/>
            <w:vAlign w:val="center"/>
          </w:tcPr>
          <w:p>
            <w:pPr>
              <w:pStyle w:val="266"/>
              <w:spacing w:line="500" w:lineRule="atLeast"/>
              <w:ind w:left="108" w:right="253"/>
              <w:jc w:val="center"/>
              <w:rPr>
                <w:rFonts w:hint="eastAsia" w:ascii="宋体" w:hAnsi="宋体" w:eastAsia="宋体" w:cs="宋体"/>
                <w:b/>
                <w:sz w:val="24"/>
              </w:rPr>
            </w:pPr>
            <w:r>
              <w:rPr>
                <w:rFonts w:hint="eastAsia" w:ascii="宋体" w:hAnsi="宋体" w:eastAsia="宋体" w:cs="宋体"/>
                <w:b/>
                <w:sz w:val="24"/>
              </w:rPr>
              <w:t>人员配备及运维服务要求</w:t>
            </w:r>
          </w:p>
        </w:tc>
        <w:tc>
          <w:tcPr>
            <w:tcW w:w="4233" w:type="pct"/>
            <w:vAlign w:val="center"/>
          </w:tcPr>
          <w:p>
            <w:pPr>
              <w:pStyle w:val="266"/>
              <w:keepNext w:val="0"/>
              <w:keepLines w:val="0"/>
              <w:pageBreakBefore w:val="0"/>
              <w:widowControl w:val="0"/>
              <w:kinsoku/>
              <w:wordWrap/>
              <w:overflowPunct/>
              <w:topLinePunct w:val="0"/>
              <w:autoSpaceDE/>
              <w:autoSpaceDN/>
              <w:bidi w:val="0"/>
              <w:adjustRightInd/>
              <w:snapToGrid/>
              <w:spacing w:line="240" w:lineRule="auto"/>
              <w:ind w:left="0" w:right="-30" w:rightChars="0" w:firstLine="482" w:firstLineChars="200"/>
              <w:jc w:val="left"/>
              <w:textAlignment w:val="auto"/>
              <w:rPr>
                <w:rFonts w:hint="eastAsia" w:ascii="宋体" w:hAnsi="宋体" w:eastAsia="宋体" w:cs="宋体"/>
                <w:b/>
                <w:sz w:val="24"/>
              </w:rPr>
            </w:pPr>
            <w:r>
              <w:rPr>
                <w:rFonts w:hint="eastAsia" w:ascii="宋体" w:hAnsi="宋体" w:eastAsia="宋体" w:cs="宋体"/>
                <w:b/>
                <w:sz w:val="24"/>
              </w:rPr>
              <w:t>1．人员配备要求：运维负责人、操作人员、修理工、电工、仪表工、化验分析员。固定编制的重要组成人员至少</w:t>
            </w:r>
            <w:r>
              <w:rPr>
                <w:rFonts w:hint="eastAsia" w:ascii="宋体" w:hAnsi="宋体" w:eastAsia="宋体" w:cs="宋体"/>
                <w:b/>
                <w:sz w:val="24"/>
                <w:u w:val="single"/>
              </w:rPr>
              <w:t>8</w:t>
            </w:r>
            <w:r>
              <w:rPr>
                <w:rFonts w:hint="eastAsia" w:ascii="宋体" w:hAnsi="宋体" w:eastAsia="宋体" w:cs="宋体"/>
                <w:b/>
                <w:spacing w:val="-2"/>
                <w:sz w:val="24"/>
              </w:rPr>
              <w:t>人，固定编制和其</w:t>
            </w:r>
            <w:r>
              <w:rPr>
                <w:rFonts w:hint="eastAsia" w:ascii="宋体" w:hAnsi="宋体" w:eastAsia="宋体" w:cs="宋体"/>
                <w:b/>
                <w:sz w:val="24"/>
              </w:rPr>
              <w:t>他兼职人员都必须具备相关资格及工作经验。</w:t>
            </w:r>
          </w:p>
          <w:p>
            <w:pPr>
              <w:pStyle w:val="266"/>
              <w:keepNext w:val="0"/>
              <w:keepLines w:val="0"/>
              <w:pageBreakBefore w:val="0"/>
              <w:widowControl w:val="0"/>
              <w:kinsoku/>
              <w:wordWrap/>
              <w:overflowPunct/>
              <w:topLinePunct w:val="0"/>
              <w:autoSpaceDE/>
              <w:autoSpaceDN/>
              <w:bidi w:val="0"/>
              <w:adjustRightInd/>
              <w:snapToGrid/>
              <w:spacing w:line="240" w:lineRule="auto"/>
              <w:ind w:left="0" w:right="50" w:rightChars="0" w:firstLine="482" w:firstLineChars="200"/>
              <w:jc w:val="left"/>
              <w:textAlignment w:val="auto"/>
              <w:rPr>
                <w:rFonts w:hint="eastAsia" w:ascii="宋体" w:hAnsi="宋体" w:eastAsia="宋体" w:cs="宋体"/>
                <w:b/>
                <w:sz w:val="24"/>
              </w:rPr>
            </w:pPr>
            <w:r>
              <w:rPr>
                <w:rFonts w:hint="eastAsia" w:ascii="宋体" w:hAnsi="宋体" w:eastAsia="宋体" w:cs="宋体"/>
                <w:b/>
                <w:sz w:val="24"/>
              </w:rPr>
              <w:t>2.提供</w:t>
            </w:r>
            <w:r>
              <w:rPr>
                <w:rFonts w:hint="eastAsia" w:ascii="宋体" w:hAnsi="宋体" w:eastAsia="宋体" w:cs="宋体"/>
                <w:b/>
                <w:sz w:val="24"/>
                <w:lang w:val="en-US" w:eastAsia="zh-CN"/>
              </w:rPr>
              <w:t>完</w:t>
            </w:r>
            <w:r>
              <w:rPr>
                <w:rFonts w:hint="eastAsia" w:ascii="宋体" w:hAnsi="宋体" w:eastAsia="宋体" w:cs="宋体"/>
                <w:b/>
                <w:sz w:val="24"/>
              </w:rPr>
              <w:t>善、快速的维护服务。</w:t>
            </w:r>
          </w:p>
          <w:p>
            <w:pPr>
              <w:pStyle w:val="266"/>
              <w:keepNext w:val="0"/>
              <w:keepLines w:val="0"/>
              <w:pageBreakBefore w:val="0"/>
              <w:widowControl w:val="0"/>
              <w:kinsoku/>
              <w:wordWrap/>
              <w:overflowPunct/>
              <w:topLinePunct w:val="0"/>
              <w:autoSpaceDE/>
              <w:autoSpaceDN/>
              <w:bidi w:val="0"/>
              <w:adjustRightInd/>
              <w:snapToGrid/>
              <w:spacing w:line="240" w:lineRule="auto"/>
              <w:ind w:left="0" w:firstLine="482" w:firstLineChars="200"/>
              <w:jc w:val="left"/>
              <w:textAlignment w:val="auto"/>
              <w:rPr>
                <w:rFonts w:hint="eastAsia" w:ascii="宋体" w:hAnsi="宋体" w:eastAsia="宋体" w:cs="宋体"/>
                <w:b/>
                <w:sz w:val="24"/>
              </w:rPr>
            </w:pPr>
            <w:r>
              <w:rPr>
                <w:rFonts w:hint="eastAsia" w:ascii="宋体" w:hAnsi="宋体" w:eastAsia="宋体" w:cs="宋体"/>
                <w:b/>
                <w:sz w:val="24"/>
              </w:rPr>
              <w:t>3．在运维期内设备出现故障时，运营方必须在在2小时内响应，24小时内解决。若不能在24小时内解决，包含供同等性能、同等配置的设备替换。运维期内，与维修和质保相关的所有费用由运营方负责。平均年故障时间：&lt;=10天，平均故障修复时间：&lt;=120分钟。</w:t>
            </w:r>
          </w:p>
        </w:tc>
      </w:tr>
    </w:tbl>
    <w:p>
      <w:pPr>
        <w:pStyle w:val="3"/>
        <w:keepNext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以上所投标的须守以下约定： </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一、对参投服务的要求：</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★1.不允许负偏离，否则按无效标处理。</w:t>
      </w:r>
    </w:p>
    <w:p>
      <w:pPr>
        <w:pStyle w:val="3"/>
        <w:keepNext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任何涉及的知识产权纠纷，均由投标人承担全部经济、法律等责任。</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对投标方及服务的要求：</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★投标方的投标文件必须包含运维方案。</w:t>
      </w:r>
    </w:p>
    <w:p>
      <w:pPr>
        <w:pStyle w:val="3"/>
        <w:keepNext w:val="0"/>
        <w:pageBreakBefore w:val="0"/>
        <w:widowControl w:val="0"/>
        <w:tabs>
          <w:tab w:val="left" w:pos="1600"/>
          <w:tab w:val="left" w:pos="1948"/>
          <w:tab w:val="left" w:pos="2073"/>
          <w:tab w:val="left" w:pos="2546"/>
          <w:tab w:val="left" w:pos="3602"/>
          <w:tab w:val="left" w:pos="3957"/>
          <w:tab w:val="left" w:pos="5476"/>
          <w:tab w:val="left" w:pos="6316"/>
          <w:tab w:val="left" w:pos="6782"/>
          <w:tab w:val="left" w:pos="7730"/>
          <w:tab w:val="left" w:pos="8061"/>
          <w:tab w:val="left" w:pos="8901"/>
          <w:tab w:val="clear" w:pos="208"/>
        </w:tabs>
        <w:kinsoku/>
        <w:wordWrap/>
        <w:overflowPunct/>
        <w:topLinePunct w:val="0"/>
        <w:autoSpaceDE/>
        <w:autoSpaceDN/>
        <w:bidi w:val="0"/>
        <w:adjustRightInd/>
        <w:snapToGrid w:val="0"/>
        <w:spacing w:line="360" w:lineRule="auto"/>
        <w:ind w:left="0" w:leftChars="0" w:right="0" w:rightChars="0" w:firstLine="456" w:firstLineChars="200"/>
        <w:textAlignment w:val="auto"/>
        <w:rPr>
          <w:rFonts w:hint="eastAsia" w:ascii="宋体" w:hAnsi="宋体" w:eastAsia="宋体" w:cs="宋体"/>
          <w:sz w:val="24"/>
          <w:szCs w:val="24"/>
        </w:rPr>
      </w:pPr>
      <w:r>
        <w:rPr>
          <w:rFonts w:hint="eastAsia" w:ascii="宋体" w:hAnsi="宋体" w:eastAsia="宋体" w:cs="宋体"/>
          <w:spacing w:val="-6"/>
          <w:sz w:val="24"/>
          <w:szCs w:val="24"/>
        </w:rPr>
        <w:t>运维方案包括：</w:t>
      </w:r>
      <w:r>
        <w:rPr>
          <w:rFonts w:hint="eastAsia" w:ascii="宋体" w:hAnsi="宋体" w:eastAsia="宋体" w:cs="宋体"/>
          <w:spacing w:val="-3"/>
          <w:sz w:val="24"/>
          <w:szCs w:val="24"/>
        </w:rPr>
        <w:t>1</w:t>
      </w:r>
      <w:r>
        <w:rPr>
          <w:rFonts w:hint="eastAsia" w:ascii="宋体" w:hAnsi="宋体" w:eastAsia="宋体" w:cs="宋体"/>
          <w:spacing w:val="-3"/>
          <w:sz w:val="24"/>
          <w:szCs w:val="24"/>
          <w:lang w:val="en-US" w:eastAsia="zh-CN"/>
        </w:rPr>
        <w:t>.</w:t>
      </w:r>
      <w:r>
        <w:rPr>
          <w:rFonts w:hint="eastAsia" w:ascii="宋体" w:hAnsi="宋体" w:eastAsia="宋体" w:cs="宋体"/>
          <w:spacing w:val="-5"/>
          <w:sz w:val="24"/>
          <w:szCs w:val="24"/>
        </w:rPr>
        <w:t>项目概况</w:t>
      </w:r>
      <w:r>
        <w:rPr>
          <w:rFonts w:hint="eastAsia" w:ascii="宋体" w:hAnsi="宋体" w:eastAsia="宋体" w:cs="宋体"/>
          <w:spacing w:val="-5"/>
          <w:sz w:val="24"/>
          <w:szCs w:val="24"/>
          <w:lang w:eastAsia="zh-CN"/>
        </w:rPr>
        <w:t>；</w:t>
      </w:r>
      <w:r>
        <w:rPr>
          <w:rFonts w:hint="eastAsia" w:ascii="宋体" w:hAnsi="宋体" w:eastAsia="宋体" w:cs="宋体"/>
          <w:spacing w:val="-6"/>
          <w:sz w:val="24"/>
          <w:szCs w:val="24"/>
        </w:rPr>
        <w:t>2.水质以及污泥处置标准(废水处理厂出水质量标准 、水质超标处理 、超标处理方案、国家标准变化时的处理方案、固废及危险废物处置</w:t>
      </w:r>
      <w:r>
        <w:rPr>
          <w:rFonts w:hint="eastAsia" w:ascii="宋体" w:hAnsi="宋体" w:eastAsia="宋体" w:cs="宋体"/>
          <w:spacing w:val="-5"/>
          <w:sz w:val="24"/>
          <w:szCs w:val="24"/>
        </w:rPr>
        <w:t>方</w:t>
      </w:r>
      <w:r>
        <w:rPr>
          <w:rFonts w:hint="eastAsia" w:ascii="宋体" w:hAnsi="宋体" w:eastAsia="宋体" w:cs="宋体"/>
          <w:sz w:val="24"/>
          <w:szCs w:val="24"/>
        </w:rPr>
        <w:t>案</w:t>
      </w:r>
      <w:r>
        <w:rPr>
          <w:rFonts w:hint="eastAsia" w:ascii="宋体" w:hAnsi="宋体" w:eastAsia="宋体" w:cs="宋体"/>
          <w:spacing w:val="-10"/>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pacing w:val="-4"/>
          <w:sz w:val="24"/>
          <w:szCs w:val="24"/>
        </w:rPr>
        <w:t>3.</w:t>
      </w:r>
      <w:r>
        <w:rPr>
          <w:rFonts w:hint="eastAsia" w:ascii="宋体" w:hAnsi="宋体" w:eastAsia="宋体" w:cs="宋体"/>
          <w:spacing w:val="-5"/>
          <w:sz w:val="24"/>
          <w:szCs w:val="24"/>
        </w:rPr>
        <w:t>废</w:t>
      </w:r>
      <w:r>
        <w:rPr>
          <w:rFonts w:hint="eastAsia" w:ascii="宋体" w:hAnsi="宋体" w:eastAsia="宋体" w:cs="宋体"/>
          <w:spacing w:val="-3"/>
          <w:sz w:val="24"/>
          <w:szCs w:val="24"/>
        </w:rPr>
        <w:t>水</w:t>
      </w:r>
      <w:r>
        <w:rPr>
          <w:rFonts w:hint="eastAsia" w:ascii="宋体" w:hAnsi="宋体" w:eastAsia="宋体" w:cs="宋体"/>
          <w:spacing w:val="-5"/>
          <w:sz w:val="24"/>
          <w:szCs w:val="24"/>
        </w:rPr>
        <w:t>处理</w:t>
      </w:r>
      <w:r>
        <w:rPr>
          <w:rFonts w:hint="eastAsia" w:ascii="宋体" w:hAnsi="宋体" w:eastAsia="宋体" w:cs="宋体"/>
          <w:spacing w:val="-3"/>
          <w:sz w:val="24"/>
          <w:szCs w:val="24"/>
        </w:rPr>
        <w:t>成</w:t>
      </w:r>
      <w:r>
        <w:rPr>
          <w:rFonts w:hint="eastAsia" w:ascii="宋体" w:hAnsi="宋体" w:eastAsia="宋体" w:cs="宋体"/>
          <w:spacing w:val="-5"/>
          <w:sz w:val="24"/>
          <w:szCs w:val="24"/>
        </w:rPr>
        <w:t>本分</w:t>
      </w:r>
      <w:r>
        <w:rPr>
          <w:rFonts w:hint="eastAsia" w:ascii="宋体" w:hAnsi="宋体" w:eastAsia="宋体" w:cs="宋体"/>
          <w:spacing w:val="-3"/>
          <w:sz w:val="24"/>
          <w:szCs w:val="24"/>
        </w:rPr>
        <w:t>析</w:t>
      </w:r>
      <w:r>
        <w:rPr>
          <w:rFonts w:hint="eastAsia" w:ascii="宋体" w:hAnsi="宋体" w:eastAsia="宋体" w:cs="宋体"/>
          <w:sz w:val="24"/>
          <w:szCs w:val="24"/>
        </w:rPr>
        <w:t>(</w:t>
      </w:r>
      <w:r>
        <w:rPr>
          <w:rFonts w:hint="eastAsia" w:ascii="宋体" w:hAnsi="宋体" w:eastAsia="宋体" w:cs="宋体"/>
          <w:spacing w:val="-10"/>
          <w:sz w:val="24"/>
          <w:szCs w:val="24"/>
        </w:rPr>
        <w:t xml:space="preserve"> </w:t>
      </w:r>
      <w:r>
        <w:rPr>
          <w:rFonts w:hint="eastAsia" w:ascii="宋体" w:hAnsi="宋体" w:eastAsia="宋体" w:cs="宋体"/>
          <w:spacing w:val="-5"/>
          <w:sz w:val="24"/>
          <w:szCs w:val="24"/>
        </w:rPr>
        <w:t>废</w:t>
      </w:r>
      <w:r>
        <w:rPr>
          <w:rFonts w:hint="eastAsia" w:ascii="宋体" w:hAnsi="宋体" w:eastAsia="宋体" w:cs="宋体"/>
          <w:spacing w:val="-3"/>
          <w:sz w:val="24"/>
          <w:szCs w:val="24"/>
        </w:rPr>
        <w:t>水</w:t>
      </w:r>
      <w:r>
        <w:rPr>
          <w:rFonts w:hint="eastAsia" w:ascii="宋体" w:hAnsi="宋体" w:eastAsia="宋体" w:cs="宋体"/>
          <w:spacing w:val="-5"/>
          <w:sz w:val="24"/>
          <w:szCs w:val="24"/>
        </w:rPr>
        <w:t>流</w:t>
      </w:r>
      <w:r>
        <w:rPr>
          <w:rFonts w:hint="eastAsia" w:ascii="宋体" w:hAnsi="宋体" w:eastAsia="宋体" w:cs="宋体"/>
          <w:sz w:val="24"/>
          <w:szCs w:val="24"/>
        </w:rPr>
        <w:t>量</w:t>
      </w:r>
      <w:r>
        <w:rPr>
          <w:rFonts w:hint="eastAsia" w:ascii="宋体" w:hAnsi="宋体" w:eastAsia="宋体" w:cs="宋体"/>
          <w:spacing w:val="-5"/>
          <w:sz w:val="24"/>
          <w:szCs w:val="24"/>
        </w:rPr>
        <w:t>、</w:t>
      </w:r>
      <w:r>
        <w:rPr>
          <w:rFonts w:hint="eastAsia" w:ascii="宋体" w:hAnsi="宋体" w:eastAsia="宋体" w:cs="宋体"/>
          <w:spacing w:val="-3"/>
          <w:sz w:val="24"/>
          <w:szCs w:val="24"/>
        </w:rPr>
        <w:t>成</w:t>
      </w:r>
      <w:r>
        <w:rPr>
          <w:rFonts w:hint="eastAsia" w:ascii="宋体" w:hAnsi="宋体" w:eastAsia="宋体" w:cs="宋体"/>
          <w:spacing w:val="-5"/>
          <w:sz w:val="24"/>
          <w:szCs w:val="24"/>
        </w:rPr>
        <w:t>本分</w:t>
      </w:r>
      <w:r>
        <w:rPr>
          <w:rFonts w:hint="eastAsia" w:ascii="宋体" w:hAnsi="宋体" w:eastAsia="宋体" w:cs="宋体"/>
          <w:sz w:val="24"/>
          <w:szCs w:val="24"/>
        </w:rPr>
        <w:t>析</w:t>
      </w:r>
      <w:r>
        <w:rPr>
          <w:rFonts w:hint="eastAsia" w:ascii="宋体" w:hAnsi="宋体" w:eastAsia="宋体" w:cs="宋体"/>
          <w:spacing w:val="-9"/>
          <w:sz w:val="24"/>
          <w:szCs w:val="24"/>
        </w:rPr>
        <w:t xml:space="preserve"> </w:t>
      </w:r>
      <w:r>
        <w:rPr>
          <w:rFonts w:hint="eastAsia" w:ascii="宋体" w:hAnsi="宋体" w:eastAsia="宋体" w:cs="宋体"/>
          <w:spacing w:val="-5"/>
          <w:sz w:val="24"/>
          <w:szCs w:val="24"/>
        </w:rPr>
        <w:t>、</w:t>
      </w:r>
      <w:r>
        <w:rPr>
          <w:rFonts w:hint="eastAsia" w:ascii="宋体" w:hAnsi="宋体" w:eastAsia="宋体" w:cs="宋体"/>
          <w:spacing w:val="-3"/>
          <w:sz w:val="24"/>
          <w:szCs w:val="24"/>
        </w:rPr>
        <w:t>总</w:t>
      </w:r>
      <w:r>
        <w:rPr>
          <w:rFonts w:hint="eastAsia" w:ascii="宋体" w:hAnsi="宋体" w:eastAsia="宋体" w:cs="宋体"/>
          <w:sz w:val="24"/>
          <w:szCs w:val="24"/>
        </w:rPr>
        <w:t>计)</w:t>
      </w:r>
      <w:r>
        <w:rPr>
          <w:rFonts w:hint="eastAsia" w:ascii="宋体" w:hAnsi="宋体" w:eastAsia="宋体" w:cs="宋体"/>
          <w:sz w:val="24"/>
          <w:szCs w:val="24"/>
          <w:lang w:eastAsia="zh-CN"/>
        </w:rPr>
        <w:t>；</w:t>
      </w:r>
      <w:r>
        <w:rPr>
          <w:rFonts w:hint="eastAsia" w:ascii="宋体" w:hAnsi="宋体" w:eastAsia="宋体" w:cs="宋体"/>
          <w:spacing w:val="-4"/>
          <w:sz w:val="24"/>
          <w:szCs w:val="24"/>
        </w:rPr>
        <w:t>4.</w:t>
      </w:r>
      <w:r>
        <w:rPr>
          <w:rFonts w:hint="eastAsia" w:ascii="宋体" w:hAnsi="宋体" w:eastAsia="宋体" w:cs="宋体"/>
          <w:spacing w:val="-5"/>
          <w:sz w:val="24"/>
          <w:szCs w:val="24"/>
        </w:rPr>
        <w:t>运</w:t>
      </w:r>
      <w:r>
        <w:rPr>
          <w:rFonts w:hint="eastAsia" w:ascii="宋体" w:hAnsi="宋体" w:eastAsia="宋体" w:cs="宋体"/>
          <w:spacing w:val="-3"/>
          <w:sz w:val="24"/>
          <w:szCs w:val="24"/>
        </w:rPr>
        <w:t>营</w:t>
      </w:r>
      <w:r>
        <w:rPr>
          <w:rFonts w:hint="eastAsia" w:ascii="宋体" w:hAnsi="宋体" w:eastAsia="宋体" w:cs="宋体"/>
          <w:spacing w:val="-5"/>
          <w:sz w:val="24"/>
          <w:szCs w:val="24"/>
        </w:rPr>
        <w:t>及维</w:t>
      </w:r>
      <w:r>
        <w:rPr>
          <w:rFonts w:hint="eastAsia" w:ascii="宋体" w:hAnsi="宋体" w:eastAsia="宋体" w:cs="宋体"/>
          <w:sz w:val="24"/>
          <w:szCs w:val="24"/>
        </w:rPr>
        <w:t>护 (</w:t>
      </w:r>
      <w:r>
        <w:rPr>
          <w:rFonts w:hint="eastAsia" w:ascii="宋体" w:hAnsi="宋体" w:eastAsia="宋体" w:cs="宋体"/>
          <w:spacing w:val="-8"/>
          <w:sz w:val="24"/>
          <w:szCs w:val="24"/>
        </w:rPr>
        <w:t xml:space="preserve"> </w:t>
      </w:r>
      <w:r>
        <w:rPr>
          <w:rFonts w:hint="eastAsia" w:ascii="宋体" w:hAnsi="宋体" w:eastAsia="宋体" w:cs="宋体"/>
          <w:spacing w:val="-5"/>
          <w:sz w:val="24"/>
          <w:szCs w:val="24"/>
        </w:rPr>
        <w:t>运</w:t>
      </w:r>
      <w:r>
        <w:rPr>
          <w:rFonts w:hint="eastAsia" w:ascii="宋体" w:hAnsi="宋体" w:eastAsia="宋体" w:cs="宋体"/>
          <w:spacing w:val="-3"/>
          <w:sz w:val="24"/>
          <w:szCs w:val="24"/>
        </w:rPr>
        <w:t>营</w:t>
      </w:r>
      <w:r>
        <w:rPr>
          <w:rFonts w:hint="eastAsia" w:ascii="宋体" w:hAnsi="宋体" w:eastAsia="宋体" w:cs="宋体"/>
          <w:spacing w:val="-5"/>
          <w:sz w:val="24"/>
          <w:szCs w:val="24"/>
        </w:rPr>
        <w:t>管</w:t>
      </w:r>
      <w:r>
        <w:rPr>
          <w:rFonts w:hint="eastAsia" w:ascii="宋体" w:hAnsi="宋体" w:eastAsia="宋体" w:cs="宋体"/>
          <w:sz w:val="24"/>
          <w:szCs w:val="24"/>
        </w:rPr>
        <w:t>理</w:t>
      </w:r>
      <w:r>
        <w:rPr>
          <w:rFonts w:hint="eastAsia" w:ascii="宋体" w:hAnsi="宋体" w:eastAsia="宋体" w:cs="宋体"/>
          <w:sz w:val="24"/>
          <w:szCs w:val="24"/>
          <w:lang w:eastAsia="zh-CN"/>
        </w:rPr>
        <w:t>、</w:t>
      </w:r>
      <w:r>
        <w:rPr>
          <w:rFonts w:hint="eastAsia" w:ascii="宋体" w:hAnsi="宋体" w:eastAsia="宋体" w:cs="宋体"/>
          <w:spacing w:val="-3"/>
          <w:sz w:val="24"/>
          <w:szCs w:val="24"/>
        </w:rPr>
        <w:t>人</w:t>
      </w:r>
      <w:r>
        <w:rPr>
          <w:rFonts w:hint="eastAsia" w:ascii="宋体" w:hAnsi="宋体" w:eastAsia="宋体" w:cs="宋体"/>
          <w:spacing w:val="-5"/>
          <w:sz w:val="24"/>
          <w:szCs w:val="24"/>
        </w:rPr>
        <w:t>员编</w:t>
      </w:r>
      <w:r>
        <w:rPr>
          <w:rFonts w:hint="eastAsia" w:ascii="宋体" w:hAnsi="宋体" w:eastAsia="宋体" w:cs="宋体"/>
          <w:sz w:val="24"/>
          <w:szCs w:val="24"/>
        </w:rPr>
        <w:t>制</w:t>
      </w:r>
      <w:r>
        <w:rPr>
          <w:rFonts w:hint="eastAsia" w:ascii="宋体" w:hAnsi="宋体" w:eastAsia="宋体" w:cs="宋体"/>
          <w:spacing w:val="-5"/>
          <w:sz w:val="24"/>
          <w:szCs w:val="24"/>
        </w:rPr>
        <w:t>、</w:t>
      </w:r>
      <w:r>
        <w:rPr>
          <w:rFonts w:hint="eastAsia" w:ascii="宋体" w:hAnsi="宋体" w:eastAsia="宋体" w:cs="宋体"/>
          <w:spacing w:val="-3"/>
          <w:sz w:val="24"/>
          <w:szCs w:val="24"/>
        </w:rPr>
        <w:t>部</w:t>
      </w:r>
      <w:r>
        <w:rPr>
          <w:rFonts w:hint="eastAsia" w:ascii="宋体" w:hAnsi="宋体" w:eastAsia="宋体" w:cs="宋体"/>
          <w:spacing w:val="-5"/>
          <w:sz w:val="24"/>
          <w:szCs w:val="24"/>
        </w:rPr>
        <w:t>门职</w:t>
      </w:r>
      <w:r>
        <w:rPr>
          <w:rFonts w:hint="eastAsia" w:ascii="宋体" w:hAnsi="宋体" w:eastAsia="宋体" w:cs="宋体"/>
          <w:sz w:val="24"/>
          <w:szCs w:val="24"/>
        </w:rPr>
        <w:t>责</w:t>
      </w:r>
      <w:r>
        <w:rPr>
          <w:rFonts w:hint="eastAsia" w:ascii="宋体" w:hAnsi="宋体" w:eastAsia="宋体" w:cs="宋体"/>
          <w:spacing w:val="-5"/>
          <w:sz w:val="24"/>
          <w:szCs w:val="24"/>
        </w:rPr>
        <w:t>、</w:t>
      </w:r>
      <w:r>
        <w:rPr>
          <w:rFonts w:hint="eastAsia" w:ascii="宋体" w:hAnsi="宋体" w:eastAsia="宋体" w:cs="宋体"/>
          <w:spacing w:val="-3"/>
          <w:sz w:val="24"/>
          <w:szCs w:val="24"/>
        </w:rPr>
        <w:t>运</w:t>
      </w:r>
      <w:r>
        <w:rPr>
          <w:rFonts w:hint="eastAsia" w:ascii="宋体" w:hAnsi="宋体" w:eastAsia="宋体" w:cs="宋体"/>
          <w:spacing w:val="-5"/>
          <w:sz w:val="24"/>
          <w:szCs w:val="24"/>
        </w:rPr>
        <w:t>营管</w:t>
      </w:r>
      <w:r>
        <w:rPr>
          <w:rFonts w:hint="eastAsia" w:ascii="宋体" w:hAnsi="宋体" w:eastAsia="宋体" w:cs="宋体"/>
          <w:spacing w:val="-3"/>
          <w:sz w:val="24"/>
          <w:szCs w:val="24"/>
        </w:rPr>
        <w:t>理</w:t>
      </w:r>
      <w:r>
        <w:rPr>
          <w:rFonts w:hint="eastAsia" w:ascii="宋体" w:hAnsi="宋体" w:eastAsia="宋体" w:cs="宋体"/>
          <w:spacing w:val="-5"/>
          <w:sz w:val="24"/>
          <w:szCs w:val="24"/>
        </w:rPr>
        <w:t>纲</w:t>
      </w:r>
      <w:r>
        <w:rPr>
          <w:rFonts w:hint="eastAsia" w:ascii="宋体" w:hAnsi="宋体" w:eastAsia="宋体" w:cs="宋体"/>
          <w:sz w:val="24"/>
          <w:szCs w:val="24"/>
        </w:rPr>
        <w:t>要</w:t>
      </w:r>
      <w:r>
        <w:rPr>
          <w:rFonts w:hint="eastAsia" w:ascii="宋体" w:hAnsi="宋体" w:eastAsia="宋体" w:cs="宋体"/>
          <w:spacing w:val="-5"/>
          <w:sz w:val="24"/>
          <w:szCs w:val="24"/>
        </w:rPr>
        <w:t>、</w:t>
      </w:r>
      <w:r>
        <w:rPr>
          <w:rFonts w:hint="eastAsia" w:ascii="宋体" w:hAnsi="宋体" w:eastAsia="宋体" w:cs="宋体"/>
          <w:spacing w:val="-3"/>
          <w:sz w:val="24"/>
          <w:szCs w:val="24"/>
        </w:rPr>
        <w:t>工</w:t>
      </w:r>
      <w:r>
        <w:rPr>
          <w:rFonts w:hint="eastAsia" w:ascii="宋体" w:hAnsi="宋体" w:eastAsia="宋体" w:cs="宋体"/>
          <w:spacing w:val="-5"/>
          <w:sz w:val="24"/>
          <w:szCs w:val="24"/>
        </w:rPr>
        <w:t>艺运</w:t>
      </w:r>
      <w:r>
        <w:rPr>
          <w:rFonts w:hint="eastAsia" w:ascii="宋体" w:hAnsi="宋体" w:eastAsia="宋体" w:cs="宋体"/>
          <w:spacing w:val="-3"/>
          <w:sz w:val="24"/>
          <w:szCs w:val="24"/>
        </w:rPr>
        <w:t>行</w:t>
      </w:r>
      <w:r>
        <w:rPr>
          <w:rFonts w:hint="eastAsia" w:ascii="宋体" w:hAnsi="宋体" w:eastAsia="宋体" w:cs="宋体"/>
          <w:spacing w:val="-5"/>
          <w:sz w:val="24"/>
          <w:szCs w:val="24"/>
        </w:rPr>
        <w:t>及管</w:t>
      </w:r>
      <w:r>
        <w:rPr>
          <w:rFonts w:hint="eastAsia" w:ascii="宋体" w:hAnsi="宋体" w:eastAsia="宋体" w:cs="宋体"/>
          <w:sz w:val="24"/>
          <w:szCs w:val="24"/>
        </w:rPr>
        <w:t>理</w:t>
      </w:r>
      <w:r>
        <w:rPr>
          <w:rFonts w:hint="eastAsia" w:ascii="宋体" w:hAnsi="宋体" w:eastAsia="宋体" w:cs="宋体"/>
          <w:spacing w:val="-5"/>
          <w:sz w:val="24"/>
          <w:szCs w:val="24"/>
        </w:rPr>
        <w:t>、</w:t>
      </w:r>
      <w:r>
        <w:rPr>
          <w:rFonts w:hint="eastAsia" w:ascii="宋体" w:hAnsi="宋体" w:eastAsia="宋体" w:cs="宋体"/>
          <w:spacing w:val="-3"/>
          <w:sz w:val="24"/>
          <w:szCs w:val="24"/>
        </w:rPr>
        <w:t>运</w:t>
      </w:r>
      <w:r>
        <w:rPr>
          <w:rFonts w:hint="eastAsia" w:ascii="宋体" w:hAnsi="宋体" w:eastAsia="宋体" w:cs="宋体"/>
          <w:sz w:val="24"/>
          <w:szCs w:val="24"/>
        </w:rPr>
        <w:t>营</w:t>
      </w:r>
      <w:r>
        <w:rPr>
          <w:rFonts w:hint="eastAsia" w:ascii="宋体" w:hAnsi="宋体" w:eastAsia="宋体" w:cs="宋体"/>
          <w:spacing w:val="-5"/>
          <w:sz w:val="24"/>
          <w:szCs w:val="24"/>
        </w:rPr>
        <w:t>维</w:t>
      </w:r>
      <w:r>
        <w:rPr>
          <w:rFonts w:hint="eastAsia" w:ascii="宋体" w:hAnsi="宋体" w:eastAsia="宋体" w:cs="宋体"/>
          <w:spacing w:val="-3"/>
          <w:sz w:val="24"/>
          <w:szCs w:val="24"/>
        </w:rPr>
        <w:t>护</w:t>
      </w:r>
      <w:r>
        <w:rPr>
          <w:rFonts w:hint="eastAsia" w:ascii="宋体" w:hAnsi="宋体" w:eastAsia="宋体" w:cs="宋体"/>
          <w:spacing w:val="-5"/>
          <w:sz w:val="24"/>
          <w:szCs w:val="24"/>
        </w:rPr>
        <w:t>管理</w:t>
      </w:r>
      <w:r>
        <w:rPr>
          <w:rFonts w:hint="eastAsia" w:ascii="宋体" w:hAnsi="宋体" w:eastAsia="宋体" w:cs="宋体"/>
          <w:spacing w:val="-3"/>
          <w:sz w:val="24"/>
          <w:szCs w:val="24"/>
        </w:rPr>
        <w:t>目</w:t>
      </w:r>
      <w:r>
        <w:rPr>
          <w:rFonts w:hint="eastAsia" w:ascii="宋体" w:hAnsi="宋体" w:eastAsia="宋体" w:cs="宋体"/>
          <w:sz w:val="24"/>
          <w:szCs w:val="24"/>
        </w:rPr>
        <w:t>标</w:t>
      </w:r>
      <w:r>
        <w:rPr>
          <w:rFonts w:hint="eastAsia" w:ascii="宋体" w:hAnsi="宋体" w:eastAsia="宋体" w:cs="宋体"/>
          <w:spacing w:val="-5"/>
          <w:sz w:val="24"/>
          <w:szCs w:val="24"/>
        </w:rPr>
        <w:t>、</w:t>
      </w:r>
      <w:r>
        <w:rPr>
          <w:rFonts w:hint="eastAsia" w:ascii="宋体" w:hAnsi="宋体" w:eastAsia="宋体" w:cs="宋体"/>
          <w:spacing w:val="-3"/>
          <w:sz w:val="24"/>
          <w:szCs w:val="24"/>
        </w:rPr>
        <w:t>降</w:t>
      </w:r>
      <w:r>
        <w:rPr>
          <w:rFonts w:hint="eastAsia" w:ascii="宋体" w:hAnsi="宋体" w:eastAsia="宋体" w:cs="宋体"/>
          <w:spacing w:val="-5"/>
          <w:sz w:val="24"/>
          <w:szCs w:val="24"/>
        </w:rPr>
        <w:t>低成</w:t>
      </w:r>
      <w:r>
        <w:rPr>
          <w:rFonts w:hint="eastAsia" w:ascii="宋体" w:hAnsi="宋体" w:eastAsia="宋体" w:cs="宋体"/>
          <w:spacing w:val="-3"/>
          <w:sz w:val="24"/>
          <w:szCs w:val="24"/>
        </w:rPr>
        <w:t>本</w:t>
      </w:r>
      <w:r>
        <w:rPr>
          <w:rFonts w:hint="eastAsia" w:ascii="宋体" w:hAnsi="宋体" w:eastAsia="宋体" w:cs="宋体"/>
          <w:spacing w:val="-5"/>
          <w:sz w:val="24"/>
          <w:szCs w:val="24"/>
        </w:rPr>
        <w:t>持续</w:t>
      </w:r>
      <w:r>
        <w:rPr>
          <w:rFonts w:hint="eastAsia" w:ascii="宋体" w:hAnsi="宋体" w:eastAsia="宋体" w:cs="宋体"/>
          <w:spacing w:val="-3"/>
          <w:sz w:val="24"/>
          <w:szCs w:val="24"/>
        </w:rPr>
        <w:t>提</w:t>
      </w:r>
      <w:r>
        <w:rPr>
          <w:rFonts w:hint="eastAsia" w:ascii="宋体" w:hAnsi="宋体" w:eastAsia="宋体" w:cs="宋体"/>
          <w:spacing w:val="-5"/>
          <w:sz w:val="24"/>
          <w:szCs w:val="24"/>
        </w:rPr>
        <w:t>高运</w:t>
      </w:r>
      <w:r>
        <w:rPr>
          <w:rFonts w:hint="eastAsia" w:ascii="宋体" w:hAnsi="宋体" w:eastAsia="宋体" w:cs="宋体"/>
          <w:spacing w:val="-3"/>
          <w:sz w:val="24"/>
          <w:szCs w:val="24"/>
        </w:rPr>
        <w:t>行</w:t>
      </w:r>
      <w:r>
        <w:rPr>
          <w:rFonts w:hint="eastAsia" w:ascii="宋体" w:hAnsi="宋体" w:eastAsia="宋体" w:cs="宋体"/>
          <w:spacing w:val="-5"/>
          <w:sz w:val="24"/>
          <w:szCs w:val="24"/>
        </w:rPr>
        <w:t>质量</w:t>
      </w:r>
      <w:r>
        <w:rPr>
          <w:rFonts w:hint="eastAsia" w:ascii="宋体" w:hAnsi="宋体" w:eastAsia="宋体" w:cs="宋体"/>
          <w:spacing w:val="-3"/>
          <w:sz w:val="24"/>
          <w:szCs w:val="24"/>
        </w:rPr>
        <w:t>方</w:t>
      </w:r>
      <w:r>
        <w:rPr>
          <w:rFonts w:hint="eastAsia" w:ascii="宋体" w:hAnsi="宋体" w:eastAsia="宋体" w:cs="宋体"/>
          <w:sz w:val="24"/>
          <w:szCs w:val="24"/>
        </w:rPr>
        <w:t>案</w:t>
      </w:r>
      <w:r>
        <w:rPr>
          <w:rFonts w:hint="eastAsia" w:ascii="宋体" w:hAnsi="宋体" w:eastAsia="宋体" w:cs="宋体"/>
          <w:spacing w:val="-5"/>
          <w:sz w:val="24"/>
          <w:szCs w:val="24"/>
        </w:rPr>
        <w:t>、</w:t>
      </w:r>
      <w:r>
        <w:rPr>
          <w:rFonts w:hint="eastAsia" w:ascii="宋体" w:hAnsi="宋体" w:eastAsia="宋体" w:cs="宋体"/>
          <w:spacing w:val="-3"/>
          <w:sz w:val="24"/>
          <w:szCs w:val="24"/>
        </w:rPr>
        <w:t>成</w:t>
      </w:r>
      <w:r>
        <w:rPr>
          <w:rFonts w:hint="eastAsia" w:ascii="宋体" w:hAnsi="宋体" w:eastAsia="宋体" w:cs="宋体"/>
          <w:spacing w:val="-5"/>
          <w:sz w:val="24"/>
          <w:szCs w:val="24"/>
        </w:rPr>
        <w:t>本管</w:t>
      </w:r>
      <w:r>
        <w:rPr>
          <w:rFonts w:hint="eastAsia" w:ascii="宋体" w:hAnsi="宋体" w:eastAsia="宋体" w:cs="宋体"/>
          <w:sz w:val="24"/>
          <w:szCs w:val="24"/>
        </w:rPr>
        <w:t>理</w:t>
      </w:r>
      <w:r>
        <w:rPr>
          <w:rFonts w:hint="eastAsia" w:ascii="宋体" w:hAnsi="宋体" w:eastAsia="宋体" w:cs="宋体"/>
          <w:spacing w:val="-5"/>
          <w:sz w:val="24"/>
          <w:szCs w:val="24"/>
        </w:rPr>
        <w:t>、</w:t>
      </w:r>
      <w:r>
        <w:rPr>
          <w:rFonts w:hint="eastAsia" w:ascii="宋体" w:hAnsi="宋体" w:eastAsia="宋体" w:cs="宋体"/>
          <w:spacing w:val="-3"/>
          <w:sz w:val="24"/>
          <w:szCs w:val="24"/>
        </w:rPr>
        <w:t>项</w:t>
      </w:r>
      <w:r>
        <w:rPr>
          <w:rFonts w:hint="eastAsia" w:ascii="宋体" w:hAnsi="宋体" w:eastAsia="宋体" w:cs="宋体"/>
          <w:spacing w:val="-5"/>
          <w:sz w:val="24"/>
          <w:szCs w:val="24"/>
        </w:rPr>
        <w:t>目设</w:t>
      </w:r>
      <w:r>
        <w:rPr>
          <w:rFonts w:hint="eastAsia" w:ascii="宋体" w:hAnsi="宋体" w:eastAsia="宋体" w:cs="宋体"/>
          <w:spacing w:val="-3"/>
          <w:sz w:val="24"/>
          <w:szCs w:val="24"/>
        </w:rPr>
        <w:t>施</w:t>
      </w:r>
      <w:r>
        <w:rPr>
          <w:rFonts w:hint="eastAsia" w:ascii="宋体" w:hAnsi="宋体" w:eastAsia="宋体" w:cs="宋体"/>
          <w:spacing w:val="-5"/>
          <w:sz w:val="24"/>
          <w:szCs w:val="24"/>
        </w:rPr>
        <w:t>检修</w:t>
      </w:r>
      <w:r>
        <w:rPr>
          <w:rFonts w:hint="eastAsia" w:ascii="宋体" w:hAnsi="宋体" w:eastAsia="宋体" w:cs="宋体"/>
          <w:sz w:val="24"/>
          <w:szCs w:val="24"/>
        </w:rPr>
        <w:t>与</w:t>
      </w:r>
      <w:r>
        <w:rPr>
          <w:rFonts w:hint="eastAsia" w:ascii="宋体" w:hAnsi="宋体" w:eastAsia="宋体" w:cs="宋体"/>
          <w:spacing w:val="-5"/>
          <w:sz w:val="24"/>
          <w:szCs w:val="24"/>
        </w:rPr>
        <w:t>维</w:t>
      </w:r>
      <w:r>
        <w:rPr>
          <w:rFonts w:hint="eastAsia" w:ascii="宋体" w:hAnsi="宋体" w:eastAsia="宋体" w:cs="宋体"/>
          <w:sz w:val="24"/>
          <w:szCs w:val="24"/>
        </w:rPr>
        <w:t>护</w:t>
      </w:r>
      <w:r>
        <w:rPr>
          <w:rFonts w:hint="eastAsia" w:ascii="宋体" w:hAnsi="宋体" w:eastAsia="宋体" w:cs="宋体"/>
          <w:spacing w:val="-5"/>
          <w:sz w:val="24"/>
          <w:szCs w:val="24"/>
        </w:rPr>
        <w:t>、</w:t>
      </w:r>
      <w:r>
        <w:rPr>
          <w:rFonts w:hint="eastAsia" w:ascii="宋体" w:hAnsi="宋体" w:eastAsia="宋体" w:cs="宋体"/>
          <w:spacing w:val="-3"/>
          <w:sz w:val="24"/>
          <w:szCs w:val="24"/>
        </w:rPr>
        <w:t>设</w:t>
      </w:r>
      <w:r>
        <w:rPr>
          <w:rFonts w:hint="eastAsia" w:ascii="宋体" w:hAnsi="宋体" w:eastAsia="宋体" w:cs="宋体"/>
          <w:spacing w:val="-5"/>
          <w:sz w:val="24"/>
          <w:szCs w:val="24"/>
        </w:rPr>
        <w:t>备点</w:t>
      </w:r>
      <w:r>
        <w:rPr>
          <w:rFonts w:hint="eastAsia" w:ascii="宋体" w:hAnsi="宋体" w:eastAsia="宋体" w:cs="宋体"/>
          <w:spacing w:val="-3"/>
          <w:sz w:val="24"/>
          <w:szCs w:val="24"/>
        </w:rPr>
        <w:t>检</w:t>
      </w:r>
      <w:r>
        <w:rPr>
          <w:rFonts w:hint="eastAsia" w:ascii="宋体" w:hAnsi="宋体" w:eastAsia="宋体" w:cs="宋体"/>
          <w:spacing w:val="-5"/>
          <w:sz w:val="24"/>
          <w:szCs w:val="24"/>
        </w:rPr>
        <w:t>管</w:t>
      </w:r>
      <w:r>
        <w:rPr>
          <w:rFonts w:hint="eastAsia" w:ascii="宋体" w:hAnsi="宋体" w:eastAsia="宋体" w:cs="宋体"/>
          <w:sz w:val="24"/>
          <w:szCs w:val="24"/>
        </w:rPr>
        <w:t>理</w:t>
      </w:r>
      <w:r>
        <w:rPr>
          <w:rFonts w:hint="eastAsia" w:ascii="宋体" w:hAnsi="宋体" w:eastAsia="宋体" w:cs="宋体"/>
          <w:spacing w:val="-5"/>
          <w:sz w:val="24"/>
          <w:szCs w:val="24"/>
        </w:rPr>
        <w:t>、</w:t>
      </w:r>
      <w:r>
        <w:rPr>
          <w:rFonts w:hint="eastAsia" w:ascii="宋体" w:hAnsi="宋体" w:eastAsia="宋体" w:cs="宋体"/>
          <w:spacing w:val="-3"/>
          <w:sz w:val="24"/>
          <w:szCs w:val="24"/>
        </w:rPr>
        <w:t>大</w:t>
      </w:r>
      <w:r>
        <w:rPr>
          <w:rFonts w:hint="eastAsia" w:ascii="宋体" w:hAnsi="宋体" w:eastAsia="宋体" w:cs="宋体"/>
          <w:spacing w:val="-5"/>
          <w:sz w:val="24"/>
          <w:szCs w:val="24"/>
        </w:rPr>
        <w:t>修及</w:t>
      </w:r>
      <w:r>
        <w:rPr>
          <w:rFonts w:hint="eastAsia" w:ascii="宋体" w:hAnsi="宋体" w:eastAsia="宋体" w:cs="宋体"/>
          <w:spacing w:val="-3"/>
          <w:sz w:val="24"/>
          <w:szCs w:val="24"/>
        </w:rPr>
        <w:t>重</w:t>
      </w:r>
      <w:r>
        <w:rPr>
          <w:rFonts w:hint="eastAsia" w:ascii="宋体" w:hAnsi="宋体" w:eastAsia="宋体" w:cs="宋体"/>
          <w:spacing w:val="-5"/>
          <w:sz w:val="24"/>
          <w:szCs w:val="24"/>
        </w:rPr>
        <w:t>置方</w:t>
      </w:r>
      <w:r>
        <w:rPr>
          <w:rFonts w:hint="eastAsia" w:ascii="宋体" w:hAnsi="宋体" w:eastAsia="宋体" w:cs="宋体"/>
          <w:sz w:val="24"/>
          <w:szCs w:val="24"/>
        </w:rPr>
        <w:t>案</w:t>
      </w:r>
      <w:r>
        <w:rPr>
          <w:rFonts w:hint="eastAsia" w:ascii="宋体" w:hAnsi="宋体" w:eastAsia="宋体" w:cs="宋体"/>
          <w:spacing w:val="-5"/>
          <w:sz w:val="24"/>
          <w:szCs w:val="24"/>
        </w:rPr>
        <w:t>、</w:t>
      </w:r>
      <w:r>
        <w:rPr>
          <w:rFonts w:hint="eastAsia" w:ascii="宋体" w:hAnsi="宋体" w:eastAsia="宋体" w:cs="宋体"/>
          <w:spacing w:val="-3"/>
          <w:sz w:val="24"/>
          <w:szCs w:val="24"/>
        </w:rPr>
        <w:t>正</w:t>
      </w:r>
      <w:r>
        <w:rPr>
          <w:rFonts w:hint="eastAsia" w:ascii="宋体" w:hAnsi="宋体" w:eastAsia="宋体" w:cs="宋体"/>
          <w:spacing w:val="-5"/>
          <w:sz w:val="24"/>
          <w:szCs w:val="24"/>
        </w:rPr>
        <w:t>常运</w:t>
      </w:r>
      <w:r>
        <w:rPr>
          <w:rFonts w:hint="eastAsia" w:ascii="宋体" w:hAnsi="宋体" w:eastAsia="宋体" w:cs="宋体"/>
          <w:spacing w:val="-3"/>
          <w:sz w:val="24"/>
          <w:szCs w:val="24"/>
        </w:rPr>
        <w:t>营</w:t>
      </w:r>
      <w:r>
        <w:rPr>
          <w:rFonts w:hint="eastAsia" w:ascii="宋体" w:hAnsi="宋体" w:eastAsia="宋体" w:cs="宋体"/>
          <w:spacing w:val="-5"/>
          <w:sz w:val="24"/>
          <w:szCs w:val="24"/>
        </w:rPr>
        <w:t>期间</w:t>
      </w:r>
      <w:r>
        <w:rPr>
          <w:rFonts w:hint="eastAsia" w:ascii="宋体" w:hAnsi="宋体" w:eastAsia="宋体" w:cs="宋体"/>
          <w:spacing w:val="-3"/>
          <w:sz w:val="24"/>
          <w:szCs w:val="24"/>
        </w:rPr>
        <w:t>大</w:t>
      </w:r>
      <w:r>
        <w:rPr>
          <w:rFonts w:hint="eastAsia" w:ascii="宋体" w:hAnsi="宋体" w:eastAsia="宋体" w:cs="宋体"/>
          <w:spacing w:val="-5"/>
          <w:sz w:val="24"/>
          <w:szCs w:val="24"/>
        </w:rPr>
        <w:t>修计</w:t>
      </w:r>
      <w:r>
        <w:rPr>
          <w:rFonts w:hint="eastAsia" w:ascii="宋体" w:hAnsi="宋体" w:eastAsia="宋体" w:cs="宋体"/>
          <w:spacing w:val="-3"/>
          <w:sz w:val="24"/>
          <w:szCs w:val="24"/>
        </w:rPr>
        <w:t>划</w:t>
      </w:r>
      <w:r>
        <w:rPr>
          <w:rFonts w:hint="eastAsia" w:ascii="宋体" w:hAnsi="宋体" w:eastAsia="宋体" w:cs="宋体"/>
          <w:spacing w:val="-5"/>
          <w:sz w:val="24"/>
          <w:szCs w:val="24"/>
        </w:rPr>
        <w:t>制</w:t>
      </w:r>
      <w:r>
        <w:rPr>
          <w:rFonts w:hint="eastAsia" w:ascii="宋体" w:hAnsi="宋体" w:eastAsia="宋体" w:cs="宋体"/>
          <w:sz w:val="24"/>
          <w:szCs w:val="24"/>
        </w:rPr>
        <w:t>定</w:t>
      </w:r>
      <w:r>
        <w:rPr>
          <w:rFonts w:hint="eastAsia" w:ascii="宋体" w:hAnsi="宋体" w:eastAsia="宋体" w:cs="宋体"/>
          <w:spacing w:val="-5"/>
          <w:sz w:val="24"/>
          <w:szCs w:val="24"/>
        </w:rPr>
        <w:t>、</w:t>
      </w:r>
      <w:r>
        <w:rPr>
          <w:rFonts w:hint="eastAsia" w:ascii="宋体" w:hAnsi="宋体" w:eastAsia="宋体" w:cs="宋体"/>
          <w:spacing w:val="-3"/>
          <w:sz w:val="24"/>
          <w:szCs w:val="24"/>
        </w:rPr>
        <w:t>安</w:t>
      </w:r>
      <w:r>
        <w:rPr>
          <w:rFonts w:hint="eastAsia" w:ascii="宋体" w:hAnsi="宋体" w:eastAsia="宋体" w:cs="宋体"/>
          <w:spacing w:val="-5"/>
          <w:sz w:val="24"/>
          <w:szCs w:val="24"/>
        </w:rPr>
        <w:t>全</w:t>
      </w:r>
      <w:r>
        <w:rPr>
          <w:rFonts w:hint="eastAsia" w:ascii="宋体" w:hAnsi="宋体" w:eastAsia="宋体" w:cs="宋体"/>
          <w:sz w:val="24"/>
          <w:szCs w:val="24"/>
        </w:rPr>
        <w:t>、</w:t>
      </w:r>
      <w:r>
        <w:rPr>
          <w:rFonts w:hint="eastAsia" w:ascii="宋体" w:hAnsi="宋体" w:eastAsia="宋体" w:cs="宋体"/>
          <w:spacing w:val="-5"/>
          <w:sz w:val="24"/>
          <w:szCs w:val="24"/>
        </w:rPr>
        <w:t>消</w:t>
      </w:r>
      <w:r>
        <w:rPr>
          <w:rFonts w:hint="eastAsia" w:ascii="宋体" w:hAnsi="宋体" w:eastAsia="宋体" w:cs="宋体"/>
          <w:spacing w:val="-3"/>
          <w:sz w:val="24"/>
          <w:szCs w:val="24"/>
        </w:rPr>
        <w:t>防</w:t>
      </w:r>
      <w:r>
        <w:rPr>
          <w:rFonts w:hint="eastAsia" w:ascii="宋体" w:hAnsi="宋体" w:eastAsia="宋体" w:cs="宋体"/>
          <w:spacing w:val="-5"/>
          <w:sz w:val="24"/>
          <w:szCs w:val="24"/>
        </w:rPr>
        <w:t>管</w:t>
      </w:r>
      <w:r>
        <w:rPr>
          <w:rFonts w:hint="eastAsia" w:ascii="宋体" w:hAnsi="宋体" w:eastAsia="宋体" w:cs="宋体"/>
          <w:sz w:val="24"/>
          <w:szCs w:val="24"/>
        </w:rPr>
        <w:t>理</w:t>
      </w:r>
      <w:r>
        <w:rPr>
          <w:rFonts w:hint="eastAsia" w:ascii="宋体" w:hAnsi="宋体" w:eastAsia="宋体" w:cs="宋体"/>
          <w:spacing w:val="-5"/>
          <w:sz w:val="24"/>
          <w:szCs w:val="24"/>
        </w:rPr>
        <w:t>、</w:t>
      </w:r>
      <w:r>
        <w:rPr>
          <w:rFonts w:hint="eastAsia" w:ascii="宋体" w:hAnsi="宋体" w:eastAsia="宋体" w:cs="宋体"/>
          <w:spacing w:val="-3"/>
          <w:sz w:val="24"/>
          <w:szCs w:val="24"/>
        </w:rPr>
        <w:t>安</w:t>
      </w:r>
      <w:r>
        <w:rPr>
          <w:rFonts w:hint="eastAsia" w:ascii="宋体" w:hAnsi="宋体" w:eastAsia="宋体" w:cs="宋体"/>
          <w:spacing w:val="-5"/>
          <w:sz w:val="24"/>
          <w:szCs w:val="24"/>
        </w:rPr>
        <w:t>全生</w:t>
      </w:r>
      <w:r>
        <w:rPr>
          <w:rFonts w:hint="eastAsia" w:ascii="宋体" w:hAnsi="宋体" w:eastAsia="宋体" w:cs="宋体"/>
          <w:spacing w:val="-3"/>
          <w:sz w:val="24"/>
          <w:szCs w:val="24"/>
        </w:rPr>
        <w:t>产</w:t>
      </w:r>
      <w:r>
        <w:rPr>
          <w:rFonts w:hint="eastAsia" w:ascii="宋体" w:hAnsi="宋体" w:eastAsia="宋体" w:cs="宋体"/>
          <w:spacing w:val="-5"/>
          <w:sz w:val="24"/>
          <w:szCs w:val="24"/>
        </w:rPr>
        <w:t>管</w:t>
      </w:r>
      <w:r>
        <w:rPr>
          <w:rFonts w:hint="eastAsia" w:ascii="宋体" w:hAnsi="宋体" w:eastAsia="宋体" w:cs="宋体"/>
          <w:sz w:val="24"/>
          <w:szCs w:val="24"/>
        </w:rPr>
        <w:t>理</w:t>
      </w:r>
      <w:r>
        <w:rPr>
          <w:rFonts w:hint="eastAsia" w:ascii="宋体" w:hAnsi="宋体" w:eastAsia="宋体" w:cs="宋体"/>
          <w:spacing w:val="-5"/>
          <w:sz w:val="24"/>
          <w:szCs w:val="24"/>
        </w:rPr>
        <w:t>、</w:t>
      </w:r>
      <w:r>
        <w:rPr>
          <w:rFonts w:hint="eastAsia" w:ascii="宋体" w:hAnsi="宋体" w:eastAsia="宋体" w:cs="宋体"/>
          <w:spacing w:val="-3"/>
          <w:sz w:val="24"/>
          <w:szCs w:val="24"/>
        </w:rPr>
        <w:t>应</w:t>
      </w:r>
      <w:r>
        <w:rPr>
          <w:rFonts w:hint="eastAsia" w:ascii="宋体" w:hAnsi="宋体" w:eastAsia="宋体" w:cs="宋体"/>
          <w:spacing w:val="-5"/>
          <w:sz w:val="24"/>
          <w:szCs w:val="24"/>
        </w:rPr>
        <w:t>急预</w:t>
      </w:r>
      <w:r>
        <w:rPr>
          <w:rFonts w:hint="eastAsia" w:ascii="宋体" w:hAnsi="宋体" w:eastAsia="宋体" w:cs="宋体"/>
          <w:sz w:val="24"/>
          <w:szCs w:val="24"/>
        </w:rPr>
        <w:t>案</w:t>
      </w:r>
      <w:r>
        <w:rPr>
          <w:rFonts w:hint="eastAsia" w:ascii="宋体" w:hAnsi="宋体" w:eastAsia="宋体" w:cs="宋体"/>
          <w:spacing w:val="-5"/>
          <w:sz w:val="24"/>
          <w:szCs w:val="24"/>
        </w:rPr>
        <w:t>、</w:t>
      </w:r>
      <w:r>
        <w:rPr>
          <w:rFonts w:hint="eastAsia" w:ascii="宋体" w:hAnsi="宋体" w:eastAsia="宋体" w:cs="宋体"/>
          <w:spacing w:val="-3"/>
          <w:sz w:val="24"/>
          <w:szCs w:val="24"/>
        </w:rPr>
        <w:t>废</w:t>
      </w:r>
      <w:r>
        <w:rPr>
          <w:rFonts w:hint="eastAsia" w:ascii="宋体" w:hAnsi="宋体" w:eastAsia="宋体" w:cs="宋体"/>
          <w:spacing w:val="-5"/>
          <w:sz w:val="24"/>
          <w:szCs w:val="24"/>
        </w:rPr>
        <w:t>水处</w:t>
      </w:r>
      <w:r>
        <w:rPr>
          <w:rFonts w:hint="eastAsia" w:ascii="宋体" w:hAnsi="宋体" w:eastAsia="宋体" w:cs="宋体"/>
          <w:spacing w:val="-3"/>
          <w:sz w:val="24"/>
          <w:szCs w:val="24"/>
        </w:rPr>
        <w:t>理</w:t>
      </w:r>
      <w:r>
        <w:rPr>
          <w:rFonts w:hint="eastAsia" w:ascii="宋体" w:hAnsi="宋体" w:eastAsia="宋体" w:cs="宋体"/>
          <w:spacing w:val="-5"/>
          <w:sz w:val="24"/>
          <w:szCs w:val="24"/>
        </w:rPr>
        <w:t>量统</w:t>
      </w:r>
      <w:r>
        <w:rPr>
          <w:rFonts w:hint="eastAsia" w:ascii="宋体" w:hAnsi="宋体" w:eastAsia="宋体" w:cs="宋体"/>
          <w:sz w:val="24"/>
          <w:szCs w:val="24"/>
        </w:rPr>
        <w:t>计</w:t>
      </w:r>
      <w:r>
        <w:rPr>
          <w:rFonts w:hint="eastAsia" w:ascii="宋体" w:hAnsi="宋体" w:eastAsia="宋体" w:cs="宋体"/>
          <w:spacing w:val="-5"/>
          <w:sz w:val="24"/>
          <w:szCs w:val="24"/>
        </w:rPr>
        <w:t>)；5.其</w:t>
      </w:r>
      <w:r>
        <w:rPr>
          <w:rFonts w:hint="eastAsia" w:ascii="宋体" w:hAnsi="宋体" w:eastAsia="宋体" w:cs="宋体"/>
          <w:spacing w:val="-3"/>
          <w:sz w:val="24"/>
          <w:szCs w:val="24"/>
        </w:rPr>
        <w:t>他</w:t>
      </w:r>
      <w:r>
        <w:rPr>
          <w:rFonts w:hint="eastAsia" w:ascii="宋体" w:hAnsi="宋体" w:eastAsia="宋体" w:cs="宋体"/>
          <w:spacing w:val="-5"/>
          <w:sz w:val="24"/>
          <w:szCs w:val="24"/>
        </w:rPr>
        <w:t>方面</w:t>
      </w:r>
      <w:r>
        <w:rPr>
          <w:rFonts w:hint="eastAsia" w:ascii="宋体" w:hAnsi="宋体" w:eastAsia="宋体" w:cs="宋体"/>
          <w:spacing w:val="-3"/>
          <w:sz w:val="24"/>
          <w:szCs w:val="24"/>
        </w:rPr>
        <w:t>内</w:t>
      </w:r>
      <w:r>
        <w:rPr>
          <w:rFonts w:hint="eastAsia" w:ascii="宋体" w:hAnsi="宋体" w:eastAsia="宋体" w:cs="宋体"/>
          <w:spacing w:val="-5"/>
          <w:sz w:val="24"/>
          <w:szCs w:val="24"/>
        </w:rPr>
        <w:t>容</w:t>
      </w:r>
      <w:r>
        <w:rPr>
          <w:rFonts w:hint="eastAsia" w:ascii="宋体" w:hAnsi="宋体" w:eastAsia="宋体" w:cs="宋体"/>
          <w:sz w:val="24"/>
          <w:szCs w:val="24"/>
        </w:rPr>
        <w:t>：</w:t>
      </w:r>
      <w:r>
        <w:rPr>
          <w:rFonts w:hint="eastAsia" w:ascii="宋体" w:hAnsi="宋体" w:eastAsia="宋体" w:cs="宋体"/>
          <w:spacing w:val="-5"/>
          <w:sz w:val="24"/>
          <w:szCs w:val="24"/>
        </w:rPr>
        <w:t>针</w:t>
      </w:r>
      <w:r>
        <w:rPr>
          <w:rFonts w:hint="eastAsia" w:ascii="宋体" w:hAnsi="宋体" w:eastAsia="宋体" w:cs="宋体"/>
          <w:spacing w:val="-3"/>
          <w:sz w:val="24"/>
          <w:szCs w:val="24"/>
        </w:rPr>
        <w:t>对</w:t>
      </w:r>
      <w:r>
        <w:rPr>
          <w:rFonts w:hint="eastAsia" w:ascii="宋体" w:hAnsi="宋体" w:eastAsia="宋体" w:cs="宋体"/>
          <w:spacing w:val="-5"/>
          <w:sz w:val="24"/>
          <w:szCs w:val="24"/>
        </w:rPr>
        <w:t>本项</w:t>
      </w:r>
      <w:r>
        <w:rPr>
          <w:rFonts w:hint="eastAsia" w:ascii="宋体" w:hAnsi="宋体" w:eastAsia="宋体" w:cs="宋体"/>
          <w:spacing w:val="-3"/>
          <w:sz w:val="24"/>
          <w:szCs w:val="24"/>
        </w:rPr>
        <w:t>目</w:t>
      </w:r>
      <w:r>
        <w:rPr>
          <w:rFonts w:hint="eastAsia" w:ascii="宋体" w:hAnsi="宋体" w:eastAsia="宋体" w:cs="宋体"/>
          <w:spacing w:val="-5"/>
          <w:sz w:val="24"/>
          <w:szCs w:val="24"/>
        </w:rPr>
        <w:t>特点</w:t>
      </w:r>
      <w:r>
        <w:rPr>
          <w:rFonts w:hint="eastAsia" w:ascii="宋体" w:hAnsi="宋体" w:eastAsia="宋体" w:cs="宋体"/>
          <w:spacing w:val="-3"/>
          <w:sz w:val="24"/>
          <w:szCs w:val="24"/>
        </w:rPr>
        <w:t>、</w:t>
      </w:r>
      <w:r>
        <w:rPr>
          <w:rFonts w:hint="eastAsia" w:ascii="宋体" w:hAnsi="宋体" w:eastAsia="宋体" w:cs="宋体"/>
          <w:spacing w:val="-5"/>
          <w:sz w:val="24"/>
          <w:szCs w:val="24"/>
        </w:rPr>
        <w:t>难点</w:t>
      </w:r>
      <w:r>
        <w:rPr>
          <w:rFonts w:hint="eastAsia" w:ascii="宋体" w:hAnsi="宋体" w:eastAsia="宋体" w:cs="宋体"/>
          <w:spacing w:val="-3"/>
          <w:sz w:val="24"/>
          <w:szCs w:val="24"/>
        </w:rPr>
        <w:t>专</w:t>
      </w:r>
      <w:r>
        <w:rPr>
          <w:rFonts w:hint="eastAsia" w:ascii="宋体" w:hAnsi="宋体" w:eastAsia="宋体" w:cs="宋体"/>
          <w:spacing w:val="-5"/>
          <w:sz w:val="24"/>
          <w:szCs w:val="24"/>
        </w:rPr>
        <w:t>项运</w:t>
      </w:r>
      <w:r>
        <w:rPr>
          <w:rFonts w:hint="eastAsia" w:ascii="宋体" w:hAnsi="宋体" w:eastAsia="宋体" w:cs="宋体"/>
          <w:spacing w:val="-3"/>
          <w:sz w:val="24"/>
          <w:szCs w:val="24"/>
        </w:rPr>
        <w:t>维</w:t>
      </w:r>
      <w:r>
        <w:rPr>
          <w:rFonts w:hint="eastAsia" w:ascii="宋体" w:hAnsi="宋体" w:eastAsia="宋体" w:cs="宋体"/>
          <w:spacing w:val="-5"/>
          <w:sz w:val="24"/>
          <w:szCs w:val="24"/>
        </w:rPr>
        <w:t>方案</w:t>
      </w:r>
      <w:r>
        <w:rPr>
          <w:rFonts w:hint="eastAsia" w:ascii="宋体" w:hAnsi="宋体" w:eastAsia="宋体" w:cs="宋体"/>
          <w:spacing w:val="-3"/>
          <w:sz w:val="24"/>
          <w:szCs w:val="24"/>
        </w:rPr>
        <w:t>等</w:t>
      </w:r>
      <w:r>
        <w:rPr>
          <w:rFonts w:hint="eastAsia" w:ascii="宋体" w:hAnsi="宋体" w:eastAsia="宋体" w:cs="宋体"/>
          <w:spacing w:val="-5"/>
          <w:sz w:val="24"/>
          <w:szCs w:val="24"/>
        </w:rPr>
        <w:t>方面</w:t>
      </w:r>
      <w:r>
        <w:rPr>
          <w:rFonts w:hint="eastAsia" w:ascii="宋体" w:hAnsi="宋体" w:eastAsia="宋体" w:cs="宋体"/>
          <w:spacing w:val="-3"/>
          <w:sz w:val="24"/>
          <w:szCs w:val="24"/>
        </w:rPr>
        <w:t>。</w:t>
      </w:r>
      <w:r>
        <w:rPr>
          <w:rFonts w:hint="eastAsia" w:ascii="宋体" w:hAnsi="宋体" w:eastAsia="宋体" w:cs="宋体"/>
          <w:spacing w:val="-5"/>
          <w:sz w:val="24"/>
          <w:szCs w:val="24"/>
        </w:rPr>
        <w:t>如果</w:t>
      </w:r>
      <w:r>
        <w:rPr>
          <w:rFonts w:hint="eastAsia" w:ascii="宋体" w:hAnsi="宋体" w:eastAsia="宋体" w:cs="宋体"/>
          <w:spacing w:val="-3"/>
          <w:sz w:val="24"/>
          <w:szCs w:val="24"/>
        </w:rPr>
        <w:t>投</w:t>
      </w:r>
      <w:r>
        <w:rPr>
          <w:rFonts w:hint="eastAsia" w:ascii="宋体" w:hAnsi="宋体" w:eastAsia="宋体" w:cs="宋体"/>
          <w:spacing w:val="-5"/>
          <w:sz w:val="24"/>
          <w:szCs w:val="24"/>
        </w:rPr>
        <w:t>标人</w:t>
      </w:r>
      <w:r>
        <w:rPr>
          <w:rFonts w:hint="eastAsia" w:ascii="宋体" w:hAnsi="宋体" w:eastAsia="宋体" w:cs="宋体"/>
          <w:spacing w:val="-3"/>
          <w:sz w:val="24"/>
          <w:szCs w:val="24"/>
        </w:rPr>
        <w:t>有</w:t>
      </w:r>
      <w:r>
        <w:rPr>
          <w:rFonts w:hint="eastAsia" w:ascii="宋体" w:hAnsi="宋体" w:eastAsia="宋体" w:cs="宋体"/>
          <w:spacing w:val="-5"/>
          <w:sz w:val="24"/>
          <w:szCs w:val="24"/>
        </w:rPr>
        <w:t>其他</w:t>
      </w:r>
      <w:r>
        <w:rPr>
          <w:rFonts w:hint="eastAsia" w:ascii="宋体" w:hAnsi="宋体" w:eastAsia="宋体" w:cs="宋体"/>
          <w:spacing w:val="-3"/>
          <w:sz w:val="24"/>
          <w:szCs w:val="24"/>
        </w:rPr>
        <w:t>方</w:t>
      </w:r>
      <w:r>
        <w:rPr>
          <w:rFonts w:hint="eastAsia" w:ascii="宋体" w:hAnsi="宋体" w:eastAsia="宋体" w:cs="宋体"/>
          <w:spacing w:val="-5"/>
          <w:sz w:val="24"/>
          <w:szCs w:val="24"/>
        </w:rPr>
        <w:t>面的</w:t>
      </w:r>
      <w:r>
        <w:rPr>
          <w:rFonts w:hint="eastAsia" w:ascii="宋体" w:hAnsi="宋体" w:eastAsia="宋体" w:cs="宋体"/>
          <w:spacing w:val="-3"/>
          <w:sz w:val="24"/>
          <w:szCs w:val="24"/>
        </w:rPr>
        <w:t>内</w:t>
      </w:r>
      <w:r>
        <w:rPr>
          <w:rFonts w:hint="eastAsia" w:ascii="宋体" w:hAnsi="宋体" w:eastAsia="宋体" w:cs="宋体"/>
          <w:spacing w:val="-5"/>
          <w:sz w:val="24"/>
          <w:szCs w:val="24"/>
        </w:rPr>
        <w:t>容也</w:t>
      </w:r>
      <w:r>
        <w:rPr>
          <w:rFonts w:hint="eastAsia" w:ascii="宋体" w:hAnsi="宋体" w:eastAsia="宋体" w:cs="宋体"/>
          <w:spacing w:val="-3"/>
          <w:sz w:val="24"/>
          <w:szCs w:val="24"/>
        </w:rPr>
        <w:t>可</w:t>
      </w:r>
      <w:r>
        <w:rPr>
          <w:rFonts w:hint="eastAsia" w:ascii="宋体" w:hAnsi="宋体" w:eastAsia="宋体" w:cs="宋体"/>
          <w:spacing w:val="-5"/>
          <w:sz w:val="24"/>
          <w:szCs w:val="24"/>
        </w:rPr>
        <w:t>以</w:t>
      </w:r>
      <w:r>
        <w:rPr>
          <w:rFonts w:hint="eastAsia" w:ascii="宋体" w:hAnsi="宋体" w:eastAsia="宋体" w:cs="宋体"/>
          <w:sz w:val="24"/>
          <w:szCs w:val="24"/>
        </w:rPr>
        <w:t>补</w:t>
      </w:r>
      <w:r>
        <w:rPr>
          <w:rFonts w:hint="eastAsia" w:ascii="宋体" w:hAnsi="宋体" w:eastAsia="宋体" w:cs="宋体"/>
          <w:spacing w:val="-5"/>
          <w:sz w:val="24"/>
          <w:szCs w:val="24"/>
        </w:rPr>
        <w:t>充</w:t>
      </w:r>
      <w:r>
        <w:rPr>
          <w:rFonts w:hint="eastAsia" w:ascii="宋体" w:hAnsi="宋体" w:eastAsia="宋体" w:cs="宋体"/>
          <w:spacing w:val="-3"/>
          <w:sz w:val="24"/>
          <w:szCs w:val="24"/>
        </w:rPr>
        <w:t>进</w:t>
      </w:r>
      <w:r>
        <w:rPr>
          <w:rFonts w:hint="eastAsia" w:ascii="宋体" w:hAnsi="宋体" w:eastAsia="宋体" w:cs="宋体"/>
          <w:spacing w:val="-5"/>
          <w:sz w:val="24"/>
          <w:szCs w:val="24"/>
        </w:rPr>
        <w:t>运维</w:t>
      </w:r>
      <w:r>
        <w:rPr>
          <w:rFonts w:hint="eastAsia" w:ascii="宋体" w:hAnsi="宋体" w:eastAsia="宋体" w:cs="宋体"/>
          <w:spacing w:val="-3"/>
          <w:sz w:val="24"/>
          <w:szCs w:val="24"/>
        </w:rPr>
        <w:t>方</w:t>
      </w:r>
      <w:r>
        <w:rPr>
          <w:rFonts w:hint="eastAsia" w:ascii="宋体" w:hAnsi="宋体" w:eastAsia="宋体" w:cs="宋体"/>
          <w:spacing w:val="-5"/>
          <w:sz w:val="24"/>
          <w:szCs w:val="24"/>
        </w:rPr>
        <w:t>案中</w:t>
      </w:r>
      <w:r>
        <w:rPr>
          <w:rFonts w:hint="eastAsia" w:ascii="宋体" w:hAnsi="宋体" w:eastAsia="宋体" w:cs="宋体"/>
          <w:sz w:val="24"/>
          <w:szCs w:val="24"/>
        </w:rPr>
        <w:t>。</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60" w:firstLineChars="20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★运维服务承诺应当包括</w:t>
      </w:r>
      <w:r>
        <w:rPr>
          <w:rFonts w:hint="eastAsia" w:ascii="宋体" w:hAnsi="宋体" w:eastAsia="宋体" w:cs="宋体"/>
          <w:sz w:val="24"/>
          <w:szCs w:val="24"/>
        </w:rPr>
        <w:t>：A</w:t>
      </w:r>
      <w:r>
        <w:rPr>
          <w:rFonts w:hint="eastAsia" w:ascii="宋体" w:hAnsi="宋体" w:eastAsia="宋体" w:cs="宋体"/>
          <w:spacing w:val="-6"/>
          <w:sz w:val="24"/>
          <w:szCs w:val="24"/>
        </w:rPr>
        <w:t>.运维达到有关处置标准、安全标准、环境标准；</w:t>
      </w:r>
      <w:r>
        <w:rPr>
          <w:rFonts w:hint="eastAsia" w:ascii="宋体" w:hAnsi="宋体" w:eastAsia="宋体" w:cs="宋体"/>
          <w:spacing w:val="-3"/>
          <w:sz w:val="24"/>
          <w:szCs w:val="24"/>
        </w:rPr>
        <w:t xml:space="preserve">B. </w:t>
      </w:r>
      <w:r>
        <w:rPr>
          <w:rFonts w:hint="eastAsia" w:ascii="宋体" w:hAnsi="宋体" w:eastAsia="宋体" w:cs="宋体"/>
          <w:spacing w:val="-5"/>
          <w:sz w:val="24"/>
          <w:szCs w:val="24"/>
        </w:rPr>
        <w:t>设备检修、维护、损坏</w:t>
      </w:r>
      <w:r>
        <w:rPr>
          <w:rFonts w:hint="eastAsia" w:ascii="宋体" w:hAnsi="宋体" w:eastAsia="宋体" w:cs="宋体"/>
          <w:spacing w:val="-3"/>
          <w:sz w:val="24"/>
          <w:szCs w:val="24"/>
        </w:rPr>
        <w:t>（</w:t>
      </w:r>
      <w:r>
        <w:rPr>
          <w:rFonts w:hint="eastAsia" w:ascii="宋体" w:hAnsi="宋体" w:eastAsia="宋体" w:cs="宋体"/>
          <w:spacing w:val="-5"/>
          <w:sz w:val="24"/>
          <w:szCs w:val="24"/>
        </w:rPr>
        <w:t>损耗</w:t>
      </w:r>
      <w:r>
        <w:rPr>
          <w:rFonts w:hint="eastAsia" w:ascii="宋体" w:hAnsi="宋体" w:eastAsia="宋体" w:cs="宋体"/>
          <w:spacing w:val="-3"/>
          <w:sz w:val="24"/>
          <w:szCs w:val="24"/>
        </w:rPr>
        <w:t>）</w:t>
      </w:r>
      <w:r>
        <w:rPr>
          <w:rFonts w:hint="eastAsia" w:ascii="宋体" w:hAnsi="宋体" w:eastAsia="宋体" w:cs="宋体"/>
          <w:spacing w:val="-5"/>
          <w:sz w:val="24"/>
          <w:szCs w:val="24"/>
        </w:rPr>
        <w:t>设备更换及药剂添加；</w:t>
      </w:r>
      <w:r>
        <w:rPr>
          <w:rFonts w:hint="eastAsia" w:ascii="宋体" w:hAnsi="宋体" w:eastAsia="宋体" w:cs="宋体"/>
          <w:spacing w:val="-3"/>
          <w:sz w:val="24"/>
          <w:szCs w:val="24"/>
        </w:rPr>
        <w:t>C</w:t>
      </w:r>
      <w:r>
        <w:rPr>
          <w:rFonts w:hint="eastAsia" w:ascii="宋体" w:hAnsi="宋体" w:eastAsia="宋体" w:cs="宋体"/>
          <w:spacing w:val="-6"/>
          <w:sz w:val="24"/>
          <w:szCs w:val="24"/>
        </w:rPr>
        <w:t>.运维报告、环境监测报告</w:t>
      </w:r>
      <w:r>
        <w:rPr>
          <w:rFonts w:hint="eastAsia" w:ascii="宋体" w:hAnsi="宋体" w:eastAsia="宋体" w:cs="宋体"/>
          <w:spacing w:val="-5"/>
          <w:sz w:val="24"/>
          <w:szCs w:val="24"/>
        </w:rPr>
        <w:t>等</w:t>
      </w:r>
      <w:r>
        <w:rPr>
          <w:rFonts w:hint="eastAsia" w:ascii="宋体" w:hAnsi="宋体" w:eastAsia="宋体" w:cs="宋体"/>
          <w:sz w:val="24"/>
          <w:szCs w:val="24"/>
        </w:rPr>
        <w:t>；D</w:t>
      </w:r>
      <w:r>
        <w:rPr>
          <w:rFonts w:hint="eastAsia" w:ascii="宋体" w:hAnsi="宋体" w:eastAsia="宋体" w:cs="宋体"/>
          <w:spacing w:val="-6"/>
          <w:sz w:val="24"/>
          <w:szCs w:val="24"/>
        </w:rPr>
        <w:t>. 配合出水口在线监控维护等其他相关措施。</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、商务要求</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sz w:val="24"/>
          <w:szCs w:val="24"/>
        </w:rPr>
      </w:pPr>
      <w:r>
        <w:rPr>
          <w:rFonts w:hint="eastAsia" w:ascii="宋体" w:hAnsi="宋体" w:eastAsia="宋体" w:cs="宋体"/>
          <w:sz w:val="24"/>
          <w:szCs w:val="24"/>
        </w:rPr>
        <w:t>1、报价要求</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60" w:firstLineChars="200"/>
        <w:textAlignment w:val="auto"/>
        <w:rPr>
          <w:rFonts w:hint="eastAsia" w:ascii="宋体" w:hAnsi="宋体" w:eastAsia="宋体" w:cs="宋体"/>
          <w:sz w:val="24"/>
          <w:szCs w:val="24"/>
        </w:rPr>
      </w:pPr>
      <w:r>
        <w:rPr>
          <w:rFonts w:hint="eastAsia" w:ascii="宋体" w:hAnsi="宋体" w:eastAsia="宋体" w:cs="宋体"/>
          <w:spacing w:val="-5"/>
          <w:sz w:val="24"/>
          <w:szCs w:val="24"/>
        </w:rPr>
        <w:t>★1.1所有投标报价以人民币元为计价货币单位。投标报价应包括为完成本项目需要的和可能发生的全部费用，包括采购要求虽未明示，但作为一个有经验的运营商应该预计到的费用等，包括但不限于运营所产生的人工费、动力费、维修保养（</w:t>
      </w:r>
      <w:r>
        <w:rPr>
          <w:rFonts w:hint="eastAsia" w:ascii="宋体" w:hAnsi="宋体" w:eastAsia="宋体" w:cs="宋体"/>
          <w:spacing w:val="-3"/>
          <w:sz w:val="24"/>
          <w:szCs w:val="24"/>
        </w:rPr>
        <w:t>包含设</w:t>
      </w:r>
      <w:r>
        <w:rPr>
          <w:rFonts w:hint="eastAsia" w:ascii="宋体" w:hAnsi="宋体" w:eastAsia="宋体" w:cs="宋体"/>
          <w:spacing w:val="-5"/>
          <w:sz w:val="24"/>
          <w:szCs w:val="24"/>
        </w:rPr>
        <w:t>备的大、中、小维修）费、药剂费、管理费、污泥运输费、污泥处置费、污染源在线监测系统运维费用、利润、税金、其他等一切费用。</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60" w:firstLineChars="200"/>
        <w:textAlignment w:val="auto"/>
        <w:rPr>
          <w:rFonts w:hint="eastAsia" w:ascii="宋体" w:hAnsi="宋体" w:eastAsia="宋体" w:cs="宋体"/>
        </w:rPr>
      </w:pPr>
      <w:r>
        <w:rPr>
          <w:rFonts w:hint="eastAsia" w:ascii="宋体" w:hAnsi="宋体" w:eastAsia="宋体" w:cs="宋体"/>
          <w:spacing w:val="-5"/>
          <w:sz w:val="24"/>
          <w:szCs w:val="24"/>
        </w:rPr>
        <w:t>1.2、按国家规定由中标单位缴纳的各种税收均已包含在投标总价内，由中标单位向税务机关缴纳。</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四、服务期要求</w:t>
      </w:r>
    </w:p>
    <w:p>
      <w:pPr>
        <w:pStyle w:val="226"/>
        <w:keepNext w:val="0"/>
        <w:pageBreakBefore w:val="0"/>
        <w:widowControl w:val="0"/>
        <w:numPr>
          <w:ilvl w:val="0"/>
          <w:numId w:val="0"/>
        </w:numPr>
        <w:tabs>
          <w:tab w:val="left" w:pos="1494"/>
        </w:tabs>
        <w:kinsoku/>
        <w:wordWrap/>
        <w:overflowPunct/>
        <w:topLinePunct w:val="0"/>
        <w:autoSpaceDE/>
        <w:autoSpaceDN/>
        <w:bidi w:val="0"/>
        <w:adjustRightInd/>
        <w:snapToGrid w:val="0"/>
        <w:spacing w:after="0" w:line="360" w:lineRule="auto"/>
        <w:ind w:left="0" w:leftChars="0" w:right="0" w:rightChars="0" w:firstLine="458" w:firstLineChars="200"/>
        <w:jc w:val="left"/>
        <w:textAlignment w:val="auto"/>
        <w:rPr>
          <w:rFonts w:hint="eastAsia" w:ascii="宋体" w:hAnsi="宋体" w:eastAsia="宋体" w:cs="宋体"/>
          <w:b/>
          <w:bCs/>
          <w:spacing w:val="-5"/>
          <w:sz w:val="24"/>
        </w:rPr>
      </w:pPr>
      <w:r>
        <w:rPr>
          <w:rFonts w:hint="eastAsia" w:ascii="宋体" w:hAnsi="宋体" w:eastAsia="宋体" w:cs="宋体"/>
          <w:b/>
          <w:bCs/>
          <w:spacing w:val="-6"/>
          <w:sz w:val="24"/>
          <w:lang w:val="en-US" w:eastAsia="zh-CN"/>
        </w:rPr>
        <w:t>1.1</w:t>
      </w:r>
      <w:r>
        <w:rPr>
          <w:rFonts w:hint="eastAsia" w:ascii="宋体" w:hAnsi="宋体" w:eastAsia="宋体" w:cs="宋体"/>
          <w:b/>
          <w:bCs/>
          <w:spacing w:val="-6"/>
          <w:sz w:val="24"/>
        </w:rPr>
        <w:t>、运维时间：20</w:t>
      </w:r>
      <w:r>
        <w:rPr>
          <w:rFonts w:hint="eastAsia" w:ascii="宋体" w:hAnsi="宋体" w:eastAsia="宋体" w:cs="宋体"/>
          <w:b/>
          <w:bCs/>
          <w:spacing w:val="-6"/>
          <w:sz w:val="24"/>
          <w:lang w:val="en-US" w:eastAsia="zh-CN"/>
        </w:rPr>
        <w:t>20</w:t>
      </w:r>
      <w:r>
        <w:rPr>
          <w:rFonts w:hint="eastAsia" w:ascii="宋体" w:hAnsi="宋体" w:eastAsia="宋体" w:cs="宋体"/>
          <w:b/>
          <w:bCs/>
          <w:spacing w:val="-6"/>
          <w:sz w:val="24"/>
        </w:rPr>
        <w:t>年</w:t>
      </w:r>
      <w:r>
        <w:rPr>
          <w:rFonts w:hint="eastAsia" w:ascii="宋体" w:hAnsi="宋体" w:cs="宋体"/>
          <w:b/>
          <w:bCs/>
          <w:spacing w:val="-6"/>
          <w:sz w:val="24"/>
          <w:lang w:eastAsia="zh-CN"/>
        </w:rPr>
        <w:t>8月1日</w:t>
      </w:r>
      <w:r>
        <w:rPr>
          <w:rFonts w:hint="eastAsia" w:ascii="宋体" w:hAnsi="宋体" w:eastAsia="宋体" w:cs="宋体"/>
          <w:b/>
          <w:bCs/>
          <w:spacing w:val="-6"/>
          <w:sz w:val="24"/>
        </w:rPr>
        <w:t>至202</w:t>
      </w:r>
      <w:r>
        <w:rPr>
          <w:rFonts w:hint="eastAsia" w:ascii="宋体" w:hAnsi="宋体" w:eastAsia="宋体" w:cs="宋体"/>
          <w:b/>
          <w:bCs/>
          <w:spacing w:val="-6"/>
          <w:sz w:val="24"/>
          <w:lang w:val="en-US" w:eastAsia="zh-CN"/>
        </w:rPr>
        <w:t>1</w:t>
      </w:r>
      <w:r>
        <w:rPr>
          <w:rFonts w:hint="eastAsia" w:ascii="宋体" w:hAnsi="宋体" w:eastAsia="宋体" w:cs="宋体"/>
          <w:b/>
          <w:bCs/>
          <w:spacing w:val="-6"/>
          <w:sz w:val="24"/>
        </w:rPr>
        <w:t>年</w:t>
      </w:r>
      <w:r>
        <w:rPr>
          <w:rFonts w:hint="eastAsia" w:ascii="宋体" w:hAnsi="宋体" w:cs="宋体"/>
          <w:b/>
          <w:bCs/>
          <w:spacing w:val="-6"/>
          <w:sz w:val="24"/>
          <w:lang w:val="en-US" w:eastAsia="zh-CN"/>
        </w:rPr>
        <w:t>7月31日</w:t>
      </w:r>
      <w:r>
        <w:rPr>
          <w:rFonts w:hint="eastAsia" w:ascii="宋体" w:hAnsi="宋体" w:eastAsia="宋体" w:cs="宋体"/>
          <w:b/>
          <w:bCs/>
          <w:spacing w:val="-6"/>
          <w:sz w:val="24"/>
          <w:lang w:eastAsia="zh-CN"/>
        </w:rPr>
        <w:t>（</w:t>
      </w:r>
      <w:r>
        <w:rPr>
          <w:rFonts w:hint="eastAsia" w:ascii="宋体" w:hAnsi="宋体" w:eastAsia="宋体" w:cs="宋体"/>
          <w:b/>
          <w:bCs/>
          <w:spacing w:val="-6"/>
          <w:sz w:val="24"/>
          <w:lang w:val="en-US" w:eastAsia="zh-CN"/>
        </w:rPr>
        <w:t>实际以合同签订次日开始计算</w:t>
      </w:r>
      <w:r>
        <w:rPr>
          <w:rFonts w:hint="eastAsia" w:ascii="宋体" w:hAnsi="宋体" w:eastAsia="宋体" w:cs="宋体"/>
          <w:b/>
          <w:bCs/>
          <w:spacing w:val="-6"/>
          <w:sz w:val="24"/>
          <w:lang w:eastAsia="zh-CN"/>
        </w:rPr>
        <w:t>）</w:t>
      </w:r>
      <w:r>
        <w:rPr>
          <w:rFonts w:hint="eastAsia" w:ascii="宋体" w:hAnsi="宋体" w:eastAsia="宋体" w:cs="宋体"/>
          <w:b/>
          <w:bCs/>
          <w:spacing w:val="-5"/>
          <w:sz w:val="24"/>
        </w:rPr>
        <w:t>，运维地点为采购人指定地点。合同期满后，经甲方认可后续签下一年度合同，最多续签两次，每次一年。</w:t>
      </w:r>
    </w:p>
    <w:p>
      <w:pPr>
        <w:pStyle w:val="226"/>
        <w:keepNext w:val="0"/>
        <w:pageBreakBefore w:val="0"/>
        <w:widowControl w:val="0"/>
        <w:numPr>
          <w:ilvl w:val="0"/>
          <w:numId w:val="0"/>
        </w:numPr>
        <w:tabs>
          <w:tab w:val="left" w:pos="1494"/>
        </w:tabs>
        <w:kinsoku/>
        <w:wordWrap/>
        <w:overflowPunct/>
        <w:topLinePunct w:val="0"/>
        <w:autoSpaceDE/>
        <w:autoSpaceDN/>
        <w:bidi w:val="0"/>
        <w:adjustRightInd/>
        <w:snapToGrid w:val="0"/>
        <w:spacing w:after="0" w:line="360" w:lineRule="auto"/>
        <w:ind w:left="0" w:leftChars="0" w:right="0" w:rightChars="0" w:firstLine="462" w:firstLineChars="200"/>
        <w:jc w:val="left"/>
        <w:textAlignment w:val="auto"/>
        <w:rPr>
          <w:rFonts w:hint="eastAsia" w:ascii="宋体" w:hAnsi="宋体" w:eastAsia="宋体" w:cs="宋体"/>
          <w:b/>
          <w:bCs/>
          <w:sz w:val="24"/>
        </w:rPr>
      </w:pPr>
      <w:r>
        <w:rPr>
          <w:rFonts w:hint="eastAsia" w:ascii="宋体" w:hAnsi="宋体" w:eastAsia="宋体" w:cs="宋体"/>
          <w:b/>
          <w:bCs/>
          <w:spacing w:val="-5"/>
          <w:sz w:val="24"/>
        </w:rPr>
        <w:t>服务期内服务质量、服务时间、服务内容、服务人员均满足甲方要求。</w:t>
      </w:r>
    </w:p>
    <w:p>
      <w:pPr>
        <w:pStyle w:val="226"/>
        <w:keepNext w:val="0"/>
        <w:pageBreakBefore w:val="0"/>
        <w:widowControl w:val="0"/>
        <w:numPr>
          <w:ilvl w:val="0"/>
          <w:numId w:val="0"/>
        </w:numPr>
        <w:tabs>
          <w:tab w:val="left" w:pos="1601"/>
        </w:tabs>
        <w:kinsoku/>
        <w:wordWrap/>
        <w:overflowPunct/>
        <w:topLinePunct w:val="0"/>
        <w:autoSpaceDE/>
        <w:autoSpaceDN/>
        <w:bidi w:val="0"/>
        <w:adjustRightInd/>
        <w:snapToGrid w:val="0"/>
        <w:spacing w:after="0" w:line="360" w:lineRule="auto"/>
        <w:ind w:left="0" w:leftChars="0" w:right="0" w:rightChars="0" w:firstLine="458" w:firstLineChars="200"/>
        <w:jc w:val="left"/>
        <w:textAlignment w:val="auto"/>
        <w:rPr>
          <w:rFonts w:hint="eastAsia" w:ascii="宋体" w:hAnsi="宋体" w:eastAsia="宋体" w:cs="宋体"/>
          <w:b/>
          <w:bCs/>
          <w:sz w:val="24"/>
        </w:rPr>
      </w:pPr>
      <w:r>
        <w:rPr>
          <w:rFonts w:hint="eastAsia" w:ascii="宋体" w:hAnsi="宋体" w:eastAsia="宋体" w:cs="宋体"/>
          <w:b/>
          <w:bCs/>
          <w:spacing w:val="-6"/>
          <w:sz w:val="24"/>
        </w:rPr>
        <w:t>对中标单位的运维期违约处罚条款：①中标单位逾期运维的，以每延期一日，</w:t>
      </w:r>
      <w:r>
        <w:rPr>
          <w:rFonts w:hint="eastAsia" w:ascii="宋体" w:hAnsi="宋体" w:eastAsia="宋体" w:cs="宋体"/>
          <w:b/>
          <w:bCs/>
          <w:spacing w:val="-5"/>
          <w:sz w:val="24"/>
        </w:rPr>
        <w:t>扣除履约保证金总额百分之五作为违约金计算。②中标单位逾期十日不能开始运维的， 视为不能履约，须扣除剩余履约保证金总额作为违约金计算，并取消其中标资格。</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六、验收办法及其标准</w:t>
      </w:r>
    </w:p>
    <w:p>
      <w:pPr>
        <w:pStyle w:val="3"/>
        <w:keepNext w:val="0"/>
        <w:pageBreakBefore w:val="0"/>
        <w:widowControl w:val="0"/>
        <w:kinsoku/>
        <w:wordWrap/>
        <w:overflowPunct/>
        <w:topLinePunct w:val="0"/>
        <w:autoSpaceDE/>
        <w:autoSpaceDN/>
        <w:bidi w:val="0"/>
        <w:adjustRightInd/>
        <w:snapToGrid w:val="0"/>
        <w:spacing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开始运维后，业主按照招标文件要求、中标单位投标文件的承诺，对废水处理厂运维工作组织验收。</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七、付款方式</w:t>
      </w:r>
    </w:p>
    <w:p>
      <w:pPr>
        <w:pStyle w:val="3"/>
        <w:keepNext w:val="0"/>
        <w:keepLines/>
        <w:pageBreakBefore w:val="0"/>
        <w:widowControl w:val="0"/>
        <w:kinsoku/>
        <w:wordWrap/>
        <w:overflowPunct/>
        <w:topLinePunct w:val="0"/>
        <w:autoSpaceDE/>
        <w:autoSpaceDN/>
        <w:bidi w:val="0"/>
        <w:adjustRightInd/>
        <w:snapToGrid w:val="0"/>
        <w:spacing w:line="360" w:lineRule="auto"/>
        <w:ind w:left="0" w:leftChars="0" w:righ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★被服务企业根据</w:t>
      </w:r>
      <w:r>
        <w:rPr>
          <w:rFonts w:hint="eastAsia" w:ascii="宋体" w:hAnsi="宋体" w:eastAsia="宋体" w:cs="宋体"/>
          <w:b/>
          <w:bCs/>
          <w:sz w:val="24"/>
          <w:szCs w:val="24"/>
          <w:lang w:val="en-US" w:eastAsia="zh-CN"/>
        </w:rPr>
        <w:t>工业</w:t>
      </w:r>
      <w:r>
        <w:rPr>
          <w:rFonts w:hint="eastAsia" w:ascii="宋体" w:hAnsi="宋体" w:eastAsia="宋体" w:cs="宋体"/>
          <w:b/>
          <w:bCs/>
          <w:sz w:val="24"/>
          <w:szCs w:val="24"/>
        </w:rPr>
        <w:t>废水排放量，按月向运营方支付服务费，运营方必须开具统一正式发票。</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八、投标人须遵循现行国家有关的设计与验收标准。</w:t>
      </w:r>
    </w:p>
    <w:p>
      <w:pPr>
        <w:pStyle w:val="3"/>
        <w:keepNext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九、资信及商务要求表</w:t>
      </w:r>
    </w:p>
    <w:tbl>
      <w:tblPr>
        <w:tblStyle w:val="41"/>
        <w:tblpPr w:leftFromText="180" w:rightFromText="180" w:vertAnchor="text" w:tblpXSpec="center" w:tblpY="1"/>
        <w:tblOverlap w:val="never"/>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79"/>
        <w:gridCol w:w="5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1670" w:type="pct"/>
            <w:vAlign w:val="center"/>
          </w:tcPr>
          <w:p>
            <w:pPr>
              <w:pStyle w:val="266"/>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运维时间及地点</w:t>
            </w:r>
          </w:p>
        </w:tc>
        <w:tc>
          <w:tcPr>
            <w:tcW w:w="3329" w:type="pct"/>
            <w:vAlign w:val="center"/>
          </w:tcPr>
          <w:p>
            <w:pPr>
              <w:pStyle w:val="266"/>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hint="eastAsia" w:ascii="宋体" w:hAnsi="宋体" w:eastAsia="宋体" w:cs="宋体"/>
                <w:sz w:val="24"/>
                <w:szCs w:val="24"/>
              </w:rPr>
            </w:pPr>
            <w:r>
              <w:rPr>
                <w:rFonts w:hint="eastAsia" w:ascii="宋体" w:hAnsi="宋体" w:eastAsia="宋体" w:cs="宋体"/>
                <w:sz w:val="24"/>
                <w:szCs w:val="24"/>
              </w:rPr>
              <w:t>运维时间：20</w:t>
            </w:r>
            <w:r>
              <w:rPr>
                <w:rFonts w:hint="eastAsia" w:cs="宋体"/>
                <w:sz w:val="24"/>
                <w:szCs w:val="24"/>
                <w:lang w:val="en-US" w:eastAsia="zh-CN"/>
              </w:rPr>
              <w:t>20</w:t>
            </w:r>
            <w:r>
              <w:rPr>
                <w:rFonts w:hint="eastAsia" w:ascii="宋体" w:hAnsi="宋体" w:eastAsia="宋体" w:cs="宋体"/>
                <w:sz w:val="24"/>
                <w:szCs w:val="24"/>
              </w:rPr>
              <w:t>年</w:t>
            </w:r>
            <w:r>
              <w:rPr>
                <w:rFonts w:hint="eastAsia" w:cs="宋体"/>
                <w:sz w:val="24"/>
                <w:szCs w:val="24"/>
                <w:lang w:eastAsia="zh-CN"/>
              </w:rPr>
              <w:t>8月1日</w:t>
            </w:r>
            <w:r>
              <w:rPr>
                <w:rFonts w:hint="eastAsia" w:ascii="宋体" w:hAnsi="宋体" w:eastAsia="宋体" w:cs="宋体"/>
                <w:sz w:val="24"/>
                <w:szCs w:val="24"/>
              </w:rPr>
              <w:t>至202</w:t>
            </w:r>
            <w:r>
              <w:rPr>
                <w:rFonts w:hint="eastAsia" w:cs="宋体"/>
                <w:sz w:val="24"/>
                <w:szCs w:val="24"/>
                <w:lang w:val="en-US" w:eastAsia="zh-CN"/>
              </w:rPr>
              <w:t>1</w:t>
            </w:r>
            <w:r>
              <w:rPr>
                <w:rFonts w:hint="eastAsia" w:ascii="宋体" w:hAnsi="宋体" w:eastAsia="宋体" w:cs="宋体"/>
                <w:sz w:val="24"/>
                <w:szCs w:val="24"/>
              </w:rPr>
              <w:t>年</w:t>
            </w:r>
            <w:r>
              <w:rPr>
                <w:rFonts w:hint="eastAsia" w:cs="宋体"/>
                <w:sz w:val="24"/>
                <w:szCs w:val="24"/>
                <w:lang w:val="en-US" w:eastAsia="zh-CN"/>
              </w:rPr>
              <w:t>7月31日</w:t>
            </w:r>
            <w:r>
              <w:rPr>
                <w:rFonts w:hint="eastAsia" w:cs="宋体"/>
                <w:sz w:val="24"/>
                <w:szCs w:val="24"/>
                <w:lang w:eastAsia="zh-CN"/>
              </w:rPr>
              <w:t>（</w:t>
            </w:r>
            <w:r>
              <w:rPr>
                <w:rFonts w:hint="eastAsia" w:cs="宋体"/>
                <w:sz w:val="24"/>
                <w:szCs w:val="24"/>
                <w:lang w:val="en-US" w:eastAsia="zh-CN"/>
              </w:rPr>
              <w:t>实际以合同签订次日开始计算</w:t>
            </w:r>
            <w:r>
              <w:rPr>
                <w:rFonts w:hint="eastAsia" w:cs="宋体"/>
                <w:sz w:val="24"/>
                <w:szCs w:val="24"/>
                <w:lang w:eastAsia="zh-CN"/>
              </w:rPr>
              <w:t>）</w:t>
            </w:r>
            <w:r>
              <w:rPr>
                <w:rFonts w:hint="eastAsia" w:ascii="宋体" w:hAnsi="宋体" w:eastAsia="宋体" w:cs="宋体"/>
                <w:sz w:val="24"/>
                <w:szCs w:val="24"/>
              </w:rPr>
              <w:t>；</w:t>
            </w:r>
          </w:p>
          <w:p>
            <w:pPr>
              <w:pStyle w:val="266"/>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hint="eastAsia" w:ascii="宋体" w:hAnsi="宋体" w:eastAsia="宋体" w:cs="宋体"/>
                <w:sz w:val="24"/>
                <w:szCs w:val="24"/>
              </w:rPr>
            </w:pPr>
            <w:r>
              <w:rPr>
                <w:rFonts w:hint="eastAsia" w:ascii="宋体" w:hAnsi="宋体" w:eastAsia="宋体" w:cs="宋体"/>
                <w:sz w:val="24"/>
                <w:szCs w:val="24"/>
              </w:rPr>
              <w:t>地点</w:t>
            </w:r>
            <w:r>
              <w:rPr>
                <w:rFonts w:hint="eastAsia" w:cs="宋体"/>
                <w:sz w:val="24"/>
                <w:szCs w:val="24"/>
                <w:lang w:eastAsia="zh-CN"/>
              </w:rPr>
              <w:t>：</w:t>
            </w:r>
            <w:r>
              <w:rPr>
                <w:rFonts w:hint="eastAsia" w:cs="宋体"/>
                <w:sz w:val="24"/>
                <w:szCs w:val="24"/>
                <w:lang w:val="en-US" w:eastAsia="zh-CN"/>
              </w:rPr>
              <w:t>业主</w:t>
            </w:r>
            <w:r>
              <w:rPr>
                <w:rFonts w:hint="eastAsia" w:ascii="宋体" w:hAnsi="宋体" w:eastAsia="宋体" w:cs="宋体"/>
                <w:sz w:val="24"/>
                <w:szCs w:val="24"/>
              </w:rPr>
              <w:t>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jc w:val="center"/>
        </w:trPr>
        <w:tc>
          <w:tcPr>
            <w:tcW w:w="1670" w:type="pct"/>
            <w:vAlign w:val="center"/>
          </w:tcPr>
          <w:p>
            <w:pPr>
              <w:pStyle w:val="266"/>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付款条件</w:t>
            </w:r>
          </w:p>
        </w:tc>
        <w:tc>
          <w:tcPr>
            <w:tcW w:w="3329" w:type="pct"/>
            <w:vAlign w:val="center"/>
          </w:tcPr>
          <w:p>
            <w:pPr>
              <w:pStyle w:val="266"/>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hint="eastAsia" w:ascii="宋体" w:hAnsi="宋体" w:eastAsia="宋体" w:cs="宋体"/>
                <w:sz w:val="24"/>
                <w:szCs w:val="24"/>
              </w:rPr>
            </w:pPr>
            <w:r>
              <w:rPr>
                <w:rFonts w:hint="eastAsia" w:ascii="宋体" w:hAnsi="宋体" w:eastAsia="宋体" w:cs="宋体"/>
                <w:sz w:val="24"/>
                <w:szCs w:val="24"/>
              </w:rPr>
              <w:t>被服务企业根据</w:t>
            </w:r>
            <w:r>
              <w:rPr>
                <w:rFonts w:hint="eastAsia" w:ascii="宋体" w:hAnsi="宋体" w:eastAsia="宋体" w:cs="宋体"/>
                <w:sz w:val="24"/>
                <w:szCs w:val="24"/>
                <w:lang w:val="en-US" w:eastAsia="zh-CN"/>
              </w:rPr>
              <w:t>工业</w:t>
            </w:r>
            <w:r>
              <w:rPr>
                <w:rFonts w:hint="eastAsia" w:ascii="宋体" w:hAnsi="宋体" w:eastAsia="宋体" w:cs="宋体"/>
                <w:sz w:val="24"/>
                <w:szCs w:val="24"/>
              </w:rPr>
              <w:t>废水排放量，按月向运营方支付服务费，运营方必须开具统一正式发票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670" w:type="pct"/>
            <w:vAlign w:val="center"/>
          </w:tcPr>
          <w:p>
            <w:pPr>
              <w:pStyle w:val="266"/>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质量管理、企业信用要求</w:t>
            </w:r>
          </w:p>
        </w:tc>
        <w:tc>
          <w:tcPr>
            <w:tcW w:w="3329" w:type="pct"/>
            <w:vAlign w:val="center"/>
          </w:tcPr>
          <w:p>
            <w:pPr>
              <w:pStyle w:val="266"/>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hint="eastAsia" w:ascii="宋体" w:hAnsi="宋体" w:eastAsia="宋体" w:cs="宋体"/>
                <w:sz w:val="24"/>
                <w:szCs w:val="24"/>
              </w:rPr>
            </w:pPr>
            <w:r>
              <w:rPr>
                <w:rFonts w:hint="eastAsia" w:ascii="宋体" w:hAnsi="宋体" w:eastAsia="宋体" w:cs="宋体"/>
                <w:sz w:val="24"/>
                <w:szCs w:val="24"/>
              </w:rPr>
              <w:t>质量管理符合相应标准，企业无不良诚信记录。</w:t>
            </w:r>
          </w:p>
        </w:tc>
      </w:tr>
      <w:bookmarkEnd w:id="138"/>
    </w:tbl>
    <w:p>
      <w:pPr>
        <w:pStyle w:val="5"/>
        <w:keepNext/>
        <w:keepLines w:val="0"/>
        <w:pageBreakBefore/>
        <w:widowControl w:val="0"/>
        <w:kinsoku/>
        <w:wordWrap/>
        <w:overflowPunct/>
        <w:topLinePunct w:val="0"/>
        <w:autoSpaceDE w:val="0"/>
        <w:autoSpaceDN w:val="0"/>
        <w:bidi w:val="0"/>
        <w:adjustRightInd/>
        <w:snapToGrid/>
        <w:spacing w:line="560" w:lineRule="exact"/>
        <w:ind w:firstLine="723" w:firstLineChars="200"/>
        <w:textAlignment w:val="bottom"/>
        <w:rPr>
          <w:rFonts w:hint="eastAsia" w:ascii="宋体" w:hAnsi="宋体" w:eastAsia="宋体" w:cs="宋体"/>
          <w:color w:val="auto"/>
        </w:rPr>
      </w:pPr>
      <w:bookmarkStart w:id="142" w:name="_Toc23750"/>
      <w:r>
        <w:rPr>
          <w:rFonts w:hint="eastAsia" w:ascii="宋体" w:hAnsi="宋体" w:eastAsia="宋体" w:cs="宋体"/>
          <w:color w:val="auto"/>
          <w:sz w:val="36"/>
          <w:szCs w:val="36"/>
        </w:rPr>
        <w:t xml:space="preserve">第四章  </w:t>
      </w:r>
      <w:bookmarkEnd w:id="134"/>
      <w:bookmarkEnd w:id="135"/>
      <w:bookmarkEnd w:id="136"/>
      <w:bookmarkStart w:id="143" w:name="_Toc531359037"/>
      <w:bookmarkStart w:id="144" w:name="_Toc530551875"/>
      <w:bookmarkStart w:id="145" w:name="_Toc493956050"/>
      <w:r>
        <w:rPr>
          <w:rFonts w:hint="eastAsia" w:ascii="宋体" w:hAnsi="宋体" w:eastAsia="宋体" w:cs="宋体"/>
          <w:color w:val="auto"/>
          <w:sz w:val="32"/>
        </w:rPr>
        <w:t>政府采购合同格式（范本）</w:t>
      </w:r>
      <w:bookmarkEnd w:id="14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项目名称：</w:t>
      </w:r>
      <w:r>
        <w:rPr>
          <w:rFonts w:hint="eastAsia" w:ascii="宋体" w:hAnsi="宋体" w:cs="宋体"/>
          <w:color w:val="auto"/>
          <w:sz w:val="24"/>
          <w:lang w:eastAsia="zh-CN"/>
        </w:rPr>
        <w:t>龙泉市塔石金岗工业园区废水处理厂委托运营采购项目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甲方（委托方）：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乙方（运营方）：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甲、乙双方根据 20</w:t>
      </w:r>
      <w:r>
        <w:rPr>
          <w:rFonts w:hint="eastAsia" w:ascii="宋体" w:hAnsi="宋体" w:eastAsia="宋体" w:cs="宋体"/>
          <w:color w:val="auto"/>
          <w:sz w:val="24"/>
          <w:lang w:val="en-US" w:eastAsia="zh-CN"/>
        </w:rPr>
        <w:t>20</w:t>
      </w:r>
      <w:r>
        <w:rPr>
          <w:rFonts w:hint="eastAsia" w:ascii="宋体" w:hAnsi="宋体" w:eastAsia="宋体" w:cs="宋体"/>
          <w:color w:val="auto"/>
          <w:sz w:val="24"/>
        </w:rPr>
        <w:t xml:space="preserve">年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日在</w:t>
      </w:r>
      <w:r>
        <w:rPr>
          <w:rFonts w:hint="eastAsia" w:ascii="宋体" w:hAnsi="宋体" w:cs="宋体"/>
          <w:color w:val="auto"/>
          <w:sz w:val="24"/>
          <w:lang w:eastAsia="zh-CN"/>
        </w:rPr>
        <w:t>丽水市中兴工程咨询有限公司龙泉分公司</w:t>
      </w:r>
      <w:r>
        <w:rPr>
          <w:rFonts w:hint="eastAsia" w:ascii="宋体" w:hAnsi="宋体" w:eastAsia="宋体" w:cs="宋体"/>
          <w:color w:val="auto"/>
          <w:sz w:val="24"/>
        </w:rPr>
        <w:t>关于</w:t>
      </w:r>
      <w:r>
        <w:rPr>
          <w:rFonts w:hint="eastAsia" w:ascii="宋体" w:hAnsi="宋体" w:cs="宋体"/>
          <w:color w:val="auto"/>
          <w:sz w:val="24"/>
          <w:lang w:eastAsia="zh-CN"/>
        </w:rPr>
        <w:t>龙泉市塔石金岗工业园区废水处理厂委托运营采购项目</w:t>
      </w:r>
      <w:r>
        <w:rPr>
          <w:rFonts w:hint="eastAsia" w:ascii="宋体" w:hAnsi="宋体" w:eastAsia="宋体" w:cs="宋体"/>
          <w:color w:val="auto"/>
          <w:sz w:val="24"/>
        </w:rPr>
        <w:t>项目（项目编号：</w:t>
      </w:r>
      <w:r>
        <w:rPr>
          <w:rFonts w:hint="eastAsia" w:ascii="宋体" w:hAnsi="宋体" w:cs="宋体"/>
          <w:color w:val="auto"/>
          <w:sz w:val="24"/>
          <w:lang w:val="en-US" w:eastAsia="zh-CN"/>
        </w:rPr>
        <w:t>龙政采F2020-81G17</w:t>
      </w:r>
      <w:r>
        <w:rPr>
          <w:rFonts w:hint="eastAsia" w:ascii="宋体" w:hAnsi="宋体" w:eastAsia="宋体" w:cs="宋体"/>
          <w:color w:val="auto"/>
          <w:sz w:val="24"/>
        </w:rPr>
        <w:t>）的公开招标采购结果，签署本合同。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一 、 定 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“委托方”指龙泉市塔石工农业综合开发有限公司。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“运营方”是指投标文件已为委托方接受并签订协议或合同的当事人。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1.3</w:t>
      </w:r>
      <w:r>
        <w:rPr>
          <w:rFonts w:hint="eastAsia" w:ascii="宋体" w:hAnsi="宋体" w:eastAsia="宋体" w:cs="宋体"/>
          <w:color w:val="auto"/>
          <w:sz w:val="24"/>
        </w:rPr>
        <w:t>“本合同”指委托方与运营方（以下称合同双方）所达成的协议。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二、项目服务期限：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2.1</w:t>
      </w:r>
      <w:r>
        <w:rPr>
          <w:rFonts w:hint="eastAsia" w:ascii="宋体" w:hAnsi="宋体" w:eastAsia="宋体" w:cs="宋体"/>
          <w:color w:val="auto"/>
          <w:sz w:val="24"/>
        </w:rPr>
        <w:t>服务期：20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eastAsia="zh-CN"/>
        </w:rPr>
        <w:t>8月1日</w:t>
      </w:r>
      <w:r>
        <w:rPr>
          <w:rFonts w:hint="eastAsia" w:ascii="宋体" w:hAnsi="宋体" w:eastAsia="宋体" w:cs="宋体"/>
          <w:color w:val="auto"/>
          <w:sz w:val="24"/>
        </w:rPr>
        <w:t>至202</w:t>
      </w:r>
      <w:r>
        <w:rPr>
          <w:rFonts w:hint="eastAsia" w:ascii="宋体" w:hAnsi="宋体" w:eastAsia="宋体" w:cs="宋体"/>
          <w:color w:val="auto"/>
          <w:sz w:val="24"/>
          <w:lang w:val="en-US" w:eastAsia="zh-CN"/>
        </w:rPr>
        <w:t>1</w:t>
      </w:r>
      <w:r>
        <w:rPr>
          <w:rFonts w:hint="eastAsia" w:ascii="宋体" w:hAnsi="宋体" w:eastAsia="宋体" w:cs="宋体"/>
          <w:color w:val="auto"/>
          <w:sz w:val="24"/>
        </w:rPr>
        <w:t>年</w:t>
      </w:r>
      <w:bookmarkStart w:id="146" w:name="三、委托运营形式："/>
      <w:bookmarkEnd w:id="146"/>
      <w:r>
        <w:rPr>
          <w:rFonts w:hint="eastAsia" w:ascii="宋体" w:hAnsi="宋体" w:cs="宋体"/>
          <w:color w:val="auto"/>
          <w:sz w:val="24"/>
          <w:lang w:val="en-US" w:eastAsia="zh-CN"/>
        </w:rPr>
        <w:t>7月31日</w:t>
      </w:r>
      <w:r>
        <w:rPr>
          <w:rFonts w:hint="eastAsia" w:cs="宋体"/>
          <w:sz w:val="24"/>
          <w:szCs w:val="24"/>
          <w:lang w:eastAsia="zh-CN"/>
        </w:rPr>
        <w:t>（</w:t>
      </w:r>
      <w:r>
        <w:rPr>
          <w:rFonts w:hint="eastAsia" w:cs="宋体"/>
          <w:sz w:val="24"/>
          <w:szCs w:val="24"/>
          <w:lang w:val="en-US" w:eastAsia="zh-CN"/>
        </w:rPr>
        <w:t>实际以合同签订次日开始计算</w:t>
      </w:r>
      <w:r>
        <w:rPr>
          <w:rFonts w:hint="eastAsia" w:cs="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三、委托运营形式：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3.1</w:t>
      </w:r>
      <w:r>
        <w:rPr>
          <w:rFonts w:hint="eastAsia" w:ascii="宋体" w:hAnsi="宋体" w:eastAsia="宋体" w:cs="宋体"/>
          <w:color w:val="auto"/>
          <w:sz w:val="24"/>
        </w:rPr>
        <w:t>废水处理厂的所有权归委托方</w:t>
      </w:r>
      <w:r>
        <w:rPr>
          <w:rFonts w:hint="eastAsia" w:ascii="宋体" w:hAnsi="宋体" w:eastAsia="宋体" w:cs="宋体"/>
          <w:color w:val="auto"/>
          <w:sz w:val="24"/>
          <w:u w:val="single"/>
        </w:rPr>
        <w:t>龙泉市塔石工农业综合开发有限公司</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3.2</w:t>
      </w:r>
      <w:r>
        <w:rPr>
          <w:rFonts w:hint="eastAsia" w:ascii="宋体" w:hAnsi="宋体" w:eastAsia="宋体" w:cs="宋体"/>
          <w:color w:val="auto"/>
          <w:sz w:val="24"/>
        </w:rPr>
        <w:t>在项目服务期限内</w:t>
      </w:r>
      <w:r>
        <w:rPr>
          <w:rFonts w:hint="eastAsia" w:ascii="宋体" w:hAnsi="宋体" w:eastAsia="宋体" w:cs="宋体"/>
          <w:color w:val="auto"/>
          <w:sz w:val="24"/>
          <w:u w:val="single"/>
        </w:rPr>
        <w:t>龙泉市塔石金岗工业园区废水处理厂</w:t>
      </w:r>
      <w:r>
        <w:rPr>
          <w:rFonts w:hint="eastAsia" w:ascii="宋体" w:hAnsi="宋体" w:eastAsia="宋体" w:cs="宋体"/>
          <w:color w:val="auto"/>
          <w:sz w:val="24"/>
        </w:rPr>
        <w:t>的运营权归运营方</w:t>
      </w:r>
      <w:r>
        <w:rPr>
          <w:rFonts w:hint="eastAsia" w:ascii="宋体" w:hAnsi="宋体" w:eastAsia="宋体" w:cs="宋体"/>
          <w:color w:val="auto"/>
          <w:sz w:val="24"/>
          <w:u w:val="single"/>
        </w:rPr>
        <w:t>   </w:t>
      </w:r>
      <w:r>
        <w:rPr>
          <w:rFonts w:hint="eastAsia" w:ascii="宋体" w:hAnsi="宋体" w:eastAsia="宋体" w:cs="宋体"/>
          <w:color w:val="auto"/>
          <w:sz w:val="24"/>
        </w:rPr>
        <w:t>。在整个运营期内，运营方应根据本协议的规定，自主经营，自行承担 费用和风险、管理、运营和维护废水处理设施。运营方应确保在整个运营期内，始终根据下列规定运营并维护废水处理项目设施：</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国家和地方现行的企业运行的有关法律法规，废水处理的有关法律法规、标准和规范，本项目有关批准文件的要求。</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运行维护手册以及废水处理项目内设备制造商提供的说明手册的指导。四、</w:t>
      </w:r>
      <w:r>
        <w:rPr>
          <w:rFonts w:hint="eastAsia" w:ascii="宋体" w:hAnsi="宋体" w:eastAsia="宋体" w:cs="宋体"/>
          <w:color w:val="auto"/>
          <w:sz w:val="24"/>
          <w:lang w:val="en-US" w:eastAsia="zh-CN"/>
        </w:rPr>
        <w:t>四</w:t>
      </w:r>
      <w:r>
        <w:rPr>
          <w:rFonts w:hint="eastAsia" w:ascii="宋体" w:hAnsi="宋体" w:eastAsia="宋体" w:cs="宋体"/>
          <w:color w:val="auto"/>
          <w:sz w:val="24"/>
        </w:rPr>
        <w:t>委托运营范围：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4.1</w:t>
      </w:r>
      <w:r>
        <w:rPr>
          <w:rFonts w:hint="eastAsia" w:ascii="宋体" w:hAnsi="宋体" w:eastAsia="宋体" w:cs="宋体"/>
          <w:color w:val="auto"/>
          <w:sz w:val="24"/>
        </w:rPr>
        <w:t>在委托运营期内，运营方对本项目所有设施拥有运营权，负责厂区所有设备、设施的正常运行和维修保养（包含设备的大、中、小维修）。对废水处理厂收集的废水提供处理，并保证达到本项目的技术要求。泵站日常运行由运营方负责，若遇特殊情况或委托方认为需要介入调度的情形，运营方应无条件接受委托方调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4.2</w:t>
      </w:r>
      <w:r>
        <w:rPr>
          <w:rFonts w:hint="eastAsia" w:ascii="宋体" w:hAnsi="宋体" w:eastAsia="宋体" w:cs="宋体"/>
          <w:color w:val="auto"/>
          <w:sz w:val="24"/>
        </w:rPr>
        <w:t>在委托运营期内，运营方负责厂区绿化的维护。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4.3</w:t>
      </w:r>
      <w:r>
        <w:rPr>
          <w:rFonts w:hint="eastAsia" w:ascii="宋体" w:hAnsi="宋体" w:eastAsia="宋体" w:cs="宋体"/>
          <w:color w:val="auto"/>
          <w:sz w:val="24"/>
        </w:rPr>
        <w:t>运营方在委托运营期内不得擅自改变现有规划，增加建筑物及构筑物。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4.4</w:t>
      </w:r>
      <w:r>
        <w:rPr>
          <w:rFonts w:hint="eastAsia" w:ascii="宋体" w:hAnsi="宋体" w:eastAsia="宋体" w:cs="宋体"/>
          <w:color w:val="auto"/>
          <w:sz w:val="24"/>
        </w:rPr>
        <w:t>运营方因处理废水所产生的污泥由运营方自行处置，污泥在处置过程中必须符合国家及地方相关法律规范要求。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47" w:name="五、进出水水质、污泥处置标准及水质检测与超标处理"/>
      <w:bookmarkEnd w:id="147"/>
      <w:r>
        <w:rPr>
          <w:rFonts w:hint="eastAsia" w:ascii="宋体" w:hAnsi="宋体" w:eastAsia="宋体" w:cs="宋体"/>
          <w:b/>
          <w:bCs/>
          <w:color w:val="auto"/>
          <w:sz w:val="24"/>
        </w:rPr>
        <w:t>五、进出水水质、污泥处置标准及水质检测与超标处理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5.1</w:t>
      </w:r>
      <w:r>
        <w:rPr>
          <w:rFonts w:hint="eastAsia" w:ascii="宋体" w:hAnsi="宋体" w:eastAsia="宋体" w:cs="宋体"/>
          <w:color w:val="auto"/>
          <w:sz w:val="24"/>
        </w:rPr>
        <w:t>进出水水质</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废水进水按废水处理厂设计标准值，废水经处理后的出水水质应符合国家钢铁工业水污染物排放标准》（GB13456－2012）中的直接排放标准。如在运营期内国家出现新的排放标准，则需按新标准达标排放。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5.2</w:t>
      </w:r>
      <w:r>
        <w:rPr>
          <w:rFonts w:hint="eastAsia" w:ascii="宋体" w:hAnsi="宋体" w:eastAsia="宋体" w:cs="宋体"/>
          <w:color w:val="auto"/>
          <w:sz w:val="24"/>
        </w:rPr>
        <w:t>污泥控制标准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污泥控制标准参照国家标准《中华人民共和国固体废物污染环境防治法》中的有关规定要求。危险废物及一般工业固体废物分别执行《危险废物贮存 污染控制标准》（GB18597-2001）和《一般工业固体废物贮存、处置场污染 控制标准》（GB18599-2001）。</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5.3</w:t>
      </w:r>
      <w:r>
        <w:rPr>
          <w:rFonts w:hint="eastAsia" w:ascii="宋体" w:hAnsi="宋体" w:eastAsia="宋体" w:cs="宋体"/>
          <w:color w:val="auto"/>
          <w:sz w:val="24"/>
        </w:rPr>
        <w:t>废水进水水质、出水水质的检测与超标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5.3.1</w:t>
      </w:r>
      <w:r>
        <w:rPr>
          <w:rFonts w:hint="eastAsia" w:ascii="宋体" w:hAnsi="宋体" w:eastAsia="宋体" w:cs="宋体"/>
          <w:color w:val="auto"/>
          <w:sz w:val="24"/>
        </w:rPr>
        <w:t>运营公司的检测义务</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运营公司应对废水厂进水水质、出水水质和污泥进行检测。</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对废水进水和废水出水水质进行检测的指标和检测周期应执行按照废水处理厂排污许可中监测方案执行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5.3.2</w:t>
      </w:r>
      <w:r>
        <w:rPr>
          <w:rFonts w:hint="eastAsia" w:ascii="宋体" w:hAnsi="宋体" w:eastAsia="宋体" w:cs="宋体"/>
          <w:color w:val="auto"/>
          <w:sz w:val="24"/>
        </w:rPr>
        <w:t>水样的采集和储存</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水样的采集应满足《地表水和废水监测技术规范 HJ/T91-2002》的要求。</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水样储存应满足国家标准《水样采样样品的保存和管理技术规定HJ-493-2009》的要求。</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用于检测水质的进水水样和出水水样应分别在废水进水采样点和废水出水采样点采集。</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每次提取的水样应分装 A、B 两瓶，A 瓶用于运营方自行检测，B 瓶留作备用水样。每瓶备用水样应不少于500ml，瓶上须明确标明采样日期和采样点， 进水和出水的备用水样须分开在4摄氏度保存，保存时限为四十八小时。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5.3.3</w:t>
      </w:r>
      <w:r>
        <w:rPr>
          <w:rFonts w:hint="eastAsia" w:ascii="宋体" w:hAnsi="宋体" w:eastAsia="宋体" w:cs="宋体"/>
          <w:color w:val="auto"/>
          <w:sz w:val="24"/>
        </w:rPr>
        <w:t>水质检测结果的报告</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运营公司应如实记录每次检测的所有结果，并按照规定向委托方提供上一季度的运营记录报表及其电子文档。</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任何一次检测的任何废水出水水质指标超标或废水进水水质指标超标，运营公司应立即书面通知委托方及园区企业。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5.3.4</w:t>
      </w:r>
      <w:r>
        <w:rPr>
          <w:rFonts w:hint="eastAsia" w:ascii="宋体" w:hAnsi="宋体" w:eastAsia="宋体" w:cs="宋体"/>
          <w:color w:val="auto"/>
          <w:sz w:val="24"/>
        </w:rPr>
        <w:t>委托方的核实和抽查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委托方有权指定代表或委派监督员在任何时候对运营方的检测程序、结果、设备和仪器进行现场检查和检测。</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委托方有权随时亲自或委派监督员，利用第5.3.2条款规定的备用水样，对废水处理厂水质检测项目和周期中列明的指标进行一项或多项检测，以核实运营方提供的结果。</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委托方有权随时亲自或委托一家具有法定资格的水质检测机构在废水进水检测点和废水出水检测点按5.3.1及5.3.2条款规定自行采取水样，对废水处理厂水质检测项目和周期中的指标进行抽查。委托方抽查采样时应通告运营方人员在场。经通告后，运营方人员拒不到场的，不影响抽查结果的有效性。</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委托方核实或抽查的结果与运营方自检结果不一致时，以环保部门检测结果为准。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委托方或受其委托的检验机构进行上述核实、抽查或检查的费用应由委托方承担，但是如果核实、抽查或检查的结果表明运营方的检测程序不符合规定、检测设备超出允许误差或其检测结果不真实，则运营方应负担该费用。</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运营方应随时接受环保等部门对废水处理厂进行的检查和抽查。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5.3.</w:t>
      </w:r>
      <w:r>
        <w:rPr>
          <w:rFonts w:hint="eastAsia" w:ascii="宋体" w:hAnsi="宋体" w:cs="宋体"/>
          <w:color w:val="auto"/>
          <w:sz w:val="24"/>
          <w:lang w:val="en-US" w:eastAsia="zh-CN"/>
        </w:rPr>
        <w:t>5</w:t>
      </w:r>
      <w:r>
        <w:rPr>
          <w:rFonts w:hint="eastAsia" w:ascii="宋体" w:hAnsi="宋体" w:eastAsia="宋体" w:cs="宋体"/>
          <w:color w:val="auto"/>
          <w:sz w:val="24"/>
        </w:rPr>
        <w:t xml:space="preserve"> 出水水质超标违约金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（1）、出水水质超标情况下的处理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如果某一运营日运营方的出水不符合出水质量标准（任何一种废水出水水质指标超过出水标准，则当日废水出水应视为不达标），则运营方应向委托方就当日出水不达标支付水质不合格违约金或在委托方向运营方支付的废水处理费中扣除，同时上级环保部门及其他监管部门因水质不达标而对委托方所做出的惩罚由运营方负责。</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出水水质不合格违约金根据公式计算：</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出水水质不合格违约金=未达标水量×废水处理单价×2 </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六、废水处理服务费的结算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 废水处理服务费用的结算方法</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废水处理厂的所有运营费用：包括为完成本项目需要的和可能发生的全部费用，包括采购要求虽未明示，但作为一个有经验的运营商应该预计到的费用等，包括但不限于运营所产生的人工费、动力费、维修保养（包含设备的大、中、小维修）费、药剂费、管理费、污泥运输费、污泥处置费、污染源在线监测系统运维费用、利润、税金、其它等一切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6.1.1运营费用=处理水量×废水处理单价</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废水处理单价：投标人投标时承诺的废水处理单价。</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七、废水处理服务费的支付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（1）合同价款的支付</w:t>
      </w:r>
      <w:r>
        <w:rPr>
          <w:rFonts w:hint="eastAsia" w:ascii="宋体" w:hAnsi="宋体" w:cs="宋体"/>
          <w:color w:val="auto"/>
          <w:sz w:val="24"/>
          <w:lang w:eastAsia="zh-CN"/>
        </w:rPr>
        <w:t>：被服务企业根据工业废水排放量，按月向运营方支付服务费，运营方必须开具统一正式发票</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八、双方的一般权利和义务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8.1</w:t>
      </w:r>
      <w:r>
        <w:rPr>
          <w:rFonts w:hint="eastAsia" w:ascii="宋体" w:hAnsi="宋体" w:eastAsia="宋体" w:cs="宋体"/>
          <w:color w:val="auto"/>
          <w:sz w:val="24"/>
        </w:rPr>
        <w:t>委托方的权利和义务：</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按本合同规则，监督运营方管理资产、依法经营和履行合同，对本项目进行协调工作。</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对运营方违反本合同要求的行为，有权进行核查，并要求运营方整改。</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依法按照本合同的约定对废水厂的出水进行监督、检查。</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依法受理、调解社会公众对运营方的投诉。</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确保移交给运营方运营维护的资产、资料完整。</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协助运营方为运营事宜协调各方面关系，包括联系本项目的建设单位、设计单位、供货单位以及政府相关部门，使运营方的运营维护工作能正常开展。</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8.2</w:t>
      </w:r>
      <w:r>
        <w:rPr>
          <w:rFonts w:hint="eastAsia" w:ascii="宋体" w:hAnsi="宋体" w:eastAsia="宋体" w:cs="宋体"/>
          <w:color w:val="auto"/>
          <w:sz w:val="24"/>
        </w:rPr>
        <w:t>运营方的权利和义务</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经营期内，在国家法律、政策范围内，运营方有权建立以经营者为首的生产经营管理系统，合理行使生产经营权和经营管理自主权。</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按照本协议规定的方式取得废水处理服务费。</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在保证运行质量的前提下，征得委托方同意后可以优化本项目的运行工艺。</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在保证正常运营的前提下，优化内部人员设置，决定本厂的各项规章制度、机构设置、人事任免和专业技术人员的聘任。</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依法纳税。</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运营设备进行日常维修保养（包含设备的大、中、小维修）、维护工作，对需要修理的设备进行维修，并承担相应费用。若因设备维修、维护和保养不当而引起在此期间生产不能稳定运行和出水不能稳定达标的责任由运营方负责。</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必须在运营中达到本合同的技术质量约定，运营方不得有偷排或故意漏排行为，无条件接受环保等部门的检查和抽查，同时承担因废水超标排放等违法行为而引起的相关法律责任。</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必须做好厂内的安全保障工作，确保厂内稳定。</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必须做好设备维护和资料整理工作，每个季度初向委托方上报上个季度的设备状况与运营情况报表。</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没有委托方事先书面同意，运营方不得将由委托方提供的有关项目技术资料提供给与履行本合同无关的任何其他人。即使向履行本合同有关的人员提供，也应注意保密并限于履行合同的必需范围。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48" w:name="九、本项目的移交以及移交回转"/>
      <w:bookmarkEnd w:id="148"/>
      <w:r>
        <w:rPr>
          <w:rFonts w:hint="eastAsia" w:ascii="宋体" w:hAnsi="宋体" w:eastAsia="宋体" w:cs="宋体"/>
          <w:b/>
          <w:bCs/>
          <w:color w:val="auto"/>
          <w:sz w:val="24"/>
        </w:rPr>
        <w:t>九、本项目的移交以及移交回转</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9.1</w:t>
      </w:r>
      <w:r>
        <w:rPr>
          <w:rFonts w:hint="eastAsia" w:ascii="宋体" w:hAnsi="宋体" w:eastAsia="宋体" w:cs="宋体"/>
          <w:color w:val="auto"/>
          <w:sz w:val="24"/>
        </w:rPr>
        <w:t>移交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9.1.1</w:t>
      </w:r>
      <w:r>
        <w:rPr>
          <w:rFonts w:hint="eastAsia" w:ascii="宋体" w:hAnsi="宋体" w:eastAsia="宋体" w:cs="宋体"/>
          <w:color w:val="auto"/>
          <w:sz w:val="24"/>
        </w:rPr>
        <w:t>移交内容</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本项目固定资产（包括但不仅限于设备、设施、工器具）以及无形资产（包括但不仅限于技术文件、资质证书文件）。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9.1.2移交方式</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在合同签订后，由委托方和运营方共同对固定资产，如设备设施不符合生产需求，由运营方在报价中综合考虑，委托方不再负责﹞以及无形资产进行清点造册，双方共同签署移交确认函，即视为清点移交终结。</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如因办理上述移交，涉及相关的费用由运营方承担。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9.1.3按时移交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若由于委托方原因造成不能按时移交的，其后果和责任由委托方承担。反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之， 运营方并按照招标文件要求承担相应责任。①逾期运维的，以每延期一日， 扣除履约保证金总额百分之五作为违约金计算。②中标单位逾期十日不能开始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运维的，视为不能履约，须扣除剩余履约保证金总额作为违约金计算，并取消其中标资格。</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9.2移交回转</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9.2.1移交回转内容：</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本项目设施、设备及工器具等。</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与本项目运营和维护有关的手册、制度、技术文件、资格、资质等文件资料。</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本项目运营期间所产生的记录、档案资料等。</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9.2.2移交回转清单</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运营方需在运营期满前2个月提交所移交回转的项目清单：如设施、设备、工具、备品备件、技术文件、资质文件等。委托方和运营方根据清单进行清点和复核，清单上所列设施、设备、工具、器材等均应处于可正常使用状态，正常磨损除外。</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9.2.3移交回转方式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运营方运营期满前1个月内，由委托方会同运营方共同完成本项目的移交回转工作，共同完成有关本项目移交回转内容的清点和复核工作，并签署预移交回转备忘录。双方最终确认完成移交回转工作，将正式签署移交回转备忘录，正式签署移交回转备忘录当天即为运营期满之日，将由委托方的管理人员负责本项目的运营维护工作。如因办理上述移交回转，涉及相关的费用由运营方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9.2.4.按时移交回转</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若由于委托方原因造成不能按时移交回转的，其后果和责任由委托方承担。反之，运营方负责。</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49" w:name="十、违约责任"/>
      <w:bookmarkEnd w:id="149"/>
      <w:r>
        <w:rPr>
          <w:rFonts w:hint="eastAsia" w:ascii="宋体" w:hAnsi="宋体" w:eastAsia="宋体" w:cs="宋体"/>
          <w:b/>
          <w:bCs/>
          <w:color w:val="auto"/>
          <w:sz w:val="24"/>
        </w:rPr>
        <w:t>十、违约责任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10.1运营方的违约责任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10.1.1</w:t>
      </w:r>
      <w:r>
        <w:rPr>
          <w:rFonts w:hint="eastAsia" w:ascii="宋体" w:hAnsi="宋体" w:eastAsia="宋体" w:cs="宋体"/>
          <w:color w:val="auto"/>
          <w:sz w:val="24"/>
        </w:rPr>
        <w:t>由于运营方的原因造成重大环保事故，或连续8天或一年内累计30天出水水质不达标，委托方有权单方面解除合同。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10.1.2</w:t>
      </w:r>
      <w:r>
        <w:rPr>
          <w:rFonts w:hint="eastAsia" w:ascii="宋体" w:hAnsi="宋体" w:eastAsia="宋体" w:cs="宋体"/>
          <w:color w:val="auto"/>
          <w:sz w:val="24"/>
        </w:rPr>
        <w:t>无正当理由对本项目设施连续5天或一年内累计20天不运营的，委托方有权单方面解除合同，并扣除运营方全部履约保证金。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10.1.3</w:t>
      </w:r>
      <w:r>
        <w:rPr>
          <w:rFonts w:hint="eastAsia" w:ascii="宋体" w:hAnsi="宋体" w:eastAsia="宋体" w:cs="宋体"/>
          <w:color w:val="auto"/>
          <w:sz w:val="24"/>
        </w:rPr>
        <w:t>如果运营方未经委托方同意转包本项目，由运营方赔偿委托方50万元违约金，委托方有权单方面解除合同。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10.1.4</w:t>
      </w:r>
      <w:r>
        <w:rPr>
          <w:rFonts w:hint="eastAsia" w:ascii="宋体" w:hAnsi="宋体" w:eastAsia="宋体" w:cs="宋体"/>
          <w:color w:val="auto"/>
          <w:sz w:val="24"/>
        </w:rPr>
        <w:t>如因运营方管理不善或决策失误引起本项目重大损失的，赔偿委托方由此造成的经济损失，委托方有权单方面解除合同。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在运营期内，由于运营方原因终止合同的，由运营方赔偿委托方 50 万元违约金。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10.2委托方的违约责任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10.2.1</w:t>
      </w:r>
      <w:r>
        <w:rPr>
          <w:rFonts w:hint="eastAsia" w:ascii="宋体" w:hAnsi="宋体" w:eastAsia="宋体" w:cs="宋体"/>
          <w:color w:val="auto"/>
          <w:sz w:val="24"/>
        </w:rPr>
        <w:t>委托方无正当理由拒收接受服务的（本合同“二、项目服务期限”约定情况的除外），由委托方赔偿运营方30万元违约金。</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50" w:name="十一、合同的变更、解除或终止"/>
      <w:bookmarkEnd w:id="150"/>
      <w:r>
        <w:rPr>
          <w:rFonts w:hint="eastAsia" w:ascii="宋体" w:hAnsi="宋体" w:cs="宋体"/>
          <w:b/>
          <w:bCs/>
          <w:color w:val="auto"/>
          <w:sz w:val="24"/>
          <w:lang w:val="en-US" w:eastAsia="zh-CN"/>
        </w:rPr>
        <w:t>十一、</w:t>
      </w:r>
      <w:r>
        <w:rPr>
          <w:rFonts w:hint="eastAsia" w:ascii="宋体" w:hAnsi="宋体" w:eastAsia="宋体" w:cs="宋体"/>
          <w:b/>
          <w:bCs/>
          <w:color w:val="auto"/>
          <w:sz w:val="24"/>
        </w:rPr>
        <w:t>合同的变更、解除或终止</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11.1本合同生效后即具有法律约束力，委托方、运营方双方均不得随意变更或解除；本合同需要变更或解除时，须经双方协调一致达成新的书面协议；在新的书面协议未达成之前，本合同依然有效。</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11.2</w:t>
      </w:r>
      <w:r>
        <w:rPr>
          <w:rFonts w:hint="eastAsia" w:ascii="宋体" w:hAnsi="宋体" w:eastAsia="宋体" w:cs="宋体"/>
          <w:color w:val="auto"/>
          <w:sz w:val="24"/>
        </w:rPr>
        <w:t>运营方如经营管理不善或经营决策严重失误，给本项目造成重大损失或连续两季度未完成本合同规定的主要经济技术指标，委托方有权解除合同；同时运营方赔偿由此给委托方造成的经济损失。</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11.3</w:t>
      </w:r>
      <w:r>
        <w:rPr>
          <w:rFonts w:hint="eastAsia" w:ascii="宋体" w:hAnsi="宋体" w:eastAsia="宋体" w:cs="宋体"/>
          <w:color w:val="auto"/>
          <w:sz w:val="24"/>
        </w:rPr>
        <w:t>由于不可抗力的原因使本合同无法履行或无法完全履行，经合同双方协商一致，可以变更或解除合同。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11.4</w:t>
      </w:r>
      <w:r>
        <w:rPr>
          <w:rFonts w:hint="eastAsia" w:ascii="宋体" w:hAnsi="宋体" w:eastAsia="宋体" w:cs="宋体"/>
          <w:color w:val="auto"/>
          <w:sz w:val="24"/>
        </w:rPr>
        <w:t>本合同在运营期满时自行终止（本合同“二、项目服务期限”约定的情况除外）。</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en-US" w:eastAsia="zh-CN"/>
        </w:rPr>
      </w:pPr>
      <w:bookmarkStart w:id="151" w:name="十二、不可抗力事件处理"/>
      <w:bookmarkEnd w:id="151"/>
      <w:r>
        <w:rPr>
          <w:rFonts w:hint="eastAsia" w:ascii="宋体" w:hAnsi="宋体" w:cs="宋体"/>
          <w:b/>
          <w:bCs/>
          <w:color w:val="auto"/>
          <w:sz w:val="24"/>
          <w:lang w:val="en-US" w:eastAsia="zh-CN"/>
        </w:rPr>
        <w:t>十二、不可抗力事件处理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12.1在合同有效期内，任何一方因不可抗力事件导致不能履行合同，双方应通过友好协商解决。</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12.2</w:t>
      </w:r>
      <w:r>
        <w:rPr>
          <w:rFonts w:hint="eastAsia" w:ascii="宋体" w:hAnsi="宋体" w:eastAsia="宋体" w:cs="宋体"/>
          <w:color w:val="auto"/>
          <w:sz w:val="24"/>
        </w:rPr>
        <w:t>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12.3不可抗力事件延续120天以上，双方应通过友好协商，确定是否继续履行合同。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52" w:name="十三、履约保证金"/>
      <w:bookmarkEnd w:id="152"/>
      <w:r>
        <w:rPr>
          <w:rFonts w:hint="eastAsia" w:ascii="宋体" w:hAnsi="宋体" w:eastAsia="宋体" w:cs="宋体"/>
          <w:b/>
          <w:bCs/>
          <w:color w:val="auto"/>
          <w:sz w:val="24"/>
        </w:rPr>
        <w:t>十三、履约保证金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cs="宋体"/>
          <w:b/>
          <w:bCs/>
          <w:color w:val="auto"/>
          <w:sz w:val="24"/>
          <w:lang w:val="en-US" w:eastAsia="zh-CN"/>
        </w:rPr>
      </w:pPr>
      <w:r>
        <w:rPr>
          <w:rFonts w:hint="eastAsia" w:ascii="宋体" w:hAnsi="宋体" w:cs="宋体"/>
          <w:b/>
          <w:bCs/>
          <w:color w:val="auto"/>
          <w:sz w:val="24"/>
          <w:lang w:val="en-US" w:eastAsia="zh-CN"/>
        </w:rPr>
        <w:t>双方约定履约保证金事项如下：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color w:val="auto"/>
          <w:sz w:val="24"/>
        </w:rPr>
      </w:pPr>
      <w:r>
        <w:rPr>
          <w:rFonts w:hint="eastAsia" w:ascii="宋体" w:hAnsi="宋体" w:eastAsia="宋体" w:cs="宋体"/>
          <w:b/>
          <w:bCs/>
          <w:color w:val="auto"/>
          <w:sz w:val="24"/>
        </w:rPr>
        <w:t>金额、方式为：运营方交纳人民币</w:t>
      </w:r>
      <w:r>
        <w:rPr>
          <w:rFonts w:hint="eastAsia" w:ascii="宋体" w:hAnsi="宋体" w:cs="宋体"/>
          <w:b/>
          <w:bCs/>
          <w:color w:val="auto"/>
          <w:sz w:val="24"/>
          <w:u w:val="single"/>
          <w:lang w:val="en-US" w:eastAsia="zh-CN"/>
        </w:rPr>
        <w:t>肆拾五万元整</w:t>
      </w:r>
      <w:r>
        <w:rPr>
          <w:rFonts w:hint="eastAsia" w:ascii="宋体" w:hAnsi="宋体" w:eastAsia="宋体" w:cs="宋体"/>
          <w:b/>
          <w:bCs/>
          <w:color w:val="auto"/>
          <w:sz w:val="24"/>
        </w:rPr>
        <w:t>，由运营方以﹝现金</w:t>
      </w:r>
      <w:r>
        <w:rPr>
          <w:rFonts w:hint="eastAsia" w:ascii="宋体" w:hAnsi="宋体" w:cs="宋体"/>
          <w:b/>
          <w:bCs/>
          <w:color w:val="auto"/>
          <w:sz w:val="24"/>
          <w:lang w:val="en-US" w:eastAsia="zh-CN"/>
        </w:rPr>
        <w:t>、</w:t>
      </w:r>
      <w:r>
        <w:rPr>
          <w:rFonts w:hint="eastAsia" w:ascii="宋体" w:hAnsi="宋体" w:eastAsia="宋体" w:cs="宋体"/>
          <w:b/>
          <w:bCs/>
          <w:color w:val="auto"/>
          <w:sz w:val="24"/>
        </w:rPr>
        <w:t>电汇</w:t>
      </w:r>
      <w:r>
        <w:rPr>
          <w:rFonts w:hint="eastAsia" w:ascii="宋体" w:hAnsi="宋体" w:cs="宋体"/>
          <w:b/>
          <w:bCs/>
          <w:color w:val="auto"/>
          <w:sz w:val="24"/>
          <w:lang w:val="en-US" w:eastAsia="zh-CN"/>
        </w:rPr>
        <w:t>或</w:t>
      </w:r>
      <w:r>
        <w:rPr>
          <w:rFonts w:hint="eastAsia" w:ascii="宋体" w:hAnsi="宋体" w:eastAsia="宋体" w:cs="宋体"/>
          <w:b/>
          <w:bCs/>
          <w:color w:val="auto"/>
          <w:sz w:val="24"/>
        </w:rPr>
        <w:t>银行转帐的方式提交。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13.1 退还：履约保证金在合同期满后15工作日内一次性</w:t>
      </w:r>
      <w:r>
        <w:rPr>
          <w:rFonts w:hint="eastAsia" w:ascii="宋体" w:hAnsi="宋体" w:cs="宋体"/>
          <w:color w:val="auto"/>
          <w:sz w:val="24"/>
          <w:lang w:eastAsia="zh-CN"/>
        </w:rPr>
        <w:t>（</w:t>
      </w:r>
      <w:r>
        <w:rPr>
          <w:rFonts w:hint="eastAsia" w:ascii="宋体" w:hAnsi="宋体" w:cs="宋体"/>
          <w:color w:val="auto"/>
          <w:sz w:val="24"/>
          <w:lang w:val="en-US" w:eastAsia="zh-CN"/>
        </w:rPr>
        <w:t>不计息</w:t>
      </w:r>
      <w:r>
        <w:rPr>
          <w:rFonts w:hint="eastAsia" w:ascii="宋体" w:hAnsi="宋体" w:cs="宋体"/>
          <w:color w:val="auto"/>
          <w:sz w:val="24"/>
          <w:lang w:eastAsia="zh-CN"/>
        </w:rPr>
        <w:t>）</w:t>
      </w:r>
      <w:r>
        <w:rPr>
          <w:rFonts w:hint="eastAsia" w:ascii="宋体" w:hAnsi="宋体" w:eastAsia="宋体" w:cs="宋体"/>
          <w:color w:val="auto"/>
          <w:sz w:val="24"/>
        </w:rPr>
        <w:t>退还。</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53" w:name="十四、争议解决"/>
      <w:bookmarkEnd w:id="153"/>
      <w:r>
        <w:rPr>
          <w:rFonts w:hint="eastAsia" w:ascii="宋体" w:hAnsi="宋体" w:eastAsia="宋体" w:cs="宋体"/>
          <w:b/>
          <w:bCs/>
          <w:color w:val="auto"/>
          <w:sz w:val="24"/>
        </w:rPr>
        <w:t>十四、争议解决</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rPr>
      </w:pPr>
      <w:bookmarkStart w:id="154" w:name="十五、合同生效及其它"/>
      <w:bookmarkEnd w:id="154"/>
      <w:r>
        <w:rPr>
          <w:rFonts w:hint="eastAsia" w:ascii="宋体" w:hAnsi="宋体" w:eastAsia="宋体" w:cs="宋体"/>
          <w:b/>
          <w:bCs/>
          <w:color w:val="auto"/>
          <w:sz w:val="24"/>
        </w:rPr>
        <w:t>十五、合同生效及其它</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合同执行中涉及采购资金和采购内容修改或补充的，须经主管部门审批，并签书面补充协议报采购监督管理部门备案，方可作为主合同不可分割的一部分。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本合同未尽事宜，遵照《合同法》有关条文执行。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本合同正本一式</w:t>
      </w:r>
      <w:r>
        <w:rPr>
          <w:rFonts w:hint="eastAsia" w:ascii="宋体" w:hAnsi="宋体" w:cs="宋体"/>
          <w:color w:val="auto"/>
          <w:sz w:val="24"/>
          <w:u w:val="single"/>
          <w:lang w:val="en-US" w:eastAsia="zh-CN"/>
        </w:rPr>
        <w:t>二</w:t>
      </w:r>
      <w:r>
        <w:rPr>
          <w:rFonts w:hint="eastAsia" w:ascii="宋体" w:hAnsi="宋体" w:eastAsia="宋体" w:cs="宋体"/>
          <w:color w:val="auto"/>
          <w:sz w:val="24"/>
          <w:u w:val="none"/>
        </w:rPr>
        <w:t>份</w:t>
      </w:r>
      <w:r>
        <w:rPr>
          <w:rFonts w:hint="eastAsia" w:ascii="宋体" w:hAnsi="宋体" w:eastAsia="宋体" w:cs="宋体"/>
          <w:color w:val="auto"/>
          <w:sz w:val="24"/>
        </w:rPr>
        <w:t>，具有同等法律效力，甲乙双方各执</w:t>
      </w:r>
      <w:r>
        <w:rPr>
          <w:rFonts w:hint="eastAsia" w:ascii="宋体" w:hAnsi="宋体" w:cs="宋体"/>
          <w:color w:val="auto"/>
          <w:sz w:val="24"/>
          <w:u w:val="single"/>
          <w:lang w:val="en-US" w:eastAsia="zh-CN"/>
        </w:rPr>
        <w:t>壹</w:t>
      </w:r>
      <w:r>
        <w:rPr>
          <w:rFonts w:hint="eastAsia" w:ascii="宋体" w:hAnsi="宋体" w:eastAsia="宋体" w:cs="宋体"/>
          <w:color w:val="auto"/>
          <w:sz w:val="24"/>
        </w:rPr>
        <w:t>份；副本</w:t>
      </w:r>
      <w:r>
        <w:rPr>
          <w:rFonts w:hint="eastAsia" w:ascii="宋体" w:hAnsi="宋体" w:cs="宋体"/>
          <w:color w:val="auto"/>
          <w:sz w:val="24"/>
          <w:u w:val="single"/>
          <w:lang w:val="en-US" w:eastAsia="zh-CN"/>
        </w:rPr>
        <w:t>陆</w:t>
      </w:r>
      <w:r>
        <w:rPr>
          <w:rFonts w:hint="eastAsia" w:ascii="宋体" w:hAnsi="宋体" w:eastAsia="宋体" w:cs="宋体"/>
          <w:color w:val="auto"/>
          <w:sz w:val="24"/>
        </w:rPr>
        <w:t>份，甲乙双方各执</w:t>
      </w:r>
      <w:r>
        <w:rPr>
          <w:rFonts w:hint="eastAsia" w:ascii="宋体" w:hAnsi="宋体" w:cs="宋体"/>
          <w:color w:val="auto"/>
          <w:sz w:val="24"/>
          <w:u w:val="single"/>
          <w:lang w:val="en-US" w:eastAsia="zh-CN"/>
        </w:rPr>
        <w:t>壹</w:t>
      </w:r>
      <w:r>
        <w:rPr>
          <w:rFonts w:hint="eastAsia" w:ascii="宋体" w:hAnsi="宋体" w:eastAsia="宋体" w:cs="宋体"/>
          <w:color w:val="auto"/>
          <w:sz w:val="24"/>
        </w:rPr>
        <w:t>份，其余分送相关部门审查备案。当正本与副本的内容不一致时，以正本为准。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合同文件：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下列文件是构成合同不可分割的部分。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合同协议书；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中标通知书；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投标文件及附件；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招标文件、招标文件附件及其补充文件；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构成本合同组成部分的其它文件。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前后文件有矛盾时，同一文件按排列顺序在前者为准，不同文件按文件形成时间在后者为准。</w:t>
      </w:r>
    </w:p>
    <w:tbl>
      <w:tblPr>
        <w:tblStyle w:val="41"/>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81"/>
        <w:gridCol w:w="4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甲方（公章）：</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乙方（公章）：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法定代表人（签字）：</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法定代表人（签字）：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或授权代表（签字）：</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联系电话：</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传</w:t>
            </w:r>
            <w:r>
              <w:rPr>
                <w:rFonts w:hint="eastAsia" w:ascii="宋体" w:hAnsi="宋体" w:eastAsia="宋体" w:cs="宋体"/>
                <w:color w:val="auto"/>
                <w:sz w:val="24"/>
              </w:rPr>
              <w:tab/>
            </w:r>
            <w:r>
              <w:rPr>
                <w:rFonts w:hint="eastAsia" w:ascii="宋体" w:hAnsi="宋体" w:eastAsia="宋体" w:cs="宋体"/>
                <w:color w:val="auto"/>
                <w:sz w:val="24"/>
              </w:rPr>
              <w:t>真：</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传</w:t>
            </w:r>
            <w:r>
              <w:rPr>
                <w:rFonts w:hint="eastAsia" w:ascii="宋体" w:hAnsi="宋体" w:eastAsia="宋体" w:cs="宋体"/>
                <w:color w:val="auto"/>
                <w:sz w:val="24"/>
              </w:rPr>
              <w:tab/>
            </w:r>
            <w:r>
              <w:rPr>
                <w:rFonts w:hint="eastAsia" w:ascii="宋体" w:hAnsi="宋体" w:eastAsia="宋体" w:cs="宋体"/>
                <w:color w:val="auto"/>
                <w:sz w:val="24"/>
              </w:rPr>
              <w:t>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通讯地址：</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开户银行：</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2456"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银行帐号：</w:t>
            </w:r>
          </w:p>
        </w:tc>
        <w:tc>
          <w:tcPr>
            <w:tcW w:w="254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银行帐号：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trPr>
        <w:tc>
          <w:tcPr>
            <w:tcW w:w="5000" w:type="pct"/>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合同签订地点：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合同签订时间：</w:t>
            </w:r>
            <w:r>
              <w:rPr>
                <w:rFonts w:hint="eastAsia" w:ascii="宋体" w:hAnsi="宋体" w:eastAsia="宋体" w:cs="宋体"/>
                <w:color w:val="auto"/>
                <w:sz w:val="24"/>
              </w:rPr>
              <w:tab/>
            </w:r>
            <w:r>
              <w:rPr>
                <w:rFonts w:hint="eastAsia" w:ascii="宋体" w:hAnsi="宋体" w:eastAsia="宋体" w:cs="宋体"/>
                <w:color w:val="auto"/>
                <w:sz w:val="24"/>
              </w:rPr>
              <w:t>年</w:t>
            </w:r>
            <w:r>
              <w:rPr>
                <w:rFonts w:hint="eastAsia" w:ascii="宋体" w:hAnsi="宋体" w:eastAsia="宋体" w:cs="宋体"/>
                <w:color w:val="auto"/>
                <w:sz w:val="24"/>
              </w:rPr>
              <w:tab/>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rPr>
      </w:pPr>
    </w:p>
    <w:p>
      <w:pPr>
        <w:pStyle w:val="3"/>
        <w:ind w:firstLine="482" w:firstLineChars="200"/>
        <w:rPr>
          <w:rFonts w:hint="eastAsia"/>
        </w:rPr>
      </w:pPr>
      <w:r>
        <w:rPr>
          <w:rFonts w:hint="eastAsia" w:ascii="宋体" w:hAnsi="宋体" w:eastAsia="宋体" w:cs="宋体"/>
          <w:b/>
          <w:color w:val="auto"/>
          <w:sz w:val="24"/>
        </w:rPr>
        <w:t>注：本合同作为示范文本，具体以中标人与采购人所签定的正式合同为准。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rPr>
        <w:sectPr>
          <w:headerReference r:id="rId16" w:type="default"/>
          <w:footerReference r:id="rId17" w:type="default"/>
          <w:pgSz w:w="11910" w:h="16840"/>
          <w:pgMar w:top="1440" w:right="1800" w:bottom="1440" w:left="1800" w:header="1077" w:footer="1134" w:gutter="0"/>
          <w:pgBorders>
            <w:top w:val="none" w:sz="0" w:space="0"/>
            <w:left w:val="none" w:sz="0" w:space="0"/>
            <w:bottom w:val="none" w:sz="0" w:space="0"/>
            <w:right w:val="none" w:sz="0" w:space="0"/>
          </w:pgBorders>
          <w:pgNumType w:fmt="decimal"/>
        </w:sectPr>
      </w:pPr>
    </w:p>
    <w:p>
      <w:pPr>
        <w:pStyle w:val="3"/>
        <w:rPr>
          <w:rFonts w:hint="eastAsia" w:ascii="宋体" w:hAnsi="宋体" w:eastAsia="宋体" w:cs="宋体"/>
          <w:color w:val="auto"/>
        </w:rPr>
      </w:pPr>
    </w:p>
    <w:bookmarkEnd w:id="143"/>
    <w:bookmarkEnd w:id="144"/>
    <w:bookmarkEnd w:id="145"/>
    <w:p>
      <w:pPr>
        <w:pStyle w:val="6"/>
        <w:spacing w:line="560" w:lineRule="exact"/>
        <w:ind w:firstLine="723" w:firstLineChars="200"/>
        <w:rPr>
          <w:rFonts w:hint="eastAsia" w:ascii="宋体" w:hAnsi="宋体" w:eastAsia="宋体" w:cs="宋体"/>
          <w:color w:val="auto"/>
        </w:rPr>
      </w:pPr>
      <w:bookmarkStart w:id="155" w:name="_Toc25397"/>
      <w:bookmarkStart w:id="156" w:name="_Toc8088"/>
      <w:r>
        <w:rPr>
          <w:rFonts w:hint="eastAsia" w:ascii="宋体" w:hAnsi="宋体" w:eastAsia="宋体" w:cs="宋体"/>
          <w:color w:val="auto"/>
        </w:rPr>
        <w:t>第五章　投标相关文件格式</w:t>
      </w:r>
      <w:bookmarkEnd w:id="155"/>
      <w:bookmarkEnd w:id="156"/>
      <w:bookmarkStart w:id="157" w:name="_Toc15813259"/>
      <w:bookmarkStart w:id="158" w:name="_Toc45506740"/>
      <w:bookmarkStart w:id="159" w:name="_Toc47756041"/>
      <w:bookmarkStart w:id="160" w:name="_Toc15805942"/>
    </w:p>
    <w:p>
      <w:pPr>
        <w:rPr>
          <w:rFonts w:hint="eastAsia" w:ascii="宋体" w:hAnsi="宋体" w:eastAsia="宋体" w:cs="宋体"/>
          <w:color w:val="auto"/>
        </w:rPr>
      </w:pPr>
    </w:p>
    <w:p>
      <w:pPr>
        <w:rPr>
          <w:rFonts w:hint="eastAsia" w:ascii="宋体" w:hAnsi="宋体" w:eastAsia="宋体" w:cs="宋体"/>
          <w:color w:val="auto"/>
        </w:rPr>
      </w:pPr>
    </w:p>
    <w:p>
      <w:pPr>
        <w:pStyle w:val="7"/>
        <w:ind w:firstLine="600" w:firstLineChars="200"/>
        <w:rPr>
          <w:rFonts w:hint="eastAsia" w:ascii="宋体" w:hAnsi="宋体" w:eastAsia="宋体" w:cs="宋体"/>
          <w:b w:val="0"/>
          <w:bCs w:val="0"/>
          <w:color w:val="auto"/>
        </w:rPr>
      </w:pPr>
      <w:bookmarkStart w:id="161" w:name="_Toc31265"/>
      <w:bookmarkStart w:id="162" w:name="_Toc13066"/>
      <w:bookmarkStart w:id="163" w:name="_Toc27301"/>
      <w:r>
        <w:rPr>
          <w:rFonts w:hint="eastAsia" w:ascii="宋体" w:hAnsi="宋体" w:eastAsia="宋体" w:cs="宋体"/>
          <w:b w:val="0"/>
          <w:bCs w:val="0"/>
          <w:color w:val="auto"/>
        </w:rPr>
        <w:t>一   资格审查文件格式</w:t>
      </w:r>
      <w:bookmarkEnd w:id="161"/>
      <w:bookmarkEnd w:id="162"/>
      <w:bookmarkEnd w:id="163"/>
    </w:p>
    <w:p>
      <w:pPr>
        <w:spacing w:line="360" w:lineRule="auto"/>
        <w:ind w:firstLine="600" w:firstLineChars="200"/>
        <w:jc w:val="left"/>
        <w:rPr>
          <w:rFonts w:hint="eastAsia" w:ascii="宋体" w:hAnsi="宋体" w:eastAsia="宋体" w:cs="宋体"/>
          <w:color w:val="auto"/>
          <w:sz w:val="30"/>
        </w:rPr>
      </w:pPr>
      <w:bookmarkStart w:id="164" w:name="_Toc493956052"/>
      <w:bookmarkStart w:id="165" w:name="_Toc494555868"/>
      <w:bookmarkStart w:id="166" w:name="_Toc493956053"/>
      <w:bookmarkStart w:id="167" w:name="_Toc494555869"/>
      <w:bookmarkStart w:id="168" w:name="_Toc493956054"/>
      <w:bookmarkStart w:id="169" w:name="_Toc494555870"/>
      <w:bookmarkStart w:id="170" w:name="_Toc494555871"/>
      <w:bookmarkStart w:id="171" w:name="_Toc493956055"/>
      <w:bookmarkStart w:id="172" w:name="_Toc494555872"/>
      <w:bookmarkStart w:id="173" w:name="_Toc494555873"/>
      <w:r>
        <w:rPr>
          <w:rFonts w:hint="eastAsia" w:ascii="宋体" w:hAnsi="宋体" w:eastAsia="宋体" w:cs="宋体"/>
          <w:color w:val="auto"/>
          <w:sz w:val="30"/>
        </w:rPr>
        <w:t>1、公司有效营业执照</w:t>
      </w:r>
      <w:bookmarkEnd w:id="164"/>
      <w:bookmarkEnd w:id="165"/>
    </w:p>
    <w:p>
      <w:pPr>
        <w:spacing w:line="360" w:lineRule="auto"/>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2、授权委托书</w:t>
      </w:r>
      <w:bookmarkEnd w:id="166"/>
      <w:bookmarkEnd w:id="167"/>
      <w:r>
        <w:rPr>
          <w:rFonts w:hint="eastAsia" w:ascii="宋体" w:hAnsi="宋体" w:eastAsia="宋体" w:cs="宋体"/>
          <w:color w:val="auto"/>
          <w:sz w:val="30"/>
        </w:rPr>
        <w:t>、身份证</w:t>
      </w:r>
    </w:p>
    <w:p>
      <w:pPr>
        <w:spacing w:line="360" w:lineRule="auto"/>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3、财务状况报告</w:t>
      </w:r>
      <w:bookmarkEnd w:id="168"/>
      <w:bookmarkEnd w:id="169"/>
    </w:p>
    <w:p>
      <w:pPr>
        <w:spacing w:line="360" w:lineRule="auto"/>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4、依法缴纳税收和社会保障资金</w:t>
      </w:r>
      <w:bookmarkEnd w:id="170"/>
      <w:bookmarkEnd w:id="171"/>
    </w:p>
    <w:p>
      <w:pPr>
        <w:spacing w:line="360" w:lineRule="auto"/>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5、资格声明</w:t>
      </w:r>
      <w:bookmarkEnd w:id="172"/>
    </w:p>
    <w:p>
      <w:pPr>
        <w:spacing w:line="360" w:lineRule="auto"/>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6、无重大违法记录声明书</w:t>
      </w:r>
      <w:bookmarkEnd w:id="173"/>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7"/>
        <w:spacing w:before="240" w:after="240"/>
        <w:ind w:firstLine="643" w:firstLineChars="200"/>
        <w:jc w:val="center"/>
        <w:rPr>
          <w:rFonts w:hint="eastAsia" w:ascii="宋体" w:hAnsi="宋体" w:eastAsia="宋体" w:cs="宋体"/>
          <w:color w:val="auto"/>
          <w:sz w:val="32"/>
          <w:szCs w:val="32"/>
        </w:rPr>
      </w:pPr>
      <w:bookmarkStart w:id="174" w:name="_Toc19402"/>
      <w:bookmarkStart w:id="175" w:name="_Toc16529"/>
      <w:bookmarkStart w:id="176" w:name="_Toc2213"/>
      <w:bookmarkStart w:id="177" w:name="_Toc15466"/>
      <w:r>
        <w:rPr>
          <w:rFonts w:hint="eastAsia" w:ascii="宋体" w:hAnsi="宋体" w:eastAsia="宋体" w:cs="宋体"/>
          <w:color w:val="auto"/>
          <w:sz w:val="32"/>
          <w:szCs w:val="32"/>
        </w:rPr>
        <w:t>1、公司有效营业执照</w:t>
      </w:r>
      <w:bookmarkEnd w:id="174"/>
      <w:bookmarkEnd w:id="175"/>
      <w:bookmarkEnd w:id="176"/>
      <w:bookmarkEnd w:id="177"/>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1.提供有效的营业执照复印件；</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2.须提供原件核对（在浙江政府采购网注册的供应商不需要提供原件）；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3.浙江政府采购网”的“供应商”栏目查询投标人注册页面信息打印件（浙江政府采购网注册供应商提供）；</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4、复印件须加盖投标人章。</w:t>
      </w:r>
    </w:p>
    <w:p>
      <w:pPr>
        <w:spacing w:line="360" w:lineRule="auto"/>
        <w:rPr>
          <w:rFonts w:hint="eastAsia" w:ascii="宋体" w:hAnsi="宋体" w:eastAsia="宋体" w:cs="宋体"/>
          <w:color w:val="auto"/>
          <w:sz w:val="24"/>
        </w:rPr>
      </w:pPr>
    </w:p>
    <w:p>
      <w:pPr>
        <w:pStyle w:val="7"/>
        <w:spacing w:before="240" w:after="240"/>
        <w:ind w:firstLine="0" w:firstLineChars="0"/>
        <w:rPr>
          <w:rFonts w:hint="eastAsia" w:ascii="宋体" w:hAnsi="宋体" w:eastAsia="宋体" w:cs="宋体"/>
          <w:color w:val="auto"/>
          <w:sz w:val="32"/>
          <w:szCs w:val="32"/>
        </w:rPr>
        <w:sectPr>
          <w:footerReference r:id="rId18" w:type="default"/>
          <w:pgSz w:w="11906" w:h="16838"/>
          <w:pgMar w:top="1440" w:right="1800" w:bottom="1440" w:left="1800" w:header="1077" w:footer="850" w:gutter="0"/>
          <w:pgBorders>
            <w:top w:val="none" w:sz="0" w:space="0"/>
            <w:left w:val="none" w:sz="0" w:space="0"/>
            <w:bottom w:val="none" w:sz="0" w:space="0"/>
            <w:right w:val="none" w:sz="0" w:space="0"/>
          </w:pgBorders>
          <w:pgNumType w:fmt="decimal"/>
          <w:cols w:space="0" w:num="1"/>
          <w:titlePg/>
          <w:docGrid w:linePitch="312" w:charSpace="0"/>
        </w:sectPr>
      </w:pPr>
    </w:p>
    <w:p>
      <w:pPr>
        <w:pStyle w:val="7"/>
        <w:spacing w:before="240" w:after="240"/>
        <w:ind w:firstLine="643" w:firstLineChars="200"/>
        <w:jc w:val="center"/>
        <w:rPr>
          <w:rFonts w:hint="eastAsia" w:ascii="宋体" w:hAnsi="宋体" w:eastAsia="宋体" w:cs="宋体"/>
          <w:color w:val="auto"/>
          <w:sz w:val="32"/>
          <w:szCs w:val="32"/>
        </w:rPr>
      </w:pPr>
      <w:bookmarkStart w:id="178" w:name="_Toc17437"/>
      <w:bookmarkStart w:id="179" w:name="_Toc25472"/>
      <w:bookmarkStart w:id="180" w:name="_Toc11792"/>
      <w:bookmarkStart w:id="181" w:name="_Toc13439"/>
      <w:r>
        <w:rPr>
          <w:rFonts w:hint="eastAsia" w:ascii="宋体" w:hAnsi="宋体" w:eastAsia="宋体" w:cs="宋体"/>
          <w:color w:val="auto"/>
          <w:sz w:val="32"/>
          <w:szCs w:val="32"/>
        </w:rPr>
        <w:t>2、授权委托书</w:t>
      </w:r>
      <w:bookmarkEnd w:id="178"/>
      <w:bookmarkEnd w:id="179"/>
      <w:bookmarkEnd w:id="180"/>
      <w:bookmarkEnd w:id="181"/>
    </w:p>
    <w:p>
      <w:pPr>
        <w:pStyle w:val="166"/>
        <w:spacing w:line="440" w:lineRule="exact"/>
        <w:ind w:firstLine="480" w:firstLineChars="200"/>
        <w:rPr>
          <w:rFonts w:hint="eastAsia" w:ascii="宋体" w:hAnsi="宋体" w:eastAsia="宋体" w:cs="宋体"/>
          <w:b/>
          <w:color w:val="auto"/>
          <w:sz w:val="24"/>
          <w:szCs w:val="21"/>
        </w:rPr>
      </w:pPr>
      <w:r>
        <w:rPr>
          <w:rFonts w:hint="eastAsia" w:ascii="宋体" w:hAnsi="宋体" w:eastAsia="宋体" w:cs="宋体"/>
          <w:color w:val="auto"/>
          <w:sz w:val="24"/>
          <w:szCs w:val="21"/>
          <w:u w:val="single"/>
        </w:rPr>
        <w:t>（代理机构名称）</w:t>
      </w:r>
      <w:r>
        <w:rPr>
          <w:rFonts w:hint="eastAsia" w:ascii="宋体" w:hAnsi="宋体" w:eastAsia="宋体" w:cs="宋体"/>
          <w:color w:val="auto"/>
          <w:sz w:val="24"/>
          <w:szCs w:val="21"/>
        </w:rPr>
        <w:t>：</w:t>
      </w:r>
    </w:p>
    <w:p>
      <w:pPr>
        <w:pStyle w:val="166"/>
        <w:autoSpaceDE w:val="0"/>
        <w:autoSpaceDN w:val="0"/>
        <w:spacing w:line="440" w:lineRule="exact"/>
        <w:ind w:firstLine="420" w:firstLineChars="200"/>
        <w:textAlignment w:val="bottom"/>
        <w:rPr>
          <w:rFonts w:hint="eastAsia" w:ascii="宋体" w:hAnsi="宋体" w:eastAsia="宋体" w:cs="宋体"/>
          <w:color w:val="auto"/>
          <w:sz w:val="24"/>
          <w:szCs w:val="20"/>
        </w:rPr>
      </w:pPr>
      <w:r>
        <w:rPr>
          <w:rFonts w:hint="eastAsia" w:ascii="宋体" w:hAnsi="宋体" w:eastAsia="宋体" w:cs="宋体"/>
          <w:color w:val="auto"/>
        </w:rPr>
        <w:t xml:space="preserve">   </w:t>
      </w:r>
      <w:r>
        <w:rPr>
          <w:rFonts w:hint="eastAsia" w:ascii="宋体" w:hAnsi="宋体" w:eastAsia="宋体" w:cs="宋体"/>
          <w:color w:val="auto"/>
          <w:sz w:val="24"/>
          <w:szCs w:val="20"/>
        </w:rPr>
        <w:t xml:space="preserve">  我</w:t>
      </w:r>
      <w:r>
        <w:rPr>
          <w:rFonts w:hint="eastAsia" w:ascii="宋体" w:hAnsi="宋体" w:eastAsia="宋体" w:cs="宋体"/>
          <w:color w:val="auto"/>
          <w:sz w:val="24"/>
          <w:szCs w:val="20"/>
          <w:u w:val="single"/>
        </w:rPr>
        <w:t xml:space="preserve">              （</w:t>
      </w:r>
      <w:r>
        <w:rPr>
          <w:rFonts w:hint="eastAsia" w:ascii="宋体" w:hAnsi="宋体" w:eastAsia="宋体" w:cs="宋体"/>
          <w:color w:val="auto"/>
          <w:sz w:val="24"/>
          <w:szCs w:val="20"/>
        </w:rPr>
        <w:t>负责人姓名）系</w:t>
      </w:r>
      <w:r>
        <w:rPr>
          <w:rFonts w:hint="eastAsia" w:ascii="宋体" w:hAnsi="宋体" w:eastAsia="宋体" w:cs="宋体"/>
          <w:color w:val="auto"/>
          <w:sz w:val="24"/>
          <w:szCs w:val="20"/>
          <w:u w:val="single"/>
        </w:rPr>
        <w:t xml:space="preserve">           </w:t>
      </w:r>
      <w:r>
        <w:rPr>
          <w:rFonts w:hint="eastAsia" w:ascii="宋体" w:hAnsi="宋体" w:eastAsia="宋体" w:cs="宋体"/>
          <w:color w:val="auto"/>
          <w:sz w:val="24"/>
          <w:szCs w:val="20"/>
        </w:rPr>
        <w:t>（投标人全称）的负责人，现授权委托本单位</w:t>
      </w:r>
      <w:r>
        <w:rPr>
          <w:rFonts w:hint="eastAsia" w:ascii="宋体" w:hAnsi="宋体" w:eastAsia="宋体" w:cs="宋体"/>
          <w:b/>
          <w:color w:val="auto"/>
          <w:sz w:val="24"/>
          <w:szCs w:val="20"/>
        </w:rPr>
        <w:t>在职职工</w:t>
      </w:r>
      <w:r>
        <w:rPr>
          <w:rFonts w:hint="eastAsia" w:ascii="宋体" w:hAnsi="宋体" w:eastAsia="宋体" w:cs="宋体"/>
          <w:color w:val="auto"/>
          <w:sz w:val="24"/>
          <w:szCs w:val="20"/>
          <w:u w:val="single"/>
        </w:rPr>
        <w:t xml:space="preserve">              </w:t>
      </w:r>
      <w:r>
        <w:rPr>
          <w:rFonts w:hint="eastAsia" w:ascii="宋体" w:hAnsi="宋体" w:eastAsia="宋体" w:cs="宋体"/>
          <w:color w:val="auto"/>
          <w:sz w:val="24"/>
          <w:szCs w:val="20"/>
        </w:rPr>
        <w:t>（姓名）以我方的名义参加就贵方组织的</w:t>
      </w:r>
      <w:r>
        <w:rPr>
          <w:rFonts w:hint="eastAsia" w:ascii="宋体" w:hAnsi="宋体" w:eastAsia="宋体" w:cs="宋体"/>
          <w:color w:val="auto"/>
          <w:sz w:val="24"/>
          <w:szCs w:val="20"/>
          <w:u w:val="single"/>
        </w:rPr>
        <w:t xml:space="preserve">                         （采购项目名称）</w:t>
      </w:r>
      <w:r>
        <w:rPr>
          <w:rFonts w:hint="eastAsia" w:ascii="宋体" w:hAnsi="宋体" w:eastAsia="宋体" w:cs="宋体"/>
          <w:color w:val="auto"/>
          <w:sz w:val="24"/>
          <w:szCs w:val="20"/>
        </w:rPr>
        <w:t>（采购编号：</w:t>
      </w:r>
      <w:r>
        <w:rPr>
          <w:rFonts w:hint="eastAsia" w:ascii="宋体" w:hAnsi="宋体" w:eastAsia="宋体" w:cs="宋体"/>
          <w:color w:val="auto"/>
          <w:sz w:val="24"/>
          <w:szCs w:val="20"/>
          <w:u w:val="single"/>
        </w:rPr>
        <w:t>　　　　</w:t>
      </w:r>
      <w:r>
        <w:rPr>
          <w:rFonts w:hint="eastAsia" w:ascii="宋体" w:hAnsi="宋体" w:eastAsia="宋体" w:cs="宋体"/>
          <w:color w:val="auto"/>
          <w:sz w:val="24"/>
          <w:szCs w:val="20"/>
        </w:rPr>
        <w:t>）项目的投标活动，并代表我方全权办理针对上述项目的投标、开标、评审、签约等具体事务和签署相关文件。</w:t>
      </w:r>
    </w:p>
    <w:p>
      <w:pPr>
        <w:pStyle w:val="166"/>
        <w:autoSpaceDE w:val="0"/>
        <w:autoSpaceDN w:val="0"/>
        <w:spacing w:line="440" w:lineRule="exact"/>
        <w:ind w:firstLine="480" w:firstLineChars="200"/>
        <w:textAlignment w:val="bottom"/>
        <w:rPr>
          <w:rFonts w:hint="eastAsia" w:ascii="宋体" w:hAnsi="宋体" w:eastAsia="宋体" w:cs="宋体"/>
          <w:color w:val="auto"/>
          <w:sz w:val="24"/>
          <w:szCs w:val="20"/>
        </w:rPr>
      </w:pPr>
      <w:r>
        <w:rPr>
          <w:rFonts w:hint="eastAsia" w:ascii="宋体" w:hAnsi="宋体" w:eastAsia="宋体" w:cs="宋体"/>
          <w:color w:val="auto"/>
          <w:sz w:val="24"/>
          <w:szCs w:val="20"/>
        </w:rPr>
        <w:t xml:space="preserve">    我方对委托代理人的签字或盖章事项负全部责任。</w:t>
      </w:r>
    </w:p>
    <w:p>
      <w:pPr>
        <w:pStyle w:val="166"/>
        <w:spacing w:line="44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本授权书自签署之日起生效，在撤销授权的书面通知送达贵方以前，本授权委托书一直有效。委托代理人在授权书有效期内签署的所有文件不因授权的撤销而失效。</w:t>
      </w:r>
    </w:p>
    <w:p>
      <w:pPr>
        <w:pStyle w:val="166"/>
        <w:spacing w:line="44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委托代理人无转委托权，特此声明。</w:t>
      </w:r>
    </w:p>
    <w:p>
      <w:pPr>
        <w:pStyle w:val="166"/>
        <w:spacing w:line="440" w:lineRule="exact"/>
        <w:ind w:firstLine="480"/>
        <w:rPr>
          <w:rFonts w:hint="eastAsia" w:ascii="宋体" w:hAnsi="宋体" w:eastAsia="宋体" w:cs="宋体"/>
          <w:color w:val="auto"/>
          <w:sz w:val="24"/>
          <w:szCs w:val="21"/>
        </w:rPr>
      </w:pPr>
    </w:p>
    <w:p>
      <w:pPr>
        <w:pStyle w:val="166"/>
        <w:spacing w:line="440" w:lineRule="exact"/>
        <w:ind w:firstLine="480" w:firstLineChars="200"/>
        <w:rPr>
          <w:rFonts w:hint="eastAsia" w:ascii="宋体" w:hAnsi="宋体" w:eastAsia="宋体" w:cs="宋体"/>
          <w:color w:val="auto"/>
          <w:spacing w:val="20"/>
          <w:sz w:val="24"/>
          <w:szCs w:val="21"/>
        </w:rPr>
      </w:pPr>
      <w:r>
        <w:rPr>
          <w:rFonts w:hint="eastAsia" w:ascii="宋体" w:hAnsi="宋体" w:eastAsia="宋体" w:cs="宋体"/>
          <w:color w:val="auto"/>
          <w:sz w:val="24"/>
          <w:szCs w:val="21"/>
        </w:rPr>
        <w:t xml:space="preserve">    </w:t>
      </w:r>
    </w:p>
    <w:p>
      <w:pPr>
        <w:pStyle w:val="166"/>
        <w:spacing w:line="440" w:lineRule="exact"/>
        <w:ind w:firstLine="560" w:firstLineChars="200"/>
        <w:rPr>
          <w:rFonts w:hint="eastAsia" w:ascii="宋体" w:hAnsi="宋体" w:eastAsia="宋体" w:cs="宋体"/>
          <w:color w:val="auto"/>
          <w:spacing w:val="20"/>
          <w:sz w:val="24"/>
          <w:szCs w:val="21"/>
          <w:u w:val="single"/>
        </w:rPr>
      </w:pPr>
      <w:r>
        <w:rPr>
          <w:rFonts w:hint="eastAsia" w:ascii="宋体" w:hAnsi="宋体" w:eastAsia="宋体" w:cs="宋体"/>
          <w:color w:val="auto"/>
          <w:spacing w:val="20"/>
          <w:sz w:val="24"/>
          <w:szCs w:val="21"/>
        </w:rPr>
        <w:t>投标人盖章：</w:t>
      </w:r>
      <w:r>
        <w:rPr>
          <w:rFonts w:hint="eastAsia" w:ascii="宋体" w:hAnsi="宋体" w:eastAsia="宋体" w:cs="宋体"/>
          <w:color w:val="auto"/>
          <w:spacing w:val="20"/>
          <w:sz w:val="24"/>
          <w:szCs w:val="21"/>
          <w:u w:val="single"/>
        </w:rPr>
        <w:t xml:space="preserve">            </w:t>
      </w:r>
    </w:p>
    <w:p>
      <w:pPr>
        <w:pStyle w:val="166"/>
        <w:spacing w:line="440" w:lineRule="exact"/>
        <w:ind w:firstLine="560" w:firstLineChars="200"/>
        <w:rPr>
          <w:rFonts w:hint="eastAsia" w:ascii="宋体" w:hAnsi="宋体" w:eastAsia="宋体" w:cs="宋体"/>
          <w:color w:val="auto"/>
          <w:spacing w:val="20"/>
          <w:sz w:val="24"/>
          <w:szCs w:val="21"/>
          <w:u w:val="single"/>
        </w:rPr>
      </w:pPr>
      <w:r>
        <w:rPr>
          <w:rFonts w:hint="eastAsia" w:ascii="宋体" w:hAnsi="宋体" w:eastAsia="宋体" w:cs="宋体"/>
          <w:color w:val="auto"/>
          <w:spacing w:val="20"/>
          <w:sz w:val="24"/>
          <w:szCs w:val="21"/>
        </w:rPr>
        <w:t>日     期：</w:t>
      </w:r>
      <w:r>
        <w:rPr>
          <w:rFonts w:hint="eastAsia" w:ascii="宋体" w:hAnsi="宋体" w:eastAsia="宋体" w:cs="宋体"/>
          <w:color w:val="auto"/>
          <w:spacing w:val="20"/>
          <w:sz w:val="24"/>
          <w:szCs w:val="21"/>
          <w:u w:val="single"/>
        </w:rPr>
        <w:t xml:space="preserve">            </w:t>
      </w:r>
    </w:p>
    <w:p>
      <w:pPr>
        <w:pStyle w:val="166"/>
        <w:spacing w:line="44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_____________________________________________________________________</w:t>
      </w:r>
    </w:p>
    <w:p>
      <w:pPr>
        <w:pStyle w:val="166"/>
        <w:spacing w:line="44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附：1、委托代理人工作单位：</w:t>
      </w:r>
      <w:r>
        <w:rPr>
          <w:rFonts w:hint="eastAsia" w:ascii="宋体" w:hAnsi="宋体" w:eastAsia="宋体" w:cs="宋体"/>
          <w:color w:val="auto"/>
          <w:sz w:val="24"/>
          <w:szCs w:val="21"/>
        </w:rPr>
        <w:tab/>
      </w:r>
      <w:r>
        <w:rPr>
          <w:rFonts w:hint="eastAsia" w:ascii="宋体" w:hAnsi="宋体" w:eastAsia="宋体" w:cs="宋体"/>
          <w:color w:val="auto"/>
          <w:sz w:val="24"/>
          <w:szCs w:val="21"/>
        </w:rPr>
        <w:tab/>
      </w:r>
      <w:r>
        <w:rPr>
          <w:rFonts w:hint="eastAsia" w:ascii="宋体" w:hAnsi="宋体" w:eastAsia="宋体" w:cs="宋体"/>
          <w:color w:val="auto"/>
          <w:sz w:val="24"/>
          <w:szCs w:val="21"/>
        </w:rPr>
        <w:tab/>
      </w:r>
      <w:r>
        <w:rPr>
          <w:rFonts w:hint="eastAsia" w:ascii="宋体" w:hAnsi="宋体" w:eastAsia="宋体" w:cs="宋体"/>
          <w:color w:val="auto"/>
          <w:sz w:val="24"/>
          <w:szCs w:val="21"/>
        </w:rPr>
        <w:tab/>
      </w:r>
      <w:r>
        <w:rPr>
          <w:rFonts w:hint="eastAsia" w:ascii="宋体" w:hAnsi="宋体" w:eastAsia="宋体" w:cs="宋体"/>
          <w:color w:val="auto"/>
          <w:sz w:val="24"/>
          <w:szCs w:val="21"/>
        </w:rPr>
        <w:tab/>
      </w:r>
      <w:r>
        <w:rPr>
          <w:rFonts w:hint="eastAsia" w:ascii="宋体" w:hAnsi="宋体" w:eastAsia="宋体" w:cs="宋体"/>
          <w:color w:val="auto"/>
          <w:sz w:val="24"/>
          <w:szCs w:val="21"/>
        </w:rPr>
        <w:t xml:space="preserve">职务： </w:t>
      </w:r>
    </w:p>
    <w:p>
      <w:pPr>
        <w:pStyle w:val="166"/>
        <w:spacing w:line="44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       身份证号码：　　　　　　　　　　</w:t>
      </w:r>
      <w:r>
        <w:rPr>
          <w:rFonts w:hint="eastAsia" w:ascii="宋体" w:hAnsi="宋体" w:eastAsia="宋体" w:cs="宋体"/>
          <w:color w:val="auto"/>
          <w:sz w:val="24"/>
          <w:szCs w:val="21"/>
        </w:rPr>
        <w:tab/>
      </w:r>
      <w:r>
        <w:rPr>
          <w:rFonts w:hint="eastAsia" w:ascii="宋体" w:hAnsi="宋体" w:eastAsia="宋体" w:cs="宋体"/>
          <w:color w:val="auto"/>
          <w:sz w:val="24"/>
          <w:szCs w:val="21"/>
        </w:rPr>
        <w:t xml:space="preserve">性别：　    </w:t>
      </w:r>
    </w:p>
    <w:p>
      <w:pPr>
        <w:pStyle w:val="166"/>
        <w:spacing w:line="360" w:lineRule="auto"/>
        <w:ind w:firstLine="420"/>
        <w:rPr>
          <w:rFonts w:hint="eastAsia" w:ascii="宋体" w:hAnsi="宋体" w:eastAsia="宋体" w:cs="宋体"/>
          <w:b/>
          <w:color w:val="auto"/>
          <w:sz w:val="24"/>
          <w:szCs w:val="21"/>
        </w:rPr>
      </w:pPr>
    </w:p>
    <w:p>
      <w:pPr>
        <w:pStyle w:val="166"/>
        <w:spacing w:line="360" w:lineRule="auto"/>
        <w:ind w:firstLine="482" w:firstLineChars="200"/>
        <w:rPr>
          <w:rFonts w:hint="eastAsia" w:ascii="宋体" w:hAnsi="宋体" w:eastAsia="宋体" w:cs="宋体"/>
          <w:color w:val="auto"/>
          <w:sz w:val="24"/>
          <w:szCs w:val="21"/>
        </w:rPr>
      </w:pPr>
      <w:r>
        <w:rPr>
          <w:rFonts w:hint="eastAsia" w:ascii="宋体" w:hAnsi="宋体" w:eastAsia="宋体" w:cs="宋体"/>
          <w:b/>
          <w:color w:val="auto"/>
          <w:sz w:val="24"/>
          <w:szCs w:val="21"/>
        </w:rPr>
        <w:t>注：</w:t>
      </w:r>
      <w:r>
        <w:rPr>
          <w:rFonts w:hint="eastAsia" w:ascii="宋体" w:hAnsi="宋体" w:eastAsia="宋体" w:cs="宋体"/>
          <w:color w:val="auto"/>
          <w:sz w:val="24"/>
          <w:szCs w:val="21"/>
        </w:rPr>
        <w:t>1、投标人为法人企业的，其负责人为其法定代表人；投标人为其他组织的，其负责人为法律、行政法规规定代表单位行使职权的主要负责人；。</w:t>
      </w:r>
    </w:p>
    <w:p>
      <w:pPr>
        <w:pStyle w:val="166"/>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2、委托人为上述条款中的负责人。</w:t>
      </w:r>
    </w:p>
    <w:p>
      <w:pPr>
        <w:pStyle w:val="166"/>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3、本“授权委托书”需附负责人和委托代理人身份证件扫描件（或复印件），如扫描件（或复印件）不清晰或错误的，后果由投标人承担。</w:t>
      </w:r>
      <w:r>
        <w:rPr>
          <w:rFonts w:hint="eastAsia" w:ascii="宋体" w:hAnsi="宋体" w:eastAsia="宋体" w:cs="宋体"/>
          <w:b/>
          <w:color w:val="auto"/>
          <w:sz w:val="24"/>
          <w:szCs w:val="21"/>
        </w:rPr>
        <w:t>负责人参加投标的，提供负责人身份证原件核对，委托代理人参加投标的，提供委托代理人身份证原件核对。</w:t>
      </w:r>
    </w:p>
    <w:p>
      <w:pPr>
        <w:pStyle w:val="222"/>
        <w:spacing w:line="440" w:lineRule="exact"/>
        <w:ind w:firstLine="420" w:firstLineChars="200"/>
        <w:rPr>
          <w:rFonts w:hint="eastAsia" w:ascii="宋体" w:hAnsi="宋体" w:eastAsia="宋体" w:cs="宋体"/>
          <w:bCs/>
          <w:color w:val="auto"/>
          <w:sz w:val="24"/>
        </w:rPr>
      </w:pPr>
      <w:r>
        <w:rPr>
          <w:rFonts w:hint="eastAsia" w:ascii="宋体" w:hAnsi="宋体" w:eastAsia="宋体" w:cs="宋体"/>
          <w:color w:val="auto"/>
        </w:rPr>
        <w:br w:type="page"/>
      </w:r>
      <w:r>
        <w:rPr>
          <w:rFonts w:hint="eastAsia" w:ascii="宋体" w:hAnsi="宋体" w:eastAsia="宋体" w:cs="宋体"/>
          <w:bCs/>
          <w:color w:val="auto"/>
          <w:sz w:val="24"/>
        </w:rPr>
        <w:t>负责人身份证件扫描件：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22"/>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正面：                                 反面：</w:t>
            </w:r>
          </w:p>
          <w:p>
            <w:pPr>
              <w:pStyle w:val="222"/>
              <w:spacing w:line="440" w:lineRule="exact"/>
              <w:rPr>
                <w:rFonts w:hint="eastAsia" w:ascii="宋体" w:hAnsi="宋体" w:eastAsia="宋体" w:cs="宋体"/>
                <w:bCs/>
                <w:color w:val="auto"/>
                <w:sz w:val="24"/>
              </w:rPr>
            </w:pPr>
          </w:p>
        </w:tc>
      </w:tr>
    </w:tbl>
    <w:p>
      <w:pPr>
        <w:pStyle w:val="222"/>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委托代理人身份证件扫描件：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22"/>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正面：                                 反面：</w:t>
            </w:r>
          </w:p>
          <w:p>
            <w:pPr>
              <w:pStyle w:val="222"/>
              <w:spacing w:line="440" w:lineRule="exact"/>
              <w:rPr>
                <w:rFonts w:hint="eastAsia" w:ascii="宋体" w:hAnsi="宋体" w:eastAsia="宋体" w:cs="宋体"/>
                <w:bCs/>
                <w:color w:val="auto"/>
                <w:sz w:val="24"/>
              </w:rPr>
            </w:pPr>
          </w:p>
        </w:tc>
      </w:tr>
    </w:tbl>
    <w:p>
      <w:pPr>
        <w:pStyle w:val="222"/>
        <w:spacing w:line="360" w:lineRule="auto"/>
        <w:ind w:firstLine="4480" w:firstLineChars="1600"/>
        <w:rPr>
          <w:rFonts w:hint="eastAsia" w:ascii="宋体" w:hAnsi="宋体" w:eastAsia="宋体" w:cs="宋体"/>
          <w:color w:val="auto"/>
          <w:spacing w:val="20"/>
          <w:sz w:val="24"/>
        </w:rPr>
      </w:pPr>
    </w:p>
    <w:p>
      <w:pPr>
        <w:pStyle w:val="222"/>
        <w:spacing w:line="360" w:lineRule="auto"/>
        <w:ind w:firstLine="4480" w:firstLineChars="1600"/>
        <w:rPr>
          <w:rFonts w:hint="eastAsia" w:ascii="宋体" w:hAnsi="宋体" w:eastAsia="宋体" w:cs="宋体"/>
          <w:color w:val="auto"/>
          <w:spacing w:val="20"/>
          <w:sz w:val="24"/>
        </w:rPr>
      </w:pPr>
    </w:p>
    <w:p>
      <w:pPr>
        <w:pStyle w:val="7"/>
        <w:spacing w:before="240" w:after="240"/>
        <w:ind w:firstLine="0" w:firstLineChars="0"/>
        <w:jc w:val="center"/>
        <w:rPr>
          <w:rFonts w:hint="eastAsia" w:ascii="宋体" w:hAnsi="宋体" w:eastAsia="宋体" w:cs="宋体"/>
          <w:color w:val="auto"/>
        </w:rPr>
        <w:sectPr>
          <w:footerReference r:id="rId19"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docGrid w:linePitch="312" w:charSpace="0"/>
        </w:sectPr>
      </w:pPr>
    </w:p>
    <w:p>
      <w:pPr>
        <w:spacing w:line="360" w:lineRule="auto"/>
        <w:jc w:val="center"/>
        <w:rPr>
          <w:rFonts w:hint="eastAsia" w:ascii="宋体" w:hAnsi="宋体" w:eastAsia="宋体" w:cs="宋体"/>
          <w:color w:val="auto"/>
          <w:sz w:val="30"/>
        </w:rPr>
      </w:pPr>
    </w:p>
    <w:p>
      <w:pPr>
        <w:pStyle w:val="7"/>
        <w:spacing w:before="240" w:after="240"/>
        <w:ind w:firstLine="643" w:firstLineChars="200"/>
        <w:jc w:val="center"/>
        <w:rPr>
          <w:rFonts w:hint="eastAsia" w:ascii="宋体" w:hAnsi="宋体" w:eastAsia="宋体" w:cs="宋体"/>
          <w:color w:val="auto"/>
          <w:sz w:val="32"/>
          <w:szCs w:val="32"/>
        </w:rPr>
      </w:pPr>
      <w:bookmarkStart w:id="182" w:name="_Toc22653"/>
      <w:bookmarkStart w:id="183" w:name="_Toc18193"/>
      <w:bookmarkStart w:id="184" w:name="_Toc22243"/>
      <w:bookmarkStart w:id="185" w:name="_Toc18036"/>
      <w:r>
        <w:rPr>
          <w:rFonts w:hint="eastAsia" w:ascii="宋体" w:hAnsi="宋体" w:eastAsia="宋体" w:cs="宋体"/>
          <w:color w:val="auto"/>
          <w:sz w:val="32"/>
          <w:szCs w:val="32"/>
        </w:rPr>
        <w:t>3、财务状况报告</w:t>
      </w:r>
      <w:bookmarkEnd w:id="182"/>
      <w:bookmarkEnd w:id="183"/>
      <w:bookmarkEnd w:id="184"/>
      <w:bookmarkEnd w:id="185"/>
    </w:p>
    <w:p>
      <w:pPr>
        <w:pStyle w:val="189"/>
        <w:spacing w:after="12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投标人可提供以下1和2其中一种材料作为本单位财务状态报告：</w:t>
      </w:r>
    </w:p>
    <w:p>
      <w:pPr>
        <w:pStyle w:val="189"/>
        <w:spacing w:after="120"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1.提供经审计的财务报告，包括资产负载表、利润表、现金流量表、所有者权益变动表及其附注复印件；</w:t>
      </w:r>
    </w:p>
    <w:p>
      <w:pPr>
        <w:pStyle w:val="189"/>
        <w:spacing w:after="120"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2.银行出具的资信证明复印件；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bCs/>
          <w:color w:val="auto"/>
          <w:sz w:val="24"/>
        </w:rPr>
        <w:t>注：</w:t>
      </w:r>
      <w:r>
        <w:rPr>
          <w:rFonts w:hint="eastAsia" w:ascii="宋体" w:hAnsi="宋体" w:eastAsia="宋体" w:cs="宋体"/>
          <w:color w:val="auto"/>
          <w:sz w:val="24"/>
        </w:rPr>
        <w:t>复印件须加盖投标人章。</w:t>
      </w:r>
    </w:p>
    <w:p>
      <w:pPr>
        <w:pStyle w:val="189"/>
        <w:spacing w:after="120" w:line="360" w:lineRule="auto"/>
        <w:ind w:firstLine="480" w:firstLineChars="200"/>
        <w:rPr>
          <w:rFonts w:hint="eastAsia" w:ascii="宋体" w:hAnsi="宋体" w:eastAsia="宋体" w:cs="宋体"/>
          <w:bCs/>
          <w:color w:val="auto"/>
          <w:sz w:val="24"/>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docGrid w:linePitch="312" w:charSpace="0"/>
        </w:sectPr>
      </w:pPr>
    </w:p>
    <w:p>
      <w:pPr>
        <w:spacing w:line="360" w:lineRule="auto"/>
        <w:jc w:val="center"/>
        <w:rPr>
          <w:rFonts w:hint="eastAsia" w:ascii="宋体" w:hAnsi="宋体" w:eastAsia="宋体" w:cs="宋体"/>
          <w:color w:val="auto"/>
          <w:sz w:val="30"/>
        </w:rPr>
      </w:pPr>
    </w:p>
    <w:p>
      <w:pPr>
        <w:pStyle w:val="7"/>
        <w:spacing w:before="240" w:after="240"/>
        <w:ind w:firstLine="643" w:firstLineChars="200"/>
        <w:jc w:val="center"/>
        <w:rPr>
          <w:rFonts w:hint="eastAsia" w:ascii="宋体" w:hAnsi="宋体" w:eastAsia="宋体" w:cs="宋体"/>
          <w:color w:val="auto"/>
          <w:sz w:val="32"/>
          <w:szCs w:val="32"/>
        </w:rPr>
      </w:pPr>
      <w:bookmarkStart w:id="186" w:name="_Toc16280"/>
      <w:bookmarkStart w:id="187" w:name="_Toc28549"/>
      <w:bookmarkStart w:id="188" w:name="_Toc11236"/>
      <w:bookmarkStart w:id="189" w:name="_Toc29045"/>
      <w:r>
        <w:rPr>
          <w:rFonts w:hint="eastAsia" w:ascii="宋体" w:hAnsi="宋体" w:eastAsia="宋体" w:cs="宋体"/>
          <w:color w:val="auto"/>
          <w:sz w:val="32"/>
          <w:szCs w:val="32"/>
        </w:rPr>
        <w:t>4、依法缴纳税收和社会保障资金</w:t>
      </w:r>
      <w:bookmarkEnd w:id="186"/>
      <w:bookmarkEnd w:id="187"/>
      <w:bookmarkEnd w:id="188"/>
      <w:bookmarkEnd w:id="189"/>
    </w:p>
    <w:p>
      <w:pPr>
        <w:pStyle w:val="193"/>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依法缴纳税收和社会保障资金的相关材料要求：</w:t>
      </w:r>
    </w:p>
    <w:p>
      <w:pPr>
        <w:pStyle w:val="193"/>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1.提供投标人税务登记证（国税、地税）和参加本项目采购活动前近三个月内相应税务机关出具的完税证明，包括缴纳增值税、企业所得税等凭据的复印件；</w:t>
      </w:r>
    </w:p>
    <w:p>
      <w:pPr>
        <w:pStyle w:val="193"/>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2.提供投标人社会保险登记证和参加政府采购活动前近三个月内缴纳社会保险的凭据（专用收据或社会保险缴纳清单）复印件；</w:t>
      </w:r>
    </w:p>
    <w:p>
      <w:pPr>
        <w:pStyle w:val="193"/>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3.依法免税或不需要缴纳社会保障资金的投标人，应提供相应文件证明其依法免税或不需要缴纳社会保障资金的材料复印件；</w:t>
      </w:r>
    </w:p>
    <w:p>
      <w:pPr>
        <w:pStyle w:val="193"/>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4、营业执照属于三证合一的，则不需要提供税务登记证复印件。营业执照属于五证合一的，则不需要提供税务登记证和社会保险登记证复印件。</w:t>
      </w:r>
    </w:p>
    <w:p>
      <w:pPr>
        <w:pStyle w:val="193"/>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rPr>
        <w:t>复印件须加盖投标人章。</w:t>
      </w:r>
    </w:p>
    <w:p>
      <w:pPr>
        <w:pStyle w:val="166"/>
        <w:spacing w:before="120" w:beforeLines="50" w:after="120" w:afterLines="50" w:line="360" w:lineRule="auto"/>
        <w:jc w:val="center"/>
        <w:rPr>
          <w:rFonts w:hint="eastAsia" w:ascii="宋体" w:hAnsi="宋体" w:eastAsia="宋体" w:cs="宋体"/>
          <w:b/>
          <w:color w:val="auto"/>
          <w:sz w:val="32"/>
          <w:szCs w:val="32"/>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docGrid w:linePitch="312" w:charSpace="0"/>
        </w:sectPr>
      </w:pPr>
    </w:p>
    <w:p>
      <w:pPr>
        <w:pStyle w:val="7"/>
        <w:spacing w:before="240" w:after="240"/>
        <w:ind w:firstLine="643" w:firstLineChars="200"/>
        <w:jc w:val="center"/>
        <w:rPr>
          <w:rFonts w:hint="eastAsia" w:ascii="宋体" w:hAnsi="宋体" w:eastAsia="宋体" w:cs="宋体"/>
          <w:color w:val="auto"/>
          <w:sz w:val="32"/>
          <w:szCs w:val="32"/>
        </w:rPr>
      </w:pPr>
      <w:bookmarkStart w:id="190" w:name="_Toc25842"/>
      <w:bookmarkStart w:id="191" w:name="_Toc19962"/>
      <w:bookmarkStart w:id="192" w:name="_Toc16596"/>
      <w:bookmarkStart w:id="193" w:name="_Toc30344"/>
      <w:bookmarkStart w:id="194" w:name="_Toc493956056"/>
      <w:r>
        <w:rPr>
          <w:rFonts w:hint="eastAsia" w:ascii="宋体" w:hAnsi="宋体" w:eastAsia="宋体" w:cs="宋体"/>
          <w:color w:val="auto"/>
          <w:sz w:val="32"/>
          <w:szCs w:val="32"/>
        </w:rPr>
        <w:t>5、资格声明</w:t>
      </w:r>
      <w:bookmarkEnd w:id="190"/>
      <w:bookmarkEnd w:id="191"/>
      <w:bookmarkEnd w:id="192"/>
      <w:bookmarkEnd w:id="193"/>
    </w:p>
    <w:p>
      <w:pPr>
        <w:pStyle w:val="166"/>
        <w:spacing w:line="520" w:lineRule="exact"/>
        <w:ind w:firstLine="480" w:firstLineChars="200"/>
        <w:rPr>
          <w:rFonts w:hint="eastAsia" w:ascii="宋体" w:hAnsi="宋体" w:eastAsia="宋体" w:cs="宋体"/>
          <w:b/>
          <w:color w:val="auto"/>
          <w:sz w:val="24"/>
          <w:szCs w:val="21"/>
        </w:rPr>
      </w:pPr>
      <w:r>
        <w:rPr>
          <w:rFonts w:hint="eastAsia" w:ascii="宋体" w:hAnsi="宋体" w:eastAsia="宋体" w:cs="宋体"/>
          <w:color w:val="auto"/>
          <w:sz w:val="24"/>
          <w:szCs w:val="21"/>
          <w:u w:val="single"/>
        </w:rPr>
        <w:t>（代理机构名称）</w:t>
      </w:r>
      <w:r>
        <w:rPr>
          <w:rFonts w:hint="eastAsia" w:ascii="宋体" w:hAnsi="宋体" w:eastAsia="宋体" w:cs="宋体"/>
          <w:color w:val="auto"/>
          <w:sz w:val="24"/>
          <w:szCs w:val="21"/>
        </w:rPr>
        <w:t>：</w:t>
      </w:r>
    </w:p>
    <w:p>
      <w:pPr>
        <w:pStyle w:val="164"/>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u w:val="single"/>
        </w:rPr>
        <w:t xml:space="preserve">    (投标人全称)  </w:t>
      </w:r>
      <w:r>
        <w:rPr>
          <w:rFonts w:hint="eastAsia" w:ascii="宋体" w:hAnsi="宋体" w:eastAsia="宋体" w:cs="宋体"/>
          <w:color w:val="auto"/>
          <w:sz w:val="24"/>
          <w:szCs w:val="21"/>
        </w:rPr>
        <w:t>系中华人民共和国合法企业，经营地址</w:t>
      </w:r>
      <w:r>
        <w:rPr>
          <w:rFonts w:hint="eastAsia" w:ascii="宋体" w:hAnsi="宋体" w:eastAsia="宋体" w:cs="宋体"/>
          <w:color w:val="auto"/>
          <w:sz w:val="24"/>
          <w:szCs w:val="21"/>
          <w:u w:val="single"/>
        </w:rPr>
        <w:t xml:space="preserve">         </w:t>
      </w:r>
      <w:r>
        <w:rPr>
          <w:rFonts w:hint="eastAsia" w:ascii="宋体" w:hAnsi="宋体" w:eastAsia="宋体" w:cs="宋体"/>
          <w:color w:val="auto"/>
          <w:sz w:val="24"/>
          <w:szCs w:val="21"/>
        </w:rPr>
        <w:t>。</w:t>
      </w:r>
    </w:p>
    <w:p>
      <w:pPr>
        <w:pStyle w:val="8"/>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1"/>
        </w:rPr>
        <w:t>我</w:t>
      </w:r>
      <w:r>
        <w:rPr>
          <w:rFonts w:hint="eastAsia" w:ascii="宋体" w:hAnsi="宋体" w:eastAsia="宋体" w:cs="宋体"/>
          <w:color w:val="auto"/>
          <w:sz w:val="24"/>
          <w:szCs w:val="21"/>
          <w:u w:val="single"/>
        </w:rPr>
        <w:t>(法定代表人或负责人名字)</w:t>
      </w:r>
      <w:r>
        <w:rPr>
          <w:rFonts w:hint="eastAsia" w:ascii="宋体" w:hAnsi="宋体" w:eastAsia="宋体" w:cs="宋体"/>
          <w:color w:val="auto"/>
          <w:sz w:val="24"/>
          <w:szCs w:val="21"/>
        </w:rPr>
        <w:t>系</w:t>
      </w:r>
      <w:r>
        <w:rPr>
          <w:rFonts w:hint="eastAsia" w:ascii="宋体" w:hAnsi="宋体" w:eastAsia="宋体" w:cs="宋体"/>
          <w:color w:val="auto"/>
          <w:sz w:val="24"/>
          <w:szCs w:val="21"/>
          <w:u w:val="single"/>
        </w:rPr>
        <w:t xml:space="preserve">    (投标人名称)       </w:t>
      </w:r>
      <w:r>
        <w:rPr>
          <w:rFonts w:hint="eastAsia" w:ascii="宋体" w:hAnsi="宋体" w:eastAsia="宋体" w:cs="宋体"/>
          <w:color w:val="auto"/>
          <w:sz w:val="24"/>
          <w:szCs w:val="21"/>
        </w:rPr>
        <w:t>为负责人，我方愿意参加贵方组织的</w:t>
      </w:r>
      <w:r>
        <w:rPr>
          <w:rFonts w:hint="eastAsia" w:ascii="宋体" w:hAnsi="宋体" w:eastAsia="宋体" w:cs="宋体"/>
          <w:color w:val="auto"/>
          <w:sz w:val="24"/>
          <w:szCs w:val="21"/>
          <w:u w:val="single"/>
        </w:rPr>
        <w:t xml:space="preserve">    （项目名称）（采购编号：   ）</w:t>
      </w:r>
      <w:r>
        <w:rPr>
          <w:rFonts w:hint="eastAsia" w:ascii="宋体" w:hAnsi="宋体" w:eastAsia="宋体" w:cs="宋体"/>
          <w:color w:val="auto"/>
          <w:sz w:val="24"/>
          <w:szCs w:val="21"/>
        </w:rPr>
        <w:t>的投标。为便于贵方公正、择优地确定中标人以及投标产品和服务，我方就本次投标有关事项证明如下：</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（一）名称及概况：</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1．企业名称：________________________________________________ </w:t>
      </w:r>
    </w:p>
    <w:p>
      <w:pPr>
        <w:pStyle w:val="171"/>
        <w:spacing w:line="520" w:lineRule="exact"/>
        <w:ind w:firstLine="480" w:firstLineChars="200"/>
        <w:rPr>
          <w:rFonts w:hint="eastAsia" w:ascii="宋体" w:hAnsi="宋体" w:eastAsia="宋体" w:cs="宋体"/>
          <w:b/>
          <w:bCs/>
          <w:color w:val="auto"/>
          <w:sz w:val="24"/>
        </w:rPr>
      </w:pPr>
      <w:r>
        <w:rPr>
          <w:rFonts w:hint="eastAsia" w:ascii="宋体" w:hAnsi="宋体" w:eastAsia="宋体" w:cs="宋体"/>
          <w:color w:val="auto"/>
          <w:sz w:val="24"/>
          <w:szCs w:val="21"/>
        </w:rPr>
        <w:t>银行开户名称：________________________________________________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    开户银行：_________________________________________________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    账    号：________________________________________________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企业详细地址：________________________________________________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    传    真： ________________________________________________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    电    话： ________________________________________________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2．负责人姓名：___________________________________________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3．项目联系人：姓名__________职务：______电话______手机______</w:t>
      </w:r>
    </w:p>
    <w:p>
      <w:pPr>
        <w:pStyle w:val="171"/>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szCs w:val="21"/>
        </w:rPr>
        <w:t>4．注册地址：________________________________________________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5．注册资金：________________________________________________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自有资金：______________________________________________________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企业人数：_</w:t>
      </w:r>
      <w:r>
        <w:rPr>
          <w:rFonts w:hint="eastAsia" w:ascii="宋体" w:hAnsi="宋体" w:eastAsia="宋体" w:cs="宋体"/>
          <w:b/>
          <w:bCs/>
          <w:color w:val="auto"/>
          <w:sz w:val="24"/>
          <w:szCs w:val="21"/>
        </w:rPr>
        <w:t xml:space="preserve"> </w:t>
      </w:r>
      <w:r>
        <w:rPr>
          <w:rFonts w:hint="eastAsia" w:ascii="宋体" w:hAnsi="宋体" w:eastAsia="宋体" w:cs="宋体"/>
          <w:color w:val="auto"/>
          <w:sz w:val="24"/>
          <w:szCs w:val="21"/>
        </w:rPr>
        <w:t>______</w:t>
      </w:r>
      <w:r>
        <w:rPr>
          <w:rFonts w:hint="eastAsia" w:ascii="宋体" w:hAnsi="宋体" w:eastAsia="宋体" w:cs="宋体"/>
          <w:b/>
          <w:bCs/>
          <w:color w:val="auto"/>
          <w:sz w:val="24"/>
          <w:szCs w:val="21"/>
        </w:rPr>
        <w:t>_</w:t>
      </w:r>
      <w:r>
        <w:rPr>
          <w:rFonts w:hint="eastAsia" w:ascii="宋体" w:hAnsi="宋体" w:eastAsia="宋体" w:cs="宋体"/>
          <w:color w:val="auto"/>
          <w:sz w:val="24"/>
          <w:szCs w:val="21"/>
        </w:rPr>
        <w:t>人</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6．企业性质：____________</w:t>
      </w:r>
      <w:r>
        <w:rPr>
          <w:rFonts w:hint="eastAsia" w:ascii="宋体" w:hAnsi="宋体" w:eastAsia="宋体" w:cs="宋体"/>
          <w:color w:val="auto"/>
          <w:sz w:val="24"/>
        </w:rPr>
        <w:t>股份有限公司</w:t>
      </w:r>
      <w:r>
        <w:rPr>
          <w:rFonts w:hint="eastAsia" w:ascii="宋体" w:hAnsi="宋体" w:eastAsia="宋体" w:cs="宋体"/>
          <w:color w:val="auto"/>
          <w:sz w:val="24"/>
          <w:szCs w:val="21"/>
        </w:rPr>
        <w:t xml:space="preserve">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7．主要经营地点：________________________________________________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如有派出机构，请列出名称及详细通讯地址如下：</w:t>
      </w:r>
      <w:r>
        <w:rPr>
          <w:rFonts w:hint="eastAsia" w:ascii="宋体" w:hAnsi="宋体" w:eastAsia="宋体" w:cs="宋体"/>
          <w:color w:val="auto"/>
          <w:sz w:val="24"/>
          <w:szCs w:val="21"/>
          <w:u w:val="single"/>
        </w:rPr>
        <w:t xml:space="preserve">               </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8.必需的设备：_______________________________________________</w:t>
      </w:r>
    </w:p>
    <w:p>
      <w:pPr>
        <w:pStyle w:val="171"/>
        <w:spacing w:line="520" w:lineRule="exact"/>
        <w:ind w:firstLine="480" w:firstLineChars="200"/>
        <w:jc w:val="left"/>
        <w:rPr>
          <w:rFonts w:hint="eastAsia" w:ascii="宋体" w:hAnsi="宋体" w:eastAsia="宋体" w:cs="宋体"/>
          <w:color w:val="auto"/>
          <w:sz w:val="24"/>
          <w:szCs w:val="21"/>
        </w:rPr>
      </w:pPr>
      <w:r>
        <w:rPr>
          <w:rFonts w:hint="eastAsia" w:ascii="宋体" w:hAnsi="宋体" w:eastAsia="宋体" w:cs="宋体"/>
          <w:color w:val="auto"/>
          <w:sz w:val="24"/>
          <w:szCs w:val="21"/>
        </w:rPr>
        <w:t>9.专业技术能力的证明材料：__________________________</w:t>
      </w:r>
    </w:p>
    <w:p>
      <w:pPr>
        <w:pStyle w:val="171"/>
        <w:spacing w:line="52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兹证明上述声明是真实、正确的，并提供了全部能提供的资料和数据，我们同意遵照贵方要求出示有关证明文件。</w:t>
      </w:r>
    </w:p>
    <w:p>
      <w:pPr>
        <w:pStyle w:val="171"/>
        <w:spacing w:line="520" w:lineRule="exact"/>
        <w:ind w:firstLine="480" w:firstLineChars="200"/>
        <w:rPr>
          <w:rFonts w:hint="eastAsia" w:ascii="宋体" w:hAnsi="宋体" w:eastAsia="宋体" w:cs="宋体"/>
          <w:color w:val="auto"/>
          <w:sz w:val="24"/>
          <w:szCs w:val="21"/>
        </w:rPr>
      </w:pP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投标人盖章：</w:t>
      </w:r>
      <w:r>
        <w:rPr>
          <w:rFonts w:hint="eastAsia" w:ascii="宋体" w:hAnsi="宋体" w:eastAsia="宋体" w:cs="宋体"/>
          <w:color w:val="auto"/>
          <w:spacing w:val="20"/>
          <w:sz w:val="24"/>
          <w:u w:val="single"/>
        </w:rPr>
        <w:t xml:space="preserve">            </w:t>
      </w: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pStyle w:val="8"/>
        <w:spacing w:line="520" w:lineRule="exact"/>
        <w:ind w:firstLine="0"/>
        <w:rPr>
          <w:rFonts w:hint="eastAsia" w:ascii="宋体" w:hAnsi="宋体" w:eastAsia="宋体" w:cs="宋体"/>
          <w:b/>
          <w:color w:val="auto"/>
          <w:sz w:val="24"/>
          <w:szCs w:val="24"/>
        </w:rPr>
      </w:pPr>
    </w:p>
    <w:p>
      <w:pPr>
        <w:pStyle w:val="8"/>
        <w:spacing w:line="52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w:t>
      </w:r>
    </w:p>
    <w:p>
      <w:pPr>
        <w:pStyle w:val="8"/>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1.上表8、9项内容可自行添加（格式自拟）。</w:t>
      </w:r>
    </w:p>
    <w:p>
      <w:pPr>
        <w:pStyle w:val="8"/>
        <w:spacing w:line="360" w:lineRule="auto"/>
        <w:ind w:firstLine="0"/>
        <w:rPr>
          <w:rFonts w:hint="eastAsia" w:ascii="宋体" w:hAnsi="宋体" w:eastAsia="宋体" w:cs="宋体"/>
          <w:color w:val="auto"/>
          <w:sz w:val="24"/>
          <w:szCs w:val="24"/>
        </w:rPr>
      </w:pPr>
    </w:p>
    <w:p>
      <w:pPr>
        <w:pStyle w:val="8"/>
        <w:spacing w:line="360" w:lineRule="auto"/>
        <w:rPr>
          <w:rFonts w:hint="eastAsia" w:ascii="宋体" w:hAnsi="宋体" w:eastAsia="宋体" w:cs="宋体"/>
          <w:color w:val="auto"/>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docGrid w:linePitch="312" w:charSpace="0"/>
        </w:sectPr>
      </w:pPr>
    </w:p>
    <w:p>
      <w:pPr>
        <w:pStyle w:val="7"/>
        <w:spacing w:before="240" w:after="240"/>
        <w:ind w:firstLine="643" w:firstLineChars="200"/>
        <w:jc w:val="center"/>
        <w:rPr>
          <w:rFonts w:hint="eastAsia" w:ascii="宋体" w:hAnsi="宋体" w:eastAsia="宋体" w:cs="宋体"/>
          <w:color w:val="auto"/>
          <w:sz w:val="32"/>
          <w:szCs w:val="32"/>
        </w:rPr>
      </w:pPr>
      <w:bookmarkStart w:id="195" w:name="_Toc7293"/>
      <w:bookmarkStart w:id="196" w:name="_Toc32508"/>
      <w:bookmarkStart w:id="197" w:name="_Toc30544"/>
      <w:bookmarkStart w:id="198" w:name="_Toc19767"/>
      <w:r>
        <w:rPr>
          <w:rFonts w:hint="eastAsia" w:ascii="宋体" w:hAnsi="宋体" w:eastAsia="宋体" w:cs="宋体"/>
          <w:color w:val="auto"/>
          <w:sz w:val="32"/>
          <w:szCs w:val="32"/>
        </w:rPr>
        <w:t>6、无重大违法记录声明书</w:t>
      </w:r>
      <w:bookmarkEnd w:id="194"/>
      <w:bookmarkEnd w:id="195"/>
      <w:bookmarkEnd w:id="196"/>
      <w:bookmarkEnd w:id="197"/>
      <w:bookmarkEnd w:id="198"/>
    </w:p>
    <w:p>
      <w:pPr>
        <w:pStyle w:val="166"/>
        <w:spacing w:line="440" w:lineRule="exact"/>
        <w:ind w:firstLine="624" w:firstLineChars="200"/>
        <w:rPr>
          <w:rFonts w:hint="eastAsia" w:ascii="宋体" w:hAnsi="宋体" w:eastAsia="宋体" w:cs="宋体"/>
          <w:color w:val="auto"/>
          <w:spacing w:val="6"/>
          <w:sz w:val="30"/>
          <w:szCs w:val="30"/>
          <w:u w:val="single"/>
        </w:rPr>
      </w:pPr>
      <w:r>
        <w:rPr>
          <w:rFonts w:hint="eastAsia" w:ascii="宋体" w:hAnsi="宋体" w:eastAsia="宋体" w:cs="宋体"/>
          <w:color w:val="auto"/>
          <w:spacing w:val="6"/>
          <w:sz w:val="30"/>
          <w:szCs w:val="30"/>
          <w:u w:val="single"/>
        </w:rPr>
        <w:t>（代理机构名称）：</w:t>
      </w:r>
    </w:p>
    <w:p>
      <w:pPr>
        <w:pStyle w:val="176"/>
        <w:spacing w:before="120" w:beforeLines="50" w:line="480" w:lineRule="auto"/>
        <w:ind w:firstLine="624" w:firstLineChars="200"/>
        <w:rPr>
          <w:rFonts w:hint="eastAsia" w:ascii="宋体" w:hAnsi="宋体" w:eastAsia="宋体" w:cs="宋体"/>
          <w:color w:val="auto"/>
          <w:spacing w:val="6"/>
          <w:sz w:val="30"/>
          <w:szCs w:val="30"/>
        </w:rPr>
      </w:pPr>
      <w:r>
        <w:rPr>
          <w:rFonts w:hint="eastAsia" w:ascii="宋体" w:hAnsi="宋体" w:eastAsia="宋体" w:cs="宋体"/>
          <w:color w:val="auto"/>
          <w:spacing w:val="6"/>
          <w:sz w:val="30"/>
          <w:szCs w:val="30"/>
        </w:rPr>
        <w:t xml:space="preserve"> 我方参与的</w:t>
      </w:r>
      <w:r>
        <w:rPr>
          <w:rFonts w:hint="eastAsia" w:ascii="宋体" w:hAnsi="宋体" w:eastAsia="宋体" w:cs="宋体"/>
          <w:color w:val="auto"/>
          <w:spacing w:val="6"/>
          <w:sz w:val="30"/>
          <w:szCs w:val="30"/>
          <w:u w:val="single"/>
        </w:rPr>
        <w:t xml:space="preserve">                         </w:t>
      </w:r>
      <w:r>
        <w:rPr>
          <w:rFonts w:hint="eastAsia" w:ascii="宋体" w:hAnsi="宋体" w:eastAsia="宋体" w:cs="宋体"/>
          <w:color w:val="auto"/>
          <w:spacing w:val="6"/>
          <w:sz w:val="30"/>
          <w:szCs w:val="30"/>
        </w:rPr>
        <w:t>（采购项目名称）（采购编号：</w:t>
      </w:r>
      <w:r>
        <w:rPr>
          <w:rFonts w:hint="eastAsia" w:ascii="宋体" w:hAnsi="宋体" w:eastAsia="宋体" w:cs="宋体"/>
          <w:color w:val="auto"/>
          <w:spacing w:val="6"/>
          <w:sz w:val="30"/>
          <w:szCs w:val="30"/>
          <w:u w:val="single"/>
        </w:rPr>
        <w:t>　　  　　</w:t>
      </w:r>
      <w:r>
        <w:rPr>
          <w:rFonts w:hint="eastAsia" w:ascii="宋体" w:hAnsi="宋体" w:eastAsia="宋体" w:cs="宋体"/>
          <w:color w:val="auto"/>
          <w:spacing w:val="6"/>
          <w:sz w:val="30"/>
          <w:szCs w:val="30"/>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76"/>
        <w:spacing w:line="480" w:lineRule="auto"/>
        <w:ind w:firstLine="624" w:firstLineChars="200"/>
        <w:rPr>
          <w:rFonts w:hint="eastAsia" w:ascii="宋体" w:hAnsi="宋体" w:eastAsia="宋体" w:cs="宋体"/>
          <w:color w:val="auto"/>
          <w:spacing w:val="6"/>
          <w:sz w:val="30"/>
          <w:szCs w:val="30"/>
        </w:rPr>
      </w:pPr>
      <w:r>
        <w:rPr>
          <w:rFonts w:hint="eastAsia" w:ascii="宋体" w:hAnsi="宋体" w:eastAsia="宋体" w:cs="宋体"/>
          <w:color w:val="auto"/>
          <w:spacing w:val="6"/>
          <w:sz w:val="30"/>
          <w:szCs w:val="30"/>
        </w:rPr>
        <w:tab/>
      </w:r>
      <w:r>
        <w:rPr>
          <w:rFonts w:hint="eastAsia" w:ascii="宋体" w:hAnsi="宋体" w:eastAsia="宋体" w:cs="宋体"/>
          <w:color w:val="auto"/>
          <w:spacing w:val="6"/>
          <w:sz w:val="30"/>
          <w:szCs w:val="30"/>
        </w:rPr>
        <w:t>特此声明。</w:t>
      </w:r>
    </w:p>
    <w:p>
      <w:pPr>
        <w:pStyle w:val="175"/>
        <w:jc w:val="center"/>
        <w:rPr>
          <w:rFonts w:hint="eastAsia" w:ascii="宋体" w:hAnsi="宋体" w:eastAsia="宋体" w:cs="宋体"/>
          <w:color w:val="auto"/>
          <w:sz w:val="30"/>
        </w:rPr>
      </w:pPr>
    </w:p>
    <w:p>
      <w:pPr>
        <w:pStyle w:val="175"/>
        <w:jc w:val="center"/>
        <w:rPr>
          <w:rFonts w:hint="eastAsia" w:ascii="宋体" w:hAnsi="宋体" w:eastAsia="宋体" w:cs="宋体"/>
          <w:color w:val="auto"/>
          <w:sz w:val="30"/>
        </w:rPr>
      </w:pPr>
    </w:p>
    <w:p>
      <w:pPr>
        <w:pStyle w:val="175"/>
        <w:jc w:val="center"/>
        <w:rPr>
          <w:rFonts w:hint="eastAsia" w:ascii="宋体" w:hAnsi="宋体" w:eastAsia="宋体" w:cs="宋体"/>
          <w:color w:val="auto"/>
          <w:sz w:val="30"/>
        </w:rPr>
      </w:pPr>
    </w:p>
    <w:p>
      <w:pPr>
        <w:pStyle w:val="175"/>
        <w:jc w:val="center"/>
        <w:rPr>
          <w:rFonts w:hint="eastAsia" w:ascii="宋体" w:hAnsi="宋体" w:eastAsia="宋体" w:cs="宋体"/>
          <w:color w:val="auto"/>
          <w:sz w:val="30"/>
        </w:rPr>
      </w:pPr>
    </w:p>
    <w:p>
      <w:pPr>
        <w:pStyle w:val="171"/>
        <w:spacing w:line="520" w:lineRule="exact"/>
        <w:ind w:firstLine="2380" w:firstLineChars="850"/>
        <w:rPr>
          <w:rFonts w:hint="eastAsia" w:ascii="宋体" w:hAnsi="宋体" w:eastAsia="宋体" w:cs="宋体"/>
          <w:color w:val="auto"/>
          <w:spacing w:val="20"/>
          <w:sz w:val="24"/>
        </w:rPr>
      </w:pP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投标人盖章：</w:t>
      </w:r>
      <w:r>
        <w:rPr>
          <w:rFonts w:hint="eastAsia" w:ascii="宋体" w:hAnsi="宋体" w:eastAsia="宋体" w:cs="宋体"/>
          <w:color w:val="auto"/>
          <w:spacing w:val="20"/>
          <w:sz w:val="24"/>
          <w:u w:val="single"/>
        </w:rPr>
        <w:t xml:space="preserve">            </w:t>
      </w: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pStyle w:val="175"/>
        <w:jc w:val="center"/>
        <w:rPr>
          <w:rFonts w:hint="eastAsia" w:ascii="宋体" w:hAnsi="宋体" w:eastAsia="宋体" w:cs="宋体"/>
          <w:color w:val="auto"/>
          <w:sz w:val="30"/>
        </w:rPr>
      </w:pPr>
    </w:p>
    <w:p>
      <w:pPr>
        <w:pStyle w:val="175"/>
        <w:jc w:val="center"/>
        <w:rPr>
          <w:rFonts w:hint="eastAsia" w:ascii="宋体" w:hAnsi="宋体" w:eastAsia="宋体" w:cs="宋体"/>
          <w:color w:val="auto"/>
          <w:sz w:val="30"/>
        </w:rPr>
      </w:pPr>
    </w:p>
    <w:p>
      <w:pPr>
        <w:pStyle w:val="175"/>
        <w:rPr>
          <w:rFonts w:hint="eastAsia" w:ascii="宋体" w:hAnsi="宋体" w:eastAsia="宋体" w:cs="宋体"/>
          <w:color w:val="auto"/>
          <w:sz w:val="30"/>
        </w:rPr>
      </w:pPr>
    </w:p>
    <w:p>
      <w:pPr>
        <w:pStyle w:val="7"/>
        <w:ind w:left="0" w:leftChars="0" w:firstLine="600" w:firstLineChars="200"/>
        <w:jc w:val="center"/>
        <w:rPr>
          <w:rFonts w:hint="eastAsia" w:ascii="宋体" w:hAnsi="宋体" w:eastAsia="宋体" w:cs="宋体"/>
          <w:b w:val="0"/>
          <w:bCs w:val="0"/>
          <w:color w:val="auto"/>
        </w:rPr>
      </w:pPr>
      <w:r>
        <w:rPr>
          <w:rFonts w:hint="eastAsia" w:ascii="宋体" w:hAnsi="宋体" w:eastAsia="宋体" w:cs="宋体"/>
          <w:b w:val="0"/>
          <w:bCs w:val="0"/>
          <w:color w:val="auto"/>
        </w:rPr>
        <w:br w:type="page"/>
      </w:r>
      <w:bookmarkStart w:id="199" w:name="_Toc20268"/>
      <w:bookmarkStart w:id="200" w:name="_Toc14347"/>
    </w:p>
    <w:p>
      <w:pPr>
        <w:pStyle w:val="7"/>
        <w:ind w:left="0" w:leftChars="0" w:firstLine="0" w:firstLineChars="0"/>
        <w:jc w:val="center"/>
        <w:rPr>
          <w:rFonts w:hint="eastAsia" w:ascii="宋体" w:hAnsi="宋体" w:eastAsia="宋体" w:cs="宋体"/>
          <w:b w:val="0"/>
          <w:bCs w:val="0"/>
          <w:color w:val="auto"/>
        </w:rPr>
      </w:pPr>
    </w:p>
    <w:p>
      <w:pPr>
        <w:pStyle w:val="7"/>
        <w:ind w:left="0" w:leftChars="0" w:firstLine="0" w:firstLineChars="0"/>
        <w:jc w:val="center"/>
        <w:rPr>
          <w:rFonts w:hint="eastAsia" w:ascii="宋体" w:hAnsi="宋体" w:eastAsia="宋体" w:cs="宋体"/>
          <w:b w:val="0"/>
          <w:bCs w:val="0"/>
          <w:color w:val="auto"/>
        </w:rPr>
      </w:pPr>
    </w:p>
    <w:p>
      <w:pPr>
        <w:pStyle w:val="7"/>
        <w:ind w:left="0" w:leftChars="0" w:firstLine="0" w:firstLineChars="0"/>
        <w:jc w:val="center"/>
        <w:rPr>
          <w:rFonts w:hint="eastAsia" w:ascii="宋体" w:hAnsi="宋体" w:eastAsia="宋体" w:cs="宋体"/>
          <w:b w:val="0"/>
          <w:bCs w:val="0"/>
          <w:color w:val="auto"/>
        </w:rPr>
      </w:pPr>
    </w:p>
    <w:p>
      <w:pPr>
        <w:pStyle w:val="7"/>
        <w:ind w:left="0" w:leftChars="0" w:firstLine="0" w:firstLineChars="0"/>
        <w:jc w:val="center"/>
        <w:rPr>
          <w:rFonts w:hint="eastAsia" w:ascii="宋体" w:hAnsi="宋体" w:eastAsia="宋体" w:cs="宋体"/>
          <w:b w:val="0"/>
          <w:bCs w:val="0"/>
          <w:color w:val="auto"/>
        </w:rPr>
      </w:pPr>
    </w:p>
    <w:p>
      <w:pPr>
        <w:pStyle w:val="7"/>
        <w:ind w:left="0" w:leftChars="0" w:firstLine="600" w:firstLineChars="200"/>
        <w:jc w:val="center"/>
        <w:rPr>
          <w:rFonts w:hint="eastAsia" w:ascii="宋体" w:hAnsi="宋体" w:eastAsia="宋体" w:cs="宋体"/>
          <w:b w:val="0"/>
          <w:bCs w:val="0"/>
          <w:color w:val="auto"/>
          <w:lang w:eastAsia="zh-CN"/>
        </w:rPr>
      </w:pPr>
      <w:bookmarkStart w:id="201" w:name="_Toc4710"/>
      <w:r>
        <w:rPr>
          <w:rFonts w:hint="eastAsia" w:ascii="宋体" w:hAnsi="宋体" w:eastAsia="宋体" w:cs="宋体"/>
          <w:b w:val="0"/>
          <w:bCs w:val="0"/>
          <w:color w:val="auto"/>
        </w:rPr>
        <w:t>二  资信商务</w:t>
      </w:r>
      <w:r>
        <w:rPr>
          <w:rFonts w:hint="eastAsia" w:ascii="宋体" w:hAnsi="宋体" w:eastAsia="宋体" w:cs="宋体"/>
          <w:b w:val="0"/>
          <w:bCs w:val="0"/>
          <w:color w:val="auto"/>
          <w:lang w:eastAsia="zh-CN"/>
        </w:rPr>
        <w:t>及技术</w:t>
      </w:r>
      <w:r>
        <w:rPr>
          <w:rFonts w:hint="eastAsia" w:ascii="宋体" w:hAnsi="宋体" w:eastAsia="宋体" w:cs="宋体"/>
          <w:b w:val="0"/>
          <w:bCs w:val="0"/>
          <w:color w:val="auto"/>
        </w:rPr>
        <w:t>文件</w:t>
      </w:r>
      <w:r>
        <w:rPr>
          <w:rFonts w:hint="eastAsia" w:ascii="宋体" w:hAnsi="宋体" w:eastAsia="宋体" w:cs="宋体"/>
          <w:b w:val="0"/>
          <w:bCs w:val="0"/>
          <w:color w:val="auto"/>
          <w:lang w:eastAsia="zh-CN"/>
        </w:rPr>
        <w:t>格式</w:t>
      </w:r>
      <w:bookmarkEnd w:id="199"/>
      <w:bookmarkEnd w:id="200"/>
      <w:bookmarkEnd w:id="201"/>
    </w:p>
    <w:p>
      <w:pPr>
        <w:pStyle w:val="3"/>
        <w:rPr>
          <w:rFonts w:hint="eastAsia" w:ascii="宋体" w:hAnsi="宋体"/>
          <w:sz w:val="30"/>
        </w:rPr>
      </w:pPr>
    </w:p>
    <w:p>
      <w:pPr>
        <w:pStyle w:val="7"/>
        <w:ind w:firstLine="600" w:firstLineChars="200"/>
        <w:jc w:val="center"/>
        <w:rPr>
          <w:rFonts w:hint="eastAsia" w:ascii="宋体" w:hAnsi="宋体" w:eastAsia="宋体" w:cs="宋体"/>
          <w:b w:val="0"/>
          <w:bCs w:val="0"/>
          <w:color w:val="auto"/>
          <w:lang w:eastAsia="zh-CN"/>
        </w:rPr>
      </w:pPr>
      <w:bookmarkStart w:id="202" w:name="_Toc13909"/>
      <w:r>
        <w:rPr>
          <w:rFonts w:hint="eastAsia" w:ascii="宋体" w:hAnsi="宋体" w:eastAsia="宋体" w:cs="宋体"/>
          <w:b w:val="0"/>
          <w:bCs w:val="0"/>
          <w:color w:val="auto"/>
          <w:lang w:eastAsia="zh-CN"/>
        </w:rPr>
        <w:t>（一）资信及商务部分</w:t>
      </w:r>
      <w:bookmarkEnd w:id="202"/>
    </w:p>
    <w:p>
      <w:pPr>
        <w:spacing w:line="360" w:lineRule="auto"/>
        <w:jc w:val="left"/>
        <w:rPr>
          <w:rFonts w:hint="eastAsia" w:ascii="宋体" w:hAnsi="宋体" w:eastAsia="宋体" w:cs="宋体"/>
          <w:color w:val="auto"/>
          <w:sz w:val="30"/>
        </w:rPr>
      </w:pPr>
    </w:p>
    <w:bookmarkEnd w:id="157"/>
    <w:bookmarkEnd w:id="158"/>
    <w:bookmarkEnd w:id="159"/>
    <w:bookmarkEnd w:id="160"/>
    <w:p>
      <w:pPr>
        <w:pStyle w:val="7"/>
        <w:keepNext/>
        <w:keepLines/>
        <w:pageBreakBefore/>
        <w:widowControl w:val="0"/>
        <w:kinsoku/>
        <w:wordWrap/>
        <w:overflowPunct/>
        <w:topLinePunct w:val="0"/>
        <w:autoSpaceDE/>
        <w:autoSpaceDN/>
        <w:bidi w:val="0"/>
        <w:adjustRightInd/>
        <w:snapToGrid/>
        <w:spacing w:before="240" w:after="240"/>
        <w:ind w:firstLine="643" w:firstLineChars="200"/>
        <w:jc w:val="center"/>
        <w:textAlignment w:val="auto"/>
        <w:rPr>
          <w:rFonts w:hint="eastAsia" w:ascii="宋体" w:hAnsi="宋体" w:eastAsia="宋体" w:cs="宋体"/>
          <w:sz w:val="32"/>
          <w:szCs w:val="32"/>
        </w:rPr>
      </w:pPr>
      <w:bookmarkStart w:id="203" w:name="_Toc26569"/>
      <w:bookmarkStart w:id="204" w:name="_Toc5612"/>
      <w:bookmarkStart w:id="205" w:name="_Toc105230662"/>
      <w:bookmarkStart w:id="206" w:name="_Toc173728539"/>
      <w:r>
        <w:rPr>
          <w:rFonts w:hint="eastAsia" w:ascii="宋体" w:hAnsi="宋体" w:eastAsia="宋体" w:cs="宋体"/>
          <w:sz w:val="32"/>
          <w:szCs w:val="32"/>
        </w:rPr>
        <w:t>1、投标声明书</w:t>
      </w:r>
      <w:bookmarkEnd w:id="203"/>
      <w:bookmarkEnd w:id="204"/>
    </w:p>
    <w:p>
      <w:pPr>
        <w:pStyle w:val="164"/>
        <w:tabs>
          <w:tab w:val="left" w:pos="0"/>
        </w:tabs>
        <w:spacing w:line="440" w:lineRule="exact"/>
        <w:ind w:firstLine="480" w:firstLineChars="200"/>
        <w:rPr>
          <w:rFonts w:hint="eastAsia" w:hAnsi="宋体" w:cs="宋体"/>
          <w:sz w:val="24"/>
          <w:szCs w:val="21"/>
        </w:rPr>
      </w:pPr>
      <w:r>
        <w:rPr>
          <w:rFonts w:hint="eastAsia" w:hAnsi="宋体" w:cs="宋体"/>
          <w:sz w:val="24"/>
          <w:szCs w:val="21"/>
          <w:lang w:eastAsia="zh-CN"/>
        </w:rPr>
        <w:t>丽水市中兴工程咨询有限公司</w:t>
      </w:r>
      <w:r>
        <w:rPr>
          <w:rFonts w:hint="eastAsia" w:hAnsi="宋体" w:cs="宋体"/>
          <w:sz w:val="24"/>
          <w:szCs w:val="21"/>
        </w:rPr>
        <w:t>：</w:t>
      </w:r>
    </w:p>
    <w:p>
      <w:pPr>
        <w:pStyle w:val="164"/>
        <w:spacing w:line="440" w:lineRule="exact"/>
        <w:ind w:firstLine="480" w:firstLineChars="200"/>
        <w:rPr>
          <w:rFonts w:hint="eastAsia" w:hAnsi="宋体" w:cs="宋体"/>
          <w:sz w:val="24"/>
          <w:szCs w:val="21"/>
        </w:rPr>
      </w:pPr>
      <w:r>
        <w:rPr>
          <w:rFonts w:hint="eastAsia" w:hAnsi="宋体" w:cs="宋体"/>
          <w:sz w:val="24"/>
          <w:szCs w:val="21"/>
          <w:u w:val="single"/>
        </w:rPr>
        <w:t xml:space="preserve">        (投标人全称</w:t>
      </w:r>
      <w:r>
        <w:rPr>
          <w:rFonts w:hint="eastAsia" w:hAnsi="宋体" w:cs="宋体"/>
          <w:sz w:val="24"/>
          <w:szCs w:val="21"/>
        </w:rPr>
        <w:t>)系中华人民共和国合法企业，经营地址</w:t>
      </w:r>
      <w:r>
        <w:rPr>
          <w:rFonts w:hint="eastAsia" w:hAnsi="宋体" w:cs="宋体"/>
          <w:sz w:val="24"/>
          <w:szCs w:val="21"/>
          <w:u w:val="single"/>
        </w:rPr>
        <w:t xml:space="preserve">         </w:t>
      </w:r>
      <w:r>
        <w:rPr>
          <w:rFonts w:hint="eastAsia" w:hAnsi="宋体" w:cs="宋体"/>
          <w:sz w:val="24"/>
          <w:szCs w:val="21"/>
        </w:rPr>
        <w:t>。</w:t>
      </w:r>
    </w:p>
    <w:p>
      <w:pPr>
        <w:pStyle w:val="164"/>
        <w:spacing w:line="440" w:lineRule="exact"/>
        <w:ind w:firstLine="480" w:firstLineChars="200"/>
        <w:rPr>
          <w:rFonts w:hint="eastAsia" w:hAnsi="宋体" w:cs="宋体"/>
          <w:sz w:val="24"/>
          <w:szCs w:val="21"/>
        </w:rPr>
      </w:pPr>
      <w:r>
        <w:rPr>
          <w:rFonts w:hint="eastAsia" w:hAnsi="宋体" w:cs="宋体"/>
          <w:sz w:val="24"/>
          <w:szCs w:val="21"/>
        </w:rPr>
        <w:t>我</w:t>
      </w:r>
      <w:r>
        <w:rPr>
          <w:rFonts w:hint="eastAsia" w:hAnsi="宋体" w:cs="宋体"/>
          <w:sz w:val="24"/>
          <w:szCs w:val="21"/>
          <w:u w:val="single"/>
        </w:rPr>
        <w:t>(法定代表人或负责人名字)</w:t>
      </w:r>
      <w:r>
        <w:rPr>
          <w:rFonts w:hint="eastAsia" w:hAnsi="宋体" w:cs="宋体"/>
          <w:sz w:val="24"/>
          <w:szCs w:val="21"/>
        </w:rPr>
        <w:t>系</w:t>
      </w:r>
      <w:r>
        <w:rPr>
          <w:rFonts w:hint="eastAsia" w:hAnsi="宋体" w:cs="宋体"/>
          <w:sz w:val="24"/>
          <w:szCs w:val="21"/>
          <w:u w:val="single"/>
        </w:rPr>
        <w:t xml:space="preserve">    (</w:t>
      </w:r>
      <w:r>
        <w:rPr>
          <w:rFonts w:hint="eastAsia" w:hAnsi="宋体" w:cs="宋体"/>
          <w:sz w:val="24"/>
          <w:szCs w:val="21"/>
          <w:u w:val="single"/>
          <w:lang w:eastAsia="zh-CN"/>
        </w:rPr>
        <w:t>投标人</w:t>
      </w:r>
      <w:r>
        <w:rPr>
          <w:rFonts w:hint="eastAsia" w:hAnsi="宋体" w:cs="宋体"/>
          <w:sz w:val="24"/>
          <w:szCs w:val="21"/>
          <w:u w:val="single"/>
        </w:rPr>
        <w:t xml:space="preserve">名称)       </w:t>
      </w:r>
      <w:r>
        <w:rPr>
          <w:rFonts w:hint="eastAsia" w:hAnsi="宋体" w:cs="宋体"/>
          <w:sz w:val="24"/>
          <w:szCs w:val="21"/>
        </w:rPr>
        <w:t>为负责人，我方愿意参加贵方组织的</w:t>
      </w:r>
      <w:r>
        <w:rPr>
          <w:rFonts w:hint="eastAsia" w:hAnsi="宋体" w:cs="宋体"/>
          <w:sz w:val="24"/>
          <w:szCs w:val="21"/>
          <w:u w:val="single"/>
        </w:rPr>
        <w:t xml:space="preserve">    </w:t>
      </w:r>
      <w:r>
        <w:rPr>
          <w:rFonts w:hint="eastAsia" w:hAnsi="宋体" w:cs="宋体"/>
          <w:sz w:val="24"/>
          <w:u w:val="single"/>
        </w:rPr>
        <w:t>（</w:t>
      </w:r>
      <w:r>
        <w:rPr>
          <w:rFonts w:hint="eastAsia" w:hAnsi="宋体" w:cs="宋体"/>
          <w:sz w:val="24"/>
          <w:u w:val="single"/>
          <w:lang w:eastAsia="zh-CN"/>
        </w:rPr>
        <w:t>项目名称</w:t>
      </w:r>
      <w:r>
        <w:rPr>
          <w:rFonts w:hint="eastAsia" w:hAnsi="宋体" w:cs="宋体"/>
          <w:sz w:val="24"/>
          <w:u w:val="single"/>
        </w:rPr>
        <w:t>）</w:t>
      </w:r>
      <w:r>
        <w:rPr>
          <w:rFonts w:hint="eastAsia" w:hAnsi="宋体" w:cs="宋体"/>
          <w:sz w:val="24"/>
          <w:szCs w:val="21"/>
          <w:u w:val="single"/>
        </w:rPr>
        <w:t>（采购编号：   ）</w:t>
      </w:r>
      <w:r>
        <w:rPr>
          <w:rFonts w:hint="eastAsia" w:hAnsi="宋体" w:cs="宋体"/>
          <w:sz w:val="24"/>
          <w:szCs w:val="21"/>
        </w:rPr>
        <w:t>的投标。为便于贵方公正、择优地确定中标人以及投标产品和服务，我方就本次投标有关事项郑重承诺如下：</w:t>
      </w:r>
    </w:p>
    <w:p>
      <w:pPr>
        <w:pStyle w:val="164"/>
        <w:spacing w:line="440" w:lineRule="exact"/>
        <w:ind w:firstLine="480" w:firstLineChars="200"/>
        <w:rPr>
          <w:rFonts w:hint="eastAsia" w:hAnsi="宋体" w:cs="宋体"/>
          <w:sz w:val="24"/>
          <w:szCs w:val="21"/>
        </w:rPr>
      </w:pPr>
      <w:r>
        <w:rPr>
          <w:rFonts w:hint="eastAsia" w:hAnsi="宋体" w:cs="宋体"/>
          <w:sz w:val="24"/>
          <w:szCs w:val="21"/>
        </w:rPr>
        <w:t>1、我方向贵方提交的所有投标文件、资料都是准确的和真实的。</w:t>
      </w:r>
    </w:p>
    <w:p>
      <w:pPr>
        <w:pStyle w:val="164"/>
        <w:spacing w:line="440" w:lineRule="exact"/>
        <w:ind w:firstLine="480" w:firstLineChars="200"/>
        <w:rPr>
          <w:rFonts w:hint="eastAsia" w:hAnsi="宋体" w:cs="宋体"/>
          <w:sz w:val="24"/>
          <w:szCs w:val="21"/>
        </w:rPr>
      </w:pPr>
      <w:r>
        <w:rPr>
          <w:rFonts w:hint="eastAsia" w:hAnsi="宋体" w:cs="宋体"/>
          <w:sz w:val="24"/>
          <w:szCs w:val="21"/>
        </w:rPr>
        <w:t>2、我方承诺已经具备《中华人民共和国政府采购法》、《中华人民共和国政府采购法实施条例》中规定的参加政府采购活动的投标人应当具备的条件，并真实提供相关材料。</w:t>
      </w:r>
    </w:p>
    <w:p>
      <w:pPr>
        <w:pStyle w:val="164"/>
        <w:spacing w:line="440" w:lineRule="exact"/>
        <w:ind w:firstLine="480" w:firstLineChars="200"/>
        <w:rPr>
          <w:rFonts w:hint="eastAsia" w:hAnsi="宋体" w:cs="宋体"/>
          <w:sz w:val="24"/>
          <w:szCs w:val="21"/>
        </w:rPr>
      </w:pPr>
      <w:r>
        <w:rPr>
          <w:rFonts w:hint="eastAsia" w:hAnsi="宋体" w:cs="宋体"/>
          <w:sz w:val="24"/>
          <w:szCs w:val="21"/>
        </w:rPr>
        <w:t>3、提供投标人须知规定的全部投标文件，包括：</w:t>
      </w:r>
    </w:p>
    <w:p>
      <w:pPr>
        <w:pStyle w:val="164"/>
        <w:spacing w:line="440" w:lineRule="exact"/>
        <w:ind w:firstLine="480" w:firstLineChars="200"/>
        <w:rPr>
          <w:rFonts w:hint="eastAsia" w:hAnsi="宋体" w:cs="宋体"/>
          <w:sz w:val="24"/>
          <w:szCs w:val="21"/>
          <w:lang w:eastAsia="zh-CN"/>
        </w:rPr>
      </w:pPr>
      <w:r>
        <w:rPr>
          <w:rFonts w:hint="eastAsia" w:hAnsi="宋体" w:cs="宋体"/>
          <w:sz w:val="24"/>
          <w:szCs w:val="21"/>
          <w:lang w:eastAsia="zh-CN"/>
        </w:rPr>
        <w:t>电子加密投标文件；</w:t>
      </w:r>
    </w:p>
    <w:p>
      <w:pPr>
        <w:pStyle w:val="164"/>
        <w:spacing w:line="440" w:lineRule="exact"/>
        <w:ind w:firstLine="480" w:firstLineChars="200"/>
        <w:rPr>
          <w:rFonts w:hint="eastAsia" w:hAnsi="宋体" w:cs="宋体"/>
          <w:sz w:val="24"/>
          <w:szCs w:val="21"/>
          <w:lang w:eastAsia="zh-CN"/>
        </w:rPr>
      </w:pPr>
      <w:r>
        <w:rPr>
          <w:rFonts w:hint="eastAsia" w:hAnsi="宋体" w:cs="宋体"/>
          <w:sz w:val="24"/>
          <w:szCs w:val="21"/>
          <w:lang w:eastAsia="zh-CN"/>
        </w:rPr>
        <w:t>备份电子加密投标文件</w:t>
      </w:r>
      <w:r>
        <w:rPr>
          <w:rFonts w:hint="eastAsia" w:hAnsi="宋体" w:cs="宋体"/>
          <w:sz w:val="24"/>
          <w:szCs w:val="21"/>
          <w:lang w:val="en-US" w:eastAsia="zh-CN"/>
        </w:rPr>
        <w:t xml:space="preserve">   份</w:t>
      </w:r>
      <w:r>
        <w:rPr>
          <w:rFonts w:hint="eastAsia" w:hAnsi="宋体" w:cs="宋体"/>
          <w:sz w:val="24"/>
          <w:szCs w:val="21"/>
          <w:lang w:eastAsia="zh-CN"/>
        </w:rPr>
        <w:t>（政采云平台上最后生成的具备电子签章的备份电子加密投标文件）；</w:t>
      </w:r>
    </w:p>
    <w:p>
      <w:pPr>
        <w:pStyle w:val="164"/>
        <w:spacing w:line="440" w:lineRule="exact"/>
        <w:ind w:firstLine="480" w:firstLineChars="200"/>
        <w:rPr>
          <w:rFonts w:hint="eastAsia" w:hAnsi="宋体" w:cs="宋体"/>
          <w:sz w:val="24"/>
          <w:szCs w:val="21"/>
        </w:rPr>
      </w:pPr>
      <w:r>
        <w:rPr>
          <w:rFonts w:hint="eastAsia" w:hAnsi="宋体" w:cs="宋体"/>
          <w:sz w:val="24"/>
          <w:szCs w:val="21"/>
          <w:lang w:eastAsia="zh-CN"/>
        </w:rPr>
        <w:t>电子加密投标文件、备份电子加密投标文件（政采云平台上最后生成的具备电子签章的备份电子加密投标文件）</w:t>
      </w:r>
      <w:r>
        <w:rPr>
          <w:rFonts w:hint="eastAsia" w:hAnsi="宋体" w:cs="宋体"/>
          <w:sz w:val="24"/>
          <w:szCs w:val="21"/>
        </w:rPr>
        <w:t>具有同等效力，内容应完全一致</w:t>
      </w:r>
      <w:r>
        <w:rPr>
          <w:rFonts w:hint="eastAsia" w:hAnsi="宋体" w:cs="宋体"/>
          <w:sz w:val="24"/>
          <w:szCs w:val="21"/>
          <w:lang w:eastAsia="zh-CN"/>
        </w:rPr>
        <w:t>；</w:t>
      </w:r>
    </w:p>
    <w:p>
      <w:pPr>
        <w:pStyle w:val="164"/>
        <w:spacing w:line="440" w:lineRule="exact"/>
        <w:ind w:firstLine="480" w:firstLineChars="200"/>
        <w:rPr>
          <w:rFonts w:hint="eastAsia" w:hAnsi="宋体" w:cs="宋体"/>
          <w:sz w:val="24"/>
          <w:szCs w:val="21"/>
        </w:rPr>
      </w:pPr>
      <w:r>
        <w:rPr>
          <w:rFonts w:hint="eastAsia" w:hAnsi="宋体" w:cs="宋体"/>
          <w:sz w:val="24"/>
          <w:szCs w:val="21"/>
        </w:rPr>
        <w:t>投标人须知要求的投标人提交的全部文件；</w:t>
      </w:r>
    </w:p>
    <w:p>
      <w:pPr>
        <w:pStyle w:val="164"/>
        <w:spacing w:line="440" w:lineRule="exact"/>
        <w:ind w:firstLine="480" w:firstLineChars="200"/>
        <w:rPr>
          <w:rFonts w:hint="eastAsia" w:hAnsi="宋体" w:cs="宋体"/>
          <w:sz w:val="24"/>
          <w:szCs w:val="21"/>
        </w:rPr>
      </w:pPr>
      <w:r>
        <w:rPr>
          <w:rFonts w:hint="eastAsia" w:hAnsi="宋体" w:cs="宋体"/>
          <w:sz w:val="24"/>
          <w:szCs w:val="21"/>
        </w:rPr>
        <w:t>按招标文件要求提供和交付的货物和服务的投标报价详见报价表。</w:t>
      </w:r>
    </w:p>
    <w:p>
      <w:pPr>
        <w:pStyle w:val="164"/>
        <w:spacing w:line="440" w:lineRule="exact"/>
        <w:ind w:firstLine="480" w:firstLineChars="200"/>
        <w:rPr>
          <w:rFonts w:hint="eastAsia" w:hAnsi="宋体" w:cs="宋体"/>
          <w:sz w:val="24"/>
          <w:szCs w:val="21"/>
        </w:rPr>
      </w:pPr>
      <w:r>
        <w:rPr>
          <w:rFonts w:hint="eastAsia" w:hAnsi="宋体" w:cs="宋体"/>
          <w:sz w:val="24"/>
          <w:szCs w:val="21"/>
        </w:rPr>
        <w:t>4、如果我方中标，在合同签订后</w:t>
      </w:r>
      <w:r>
        <w:rPr>
          <w:rFonts w:hint="eastAsia" w:hAnsi="宋体" w:cs="宋体"/>
          <w:sz w:val="24"/>
          <w:szCs w:val="21"/>
          <w:u w:val="single"/>
        </w:rPr>
        <w:t xml:space="preserve">      </w:t>
      </w:r>
      <w:r>
        <w:rPr>
          <w:rFonts w:hint="eastAsia" w:hAnsi="宋体" w:cs="宋体"/>
          <w:sz w:val="24"/>
          <w:szCs w:val="21"/>
        </w:rPr>
        <w:t>天（日历天）完成该项目。</w:t>
      </w:r>
    </w:p>
    <w:p>
      <w:pPr>
        <w:pStyle w:val="164"/>
        <w:spacing w:line="440" w:lineRule="exact"/>
        <w:ind w:firstLine="480" w:firstLineChars="200"/>
        <w:rPr>
          <w:rFonts w:hint="eastAsia" w:hAnsi="宋体" w:cs="宋体"/>
          <w:sz w:val="24"/>
          <w:szCs w:val="21"/>
        </w:rPr>
      </w:pPr>
      <w:r>
        <w:rPr>
          <w:rFonts w:hint="eastAsia" w:hAnsi="宋体" w:cs="宋体"/>
          <w:sz w:val="24"/>
          <w:szCs w:val="21"/>
        </w:rPr>
        <w:t>5、如果我方中标，将派出</w:t>
      </w:r>
      <w:r>
        <w:rPr>
          <w:rFonts w:hint="eastAsia" w:hAnsi="宋体" w:cs="宋体"/>
          <w:sz w:val="24"/>
          <w:szCs w:val="21"/>
          <w:u w:val="single"/>
        </w:rPr>
        <w:t>（姓名及身份证号码），</w:t>
      </w:r>
      <w:r>
        <w:rPr>
          <w:rFonts w:hint="eastAsia" w:hAnsi="宋体" w:cs="宋体"/>
          <w:sz w:val="24"/>
          <w:szCs w:val="21"/>
        </w:rPr>
        <w:t>作为本项目与采购单位联系的项目实施负责人，联系手机号码：</w:t>
      </w:r>
      <w:r>
        <w:rPr>
          <w:rFonts w:hint="eastAsia" w:hAnsi="宋体" w:cs="宋体"/>
          <w:sz w:val="24"/>
          <w:szCs w:val="21"/>
          <w:u w:val="single"/>
        </w:rPr>
        <w:t xml:space="preserve">             </w:t>
      </w:r>
      <w:r>
        <w:rPr>
          <w:rFonts w:hint="eastAsia" w:hAnsi="宋体" w:cs="宋体"/>
          <w:sz w:val="24"/>
          <w:szCs w:val="21"/>
        </w:rPr>
        <w:t>。在项目实施过程中，并承诺项目实施负责人不更换，若确需要更换的，书面征得采购人同意后才准予更换。</w:t>
      </w:r>
    </w:p>
    <w:p>
      <w:pPr>
        <w:pStyle w:val="164"/>
        <w:spacing w:line="440" w:lineRule="exact"/>
        <w:ind w:firstLine="480" w:firstLineChars="200"/>
        <w:rPr>
          <w:rFonts w:hint="eastAsia" w:hAnsi="宋体" w:cs="宋体"/>
          <w:sz w:val="24"/>
          <w:szCs w:val="21"/>
        </w:rPr>
      </w:pPr>
      <w:r>
        <w:rPr>
          <w:rFonts w:hint="eastAsia" w:hAnsi="宋体" w:cs="宋体"/>
          <w:sz w:val="24"/>
          <w:szCs w:val="21"/>
        </w:rPr>
        <w:t>6、我方的投标有效期自在开标日起</w:t>
      </w:r>
      <w:r>
        <w:rPr>
          <w:rFonts w:hint="eastAsia" w:hAnsi="宋体" w:cs="宋体"/>
          <w:sz w:val="24"/>
          <w:szCs w:val="21"/>
          <w:u w:val="single"/>
        </w:rPr>
        <w:t>90</w:t>
      </w:r>
      <w:r>
        <w:rPr>
          <w:rFonts w:hint="eastAsia" w:hAnsi="宋体" w:cs="宋体"/>
          <w:sz w:val="24"/>
          <w:szCs w:val="21"/>
        </w:rPr>
        <w:t>天内有效。如果在开标后规定的投标有效期内撤回投标。</w:t>
      </w:r>
    </w:p>
    <w:p>
      <w:pPr>
        <w:pStyle w:val="164"/>
        <w:spacing w:line="440" w:lineRule="exact"/>
        <w:ind w:firstLine="480" w:firstLineChars="200"/>
        <w:rPr>
          <w:rFonts w:hint="eastAsia" w:hAnsi="宋体" w:cs="宋体"/>
          <w:sz w:val="24"/>
          <w:szCs w:val="21"/>
        </w:rPr>
      </w:pPr>
      <w:r>
        <w:rPr>
          <w:rFonts w:hint="eastAsia" w:hAnsi="宋体" w:cs="宋体"/>
          <w:sz w:val="24"/>
          <w:szCs w:val="21"/>
        </w:rPr>
        <w:t>7、我方在投标之前已经与贵方进行了充分的沟通，完全理解并接受招标文件的各项规定和要求，对招标文件的合理性、合法性不再有异议。</w:t>
      </w:r>
    </w:p>
    <w:p>
      <w:pPr>
        <w:pStyle w:val="164"/>
        <w:spacing w:line="440" w:lineRule="exact"/>
        <w:ind w:firstLine="480" w:firstLineChars="200"/>
        <w:rPr>
          <w:rFonts w:hint="eastAsia" w:hAnsi="宋体" w:cs="宋体"/>
          <w:sz w:val="24"/>
          <w:szCs w:val="21"/>
        </w:rPr>
      </w:pPr>
      <w:r>
        <w:rPr>
          <w:rFonts w:hint="eastAsia" w:hAnsi="宋体" w:cs="宋体"/>
          <w:sz w:val="24"/>
          <w:szCs w:val="21"/>
        </w:rPr>
        <w:t>我方愿意向贵方提供真实完整的任何与该项投标有关的数据、情况和技术资料。若贵方需要，我方愿意提供我方作出的一切承诺的证明材料。</w:t>
      </w:r>
    </w:p>
    <w:p>
      <w:pPr>
        <w:pStyle w:val="164"/>
        <w:spacing w:line="440" w:lineRule="exact"/>
        <w:ind w:firstLine="480" w:firstLineChars="200"/>
        <w:rPr>
          <w:rFonts w:hint="eastAsia" w:hAnsi="宋体" w:cs="宋体"/>
          <w:sz w:val="24"/>
          <w:szCs w:val="21"/>
        </w:rPr>
      </w:pPr>
      <w:r>
        <w:rPr>
          <w:rFonts w:hint="eastAsia" w:hAnsi="宋体" w:cs="宋体"/>
          <w:sz w:val="24"/>
          <w:szCs w:val="21"/>
        </w:rPr>
        <w:t>8、我方已详细审核全部招标文件，包括招标文件的澄清或修改文件（如有的话）、参考资料及有关附件，已经了解我方对于招标文件、采购过程、采购结果有依法进行询问、质疑、投诉的权利及相关渠道和要求。</w:t>
      </w:r>
    </w:p>
    <w:p>
      <w:pPr>
        <w:pStyle w:val="164"/>
        <w:spacing w:line="440" w:lineRule="exact"/>
        <w:ind w:firstLine="480" w:firstLineChars="200"/>
        <w:rPr>
          <w:rFonts w:hint="eastAsia" w:hAnsi="宋体" w:cs="宋体"/>
          <w:sz w:val="24"/>
          <w:szCs w:val="21"/>
        </w:rPr>
      </w:pPr>
      <w:r>
        <w:rPr>
          <w:rFonts w:hint="eastAsia" w:hAnsi="宋体" w:cs="宋体"/>
          <w:sz w:val="24"/>
          <w:szCs w:val="21"/>
        </w:rPr>
        <w:t>9、我方不是采购人的附属机构，并未为本项目提供整体设计、规范编制或者项目管理、监理、监测等服务。</w:t>
      </w:r>
    </w:p>
    <w:p>
      <w:pPr>
        <w:pStyle w:val="164"/>
        <w:spacing w:line="440" w:lineRule="exact"/>
        <w:ind w:firstLine="480" w:firstLineChars="200"/>
        <w:rPr>
          <w:rFonts w:hint="eastAsia" w:hAnsi="宋体" w:cs="宋体"/>
          <w:sz w:val="24"/>
          <w:szCs w:val="21"/>
        </w:rPr>
      </w:pPr>
      <w:r>
        <w:rPr>
          <w:rFonts w:hint="eastAsia" w:hAnsi="宋体" w:cs="宋体"/>
          <w:sz w:val="24"/>
          <w:szCs w:val="21"/>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w:t>
      </w:r>
      <w:r>
        <w:rPr>
          <w:rFonts w:hint="eastAsia" w:hAnsi="宋体" w:cs="宋体"/>
          <w:sz w:val="24"/>
          <w:szCs w:val="21"/>
          <w:lang w:eastAsia="zh-CN"/>
        </w:rPr>
        <w:t>市场监督管理部门</w:t>
      </w:r>
      <w:r>
        <w:rPr>
          <w:rFonts w:hint="eastAsia" w:hAnsi="宋体" w:cs="宋体"/>
          <w:sz w:val="24"/>
          <w:szCs w:val="21"/>
        </w:rPr>
        <w:t>吊销营业执照；构成犯罪的，依法追究刑事责任：</w:t>
      </w:r>
    </w:p>
    <w:p>
      <w:pPr>
        <w:pStyle w:val="164"/>
        <w:spacing w:line="440" w:lineRule="exact"/>
        <w:ind w:firstLine="480" w:firstLineChars="200"/>
        <w:rPr>
          <w:rFonts w:hint="eastAsia" w:hAnsi="宋体" w:cs="宋体"/>
          <w:sz w:val="24"/>
          <w:szCs w:val="21"/>
        </w:rPr>
      </w:pPr>
      <w:r>
        <w:rPr>
          <w:rFonts w:hint="eastAsia" w:hAnsi="宋体" w:cs="宋体"/>
          <w:sz w:val="24"/>
          <w:szCs w:val="21"/>
        </w:rPr>
        <w:t>（一）提供虚假材料谋取中标、</w:t>
      </w:r>
      <w:r>
        <w:rPr>
          <w:rFonts w:hint="eastAsia" w:hAnsi="宋体" w:cs="宋体"/>
          <w:sz w:val="24"/>
          <w:szCs w:val="21"/>
          <w:lang w:eastAsia="zh-CN"/>
        </w:rPr>
        <w:t>成交</w:t>
      </w:r>
      <w:r>
        <w:rPr>
          <w:rFonts w:hint="eastAsia" w:hAnsi="宋体" w:cs="宋体"/>
          <w:sz w:val="24"/>
          <w:szCs w:val="21"/>
        </w:rPr>
        <w:t>的；</w:t>
      </w:r>
    </w:p>
    <w:p>
      <w:pPr>
        <w:pStyle w:val="164"/>
        <w:spacing w:line="440" w:lineRule="exact"/>
        <w:ind w:firstLine="480" w:firstLineChars="200"/>
        <w:rPr>
          <w:rFonts w:hint="eastAsia" w:hAnsi="宋体" w:cs="宋体"/>
          <w:sz w:val="24"/>
          <w:szCs w:val="21"/>
        </w:rPr>
      </w:pPr>
      <w:r>
        <w:rPr>
          <w:rFonts w:hint="eastAsia" w:hAnsi="宋体" w:cs="宋体"/>
          <w:sz w:val="24"/>
          <w:szCs w:val="21"/>
        </w:rPr>
        <w:t>（二）采取不正当手段诋毁、排挤其他投标人的；</w:t>
      </w:r>
    </w:p>
    <w:p>
      <w:pPr>
        <w:pStyle w:val="164"/>
        <w:spacing w:line="440" w:lineRule="exact"/>
        <w:ind w:firstLine="480" w:firstLineChars="200"/>
        <w:rPr>
          <w:rFonts w:hint="eastAsia" w:hAnsi="宋体" w:cs="宋体"/>
          <w:sz w:val="24"/>
          <w:szCs w:val="21"/>
        </w:rPr>
      </w:pPr>
      <w:r>
        <w:rPr>
          <w:rFonts w:hint="eastAsia" w:hAnsi="宋体" w:cs="宋体"/>
          <w:sz w:val="24"/>
          <w:szCs w:val="21"/>
        </w:rPr>
        <w:t>（三）与采购人、其它投标人或者采购代理机构恶意串通的；</w:t>
      </w:r>
    </w:p>
    <w:p>
      <w:pPr>
        <w:pStyle w:val="164"/>
        <w:spacing w:line="440" w:lineRule="exact"/>
        <w:ind w:firstLine="480" w:firstLineChars="200"/>
        <w:rPr>
          <w:rFonts w:hint="eastAsia" w:hAnsi="宋体" w:cs="宋体"/>
          <w:sz w:val="24"/>
          <w:szCs w:val="21"/>
        </w:rPr>
      </w:pPr>
      <w:r>
        <w:rPr>
          <w:rFonts w:hint="eastAsia" w:hAnsi="宋体" w:cs="宋体"/>
          <w:sz w:val="24"/>
          <w:szCs w:val="21"/>
        </w:rPr>
        <w:t>（四）向采购人、采购代理机构行贿或者提供其他不正当利益的；</w:t>
      </w:r>
    </w:p>
    <w:p>
      <w:pPr>
        <w:pStyle w:val="164"/>
        <w:spacing w:line="440" w:lineRule="exact"/>
        <w:ind w:firstLine="480" w:firstLineChars="200"/>
        <w:rPr>
          <w:rFonts w:hint="eastAsia" w:hAnsi="宋体" w:cs="宋体"/>
          <w:sz w:val="24"/>
          <w:szCs w:val="21"/>
        </w:rPr>
      </w:pPr>
      <w:r>
        <w:rPr>
          <w:rFonts w:hint="eastAsia" w:hAnsi="宋体" w:cs="宋体"/>
          <w:sz w:val="24"/>
          <w:szCs w:val="21"/>
        </w:rPr>
        <w:t>（五）在招标采购过程中与采购人进行协商谈判的；</w:t>
      </w:r>
    </w:p>
    <w:p>
      <w:pPr>
        <w:pStyle w:val="164"/>
        <w:spacing w:line="440" w:lineRule="exact"/>
        <w:ind w:firstLine="480" w:firstLineChars="200"/>
        <w:rPr>
          <w:rFonts w:hint="eastAsia" w:hAnsi="宋体" w:cs="宋体"/>
          <w:sz w:val="24"/>
          <w:szCs w:val="21"/>
        </w:rPr>
      </w:pPr>
      <w:r>
        <w:rPr>
          <w:rFonts w:hint="eastAsia" w:hAnsi="宋体" w:cs="宋体"/>
          <w:sz w:val="24"/>
          <w:szCs w:val="21"/>
        </w:rPr>
        <w:t>（六）拒绝有关部门监督检查或提供虚假情况的。</w:t>
      </w:r>
    </w:p>
    <w:p>
      <w:pPr>
        <w:pStyle w:val="164"/>
        <w:spacing w:line="440" w:lineRule="exact"/>
        <w:ind w:firstLine="480" w:firstLineChars="200"/>
        <w:rPr>
          <w:rFonts w:hint="eastAsia" w:hAnsi="宋体" w:cs="宋体"/>
          <w:sz w:val="24"/>
          <w:szCs w:val="21"/>
        </w:rPr>
      </w:pPr>
      <w:r>
        <w:rPr>
          <w:rFonts w:hint="eastAsia" w:hAnsi="宋体" w:cs="宋体"/>
          <w:sz w:val="24"/>
          <w:szCs w:val="21"/>
        </w:rPr>
        <w:t>11、如中标，本投标文件至本项目合同履行完毕止均保持有效，我方将按招标文件及政府采购法律、法规的规定履行合同责任和义务。</w:t>
      </w:r>
    </w:p>
    <w:p>
      <w:pPr>
        <w:pStyle w:val="164"/>
        <w:spacing w:line="440" w:lineRule="exact"/>
        <w:ind w:firstLine="480" w:firstLineChars="200"/>
        <w:rPr>
          <w:rFonts w:hint="eastAsia" w:hAnsi="宋体" w:cs="宋体"/>
          <w:sz w:val="24"/>
          <w:szCs w:val="21"/>
        </w:rPr>
      </w:pPr>
      <w:r>
        <w:rPr>
          <w:rFonts w:hint="eastAsia" w:hAnsi="宋体" w:cs="宋体"/>
          <w:sz w:val="24"/>
          <w:szCs w:val="21"/>
        </w:rPr>
        <w:t>12、以上事项如有虚假或隐瞒，我方愿意承担一切不利后果，并不再寻求任何旨在减轻或免除法律责任。</w:t>
      </w:r>
    </w:p>
    <w:p>
      <w:pPr>
        <w:pStyle w:val="164"/>
        <w:spacing w:line="440" w:lineRule="exact"/>
        <w:ind w:firstLine="480" w:firstLineChars="200"/>
        <w:rPr>
          <w:rFonts w:hint="eastAsia" w:hAnsi="宋体" w:cs="宋体"/>
          <w:sz w:val="24"/>
          <w:szCs w:val="21"/>
        </w:rPr>
      </w:pPr>
      <w:r>
        <w:rPr>
          <w:rFonts w:hint="eastAsia" w:hAnsi="宋体" w:cs="宋体"/>
          <w:sz w:val="24"/>
          <w:szCs w:val="21"/>
        </w:rPr>
        <w:t>与本次投标有关的一切正式往来信函请寄：</w:t>
      </w:r>
    </w:p>
    <w:p>
      <w:pPr>
        <w:pStyle w:val="164"/>
        <w:spacing w:line="440" w:lineRule="exact"/>
        <w:ind w:firstLine="480" w:firstLineChars="200"/>
        <w:rPr>
          <w:rFonts w:hint="eastAsia" w:hAnsi="宋体" w:cs="宋体"/>
          <w:sz w:val="24"/>
          <w:szCs w:val="21"/>
        </w:rPr>
      </w:pPr>
      <w:r>
        <w:rPr>
          <w:rFonts w:hint="eastAsia" w:hAnsi="宋体" w:cs="宋体"/>
          <w:sz w:val="24"/>
          <w:szCs w:val="21"/>
        </w:rPr>
        <w:t>地址：</w:t>
      </w:r>
      <w:r>
        <w:rPr>
          <w:rFonts w:hint="eastAsia" w:hAnsi="宋体" w:cs="宋体"/>
          <w:spacing w:val="20"/>
          <w:sz w:val="24"/>
          <w:u w:val="single"/>
        </w:rPr>
        <w:t xml:space="preserve">             </w:t>
      </w:r>
      <w:r>
        <w:rPr>
          <w:rFonts w:hint="eastAsia" w:hAnsi="宋体" w:cs="宋体"/>
          <w:sz w:val="24"/>
          <w:szCs w:val="21"/>
        </w:rPr>
        <w:t xml:space="preserve">     邮编：</w:t>
      </w:r>
      <w:r>
        <w:rPr>
          <w:rFonts w:hint="eastAsia" w:hAnsi="宋体" w:cs="宋体"/>
          <w:spacing w:val="20"/>
          <w:sz w:val="24"/>
          <w:u w:val="single"/>
        </w:rPr>
        <w:t xml:space="preserve">           </w:t>
      </w:r>
      <w:r>
        <w:rPr>
          <w:rFonts w:hint="eastAsia" w:hAnsi="宋体" w:cs="宋体"/>
          <w:sz w:val="24"/>
          <w:szCs w:val="21"/>
        </w:rPr>
        <w:t>　</w:t>
      </w:r>
    </w:p>
    <w:p>
      <w:pPr>
        <w:pStyle w:val="23"/>
        <w:spacing w:line="440" w:lineRule="exact"/>
        <w:ind w:firstLine="480" w:firstLineChars="200"/>
        <w:rPr>
          <w:rFonts w:hint="eastAsia" w:hAnsi="宋体" w:cs="宋体"/>
          <w:sz w:val="24"/>
          <w:szCs w:val="21"/>
        </w:rPr>
      </w:pPr>
      <w:r>
        <w:rPr>
          <w:rFonts w:hint="eastAsia" w:hAnsi="宋体" w:cs="宋体"/>
          <w:sz w:val="24"/>
          <w:szCs w:val="21"/>
        </w:rPr>
        <w:t>电话：</w:t>
      </w:r>
      <w:r>
        <w:rPr>
          <w:rFonts w:hint="eastAsia" w:hAnsi="宋体" w:cs="宋体"/>
          <w:spacing w:val="20"/>
          <w:sz w:val="24"/>
          <w:u w:val="single"/>
        </w:rPr>
        <w:t xml:space="preserve">             </w:t>
      </w:r>
      <w:r>
        <w:rPr>
          <w:rFonts w:hint="eastAsia" w:hAnsi="宋体" w:cs="宋体"/>
          <w:sz w:val="24"/>
          <w:szCs w:val="21"/>
        </w:rPr>
        <w:t xml:space="preserve">     传真：</w:t>
      </w:r>
      <w:r>
        <w:rPr>
          <w:rFonts w:hint="eastAsia" w:hAnsi="宋体" w:cs="宋体"/>
          <w:spacing w:val="20"/>
          <w:sz w:val="24"/>
          <w:u w:val="single"/>
        </w:rPr>
        <w:t xml:space="preserve">           </w:t>
      </w:r>
    </w:p>
    <w:p>
      <w:pPr>
        <w:pStyle w:val="164"/>
        <w:spacing w:line="440" w:lineRule="exact"/>
        <w:rPr>
          <w:rFonts w:hint="eastAsia" w:hAnsi="宋体" w:cs="宋体"/>
          <w:sz w:val="24"/>
          <w:szCs w:val="21"/>
          <w:lang w:val="en-US"/>
        </w:rPr>
      </w:pPr>
    </w:p>
    <w:p>
      <w:pPr>
        <w:pStyle w:val="222"/>
        <w:spacing w:line="360" w:lineRule="auto"/>
        <w:ind w:firstLine="560" w:firstLineChars="200"/>
        <w:rPr>
          <w:rFonts w:hint="eastAsia" w:hAnsi="宋体" w:cs="宋体"/>
          <w:spacing w:val="20"/>
          <w:sz w:val="24"/>
          <w:u w:val="single"/>
        </w:rPr>
      </w:pPr>
      <w:r>
        <w:rPr>
          <w:rFonts w:hint="eastAsia" w:hAnsi="宋体" w:cs="宋体"/>
          <w:spacing w:val="20"/>
          <w:sz w:val="24"/>
          <w:lang w:eastAsia="zh-CN"/>
        </w:rPr>
        <w:t>投标人</w:t>
      </w:r>
      <w:r>
        <w:rPr>
          <w:rFonts w:hint="eastAsia" w:hAnsi="宋体" w:cs="宋体"/>
          <w:spacing w:val="20"/>
          <w:sz w:val="24"/>
        </w:rPr>
        <w:t>盖章：</w:t>
      </w:r>
      <w:r>
        <w:rPr>
          <w:rFonts w:hint="eastAsia" w:hAnsi="宋体" w:cs="宋体"/>
          <w:spacing w:val="20"/>
          <w:sz w:val="24"/>
          <w:u w:val="single"/>
        </w:rPr>
        <w:t xml:space="preserve">            </w:t>
      </w:r>
    </w:p>
    <w:p>
      <w:pPr>
        <w:pStyle w:val="222"/>
        <w:spacing w:line="360" w:lineRule="auto"/>
        <w:ind w:firstLine="560" w:firstLineChars="200"/>
        <w:rPr>
          <w:rFonts w:hint="eastAsia" w:hAnsi="宋体" w:cs="宋体"/>
          <w:spacing w:val="20"/>
          <w:sz w:val="24"/>
          <w:u w:val="single"/>
        </w:rPr>
      </w:pPr>
      <w:r>
        <w:rPr>
          <w:rFonts w:hint="eastAsia" w:hAnsi="宋体" w:cs="宋体"/>
          <w:spacing w:val="20"/>
          <w:sz w:val="24"/>
        </w:rPr>
        <w:t>日     期：</w:t>
      </w:r>
      <w:r>
        <w:rPr>
          <w:rFonts w:hint="eastAsia" w:hAnsi="宋体" w:cs="宋体"/>
          <w:spacing w:val="20"/>
          <w:sz w:val="24"/>
          <w:u w:val="single"/>
        </w:rPr>
        <w:t xml:space="preserve">            </w:t>
      </w:r>
    </w:p>
    <w:p>
      <w:pPr>
        <w:pStyle w:val="164"/>
        <w:spacing w:line="440" w:lineRule="exact"/>
        <w:rPr>
          <w:rFonts w:hint="eastAsia" w:hAnsi="宋体" w:cs="宋体"/>
          <w:sz w:val="24"/>
          <w:szCs w:val="21"/>
        </w:rPr>
      </w:pPr>
    </w:p>
    <w:p>
      <w:pPr>
        <w:pStyle w:val="164"/>
        <w:spacing w:line="360" w:lineRule="auto"/>
        <w:ind w:firstLine="480" w:firstLineChars="200"/>
        <w:rPr>
          <w:rFonts w:hint="eastAsia" w:ascii="宋体" w:hAnsi="宋体" w:eastAsia="宋体" w:cs="宋体"/>
          <w:color w:val="auto"/>
          <w:sz w:val="24"/>
          <w:szCs w:val="21"/>
        </w:rPr>
      </w:pPr>
      <w:r>
        <w:rPr>
          <w:rFonts w:hint="eastAsia" w:hAnsi="宋体" w:cs="宋体"/>
          <w:sz w:val="24"/>
          <w:szCs w:val="21"/>
        </w:rPr>
        <w:t>注：</w:t>
      </w:r>
      <w:r>
        <w:rPr>
          <w:rFonts w:hint="eastAsia" w:hAnsi="宋体" w:cs="宋体"/>
          <w:b/>
          <w:bCs/>
          <w:sz w:val="24"/>
        </w:rPr>
        <w:t>▲</w:t>
      </w:r>
      <w:r>
        <w:rPr>
          <w:rFonts w:hint="eastAsia" w:hAnsi="宋体" w:cs="宋体"/>
          <w:sz w:val="24"/>
          <w:szCs w:val="21"/>
        </w:rPr>
        <w:t>按照本声明书要求填报</w:t>
      </w:r>
      <w:r>
        <w:rPr>
          <w:rFonts w:hint="eastAsia" w:hAnsi="宋体" w:cs="宋体"/>
          <w:sz w:val="24"/>
          <w:szCs w:val="21"/>
          <w:lang w:eastAsia="zh-CN"/>
        </w:rPr>
        <w:t>。</w:t>
      </w:r>
    </w:p>
    <w:p>
      <w:pPr>
        <w:pStyle w:val="7"/>
        <w:keepNext/>
        <w:keepLines/>
        <w:pageBreakBefore/>
        <w:widowControl w:val="0"/>
        <w:kinsoku/>
        <w:wordWrap/>
        <w:overflowPunct/>
        <w:topLinePunct w:val="0"/>
        <w:autoSpaceDE/>
        <w:autoSpaceDN/>
        <w:bidi w:val="0"/>
        <w:adjustRightInd/>
        <w:snapToGrid/>
        <w:spacing w:before="100" w:after="100"/>
        <w:ind w:firstLine="643" w:firstLineChars="200"/>
        <w:jc w:val="center"/>
        <w:textAlignment w:val="auto"/>
        <w:rPr>
          <w:rFonts w:hint="eastAsia" w:ascii="宋体" w:hAnsi="宋体" w:eastAsia="宋体" w:cs="宋体"/>
          <w:color w:val="auto"/>
          <w:sz w:val="32"/>
          <w:szCs w:val="32"/>
        </w:rPr>
      </w:pPr>
      <w:bookmarkStart w:id="207" w:name="_Toc21655"/>
      <w:bookmarkStart w:id="208" w:name="_Toc3554"/>
      <w:bookmarkStart w:id="209" w:name="_Toc4985"/>
      <w:r>
        <w:rPr>
          <w:rFonts w:hint="eastAsia" w:ascii="宋体" w:hAnsi="宋体" w:eastAsia="宋体" w:cs="宋体"/>
          <w:color w:val="auto"/>
          <w:sz w:val="32"/>
          <w:szCs w:val="32"/>
        </w:rPr>
        <w:t>2、投标人参标申请表</w:t>
      </w:r>
      <w:bookmarkEnd w:id="207"/>
      <w:bookmarkEnd w:id="208"/>
      <w:bookmarkEnd w:id="209"/>
    </w:p>
    <w:tbl>
      <w:tblPr>
        <w:tblStyle w:val="4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3"/>
        <w:gridCol w:w="252"/>
        <w:gridCol w:w="816"/>
        <w:gridCol w:w="975"/>
        <w:gridCol w:w="508"/>
        <w:gridCol w:w="1022"/>
        <w:gridCol w:w="1544"/>
        <w:gridCol w:w="2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0" w:type="pct"/>
            <w:gridSpan w:val="3"/>
            <w:vMerge w:val="restart"/>
            <w:tcBorders>
              <w:top w:val="single" w:color="auto" w:sz="4" w:space="0"/>
              <w:left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宋体" w:hAnsi="宋体" w:eastAsia="宋体" w:cs="宋体"/>
                <w:color w:val="auto"/>
                <w:sz w:val="24"/>
              </w:rPr>
            </w:pPr>
            <w:r>
              <w:rPr>
                <w:rFonts w:hint="eastAsia" w:ascii="宋体" w:hAnsi="宋体" w:eastAsia="宋体" w:cs="宋体"/>
                <w:color w:val="auto"/>
                <w:sz w:val="24"/>
              </w:rPr>
              <w:t>统一社会</w:t>
            </w:r>
          </w:p>
          <w:p>
            <w:pPr>
              <w:pStyle w:val="168"/>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宋体" w:hAnsi="宋体" w:eastAsia="宋体" w:cs="宋体"/>
                <w:color w:val="auto"/>
                <w:sz w:val="24"/>
              </w:rPr>
            </w:pPr>
            <w:r>
              <w:rPr>
                <w:rFonts w:hint="eastAsia" w:ascii="宋体" w:hAnsi="宋体" w:eastAsia="宋体" w:cs="宋体"/>
                <w:color w:val="auto"/>
                <w:sz w:val="24"/>
              </w:rPr>
              <w:t>信用代码</w:t>
            </w:r>
          </w:p>
        </w:tc>
        <w:tc>
          <w:tcPr>
            <w:tcW w:w="1470" w:type="pct"/>
            <w:gridSpan w:val="3"/>
            <w:vMerge w:val="restart"/>
            <w:tcBorders>
              <w:top w:val="single" w:color="auto" w:sz="4" w:space="0"/>
              <w:left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906"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投标人名称</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360"/>
              <w:jc w:val="center"/>
              <w:textAlignment w:val="auto"/>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0" w:type="pct"/>
            <w:gridSpan w:val="3"/>
            <w:vMerge w:val="continue"/>
            <w:tcBorders>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p>
        </w:tc>
        <w:tc>
          <w:tcPr>
            <w:tcW w:w="1470" w:type="pct"/>
            <w:gridSpan w:val="3"/>
            <w:vMerge w:val="continue"/>
            <w:tcBorders>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906"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投标人地址</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0"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注册日期</w:t>
            </w:r>
          </w:p>
        </w:tc>
        <w:tc>
          <w:tcPr>
            <w:tcW w:w="1470"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906"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注册资金</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0"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投标人网址</w:t>
            </w:r>
          </w:p>
        </w:tc>
        <w:tc>
          <w:tcPr>
            <w:tcW w:w="1470"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906"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E-mail</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pct"/>
            <w:gridSpan w:val="2"/>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负责人</w:t>
            </w:r>
          </w:p>
        </w:tc>
        <w:tc>
          <w:tcPr>
            <w:tcW w:w="1051" w:type="pct"/>
            <w:gridSpan w:val="2"/>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1804"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联系电话：</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pct"/>
            <w:gridSpan w:val="2"/>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联系人</w:t>
            </w:r>
          </w:p>
        </w:tc>
        <w:tc>
          <w:tcPr>
            <w:tcW w:w="1051" w:type="pct"/>
            <w:gridSpan w:val="2"/>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ind w:firstLine="480"/>
              <w:jc w:val="center"/>
              <w:textAlignment w:val="auto"/>
              <w:rPr>
                <w:rFonts w:hint="eastAsia" w:ascii="宋体" w:hAnsi="宋体" w:eastAsia="宋体" w:cs="宋体"/>
                <w:color w:val="auto"/>
                <w:sz w:val="24"/>
              </w:rPr>
            </w:pPr>
          </w:p>
        </w:tc>
        <w:tc>
          <w:tcPr>
            <w:tcW w:w="1804" w:type="pct"/>
            <w:gridSpan w:val="3"/>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联系电话：</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rPr>
            </w:pPr>
            <w:r>
              <w:rPr>
                <w:rFonts w:hint="eastAsia" w:ascii="宋体" w:hAnsi="宋体" w:eastAsia="宋体" w:cs="宋体"/>
                <w:color w:val="auto"/>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pct"/>
            <w:gridSpan w:val="2"/>
            <w:tcBorders>
              <w:top w:val="single" w:color="auto" w:sz="4" w:space="0"/>
              <w:left w:val="single" w:color="auto" w:sz="4" w:space="0"/>
              <w:bottom w:val="single" w:color="auto" w:sz="4" w:space="0"/>
              <w:right w:val="single" w:color="auto" w:sz="4" w:space="0"/>
            </w:tcBorders>
            <w:vAlign w:val="center"/>
          </w:tcPr>
          <w:p>
            <w:pPr>
              <w:pStyle w:val="168"/>
              <w:ind w:left="-109" w:leftChars="-52" w:right="-113" w:rightChars="-54"/>
              <w:jc w:val="center"/>
              <w:rPr>
                <w:rFonts w:hint="eastAsia" w:ascii="宋体" w:hAnsi="宋体" w:eastAsia="宋体" w:cs="宋体"/>
                <w:color w:val="auto"/>
                <w:sz w:val="24"/>
              </w:rPr>
            </w:pPr>
            <w:r>
              <w:rPr>
                <w:rFonts w:hint="eastAsia" w:ascii="宋体" w:hAnsi="宋体" w:eastAsia="宋体" w:cs="宋体"/>
                <w:color w:val="auto"/>
                <w:sz w:val="24"/>
              </w:rPr>
              <w:t>主营项目</w:t>
            </w:r>
          </w:p>
        </w:tc>
        <w:tc>
          <w:tcPr>
            <w:tcW w:w="4438" w:type="pct"/>
            <w:gridSpan w:val="6"/>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pct"/>
            <w:gridSpan w:val="2"/>
            <w:tcBorders>
              <w:top w:val="single" w:color="auto" w:sz="4" w:space="0"/>
              <w:left w:val="single" w:color="auto" w:sz="4" w:space="0"/>
              <w:bottom w:val="single" w:color="auto" w:sz="4" w:space="0"/>
              <w:right w:val="single" w:color="auto" w:sz="4" w:space="0"/>
            </w:tcBorders>
            <w:vAlign w:val="center"/>
          </w:tcPr>
          <w:p>
            <w:pPr>
              <w:pStyle w:val="168"/>
              <w:ind w:left="-109" w:leftChars="-52" w:right="-113" w:rightChars="-54"/>
              <w:jc w:val="center"/>
              <w:rPr>
                <w:rFonts w:hint="eastAsia" w:ascii="宋体" w:hAnsi="宋体" w:eastAsia="宋体" w:cs="宋体"/>
                <w:color w:val="auto"/>
                <w:sz w:val="24"/>
              </w:rPr>
            </w:pPr>
            <w:r>
              <w:rPr>
                <w:rFonts w:hint="eastAsia" w:ascii="宋体" w:hAnsi="宋体" w:eastAsia="宋体" w:cs="宋体"/>
                <w:color w:val="auto"/>
                <w:sz w:val="24"/>
              </w:rPr>
              <w:t>兼营项目</w:t>
            </w:r>
          </w:p>
        </w:tc>
        <w:tc>
          <w:tcPr>
            <w:tcW w:w="4438" w:type="pct"/>
            <w:gridSpan w:val="6"/>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pStyle w:val="168"/>
              <w:rPr>
                <w:rFonts w:hint="eastAsia" w:ascii="宋体" w:hAnsi="宋体" w:eastAsia="宋体" w:cs="宋体"/>
                <w:color w:val="auto"/>
                <w:sz w:val="24"/>
              </w:rPr>
            </w:pPr>
            <w:r>
              <w:rPr>
                <w:rFonts w:hint="eastAsia" w:ascii="宋体" w:hAnsi="宋体" w:eastAsia="宋体" w:cs="宋体"/>
                <w:color w:val="auto"/>
                <w:sz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l2br w:val="single" w:color="auto" w:sz="4" w:space="0"/>
            </w:tcBorders>
            <w:vAlign w:val="center"/>
          </w:tcPr>
          <w:p>
            <w:pPr>
              <w:pStyle w:val="168"/>
              <w:ind w:firstLine="480"/>
              <w:jc w:val="center"/>
              <w:rPr>
                <w:rFonts w:hint="eastAsia" w:ascii="宋体" w:hAnsi="宋体" w:eastAsia="宋体" w:cs="宋体"/>
                <w:color w:val="auto"/>
                <w:sz w:val="24"/>
              </w:rPr>
            </w:pP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r>
              <w:rPr>
                <w:rFonts w:hint="eastAsia" w:ascii="宋体" w:hAnsi="宋体" w:eastAsia="宋体" w:cs="宋体"/>
                <w:color w:val="auto"/>
                <w:sz w:val="24"/>
              </w:rPr>
              <w:t>采购编号</w:t>
            </w: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497" w:type="pct"/>
            <w:gridSpan w:val="4"/>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06" w:type="pct"/>
            <w:gridSpan w:val="2"/>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c>
          <w:tcPr>
            <w:tcW w:w="1582" w:type="pct"/>
            <w:tcBorders>
              <w:top w:val="single" w:color="auto" w:sz="4" w:space="0"/>
              <w:left w:val="single" w:color="auto" w:sz="4" w:space="0"/>
              <w:bottom w:val="single" w:color="auto" w:sz="4" w:space="0"/>
              <w:right w:val="single" w:color="auto" w:sz="4" w:space="0"/>
            </w:tcBorders>
            <w:vAlign w:val="center"/>
          </w:tcPr>
          <w:p>
            <w:pPr>
              <w:pStyle w:val="168"/>
              <w:ind w:firstLine="480"/>
              <w:jc w:val="center"/>
              <w:rPr>
                <w:rFonts w:hint="eastAsia" w:ascii="宋体" w:hAnsi="宋体" w:eastAsia="宋体" w:cs="宋体"/>
                <w:color w:val="auto"/>
                <w:sz w:val="24"/>
              </w:rPr>
            </w:pPr>
          </w:p>
        </w:tc>
      </w:tr>
    </w:tbl>
    <w:p>
      <w:pPr>
        <w:pStyle w:val="171"/>
        <w:spacing w:line="520" w:lineRule="exact"/>
        <w:ind w:firstLine="2240" w:firstLineChars="800"/>
        <w:rPr>
          <w:rFonts w:hint="eastAsia" w:ascii="宋体" w:hAnsi="宋体" w:eastAsia="宋体" w:cs="宋体"/>
          <w:color w:val="auto"/>
          <w:spacing w:val="20"/>
          <w:sz w:val="24"/>
        </w:rPr>
      </w:pP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投标人盖章：</w:t>
      </w:r>
      <w:r>
        <w:rPr>
          <w:rFonts w:hint="eastAsia" w:ascii="宋体" w:hAnsi="宋体" w:eastAsia="宋体" w:cs="宋体"/>
          <w:color w:val="auto"/>
          <w:spacing w:val="20"/>
          <w:sz w:val="24"/>
          <w:u w:val="single"/>
        </w:rPr>
        <w:t xml:space="preserve">            </w:t>
      </w:r>
    </w:p>
    <w:p>
      <w:pPr>
        <w:pStyle w:val="171"/>
        <w:spacing w:line="520" w:lineRule="exact"/>
        <w:ind w:firstLine="560" w:firstLineChars="200"/>
        <w:rPr>
          <w:rFonts w:hint="eastAsia" w:ascii="宋体" w:hAnsi="宋体" w:eastAsia="宋体" w:cs="宋体"/>
          <w:color w:val="auto"/>
          <w:sz w:val="32"/>
          <w:szCs w:val="32"/>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pStyle w:val="7"/>
        <w:keepNext/>
        <w:keepLines/>
        <w:pageBreakBefore/>
        <w:widowControl w:val="0"/>
        <w:kinsoku/>
        <w:wordWrap/>
        <w:overflowPunct/>
        <w:topLinePunct w:val="0"/>
        <w:autoSpaceDE/>
        <w:autoSpaceDN/>
        <w:bidi w:val="0"/>
        <w:adjustRightInd/>
        <w:snapToGrid/>
        <w:spacing w:before="100" w:after="100"/>
        <w:ind w:firstLine="643" w:firstLineChars="200"/>
        <w:jc w:val="center"/>
        <w:textAlignment w:val="auto"/>
        <w:rPr>
          <w:rFonts w:hint="eastAsia" w:ascii="宋体" w:hAnsi="宋体" w:eastAsia="宋体" w:cs="宋体"/>
          <w:color w:val="auto"/>
          <w:sz w:val="32"/>
          <w:szCs w:val="32"/>
        </w:rPr>
      </w:pPr>
      <w:bookmarkStart w:id="210" w:name="_Toc16345"/>
      <w:bookmarkStart w:id="211" w:name="_Toc8266"/>
      <w:bookmarkStart w:id="212" w:name="_Toc4927"/>
      <w:bookmarkStart w:id="213" w:name="_Toc493956065"/>
      <w:bookmarkStart w:id="214" w:name="_Toc23098155"/>
      <w:r>
        <w:rPr>
          <w:rFonts w:hint="eastAsia" w:ascii="宋体" w:hAnsi="宋体" w:eastAsia="宋体" w:cs="宋体"/>
          <w:color w:val="auto"/>
          <w:sz w:val="32"/>
          <w:szCs w:val="32"/>
        </w:rPr>
        <w:t>3、中小企业声明函</w:t>
      </w:r>
      <w:bookmarkEnd w:id="210"/>
      <w:bookmarkEnd w:id="211"/>
    </w:p>
    <w:p>
      <w:pPr>
        <w:pStyle w:val="173"/>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本公司郑重声明，根据《政府采购促进中小企业发展暂行办法》（财库〔2011〕181号）的规定，本公司为</w:t>
      </w:r>
      <w:r>
        <w:rPr>
          <w:rFonts w:ascii="宋体" w:hAnsi="宋体"/>
          <w:color w:val="000000"/>
          <w:spacing w:val="6"/>
          <w:sz w:val="24"/>
          <w:u w:val="single"/>
        </w:rPr>
        <w:t xml:space="preserve">        </w:t>
      </w:r>
      <w:r>
        <w:rPr>
          <w:rFonts w:hint="eastAsia" w:ascii="宋体" w:hAnsi="宋体"/>
          <w:color w:val="000000"/>
          <w:spacing w:val="6"/>
          <w:sz w:val="24"/>
        </w:rPr>
        <w:t>（请填写：中型、小型、微型，或监狱</w:t>
      </w:r>
      <w:r>
        <w:rPr>
          <w:rFonts w:ascii="宋体" w:hAnsi="宋体"/>
          <w:color w:val="000000"/>
          <w:spacing w:val="6"/>
          <w:sz w:val="24"/>
        </w:rPr>
        <w:t>和残疾人福利</w:t>
      </w:r>
      <w:r>
        <w:rPr>
          <w:rFonts w:hint="eastAsia" w:ascii="宋体" w:hAnsi="宋体"/>
          <w:color w:val="000000"/>
          <w:spacing w:val="6"/>
          <w:sz w:val="24"/>
        </w:rPr>
        <w:t>）企业。即，本公司同时满足以下条件：</w:t>
      </w:r>
    </w:p>
    <w:p>
      <w:pPr>
        <w:pStyle w:val="173"/>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1.根据《工业和信息化部、国家统计局、国家发展和改革委员会、财政部关于印发中小企业划型标准规定的通知》（工信部联企业〔2011〕300号）规定的划分标准以及</w:t>
      </w:r>
      <w:r>
        <w:rPr>
          <w:rFonts w:hint="eastAsia" w:ascii="宋体" w:hAnsi="宋体"/>
          <w:bCs/>
          <w:color w:val="000000"/>
          <w:sz w:val="24"/>
        </w:rPr>
        <w:t>《</w:t>
      </w:r>
      <w:r>
        <w:rPr>
          <w:rFonts w:ascii="宋体" w:hAnsi="宋体"/>
          <w:bCs/>
          <w:color w:val="000000"/>
          <w:sz w:val="24"/>
        </w:rPr>
        <w:t>关于政府采购支持</w:t>
      </w:r>
      <w:r>
        <w:rPr>
          <w:rFonts w:hint="eastAsia" w:ascii="宋体" w:hAnsi="宋体"/>
          <w:bCs/>
          <w:color w:val="000000"/>
          <w:sz w:val="24"/>
        </w:rPr>
        <w:t>监狱</w:t>
      </w:r>
      <w:r>
        <w:rPr>
          <w:rFonts w:ascii="宋体" w:hAnsi="宋体"/>
          <w:bCs/>
          <w:color w:val="000000"/>
          <w:sz w:val="24"/>
        </w:rPr>
        <w:t>企业</w:t>
      </w:r>
      <w:r>
        <w:rPr>
          <w:rFonts w:hint="eastAsia" w:ascii="宋体" w:hAnsi="宋体"/>
          <w:bCs/>
          <w:color w:val="000000"/>
          <w:sz w:val="24"/>
        </w:rPr>
        <w:t>发展</w:t>
      </w:r>
      <w:r>
        <w:rPr>
          <w:rFonts w:ascii="宋体" w:hAnsi="宋体"/>
          <w:bCs/>
          <w:color w:val="000000"/>
          <w:sz w:val="24"/>
        </w:rPr>
        <w:t>有关问题的通知</w:t>
      </w:r>
      <w:r>
        <w:rPr>
          <w:rFonts w:hint="eastAsia" w:ascii="宋体" w:hAnsi="宋体"/>
          <w:bCs/>
          <w:color w:val="000000"/>
          <w:sz w:val="24"/>
        </w:rPr>
        <w:t>》（财库〔201</w:t>
      </w:r>
      <w:r>
        <w:rPr>
          <w:rFonts w:ascii="宋体" w:hAnsi="宋体"/>
          <w:bCs/>
          <w:color w:val="000000"/>
          <w:sz w:val="24"/>
        </w:rPr>
        <w:t>4</w:t>
      </w:r>
      <w:r>
        <w:rPr>
          <w:rFonts w:hint="eastAsia" w:ascii="宋体" w:hAnsi="宋体"/>
          <w:bCs/>
          <w:color w:val="000000"/>
          <w:sz w:val="24"/>
        </w:rPr>
        <w:t>〕</w:t>
      </w:r>
      <w:r>
        <w:rPr>
          <w:rFonts w:ascii="宋体" w:hAnsi="宋体"/>
          <w:bCs/>
          <w:color w:val="000000"/>
          <w:sz w:val="24"/>
        </w:rPr>
        <w:t>68</w:t>
      </w:r>
      <w:r>
        <w:rPr>
          <w:rFonts w:hint="eastAsia" w:ascii="宋体" w:hAnsi="宋体"/>
          <w:bCs/>
          <w:color w:val="000000"/>
          <w:sz w:val="24"/>
        </w:rPr>
        <w:t>号)、《关于促进残疾人就业政府采购政策的通知》（财库〔2017〕141号）文件要求</w:t>
      </w:r>
      <w:r>
        <w:rPr>
          <w:rFonts w:hint="eastAsia" w:ascii="宋体" w:hAnsi="宋体"/>
          <w:color w:val="000000"/>
          <w:spacing w:val="6"/>
          <w:sz w:val="24"/>
        </w:rPr>
        <w:t>，本公司为</w:t>
      </w:r>
      <w:r>
        <w:rPr>
          <w:rFonts w:ascii="宋体" w:hAnsi="宋体"/>
          <w:color w:val="000000"/>
          <w:spacing w:val="6"/>
          <w:sz w:val="24"/>
          <w:u w:val="single"/>
        </w:rPr>
        <w:t xml:space="preserve">       </w:t>
      </w:r>
      <w:r>
        <w:rPr>
          <w:rFonts w:hint="eastAsia" w:ascii="宋体" w:hAnsi="宋体"/>
          <w:color w:val="000000"/>
          <w:spacing w:val="6"/>
          <w:sz w:val="24"/>
        </w:rPr>
        <w:t>（请填写：中型、小型、微型，或监狱</w:t>
      </w:r>
      <w:r>
        <w:rPr>
          <w:rFonts w:ascii="宋体" w:hAnsi="宋体"/>
          <w:color w:val="000000"/>
          <w:spacing w:val="6"/>
          <w:sz w:val="24"/>
        </w:rPr>
        <w:t>和残疾人福利</w:t>
      </w:r>
      <w:r>
        <w:rPr>
          <w:rFonts w:hint="eastAsia" w:ascii="宋体" w:hAnsi="宋体"/>
          <w:color w:val="000000"/>
          <w:spacing w:val="6"/>
          <w:sz w:val="24"/>
        </w:rPr>
        <w:t>）企业。</w:t>
      </w:r>
    </w:p>
    <w:p>
      <w:pPr>
        <w:pStyle w:val="173"/>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2.本公司参加</w:t>
      </w:r>
      <w:r>
        <w:rPr>
          <w:rFonts w:ascii="宋体" w:hAnsi="宋体"/>
          <w:color w:val="000000"/>
          <w:spacing w:val="6"/>
          <w:sz w:val="24"/>
          <w:u w:val="single"/>
        </w:rPr>
        <w:t xml:space="preserve">    </w:t>
      </w:r>
      <w:r>
        <w:rPr>
          <w:rFonts w:hint="eastAsia" w:ascii="宋体" w:hAnsi="宋体"/>
          <w:color w:val="000000"/>
          <w:spacing w:val="6"/>
          <w:sz w:val="24"/>
          <w:u w:val="single"/>
        </w:rPr>
        <w:t>（项目</w:t>
      </w:r>
      <w:r>
        <w:rPr>
          <w:rFonts w:ascii="宋体" w:hAnsi="宋体"/>
          <w:color w:val="000000"/>
          <w:spacing w:val="6"/>
          <w:sz w:val="24"/>
          <w:u w:val="single"/>
        </w:rPr>
        <w:t>名称</w:t>
      </w:r>
      <w:r>
        <w:rPr>
          <w:rFonts w:hint="eastAsia" w:ascii="宋体" w:hAnsi="宋体"/>
          <w:color w:val="000000"/>
          <w:spacing w:val="6"/>
          <w:sz w:val="24"/>
          <w:u w:val="single"/>
        </w:rPr>
        <w:t xml:space="preserve">）    </w:t>
      </w:r>
      <w:r>
        <w:rPr>
          <w:rFonts w:hint="eastAsia" w:ascii="宋体" w:hAnsi="宋体"/>
          <w:color w:val="000000"/>
          <w:spacing w:val="6"/>
          <w:sz w:val="24"/>
        </w:rPr>
        <w:t>采购活动提供本企业的服务或货物，由本企业提供货物、服务，或者提供其他</w:t>
      </w:r>
      <w:r>
        <w:rPr>
          <w:rFonts w:ascii="宋体" w:hAnsi="宋体"/>
          <w:color w:val="000000"/>
          <w:spacing w:val="6"/>
          <w:sz w:val="24"/>
          <w:u w:val="single"/>
        </w:rPr>
        <w:t xml:space="preserve">       </w:t>
      </w:r>
      <w:r>
        <w:rPr>
          <w:rFonts w:hint="eastAsia" w:ascii="宋体" w:hAnsi="宋体"/>
          <w:color w:val="000000"/>
          <w:spacing w:val="6"/>
          <w:sz w:val="24"/>
        </w:rPr>
        <w:t>（请填写：中型、小型、微型，或监狱</w:t>
      </w:r>
      <w:r>
        <w:rPr>
          <w:rFonts w:ascii="宋体" w:hAnsi="宋体"/>
          <w:color w:val="000000"/>
          <w:spacing w:val="6"/>
          <w:sz w:val="24"/>
        </w:rPr>
        <w:t>和残疾人福利</w:t>
      </w:r>
      <w:r>
        <w:rPr>
          <w:rFonts w:hint="eastAsia" w:ascii="宋体" w:hAnsi="宋体"/>
          <w:color w:val="000000"/>
          <w:spacing w:val="6"/>
          <w:sz w:val="24"/>
        </w:rPr>
        <w:t>）企业的货物或服务。</w:t>
      </w:r>
    </w:p>
    <w:p>
      <w:pPr>
        <w:pStyle w:val="173"/>
        <w:spacing w:line="500" w:lineRule="exact"/>
        <w:ind w:firstLine="506" w:firstLineChars="200"/>
        <w:jc w:val="center"/>
        <w:rPr>
          <w:rFonts w:hint="eastAsia" w:ascii="宋体" w:hAnsi="宋体"/>
          <w:b/>
          <w:color w:val="000000"/>
          <w:spacing w:val="6"/>
          <w:sz w:val="24"/>
        </w:rPr>
      </w:pPr>
      <w:r>
        <w:rPr>
          <w:rFonts w:hint="eastAsia" w:ascii="宋体" w:hAnsi="宋体"/>
          <w:b/>
          <w:color w:val="000000"/>
          <w:spacing w:val="6"/>
          <w:sz w:val="24"/>
        </w:rPr>
        <w:t>投标企业基本情况</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527"/>
        <w:gridCol w:w="1417"/>
        <w:gridCol w:w="1412"/>
        <w:gridCol w:w="1282"/>
        <w:gridCol w:w="127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8"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企业名称</w:t>
            </w:r>
          </w:p>
        </w:tc>
        <w:tc>
          <w:tcPr>
            <w:tcW w:w="1527"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企业类别</w:t>
            </w:r>
          </w:p>
        </w:tc>
        <w:tc>
          <w:tcPr>
            <w:tcW w:w="1417"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从业人员（人）</w:t>
            </w:r>
          </w:p>
        </w:tc>
        <w:tc>
          <w:tcPr>
            <w:tcW w:w="1412"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营业收入（万元）</w:t>
            </w:r>
          </w:p>
        </w:tc>
        <w:tc>
          <w:tcPr>
            <w:tcW w:w="1282"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资产总额（万元）</w:t>
            </w:r>
          </w:p>
        </w:tc>
        <w:tc>
          <w:tcPr>
            <w:tcW w:w="1276"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提供产品名称</w:t>
            </w:r>
          </w:p>
        </w:tc>
        <w:tc>
          <w:tcPr>
            <w:tcW w:w="1291"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8" w:type="dxa"/>
            <w:noWrap w:val="0"/>
            <w:vAlign w:val="center"/>
          </w:tcPr>
          <w:p>
            <w:pPr>
              <w:pStyle w:val="173"/>
              <w:spacing w:line="588" w:lineRule="exact"/>
              <w:jc w:val="center"/>
              <w:rPr>
                <w:rFonts w:hint="eastAsia" w:ascii="宋体" w:hAnsi="宋体"/>
                <w:color w:val="000000"/>
                <w:spacing w:val="6"/>
                <w:sz w:val="24"/>
              </w:rPr>
            </w:pPr>
          </w:p>
        </w:tc>
        <w:tc>
          <w:tcPr>
            <w:tcW w:w="1527"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2" w:type="dxa"/>
            <w:noWrap w:val="0"/>
            <w:vAlign w:val="center"/>
          </w:tcPr>
          <w:p>
            <w:pPr>
              <w:pStyle w:val="173"/>
              <w:spacing w:line="588" w:lineRule="exact"/>
              <w:jc w:val="center"/>
              <w:rPr>
                <w:rFonts w:hint="eastAsia" w:ascii="宋体" w:hAnsi="宋体"/>
                <w:color w:val="000000"/>
                <w:spacing w:val="6"/>
                <w:sz w:val="24"/>
              </w:rPr>
            </w:pPr>
          </w:p>
        </w:tc>
        <w:tc>
          <w:tcPr>
            <w:tcW w:w="1282" w:type="dxa"/>
            <w:noWrap w:val="0"/>
            <w:vAlign w:val="center"/>
          </w:tcPr>
          <w:p>
            <w:pPr>
              <w:pStyle w:val="173"/>
              <w:spacing w:line="588" w:lineRule="exact"/>
              <w:jc w:val="center"/>
              <w:rPr>
                <w:rFonts w:hint="eastAsia" w:ascii="宋体" w:hAnsi="宋体"/>
                <w:color w:val="000000"/>
                <w:spacing w:val="6"/>
                <w:sz w:val="24"/>
              </w:rPr>
            </w:pPr>
          </w:p>
        </w:tc>
        <w:tc>
          <w:tcPr>
            <w:tcW w:w="1276" w:type="dxa"/>
            <w:noWrap w:val="0"/>
            <w:vAlign w:val="center"/>
          </w:tcPr>
          <w:p>
            <w:pPr>
              <w:pStyle w:val="173"/>
              <w:spacing w:line="588" w:lineRule="exact"/>
              <w:jc w:val="center"/>
              <w:rPr>
                <w:rFonts w:hint="eastAsia" w:ascii="宋体" w:hAnsi="宋体"/>
                <w:color w:val="000000"/>
                <w:spacing w:val="6"/>
                <w:sz w:val="24"/>
              </w:rPr>
            </w:pPr>
          </w:p>
        </w:tc>
        <w:tc>
          <w:tcPr>
            <w:tcW w:w="1291" w:type="dxa"/>
            <w:noWrap w:val="0"/>
            <w:vAlign w:val="center"/>
          </w:tcPr>
          <w:p>
            <w:pPr>
              <w:pStyle w:val="173"/>
              <w:jc w:val="center"/>
              <w:rPr>
                <w:rFonts w:hint="eastAsia" w:ascii="宋体" w:hAnsi="宋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8" w:type="dxa"/>
            <w:noWrap w:val="0"/>
            <w:vAlign w:val="center"/>
          </w:tcPr>
          <w:p>
            <w:pPr>
              <w:pStyle w:val="173"/>
              <w:spacing w:line="588" w:lineRule="exact"/>
              <w:jc w:val="center"/>
              <w:rPr>
                <w:rFonts w:hint="eastAsia" w:ascii="宋体" w:hAnsi="宋体"/>
                <w:color w:val="000000"/>
                <w:spacing w:val="6"/>
                <w:sz w:val="24"/>
              </w:rPr>
            </w:pPr>
          </w:p>
        </w:tc>
        <w:tc>
          <w:tcPr>
            <w:tcW w:w="1527"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2" w:type="dxa"/>
            <w:noWrap w:val="0"/>
            <w:vAlign w:val="center"/>
          </w:tcPr>
          <w:p>
            <w:pPr>
              <w:pStyle w:val="173"/>
              <w:spacing w:line="588" w:lineRule="exact"/>
              <w:jc w:val="center"/>
              <w:rPr>
                <w:rFonts w:hint="eastAsia" w:ascii="宋体" w:hAnsi="宋体"/>
                <w:color w:val="000000"/>
                <w:spacing w:val="6"/>
                <w:sz w:val="24"/>
              </w:rPr>
            </w:pPr>
          </w:p>
        </w:tc>
        <w:tc>
          <w:tcPr>
            <w:tcW w:w="1282" w:type="dxa"/>
            <w:noWrap w:val="0"/>
            <w:vAlign w:val="center"/>
          </w:tcPr>
          <w:p>
            <w:pPr>
              <w:pStyle w:val="173"/>
              <w:spacing w:line="588" w:lineRule="exact"/>
              <w:jc w:val="center"/>
              <w:rPr>
                <w:rFonts w:hint="eastAsia" w:ascii="宋体" w:hAnsi="宋体"/>
                <w:color w:val="000000"/>
                <w:spacing w:val="6"/>
                <w:sz w:val="24"/>
              </w:rPr>
            </w:pPr>
          </w:p>
        </w:tc>
        <w:tc>
          <w:tcPr>
            <w:tcW w:w="1276" w:type="dxa"/>
            <w:noWrap w:val="0"/>
            <w:vAlign w:val="center"/>
          </w:tcPr>
          <w:p>
            <w:pPr>
              <w:pStyle w:val="173"/>
              <w:spacing w:line="588" w:lineRule="exact"/>
              <w:jc w:val="center"/>
              <w:rPr>
                <w:rFonts w:hint="eastAsia" w:ascii="宋体" w:hAnsi="宋体"/>
                <w:color w:val="000000"/>
                <w:spacing w:val="6"/>
                <w:sz w:val="24"/>
              </w:rPr>
            </w:pPr>
          </w:p>
        </w:tc>
        <w:tc>
          <w:tcPr>
            <w:tcW w:w="1291" w:type="dxa"/>
            <w:noWrap w:val="0"/>
            <w:vAlign w:val="center"/>
          </w:tcPr>
          <w:p>
            <w:pPr>
              <w:pStyle w:val="173"/>
              <w:jc w:val="center"/>
              <w:rPr>
                <w:rFonts w:hint="eastAsia" w:ascii="宋体" w:hAnsi="宋体"/>
                <w:color w:val="000000"/>
                <w:spacing w:val="6"/>
                <w:szCs w:val="21"/>
              </w:rPr>
            </w:pPr>
          </w:p>
        </w:tc>
      </w:tr>
    </w:tbl>
    <w:p>
      <w:pPr>
        <w:pStyle w:val="173"/>
        <w:spacing w:line="500" w:lineRule="exact"/>
        <w:ind w:firstLine="506" w:firstLineChars="200"/>
        <w:jc w:val="center"/>
        <w:rPr>
          <w:rFonts w:hint="eastAsia" w:ascii="宋体" w:hAnsi="宋体"/>
          <w:b/>
          <w:color w:val="000000"/>
          <w:spacing w:val="6"/>
          <w:sz w:val="24"/>
        </w:rPr>
      </w:pPr>
      <w:r>
        <w:rPr>
          <w:rFonts w:hint="eastAsia" w:ascii="宋体" w:hAnsi="宋体"/>
          <w:b/>
          <w:color w:val="000000"/>
          <w:spacing w:val="6"/>
          <w:sz w:val="24"/>
        </w:rPr>
        <w:t>制造企业基本情况</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企业名称</w:t>
            </w:r>
          </w:p>
        </w:tc>
        <w:tc>
          <w:tcPr>
            <w:tcW w:w="1417"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企业类别</w:t>
            </w:r>
          </w:p>
        </w:tc>
        <w:tc>
          <w:tcPr>
            <w:tcW w:w="1417"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从业人员（人）</w:t>
            </w:r>
          </w:p>
        </w:tc>
        <w:tc>
          <w:tcPr>
            <w:tcW w:w="1412"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营业收入（万元）</w:t>
            </w:r>
          </w:p>
        </w:tc>
        <w:tc>
          <w:tcPr>
            <w:tcW w:w="1282"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资产总额（万元）</w:t>
            </w:r>
          </w:p>
        </w:tc>
        <w:tc>
          <w:tcPr>
            <w:tcW w:w="1276"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制造产品名称</w:t>
            </w:r>
          </w:p>
        </w:tc>
        <w:tc>
          <w:tcPr>
            <w:tcW w:w="1291" w:type="dxa"/>
            <w:noWrap w:val="0"/>
            <w:vAlign w:val="center"/>
          </w:tcPr>
          <w:p>
            <w:pPr>
              <w:pStyle w:val="173"/>
              <w:jc w:val="center"/>
              <w:rPr>
                <w:rFonts w:hint="eastAsia" w:ascii="宋体" w:hAnsi="宋体"/>
                <w:b/>
                <w:color w:val="000000"/>
                <w:spacing w:val="6"/>
                <w:sz w:val="24"/>
              </w:rPr>
            </w:pPr>
            <w:r>
              <w:rPr>
                <w:rFonts w:hint="eastAsia" w:ascii="宋体" w:hAnsi="宋体"/>
                <w:b/>
                <w:color w:val="000000"/>
                <w:spacing w:val="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2" w:type="dxa"/>
            <w:noWrap w:val="0"/>
            <w:vAlign w:val="center"/>
          </w:tcPr>
          <w:p>
            <w:pPr>
              <w:pStyle w:val="173"/>
              <w:spacing w:line="588" w:lineRule="exact"/>
              <w:jc w:val="center"/>
              <w:rPr>
                <w:rFonts w:hint="eastAsia" w:ascii="宋体" w:hAnsi="宋体"/>
                <w:color w:val="000000"/>
                <w:spacing w:val="6"/>
                <w:sz w:val="24"/>
              </w:rPr>
            </w:pPr>
          </w:p>
        </w:tc>
        <w:tc>
          <w:tcPr>
            <w:tcW w:w="1282" w:type="dxa"/>
            <w:noWrap w:val="0"/>
            <w:vAlign w:val="center"/>
          </w:tcPr>
          <w:p>
            <w:pPr>
              <w:pStyle w:val="173"/>
              <w:spacing w:line="588" w:lineRule="exact"/>
              <w:jc w:val="center"/>
              <w:rPr>
                <w:rFonts w:hint="eastAsia" w:ascii="宋体" w:hAnsi="宋体"/>
                <w:color w:val="000000"/>
                <w:spacing w:val="6"/>
                <w:sz w:val="24"/>
              </w:rPr>
            </w:pPr>
          </w:p>
        </w:tc>
        <w:tc>
          <w:tcPr>
            <w:tcW w:w="1276" w:type="dxa"/>
            <w:noWrap w:val="0"/>
            <w:vAlign w:val="center"/>
          </w:tcPr>
          <w:p>
            <w:pPr>
              <w:pStyle w:val="173"/>
              <w:spacing w:line="588" w:lineRule="exact"/>
              <w:jc w:val="center"/>
              <w:rPr>
                <w:rFonts w:hint="eastAsia" w:ascii="宋体" w:hAnsi="宋体"/>
                <w:color w:val="000000"/>
                <w:spacing w:val="6"/>
                <w:sz w:val="24"/>
              </w:rPr>
            </w:pPr>
          </w:p>
        </w:tc>
        <w:tc>
          <w:tcPr>
            <w:tcW w:w="1291" w:type="dxa"/>
            <w:noWrap w:val="0"/>
            <w:vAlign w:val="center"/>
          </w:tcPr>
          <w:p>
            <w:pPr>
              <w:pStyle w:val="173"/>
              <w:jc w:val="center"/>
              <w:rPr>
                <w:rFonts w:hint="eastAsia" w:ascii="宋体" w:hAnsi="宋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7" w:type="dxa"/>
            <w:noWrap w:val="0"/>
            <w:vAlign w:val="center"/>
          </w:tcPr>
          <w:p>
            <w:pPr>
              <w:pStyle w:val="173"/>
              <w:spacing w:line="588" w:lineRule="exact"/>
              <w:jc w:val="center"/>
              <w:rPr>
                <w:rFonts w:hint="eastAsia" w:ascii="宋体" w:hAnsi="宋体"/>
                <w:color w:val="000000"/>
                <w:spacing w:val="6"/>
                <w:sz w:val="24"/>
              </w:rPr>
            </w:pPr>
          </w:p>
        </w:tc>
        <w:tc>
          <w:tcPr>
            <w:tcW w:w="1412" w:type="dxa"/>
            <w:noWrap w:val="0"/>
            <w:vAlign w:val="center"/>
          </w:tcPr>
          <w:p>
            <w:pPr>
              <w:pStyle w:val="173"/>
              <w:spacing w:line="588" w:lineRule="exact"/>
              <w:jc w:val="center"/>
              <w:rPr>
                <w:rFonts w:hint="eastAsia" w:ascii="宋体" w:hAnsi="宋体"/>
                <w:color w:val="000000"/>
                <w:spacing w:val="6"/>
                <w:sz w:val="24"/>
              </w:rPr>
            </w:pPr>
          </w:p>
        </w:tc>
        <w:tc>
          <w:tcPr>
            <w:tcW w:w="1282" w:type="dxa"/>
            <w:noWrap w:val="0"/>
            <w:vAlign w:val="center"/>
          </w:tcPr>
          <w:p>
            <w:pPr>
              <w:pStyle w:val="173"/>
              <w:spacing w:line="588" w:lineRule="exact"/>
              <w:jc w:val="center"/>
              <w:rPr>
                <w:rFonts w:hint="eastAsia" w:ascii="宋体" w:hAnsi="宋体"/>
                <w:color w:val="000000"/>
                <w:spacing w:val="6"/>
                <w:sz w:val="24"/>
              </w:rPr>
            </w:pPr>
          </w:p>
        </w:tc>
        <w:tc>
          <w:tcPr>
            <w:tcW w:w="1276" w:type="dxa"/>
            <w:noWrap w:val="0"/>
            <w:vAlign w:val="center"/>
          </w:tcPr>
          <w:p>
            <w:pPr>
              <w:pStyle w:val="173"/>
              <w:spacing w:line="588" w:lineRule="exact"/>
              <w:jc w:val="center"/>
              <w:rPr>
                <w:rFonts w:hint="eastAsia" w:ascii="宋体" w:hAnsi="宋体"/>
                <w:color w:val="000000"/>
                <w:spacing w:val="6"/>
                <w:sz w:val="24"/>
              </w:rPr>
            </w:pPr>
          </w:p>
        </w:tc>
        <w:tc>
          <w:tcPr>
            <w:tcW w:w="1291" w:type="dxa"/>
            <w:noWrap w:val="0"/>
            <w:vAlign w:val="center"/>
          </w:tcPr>
          <w:p>
            <w:pPr>
              <w:pStyle w:val="173"/>
              <w:jc w:val="center"/>
              <w:rPr>
                <w:rFonts w:hint="eastAsia" w:ascii="宋体" w:hAnsi="宋体"/>
                <w:color w:val="000000"/>
                <w:spacing w:val="6"/>
                <w:szCs w:val="21"/>
              </w:rPr>
            </w:pPr>
          </w:p>
        </w:tc>
      </w:tr>
    </w:tbl>
    <w:p>
      <w:pPr>
        <w:pStyle w:val="173"/>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本公司对上述声明的真实性负责。如有虚假，将依法承担相应责任。</w:t>
      </w:r>
    </w:p>
    <w:p>
      <w:pPr>
        <w:pStyle w:val="171"/>
        <w:spacing w:line="520" w:lineRule="exact"/>
        <w:ind w:firstLine="2240" w:firstLineChars="800"/>
        <w:rPr>
          <w:rFonts w:hint="eastAsia" w:hAnsi="宋体"/>
          <w:color w:val="000000"/>
          <w:spacing w:val="20"/>
          <w:sz w:val="24"/>
          <w:lang w:val="en-US" w:eastAsia="zh-CN"/>
        </w:rPr>
      </w:pPr>
    </w:p>
    <w:p>
      <w:pPr>
        <w:pStyle w:val="171"/>
        <w:spacing w:line="520" w:lineRule="exact"/>
        <w:ind w:firstLine="560" w:firstLineChars="200"/>
        <w:rPr>
          <w:rFonts w:hint="eastAsia" w:hAnsi="宋体"/>
          <w:color w:val="000000"/>
          <w:spacing w:val="20"/>
          <w:sz w:val="24"/>
          <w:u w:val="single"/>
          <w:lang w:val="en-US" w:eastAsia="zh-CN"/>
        </w:rPr>
      </w:pPr>
      <w:r>
        <w:rPr>
          <w:rFonts w:hint="eastAsia" w:hAnsi="宋体"/>
          <w:color w:val="000000"/>
          <w:spacing w:val="20"/>
          <w:sz w:val="24"/>
        </w:rPr>
        <w:t>投标人盖章：</w:t>
      </w:r>
      <w:r>
        <w:rPr>
          <w:rFonts w:hint="eastAsia" w:hAnsi="宋体"/>
          <w:color w:val="000000"/>
          <w:spacing w:val="20"/>
          <w:sz w:val="24"/>
          <w:u w:val="single"/>
        </w:rPr>
        <w:t xml:space="preserve">            </w:t>
      </w:r>
      <w:r>
        <w:rPr>
          <w:rFonts w:hint="eastAsia" w:hAnsi="宋体"/>
          <w:color w:val="000000"/>
          <w:spacing w:val="20"/>
          <w:sz w:val="24"/>
          <w:u w:val="single"/>
          <w:lang w:val="en-US" w:eastAsia="zh-CN"/>
        </w:rPr>
        <w:t xml:space="preserve"> </w:t>
      </w:r>
    </w:p>
    <w:p>
      <w:pPr>
        <w:pStyle w:val="171"/>
        <w:spacing w:line="520" w:lineRule="exact"/>
        <w:ind w:firstLine="560" w:firstLineChars="200"/>
        <w:rPr>
          <w:rFonts w:hint="eastAsia" w:hAnsi="宋体"/>
          <w:color w:val="000000"/>
          <w:spacing w:val="20"/>
          <w:sz w:val="24"/>
          <w:u w:val="none"/>
          <w:lang w:val="en-US" w:eastAsia="zh-CN"/>
        </w:rPr>
      </w:pPr>
      <w:r>
        <w:rPr>
          <w:rFonts w:hint="eastAsia" w:hAnsi="宋体"/>
          <w:color w:val="000000"/>
          <w:spacing w:val="20"/>
          <w:sz w:val="24"/>
        </w:rPr>
        <w:t>日     期：</w:t>
      </w:r>
      <w:r>
        <w:rPr>
          <w:rFonts w:hint="eastAsia" w:hAnsi="宋体"/>
          <w:color w:val="000000"/>
          <w:spacing w:val="20"/>
          <w:sz w:val="24"/>
          <w:u w:val="single"/>
        </w:rPr>
        <w:t xml:space="preserve">         </w:t>
      </w:r>
      <w:r>
        <w:rPr>
          <w:rFonts w:hint="eastAsia" w:hAnsi="宋体"/>
          <w:color w:val="000000"/>
          <w:spacing w:val="20"/>
          <w:sz w:val="24"/>
          <w:u w:val="none"/>
          <w:lang w:val="en-US" w:eastAsia="zh-CN"/>
        </w:rPr>
        <w:t xml:space="preserve">      </w:t>
      </w:r>
    </w:p>
    <w:p>
      <w:pPr>
        <w:pStyle w:val="171"/>
        <w:spacing w:line="520" w:lineRule="exact"/>
        <w:ind w:firstLine="5320" w:firstLineChars="1900"/>
        <w:rPr>
          <w:rFonts w:hint="eastAsia" w:hAnsi="宋体"/>
          <w:color w:val="000000"/>
          <w:spacing w:val="20"/>
          <w:sz w:val="24"/>
          <w:u w:val="none"/>
          <w:lang w:val="en-US" w:eastAsia="zh-CN"/>
        </w:rPr>
      </w:pPr>
    </w:p>
    <w:p>
      <w:pPr>
        <w:pStyle w:val="7"/>
        <w:keepNext/>
        <w:keepLines/>
        <w:pageBreakBefore/>
        <w:widowControl w:val="0"/>
        <w:kinsoku/>
        <w:wordWrap/>
        <w:overflowPunct/>
        <w:topLinePunct w:val="0"/>
        <w:autoSpaceDE/>
        <w:autoSpaceDN/>
        <w:bidi w:val="0"/>
        <w:adjustRightInd/>
        <w:snapToGrid/>
        <w:spacing w:before="100" w:after="100"/>
        <w:ind w:firstLine="643" w:firstLineChars="200"/>
        <w:jc w:val="center"/>
        <w:textAlignment w:val="auto"/>
        <w:rPr>
          <w:rFonts w:hint="eastAsia" w:ascii="宋体" w:hAnsi="宋体" w:eastAsia="宋体" w:cs="宋体"/>
          <w:color w:val="auto"/>
          <w:sz w:val="32"/>
          <w:szCs w:val="32"/>
        </w:rPr>
      </w:pPr>
      <w:bookmarkStart w:id="215" w:name="_Toc2427"/>
      <w:bookmarkStart w:id="216" w:name="_Toc11517"/>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、其他</w:t>
      </w:r>
      <w:bookmarkEnd w:id="212"/>
      <w:bookmarkEnd w:id="213"/>
      <w:bookmarkEnd w:id="214"/>
      <w:bookmarkEnd w:id="215"/>
      <w:bookmarkEnd w:id="216"/>
    </w:p>
    <w:p>
      <w:pPr>
        <w:pStyle w:val="201"/>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除招标文件规定的资信及商务文件要求格式外，投标人还可以提供如下证明材料：</w:t>
      </w:r>
    </w:p>
    <w:p>
      <w:pPr>
        <w:pStyle w:val="201"/>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1 \* GB2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⑴</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资信及商务评标办法要求的其他资料；</w:t>
      </w:r>
    </w:p>
    <w:p>
      <w:pPr>
        <w:pStyle w:val="201"/>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2 \* GB2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⑵</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投标人认为可以证明其资信及商务方面的其他材料，但不得出现报价。</w:t>
      </w:r>
    </w:p>
    <w:p>
      <w:pPr>
        <w:pStyle w:val="201"/>
        <w:spacing w:line="360" w:lineRule="auto"/>
        <w:ind w:firstLine="420" w:firstLineChars="200"/>
        <w:rPr>
          <w:rFonts w:hint="eastAsia" w:ascii="宋体" w:hAnsi="宋体" w:eastAsia="宋体" w:cs="宋体"/>
          <w:color w:val="auto"/>
        </w:rPr>
      </w:pPr>
    </w:p>
    <w:p>
      <w:pPr>
        <w:pStyle w:val="201"/>
        <w:spacing w:before="156" w:after="156" w:line="360" w:lineRule="auto"/>
        <w:ind w:firstLine="480" w:firstLineChars="200"/>
        <w:rPr>
          <w:rFonts w:hint="eastAsia" w:ascii="宋体" w:hAnsi="宋体" w:eastAsia="宋体" w:cs="宋体"/>
          <w:color w:val="auto"/>
          <w:sz w:val="24"/>
          <w:szCs w:val="21"/>
        </w:rPr>
      </w:pPr>
    </w:p>
    <w:p>
      <w:pPr>
        <w:pStyle w:val="8"/>
        <w:ind w:firstLine="0"/>
        <w:jc w:val="center"/>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p>
      <w:pPr>
        <w:pStyle w:val="23"/>
        <w:spacing w:line="560" w:lineRule="exact"/>
        <w:rPr>
          <w:rFonts w:hint="eastAsia" w:ascii="宋体" w:hAnsi="宋体" w:eastAsia="宋体" w:cs="宋体"/>
          <w:color w:val="auto"/>
          <w:sz w:val="30"/>
        </w:rPr>
      </w:pPr>
    </w:p>
    <w:bookmarkEnd w:id="205"/>
    <w:bookmarkEnd w:id="206"/>
    <w:p>
      <w:pPr>
        <w:pStyle w:val="7"/>
        <w:ind w:firstLine="600" w:firstLineChars="200"/>
        <w:jc w:val="center"/>
        <w:rPr>
          <w:rFonts w:hint="eastAsia" w:ascii="宋体" w:hAnsi="宋体" w:eastAsia="宋体" w:cs="宋体"/>
          <w:b w:val="0"/>
          <w:bCs w:val="0"/>
          <w:color w:val="auto"/>
        </w:rPr>
      </w:pPr>
      <w:bookmarkStart w:id="217" w:name="_Toc2757"/>
      <w:bookmarkStart w:id="218" w:name="_Toc65051207"/>
      <w:bookmarkStart w:id="219" w:name="_Toc29397"/>
      <w:bookmarkStart w:id="220" w:name="_Toc58318190"/>
      <w:bookmarkStart w:id="221" w:name="_Toc26894"/>
      <w:r>
        <w:rPr>
          <w:rFonts w:hint="eastAsia" w:ascii="宋体" w:hAnsi="宋体" w:eastAsia="宋体" w:cs="宋体"/>
          <w:b w:val="0"/>
          <w:bCs w:val="0"/>
          <w:color w:val="auto"/>
          <w:lang w:eastAsia="zh-CN"/>
        </w:rPr>
        <w:t>（</w:t>
      </w:r>
      <w:r>
        <w:rPr>
          <w:rFonts w:hint="eastAsia" w:ascii="宋体" w:hAnsi="宋体" w:eastAsia="宋体" w:cs="宋体"/>
          <w:b w:val="0"/>
          <w:bCs w:val="0"/>
          <w:color w:val="auto"/>
          <w:lang w:val="en-US" w:eastAsia="zh-CN"/>
        </w:rPr>
        <w:t>二</w:t>
      </w:r>
      <w:r>
        <w:rPr>
          <w:rFonts w:hint="eastAsia" w:ascii="宋体" w:hAnsi="宋体" w:eastAsia="宋体" w:cs="宋体"/>
          <w:b w:val="0"/>
          <w:bCs w:val="0"/>
          <w:color w:val="auto"/>
          <w:lang w:eastAsia="zh-CN"/>
        </w:rPr>
        <w:t>）</w:t>
      </w:r>
      <w:r>
        <w:rPr>
          <w:rFonts w:hint="eastAsia" w:ascii="宋体" w:hAnsi="宋体" w:eastAsia="宋体" w:cs="宋体"/>
          <w:b w:val="0"/>
          <w:bCs w:val="0"/>
          <w:color w:val="auto"/>
        </w:rPr>
        <w:t xml:space="preserve"> 技术文件格式</w:t>
      </w:r>
      <w:bookmarkEnd w:id="217"/>
      <w:bookmarkEnd w:id="218"/>
      <w:bookmarkEnd w:id="219"/>
      <w:bookmarkEnd w:id="220"/>
      <w:bookmarkEnd w:id="221"/>
      <w:bookmarkStart w:id="222" w:name="_Toc208049590"/>
    </w:p>
    <w:p>
      <w:pPr>
        <w:pStyle w:val="8"/>
        <w:spacing w:line="720" w:lineRule="auto"/>
        <w:ind w:firstLine="723" w:firstLineChars="200"/>
        <w:jc w:val="center"/>
        <w:rPr>
          <w:rFonts w:hint="eastAsia" w:ascii="宋体" w:hAnsi="宋体" w:eastAsia="宋体" w:cs="宋体"/>
          <w:b/>
          <w:color w:val="auto"/>
          <w:kern w:val="0"/>
          <w:sz w:val="36"/>
        </w:rPr>
      </w:pPr>
      <w:r>
        <w:rPr>
          <w:rFonts w:hint="eastAsia" w:ascii="宋体" w:hAnsi="宋体" w:eastAsia="宋体" w:cs="宋体"/>
          <w:b/>
          <w:color w:val="auto"/>
          <w:kern w:val="0"/>
          <w:sz w:val="36"/>
        </w:rPr>
        <w:t>目录</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对本项目的理解和重点难点分析</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维护实施方案</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人员配备情况</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质量保证措施</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安全保障措施</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应急保障方案</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运行维护方案</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培训方案</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售后服务及运行维护承诺</w:t>
      </w:r>
    </w:p>
    <w:p>
      <w:pPr>
        <w:numPr>
          <w:ilvl w:val="0"/>
          <w:numId w:val="11"/>
        </w:numPr>
        <w:spacing w:line="360" w:lineRule="auto"/>
        <w:ind w:firstLine="600" w:firstLineChars="200"/>
        <w:rPr>
          <w:rFonts w:hint="eastAsia" w:ascii="宋体" w:hAnsi="宋体" w:eastAsia="宋体" w:cs="宋体"/>
          <w:color w:val="auto"/>
          <w:sz w:val="30"/>
          <w:lang w:val="en-US" w:eastAsia="zh-CN"/>
        </w:rPr>
      </w:pPr>
      <w:r>
        <w:rPr>
          <w:rFonts w:hint="eastAsia" w:ascii="宋体" w:hAnsi="宋体" w:eastAsia="宋体" w:cs="宋体"/>
          <w:color w:val="auto"/>
          <w:sz w:val="30"/>
          <w:lang w:val="en-US" w:eastAsia="zh-CN"/>
        </w:rPr>
        <w:t>技术评分办法要求提供的其他资料，不得出现报价</w:t>
      </w:r>
    </w:p>
    <w:p>
      <w:pPr>
        <w:spacing w:line="360" w:lineRule="auto"/>
        <w:rPr>
          <w:rFonts w:hint="eastAsia" w:ascii="宋体" w:hAnsi="宋体" w:eastAsia="宋体" w:cs="宋体"/>
          <w:color w:val="auto"/>
          <w:sz w:val="30"/>
        </w:rPr>
      </w:pPr>
    </w:p>
    <w:p>
      <w:pPr>
        <w:jc w:val="center"/>
        <w:rPr>
          <w:rFonts w:hint="eastAsia" w:ascii="宋体" w:hAnsi="宋体" w:eastAsia="宋体" w:cs="宋体"/>
          <w:color w:val="auto"/>
          <w:sz w:val="30"/>
        </w:rPr>
      </w:pPr>
    </w:p>
    <w:p>
      <w:pPr>
        <w:jc w:val="center"/>
        <w:rPr>
          <w:rFonts w:hint="eastAsia" w:ascii="宋体" w:hAnsi="宋体" w:eastAsia="宋体" w:cs="宋体"/>
          <w:color w:val="auto"/>
          <w:sz w:val="30"/>
        </w:rPr>
      </w:pPr>
    </w:p>
    <w:p>
      <w:pPr>
        <w:jc w:val="center"/>
        <w:rPr>
          <w:rFonts w:hint="eastAsia" w:ascii="宋体" w:hAnsi="宋体" w:eastAsia="宋体" w:cs="宋体"/>
          <w:color w:val="auto"/>
          <w:sz w:val="30"/>
        </w:rPr>
      </w:pPr>
    </w:p>
    <w:p>
      <w:pPr>
        <w:jc w:val="center"/>
        <w:rPr>
          <w:rFonts w:hint="eastAsia" w:ascii="宋体" w:hAnsi="宋体" w:eastAsia="宋体" w:cs="宋体"/>
          <w:color w:val="auto"/>
          <w:sz w:val="30"/>
        </w:rPr>
      </w:pPr>
    </w:p>
    <w:p>
      <w:pPr>
        <w:jc w:val="center"/>
        <w:rPr>
          <w:rFonts w:hint="eastAsia" w:ascii="宋体" w:hAnsi="宋体" w:eastAsia="宋体" w:cs="宋体"/>
          <w:color w:val="auto"/>
          <w:sz w:val="30"/>
        </w:rPr>
      </w:pPr>
    </w:p>
    <w:p>
      <w:pPr>
        <w:pStyle w:val="7"/>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ascii="宋体" w:hAnsi="宋体" w:eastAsia="宋体" w:cs="宋体"/>
          <w:color w:val="000000"/>
          <w:lang w:val="en-US" w:eastAsia="zh-CN"/>
        </w:rPr>
      </w:pPr>
      <w:bookmarkStart w:id="223" w:name="_Toc6602"/>
      <w:bookmarkStart w:id="224" w:name="_Toc23098164"/>
      <w:r>
        <w:rPr>
          <w:rFonts w:hint="eastAsia" w:ascii="宋体" w:hAnsi="宋体" w:eastAsia="宋体" w:cs="宋体"/>
          <w:color w:val="auto"/>
        </w:rPr>
        <w:br w:type="page"/>
      </w:r>
      <w:bookmarkEnd w:id="223"/>
      <w:bookmarkEnd w:id="224"/>
    </w:p>
    <w:p>
      <w:pPr>
        <w:pStyle w:val="3"/>
        <w:rPr>
          <w:rFonts w:hint="eastAsia" w:ascii="宋体" w:hAnsi="宋体"/>
          <w:color w:val="000000"/>
          <w:sz w:val="30"/>
        </w:rPr>
      </w:pPr>
      <w:bookmarkStart w:id="225" w:name="_Toc18793"/>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26" w:name="_Toc14558"/>
      <w:bookmarkStart w:id="227" w:name="_Toc30311"/>
      <w:r>
        <w:rPr>
          <w:rFonts w:hint="eastAsia" w:ascii="宋体" w:hAnsi="宋体" w:eastAsia="宋体" w:cs="宋体"/>
          <w:color w:val="auto"/>
          <w:sz w:val="32"/>
          <w:szCs w:val="32"/>
          <w:lang w:val="en-US" w:eastAsia="zh-CN"/>
        </w:rPr>
        <w:t>1、对本项目的理解和重点难点分析（格式自拟）</w:t>
      </w:r>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olor w:val="000000"/>
          <w:spacing w:val="20"/>
          <w:sz w:val="24"/>
        </w:rPr>
      </w:pPr>
      <w:r>
        <w:rPr>
          <w:rFonts w:hint="eastAsia" w:ascii="宋体" w:hAnsi="宋体"/>
          <w:color w:val="000000"/>
          <w:spacing w:val="20"/>
          <w:sz w:val="24"/>
        </w:rPr>
        <w:t xml:space="preserve">  </w:t>
      </w: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rPr>
          <w:rFonts w:ascii="宋体" w:hAnsi="宋体"/>
          <w:color w:val="000000"/>
          <w:sz w:val="30"/>
        </w:rPr>
      </w:pPr>
    </w:p>
    <w:p>
      <w:pPr>
        <w:pStyle w:val="8"/>
        <w:spacing w:line="360" w:lineRule="auto"/>
        <w:ind w:firstLine="0"/>
        <w:rPr>
          <w:rFonts w:hint="eastAsia" w:ascii="宋体" w:hAnsi="宋体"/>
          <w:color w:val="000000"/>
          <w:sz w:val="30"/>
        </w:rPr>
      </w:pPr>
    </w:p>
    <w:p>
      <w:pPr>
        <w:pStyle w:val="8"/>
        <w:spacing w:line="360" w:lineRule="auto"/>
        <w:rPr>
          <w:rFonts w:hint="eastAsia" w:ascii="宋体" w:hAnsi="宋体"/>
          <w:color w:val="000000"/>
          <w:sz w:val="30"/>
        </w:rPr>
      </w:pPr>
    </w:p>
    <w:p>
      <w:pPr>
        <w:pStyle w:val="8"/>
        <w:spacing w:line="360" w:lineRule="auto"/>
        <w:rPr>
          <w:rFonts w:hint="eastAsia" w:ascii="宋体" w:hAnsi="宋体"/>
          <w:color w:val="000000"/>
          <w:sz w:val="30"/>
        </w:rPr>
      </w:pPr>
    </w:p>
    <w:p>
      <w:pPr>
        <w:pStyle w:val="8"/>
        <w:spacing w:line="360" w:lineRule="auto"/>
        <w:rPr>
          <w:rFonts w:ascii="宋体" w:hAnsi="宋体"/>
          <w:color w:val="000000"/>
          <w:sz w:val="30"/>
        </w:rPr>
      </w:pP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pStyle w:val="8"/>
        <w:spacing w:line="360" w:lineRule="auto"/>
        <w:rPr>
          <w:rFonts w:ascii="宋体" w:hAnsi="宋体"/>
          <w:color w:val="000000"/>
          <w:sz w:val="30"/>
        </w:rPr>
      </w:pPr>
    </w:p>
    <w:p>
      <w:pPr>
        <w:pStyle w:val="8"/>
        <w:rPr>
          <w:rFonts w:ascii="宋体" w:hAnsi="宋体"/>
          <w:color w:val="000000"/>
          <w:sz w:val="3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pStyle w:val="8"/>
        <w:rPr>
          <w:rFonts w:ascii="宋体" w:hAnsi="宋体"/>
          <w:color w:val="000000"/>
        </w:rPr>
      </w:pPr>
    </w:p>
    <w:p>
      <w:pPr>
        <w:spacing w:line="360" w:lineRule="auto"/>
        <w:jc w:val="center"/>
        <w:rPr>
          <w:rFonts w:hint="eastAsia" w:ascii="宋体" w:hAnsi="宋体"/>
          <w:color w:val="000000"/>
          <w:sz w:val="30"/>
          <w:lang w:val="en-US" w:eastAsia="zh-CN"/>
        </w:rPr>
      </w:pPr>
    </w:p>
    <w:p>
      <w:pPr>
        <w:pStyle w:val="3"/>
        <w:rPr>
          <w:rFonts w:hint="eastAsia" w:ascii="宋体" w:hAnsi="宋体"/>
          <w:color w:val="000000"/>
          <w:sz w:val="30"/>
        </w:rPr>
      </w:pPr>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28" w:name="_Toc24975"/>
      <w:bookmarkStart w:id="229" w:name="_Toc21000"/>
      <w:r>
        <w:rPr>
          <w:rFonts w:hint="eastAsia" w:ascii="宋体" w:hAnsi="宋体" w:eastAsia="宋体" w:cs="宋体"/>
          <w:color w:val="auto"/>
          <w:sz w:val="32"/>
          <w:szCs w:val="32"/>
          <w:lang w:val="en-US" w:eastAsia="zh-CN"/>
        </w:rPr>
        <w:t>2、维护实施方案（格式自拟）</w:t>
      </w:r>
      <w:bookmarkEnd w:id="228"/>
      <w:bookmarkEnd w:id="229"/>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rPr>
          <w:rFonts w:hint="eastAsia" w:ascii="宋体" w:hAnsi="宋体"/>
          <w:color w:val="000000"/>
          <w:sz w:val="28"/>
        </w:rPr>
      </w:pPr>
    </w:p>
    <w:p>
      <w:pPr>
        <w:pStyle w:val="49"/>
        <w:rPr>
          <w:rFonts w:hint="eastAsia" w:ascii="宋体" w:hAnsi="宋体"/>
          <w:color w:val="000000"/>
          <w:sz w:val="28"/>
        </w:rPr>
      </w:pPr>
    </w:p>
    <w:p>
      <w:pPr>
        <w:pStyle w:val="3"/>
        <w:rPr>
          <w:rFonts w:hint="eastAsia" w:ascii="宋体" w:hAnsi="宋体"/>
          <w:color w:val="000000"/>
          <w:sz w:val="28"/>
        </w:rPr>
      </w:pPr>
    </w:p>
    <w:p>
      <w:pPr>
        <w:pStyle w:val="3"/>
        <w:rPr>
          <w:rFonts w:hint="eastAsia" w:ascii="宋体" w:hAnsi="宋体"/>
          <w:color w:val="000000"/>
          <w:sz w:val="28"/>
        </w:rPr>
      </w:pPr>
    </w:p>
    <w:p>
      <w:pPr>
        <w:pStyle w:val="23"/>
        <w:spacing w:line="480" w:lineRule="auto"/>
        <w:ind w:firstLine="560" w:firstLineChars="200"/>
        <w:rPr>
          <w:rFonts w:hint="eastAsia" w:hAnsi="宋体"/>
          <w:spacing w:val="20"/>
          <w:sz w:val="24"/>
        </w:rPr>
      </w:pPr>
      <w:r>
        <w:rPr>
          <w:rFonts w:hint="eastAsia" w:hAnsi="宋体"/>
          <w:spacing w:val="20"/>
          <w:sz w:val="24"/>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spacing w:line="360" w:lineRule="auto"/>
        <w:jc w:val="right"/>
        <w:rPr>
          <w:rFonts w:hint="eastAsia" w:ascii="宋体" w:hAnsi="宋体"/>
          <w:b/>
          <w:color w:val="000000"/>
          <w:sz w:val="24"/>
        </w:rPr>
      </w:pPr>
    </w:p>
    <w:p>
      <w:pPr>
        <w:spacing w:line="360" w:lineRule="auto"/>
        <w:jc w:val="right"/>
        <w:rPr>
          <w:rFonts w:hint="eastAsia" w:ascii="宋体" w:hAnsi="宋体"/>
          <w:b/>
          <w:color w:val="000000"/>
          <w:sz w:val="24"/>
        </w:rPr>
      </w:pPr>
    </w:p>
    <w:p>
      <w:pPr>
        <w:spacing w:line="360" w:lineRule="auto"/>
        <w:ind w:firstLine="600" w:firstLineChars="200"/>
        <w:jc w:val="center"/>
        <w:rPr>
          <w:rFonts w:hint="eastAsia" w:ascii="宋体" w:hAnsi="宋体"/>
          <w:color w:val="000000"/>
          <w:sz w:val="30"/>
          <w:lang w:val="en-US" w:eastAsia="zh-CN"/>
        </w:rPr>
      </w:pPr>
      <w:r>
        <w:rPr>
          <w:rFonts w:ascii="宋体" w:hAnsi="宋体"/>
          <w:color w:val="000000"/>
          <w:sz w:val="30"/>
        </w:rPr>
        <w:br w:type="page"/>
      </w: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30" w:name="_Toc7919"/>
      <w:bookmarkStart w:id="231" w:name="_Toc12330"/>
      <w:r>
        <w:rPr>
          <w:rFonts w:hint="eastAsia" w:ascii="宋体" w:hAnsi="宋体" w:eastAsia="宋体" w:cs="宋体"/>
          <w:color w:val="auto"/>
          <w:sz w:val="32"/>
          <w:szCs w:val="32"/>
          <w:lang w:val="en-US" w:eastAsia="zh-CN"/>
        </w:rPr>
        <w:t>3、人员配备情况（格式自拟）</w:t>
      </w:r>
      <w:bookmarkEnd w:id="230"/>
      <w:bookmarkEnd w:id="231"/>
    </w:p>
    <w:tbl>
      <w:tblPr>
        <w:tblStyle w:val="4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902"/>
        <w:gridCol w:w="1509"/>
        <w:gridCol w:w="1463"/>
        <w:gridCol w:w="1472"/>
        <w:gridCol w:w="1020"/>
        <w:gridCol w:w="1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bookmarkStart w:id="232" w:name="_Toc309996252"/>
            <w:bookmarkStart w:id="233" w:name="_Toc309048441"/>
            <w:bookmarkStart w:id="234" w:name="_Toc309048443" w:colFirst="2" w:colLast="3"/>
            <w:bookmarkStart w:id="235" w:name="_Toc309996254" w:colFirst="2" w:colLast="3"/>
            <w:r>
              <w:rPr>
                <w:rFonts w:hint="eastAsia" w:ascii="宋体" w:hAnsi="宋体" w:eastAsia="宋体" w:cs="宋体"/>
                <w:color w:val="auto"/>
                <w:spacing w:val="20"/>
                <w:sz w:val="24"/>
              </w:rPr>
              <w:t>姓 名</w:t>
            </w:r>
            <w:bookmarkEnd w:id="232"/>
            <w:bookmarkEnd w:id="233"/>
          </w:p>
        </w:tc>
        <w:tc>
          <w:tcPr>
            <w:tcW w:w="529"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bookmarkStart w:id="236" w:name="_Toc309048442"/>
            <w:bookmarkStart w:id="237" w:name="_Toc309996253"/>
            <w:r>
              <w:rPr>
                <w:rFonts w:hint="eastAsia" w:ascii="宋体" w:hAnsi="宋体" w:eastAsia="宋体" w:cs="宋体"/>
                <w:color w:val="auto"/>
                <w:spacing w:val="20"/>
                <w:sz w:val="24"/>
              </w:rPr>
              <w:t>年龄</w:t>
            </w:r>
            <w:bookmarkEnd w:id="236"/>
            <w:bookmarkEnd w:id="237"/>
          </w:p>
        </w:tc>
        <w:tc>
          <w:tcPr>
            <w:tcW w:w="885"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r>
              <w:rPr>
                <w:rFonts w:hint="eastAsia" w:ascii="宋体" w:hAnsi="宋体" w:eastAsia="宋体" w:cs="宋体"/>
                <w:color w:val="auto"/>
                <w:spacing w:val="20"/>
                <w:sz w:val="24"/>
              </w:rPr>
              <w:t>专业</w:t>
            </w:r>
          </w:p>
        </w:tc>
        <w:tc>
          <w:tcPr>
            <w:tcW w:w="858"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r>
              <w:rPr>
                <w:rFonts w:hint="eastAsia" w:ascii="宋体" w:hAnsi="宋体" w:eastAsia="宋体" w:cs="宋体"/>
                <w:color w:val="auto"/>
                <w:spacing w:val="20"/>
                <w:sz w:val="24"/>
              </w:rPr>
              <w:t>拟在本项目中担任的职责</w:t>
            </w:r>
          </w:p>
        </w:tc>
        <w:tc>
          <w:tcPr>
            <w:tcW w:w="863"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bookmarkStart w:id="238" w:name="_Toc309996255"/>
            <w:bookmarkStart w:id="239" w:name="_Toc309048444"/>
            <w:r>
              <w:rPr>
                <w:rFonts w:hint="eastAsia" w:ascii="宋体" w:hAnsi="宋体" w:eastAsia="宋体" w:cs="宋体"/>
                <w:color w:val="auto"/>
                <w:spacing w:val="20"/>
                <w:sz w:val="24"/>
              </w:rPr>
              <w:t>技术职称</w:t>
            </w:r>
            <w:bookmarkEnd w:id="238"/>
            <w:bookmarkEnd w:id="239"/>
            <w:r>
              <w:rPr>
                <w:rFonts w:hint="eastAsia" w:ascii="宋体" w:hAnsi="宋体" w:eastAsia="宋体" w:cs="宋体"/>
                <w:color w:val="auto"/>
                <w:spacing w:val="20"/>
                <w:sz w:val="24"/>
              </w:rPr>
              <w:t>或执业资格</w:t>
            </w:r>
          </w:p>
        </w:tc>
        <w:tc>
          <w:tcPr>
            <w:tcW w:w="598"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jc w:val="center"/>
              <w:textAlignment w:val="auto"/>
              <w:rPr>
                <w:rFonts w:hint="eastAsia" w:ascii="宋体" w:hAnsi="宋体" w:eastAsia="宋体" w:cs="宋体"/>
                <w:color w:val="auto"/>
                <w:spacing w:val="20"/>
                <w:sz w:val="24"/>
              </w:rPr>
            </w:pPr>
            <w:bookmarkStart w:id="240" w:name="_Toc309048445"/>
            <w:bookmarkStart w:id="241" w:name="_Toc309996256"/>
            <w:r>
              <w:rPr>
                <w:rFonts w:hint="eastAsia" w:ascii="宋体" w:hAnsi="宋体" w:eastAsia="宋体" w:cs="宋体"/>
                <w:color w:val="auto"/>
                <w:spacing w:val="20"/>
                <w:sz w:val="24"/>
              </w:rPr>
              <w:t>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jc w:val="center"/>
              <w:textAlignment w:val="auto"/>
              <w:rPr>
                <w:rFonts w:hint="eastAsia" w:ascii="宋体" w:hAnsi="宋体" w:eastAsia="宋体" w:cs="宋体"/>
                <w:color w:val="auto"/>
                <w:spacing w:val="20"/>
                <w:sz w:val="24"/>
              </w:rPr>
            </w:pPr>
            <w:r>
              <w:rPr>
                <w:rFonts w:hint="eastAsia" w:ascii="宋体" w:hAnsi="宋体" w:eastAsia="宋体" w:cs="宋体"/>
                <w:color w:val="auto"/>
                <w:spacing w:val="20"/>
                <w:sz w:val="24"/>
              </w:rPr>
              <w:t>年限</w:t>
            </w:r>
            <w:bookmarkEnd w:id="240"/>
            <w:bookmarkEnd w:id="241"/>
          </w:p>
        </w:tc>
        <w:tc>
          <w:tcPr>
            <w:tcW w:w="647" w:type="pc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pacing w:val="20"/>
                <w:sz w:val="24"/>
              </w:rPr>
            </w:pPr>
            <w:bookmarkStart w:id="242" w:name="_Toc309996257"/>
            <w:bookmarkStart w:id="243" w:name="_Toc309048446"/>
            <w:r>
              <w:rPr>
                <w:rFonts w:hint="eastAsia" w:ascii="宋体" w:hAnsi="宋体" w:eastAsia="宋体" w:cs="宋体"/>
                <w:color w:val="auto"/>
                <w:spacing w:val="20"/>
                <w:sz w:val="24"/>
              </w:rPr>
              <w:t>类似工作经验年限</w:t>
            </w:r>
            <w:bookmarkEnd w:id="242"/>
            <w:bookmarkEnd w:id="243"/>
          </w:p>
        </w:tc>
      </w:tr>
      <w:bookmarkEnd w:id="234"/>
      <w:bookmarkEnd w:id="23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6" w:type="pct"/>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29"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85"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58"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863"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598" w:type="pct"/>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c>
          <w:tcPr>
            <w:tcW w:w="647" w:type="pct"/>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hint="eastAsia" w:ascii="宋体" w:hAnsi="宋体" w:eastAsia="宋体" w:cs="宋体"/>
                <w:color w:val="auto"/>
                <w:spacing w:val="20"/>
                <w:sz w:val="24"/>
              </w:rPr>
            </w:pPr>
          </w:p>
        </w:tc>
      </w:tr>
    </w:tbl>
    <w:p>
      <w:pPr>
        <w:spacing w:line="360" w:lineRule="auto"/>
        <w:ind w:firstLine="560" w:firstLineChars="200"/>
        <w:rPr>
          <w:rFonts w:hint="eastAsia" w:ascii="宋体" w:hAnsi="宋体" w:eastAsia="宋体" w:cs="宋体"/>
          <w:color w:val="auto"/>
          <w:sz w:val="30"/>
        </w:rPr>
      </w:pPr>
      <w:r>
        <w:rPr>
          <w:rFonts w:hint="eastAsia" w:ascii="宋体" w:hAnsi="宋体" w:eastAsia="宋体" w:cs="宋体"/>
          <w:color w:val="auto"/>
          <w:spacing w:val="20"/>
          <w:sz w:val="24"/>
        </w:rPr>
        <w:t>注：人员相关证书或材料复印件附本表后</w:t>
      </w:r>
      <w:r>
        <w:rPr>
          <w:rFonts w:hint="eastAsia" w:ascii="宋体" w:hAnsi="宋体" w:cs="宋体"/>
          <w:color w:val="auto"/>
          <w:spacing w:val="20"/>
          <w:sz w:val="24"/>
          <w:lang w:eastAsia="zh-CN"/>
        </w:rPr>
        <w:t>（</w:t>
      </w:r>
      <w:r>
        <w:rPr>
          <w:rFonts w:hint="eastAsia" w:ascii="宋体" w:hAnsi="宋体" w:cs="宋体"/>
          <w:color w:val="auto"/>
          <w:spacing w:val="20"/>
          <w:sz w:val="24"/>
          <w:lang w:val="en-US" w:eastAsia="zh-CN"/>
        </w:rPr>
        <w:t>并附人员最近3个月社保证明</w:t>
      </w:r>
      <w:r>
        <w:rPr>
          <w:rFonts w:hint="eastAsia" w:ascii="宋体" w:hAnsi="宋体" w:cs="宋体"/>
          <w:color w:val="auto"/>
          <w:spacing w:val="20"/>
          <w:sz w:val="24"/>
          <w:lang w:eastAsia="zh-CN"/>
        </w:rPr>
        <w:t>）</w:t>
      </w:r>
      <w:r>
        <w:rPr>
          <w:rFonts w:hint="eastAsia" w:ascii="宋体" w:hAnsi="宋体" w:eastAsia="宋体" w:cs="宋体"/>
          <w:color w:val="auto"/>
          <w:spacing w:val="20"/>
          <w:sz w:val="24"/>
        </w:rPr>
        <w:t>。</w:t>
      </w:r>
    </w:p>
    <w:p>
      <w:pPr>
        <w:pStyle w:val="49"/>
        <w:numPr>
          <w:ilvl w:val="0"/>
          <w:numId w:val="0"/>
        </w:numPr>
        <w:ind w:leftChars="0"/>
        <w:rPr>
          <w:rFonts w:hint="eastAsia"/>
        </w:rPr>
      </w:pPr>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pStyle w:val="23"/>
        <w:spacing w:line="480" w:lineRule="auto"/>
        <w:ind w:firstLine="560" w:firstLineChars="200"/>
        <w:rPr>
          <w:rFonts w:hint="eastAsia" w:hAnsi="宋体"/>
          <w:spacing w:val="20"/>
          <w:sz w:val="24"/>
        </w:rPr>
      </w:pPr>
      <w:r>
        <w:rPr>
          <w:rFonts w:hint="eastAsia" w:hAnsi="宋体"/>
          <w:spacing w:val="20"/>
          <w:sz w:val="24"/>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spacing w:line="360" w:lineRule="auto"/>
        <w:jc w:val="right"/>
        <w:rPr>
          <w:rFonts w:hint="eastAsia" w:ascii="宋体" w:hAnsi="宋体"/>
          <w:b/>
          <w:color w:val="000000"/>
          <w:sz w:val="24"/>
        </w:rPr>
      </w:pPr>
    </w:p>
    <w:p>
      <w:pPr>
        <w:spacing w:line="360" w:lineRule="auto"/>
        <w:jc w:val="right"/>
        <w:rPr>
          <w:rFonts w:hint="eastAsia" w:ascii="宋体" w:hAnsi="宋体"/>
          <w:b/>
          <w:color w:val="000000"/>
          <w:sz w:val="24"/>
        </w:rPr>
      </w:pPr>
    </w:p>
    <w:p>
      <w:pPr>
        <w:spacing w:line="360" w:lineRule="auto"/>
        <w:ind w:firstLine="600" w:firstLineChars="200"/>
        <w:jc w:val="center"/>
        <w:rPr>
          <w:rFonts w:hint="eastAsia" w:ascii="宋体" w:hAnsi="宋体"/>
          <w:color w:val="000000"/>
          <w:sz w:val="30"/>
          <w:lang w:val="en-US" w:eastAsia="zh-CN"/>
        </w:rPr>
      </w:pPr>
      <w:r>
        <w:rPr>
          <w:rFonts w:ascii="宋体" w:hAnsi="宋体"/>
          <w:color w:val="000000"/>
          <w:sz w:val="30"/>
        </w:rPr>
        <w:br w:type="page"/>
      </w:r>
    </w:p>
    <w:p>
      <w:pPr>
        <w:pStyle w:val="3"/>
        <w:rPr>
          <w:rFonts w:hint="eastAsia" w:ascii="宋体" w:hAnsi="宋体"/>
          <w:color w:val="000000"/>
          <w:sz w:val="30"/>
        </w:rPr>
      </w:pPr>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44" w:name="_Toc2296"/>
      <w:bookmarkStart w:id="245" w:name="_Toc3729"/>
      <w:r>
        <w:rPr>
          <w:rFonts w:hint="eastAsia" w:ascii="宋体" w:hAnsi="宋体" w:eastAsia="宋体" w:cs="宋体"/>
          <w:color w:val="auto"/>
          <w:sz w:val="32"/>
          <w:szCs w:val="32"/>
          <w:lang w:val="en-US" w:eastAsia="zh-CN"/>
        </w:rPr>
        <w:t>4、质量保证措施（格式自拟）</w:t>
      </w:r>
      <w:bookmarkEnd w:id="244"/>
      <w:bookmarkEnd w:id="245"/>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jc w:val="center"/>
        <w:rPr>
          <w:rFonts w:hint="eastAsia" w:ascii="宋体" w:hAnsi="宋体"/>
          <w:color w:val="000000"/>
          <w:sz w:val="28"/>
        </w:rPr>
      </w:pPr>
    </w:p>
    <w:p>
      <w:pPr>
        <w:spacing w:line="360" w:lineRule="auto"/>
        <w:rPr>
          <w:rFonts w:hint="eastAsia" w:ascii="宋体" w:hAnsi="宋体"/>
          <w:color w:val="000000"/>
          <w:sz w:val="28"/>
        </w:rPr>
      </w:pPr>
    </w:p>
    <w:p>
      <w:pPr>
        <w:pStyle w:val="49"/>
        <w:rPr>
          <w:rFonts w:hint="eastAsia" w:ascii="宋体" w:hAnsi="宋体"/>
          <w:color w:val="000000"/>
          <w:sz w:val="28"/>
        </w:rPr>
      </w:pPr>
    </w:p>
    <w:p>
      <w:pPr>
        <w:pStyle w:val="3"/>
        <w:rPr>
          <w:rFonts w:hint="eastAsia" w:ascii="宋体" w:hAnsi="宋体"/>
          <w:color w:val="000000"/>
          <w:sz w:val="28"/>
        </w:rPr>
      </w:pPr>
    </w:p>
    <w:p>
      <w:pPr>
        <w:pStyle w:val="3"/>
        <w:rPr>
          <w:rFonts w:hint="eastAsia" w:ascii="宋体" w:hAnsi="宋体"/>
          <w:color w:val="000000"/>
          <w:sz w:val="28"/>
        </w:rPr>
      </w:pPr>
    </w:p>
    <w:p>
      <w:pPr>
        <w:pStyle w:val="23"/>
        <w:spacing w:line="480" w:lineRule="auto"/>
        <w:ind w:firstLine="560" w:firstLineChars="200"/>
        <w:rPr>
          <w:rFonts w:hint="eastAsia" w:hAnsi="宋体"/>
          <w:spacing w:val="20"/>
          <w:sz w:val="24"/>
        </w:rPr>
      </w:pPr>
      <w:r>
        <w:rPr>
          <w:rFonts w:hint="eastAsia" w:hAnsi="宋体"/>
          <w:spacing w:val="20"/>
          <w:sz w:val="24"/>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pStyle w:val="49"/>
        <w:rPr>
          <w:rFonts w:hint="eastAsia"/>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pStyle w:val="3"/>
        <w:rPr>
          <w:rFonts w:hint="eastAsia" w:ascii="宋体" w:hAnsi="宋体"/>
          <w:color w:val="000000"/>
          <w:sz w:val="30"/>
        </w:rPr>
      </w:pPr>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46" w:name="_Toc26603"/>
      <w:bookmarkStart w:id="247" w:name="_Toc18515"/>
      <w:r>
        <w:rPr>
          <w:rFonts w:hint="eastAsia" w:ascii="宋体" w:hAnsi="宋体" w:eastAsia="宋体" w:cs="宋体"/>
          <w:color w:val="auto"/>
          <w:sz w:val="32"/>
          <w:szCs w:val="32"/>
          <w:lang w:val="en-US" w:eastAsia="zh-CN"/>
        </w:rPr>
        <w:t>5、安全保障措施（格式自拟）</w:t>
      </w:r>
      <w:bookmarkEnd w:id="246"/>
      <w:bookmarkEnd w:id="247"/>
    </w:p>
    <w:p>
      <w:pPr>
        <w:rPr>
          <w:rFonts w:hint="eastAsia" w:ascii="宋体" w:hAnsi="宋体"/>
          <w:color w:val="000000"/>
          <w:sz w:val="30"/>
        </w:rPr>
      </w:pPr>
    </w:p>
    <w:p>
      <w:pPr>
        <w:pStyle w:val="49"/>
        <w:rPr>
          <w:rFonts w:hint="eastAsia"/>
        </w:rPr>
      </w:pPr>
    </w:p>
    <w:p>
      <w:pPr>
        <w:rPr>
          <w:rFonts w:hint="eastAsia" w:ascii="宋体" w:hAnsi="宋体"/>
          <w:color w:val="000000"/>
          <w:sz w:val="30"/>
        </w:rPr>
      </w:pPr>
    </w:p>
    <w:p>
      <w:pPr>
        <w:pStyle w:val="49"/>
        <w:rPr>
          <w:rFonts w:hint="eastAsia" w:ascii="宋体" w:hAnsi="宋体"/>
          <w:color w:val="000000"/>
          <w:sz w:val="30"/>
        </w:rPr>
      </w:pPr>
    </w:p>
    <w:p>
      <w:pPr>
        <w:pStyle w:val="3"/>
        <w:rPr>
          <w:rFonts w:hint="eastAsia" w:ascii="宋体" w:hAnsi="宋体"/>
          <w:color w:val="000000"/>
          <w:sz w:val="30"/>
        </w:rPr>
      </w:pPr>
    </w:p>
    <w:p>
      <w:pPr>
        <w:pStyle w:val="3"/>
        <w:rPr>
          <w:rFonts w:hint="eastAsia" w:ascii="宋体" w:hAnsi="宋体"/>
          <w:color w:val="000000"/>
          <w:sz w:val="30"/>
        </w:rPr>
      </w:pPr>
    </w:p>
    <w:p>
      <w:pPr>
        <w:pStyle w:val="3"/>
        <w:rPr>
          <w:rFonts w:hint="eastAsia" w:ascii="宋体" w:hAnsi="宋体"/>
          <w:color w:val="000000"/>
          <w:sz w:val="30"/>
        </w:rPr>
      </w:pPr>
    </w:p>
    <w:p>
      <w:pPr>
        <w:jc w:val="center"/>
        <w:rPr>
          <w:rFonts w:hint="eastAsia" w:ascii="宋体" w:hAnsi="宋体"/>
          <w:color w:val="000000"/>
          <w:sz w:val="30"/>
        </w:rPr>
      </w:pPr>
    </w:p>
    <w:p>
      <w:pPr>
        <w:jc w:val="center"/>
        <w:rPr>
          <w:rFonts w:ascii="宋体" w:hAnsi="宋体"/>
          <w:color w:val="000000"/>
          <w:sz w:val="30"/>
        </w:rPr>
      </w:pP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jc w:val="center"/>
        <w:rPr>
          <w:rFonts w:hint="eastAsia" w:ascii="宋体" w:hAnsi="宋体"/>
          <w:color w:val="000000"/>
          <w:sz w:val="30"/>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267"/>
        <w:rPr>
          <w:rFonts w:hint="eastAsia"/>
        </w:rPr>
      </w:pPr>
    </w:p>
    <w:p>
      <w:pPr>
        <w:pStyle w:val="3"/>
        <w:rPr>
          <w:rFonts w:hint="eastAsia" w:ascii="宋体" w:hAnsi="宋体"/>
          <w:color w:val="000000"/>
          <w:sz w:val="30"/>
        </w:rPr>
      </w:pPr>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lang w:val="en-US" w:eastAsia="zh-CN"/>
        </w:rPr>
      </w:pPr>
      <w:bookmarkStart w:id="248" w:name="_Toc9741"/>
      <w:bookmarkStart w:id="249" w:name="_Toc8543"/>
      <w:r>
        <w:rPr>
          <w:rFonts w:hint="eastAsia" w:ascii="宋体" w:hAnsi="宋体" w:eastAsia="宋体" w:cs="宋体"/>
          <w:color w:val="auto"/>
          <w:sz w:val="32"/>
          <w:szCs w:val="32"/>
          <w:lang w:val="en-US" w:eastAsia="zh-CN"/>
        </w:rPr>
        <w:t>6、应急保障方案（格式自拟）</w:t>
      </w:r>
      <w:bookmarkEnd w:id="248"/>
      <w:bookmarkEnd w:id="249"/>
    </w:p>
    <w:p>
      <w:pPr>
        <w:jc w:val="center"/>
        <w:rPr>
          <w:rFonts w:hint="eastAsia" w:ascii="宋体" w:hAnsi="宋体"/>
          <w:color w:val="000000"/>
          <w:sz w:val="28"/>
        </w:rPr>
      </w:pPr>
    </w:p>
    <w:p>
      <w:pPr>
        <w:jc w:val="center"/>
        <w:rPr>
          <w:rFonts w:ascii="宋体" w:hAnsi="宋体"/>
          <w:color w:val="000000"/>
          <w:sz w:val="30"/>
        </w:rPr>
      </w:pPr>
    </w:p>
    <w:p>
      <w:pPr>
        <w:jc w:val="center"/>
        <w:rPr>
          <w:rFonts w:ascii="宋体" w:hAnsi="宋体"/>
          <w:color w:val="000000"/>
          <w:sz w:val="30"/>
        </w:rPr>
      </w:pPr>
    </w:p>
    <w:p>
      <w:pPr>
        <w:jc w:val="center"/>
        <w:rPr>
          <w:rFonts w:ascii="宋体" w:hAnsi="宋体"/>
          <w:color w:val="000000"/>
          <w:sz w:val="30"/>
        </w:rPr>
      </w:pPr>
    </w:p>
    <w:p>
      <w:pPr>
        <w:rPr>
          <w:rFonts w:hint="eastAsia" w:ascii="宋体" w:hAnsi="宋体"/>
          <w:color w:val="000000"/>
          <w:sz w:val="30"/>
        </w:rPr>
      </w:pPr>
    </w:p>
    <w:p>
      <w:pPr>
        <w:pStyle w:val="49"/>
        <w:rPr>
          <w:rFonts w:hint="eastAsia" w:ascii="宋体" w:hAnsi="宋体"/>
          <w:color w:val="000000"/>
          <w:sz w:val="30"/>
        </w:rPr>
      </w:pPr>
    </w:p>
    <w:p>
      <w:pPr>
        <w:pStyle w:val="3"/>
        <w:rPr>
          <w:rFonts w:hint="eastAsia"/>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hint="eastAsia" w:ascii="宋体" w:hAnsi="宋体"/>
          <w:color w:val="000000"/>
          <w:sz w:val="30"/>
        </w:rPr>
      </w:pPr>
    </w:p>
    <w:p>
      <w:pPr>
        <w:jc w:val="center"/>
        <w:rPr>
          <w:rFonts w:ascii="宋体" w:hAnsi="宋体"/>
          <w:color w:val="000000"/>
          <w:sz w:val="30"/>
        </w:rPr>
      </w:pPr>
    </w:p>
    <w:p>
      <w:pPr>
        <w:pStyle w:val="23"/>
        <w:spacing w:line="480" w:lineRule="auto"/>
        <w:ind w:firstLine="560" w:firstLineChars="200"/>
        <w:rPr>
          <w:rFonts w:hint="eastAsia" w:hAnsi="宋体"/>
          <w:spacing w:val="20"/>
          <w:sz w:val="24"/>
          <w:u w:val="single"/>
        </w:rPr>
      </w:pPr>
      <w:r>
        <w:rPr>
          <w:rFonts w:hint="eastAsia" w:hAnsi="宋体"/>
          <w:spacing w:val="20"/>
          <w:sz w:val="24"/>
        </w:rPr>
        <w:t>投标人盖章：</w:t>
      </w:r>
      <w:r>
        <w:rPr>
          <w:rFonts w:hint="eastAsia" w:hAnsi="宋体"/>
          <w:spacing w:val="20"/>
          <w:sz w:val="24"/>
          <w:u w:val="single"/>
        </w:rPr>
        <w:t xml:space="preserve">            </w:t>
      </w:r>
    </w:p>
    <w:p>
      <w:pPr>
        <w:pStyle w:val="23"/>
        <w:spacing w:line="480" w:lineRule="auto"/>
        <w:ind w:firstLine="560" w:firstLineChars="200"/>
        <w:rPr>
          <w:rFonts w:hint="eastAsia" w:hAnsi="宋体"/>
          <w:spacing w:val="20"/>
          <w:sz w:val="24"/>
          <w:u w:val="single"/>
        </w:rPr>
      </w:pPr>
      <w:r>
        <w:rPr>
          <w:rFonts w:hint="eastAsia" w:hAnsi="宋体"/>
          <w:spacing w:val="20"/>
          <w:sz w:val="24"/>
        </w:rPr>
        <w:t>日     期：</w:t>
      </w:r>
      <w:r>
        <w:rPr>
          <w:rFonts w:hint="eastAsia" w:hAnsi="宋体"/>
          <w:spacing w:val="20"/>
          <w:sz w:val="24"/>
          <w:u w:val="single"/>
        </w:rPr>
        <w:t xml:space="preserve">            </w:t>
      </w:r>
    </w:p>
    <w:p>
      <w:pPr>
        <w:pStyle w:val="3"/>
        <w:rPr>
          <w:rFonts w:hint="eastAsia" w:ascii="宋体" w:hAnsi="宋体"/>
          <w:color w:val="000000"/>
          <w:sz w:val="30"/>
        </w:rPr>
      </w:pPr>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spacing w:line="360" w:lineRule="auto"/>
        <w:rPr>
          <w:rFonts w:hint="eastAsia" w:ascii="宋体" w:hAnsi="宋体"/>
          <w:color w:val="000000"/>
          <w:sz w:val="30"/>
        </w:rPr>
      </w:pPr>
    </w:p>
    <w:p>
      <w:pPr>
        <w:pStyle w:val="7"/>
        <w:spacing w:before="240" w:after="240"/>
        <w:ind w:firstLine="0" w:firstLineChars="0"/>
        <w:jc w:val="center"/>
        <w:rPr>
          <w:rFonts w:hint="eastAsia" w:ascii="宋体" w:hAnsi="宋体" w:eastAsia="宋体" w:cs="宋体"/>
          <w:color w:val="auto"/>
          <w:sz w:val="32"/>
          <w:szCs w:val="32"/>
          <w:lang w:val="en-US" w:eastAsia="zh-CN"/>
        </w:rPr>
      </w:pPr>
      <w:bookmarkStart w:id="250" w:name="_Toc17150"/>
      <w:bookmarkStart w:id="251" w:name="_Toc32466"/>
    </w:p>
    <w:p>
      <w:pPr>
        <w:pStyle w:val="7"/>
        <w:spacing w:before="240" w:after="240"/>
        <w:ind w:firstLine="0" w:firstLineChars="0"/>
        <w:jc w:val="center"/>
        <w:rPr>
          <w:rFonts w:hint="eastAsia" w:ascii="宋体" w:hAnsi="宋体" w:eastAsia="宋体" w:cs="宋体"/>
          <w:color w:val="auto"/>
          <w:sz w:val="32"/>
          <w:szCs w:val="32"/>
          <w:lang w:val="en-US" w:eastAsia="zh-CN"/>
        </w:rPr>
      </w:pPr>
    </w:p>
    <w:p>
      <w:pPr>
        <w:pStyle w:val="7"/>
        <w:spacing w:before="240" w:after="240"/>
        <w:ind w:firstLine="0" w:firstLineChars="0"/>
        <w:jc w:val="center"/>
        <w:rPr>
          <w:rFonts w:hint="eastAsia" w:ascii="宋体" w:hAnsi="宋体" w:eastAsia="宋体" w:cs="宋体"/>
          <w:color w:val="auto"/>
          <w:sz w:val="32"/>
          <w:szCs w:val="32"/>
          <w:lang w:val="en-US" w:eastAsia="zh-CN"/>
        </w:rPr>
      </w:pPr>
    </w:p>
    <w:p>
      <w:pPr>
        <w:pStyle w:val="7"/>
        <w:spacing w:before="240" w:after="240"/>
        <w:ind w:firstLine="643" w:firstLineChars="200"/>
        <w:jc w:val="center"/>
        <w:rPr>
          <w:rFonts w:hint="eastAsia" w:ascii="宋体" w:hAnsi="宋体" w:eastAsia="宋体" w:cs="宋体"/>
          <w:color w:val="auto"/>
          <w:sz w:val="32"/>
          <w:szCs w:val="32"/>
        </w:rPr>
      </w:pPr>
      <w:bookmarkStart w:id="252" w:name="_Toc15601"/>
      <w:bookmarkStart w:id="253" w:name="_Toc31467"/>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、运行维护方案</w:t>
      </w:r>
      <w:bookmarkEnd w:id="250"/>
      <w:bookmarkEnd w:id="251"/>
      <w:r>
        <w:rPr>
          <w:rFonts w:hint="eastAsia" w:ascii="宋体" w:hAnsi="宋体" w:eastAsia="宋体" w:cs="宋体"/>
          <w:color w:val="auto"/>
          <w:sz w:val="32"/>
          <w:szCs w:val="32"/>
          <w:lang w:val="en-US" w:eastAsia="zh-CN"/>
        </w:rPr>
        <w:t>（格式自拟）</w:t>
      </w:r>
      <w:bookmarkEnd w:id="252"/>
      <w:bookmarkEnd w:id="253"/>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pStyle w:val="171"/>
        <w:spacing w:line="520" w:lineRule="exact"/>
        <w:ind w:firstLine="2240" w:firstLineChars="800"/>
        <w:rPr>
          <w:rFonts w:hint="eastAsia" w:ascii="宋体" w:hAnsi="宋体" w:eastAsia="宋体" w:cs="宋体"/>
          <w:color w:val="auto"/>
          <w:spacing w:val="20"/>
          <w:sz w:val="24"/>
        </w:rPr>
      </w:pP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投标人盖章：</w:t>
      </w:r>
      <w:r>
        <w:rPr>
          <w:rFonts w:hint="eastAsia" w:ascii="宋体" w:hAnsi="宋体" w:eastAsia="宋体" w:cs="宋体"/>
          <w:color w:val="auto"/>
          <w:spacing w:val="20"/>
          <w:sz w:val="24"/>
          <w:u w:val="single"/>
        </w:rPr>
        <w:t xml:space="preserve">            </w:t>
      </w: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spacing w:line="360" w:lineRule="auto"/>
        <w:jc w:val="center"/>
        <w:rPr>
          <w:rFonts w:hint="eastAsia" w:ascii="宋体" w:hAnsi="宋体" w:eastAsia="宋体" w:cs="宋体"/>
          <w:color w:val="auto"/>
          <w:sz w:val="32"/>
          <w:szCs w:val="32"/>
        </w:rPr>
      </w:pPr>
    </w:p>
    <w:p>
      <w:pPr>
        <w:pStyle w:val="3"/>
        <w:ind w:firstLine="640" w:firstLineChars="200"/>
        <w:rPr>
          <w:rFonts w:hint="eastAsia" w:ascii="宋体" w:hAnsi="宋体"/>
          <w:color w:val="000000"/>
          <w:sz w:val="30"/>
        </w:rPr>
      </w:pPr>
      <w:r>
        <w:rPr>
          <w:rFonts w:hint="eastAsia" w:ascii="宋体" w:hAnsi="宋体" w:eastAsia="宋体" w:cs="宋体"/>
          <w:color w:val="auto"/>
          <w:sz w:val="32"/>
          <w:szCs w:val="32"/>
        </w:rPr>
        <w:br w:type="page"/>
      </w:r>
      <w:bookmarkStart w:id="254" w:name="_Toc27078"/>
      <w:bookmarkStart w:id="255" w:name="_Toc32138"/>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rPr>
      </w:pPr>
      <w:bookmarkStart w:id="256" w:name="_Toc6463"/>
      <w:bookmarkStart w:id="257" w:name="_Toc7614"/>
      <w:r>
        <w:rPr>
          <w:rFonts w:hint="eastAsia" w:ascii="宋体" w:hAnsi="宋体" w:eastAsia="宋体" w:cs="宋体"/>
          <w:color w:val="auto"/>
          <w:sz w:val="32"/>
          <w:szCs w:val="32"/>
          <w:lang w:val="en-US" w:eastAsia="zh-CN"/>
        </w:rPr>
        <w:t>8</w:t>
      </w:r>
      <w:r>
        <w:rPr>
          <w:rFonts w:hint="eastAsia" w:ascii="宋体" w:hAnsi="宋体" w:eastAsia="宋体" w:cs="宋体"/>
          <w:color w:val="auto"/>
          <w:sz w:val="32"/>
          <w:szCs w:val="32"/>
        </w:rPr>
        <w:t>、培训方案</w:t>
      </w:r>
      <w:bookmarkEnd w:id="254"/>
      <w:bookmarkEnd w:id="255"/>
      <w:r>
        <w:rPr>
          <w:rFonts w:hint="eastAsia" w:ascii="宋体" w:hAnsi="宋体" w:eastAsia="宋体" w:cs="宋体"/>
          <w:color w:val="auto"/>
          <w:sz w:val="32"/>
          <w:szCs w:val="32"/>
          <w:lang w:val="en-US" w:eastAsia="zh-CN"/>
        </w:rPr>
        <w:t>（格式自拟）</w:t>
      </w:r>
      <w:bookmarkEnd w:id="256"/>
      <w:bookmarkEnd w:id="257"/>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spacing w:line="360" w:lineRule="auto"/>
        <w:rPr>
          <w:rFonts w:hint="eastAsia" w:ascii="宋体" w:hAnsi="宋体" w:eastAsia="宋体" w:cs="宋体"/>
          <w:color w:val="auto"/>
          <w:sz w:val="30"/>
        </w:rPr>
      </w:pPr>
    </w:p>
    <w:p>
      <w:pPr>
        <w:spacing w:line="360" w:lineRule="auto"/>
        <w:jc w:val="center"/>
        <w:rPr>
          <w:rFonts w:hint="eastAsia" w:ascii="宋体" w:hAnsi="宋体" w:eastAsia="宋体" w:cs="宋体"/>
          <w:color w:val="auto"/>
          <w:sz w:val="30"/>
        </w:rPr>
      </w:pPr>
    </w:p>
    <w:p>
      <w:pPr>
        <w:pStyle w:val="171"/>
        <w:spacing w:line="520" w:lineRule="exact"/>
        <w:ind w:firstLine="2240" w:firstLineChars="800"/>
        <w:rPr>
          <w:rFonts w:hint="eastAsia" w:ascii="宋体" w:hAnsi="宋体" w:eastAsia="宋体" w:cs="宋体"/>
          <w:color w:val="auto"/>
          <w:spacing w:val="20"/>
          <w:sz w:val="24"/>
        </w:rPr>
      </w:pP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投标人盖章：</w:t>
      </w:r>
      <w:r>
        <w:rPr>
          <w:rFonts w:hint="eastAsia" w:ascii="宋体" w:hAnsi="宋体" w:eastAsia="宋体" w:cs="宋体"/>
          <w:color w:val="auto"/>
          <w:spacing w:val="20"/>
          <w:sz w:val="24"/>
          <w:u w:val="single"/>
        </w:rPr>
        <w:t xml:space="preserve">            </w:t>
      </w:r>
    </w:p>
    <w:p>
      <w:pPr>
        <w:pStyle w:val="171"/>
        <w:spacing w:line="520" w:lineRule="exact"/>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spacing w:line="360" w:lineRule="auto"/>
        <w:jc w:val="center"/>
        <w:rPr>
          <w:rFonts w:hint="eastAsia" w:ascii="宋体" w:hAnsi="宋体" w:eastAsia="宋体" w:cs="宋体"/>
          <w:color w:val="auto"/>
          <w:sz w:val="32"/>
          <w:szCs w:val="32"/>
        </w:rPr>
      </w:pPr>
    </w:p>
    <w:p>
      <w:pPr>
        <w:spacing w:line="360" w:lineRule="auto"/>
        <w:jc w:val="center"/>
        <w:rPr>
          <w:rFonts w:hint="eastAsia" w:ascii="宋体" w:hAnsi="宋体" w:eastAsia="宋体" w:cs="宋体"/>
          <w:color w:val="auto"/>
          <w:sz w:val="32"/>
          <w:szCs w:val="32"/>
        </w:rPr>
      </w:pPr>
    </w:p>
    <w:p>
      <w:pPr>
        <w:pStyle w:val="3"/>
        <w:ind w:firstLine="560" w:firstLineChars="200"/>
        <w:rPr>
          <w:rFonts w:hint="eastAsia" w:ascii="宋体" w:hAnsi="宋体"/>
          <w:color w:val="000000"/>
          <w:sz w:val="30"/>
        </w:rPr>
      </w:pPr>
      <w:r>
        <w:rPr>
          <w:rFonts w:hint="eastAsia" w:ascii="宋体" w:hAnsi="宋体" w:eastAsia="宋体" w:cs="宋体"/>
          <w:b w:val="0"/>
          <w:bCs w:val="0"/>
          <w:color w:val="auto"/>
          <w:szCs w:val="24"/>
        </w:rPr>
        <w:br w:type="page"/>
      </w:r>
      <w:bookmarkStart w:id="258" w:name="_Toc29723"/>
      <w:bookmarkStart w:id="259" w:name="_Toc15365"/>
    </w:p>
    <w:p>
      <w:pPr>
        <w:pStyle w:val="3"/>
        <w:rPr>
          <w:rFonts w:hint="eastAsia" w:ascii="宋体" w:hAnsi="宋体"/>
          <w:color w:val="000000"/>
          <w:sz w:val="30"/>
        </w:rPr>
      </w:pPr>
    </w:p>
    <w:p>
      <w:pPr>
        <w:spacing w:line="360" w:lineRule="auto"/>
        <w:jc w:val="center"/>
        <w:rPr>
          <w:rFonts w:hint="eastAsia" w:ascii="宋体" w:hAnsi="宋体"/>
          <w:color w:val="000000"/>
          <w:sz w:val="30"/>
          <w:lang w:val="en-US" w:eastAsia="zh-CN"/>
        </w:rPr>
      </w:pPr>
    </w:p>
    <w:p>
      <w:pPr>
        <w:pStyle w:val="7"/>
        <w:spacing w:before="240" w:after="240"/>
        <w:ind w:firstLine="643" w:firstLineChars="200"/>
        <w:jc w:val="center"/>
        <w:rPr>
          <w:rFonts w:hint="eastAsia" w:ascii="宋体" w:hAnsi="宋体" w:eastAsia="宋体" w:cs="宋体"/>
          <w:color w:val="auto"/>
          <w:sz w:val="32"/>
          <w:szCs w:val="32"/>
        </w:rPr>
      </w:pPr>
      <w:bookmarkStart w:id="260" w:name="_Toc18246"/>
      <w:bookmarkStart w:id="261" w:name="_Toc10711"/>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、售后服务及运行维护承诺</w:t>
      </w:r>
      <w:bookmarkEnd w:id="258"/>
      <w:bookmarkEnd w:id="259"/>
      <w:r>
        <w:rPr>
          <w:rFonts w:hint="eastAsia" w:ascii="宋体" w:hAnsi="宋体" w:eastAsia="宋体" w:cs="宋体"/>
          <w:color w:val="auto"/>
          <w:sz w:val="32"/>
          <w:szCs w:val="32"/>
          <w:lang w:val="en-US" w:eastAsia="zh-CN"/>
        </w:rPr>
        <w:t>（格式自拟）</w:t>
      </w:r>
      <w:bookmarkEnd w:id="260"/>
      <w:bookmarkEnd w:id="261"/>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pStyle w:val="23"/>
        <w:spacing w:line="480" w:lineRule="auto"/>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供应商盖章：</w:t>
      </w:r>
      <w:r>
        <w:rPr>
          <w:rFonts w:hint="eastAsia" w:ascii="宋体" w:hAnsi="宋体" w:eastAsia="宋体" w:cs="宋体"/>
          <w:color w:val="auto"/>
          <w:spacing w:val="20"/>
          <w:sz w:val="24"/>
          <w:u w:val="single"/>
        </w:rPr>
        <w:t xml:space="preserve">            </w:t>
      </w:r>
    </w:p>
    <w:p>
      <w:pPr>
        <w:pStyle w:val="23"/>
        <w:spacing w:line="480" w:lineRule="auto"/>
        <w:ind w:firstLine="560" w:firstLineChars="200"/>
        <w:rPr>
          <w:rFonts w:hint="eastAsia" w:ascii="宋体" w:hAnsi="宋体" w:eastAsia="宋体" w:cs="宋体"/>
          <w:color w:val="auto"/>
          <w:sz w:val="30"/>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p>
      <w:pPr>
        <w:pStyle w:val="7"/>
        <w:spacing w:before="240" w:after="240"/>
        <w:ind w:firstLine="643" w:firstLineChars="200"/>
        <w:jc w:val="center"/>
        <w:rPr>
          <w:rFonts w:hint="eastAsia" w:ascii="宋体" w:hAnsi="宋体" w:eastAsia="宋体" w:cs="宋体"/>
          <w:color w:val="auto"/>
          <w:sz w:val="32"/>
          <w:szCs w:val="32"/>
        </w:rPr>
      </w:pPr>
      <w:bookmarkStart w:id="262" w:name="_Toc23870"/>
      <w:bookmarkStart w:id="263" w:name="_Toc17497"/>
      <w:bookmarkStart w:id="264" w:name="_Toc20849"/>
      <w:bookmarkStart w:id="265" w:name="_Toc29615"/>
      <w:r>
        <w:rPr>
          <w:rFonts w:hint="eastAsia" w:ascii="宋体" w:hAnsi="宋体" w:eastAsia="宋体" w:cs="宋体"/>
          <w:color w:val="auto"/>
          <w:sz w:val="32"/>
          <w:szCs w:val="32"/>
          <w:lang w:val="en-US" w:eastAsia="zh-CN"/>
        </w:rPr>
        <w:t>10</w:t>
      </w:r>
      <w:r>
        <w:rPr>
          <w:rFonts w:hint="eastAsia" w:ascii="宋体" w:hAnsi="宋体" w:eastAsia="宋体" w:cs="宋体"/>
          <w:color w:val="auto"/>
          <w:sz w:val="32"/>
          <w:szCs w:val="32"/>
        </w:rPr>
        <w:t>、技术评分办法要求提供的其他资料，不得出现报价。</w:t>
      </w:r>
      <w:bookmarkEnd w:id="262"/>
      <w:bookmarkEnd w:id="263"/>
      <w:bookmarkEnd w:id="264"/>
      <w:bookmarkEnd w:id="265"/>
    </w:p>
    <w:p>
      <w:pPr>
        <w:tabs>
          <w:tab w:val="left" w:pos="2355"/>
          <w:tab w:val="center" w:pos="4513"/>
        </w:tabs>
        <w:spacing w:line="360" w:lineRule="auto"/>
        <w:ind w:firstLine="640" w:firstLineChars="200"/>
        <w:jc w:val="center"/>
        <w:rPr>
          <w:rFonts w:hint="eastAsia" w:ascii="宋体" w:hAnsi="宋体" w:eastAsia="宋体" w:cs="宋体"/>
          <w:color w:val="auto"/>
          <w:sz w:val="32"/>
          <w:szCs w:val="32"/>
        </w:rPr>
      </w:pPr>
    </w:p>
    <w:bookmarkEnd w:id="222"/>
    <w:p>
      <w:pPr>
        <w:pStyle w:val="7"/>
        <w:ind w:firstLine="600" w:firstLineChars="200"/>
        <w:jc w:val="center"/>
        <w:rPr>
          <w:rFonts w:hint="eastAsia" w:ascii="宋体" w:hAnsi="宋体" w:eastAsia="宋体" w:cs="宋体"/>
          <w:b w:val="0"/>
          <w:bCs w:val="0"/>
          <w:color w:val="auto"/>
        </w:rPr>
      </w:pPr>
      <w:bookmarkStart w:id="266" w:name="_Toc69635465"/>
      <w:r>
        <w:rPr>
          <w:rFonts w:hint="eastAsia" w:ascii="宋体" w:hAnsi="宋体" w:eastAsia="宋体" w:cs="宋体"/>
          <w:b w:val="0"/>
          <w:bCs w:val="0"/>
          <w:color w:val="auto"/>
        </w:rPr>
        <w:br w:type="page"/>
      </w:r>
      <w:bookmarkStart w:id="267" w:name="_Toc4379"/>
      <w:bookmarkStart w:id="268" w:name="_Toc22730"/>
      <w:bookmarkStart w:id="269" w:name="_Toc21088"/>
      <w:r>
        <w:rPr>
          <w:rFonts w:hint="eastAsia" w:ascii="宋体" w:hAnsi="宋体" w:eastAsia="宋体" w:cs="宋体"/>
          <w:b w:val="0"/>
          <w:bCs w:val="0"/>
          <w:color w:val="auto"/>
          <w:lang w:val="en-US" w:eastAsia="zh-CN"/>
        </w:rPr>
        <w:t>三</w:t>
      </w:r>
      <w:r>
        <w:rPr>
          <w:rFonts w:hint="eastAsia" w:ascii="宋体" w:hAnsi="宋体" w:eastAsia="宋体" w:cs="宋体"/>
          <w:b w:val="0"/>
          <w:bCs w:val="0"/>
          <w:color w:val="auto"/>
        </w:rPr>
        <w:t xml:space="preserve">  报价文件格式</w:t>
      </w:r>
      <w:bookmarkEnd w:id="266"/>
      <w:bookmarkEnd w:id="267"/>
      <w:bookmarkEnd w:id="268"/>
      <w:bookmarkEnd w:id="269"/>
    </w:p>
    <w:p>
      <w:pPr>
        <w:pStyle w:val="8"/>
        <w:spacing w:line="720" w:lineRule="auto"/>
        <w:ind w:firstLine="723" w:firstLineChars="200"/>
        <w:jc w:val="center"/>
        <w:rPr>
          <w:rFonts w:hint="eastAsia" w:ascii="宋体" w:hAnsi="宋体" w:eastAsia="宋体" w:cs="宋体"/>
          <w:b/>
          <w:color w:val="auto"/>
          <w:kern w:val="0"/>
          <w:sz w:val="36"/>
        </w:rPr>
      </w:pPr>
      <w:r>
        <w:rPr>
          <w:rFonts w:hint="eastAsia" w:ascii="宋体" w:hAnsi="宋体" w:eastAsia="宋体" w:cs="宋体"/>
          <w:b/>
          <w:color w:val="auto"/>
          <w:kern w:val="0"/>
          <w:sz w:val="36"/>
        </w:rPr>
        <w:t>目录</w:t>
      </w:r>
    </w:p>
    <w:p>
      <w:pPr>
        <w:spacing w:line="360" w:lineRule="auto"/>
        <w:ind w:firstLine="600" w:firstLineChars="200"/>
        <w:rPr>
          <w:rFonts w:hint="eastAsia" w:ascii="宋体" w:hAnsi="宋体" w:eastAsia="宋体" w:cs="宋体"/>
          <w:color w:val="auto"/>
          <w:sz w:val="30"/>
        </w:rPr>
      </w:pPr>
      <w:r>
        <w:rPr>
          <w:rFonts w:hint="eastAsia" w:ascii="宋体" w:hAnsi="宋体" w:eastAsia="宋体" w:cs="宋体"/>
          <w:color w:val="auto"/>
          <w:sz w:val="30"/>
        </w:rPr>
        <w:t>1、报价书（开标一览表）</w:t>
      </w: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rPr>
          <w:rFonts w:hint="eastAsia" w:ascii="宋体" w:hAnsi="宋体" w:eastAsia="宋体" w:cs="宋体"/>
          <w:color w:val="auto"/>
        </w:rPr>
      </w:pPr>
    </w:p>
    <w:p>
      <w:pPr>
        <w:pStyle w:val="8"/>
        <w:ind w:firstLine="0"/>
        <w:rPr>
          <w:rFonts w:hint="eastAsia" w:ascii="宋体" w:hAnsi="宋体" w:eastAsia="宋体" w:cs="宋体"/>
          <w:color w:val="auto"/>
        </w:rPr>
      </w:pPr>
    </w:p>
    <w:p>
      <w:pPr>
        <w:pStyle w:val="8"/>
        <w:ind w:firstLine="0"/>
        <w:rPr>
          <w:rFonts w:hint="eastAsia" w:ascii="宋体" w:hAnsi="宋体" w:eastAsia="宋体" w:cs="宋体"/>
          <w:color w:val="auto"/>
        </w:rPr>
      </w:pPr>
    </w:p>
    <w:p>
      <w:pPr>
        <w:pStyle w:val="7"/>
        <w:spacing w:before="240" w:after="240"/>
        <w:ind w:firstLine="602" w:firstLineChars="200"/>
        <w:jc w:val="center"/>
        <w:rPr>
          <w:rFonts w:hint="eastAsia" w:ascii="宋体" w:hAnsi="宋体" w:eastAsia="宋体" w:cs="宋体"/>
          <w:color w:val="auto"/>
          <w:sz w:val="32"/>
          <w:szCs w:val="32"/>
        </w:rPr>
      </w:pPr>
      <w:r>
        <w:rPr>
          <w:rFonts w:hint="eastAsia" w:ascii="宋体" w:hAnsi="宋体" w:eastAsia="宋体" w:cs="宋体"/>
          <w:color w:val="auto"/>
        </w:rPr>
        <w:br w:type="page"/>
      </w:r>
      <w:bookmarkStart w:id="270" w:name="_Toc18161"/>
      <w:bookmarkStart w:id="271" w:name="_Toc4762"/>
      <w:bookmarkStart w:id="272" w:name="_Toc16805"/>
      <w:bookmarkStart w:id="273" w:name="_Toc5343"/>
      <w:r>
        <w:rPr>
          <w:rFonts w:hint="eastAsia" w:ascii="宋体" w:hAnsi="宋体" w:eastAsia="宋体" w:cs="宋体"/>
          <w:color w:val="auto"/>
          <w:sz w:val="32"/>
          <w:szCs w:val="32"/>
        </w:rPr>
        <w:t>1、报价书（开标一览表）</w:t>
      </w:r>
      <w:bookmarkEnd w:id="270"/>
      <w:bookmarkEnd w:id="271"/>
      <w:bookmarkEnd w:id="272"/>
      <w:bookmarkEnd w:id="273"/>
    </w:p>
    <w:p>
      <w:pPr>
        <w:spacing w:line="360" w:lineRule="auto"/>
        <w:ind w:firstLine="560" w:firstLineChars="200"/>
        <w:rPr>
          <w:rFonts w:hint="eastAsia" w:ascii="宋体" w:hAnsi="宋体" w:eastAsia="宋体" w:cs="宋体"/>
          <w:color w:val="auto"/>
          <w:spacing w:val="20"/>
          <w:sz w:val="24"/>
        </w:rPr>
      </w:pPr>
      <w:r>
        <w:rPr>
          <w:rFonts w:hint="eastAsia" w:ascii="宋体" w:hAnsi="宋体" w:eastAsia="宋体" w:cs="宋体"/>
          <w:color w:val="auto"/>
          <w:spacing w:val="20"/>
          <w:sz w:val="24"/>
        </w:rPr>
        <w:t>采购编号：</w:t>
      </w:r>
    </w:p>
    <w:p>
      <w:pPr>
        <w:spacing w:line="360" w:lineRule="auto"/>
        <w:ind w:firstLine="560" w:firstLineChars="200"/>
        <w:rPr>
          <w:rFonts w:hint="eastAsia" w:ascii="宋体" w:hAnsi="宋体" w:eastAsia="宋体" w:cs="宋体"/>
          <w:color w:val="auto"/>
          <w:spacing w:val="20"/>
          <w:sz w:val="24"/>
        </w:rPr>
      </w:pPr>
      <w:r>
        <w:rPr>
          <w:rFonts w:hint="eastAsia" w:ascii="宋体" w:hAnsi="宋体" w:eastAsia="宋体" w:cs="宋体"/>
          <w:color w:val="auto"/>
          <w:spacing w:val="20"/>
          <w:sz w:val="24"/>
        </w:rPr>
        <w:t>项目名称：</w:t>
      </w:r>
    </w:p>
    <w:p>
      <w:pPr>
        <w:spacing w:line="360" w:lineRule="auto"/>
        <w:ind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报价金额单位：人民币元</w:t>
      </w:r>
    </w:p>
    <w:tbl>
      <w:tblPr>
        <w:tblStyle w:val="41"/>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3618"/>
        <w:gridCol w:w="4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1"/>
              </w:rPr>
            </w:pPr>
            <w:r>
              <w:rPr>
                <w:rFonts w:hint="eastAsia" w:ascii="宋体" w:hAnsi="宋体" w:eastAsia="宋体" w:cs="宋体"/>
                <w:color w:val="auto"/>
                <w:sz w:val="24"/>
                <w:szCs w:val="21"/>
              </w:rPr>
              <w:t>序号</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1"/>
              </w:rPr>
            </w:pPr>
            <w:r>
              <w:rPr>
                <w:rFonts w:hint="eastAsia" w:ascii="宋体" w:hAnsi="宋体" w:eastAsia="宋体" w:cs="宋体"/>
                <w:color w:val="auto"/>
                <w:sz w:val="24"/>
                <w:szCs w:val="21"/>
              </w:rPr>
              <w:t>项目名称</w:t>
            </w:r>
          </w:p>
        </w:tc>
        <w:tc>
          <w:tcPr>
            <w:tcW w:w="4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1"/>
              </w:rPr>
            </w:pPr>
            <w:r>
              <w:rPr>
                <w:rFonts w:hint="eastAsia" w:ascii="宋体" w:hAnsi="宋体" w:eastAsia="宋体" w:cs="宋体"/>
                <w:color w:val="auto"/>
                <w:sz w:val="24"/>
                <w:szCs w:val="21"/>
              </w:rPr>
              <w:t>投标</w:t>
            </w:r>
            <w:r>
              <w:rPr>
                <w:rFonts w:hint="eastAsia" w:ascii="宋体" w:hAnsi="宋体" w:eastAsia="宋体" w:cs="宋体"/>
                <w:color w:val="auto"/>
                <w:sz w:val="24"/>
                <w:szCs w:val="21"/>
                <w:lang w:val="en-US" w:eastAsia="zh-CN"/>
              </w:rPr>
              <w:t>单价</w:t>
            </w:r>
            <w:r>
              <w:rPr>
                <w:rFonts w:hint="eastAsia" w:ascii="宋体" w:hAnsi="宋体" w:eastAsia="宋体" w:cs="宋体"/>
                <w:color w:val="auto"/>
                <w:sz w:val="24"/>
                <w:szCs w:val="21"/>
              </w:rPr>
              <w:t>（元</w:t>
            </w:r>
            <w:r>
              <w:rPr>
                <w:rFonts w:hint="eastAsia" w:ascii="宋体" w:hAnsi="宋体" w:eastAsia="宋体" w:cs="宋体"/>
                <w:color w:val="auto"/>
                <w:sz w:val="24"/>
                <w:szCs w:val="21"/>
                <w:lang w:val="en-US" w:eastAsia="zh-CN"/>
              </w:rPr>
              <w:t>/吨</w:t>
            </w:r>
            <w:r>
              <w:rPr>
                <w:rFonts w:hint="eastAsia" w:ascii="宋体" w:hAnsi="宋体" w:eastAsia="宋体" w:cs="宋体"/>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1"/>
                <w:lang w:eastAsia="zh-CN"/>
              </w:rPr>
            </w:pPr>
            <w:r>
              <w:rPr>
                <w:rFonts w:hint="eastAsia" w:ascii="宋体" w:hAnsi="宋体" w:cs="宋体"/>
                <w:color w:val="auto"/>
                <w:sz w:val="24"/>
                <w:szCs w:val="21"/>
                <w:lang w:eastAsia="zh-CN"/>
              </w:rPr>
              <w:t>龙泉市塔石金岗工业园区废水处理厂委托运营采购项目</w:t>
            </w:r>
          </w:p>
        </w:tc>
        <w:tc>
          <w:tcPr>
            <w:tcW w:w="4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小写：</w:t>
            </w:r>
          </w:p>
          <w:p>
            <w:pPr>
              <w:snapToGrid w:val="0"/>
              <w:spacing w:line="400" w:lineRule="exact"/>
              <w:jc w:val="center"/>
              <w:rPr>
                <w:rFonts w:hint="eastAsia" w:ascii="宋体" w:hAnsi="宋体" w:eastAsia="宋体" w:cs="宋体"/>
                <w:color w:val="auto"/>
                <w:sz w:val="24"/>
              </w:rPr>
            </w:pPr>
          </w:p>
          <w:p>
            <w:pPr>
              <w:snapToGrid w:val="0"/>
              <w:spacing w:line="400" w:lineRule="exact"/>
              <w:rPr>
                <w:rFonts w:hint="eastAsia" w:ascii="宋体" w:hAnsi="宋体" w:eastAsia="宋体" w:cs="宋体"/>
                <w:color w:val="auto"/>
                <w:sz w:val="24"/>
              </w:rPr>
            </w:pPr>
          </w:p>
          <w:p>
            <w:pPr>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大写：</w:t>
            </w:r>
          </w:p>
        </w:tc>
      </w:tr>
    </w:tbl>
    <w:p>
      <w:pPr>
        <w:spacing w:line="360" w:lineRule="auto"/>
        <w:ind w:firstLine="560" w:firstLineChars="200"/>
        <w:rPr>
          <w:rFonts w:hint="eastAsia" w:ascii="宋体" w:hAnsi="宋体" w:eastAsia="宋体" w:cs="宋体"/>
          <w:color w:val="auto"/>
          <w:spacing w:val="20"/>
          <w:sz w:val="24"/>
        </w:rPr>
      </w:pPr>
      <w:r>
        <w:rPr>
          <w:rFonts w:hint="eastAsia" w:ascii="宋体" w:hAnsi="宋体" w:eastAsia="宋体" w:cs="宋体"/>
          <w:color w:val="auto"/>
          <w:spacing w:val="20"/>
          <w:sz w:val="24"/>
        </w:rPr>
        <w:t>注：</w:t>
      </w:r>
    </w:p>
    <w:p>
      <w:pPr>
        <w:snapToGrid w:val="0"/>
        <w:spacing w:line="500" w:lineRule="exact"/>
        <w:ind w:firstLine="560" w:firstLineChars="200"/>
        <w:rPr>
          <w:rFonts w:hint="eastAsia" w:ascii="宋体" w:hAnsi="宋体" w:eastAsia="宋体" w:cs="宋体"/>
          <w:color w:val="auto"/>
          <w:spacing w:val="20"/>
          <w:sz w:val="24"/>
        </w:rPr>
      </w:pPr>
      <w:r>
        <w:rPr>
          <w:rFonts w:hint="eastAsia" w:ascii="宋体" w:hAnsi="宋体" w:eastAsia="宋体" w:cs="宋体"/>
          <w:color w:val="auto"/>
          <w:spacing w:val="20"/>
          <w:sz w:val="24"/>
        </w:rPr>
        <w:t>1、报价一经涂改，应在涂改处加盖单位公章，否则其投标作无效标处理。</w:t>
      </w:r>
    </w:p>
    <w:p>
      <w:pPr>
        <w:spacing w:line="360" w:lineRule="auto"/>
        <w:ind w:firstLine="560" w:firstLineChars="200"/>
        <w:rPr>
          <w:rFonts w:hint="eastAsia" w:ascii="宋体" w:hAnsi="宋体" w:eastAsia="宋体" w:cs="宋体"/>
          <w:snapToGrid w:val="0"/>
          <w:color w:val="auto"/>
          <w:sz w:val="24"/>
        </w:rPr>
      </w:pPr>
      <w:r>
        <w:rPr>
          <w:rFonts w:hint="eastAsia" w:ascii="宋体" w:hAnsi="宋体" w:eastAsia="宋体" w:cs="宋体"/>
          <w:color w:val="auto"/>
          <w:spacing w:val="20"/>
          <w:sz w:val="24"/>
        </w:rPr>
        <w:t>2、报价应包括</w:t>
      </w:r>
      <w:r>
        <w:rPr>
          <w:rFonts w:hint="eastAsia" w:ascii="宋体" w:hAnsi="宋体" w:eastAsia="宋体" w:cs="宋体"/>
          <w:snapToGrid w:val="0"/>
          <w:color w:val="auto"/>
          <w:sz w:val="24"/>
        </w:rPr>
        <w:t>产品及运维服务、人工、培训、保险、各种税费、专利技术、技术支持以及质保期间及实施本项目所需的其他一切费用，采购单位不另行支付任何费用。</w:t>
      </w:r>
    </w:p>
    <w:p>
      <w:pPr>
        <w:spacing w:line="360" w:lineRule="auto"/>
        <w:ind w:firstLine="480" w:firstLineChars="200"/>
        <w:rPr>
          <w:rFonts w:hint="eastAsia" w:ascii="宋体" w:hAnsi="宋体" w:eastAsia="宋体" w:cs="宋体"/>
          <w:color w:val="auto"/>
          <w:spacing w:val="20"/>
          <w:sz w:val="24"/>
        </w:rPr>
      </w:pPr>
      <w:r>
        <w:rPr>
          <w:rFonts w:hint="eastAsia" w:ascii="宋体" w:hAnsi="宋体" w:eastAsia="宋体" w:cs="宋体"/>
          <w:snapToGrid w:val="0"/>
          <w:color w:val="auto"/>
          <w:sz w:val="24"/>
        </w:rPr>
        <w:t>3、</w:t>
      </w:r>
      <w:r>
        <w:rPr>
          <w:rFonts w:hint="eastAsia" w:ascii="宋体" w:hAnsi="宋体" w:eastAsia="宋体" w:cs="宋体"/>
          <w:b/>
          <w:color w:val="auto"/>
          <w:sz w:val="24"/>
        </w:rPr>
        <w:t>评审时如发现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组织机构按规定将该情况报主管部门，并视情将其列入不良投标人名单。</w:t>
      </w:r>
    </w:p>
    <w:p>
      <w:pPr>
        <w:pStyle w:val="23"/>
        <w:spacing w:line="440" w:lineRule="exact"/>
        <w:rPr>
          <w:rFonts w:hint="eastAsia" w:ascii="宋体" w:hAnsi="宋体" w:eastAsia="宋体" w:cs="宋体"/>
          <w:color w:val="auto"/>
        </w:rPr>
      </w:pPr>
    </w:p>
    <w:p>
      <w:pPr>
        <w:pStyle w:val="23"/>
        <w:spacing w:line="480" w:lineRule="auto"/>
        <w:ind w:firstLine="2520" w:firstLineChars="900"/>
        <w:rPr>
          <w:rFonts w:hint="eastAsia" w:ascii="宋体" w:hAnsi="宋体" w:eastAsia="宋体" w:cs="宋体"/>
          <w:color w:val="auto"/>
          <w:spacing w:val="20"/>
          <w:sz w:val="24"/>
        </w:rPr>
      </w:pPr>
    </w:p>
    <w:p>
      <w:pPr>
        <w:pStyle w:val="23"/>
        <w:spacing w:line="480" w:lineRule="auto"/>
        <w:ind w:firstLine="560" w:firstLineChars="200"/>
        <w:rPr>
          <w:rFonts w:hint="eastAsia" w:ascii="宋体" w:hAnsi="宋体" w:eastAsia="宋体" w:cs="宋体"/>
          <w:color w:val="auto"/>
          <w:spacing w:val="20"/>
          <w:sz w:val="24"/>
          <w:u w:val="single"/>
        </w:rPr>
      </w:pPr>
      <w:r>
        <w:rPr>
          <w:rFonts w:hint="eastAsia" w:ascii="宋体" w:hAnsi="宋体" w:eastAsia="宋体" w:cs="宋体"/>
          <w:color w:val="auto"/>
          <w:spacing w:val="20"/>
          <w:sz w:val="24"/>
        </w:rPr>
        <w:t>供应商盖章：</w:t>
      </w:r>
      <w:r>
        <w:rPr>
          <w:rFonts w:hint="eastAsia" w:ascii="宋体" w:hAnsi="宋体" w:eastAsia="宋体" w:cs="宋体"/>
          <w:color w:val="auto"/>
          <w:spacing w:val="20"/>
          <w:sz w:val="24"/>
          <w:u w:val="single"/>
        </w:rPr>
        <w:t xml:space="preserve">            </w:t>
      </w:r>
    </w:p>
    <w:p>
      <w:pPr>
        <w:pStyle w:val="23"/>
        <w:spacing w:line="480" w:lineRule="auto"/>
        <w:ind w:firstLine="560" w:firstLineChars="200"/>
        <w:rPr>
          <w:rFonts w:hint="eastAsia" w:ascii="宋体" w:hAnsi="宋体" w:eastAsia="宋体" w:cs="宋体"/>
          <w:color w:val="auto"/>
          <w:sz w:val="30"/>
        </w:rPr>
      </w:pPr>
      <w:r>
        <w:rPr>
          <w:rFonts w:hint="eastAsia" w:ascii="宋体" w:hAnsi="宋体" w:eastAsia="宋体" w:cs="宋体"/>
          <w:color w:val="auto"/>
          <w:spacing w:val="20"/>
          <w:sz w:val="24"/>
        </w:rPr>
        <w:t>日     期：</w:t>
      </w:r>
      <w:r>
        <w:rPr>
          <w:rFonts w:hint="eastAsia" w:ascii="宋体" w:hAnsi="宋体" w:eastAsia="宋体" w:cs="宋体"/>
          <w:color w:val="auto"/>
          <w:spacing w:val="20"/>
          <w:sz w:val="24"/>
          <w:u w:val="single"/>
        </w:rPr>
        <w:t xml:space="preserve">            </w:t>
      </w:r>
    </w:p>
    <w:p>
      <w:pPr>
        <w:ind w:firstLine="420" w:firstLineChars="200"/>
        <w:rPr>
          <w:rFonts w:hint="eastAsia" w:ascii="宋体" w:hAnsi="宋体" w:eastAsia="宋体" w:cs="宋体"/>
          <w:color w:val="auto"/>
        </w:rPr>
      </w:pPr>
      <w:r>
        <w:rPr>
          <w:rFonts w:hint="eastAsia" w:ascii="宋体" w:hAnsi="宋体" w:eastAsia="宋体" w:cs="宋体"/>
          <w:color w:val="auto"/>
        </w:rPr>
        <w:br w:type="page"/>
      </w:r>
      <w:bookmarkStart w:id="274" w:name="_Toc22965"/>
    </w:p>
    <w:p>
      <w:pPr>
        <w:pStyle w:val="6"/>
        <w:spacing w:line="560" w:lineRule="exact"/>
        <w:ind w:firstLine="723" w:firstLineChars="200"/>
        <w:rPr>
          <w:rFonts w:hint="eastAsia" w:ascii="宋体" w:hAnsi="宋体" w:eastAsia="宋体" w:cs="宋体"/>
          <w:color w:val="auto"/>
        </w:rPr>
      </w:pPr>
      <w:bookmarkStart w:id="275" w:name="_Toc31679"/>
      <w:r>
        <w:rPr>
          <w:rFonts w:hint="eastAsia" w:ascii="宋体" w:hAnsi="宋体" w:eastAsia="宋体" w:cs="宋体"/>
          <w:color w:val="auto"/>
        </w:rPr>
        <w:t>第六章  评标办法和细则</w:t>
      </w:r>
      <w:bookmarkEnd w:id="274"/>
      <w:bookmarkEnd w:id="275"/>
    </w:p>
    <w:p>
      <w:pPr>
        <w:pStyle w:val="26"/>
        <w:snapToGrid/>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根据《中华人民共和国政府采购法》等有关法律法规的规定，并结合本项目的实际，按照公正、公平、科学、择优的原则选择中标人，特制定本办法。</w:t>
      </w:r>
    </w:p>
    <w:p>
      <w:pPr>
        <w:pStyle w:val="7"/>
        <w:spacing w:line="560" w:lineRule="exact"/>
        <w:ind w:firstLine="600" w:firstLineChars="200"/>
        <w:rPr>
          <w:rFonts w:hint="eastAsia" w:ascii="宋体" w:hAnsi="宋体" w:eastAsia="宋体" w:cs="宋体"/>
          <w:b w:val="0"/>
          <w:bCs w:val="0"/>
          <w:color w:val="auto"/>
        </w:rPr>
      </w:pPr>
      <w:bookmarkStart w:id="276" w:name="_Toc26899"/>
      <w:bookmarkStart w:id="277" w:name="_Toc23469"/>
      <w:bookmarkStart w:id="278" w:name="_Toc25190"/>
      <w:bookmarkStart w:id="279" w:name="_Toc18583"/>
      <w:r>
        <w:rPr>
          <w:rFonts w:hint="eastAsia" w:ascii="宋体" w:hAnsi="宋体" w:eastAsia="宋体" w:cs="宋体"/>
          <w:b w:val="0"/>
          <w:bCs w:val="0"/>
          <w:color w:val="auto"/>
        </w:rPr>
        <w:t>一   总则</w:t>
      </w:r>
      <w:bookmarkEnd w:id="276"/>
      <w:bookmarkEnd w:id="277"/>
      <w:bookmarkEnd w:id="278"/>
      <w:bookmarkEnd w:id="279"/>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1.评标总则和规定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 为最大限度地保护各当事人的权益，评标委员会应严格按照招标文件的技术、资信及商务、报价要求，对投标文件进行综合分析评价并编制评标报告。评审专家必须严格遵守保密规定，不得泄漏评标有关的情况，不得索贿受贿，不得参加影响评标的任何活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评审时，评标委员会应当对照招标文件规定的条件和标准，对各投标人投标文件的合规性、完整性和有效性进行审查、比较和评估，其中对投标人的资格条件、主要服务响应内容、商务报价和其他评审要素等，评审专家应逐项进行审查、比较，不得漏评少评。如发现与招标文件要求相偏离的，应对其偏离情况进行必要的核实，并在工作底稿中予以说明；如属于实质性偏离或符合无效响应条件的，可当场询问投标人，并可允许投标人进行陈述申辩，但不允许其对偏离条款进行补充、修正或撤回。</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color w:val="auto"/>
          <w:sz w:val="24"/>
        </w:rPr>
        <w:t>1.3 本次评审方法采取百分制综合评分法，按最终得分由高到低顺序排列。最终得分相同的，按投标报价由低到高顺序排列；最终得分且投标报价相同的，按技术得分由高到低顺序排列。评标委员会根据具体情况，按由高到低推荐不超过三名投标人作为中标候选人。</w:t>
      </w:r>
    </w:p>
    <w:p>
      <w:pPr>
        <w:pStyle w:val="7"/>
        <w:spacing w:line="560" w:lineRule="exact"/>
        <w:ind w:firstLine="600" w:firstLineChars="200"/>
        <w:rPr>
          <w:rFonts w:hint="eastAsia" w:ascii="宋体" w:hAnsi="宋体" w:eastAsia="宋体" w:cs="宋体"/>
          <w:b w:val="0"/>
          <w:bCs w:val="0"/>
          <w:color w:val="auto"/>
        </w:rPr>
      </w:pPr>
      <w:bookmarkStart w:id="280" w:name="_Toc14535"/>
      <w:bookmarkStart w:id="281" w:name="_Toc5541"/>
      <w:bookmarkStart w:id="282" w:name="_Toc18378"/>
      <w:bookmarkStart w:id="283" w:name="_Toc10940"/>
      <w:r>
        <w:rPr>
          <w:rFonts w:hint="eastAsia" w:ascii="宋体" w:hAnsi="宋体" w:eastAsia="宋体" w:cs="宋体"/>
          <w:b w:val="0"/>
          <w:bCs w:val="0"/>
          <w:color w:val="auto"/>
        </w:rPr>
        <w:t>二   评审委员会</w:t>
      </w:r>
      <w:bookmarkEnd w:id="280"/>
      <w:bookmarkEnd w:id="281"/>
      <w:bookmarkEnd w:id="282"/>
      <w:bookmarkEnd w:id="283"/>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2.1评标委员会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2.1.1成员：由采购人代表和评审专家组成，其中评审专家不得少于评标委员会总人数的三分之二。除国务院财政部门规定的情形外，评审专家由采购代理机构在政府采购专家库中随机抽取。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职责：严格按政府采购法律法规的有关规定执行，评审专家应按招标文件规定的评审要求、评审程序、评审内容、评审方法和评审标准进行评审，对评审意见承担个人责任。对合格的投标人提出投标文件中需要澄清的问题。对不合格的投标人说明原因；对合格的投标文件认真、客观、公正地评审；对合格的投标人进行综合评分；完成所评审项目的评标报告，评标委员会按本招标文件规定的评标办法和细则推荐中标候选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 评审专家的评审情况和评审意见受监督人员和采购代理机构审查，如发现评审专家的评审意见带有明显倾向性，或不按规定程序和标准评审、计分的，可要求评审专家进行书面澄清和说明。</w:t>
      </w:r>
    </w:p>
    <w:p>
      <w:pPr>
        <w:pStyle w:val="7"/>
        <w:spacing w:line="560" w:lineRule="exact"/>
        <w:ind w:firstLine="600" w:firstLineChars="200"/>
        <w:rPr>
          <w:rFonts w:hint="eastAsia" w:ascii="宋体" w:hAnsi="宋体" w:eastAsia="宋体" w:cs="宋体"/>
          <w:b w:val="0"/>
          <w:bCs w:val="0"/>
          <w:color w:val="auto"/>
        </w:rPr>
      </w:pPr>
      <w:bookmarkStart w:id="284" w:name="_Toc20288"/>
      <w:bookmarkStart w:id="285" w:name="_Toc8012"/>
      <w:bookmarkStart w:id="286" w:name="_Toc13133"/>
      <w:bookmarkStart w:id="287" w:name="_Toc28262"/>
      <w:r>
        <w:rPr>
          <w:rFonts w:hint="eastAsia" w:ascii="宋体" w:hAnsi="宋体" w:eastAsia="宋体" w:cs="宋体"/>
          <w:b w:val="0"/>
          <w:bCs w:val="0"/>
          <w:color w:val="auto"/>
        </w:rPr>
        <w:t>三   评标程序</w:t>
      </w:r>
      <w:bookmarkEnd w:id="284"/>
      <w:bookmarkEnd w:id="285"/>
      <w:bookmarkEnd w:id="286"/>
      <w:bookmarkEnd w:id="287"/>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3.1 符合性审查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3.2 资信及商务文件评审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评标委员会依据招标文件的规定，对各</w:t>
      </w:r>
      <w:r>
        <w:rPr>
          <w:rFonts w:hint="eastAsia" w:ascii="宋体" w:hAnsi="宋体" w:eastAsia="宋体" w:cs="宋体"/>
          <w:color w:val="auto"/>
          <w:kern w:val="0"/>
          <w:sz w:val="24"/>
        </w:rPr>
        <w:t>投标人的</w:t>
      </w:r>
      <w:r>
        <w:rPr>
          <w:rFonts w:hint="eastAsia" w:ascii="宋体" w:hAnsi="宋体" w:eastAsia="宋体" w:cs="宋体"/>
          <w:color w:val="auto"/>
          <w:sz w:val="24"/>
        </w:rPr>
        <w:t>资信及商务文件进行评审，对客观分应统一意见后统一给分。</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3.3技术文件评审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3.3.1评标委员会依据招标文件的规定，对各</w:t>
      </w:r>
      <w:r>
        <w:rPr>
          <w:rFonts w:hint="eastAsia" w:ascii="宋体" w:hAnsi="宋体" w:eastAsia="宋体" w:cs="宋体"/>
          <w:color w:val="auto"/>
          <w:kern w:val="0"/>
          <w:sz w:val="24"/>
        </w:rPr>
        <w:t>投标人的</w:t>
      </w:r>
      <w:r>
        <w:rPr>
          <w:rFonts w:hint="eastAsia" w:ascii="宋体" w:hAnsi="宋体" w:eastAsia="宋体" w:cs="宋体"/>
          <w:color w:val="auto"/>
          <w:sz w:val="24"/>
        </w:rPr>
        <w:t>技术文件进行独立评审。对各</w:t>
      </w:r>
      <w:r>
        <w:rPr>
          <w:rFonts w:hint="eastAsia" w:ascii="宋体" w:hAnsi="宋体" w:eastAsia="宋体" w:cs="宋体"/>
          <w:color w:val="auto"/>
          <w:kern w:val="0"/>
          <w:sz w:val="24"/>
        </w:rPr>
        <w:t>投标文件</w:t>
      </w:r>
      <w:r>
        <w:rPr>
          <w:rFonts w:hint="eastAsia" w:ascii="宋体" w:hAnsi="宋体" w:eastAsia="宋体" w:cs="宋体"/>
          <w:color w:val="auto"/>
          <w:sz w:val="24"/>
        </w:rPr>
        <w:t>进行比较和必要的澄清，若有演示、样品要求和技术文件评审同步进行，演示循序为投标文件递交的先后顺序，并根据审查、澄清、演示、样品等情况结合评审办法进行独立打分；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3.3.2 各投标人的技术得分，为各评审专家对该投标人的技术得分结果汇总后的算术平均数。</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3.4 报价文件评审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 评标委员会依据招标文件的规定，对各投标人的报价的合理性进行审查，必要时可要求投保人对其报价做出澄清、说明。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3.4.2报价修正；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3.4.3 政府采购政策价格扣除；</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3.4.4 评审委员会根据投标人的报价和评审标准，计算各投标人的报价得分。</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3.5 评标结果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3.5.1 评审结果汇总，同品牌投标人的确定，投标人结果排序；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3.5.2 起草评标报告，确定中标候选人；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3.5.2.1 评标报告应包括以下内容：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（1）招标公告刊登的媒体名称、开标日期和地点；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（2）投标人名单和评标委员会成员名单；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（3）评审方法和标准；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（4）开标记录和评审情况及说明，包括无效投标人名单及原因；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（5）评审结果，确定的中标候选人名单或者经采购人委托直接确定的中标人；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（6）其他需要说明的情况，包括评审过程中投标人根据评标委员会要求进行的澄清、说明或者补正，评标委员会成员的更换等。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3.5.3 评标报告由全体评标委员会成员确认后提交。</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3.6 评审结束后，采购代理机构当日在开标大厅宣布评审结果，并在采购人确定中标人后2个工作日内，发出中标通知书，并在相关媒体上公告中标结果。</w:t>
      </w:r>
    </w:p>
    <w:p>
      <w:pPr>
        <w:pStyle w:val="7"/>
        <w:spacing w:line="560" w:lineRule="exact"/>
        <w:ind w:firstLine="600" w:firstLineChars="200"/>
        <w:rPr>
          <w:rFonts w:hint="eastAsia" w:ascii="宋体" w:hAnsi="宋体" w:eastAsia="宋体" w:cs="宋体"/>
          <w:b w:val="0"/>
          <w:bCs w:val="0"/>
          <w:color w:val="auto"/>
        </w:rPr>
      </w:pPr>
      <w:bookmarkStart w:id="288" w:name="_Toc27157"/>
      <w:bookmarkStart w:id="289" w:name="_Toc21586"/>
      <w:bookmarkStart w:id="290" w:name="_Toc26133"/>
      <w:bookmarkStart w:id="291" w:name="_Toc19211"/>
      <w:r>
        <w:rPr>
          <w:rFonts w:hint="eastAsia" w:ascii="宋体" w:hAnsi="宋体" w:eastAsia="宋体" w:cs="宋体"/>
          <w:b w:val="0"/>
          <w:bCs w:val="0"/>
          <w:color w:val="auto"/>
        </w:rPr>
        <w:t>四   评标一般规定</w:t>
      </w:r>
      <w:bookmarkEnd w:id="288"/>
      <w:bookmarkEnd w:id="289"/>
      <w:bookmarkEnd w:id="290"/>
      <w:bookmarkEnd w:id="291"/>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4.本评标办法采用综合评分法,总分100分。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4.1资信商务</w:t>
      </w:r>
      <w:r>
        <w:rPr>
          <w:rFonts w:hint="eastAsia" w:ascii="宋体" w:hAnsi="宋体" w:cs="宋体"/>
          <w:color w:val="auto"/>
          <w:sz w:val="24"/>
          <w:lang w:val="en-US" w:eastAsia="zh-CN"/>
        </w:rPr>
        <w:t>级技术</w:t>
      </w:r>
      <w:r>
        <w:rPr>
          <w:rFonts w:hint="eastAsia" w:ascii="宋体" w:hAnsi="宋体" w:eastAsia="宋体" w:cs="宋体"/>
          <w:color w:val="auto"/>
          <w:sz w:val="24"/>
        </w:rPr>
        <w:t>权重为</w:t>
      </w:r>
      <w:r>
        <w:rPr>
          <w:rFonts w:hint="eastAsia" w:ascii="宋体" w:hAnsi="宋体" w:cs="宋体"/>
          <w:color w:val="auto"/>
          <w:sz w:val="24"/>
          <w:lang w:val="en-US" w:eastAsia="zh-CN"/>
        </w:rPr>
        <w:t>70</w:t>
      </w:r>
      <w:r>
        <w:rPr>
          <w:rFonts w:hint="eastAsia" w:ascii="宋体" w:hAnsi="宋体" w:eastAsia="宋体" w:cs="宋体"/>
          <w:color w:val="auto"/>
          <w:sz w:val="24"/>
        </w:rPr>
        <w:t>%，总分值为</w:t>
      </w:r>
      <w:r>
        <w:rPr>
          <w:rFonts w:hint="eastAsia" w:ascii="宋体" w:hAnsi="宋体" w:cs="宋体"/>
          <w:color w:val="auto"/>
          <w:sz w:val="24"/>
          <w:lang w:val="en-US" w:eastAsia="zh-CN"/>
        </w:rPr>
        <w:t>70</w:t>
      </w:r>
      <w:r>
        <w:rPr>
          <w:rFonts w:hint="eastAsia" w:ascii="宋体" w:hAnsi="宋体" w:eastAsia="宋体" w:cs="宋体"/>
          <w:color w:val="auto"/>
          <w:sz w:val="24"/>
        </w:rPr>
        <w:t>分，评委在规定的分值内统一打分。评委对各投标文件的技术标经充分审核、讨论后，在规定的分值内由评委单独评定打分。如果某个单项的打分超过所规定的分值范围，则该张打分表无效，各投标人的技术得分为各评委打分的算数平均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4.3报价权重为30%，总分值为30分，由评委按各投标人的报价统一计算。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4.4评审专家在规定的分值范围内独立打分，评分保留2位小数。</w:t>
      </w:r>
    </w:p>
    <w:p>
      <w:pPr>
        <w:pStyle w:val="7"/>
        <w:spacing w:line="560" w:lineRule="exact"/>
        <w:ind w:firstLine="600" w:firstLineChars="200"/>
        <w:rPr>
          <w:rFonts w:hint="eastAsia" w:ascii="宋体" w:hAnsi="宋体" w:eastAsia="宋体" w:cs="宋体"/>
          <w:b w:val="0"/>
          <w:bCs w:val="0"/>
          <w:color w:val="auto"/>
        </w:rPr>
      </w:pPr>
      <w:bookmarkStart w:id="292" w:name="_Toc563"/>
      <w:bookmarkStart w:id="293" w:name="_Toc27190"/>
      <w:bookmarkStart w:id="294" w:name="_Toc1603"/>
      <w:bookmarkStart w:id="295" w:name="_Toc7360"/>
      <w:r>
        <w:rPr>
          <w:rFonts w:hint="eastAsia" w:ascii="宋体" w:hAnsi="宋体" w:eastAsia="宋体" w:cs="宋体"/>
          <w:b w:val="0"/>
          <w:bCs w:val="0"/>
          <w:color w:val="auto"/>
        </w:rPr>
        <w:t>五   评标办法和细则</w:t>
      </w:r>
      <w:bookmarkEnd w:id="292"/>
      <w:bookmarkEnd w:id="293"/>
      <w:bookmarkEnd w:id="294"/>
      <w:bookmarkEnd w:id="295"/>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评委会遵循公开、公平、公正和科学诚信的原则，对所有投标文件均采用相同程序和标准，进行评定。评标评分采用综合评分法。</w:t>
      </w:r>
    </w:p>
    <w:p>
      <w:pPr>
        <w:spacing w:line="360" w:lineRule="auto"/>
        <w:ind w:firstLine="482" w:firstLineChars="200"/>
        <w:rPr>
          <w:rFonts w:hint="eastAsia" w:ascii="宋体" w:hAnsi="宋体" w:eastAsia="宋体" w:cs="宋体"/>
          <w:b/>
          <w:color w:val="auto"/>
          <w:sz w:val="24"/>
        </w:rPr>
      </w:pP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5. 评标内容和标准</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color w:val="auto"/>
          <w:sz w:val="24"/>
        </w:rPr>
        <w:t>5.1资信</w:t>
      </w:r>
      <w:r>
        <w:rPr>
          <w:rFonts w:hint="eastAsia" w:ascii="宋体" w:hAnsi="宋体" w:cs="宋体"/>
          <w:b/>
          <w:color w:val="auto"/>
          <w:sz w:val="24"/>
          <w:lang w:val="en-US" w:eastAsia="zh-CN"/>
        </w:rPr>
        <w:t>商务及技术</w:t>
      </w:r>
      <w:r>
        <w:rPr>
          <w:rFonts w:hint="eastAsia" w:ascii="宋体" w:hAnsi="宋体" w:eastAsia="宋体" w:cs="宋体"/>
          <w:b/>
          <w:color w:val="auto"/>
          <w:sz w:val="24"/>
        </w:rPr>
        <w:t>得分为</w:t>
      </w:r>
      <w:r>
        <w:rPr>
          <w:rFonts w:hint="eastAsia" w:ascii="宋体" w:hAnsi="宋体" w:cs="宋体"/>
          <w:b/>
          <w:color w:val="auto"/>
          <w:sz w:val="24"/>
          <w:lang w:val="en-US" w:eastAsia="zh-CN"/>
        </w:rPr>
        <w:t>70</w:t>
      </w:r>
      <w:r>
        <w:rPr>
          <w:rFonts w:hint="eastAsia" w:ascii="宋体" w:hAnsi="宋体" w:eastAsia="宋体" w:cs="宋体"/>
          <w:b/>
          <w:color w:val="auto"/>
          <w:sz w:val="24"/>
        </w:rPr>
        <w:t>分，权值为</w:t>
      </w:r>
      <w:r>
        <w:rPr>
          <w:rFonts w:hint="eastAsia" w:ascii="宋体" w:hAnsi="宋体" w:cs="宋体"/>
          <w:b/>
          <w:color w:val="auto"/>
          <w:sz w:val="24"/>
          <w:lang w:val="en-US" w:eastAsia="zh-CN"/>
        </w:rPr>
        <w:t>70</w:t>
      </w:r>
      <w:r>
        <w:rPr>
          <w:rFonts w:hint="eastAsia" w:ascii="宋体" w:hAnsi="宋体" w:eastAsia="宋体" w:cs="宋体"/>
          <w:b/>
          <w:color w:val="auto"/>
          <w:sz w:val="24"/>
        </w:rPr>
        <w:t>%，</w:t>
      </w:r>
      <w:r>
        <w:rPr>
          <w:rFonts w:hint="eastAsia" w:ascii="宋体" w:hAnsi="宋体" w:eastAsia="宋体" w:cs="宋体"/>
          <w:b/>
          <w:bCs/>
          <w:color w:val="auto"/>
          <w:sz w:val="24"/>
        </w:rPr>
        <w:t>由评委根据以下内容统一打分。</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941"/>
        <w:gridCol w:w="582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192"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Style w:val="268"/>
                <w:rFonts w:hint="eastAsia" w:ascii="宋体" w:hAnsi="宋体" w:cs="宋体"/>
                <w:szCs w:val="24"/>
              </w:rPr>
            </w:pPr>
            <w:r>
              <w:rPr>
                <w:rStyle w:val="268"/>
                <w:rFonts w:hint="eastAsia" w:ascii="宋体" w:hAnsi="宋体" w:cs="宋体"/>
                <w:szCs w:val="24"/>
              </w:rPr>
              <w:t>评分内容</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Style w:val="268"/>
                <w:rFonts w:hint="eastAsia" w:ascii="宋体" w:hAnsi="宋体" w:cs="宋体"/>
                <w:szCs w:val="24"/>
              </w:rPr>
            </w:pPr>
            <w:r>
              <w:rPr>
                <w:rStyle w:val="268"/>
                <w:rFonts w:hint="eastAsia" w:ascii="宋体" w:hAnsi="宋体" w:cs="宋体"/>
                <w:szCs w:val="24"/>
              </w:rPr>
              <w:t>评分细则</w:t>
            </w:r>
          </w:p>
        </w:tc>
        <w:tc>
          <w:tcPr>
            <w:tcW w:w="39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Style w:val="268"/>
                <w:rFonts w:hint="eastAsia" w:ascii="宋体" w:hAnsi="宋体" w:cs="宋体"/>
                <w:szCs w:val="24"/>
              </w:rPr>
            </w:pPr>
            <w:r>
              <w:rPr>
                <w:rStyle w:val="268"/>
                <w:rFonts w:hint="eastAsia" w:ascii="宋体" w:hAnsi="宋体" w:cs="宋体"/>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40" w:type="pct"/>
            <w:vMerge w:val="restart"/>
            <w:tcBorders>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商务技术部分（</w:t>
            </w:r>
            <w:r>
              <w:rPr>
                <w:rFonts w:hint="eastAsia" w:ascii="宋体" w:hAnsi="宋体" w:cs="宋体"/>
                <w:sz w:val="24"/>
                <w:szCs w:val="24"/>
                <w:lang w:val="en-US" w:eastAsia="zh-CN"/>
              </w:rPr>
              <w:t>62</w:t>
            </w:r>
            <w:r>
              <w:rPr>
                <w:rFonts w:hint="eastAsia" w:ascii="宋体" w:hAnsi="宋体" w:cs="宋体"/>
                <w:sz w:val="24"/>
                <w:szCs w:val="24"/>
              </w:rPr>
              <w:t>分）</w:t>
            </w:r>
          </w:p>
        </w:tc>
        <w:tc>
          <w:tcPr>
            <w:tcW w:w="551" w:type="pct"/>
            <w:vMerge w:val="restart"/>
            <w:tcBorders>
              <w:left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sz w:val="24"/>
                <w:szCs w:val="24"/>
              </w:rPr>
              <w:t>实施方案</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投标人针对本项目的实际需求提出运维方案的科学性、合理性、规范性和可操作性等内容由评委酌情进行评分，0</w:t>
            </w:r>
            <w:r>
              <w:rPr>
                <w:rFonts w:hint="eastAsia" w:ascii="宋体" w:hAnsi="宋体" w:cs="宋体"/>
                <w:sz w:val="24"/>
                <w:szCs w:val="24"/>
                <w:lang w:val="en-US" w:eastAsia="zh-CN"/>
              </w:rPr>
              <w:t>-8</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根据投标人针对本项目的实际需求提出水质及污泥处置标准管理方案的可靠性、规范性等内容由评委酌情进行评分，0</w:t>
            </w:r>
            <w:r>
              <w:rPr>
                <w:rFonts w:hint="eastAsia" w:ascii="宋体" w:hAnsi="宋体" w:cs="宋体"/>
                <w:sz w:val="24"/>
                <w:szCs w:val="24"/>
                <w:lang w:val="en-US" w:eastAsia="zh-CN"/>
              </w:rPr>
              <w:t>-8</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根据投标人针对本项目的污泥处置方案方案措施全面、合理、有效、可操作性性进行评分，0</w:t>
            </w:r>
            <w:r>
              <w:rPr>
                <w:rFonts w:hint="eastAsia" w:ascii="宋体" w:hAnsi="宋体" w:cs="宋体"/>
                <w:sz w:val="24"/>
                <w:szCs w:val="24"/>
                <w:lang w:val="en-US" w:eastAsia="zh-CN"/>
              </w:rPr>
              <w:t>-8</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根据投标人对本项目的突发应急事件（突然停水、停电情况治理、设备故障应急治理等）的治理预案是否合理、及时有效等内容由评委酌情进行评分，0</w:t>
            </w:r>
            <w:r>
              <w:rPr>
                <w:rFonts w:hint="eastAsia" w:ascii="宋体" w:hAnsi="宋体" w:cs="宋体"/>
                <w:sz w:val="24"/>
                <w:szCs w:val="24"/>
                <w:lang w:val="en-US" w:eastAsia="zh-CN"/>
              </w:rPr>
              <w:t>-5</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tcBorders>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服务承诺</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根据</w:t>
            </w:r>
            <w:r>
              <w:rPr>
                <w:rFonts w:hint="eastAsia" w:ascii="宋体" w:hAnsi="宋体" w:cs="宋体"/>
                <w:sz w:val="24"/>
                <w:szCs w:val="24"/>
                <w:lang w:eastAsia="zh-CN"/>
              </w:rPr>
              <w:t>运维的</w:t>
            </w:r>
            <w:r>
              <w:rPr>
                <w:rFonts w:hint="eastAsia" w:ascii="宋体" w:hAnsi="宋体" w:cs="宋体"/>
                <w:sz w:val="24"/>
                <w:szCs w:val="24"/>
              </w:rPr>
              <w:t>工作，针对组织体系、人力资源、设备投入、工程进度、服务质量及安全文明施工等提出服务承诺，得0-</w:t>
            </w:r>
            <w:r>
              <w:rPr>
                <w:rFonts w:hint="eastAsia" w:ascii="宋体" w:hAnsi="宋体" w:cs="宋体"/>
                <w:sz w:val="24"/>
                <w:szCs w:val="24"/>
                <w:lang w:val="en-US" w:eastAsia="zh-CN"/>
              </w:rPr>
              <w:t>7</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tcBorders>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售后服务</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投标人提供的服务机构和人员等情况，是否</w:t>
            </w:r>
            <w:r>
              <w:rPr>
                <w:rFonts w:hint="eastAsia" w:ascii="宋体" w:hAnsi="宋体" w:cs="宋体"/>
                <w:sz w:val="24"/>
                <w:szCs w:val="24"/>
                <w:lang w:eastAsia="zh-CN"/>
              </w:rPr>
              <w:t>配备</w:t>
            </w:r>
            <w:r>
              <w:rPr>
                <w:rFonts w:hint="eastAsia" w:ascii="宋体" w:hAnsi="宋体" w:cs="宋体"/>
                <w:sz w:val="24"/>
                <w:szCs w:val="24"/>
              </w:rPr>
              <w:t>具有较强的专业技术</w:t>
            </w:r>
            <w:r>
              <w:rPr>
                <w:rFonts w:hint="eastAsia" w:ascii="宋体" w:hAnsi="宋体" w:cs="宋体"/>
                <w:sz w:val="24"/>
                <w:szCs w:val="24"/>
                <w:lang w:val="en-US" w:eastAsia="zh-CN"/>
              </w:rPr>
              <w:t>应急</w:t>
            </w:r>
            <w:r>
              <w:rPr>
                <w:rFonts w:hint="eastAsia" w:ascii="宋体" w:hAnsi="宋体" w:cs="宋体"/>
                <w:sz w:val="24"/>
                <w:szCs w:val="24"/>
              </w:rPr>
              <w:t>队伍，能提供快速的售后服务响应</w:t>
            </w:r>
            <w:r>
              <w:rPr>
                <w:rFonts w:hint="eastAsia" w:ascii="宋体" w:hAnsi="宋体" w:cs="宋体"/>
                <w:sz w:val="24"/>
                <w:szCs w:val="24"/>
                <w:lang w:val="en-US" w:eastAsia="zh-CN"/>
              </w:rPr>
              <w:t>的</w:t>
            </w:r>
            <w:r>
              <w:rPr>
                <w:rFonts w:hint="eastAsia" w:ascii="宋体" w:hAnsi="宋体" w:cs="宋体"/>
                <w:sz w:val="24"/>
                <w:szCs w:val="24"/>
              </w:rPr>
              <w:t>，得0-</w:t>
            </w:r>
            <w:r>
              <w:rPr>
                <w:rFonts w:hint="eastAsia" w:ascii="宋体" w:hAnsi="宋体" w:cs="宋体"/>
                <w:sz w:val="24"/>
                <w:szCs w:val="24"/>
                <w:lang w:val="en-US" w:eastAsia="zh-CN"/>
              </w:rPr>
              <w:t>7</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tcBorders>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运维费用</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根据投标人提供的价格构成、成本分析说明，且价格构成、分析说明具有科学、合理性进行评分，0-</w:t>
            </w:r>
            <w:r>
              <w:rPr>
                <w:rFonts w:hint="eastAsia" w:ascii="宋体" w:hAnsi="宋体" w:cs="宋体"/>
                <w:sz w:val="24"/>
                <w:szCs w:val="24"/>
                <w:lang w:val="en-US" w:eastAsia="zh-CN"/>
              </w:rPr>
              <w:t>5</w:t>
            </w:r>
            <w:r>
              <w:rPr>
                <w:rFonts w:hint="eastAsia" w:ascii="宋体" w:hAnsi="宋体" w:cs="宋体"/>
                <w:sz w:val="24"/>
                <w:szCs w:val="24"/>
              </w:rPr>
              <w:t>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restart"/>
            <w:tcBorders>
              <w:left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人员配置</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项目负责人（1人）：具备高级工程师职称的得</w:t>
            </w:r>
            <w:r>
              <w:rPr>
                <w:rFonts w:hint="eastAsia" w:ascii="宋体" w:hAnsi="宋体" w:cs="宋体"/>
                <w:sz w:val="24"/>
                <w:szCs w:val="24"/>
                <w:lang w:val="en-US" w:eastAsia="zh-CN"/>
              </w:rPr>
              <w:t>1</w:t>
            </w:r>
            <w:r>
              <w:rPr>
                <w:rFonts w:hint="eastAsia" w:ascii="宋体" w:hAnsi="宋体" w:cs="宋体"/>
                <w:sz w:val="24"/>
                <w:szCs w:val="24"/>
              </w:rPr>
              <w:t>分。（共</w:t>
            </w:r>
            <w:r>
              <w:rPr>
                <w:rFonts w:hint="eastAsia" w:ascii="宋体" w:hAnsi="宋体" w:cs="宋体"/>
                <w:sz w:val="24"/>
                <w:szCs w:val="24"/>
                <w:lang w:val="en-US" w:eastAsia="zh-CN"/>
              </w:rPr>
              <w:t>1</w:t>
            </w:r>
            <w:r>
              <w:rPr>
                <w:rFonts w:hint="eastAsia" w:ascii="宋体" w:hAnsi="宋体" w:cs="宋体"/>
                <w:sz w:val="24"/>
                <w:szCs w:val="24"/>
              </w:rPr>
              <w:t>分）提供原件备查，不提供不得分。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rPr>
                <w:rFonts w:hint="eastAsia" w:ascii="宋体" w:hAnsi="宋体" w:cs="宋体"/>
                <w:szCs w:val="21"/>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技术负责人（1人）：具有二级市政建造师</w:t>
            </w:r>
            <w:r>
              <w:rPr>
                <w:rFonts w:hint="eastAsia" w:ascii="宋体" w:hAnsi="宋体" w:cs="宋体"/>
                <w:sz w:val="24"/>
                <w:szCs w:val="24"/>
                <w:lang w:val="en-US" w:eastAsia="zh-CN"/>
              </w:rPr>
              <w:t>及</w:t>
            </w:r>
            <w:r>
              <w:rPr>
                <w:rFonts w:hint="eastAsia" w:ascii="宋体" w:hAnsi="宋体" w:cs="宋体"/>
                <w:sz w:val="24"/>
                <w:szCs w:val="24"/>
              </w:rPr>
              <w:t>以上职称且带有B证的得</w:t>
            </w:r>
            <w:r>
              <w:rPr>
                <w:rFonts w:hint="eastAsia" w:ascii="宋体" w:hAnsi="宋体" w:cs="宋体"/>
                <w:sz w:val="24"/>
                <w:szCs w:val="24"/>
                <w:lang w:val="en-US" w:eastAsia="zh-CN"/>
              </w:rPr>
              <w:t>2</w:t>
            </w:r>
            <w:r>
              <w:rPr>
                <w:rFonts w:hint="eastAsia" w:ascii="宋体" w:hAnsi="宋体" w:cs="宋体"/>
                <w:sz w:val="24"/>
                <w:szCs w:val="24"/>
              </w:rPr>
              <w:t>分。提供原件备查，不提供不得分。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rPr>
                <w:rFonts w:hint="eastAsia" w:ascii="宋体" w:hAnsi="宋体" w:cs="宋体"/>
                <w:szCs w:val="21"/>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szCs w:val="24"/>
              </w:rPr>
            </w:pPr>
            <w:r>
              <w:rPr>
                <w:rFonts w:hint="eastAsia" w:ascii="宋体" w:hAnsi="宋体" w:cs="宋体"/>
                <w:color w:val="auto"/>
                <w:sz w:val="24"/>
                <w:szCs w:val="24"/>
              </w:rPr>
              <w:t>其他人员配备：具有</w:t>
            </w:r>
            <w:r>
              <w:rPr>
                <w:rFonts w:hint="eastAsia" w:ascii="宋体" w:hAnsi="宋体" w:cs="宋体"/>
                <w:color w:val="auto"/>
                <w:sz w:val="24"/>
                <w:szCs w:val="24"/>
                <w:lang w:val="en-US" w:eastAsia="zh-CN"/>
              </w:rPr>
              <w:t>污废</w:t>
            </w:r>
            <w:r>
              <w:rPr>
                <w:rFonts w:hint="eastAsia" w:ascii="宋体" w:hAnsi="宋体" w:cs="宋体"/>
                <w:color w:val="auto"/>
                <w:sz w:val="24"/>
                <w:szCs w:val="24"/>
                <w:lang w:eastAsia="zh-CN"/>
              </w:rPr>
              <w:t>水处理工</w:t>
            </w:r>
            <w:r>
              <w:rPr>
                <w:rFonts w:hint="eastAsia" w:ascii="宋体" w:hAnsi="宋体" w:cs="宋体"/>
                <w:color w:val="auto"/>
                <w:sz w:val="24"/>
                <w:szCs w:val="24"/>
              </w:rPr>
              <w:t>证书的每个得</w:t>
            </w:r>
            <w:r>
              <w:rPr>
                <w:rFonts w:hint="eastAsia" w:ascii="宋体" w:hAnsi="宋体" w:cs="宋体"/>
                <w:color w:val="auto"/>
                <w:sz w:val="24"/>
                <w:szCs w:val="24"/>
                <w:lang w:val="en-US" w:eastAsia="zh-CN"/>
              </w:rPr>
              <w:t>0.5</w:t>
            </w:r>
            <w:r>
              <w:rPr>
                <w:rFonts w:hint="eastAsia" w:ascii="宋体" w:hAnsi="宋体" w:cs="宋体"/>
                <w:color w:val="auto"/>
                <w:sz w:val="24"/>
                <w:szCs w:val="24"/>
              </w:rPr>
              <w:t>分</w:t>
            </w:r>
            <w:r>
              <w:rPr>
                <w:rFonts w:hint="eastAsia" w:ascii="宋体" w:hAnsi="宋体" w:cs="宋体"/>
                <w:color w:val="auto"/>
                <w:sz w:val="24"/>
                <w:szCs w:val="24"/>
                <w:lang w:eastAsia="zh-CN"/>
              </w:rPr>
              <w:t>。</w:t>
            </w:r>
            <w:r>
              <w:rPr>
                <w:rFonts w:hint="eastAsia" w:ascii="宋体" w:hAnsi="宋体" w:cs="宋体"/>
                <w:color w:val="auto"/>
                <w:sz w:val="24"/>
                <w:szCs w:val="24"/>
              </w:rPr>
              <w:t>（共</w:t>
            </w:r>
            <w:r>
              <w:rPr>
                <w:rFonts w:hint="eastAsia" w:ascii="宋体" w:hAnsi="宋体" w:cs="宋体"/>
                <w:color w:val="auto"/>
                <w:sz w:val="24"/>
                <w:szCs w:val="24"/>
                <w:lang w:val="en-US" w:eastAsia="zh-CN"/>
              </w:rPr>
              <w:t>4</w:t>
            </w:r>
            <w:r>
              <w:rPr>
                <w:rFonts w:hint="eastAsia" w:ascii="宋体" w:hAnsi="宋体" w:cs="宋体"/>
                <w:color w:val="auto"/>
                <w:sz w:val="24"/>
                <w:szCs w:val="24"/>
              </w:rPr>
              <w:t>分</w:t>
            </w:r>
            <w:r>
              <w:rPr>
                <w:rFonts w:hint="eastAsia" w:ascii="宋体" w:hAnsi="宋体" w:cs="宋体"/>
                <w:color w:val="auto"/>
                <w:sz w:val="24"/>
                <w:szCs w:val="24"/>
                <w:lang w:eastAsia="zh-CN"/>
              </w:rPr>
              <w:t>，</w:t>
            </w:r>
            <w:r>
              <w:rPr>
                <w:rFonts w:hint="eastAsia" w:ascii="宋体" w:hAnsi="宋体" w:cs="宋体"/>
                <w:color w:val="auto"/>
                <w:sz w:val="24"/>
                <w:szCs w:val="24"/>
              </w:rPr>
              <w:t>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rPr>
                <w:rFonts w:hint="eastAsia" w:ascii="宋体" w:hAnsi="宋体" w:cs="宋体"/>
                <w:szCs w:val="21"/>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拟派项目人员具有环境工程师，化验员的，每</w:t>
            </w:r>
            <w:r>
              <w:rPr>
                <w:rFonts w:hint="eastAsia" w:ascii="宋体" w:hAnsi="宋体" w:cs="宋体"/>
                <w:sz w:val="24"/>
                <w:szCs w:val="24"/>
                <w:lang w:val="en-US" w:eastAsia="zh-CN"/>
              </w:rPr>
              <w:t>人得0.5</w:t>
            </w:r>
            <w:r>
              <w:rPr>
                <w:rFonts w:hint="eastAsia" w:ascii="宋体" w:hAnsi="宋体" w:cs="宋体"/>
                <w:sz w:val="24"/>
                <w:szCs w:val="24"/>
              </w:rPr>
              <w:t>分，最高</w:t>
            </w:r>
            <w:r>
              <w:rPr>
                <w:rFonts w:hint="eastAsia" w:ascii="宋体" w:hAnsi="宋体" w:cs="宋体"/>
                <w:sz w:val="24"/>
                <w:szCs w:val="24"/>
                <w:lang w:val="en-US" w:eastAsia="zh-CN"/>
              </w:rPr>
              <w:t>1</w:t>
            </w:r>
            <w:r>
              <w:rPr>
                <w:rFonts w:hint="eastAsia" w:ascii="宋体" w:hAnsi="宋体" w:cs="宋体"/>
                <w:sz w:val="24"/>
                <w:szCs w:val="24"/>
              </w:rPr>
              <w:t>分（需提供证书原件和社保证明，否则不得分）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rPr>
                <w:rFonts w:hint="eastAsia" w:ascii="宋体" w:hAnsi="宋体" w:cs="宋体"/>
                <w:szCs w:val="21"/>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公司为</w:t>
            </w:r>
            <w:r>
              <w:rPr>
                <w:rFonts w:hint="eastAsia" w:ascii="宋体" w:hAnsi="宋体" w:cs="宋体"/>
                <w:sz w:val="24"/>
                <w:szCs w:val="24"/>
                <w:lang w:val="en-US" w:eastAsia="zh-CN"/>
              </w:rPr>
              <w:t>配置人员</w:t>
            </w:r>
            <w:r>
              <w:rPr>
                <w:rFonts w:hint="eastAsia" w:ascii="宋体" w:hAnsi="宋体" w:cs="宋体"/>
                <w:sz w:val="24"/>
                <w:szCs w:val="24"/>
              </w:rPr>
              <w:t>购置意外伤害险的，</w:t>
            </w:r>
            <w:r>
              <w:rPr>
                <w:rFonts w:hint="eastAsia" w:ascii="宋体" w:hAnsi="宋体" w:cs="宋体"/>
                <w:sz w:val="24"/>
                <w:szCs w:val="24"/>
                <w:lang w:val="en-US" w:eastAsia="zh-CN"/>
              </w:rPr>
              <w:t>每1人</w:t>
            </w:r>
            <w:r>
              <w:rPr>
                <w:rFonts w:hint="eastAsia" w:ascii="宋体" w:hAnsi="宋体" w:cs="宋体"/>
                <w:sz w:val="24"/>
                <w:szCs w:val="24"/>
              </w:rPr>
              <w:t>得</w:t>
            </w:r>
            <w:r>
              <w:rPr>
                <w:rFonts w:hint="eastAsia" w:ascii="宋体" w:hAnsi="宋体" w:cs="宋体"/>
                <w:sz w:val="24"/>
                <w:szCs w:val="24"/>
                <w:lang w:val="en-US" w:eastAsia="zh-CN"/>
              </w:rPr>
              <w:t>0.5</w:t>
            </w:r>
            <w:r>
              <w:rPr>
                <w:rFonts w:hint="eastAsia" w:ascii="宋体" w:hAnsi="宋体" w:cs="宋体"/>
                <w:sz w:val="24"/>
                <w:szCs w:val="24"/>
              </w:rPr>
              <w:t>分</w:t>
            </w:r>
            <w:r>
              <w:rPr>
                <w:rFonts w:hint="eastAsia" w:ascii="宋体" w:hAnsi="宋体" w:cs="宋体"/>
                <w:sz w:val="24"/>
                <w:szCs w:val="24"/>
                <w:lang w:eastAsia="zh-CN"/>
              </w:rPr>
              <w:t>，</w:t>
            </w:r>
            <w:r>
              <w:rPr>
                <w:rFonts w:hint="eastAsia" w:ascii="宋体" w:hAnsi="宋体" w:cs="宋体"/>
                <w:sz w:val="24"/>
                <w:szCs w:val="24"/>
              </w:rPr>
              <w:t>共</w:t>
            </w:r>
            <w:r>
              <w:rPr>
                <w:rFonts w:hint="eastAsia" w:ascii="宋体" w:hAnsi="宋体" w:cs="宋体"/>
                <w:sz w:val="24"/>
                <w:szCs w:val="24"/>
                <w:lang w:val="en-US" w:eastAsia="zh-CN"/>
              </w:rPr>
              <w:t>4</w:t>
            </w:r>
            <w:r>
              <w:rPr>
                <w:rFonts w:hint="eastAsia" w:ascii="宋体" w:hAnsi="宋体" w:cs="宋体"/>
                <w:sz w:val="24"/>
                <w:szCs w:val="24"/>
              </w:rPr>
              <w:t>分</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需提供保险证明</w:t>
            </w:r>
            <w:r>
              <w:rPr>
                <w:rFonts w:hint="eastAsia" w:ascii="宋体" w:hAnsi="宋体" w:cs="宋体"/>
                <w:sz w:val="24"/>
                <w:szCs w:val="24"/>
                <w:lang w:eastAsia="zh-CN"/>
              </w:rPr>
              <w:t>）</w:t>
            </w:r>
            <w:r>
              <w:rPr>
                <w:rFonts w:hint="eastAsia" w:ascii="宋体" w:hAnsi="宋体" w:cs="宋体"/>
                <w:sz w:val="24"/>
                <w:szCs w:val="24"/>
              </w:rPr>
              <w:t>。</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40"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rPr>
                <w:rFonts w:hint="eastAsia" w:ascii="宋体" w:hAnsi="宋体" w:cs="宋体"/>
                <w:szCs w:val="21"/>
              </w:rPr>
            </w:pPr>
          </w:p>
        </w:tc>
        <w:tc>
          <w:tcPr>
            <w:tcW w:w="3807"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4"/>
                <w:szCs w:val="24"/>
                <w:lang w:val="en-US" w:eastAsia="zh-CN"/>
              </w:rPr>
            </w:pPr>
            <w:r>
              <w:rPr>
                <w:rFonts w:hint="eastAsia" w:ascii="宋体" w:hAnsi="宋体" w:cs="宋体"/>
                <w:b/>
                <w:bCs/>
                <w:sz w:val="24"/>
                <w:szCs w:val="24"/>
              </w:rPr>
              <w:t>注：上述人员提供证书原件及</w:t>
            </w:r>
            <w:r>
              <w:rPr>
                <w:rFonts w:hint="eastAsia" w:ascii="宋体" w:hAnsi="宋体" w:cs="宋体"/>
                <w:b/>
                <w:bCs/>
                <w:sz w:val="24"/>
                <w:szCs w:val="24"/>
                <w:lang w:val="en-US" w:eastAsia="zh-CN"/>
              </w:rPr>
              <w:t>聘用合同</w:t>
            </w:r>
            <w:r>
              <w:rPr>
                <w:rFonts w:hint="eastAsia" w:ascii="宋体" w:hAnsi="宋体" w:cs="宋体"/>
                <w:b/>
                <w:bCs/>
                <w:sz w:val="24"/>
                <w:szCs w:val="24"/>
              </w:rPr>
              <w:t>原件，不提供原件或原件不齐的，相关项不得分。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40" w:type="pct"/>
            <w:vMerge w:val="restart"/>
            <w:tcBorders>
              <w:left w:val="single" w:color="auto" w:sz="4" w:space="0"/>
            </w:tcBorders>
            <w:noWrap w:val="0"/>
            <w:vAlign w:val="center"/>
          </w:tcPr>
          <w:p>
            <w:pPr>
              <w:pStyle w:val="8"/>
              <w:spacing w:before="120" w:beforeLines="50" w:line="360" w:lineRule="auto"/>
              <w:ind w:left="0" w:leftChars="0" w:firstLine="0" w:firstLineChars="0"/>
              <w:jc w:val="center"/>
              <w:rPr>
                <w:rFonts w:hint="eastAsia" w:ascii="宋体" w:hAnsi="宋体" w:cs="宋体"/>
                <w:sz w:val="24"/>
                <w:szCs w:val="24"/>
              </w:rPr>
            </w:pPr>
            <w:r>
              <w:rPr>
                <w:rFonts w:hint="eastAsia" w:ascii="宋体" w:hAnsi="宋体" w:cs="宋体"/>
                <w:sz w:val="24"/>
                <w:szCs w:val="24"/>
              </w:rPr>
              <w:t>资信部分（</w:t>
            </w:r>
            <w:r>
              <w:rPr>
                <w:rFonts w:hint="eastAsia" w:ascii="宋体" w:hAnsi="宋体" w:cs="宋体"/>
                <w:sz w:val="24"/>
                <w:szCs w:val="24"/>
                <w:lang w:val="en-US" w:eastAsia="zh-CN"/>
              </w:rPr>
              <w:t>8</w:t>
            </w:r>
            <w:r>
              <w:rPr>
                <w:rFonts w:hint="eastAsia" w:ascii="宋体" w:hAnsi="宋体" w:cs="宋体"/>
                <w:sz w:val="24"/>
                <w:szCs w:val="24"/>
              </w:rPr>
              <w:t>分）</w:t>
            </w:r>
          </w:p>
        </w:tc>
        <w:tc>
          <w:tcPr>
            <w:tcW w:w="551"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lang w:eastAsia="zh-CN"/>
              </w:rPr>
              <w:t>资质及荣誉等</w:t>
            </w:r>
            <w:r>
              <w:rPr>
                <w:rFonts w:hint="eastAsia" w:ascii="宋体" w:hAnsi="宋体" w:cs="宋体"/>
                <w:sz w:val="24"/>
                <w:szCs w:val="24"/>
              </w:rPr>
              <w:t>证书</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具有ISO质量管理体系认证证书，得</w:t>
            </w:r>
            <w:r>
              <w:rPr>
                <w:rFonts w:hint="eastAsia" w:ascii="宋体" w:hAnsi="宋体" w:cs="宋体"/>
                <w:sz w:val="24"/>
                <w:szCs w:val="24"/>
                <w:lang w:val="en-US" w:eastAsia="zh-CN"/>
              </w:rPr>
              <w:t>1</w:t>
            </w:r>
            <w:r>
              <w:rPr>
                <w:rFonts w:hint="eastAsia" w:ascii="宋体" w:hAnsi="宋体" w:cs="宋体"/>
                <w:sz w:val="24"/>
                <w:szCs w:val="24"/>
              </w:rPr>
              <w:t>分。（提供原件备查，不提供不得分）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40" w:type="pct"/>
            <w:vMerge w:val="continue"/>
            <w:tcBorders>
              <w:left w:val="single" w:color="auto" w:sz="4" w:space="0"/>
            </w:tcBorders>
            <w:noWrap w:val="0"/>
            <w:vAlign w:val="center"/>
          </w:tcPr>
          <w:p>
            <w:pPr>
              <w:pStyle w:val="8"/>
              <w:spacing w:before="120" w:beforeLines="50" w:line="360" w:lineRule="auto"/>
              <w:ind w:firstLine="0"/>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具有ISO环境管理体系认证证书，得</w:t>
            </w:r>
            <w:r>
              <w:rPr>
                <w:rFonts w:hint="eastAsia" w:ascii="宋体" w:hAnsi="宋体" w:cs="宋体"/>
                <w:sz w:val="24"/>
                <w:szCs w:val="24"/>
                <w:lang w:val="en-US" w:eastAsia="zh-CN"/>
              </w:rPr>
              <w:t>1</w:t>
            </w:r>
            <w:r>
              <w:rPr>
                <w:rFonts w:hint="eastAsia" w:ascii="宋体" w:hAnsi="宋体" w:cs="宋体"/>
                <w:sz w:val="24"/>
                <w:szCs w:val="24"/>
              </w:rPr>
              <w:t>分。（提供原件备查，认证范围需含有废水处理设计、治理及运营服务，不提供不得分）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40" w:type="pct"/>
            <w:vMerge w:val="continue"/>
            <w:tcBorders>
              <w:left w:val="single" w:color="auto" w:sz="4" w:space="0"/>
            </w:tcBorders>
            <w:noWrap w:val="0"/>
            <w:vAlign w:val="center"/>
          </w:tcPr>
          <w:p>
            <w:pPr>
              <w:pStyle w:val="8"/>
              <w:spacing w:before="120" w:beforeLines="50" w:line="360" w:lineRule="auto"/>
              <w:ind w:firstLine="0"/>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具有职业健康安全管理体系认证证书，得</w:t>
            </w:r>
            <w:r>
              <w:rPr>
                <w:rFonts w:hint="eastAsia" w:ascii="宋体" w:hAnsi="宋体" w:cs="宋体"/>
                <w:sz w:val="24"/>
                <w:szCs w:val="24"/>
                <w:lang w:val="en-US" w:eastAsia="zh-CN"/>
              </w:rPr>
              <w:t>1</w:t>
            </w:r>
            <w:r>
              <w:rPr>
                <w:rFonts w:hint="eastAsia" w:ascii="宋体" w:hAnsi="宋体" w:cs="宋体"/>
                <w:sz w:val="24"/>
                <w:szCs w:val="24"/>
              </w:rPr>
              <w:t>分。（提供原件备查，认证范围需含有废水处理设计、治理及运营服务，不提供不得分）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0" w:type="pct"/>
            <w:vMerge w:val="continue"/>
            <w:tcBorders>
              <w:left w:val="single" w:color="auto" w:sz="4" w:space="0"/>
            </w:tcBorders>
            <w:noWrap w:val="0"/>
            <w:vAlign w:val="center"/>
          </w:tcPr>
          <w:p>
            <w:pPr>
              <w:pStyle w:val="8"/>
              <w:spacing w:before="120" w:beforeLines="50" w:line="360" w:lineRule="auto"/>
              <w:ind w:firstLine="0"/>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获得行政主管部门颁发的守合同重信用</w:t>
            </w:r>
            <w:r>
              <w:rPr>
                <w:rFonts w:hint="eastAsia" w:ascii="宋体" w:hAnsi="宋体" w:cs="宋体"/>
                <w:sz w:val="24"/>
                <w:szCs w:val="24"/>
                <w:lang w:val="en-US" w:eastAsia="zh-CN"/>
              </w:rPr>
              <w:t>A级及以上</w:t>
            </w:r>
            <w:r>
              <w:rPr>
                <w:rFonts w:hint="eastAsia" w:ascii="宋体" w:hAnsi="宋体" w:cs="宋体"/>
                <w:sz w:val="24"/>
                <w:szCs w:val="24"/>
              </w:rPr>
              <w:t>证书的得1分。（提供原件备查，不提供不得分）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0" w:type="pct"/>
            <w:vMerge w:val="continue"/>
            <w:tcBorders>
              <w:left w:val="single" w:color="auto" w:sz="4" w:space="0"/>
            </w:tcBorders>
            <w:noWrap w:val="0"/>
            <w:vAlign w:val="center"/>
          </w:tcPr>
          <w:p>
            <w:pPr>
              <w:pStyle w:val="8"/>
              <w:spacing w:before="120" w:beforeLines="50" w:line="360" w:lineRule="auto"/>
              <w:ind w:firstLine="0"/>
              <w:jc w:val="center"/>
              <w:rPr>
                <w:rFonts w:hint="eastAsia" w:ascii="宋体" w:hAnsi="宋体" w:cs="宋体"/>
                <w:sz w:val="24"/>
                <w:szCs w:val="24"/>
              </w:rPr>
            </w:pPr>
          </w:p>
        </w:tc>
        <w:tc>
          <w:tcPr>
            <w:tcW w:w="551" w:type="pct"/>
            <w:vMerge w:val="continue"/>
            <w:tcBorders>
              <w:left w:val="single" w:color="auto" w:sz="4" w:space="0"/>
              <w:right w:val="single" w:color="auto" w:sz="4" w:space="0"/>
            </w:tcBorders>
            <w:noWrap w:val="0"/>
            <w:vAlign w:val="center"/>
          </w:tcPr>
          <w:p>
            <w:pPr>
              <w:jc w:val="center"/>
              <w:rPr>
                <w:rFonts w:hint="eastAsia" w:ascii="宋体" w:hAnsi="宋体" w:cs="宋体"/>
                <w:sz w:val="24"/>
                <w:szCs w:val="24"/>
              </w:rPr>
            </w:pP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具有省级及以上主管部门</w:t>
            </w:r>
            <w:r>
              <w:rPr>
                <w:rFonts w:hint="eastAsia" w:ascii="宋体" w:hAnsi="宋体" w:cs="宋体"/>
                <w:sz w:val="24"/>
                <w:szCs w:val="24"/>
                <w:lang w:eastAsia="zh-CN"/>
              </w:rPr>
              <w:t>颁发</w:t>
            </w:r>
            <w:r>
              <w:rPr>
                <w:rFonts w:hint="eastAsia" w:ascii="宋体" w:hAnsi="宋体" w:cs="宋体"/>
                <w:sz w:val="24"/>
                <w:szCs w:val="24"/>
              </w:rPr>
              <w:t>的</w:t>
            </w:r>
            <w:r>
              <w:rPr>
                <w:rFonts w:hint="eastAsia" w:ascii="宋体" w:hAnsi="宋体" w:cs="宋体"/>
                <w:sz w:val="24"/>
                <w:szCs w:val="24"/>
                <w:lang w:eastAsia="zh-CN"/>
              </w:rPr>
              <w:t>高新企业</w:t>
            </w:r>
            <w:r>
              <w:rPr>
                <w:rFonts w:hint="eastAsia" w:ascii="宋体" w:hAnsi="宋体" w:cs="宋体"/>
                <w:sz w:val="24"/>
                <w:szCs w:val="24"/>
              </w:rPr>
              <w:t>证书，得</w:t>
            </w:r>
            <w:r>
              <w:rPr>
                <w:rFonts w:hint="eastAsia" w:ascii="宋体" w:hAnsi="宋体" w:cs="宋体"/>
                <w:sz w:val="24"/>
                <w:szCs w:val="24"/>
                <w:lang w:val="en-US" w:eastAsia="zh-CN"/>
              </w:rPr>
              <w:t>1</w:t>
            </w:r>
            <w:r>
              <w:rPr>
                <w:rFonts w:hint="eastAsia" w:ascii="宋体" w:hAnsi="宋体" w:cs="宋体"/>
                <w:sz w:val="24"/>
                <w:szCs w:val="24"/>
              </w:rPr>
              <w:t>分。（提供原件备查，不提供不得分）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0" w:type="pct"/>
            <w:vMerge w:val="continue"/>
            <w:tcBorders>
              <w:left w:val="single" w:color="auto" w:sz="4" w:space="0"/>
            </w:tcBorders>
            <w:noWrap w:val="0"/>
            <w:vAlign w:val="center"/>
          </w:tcPr>
          <w:p>
            <w:pPr>
              <w:pStyle w:val="8"/>
              <w:spacing w:before="120" w:beforeLines="50" w:line="360" w:lineRule="auto"/>
              <w:ind w:firstLine="0"/>
              <w:jc w:val="center"/>
              <w:rPr>
                <w:rFonts w:hint="eastAsia" w:ascii="宋体" w:hAnsi="宋体" w:cs="宋体"/>
                <w:sz w:val="24"/>
                <w:szCs w:val="24"/>
              </w:rPr>
            </w:pPr>
          </w:p>
        </w:tc>
        <w:tc>
          <w:tcPr>
            <w:tcW w:w="551" w:type="pct"/>
            <w:tcBorders>
              <w:left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投标企业经营情况</w:t>
            </w:r>
          </w:p>
        </w:tc>
        <w:tc>
          <w:tcPr>
            <w:tcW w:w="341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投标人有</w:t>
            </w:r>
            <w:r>
              <w:rPr>
                <w:rFonts w:hint="eastAsia" w:ascii="宋体" w:hAnsi="宋体" w:cs="宋体"/>
                <w:sz w:val="24"/>
                <w:szCs w:val="24"/>
                <w:lang w:eastAsia="zh-CN"/>
              </w:rPr>
              <w:t>类</w:t>
            </w:r>
            <w:r>
              <w:rPr>
                <w:rFonts w:hint="eastAsia" w:ascii="宋体" w:hAnsi="宋体" w:cs="宋体"/>
                <w:sz w:val="24"/>
                <w:szCs w:val="24"/>
                <w:highlight w:val="none"/>
                <w:lang w:eastAsia="zh-CN"/>
              </w:rPr>
              <w:t>似</w:t>
            </w:r>
            <w:r>
              <w:rPr>
                <w:rFonts w:hint="eastAsia" w:ascii="宋体" w:hAnsi="宋体" w:cs="宋体"/>
                <w:sz w:val="24"/>
                <w:szCs w:val="24"/>
                <w:highlight w:val="none"/>
              </w:rPr>
              <w:t>案例</w:t>
            </w:r>
            <w:r>
              <w:rPr>
                <w:rFonts w:hint="eastAsia" w:ascii="宋体" w:hAnsi="宋体" w:cs="宋体"/>
                <w:sz w:val="24"/>
                <w:szCs w:val="24"/>
                <w:highlight w:val="none"/>
                <w:lang w:val="en-US" w:eastAsia="zh-CN"/>
              </w:rPr>
              <w:t>的</w:t>
            </w:r>
            <w:r>
              <w:rPr>
                <w:rFonts w:hint="eastAsia" w:ascii="宋体" w:hAnsi="宋体" w:cs="宋体"/>
                <w:sz w:val="24"/>
                <w:szCs w:val="24"/>
                <w:highlight w:val="none"/>
              </w:rPr>
              <w:t>，每</w:t>
            </w:r>
            <w:r>
              <w:rPr>
                <w:rFonts w:hint="eastAsia" w:ascii="宋体" w:hAnsi="宋体" w:cs="宋体"/>
                <w:sz w:val="24"/>
                <w:szCs w:val="24"/>
              </w:rPr>
              <w:t>个得</w:t>
            </w:r>
            <w:r>
              <w:rPr>
                <w:rFonts w:hint="eastAsia" w:ascii="宋体" w:hAnsi="宋体" w:cs="宋体"/>
                <w:sz w:val="24"/>
                <w:szCs w:val="24"/>
                <w:lang w:val="en-US" w:eastAsia="zh-CN"/>
              </w:rPr>
              <w:t>1</w:t>
            </w:r>
            <w:r>
              <w:rPr>
                <w:rFonts w:hint="eastAsia" w:ascii="宋体" w:hAnsi="宋体" w:cs="宋体"/>
                <w:sz w:val="24"/>
                <w:szCs w:val="24"/>
              </w:rPr>
              <w:t>分，最高</w:t>
            </w:r>
            <w:r>
              <w:rPr>
                <w:rFonts w:hint="eastAsia" w:ascii="宋体" w:hAnsi="宋体" w:cs="宋体"/>
                <w:sz w:val="24"/>
                <w:szCs w:val="24"/>
                <w:lang w:val="en-US" w:eastAsia="zh-CN"/>
              </w:rPr>
              <w:t>3</w:t>
            </w:r>
            <w:r>
              <w:rPr>
                <w:rFonts w:hint="eastAsia" w:ascii="宋体" w:hAnsi="宋体" w:cs="宋体"/>
                <w:sz w:val="24"/>
                <w:szCs w:val="24"/>
              </w:rPr>
              <w:t>分。注：须提供合同原件并罗列业绩清单。未能提供业绩的或业绩资料提供不齐全，不得分。</w:t>
            </w:r>
          </w:p>
        </w:tc>
        <w:tc>
          <w:tcPr>
            <w:tcW w:w="39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w:t>
            </w:r>
          </w:p>
        </w:tc>
      </w:tr>
    </w:tbl>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5.</w:t>
      </w:r>
      <w:r>
        <w:rPr>
          <w:rFonts w:hint="eastAsia" w:ascii="宋体" w:hAnsi="宋体" w:cs="宋体"/>
          <w:b/>
          <w:bCs/>
          <w:color w:val="auto"/>
          <w:sz w:val="24"/>
          <w:lang w:val="en-US" w:eastAsia="zh-CN"/>
        </w:rPr>
        <w:t>2</w:t>
      </w:r>
      <w:r>
        <w:rPr>
          <w:rFonts w:hint="eastAsia" w:ascii="宋体" w:hAnsi="宋体" w:eastAsia="宋体" w:cs="宋体"/>
          <w:b/>
          <w:bCs/>
          <w:color w:val="auto"/>
          <w:sz w:val="24"/>
        </w:rPr>
        <w:t>投标人报价满分为</w:t>
      </w:r>
      <w:r>
        <w:rPr>
          <w:rFonts w:hint="eastAsia" w:ascii="宋体" w:hAnsi="宋体" w:eastAsia="宋体" w:cs="宋体"/>
          <w:color w:val="auto"/>
          <w:sz w:val="24"/>
        </w:rPr>
        <w:t>30</w:t>
      </w:r>
      <w:r>
        <w:rPr>
          <w:rFonts w:hint="eastAsia" w:ascii="宋体" w:hAnsi="宋体" w:eastAsia="宋体" w:cs="宋体"/>
          <w:b/>
          <w:bCs/>
          <w:color w:val="auto"/>
          <w:sz w:val="24"/>
        </w:rPr>
        <w:t>分，报价权重</w:t>
      </w:r>
      <w:r>
        <w:rPr>
          <w:rFonts w:hint="eastAsia" w:ascii="宋体" w:hAnsi="宋体" w:eastAsia="宋体" w:cs="宋体"/>
          <w:color w:val="auto"/>
          <w:sz w:val="24"/>
        </w:rPr>
        <w:t>30</w:t>
      </w:r>
      <w:r>
        <w:rPr>
          <w:rFonts w:hint="eastAsia" w:ascii="宋体" w:hAnsi="宋体" w:eastAsia="宋体" w:cs="宋体"/>
          <w:b/>
          <w:bCs/>
          <w:color w:val="auto"/>
          <w:sz w:val="24"/>
        </w:rPr>
        <w:t>%，由评标委员会根据以下内容统一计算打分：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备注：</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1）最终报价高于最高限价的投标人不进入报价评分。</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2）评标委员会认为供应商的报价明显低于其他通过符合性审查供应商的报价，有可能影响产品质量或者不能诚信履约的，应当要求其在评标现场合理的时间内提供书面说明，必要时提交相关证明材料</w:t>
      </w:r>
      <w:r>
        <w:rPr>
          <w:rFonts w:hint="eastAsia" w:ascii="宋体" w:hAnsi="宋体" w:eastAsia="宋体" w:cs="宋体"/>
          <w:color w:val="auto"/>
          <w:sz w:val="24"/>
          <w:lang w:eastAsia="zh-CN"/>
        </w:rPr>
        <w:t>；</w:t>
      </w:r>
      <w:r>
        <w:rPr>
          <w:rFonts w:hint="eastAsia" w:ascii="宋体" w:hAnsi="宋体" w:eastAsia="宋体" w:cs="宋体"/>
          <w:color w:val="auto"/>
          <w:sz w:val="24"/>
        </w:rPr>
        <w:t>供应商不能证明其报价合理性的，评标委员会应当将其作为无效投标处理。</w:t>
      </w:r>
    </w:p>
    <w:p>
      <w:pPr>
        <w:pStyle w:val="20"/>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3）根据财库〔2011〕181号的相关规定，在评审时对小型和微型企业的投标报价给予6%的扣除，取扣除后的价格作为最终投标报价（此最终投标报价仅作为价格分计算）。属于小型和微型企业的，投标文件中必须</w:t>
      </w:r>
      <w:r>
        <w:rPr>
          <w:rFonts w:hint="eastAsia" w:ascii="宋体" w:hAnsi="宋体" w:eastAsia="宋体" w:cs="宋体"/>
          <w:b/>
          <w:color w:val="auto"/>
          <w:sz w:val="24"/>
          <w:szCs w:val="24"/>
        </w:rPr>
        <w:t>同时</w:t>
      </w:r>
      <w:r>
        <w:rPr>
          <w:rFonts w:hint="eastAsia" w:ascii="宋体" w:hAnsi="宋体" w:eastAsia="宋体" w:cs="宋体"/>
          <w:color w:val="auto"/>
          <w:sz w:val="24"/>
          <w:szCs w:val="24"/>
        </w:rPr>
        <w:t>提供《投标人类型声明函》</w:t>
      </w:r>
      <w:r>
        <w:rPr>
          <w:rFonts w:hint="eastAsia" w:ascii="宋体" w:hAnsi="宋体" w:eastAsia="宋体" w:cs="宋体"/>
          <w:b/>
          <w:color w:val="auto"/>
          <w:sz w:val="24"/>
          <w:szCs w:val="24"/>
        </w:rPr>
        <w:t>（模板见第五章）</w:t>
      </w:r>
      <w:r>
        <w:rPr>
          <w:rFonts w:hint="eastAsia" w:ascii="宋体" w:hAnsi="宋体" w:eastAsia="宋体" w:cs="宋体"/>
          <w:color w:val="auto"/>
          <w:sz w:val="24"/>
          <w:szCs w:val="24"/>
        </w:rPr>
        <w:t>、“国家企业信用信息公示系统——小微企业名录”页面查询结果</w:t>
      </w:r>
      <w:r>
        <w:rPr>
          <w:rFonts w:hint="eastAsia" w:ascii="宋体" w:hAnsi="宋体" w:eastAsia="宋体" w:cs="宋体"/>
          <w:b/>
          <w:color w:val="auto"/>
          <w:sz w:val="24"/>
          <w:szCs w:val="24"/>
        </w:rPr>
        <w:t>http</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//xwqy.gsxt.gov.cn/mirco/micro_lib</w:t>
      </w:r>
      <w:r>
        <w:rPr>
          <w:rFonts w:hint="eastAsia" w:ascii="宋体" w:hAnsi="宋体" w:eastAsia="宋体" w:cs="宋体"/>
          <w:color w:val="auto"/>
          <w:sz w:val="24"/>
          <w:szCs w:val="24"/>
        </w:rPr>
        <w:t>（加盖单位公章）。(注：未提供以上材料的，均不给予价格扣除）</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Cs/>
          <w:color w:val="auto"/>
          <w:sz w:val="24"/>
        </w:rPr>
      </w:pPr>
      <w:r>
        <w:rPr>
          <w:rFonts w:hint="eastAsia" w:ascii="宋体" w:hAnsi="宋体" w:eastAsia="宋体" w:cs="宋体"/>
          <w:color w:val="auto"/>
          <w:sz w:val="24"/>
        </w:rPr>
        <w:t>4）根</w:t>
      </w:r>
      <w:r>
        <w:rPr>
          <w:rFonts w:hint="eastAsia" w:ascii="宋体" w:hAnsi="宋体" w:eastAsia="宋体" w:cs="宋体"/>
          <w:bCs/>
          <w:color w:val="auto"/>
          <w:sz w:val="24"/>
        </w:rPr>
        <w:t>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bCs/>
          <w:color w:val="auto"/>
          <w:sz w:val="24"/>
        </w:rPr>
        <w:t>5）</w:t>
      </w:r>
      <w:r>
        <w:rPr>
          <w:rFonts w:hint="eastAsia" w:ascii="宋体" w:hAnsi="宋体" w:eastAsia="宋体" w:cs="宋体"/>
          <w:color w:val="auto"/>
          <w:sz w:val="24"/>
        </w:rPr>
        <w:t>监狱企业同视为小型、微型企业，享受小微企业政策扶持。</w:t>
      </w:r>
      <w:bookmarkStart w:id="296" w:name="_Toc494555896"/>
      <w:bookmarkStart w:id="297" w:name="_Toc493956082"/>
      <w:bookmarkStart w:id="298" w:name="_Toc335664301"/>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bCs/>
          <w:color w:val="auto"/>
          <w:sz w:val="24"/>
          <w:szCs w:val="24"/>
        </w:rPr>
      </w:pPr>
      <w:r>
        <w:rPr>
          <w:rFonts w:hint="eastAsia" w:ascii="宋体" w:hAnsi="宋体" w:cs="宋体"/>
          <w:color w:val="auto"/>
          <w:sz w:val="24"/>
          <w:lang w:val="en-US" w:eastAsia="zh-CN"/>
        </w:rPr>
        <w:t>6）</w:t>
      </w:r>
      <w:r>
        <w:rPr>
          <w:rFonts w:hint="eastAsia" w:ascii="宋体" w:hAnsi="宋体" w:cs="宋体"/>
          <w:bCs/>
          <w:color w:val="auto"/>
          <w:sz w:val="24"/>
          <w:szCs w:val="24"/>
        </w:rPr>
        <w:t>小微企业、监狱企业和残疾人福利性企业（统称为小微企业）产品价格给予6%的扣除，投标报价计算公式如下：</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投标报价=∑其他的产品报价+∑小微企业产品报价</w:t>
      </w:r>
      <w:r>
        <w:rPr>
          <w:rFonts w:hint="eastAsia" w:ascii="宋体" w:hAnsi="宋体" w:cs="宋体"/>
          <w:color w:val="auto"/>
          <w:sz w:val="24"/>
          <w:szCs w:val="24"/>
        </w:rPr>
        <w:t>×</w:t>
      </w:r>
      <w:r>
        <w:rPr>
          <w:rFonts w:hint="eastAsia" w:ascii="宋体" w:hAnsi="宋体" w:cs="宋体"/>
          <w:bCs/>
          <w:color w:val="auto"/>
          <w:sz w:val="24"/>
          <w:szCs w:val="24"/>
        </w:rPr>
        <w:t>（1-6%）；</w:t>
      </w:r>
    </w:p>
    <w:p>
      <w:pPr>
        <w:numPr>
          <w:ilvl w:val="0"/>
          <w:numId w:val="12"/>
        </w:num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并以调整后的价格计算评标基准价和投标报价；</w:t>
      </w:r>
    </w:p>
    <w:p>
      <w:pPr>
        <w:numPr>
          <w:ilvl w:val="0"/>
          <w:numId w:val="12"/>
        </w:num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评标基准价=投标报价中的最低报价；</w:t>
      </w:r>
    </w:p>
    <w:p>
      <w:pPr>
        <w:numPr>
          <w:ilvl w:val="0"/>
          <w:numId w:val="12"/>
        </w:num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投标报价等于评标基准价的得</w:t>
      </w:r>
      <w:r>
        <w:rPr>
          <w:rFonts w:hint="eastAsia" w:ascii="宋体" w:hAnsi="宋体" w:cs="宋体"/>
          <w:bCs/>
          <w:color w:val="auto"/>
          <w:sz w:val="24"/>
          <w:szCs w:val="24"/>
          <w:lang w:val="en-US" w:eastAsia="zh-CN"/>
        </w:rPr>
        <w:t>3</w:t>
      </w:r>
      <w:r>
        <w:rPr>
          <w:rFonts w:hint="eastAsia" w:ascii="宋体" w:hAnsi="宋体" w:cs="宋体"/>
          <w:bCs/>
          <w:color w:val="auto"/>
          <w:sz w:val="24"/>
          <w:szCs w:val="24"/>
        </w:rPr>
        <w:t>0分，其他投标人的报价得分按下列公式计算：</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投标报价得分=（评定基准价/投标报价）×报价权重×100。</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10）</w:t>
      </w:r>
      <w:r>
        <w:rPr>
          <w:rFonts w:hint="eastAsia" w:ascii="宋体" w:hAnsi="宋体" w:cs="宋体"/>
          <w:color w:val="auto"/>
          <w:sz w:val="24"/>
          <w:szCs w:val="24"/>
        </w:rPr>
        <w:t>本项目最终得分=商务技术得分＋报价得分；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szCs w:val="24"/>
          <w:lang w:val="en-US" w:eastAsia="zh-CN"/>
        </w:rPr>
        <w:t>11）</w:t>
      </w:r>
      <w:r>
        <w:rPr>
          <w:rFonts w:hint="eastAsia" w:ascii="宋体" w:hAnsi="宋体" w:cs="宋体"/>
          <w:color w:val="auto"/>
          <w:sz w:val="24"/>
          <w:szCs w:val="24"/>
        </w:rPr>
        <w:t>评分时保留小数2位，计算评分值时保留小数2位，小数点采用四舍五入方法。</w:t>
      </w:r>
    </w:p>
    <w:p>
      <w:pPr>
        <w:pStyle w:val="7"/>
        <w:spacing w:before="240" w:after="240"/>
        <w:ind w:firstLine="602" w:firstLineChars="200"/>
        <w:rPr>
          <w:rFonts w:hint="eastAsia" w:ascii="宋体" w:hAnsi="宋体" w:eastAsia="宋体" w:cs="宋体"/>
          <w:bCs w:val="0"/>
          <w:color w:val="auto"/>
        </w:rPr>
      </w:pPr>
      <w:bookmarkStart w:id="299" w:name="_Toc9344"/>
      <w:bookmarkStart w:id="300" w:name="_Toc2321"/>
      <w:bookmarkStart w:id="301" w:name="_Toc26203"/>
      <w:bookmarkStart w:id="302" w:name="_Toc16536"/>
      <w:r>
        <w:rPr>
          <w:rFonts w:hint="eastAsia" w:ascii="宋体" w:hAnsi="宋体" w:eastAsia="宋体" w:cs="宋体"/>
          <w:bCs w:val="0"/>
          <w:color w:val="auto"/>
        </w:rPr>
        <w:t>六  评审纪律和要求</w:t>
      </w:r>
      <w:bookmarkEnd w:id="296"/>
      <w:bookmarkEnd w:id="297"/>
      <w:bookmarkEnd w:id="298"/>
      <w:bookmarkEnd w:id="299"/>
      <w:bookmarkEnd w:id="300"/>
      <w:bookmarkEnd w:id="301"/>
      <w:bookmarkEnd w:id="302"/>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 评审专家必须公平、公正评审，遵纪守法，客观、廉洁地履行职责。</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6.2 评审专家在评审开始前，应关闭并上交随身携带的各种通信工具。</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6.3 评审专家在评审过程中，未经许可不得中途离开评审现场，不得迟到早退。</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6.4 评审专家和工作人员不得透露评审过程中的讨论情况和评审结果。</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6.6 采购人、采购代理机构不得向评标委员会的评审专家作倾向性、误导性的解释或者说明。</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6.8 评审专家在评审过程中不得将自己的观点强加给其他评审专家，评审专家应自主发表见解，对评审意见承担个人责任。</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6.9 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6.10 评审专家应当独立、客观、公正地提出评审意见，不得带有倾向性，不得影响其他评审专家评审，并在评审报告上签字；如对评审报告有异议的，可在报告上签署不同意见，并说明理由，否则将视为同意。</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6.11 评审专家应当遵守评审工作纪律，不得泄露评审文件、评审情况和评审中获悉的商业秘密。</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评标委员会在评审过程中发现投标人有行贿、提供虚假材料或者串通等违法行为的，应当及时向财政部门报告。</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6.12 招标文件内容违反国家有关强制性规定的，评标委员会应当停止评审并向采购代理机构说明情况。</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6.13 评审专家应当配合采购代理机构答复投标人提出的质疑。</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6.14 评审专家应当配合财政部门的投诉处理工作。</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6.15评审专家有如下行为之一的，责令改正，给予警告，可以并处一千元以下的罚款：</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6.15.1 明知应当回避而未主动回避的；</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6.15.2 在知道自己为评审专家身份后至评审结束前的时段内私下接触投标人的；</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6.15.3 在评审过程中擅离职守，影响评审程序正常进行的；</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6.15.4 在评审过程有明显不合理或者不正当倾向性的；</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6.15.5 未按招标文件规定的评审方法和标准进行评审的。</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6.15.6 上述6.15.1至6.15.5行为影响中标结果的，中标结果无效。</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6.16 采购代理机构可对各评审专家的专业技术水平和职业道德素质等情况进行评价，并可将评价意见在评审结束后2个工作日内反馈给财政部门，财政部门以此作为对评审专家的考核管理依据。</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政府采购评审专家与投标人存在利害关系未回避的，处2万元以上5万元以下的罚款，禁止其参加政府采购评审活动。</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Style w:val="26"/>
        <w:snapToGrid/>
        <w:spacing w:line="360" w:lineRule="auto"/>
        <w:ind w:firstLine="480" w:firstLineChars="20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政府采购评审专家有上述违法行为的，其评审意见无效，不得获取评审费；有违法所得的，没收违法所得；给他人造成损失的，依法承担民事责任。</w:t>
      </w:r>
    </w:p>
    <w:sectPr>
      <w:headerReference r:id="rId20" w:type="default"/>
      <w:footerReference r:id="rId21" w:type="default"/>
      <w:pgSz w:w="11906" w:h="16838"/>
      <w:pgMar w:top="1440" w:right="1800" w:bottom="1440" w:left="1800" w:header="1077" w:footer="850" w:gutter="0"/>
      <w:pgBorders>
        <w:top w:val="none" w:sz="0" w:space="0"/>
        <w:left w:val="none" w:sz="0" w:space="0"/>
        <w:bottom w:val="none" w:sz="0" w:space="0"/>
        <w:right w:val="none" w:sz="0" w:space="0"/>
      </w:pgBorders>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30204"/>
    <w:charset w:val="00"/>
    <w:family w:val="swiss"/>
    <w:pitch w:val="default"/>
    <w:sig w:usb0="00000000" w:usb1="00000000" w:usb2="00000000" w:usb3="00000000" w:csb0="00000093" w:csb1="00000000"/>
  </w:font>
  <w:font w:name="Calibri Light">
    <w:panose1 w:val="020F03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wps:txbx>
                    <wps:bodyPr wrap="none" lIns="0" tIns="0" rIns="0" bIns="0">
                      <a:spAutoFit/>
                    </wps:bodyPr>
                  </wps:wsp>
                </a:graphicData>
              </a:graphic>
            </wp:anchor>
          </w:drawing>
        </mc:Choice>
        <mc:Fallback>
          <w:pict>
            <v:shape id="文本框 1065"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Ac1DBKqAQAAQgMAAA4A&#10;AAAAAAAAAQAgAAAAHgEAAGRycy9lMm9Eb2MueG1sUEsFBgAAAAAGAAYAWQEAADoFA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eastAsiaTheme="minorEastAsia"/>
        <w:lang w:eastAsia="zh-CN"/>
      </w:rPr>
    </w:pPr>
    <w:r>
      <w:rPr>
        <w:rFonts w:hint="eastAsia" w:asciiTheme="minorEastAsia" w:hAnsiTheme="minorEastAsia" w:eastAsiaTheme="minorEastAsia" w:cstheme="minorEastAsia"/>
        <w:szCs w:val="18"/>
        <w:lang w:eastAsia="zh-CN"/>
      </w:rPr>
      <w:t>龙泉市塔石金岗工业园区废水处理厂委托运营采购项目</w:t>
    </w:r>
    <w:r>
      <w:rPr>
        <w:rFonts w:hint="eastAsia" w:asciiTheme="minorEastAsia" w:hAnsiTheme="minorEastAsia" w:eastAsiaTheme="minorEastAsia" w:cstheme="minorEastAsia"/>
        <w:szCs w:val="18"/>
      </w:rPr>
      <w:t xml:space="preserve">招标文件                                     </w:t>
    </w:r>
    <w:r>
      <w:rPr>
        <w:rFonts w:hint="eastAsia" w:asciiTheme="minorEastAsia" w:hAnsiTheme="minorEastAsia" w:eastAsiaTheme="minorEastAsia" w:cstheme="minorEastAsia"/>
        <w:szCs w:val="18"/>
        <w:lang w:eastAsia="zh-CN"/>
      </w:rPr>
      <w:t>丽水市中兴工程咨询有限公司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rPr>
        <w:rFonts w:hint="eastAsia" w:eastAsiaTheme="minorEastAsia"/>
        <w:lang w:eastAsia="zh-CN"/>
      </w:rPr>
    </w:pPr>
    <w:r>
      <w:rPr>
        <w:rFonts w:hint="eastAsia" w:asciiTheme="minorEastAsia" w:hAnsiTheme="minorEastAsia" w:eastAsiaTheme="minorEastAsia" w:cstheme="minorEastAsia"/>
        <w:szCs w:val="18"/>
        <w:lang w:eastAsia="zh-CN"/>
      </w:rPr>
      <w:t>龙泉市塔石金岗工业园区废水处理厂委托运营采购项目</w:t>
    </w:r>
    <w:r>
      <w:rPr>
        <w:rFonts w:hint="eastAsia" w:asciiTheme="minorEastAsia" w:hAnsiTheme="minorEastAsia" w:eastAsiaTheme="minorEastAsia" w:cstheme="minorEastAsia"/>
        <w:szCs w:val="18"/>
      </w:rPr>
      <w:t xml:space="preserve">招标文件                                     </w:t>
    </w:r>
    <w:r>
      <w:rPr>
        <w:rFonts w:hint="eastAsia" w:asciiTheme="minorEastAsia" w:hAnsiTheme="minorEastAsia" w:eastAsiaTheme="minorEastAsia" w:cstheme="minorEastAsia"/>
        <w:szCs w:val="18"/>
        <w:lang w:eastAsia="zh-CN"/>
      </w:rPr>
      <w:t>丽水市中兴工程咨询有限公司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eastAsiaTheme="minorEastAsia"/>
        <w:lang w:eastAsia="zh-CN"/>
      </w:rPr>
    </w:pPr>
    <w:r>
      <w:rPr>
        <w:rFonts w:hint="eastAsia" w:asciiTheme="minorEastAsia" w:hAnsiTheme="minorEastAsia" w:eastAsiaTheme="minorEastAsia" w:cstheme="minorEastAsia"/>
        <w:szCs w:val="18"/>
        <w:lang w:eastAsia="zh-CN"/>
      </w:rPr>
      <w:t>龙泉市塔石金岗工业园区废水处理厂委托运营采购项目</w:t>
    </w:r>
    <w:r>
      <w:rPr>
        <w:rFonts w:hint="eastAsia" w:asciiTheme="minorEastAsia" w:hAnsiTheme="minorEastAsia" w:eastAsiaTheme="minorEastAsia" w:cstheme="minorEastAsia"/>
        <w:szCs w:val="18"/>
      </w:rPr>
      <w:t xml:space="preserve">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eastAsiaTheme="minorEastAsia"/>
        <w:lang w:eastAsia="zh-CN"/>
      </w:rPr>
    </w:pPr>
    <w:r>
      <w:rPr>
        <w:rFonts w:hint="eastAsia" w:asciiTheme="minorEastAsia" w:hAnsiTheme="minorEastAsia" w:eastAsiaTheme="minorEastAsia" w:cstheme="minorEastAsia"/>
        <w:szCs w:val="18"/>
        <w:lang w:eastAsia="zh-CN"/>
      </w:rPr>
      <w:t>龙泉市塔石金岗工业园区废水处理厂委托运营采购项目</w:t>
    </w:r>
    <w:r>
      <w:rPr>
        <w:rFonts w:hint="eastAsia" w:asciiTheme="minorEastAsia" w:hAnsiTheme="minorEastAsia" w:eastAsiaTheme="minorEastAsia" w:cstheme="minorEastAsia"/>
        <w:szCs w:val="18"/>
      </w:rPr>
      <w:t xml:space="preserve">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left"/>
      <w:rPr>
        <w:rFonts w:hint="default" w:eastAsiaTheme="minorEastAsia"/>
        <w:u w:val="single"/>
        <w:lang w:val="en-US" w:eastAsia="zh-CN"/>
      </w:rPr>
    </w:pPr>
    <w:r>
      <w:rPr>
        <w:rFonts w:hint="eastAsia" w:asciiTheme="minorEastAsia" w:hAnsiTheme="minorEastAsia" w:eastAsiaTheme="minorEastAsia" w:cstheme="minorEastAsia"/>
        <w:szCs w:val="18"/>
        <w:u w:val="single"/>
        <w:lang w:eastAsia="zh-CN"/>
      </w:rPr>
      <w:t>龙泉市塔石金岗工业园区废水处理厂委托运营采购项目</w:t>
    </w:r>
    <w:r>
      <w:rPr>
        <w:rFonts w:hint="eastAsia" w:asciiTheme="minorEastAsia" w:hAnsiTheme="minorEastAsia" w:eastAsiaTheme="minorEastAsia" w:cstheme="minorEastAsia"/>
        <w:szCs w:val="18"/>
        <w:u w:val="single"/>
      </w:rPr>
      <w:t xml:space="preserve">招标文件                                 </w:t>
    </w:r>
    <w:r>
      <w:rPr>
        <w:rFonts w:hint="eastAsia" w:asciiTheme="minorEastAsia" w:hAnsiTheme="minorEastAsia" w:eastAsiaTheme="minorEastAsia" w:cstheme="minorEastAsia"/>
        <w:szCs w:val="18"/>
        <w:u w:val="single"/>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left"/>
      <w:rPr>
        <w:rFonts w:hint="default" w:eastAsiaTheme="minorEastAsia"/>
        <w:u w:val="single"/>
        <w:lang w:val="en-US" w:eastAsia="zh-CN"/>
      </w:rPr>
    </w:pPr>
    <w:r>
      <w:rPr>
        <w:rFonts w:hint="eastAsia" w:asciiTheme="minorEastAsia" w:hAnsiTheme="minorEastAsia" w:eastAsiaTheme="minorEastAsia" w:cstheme="minorEastAsia"/>
        <w:szCs w:val="18"/>
        <w:u w:val="single"/>
        <w:lang w:eastAsia="zh-CN"/>
      </w:rPr>
      <w:t>龙泉市塔石金岗工业园区废水处理厂委托运营采购项目</w:t>
    </w:r>
    <w:r>
      <w:rPr>
        <w:rFonts w:hint="eastAsia" w:asciiTheme="minorEastAsia" w:hAnsiTheme="minorEastAsia" w:eastAsiaTheme="minorEastAsia" w:cstheme="minorEastAsia"/>
        <w:szCs w:val="18"/>
        <w:u w:val="single"/>
      </w:rPr>
      <w:t xml:space="preserve">招标文件                                     </w:t>
    </w:r>
    <w:r>
      <w:rPr>
        <w:rFonts w:hint="eastAsia" w:asciiTheme="minorEastAsia" w:hAnsiTheme="minorEastAsia" w:eastAsiaTheme="minorEastAsia" w:cstheme="minorEastAsia"/>
        <w:szCs w:val="18"/>
        <w:u w:val="single"/>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eastAsiaTheme="minorEastAsia"/>
        <w:lang w:eastAsia="zh-CN"/>
      </w:rPr>
    </w:pPr>
    <w:r>
      <w:rPr>
        <w:rFonts w:hint="eastAsia" w:asciiTheme="minorEastAsia" w:hAnsiTheme="minorEastAsia" w:eastAsiaTheme="minorEastAsia" w:cstheme="minorEastAsia"/>
        <w:szCs w:val="18"/>
        <w:lang w:eastAsia="zh-CN"/>
      </w:rPr>
      <w:t>龙泉市塔石金岗工业园区废水处理厂委托运营采购项目</w:t>
    </w:r>
    <w:r>
      <w:rPr>
        <w:rFonts w:hint="eastAsia" w:asciiTheme="minorEastAsia" w:hAnsiTheme="minorEastAsia" w:eastAsiaTheme="minorEastAsia" w:cstheme="minorEastAsia"/>
        <w:szCs w:val="18"/>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81AE8"/>
    <w:multiLevelType w:val="singleLevel"/>
    <w:tmpl w:val="AC281AE8"/>
    <w:lvl w:ilvl="0" w:tentative="0">
      <w:start w:val="2"/>
      <w:numFmt w:val="decimal"/>
      <w:suff w:val="nothing"/>
      <w:lvlText w:val="%1．"/>
      <w:lvlJc w:val="left"/>
    </w:lvl>
  </w:abstractNum>
  <w:abstractNum w:abstractNumId="1">
    <w:nsid w:val="CBD9EADE"/>
    <w:multiLevelType w:val="singleLevel"/>
    <w:tmpl w:val="CBD9EADE"/>
    <w:lvl w:ilvl="0" w:tentative="0">
      <w:start w:val="1"/>
      <w:numFmt w:val="decimal"/>
      <w:suff w:val="nothing"/>
      <w:lvlText w:val="%1、"/>
      <w:lvlJc w:val="left"/>
    </w:lvl>
  </w:abstractNum>
  <w:abstractNum w:abstractNumId="2">
    <w:nsid w:val="E1191710"/>
    <w:multiLevelType w:val="singleLevel"/>
    <w:tmpl w:val="E1191710"/>
    <w:lvl w:ilvl="0" w:tentative="0">
      <w:start w:val="7"/>
      <w:numFmt w:val="decimal"/>
      <w:suff w:val="nothing"/>
      <w:lvlText w:val="%1）"/>
      <w:lvlJc w:val="left"/>
    </w:lvl>
  </w:abstractNum>
  <w:abstractNum w:abstractNumId="3">
    <w:nsid w:val="E72D27E7"/>
    <w:multiLevelType w:val="singleLevel"/>
    <w:tmpl w:val="E72D27E7"/>
    <w:lvl w:ilvl="0" w:tentative="0">
      <w:start w:val="1"/>
      <w:numFmt w:val="decimal"/>
      <w:suff w:val="nothing"/>
      <w:lvlText w:val="（%1）"/>
      <w:lvlJc w:val="left"/>
    </w:lvl>
  </w:abstractNum>
  <w:abstractNum w:abstractNumId="4">
    <w:nsid w:val="FC017F98"/>
    <w:multiLevelType w:val="singleLevel"/>
    <w:tmpl w:val="FC017F98"/>
    <w:lvl w:ilvl="0" w:tentative="0">
      <w:start w:val="1"/>
      <w:numFmt w:val="decimal"/>
      <w:suff w:val="nothing"/>
      <w:lvlText w:val="（%1）"/>
      <w:lvlJc w:val="left"/>
    </w:lvl>
  </w:abstractNum>
  <w:abstractNum w:abstractNumId="5">
    <w:nsid w:val="1902E755"/>
    <w:multiLevelType w:val="singleLevel"/>
    <w:tmpl w:val="1902E755"/>
    <w:lvl w:ilvl="0" w:tentative="0">
      <w:start w:val="1"/>
      <w:numFmt w:val="lowerLetter"/>
      <w:suff w:val="nothing"/>
      <w:lvlText w:val="（%1）"/>
      <w:lvlJc w:val="left"/>
    </w:lvl>
  </w:abstractNum>
  <w:abstractNum w:abstractNumId="6">
    <w:nsid w:val="1F85750C"/>
    <w:multiLevelType w:val="singleLevel"/>
    <w:tmpl w:val="1F85750C"/>
    <w:lvl w:ilvl="0" w:tentative="0">
      <w:start w:val="1"/>
      <w:numFmt w:val="lowerLetter"/>
      <w:suff w:val="nothing"/>
      <w:lvlText w:val="（%1）"/>
      <w:lvlJc w:val="left"/>
    </w:lvl>
  </w:abstractNum>
  <w:abstractNum w:abstractNumId="7">
    <w:nsid w:val="4B19FBEB"/>
    <w:multiLevelType w:val="singleLevel"/>
    <w:tmpl w:val="4B19FBEB"/>
    <w:lvl w:ilvl="0" w:tentative="0">
      <w:start w:val="1"/>
      <w:numFmt w:val="decimal"/>
      <w:suff w:val="nothing"/>
      <w:lvlText w:val="（%1）"/>
      <w:lvlJc w:val="left"/>
    </w:lvl>
  </w:abstractNum>
  <w:abstractNum w:abstractNumId="8">
    <w:nsid w:val="4F017193"/>
    <w:multiLevelType w:val="singleLevel"/>
    <w:tmpl w:val="4F017193"/>
    <w:lvl w:ilvl="0" w:tentative="0">
      <w:start w:val="1"/>
      <w:numFmt w:val="decimal"/>
      <w:suff w:val="nothing"/>
      <w:lvlText w:val="（%1）"/>
      <w:lvlJc w:val="left"/>
    </w:lvl>
  </w:abstractNum>
  <w:abstractNum w:abstractNumId="9">
    <w:nsid w:val="5CF85877"/>
    <w:multiLevelType w:val="singleLevel"/>
    <w:tmpl w:val="5CF85877"/>
    <w:lvl w:ilvl="0" w:tentative="0">
      <w:start w:val="5"/>
      <w:numFmt w:val="chineseCounting"/>
      <w:suff w:val="space"/>
      <w:lvlText w:val="%1、"/>
      <w:lvlJc w:val="left"/>
      <w:rPr>
        <w:rFonts w:hint="eastAsia"/>
      </w:rPr>
    </w:lvl>
  </w:abstractNum>
  <w:abstractNum w:abstractNumId="10">
    <w:nsid w:val="6314DD62"/>
    <w:multiLevelType w:val="singleLevel"/>
    <w:tmpl w:val="6314DD62"/>
    <w:lvl w:ilvl="0" w:tentative="0">
      <w:start w:val="1"/>
      <w:numFmt w:val="lowerLetter"/>
      <w:suff w:val="nothing"/>
      <w:lvlText w:val="（%1）"/>
      <w:lvlJc w:val="left"/>
    </w:lvl>
  </w:abstractNum>
  <w:abstractNum w:abstractNumId="11">
    <w:nsid w:val="75C2AF4F"/>
    <w:multiLevelType w:val="singleLevel"/>
    <w:tmpl w:val="75C2AF4F"/>
    <w:lvl w:ilvl="0" w:tentative="0">
      <w:start w:val="1"/>
      <w:numFmt w:val="decimal"/>
      <w:suff w:val="nothing"/>
      <w:lvlText w:val="（%1）"/>
      <w:lvlJc w:val="left"/>
    </w:lvl>
  </w:abstractNum>
  <w:num w:numId="1">
    <w:abstractNumId w:val="9"/>
  </w:num>
  <w:num w:numId="2">
    <w:abstractNumId w:val="0"/>
  </w:num>
  <w:num w:numId="3">
    <w:abstractNumId w:val="8"/>
  </w:num>
  <w:num w:numId="4">
    <w:abstractNumId w:val="6"/>
  </w:num>
  <w:num w:numId="5">
    <w:abstractNumId w:val="10"/>
  </w:num>
  <w:num w:numId="6">
    <w:abstractNumId w:val="5"/>
  </w:num>
  <w:num w:numId="7">
    <w:abstractNumId w:val="11"/>
  </w:num>
  <w:num w:numId="8">
    <w:abstractNumId w:val="7"/>
  </w:num>
  <w:num w:numId="9">
    <w:abstractNumId w:val="3"/>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lignBordersAndEdges w:val="1"/>
  <w:bordersDoNotSurroundHeader w:val="1"/>
  <w:bordersDoNotSurroundFooter w:val="1"/>
  <w:documentProtection w:enforcement="0"/>
  <w:defaultTabStop w:val="420"/>
  <w:autoHyphenation/>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EE"/>
    <w:rsid w:val="00000A06"/>
    <w:rsid w:val="000030EF"/>
    <w:rsid w:val="0000383A"/>
    <w:rsid w:val="00003C7B"/>
    <w:rsid w:val="00004AFC"/>
    <w:rsid w:val="00004FD5"/>
    <w:rsid w:val="00010AEC"/>
    <w:rsid w:val="00012FF1"/>
    <w:rsid w:val="00015CBE"/>
    <w:rsid w:val="000166E0"/>
    <w:rsid w:val="000174DF"/>
    <w:rsid w:val="000208C4"/>
    <w:rsid w:val="00020BA0"/>
    <w:rsid w:val="0002158E"/>
    <w:rsid w:val="00022D48"/>
    <w:rsid w:val="000235E9"/>
    <w:rsid w:val="00023DF4"/>
    <w:rsid w:val="00023FAD"/>
    <w:rsid w:val="000259F4"/>
    <w:rsid w:val="0002693D"/>
    <w:rsid w:val="0003055A"/>
    <w:rsid w:val="0003200F"/>
    <w:rsid w:val="000330A5"/>
    <w:rsid w:val="00033D54"/>
    <w:rsid w:val="00037597"/>
    <w:rsid w:val="00041881"/>
    <w:rsid w:val="00046546"/>
    <w:rsid w:val="000478C7"/>
    <w:rsid w:val="00050B8F"/>
    <w:rsid w:val="0005124B"/>
    <w:rsid w:val="00051877"/>
    <w:rsid w:val="00051AA5"/>
    <w:rsid w:val="00051D5A"/>
    <w:rsid w:val="00053908"/>
    <w:rsid w:val="00054E45"/>
    <w:rsid w:val="00055535"/>
    <w:rsid w:val="0005629B"/>
    <w:rsid w:val="00057DF4"/>
    <w:rsid w:val="00057E87"/>
    <w:rsid w:val="00060698"/>
    <w:rsid w:val="000609B4"/>
    <w:rsid w:val="000660BA"/>
    <w:rsid w:val="00070FE5"/>
    <w:rsid w:val="00071EC4"/>
    <w:rsid w:val="00072AC1"/>
    <w:rsid w:val="00074470"/>
    <w:rsid w:val="000746D4"/>
    <w:rsid w:val="0007523A"/>
    <w:rsid w:val="000760B7"/>
    <w:rsid w:val="00076C10"/>
    <w:rsid w:val="00080482"/>
    <w:rsid w:val="0008076A"/>
    <w:rsid w:val="000816B7"/>
    <w:rsid w:val="00081729"/>
    <w:rsid w:val="00081D09"/>
    <w:rsid w:val="00081F92"/>
    <w:rsid w:val="0008270D"/>
    <w:rsid w:val="00082B70"/>
    <w:rsid w:val="00085157"/>
    <w:rsid w:val="00085BF6"/>
    <w:rsid w:val="0008634A"/>
    <w:rsid w:val="00087CE5"/>
    <w:rsid w:val="00092B1E"/>
    <w:rsid w:val="00094600"/>
    <w:rsid w:val="00095B0B"/>
    <w:rsid w:val="0009706F"/>
    <w:rsid w:val="000A0299"/>
    <w:rsid w:val="000A332C"/>
    <w:rsid w:val="000A55FC"/>
    <w:rsid w:val="000A5FBD"/>
    <w:rsid w:val="000A61A1"/>
    <w:rsid w:val="000A72A2"/>
    <w:rsid w:val="000B0525"/>
    <w:rsid w:val="000B0603"/>
    <w:rsid w:val="000B3606"/>
    <w:rsid w:val="000B388B"/>
    <w:rsid w:val="000B56C0"/>
    <w:rsid w:val="000B5B05"/>
    <w:rsid w:val="000C08F1"/>
    <w:rsid w:val="000C2B0E"/>
    <w:rsid w:val="000C4F6A"/>
    <w:rsid w:val="000C53A3"/>
    <w:rsid w:val="000C70A1"/>
    <w:rsid w:val="000C713B"/>
    <w:rsid w:val="000C71EB"/>
    <w:rsid w:val="000C7C98"/>
    <w:rsid w:val="000D3028"/>
    <w:rsid w:val="000D5036"/>
    <w:rsid w:val="000D58C1"/>
    <w:rsid w:val="000E21F1"/>
    <w:rsid w:val="000F0487"/>
    <w:rsid w:val="000F1858"/>
    <w:rsid w:val="000F2FE3"/>
    <w:rsid w:val="000F474D"/>
    <w:rsid w:val="000F4A6C"/>
    <w:rsid w:val="000F742D"/>
    <w:rsid w:val="00100CFC"/>
    <w:rsid w:val="00101953"/>
    <w:rsid w:val="00102EC0"/>
    <w:rsid w:val="00104F76"/>
    <w:rsid w:val="00105565"/>
    <w:rsid w:val="00105609"/>
    <w:rsid w:val="00107F90"/>
    <w:rsid w:val="00110256"/>
    <w:rsid w:val="001102A1"/>
    <w:rsid w:val="00111A20"/>
    <w:rsid w:val="00112E9F"/>
    <w:rsid w:val="00112FB4"/>
    <w:rsid w:val="00113A80"/>
    <w:rsid w:val="0011467F"/>
    <w:rsid w:val="0011591C"/>
    <w:rsid w:val="00115E51"/>
    <w:rsid w:val="001162CA"/>
    <w:rsid w:val="00121305"/>
    <w:rsid w:val="00122691"/>
    <w:rsid w:val="00122E47"/>
    <w:rsid w:val="001232F2"/>
    <w:rsid w:val="00123AD8"/>
    <w:rsid w:val="00123AF8"/>
    <w:rsid w:val="00124722"/>
    <w:rsid w:val="001248C2"/>
    <w:rsid w:val="00125C09"/>
    <w:rsid w:val="00131536"/>
    <w:rsid w:val="00135823"/>
    <w:rsid w:val="00135CAE"/>
    <w:rsid w:val="00140938"/>
    <w:rsid w:val="00141E97"/>
    <w:rsid w:val="00142E5E"/>
    <w:rsid w:val="00143519"/>
    <w:rsid w:val="001440E2"/>
    <w:rsid w:val="00144DFC"/>
    <w:rsid w:val="00145D57"/>
    <w:rsid w:val="001464AB"/>
    <w:rsid w:val="00146A42"/>
    <w:rsid w:val="00150AFB"/>
    <w:rsid w:val="00153042"/>
    <w:rsid w:val="00157795"/>
    <w:rsid w:val="00157AE9"/>
    <w:rsid w:val="0016018D"/>
    <w:rsid w:val="0016262C"/>
    <w:rsid w:val="0016270E"/>
    <w:rsid w:val="001633DF"/>
    <w:rsid w:val="001637E2"/>
    <w:rsid w:val="00163E1A"/>
    <w:rsid w:val="001641CF"/>
    <w:rsid w:val="001666DD"/>
    <w:rsid w:val="00170747"/>
    <w:rsid w:val="00170EA6"/>
    <w:rsid w:val="001759E8"/>
    <w:rsid w:val="00176C79"/>
    <w:rsid w:val="00177007"/>
    <w:rsid w:val="00177C8E"/>
    <w:rsid w:val="00177CAD"/>
    <w:rsid w:val="00177CEF"/>
    <w:rsid w:val="00180E19"/>
    <w:rsid w:val="00182304"/>
    <w:rsid w:val="001836B1"/>
    <w:rsid w:val="00183B3F"/>
    <w:rsid w:val="00185492"/>
    <w:rsid w:val="00185A7D"/>
    <w:rsid w:val="00185DBC"/>
    <w:rsid w:val="001905B0"/>
    <w:rsid w:val="0019078B"/>
    <w:rsid w:val="00191D3C"/>
    <w:rsid w:val="0019245C"/>
    <w:rsid w:val="00192D38"/>
    <w:rsid w:val="001934AA"/>
    <w:rsid w:val="00193534"/>
    <w:rsid w:val="00193E34"/>
    <w:rsid w:val="001943E1"/>
    <w:rsid w:val="00194DC1"/>
    <w:rsid w:val="00196AE9"/>
    <w:rsid w:val="001A4358"/>
    <w:rsid w:val="001A6554"/>
    <w:rsid w:val="001A6C4D"/>
    <w:rsid w:val="001A6EF3"/>
    <w:rsid w:val="001B069E"/>
    <w:rsid w:val="001B46D2"/>
    <w:rsid w:val="001B4E3A"/>
    <w:rsid w:val="001B6997"/>
    <w:rsid w:val="001B6A48"/>
    <w:rsid w:val="001C1F2F"/>
    <w:rsid w:val="001C23F2"/>
    <w:rsid w:val="001C2615"/>
    <w:rsid w:val="001C3262"/>
    <w:rsid w:val="001C4A6F"/>
    <w:rsid w:val="001C6883"/>
    <w:rsid w:val="001C7521"/>
    <w:rsid w:val="001C79D3"/>
    <w:rsid w:val="001D197A"/>
    <w:rsid w:val="001D2196"/>
    <w:rsid w:val="001D4D1D"/>
    <w:rsid w:val="001D64BB"/>
    <w:rsid w:val="001E02F0"/>
    <w:rsid w:val="001E0C69"/>
    <w:rsid w:val="001E11C5"/>
    <w:rsid w:val="001E16DA"/>
    <w:rsid w:val="001E1964"/>
    <w:rsid w:val="001E1FF6"/>
    <w:rsid w:val="001E5438"/>
    <w:rsid w:val="001E5A4B"/>
    <w:rsid w:val="001E620E"/>
    <w:rsid w:val="001E7C8D"/>
    <w:rsid w:val="001F1D80"/>
    <w:rsid w:val="001F2189"/>
    <w:rsid w:val="001F320F"/>
    <w:rsid w:val="001F421D"/>
    <w:rsid w:val="001F5F64"/>
    <w:rsid w:val="002018DD"/>
    <w:rsid w:val="00201F28"/>
    <w:rsid w:val="00202880"/>
    <w:rsid w:val="00202B1B"/>
    <w:rsid w:val="00202BEB"/>
    <w:rsid w:val="00210B18"/>
    <w:rsid w:val="00211B97"/>
    <w:rsid w:val="002122FD"/>
    <w:rsid w:val="00212C81"/>
    <w:rsid w:val="00214C7E"/>
    <w:rsid w:val="002154EF"/>
    <w:rsid w:val="00217D30"/>
    <w:rsid w:val="0022361D"/>
    <w:rsid w:val="002248A5"/>
    <w:rsid w:val="0022565D"/>
    <w:rsid w:val="00225A59"/>
    <w:rsid w:val="002260FD"/>
    <w:rsid w:val="00226E44"/>
    <w:rsid w:val="00232E89"/>
    <w:rsid w:val="00233FA2"/>
    <w:rsid w:val="00234249"/>
    <w:rsid w:val="00234A5C"/>
    <w:rsid w:val="002367BA"/>
    <w:rsid w:val="00244B03"/>
    <w:rsid w:val="002459B5"/>
    <w:rsid w:val="00246028"/>
    <w:rsid w:val="00246C83"/>
    <w:rsid w:val="00250991"/>
    <w:rsid w:val="0025256D"/>
    <w:rsid w:val="002530A9"/>
    <w:rsid w:val="002531D3"/>
    <w:rsid w:val="002534CD"/>
    <w:rsid w:val="00256A55"/>
    <w:rsid w:val="00260AE5"/>
    <w:rsid w:val="00266246"/>
    <w:rsid w:val="00271273"/>
    <w:rsid w:val="00271765"/>
    <w:rsid w:val="002749CB"/>
    <w:rsid w:val="00275F3F"/>
    <w:rsid w:val="0027704D"/>
    <w:rsid w:val="00286DEE"/>
    <w:rsid w:val="002878DC"/>
    <w:rsid w:val="0029032A"/>
    <w:rsid w:val="00291174"/>
    <w:rsid w:val="00292256"/>
    <w:rsid w:val="00294DC6"/>
    <w:rsid w:val="00297B2B"/>
    <w:rsid w:val="00297D4D"/>
    <w:rsid w:val="00297F21"/>
    <w:rsid w:val="002A01EF"/>
    <w:rsid w:val="002A05A1"/>
    <w:rsid w:val="002A1A27"/>
    <w:rsid w:val="002A2292"/>
    <w:rsid w:val="002A2691"/>
    <w:rsid w:val="002A3ED9"/>
    <w:rsid w:val="002A46FD"/>
    <w:rsid w:val="002A6ED4"/>
    <w:rsid w:val="002B036E"/>
    <w:rsid w:val="002B26F8"/>
    <w:rsid w:val="002B4D2F"/>
    <w:rsid w:val="002B5889"/>
    <w:rsid w:val="002B66EB"/>
    <w:rsid w:val="002C08B9"/>
    <w:rsid w:val="002C0C8B"/>
    <w:rsid w:val="002C30F1"/>
    <w:rsid w:val="002C34E2"/>
    <w:rsid w:val="002C575D"/>
    <w:rsid w:val="002C6858"/>
    <w:rsid w:val="002C7C40"/>
    <w:rsid w:val="002D02A8"/>
    <w:rsid w:val="002D0368"/>
    <w:rsid w:val="002D2DFC"/>
    <w:rsid w:val="002D332E"/>
    <w:rsid w:val="002D3CD2"/>
    <w:rsid w:val="002D439D"/>
    <w:rsid w:val="002E0029"/>
    <w:rsid w:val="002E11E7"/>
    <w:rsid w:val="002E2D08"/>
    <w:rsid w:val="002E7312"/>
    <w:rsid w:val="002E76A0"/>
    <w:rsid w:val="002F0EB3"/>
    <w:rsid w:val="002F2099"/>
    <w:rsid w:val="002F2C62"/>
    <w:rsid w:val="002F2E6A"/>
    <w:rsid w:val="002F6AE5"/>
    <w:rsid w:val="0030203D"/>
    <w:rsid w:val="00303428"/>
    <w:rsid w:val="00303E97"/>
    <w:rsid w:val="00304D74"/>
    <w:rsid w:val="003054DD"/>
    <w:rsid w:val="0031275C"/>
    <w:rsid w:val="00314289"/>
    <w:rsid w:val="003145D3"/>
    <w:rsid w:val="00315313"/>
    <w:rsid w:val="00316615"/>
    <w:rsid w:val="003166EB"/>
    <w:rsid w:val="00316F78"/>
    <w:rsid w:val="0031713E"/>
    <w:rsid w:val="00320D68"/>
    <w:rsid w:val="003214BA"/>
    <w:rsid w:val="00322432"/>
    <w:rsid w:val="00325911"/>
    <w:rsid w:val="003264BF"/>
    <w:rsid w:val="00326A78"/>
    <w:rsid w:val="00326E20"/>
    <w:rsid w:val="00331D17"/>
    <w:rsid w:val="00332FCE"/>
    <w:rsid w:val="00333221"/>
    <w:rsid w:val="003369E1"/>
    <w:rsid w:val="00337D64"/>
    <w:rsid w:val="00343E2A"/>
    <w:rsid w:val="00344591"/>
    <w:rsid w:val="00345678"/>
    <w:rsid w:val="00353424"/>
    <w:rsid w:val="00353C03"/>
    <w:rsid w:val="00354C4C"/>
    <w:rsid w:val="00361121"/>
    <w:rsid w:val="003613A4"/>
    <w:rsid w:val="00362307"/>
    <w:rsid w:val="0036452A"/>
    <w:rsid w:val="003662A5"/>
    <w:rsid w:val="00366D66"/>
    <w:rsid w:val="00370C33"/>
    <w:rsid w:val="00371B82"/>
    <w:rsid w:val="00371D6D"/>
    <w:rsid w:val="003725BC"/>
    <w:rsid w:val="00373098"/>
    <w:rsid w:val="00375303"/>
    <w:rsid w:val="003772E4"/>
    <w:rsid w:val="0037766A"/>
    <w:rsid w:val="00377F09"/>
    <w:rsid w:val="003815A0"/>
    <w:rsid w:val="0038383B"/>
    <w:rsid w:val="0038497E"/>
    <w:rsid w:val="00384E35"/>
    <w:rsid w:val="00384F97"/>
    <w:rsid w:val="0038704E"/>
    <w:rsid w:val="0038765F"/>
    <w:rsid w:val="00391F30"/>
    <w:rsid w:val="0039347D"/>
    <w:rsid w:val="0039429B"/>
    <w:rsid w:val="00396C72"/>
    <w:rsid w:val="00397F18"/>
    <w:rsid w:val="003A0391"/>
    <w:rsid w:val="003A0C0F"/>
    <w:rsid w:val="003A0EF7"/>
    <w:rsid w:val="003A6001"/>
    <w:rsid w:val="003A6038"/>
    <w:rsid w:val="003B092A"/>
    <w:rsid w:val="003B0F08"/>
    <w:rsid w:val="003B34B6"/>
    <w:rsid w:val="003B57A3"/>
    <w:rsid w:val="003C07AF"/>
    <w:rsid w:val="003C3A69"/>
    <w:rsid w:val="003C60C3"/>
    <w:rsid w:val="003C7C0F"/>
    <w:rsid w:val="003C7E38"/>
    <w:rsid w:val="003D1208"/>
    <w:rsid w:val="003D1642"/>
    <w:rsid w:val="003D2AB2"/>
    <w:rsid w:val="003D616C"/>
    <w:rsid w:val="003E034F"/>
    <w:rsid w:val="003E1BED"/>
    <w:rsid w:val="003E2B69"/>
    <w:rsid w:val="003E2F30"/>
    <w:rsid w:val="003E4391"/>
    <w:rsid w:val="003F03B1"/>
    <w:rsid w:val="003F1EAD"/>
    <w:rsid w:val="003F46EC"/>
    <w:rsid w:val="003F4B36"/>
    <w:rsid w:val="003F7BAF"/>
    <w:rsid w:val="00401AB3"/>
    <w:rsid w:val="00402603"/>
    <w:rsid w:val="00403F0B"/>
    <w:rsid w:val="0040427F"/>
    <w:rsid w:val="004059A7"/>
    <w:rsid w:val="00406AA8"/>
    <w:rsid w:val="00410350"/>
    <w:rsid w:val="004202D2"/>
    <w:rsid w:val="004203B0"/>
    <w:rsid w:val="0042086C"/>
    <w:rsid w:val="00422749"/>
    <w:rsid w:val="004255E6"/>
    <w:rsid w:val="004305E0"/>
    <w:rsid w:val="00430AC0"/>
    <w:rsid w:val="00431510"/>
    <w:rsid w:val="004337F8"/>
    <w:rsid w:val="00434BF0"/>
    <w:rsid w:val="0043506B"/>
    <w:rsid w:val="004375DE"/>
    <w:rsid w:val="00440078"/>
    <w:rsid w:val="00441845"/>
    <w:rsid w:val="00442B43"/>
    <w:rsid w:val="00446773"/>
    <w:rsid w:val="004474DB"/>
    <w:rsid w:val="00451AAB"/>
    <w:rsid w:val="004520B3"/>
    <w:rsid w:val="004536EA"/>
    <w:rsid w:val="00454548"/>
    <w:rsid w:val="00454C36"/>
    <w:rsid w:val="00455751"/>
    <w:rsid w:val="0045663F"/>
    <w:rsid w:val="004600FD"/>
    <w:rsid w:val="00461D6D"/>
    <w:rsid w:val="00466B54"/>
    <w:rsid w:val="00467640"/>
    <w:rsid w:val="00470551"/>
    <w:rsid w:val="004715BA"/>
    <w:rsid w:val="00471FF8"/>
    <w:rsid w:val="0047274D"/>
    <w:rsid w:val="0047404D"/>
    <w:rsid w:val="004753E8"/>
    <w:rsid w:val="0047733E"/>
    <w:rsid w:val="0048236F"/>
    <w:rsid w:val="00483709"/>
    <w:rsid w:val="00484581"/>
    <w:rsid w:val="00485FDD"/>
    <w:rsid w:val="004860A4"/>
    <w:rsid w:val="00493115"/>
    <w:rsid w:val="004940D8"/>
    <w:rsid w:val="0049496B"/>
    <w:rsid w:val="00496F88"/>
    <w:rsid w:val="004A07D0"/>
    <w:rsid w:val="004A3FE5"/>
    <w:rsid w:val="004A41D1"/>
    <w:rsid w:val="004A43C5"/>
    <w:rsid w:val="004A6474"/>
    <w:rsid w:val="004B076A"/>
    <w:rsid w:val="004B1656"/>
    <w:rsid w:val="004B2751"/>
    <w:rsid w:val="004B631C"/>
    <w:rsid w:val="004C0C88"/>
    <w:rsid w:val="004C0D00"/>
    <w:rsid w:val="004C0EF9"/>
    <w:rsid w:val="004C1E0D"/>
    <w:rsid w:val="004C438D"/>
    <w:rsid w:val="004C6062"/>
    <w:rsid w:val="004C6AB2"/>
    <w:rsid w:val="004C7BE3"/>
    <w:rsid w:val="004D1E36"/>
    <w:rsid w:val="004D2894"/>
    <w:rsid w:val="004D4359"/>
    <w:rsid w:val="004E02D5"/>
    <w:rsid w:val="004E0654"/>
    <w:rsid w:val="004E571C"/>
    <w:rsid w:val="004E5A7D"/>
    <w:rsid w:val="004E6F2C"/>
    <w:rsid w:val="004F0183"/>
    <w:rsid w:val="004F08F1"/>
    <w:rsid w:val="004F0F50"/>
    <w:rsid w:val="004F1585"/>
    <w:rsid w:val="004F1C07"/>
    <w:rsid w:val="004F1EDC"/>
    <w:rsid w:val="004F251F"/>
    <w:rsid w:val="004F4F78"/>
    <w:rsid w:val="004F590F"/>
    <w:rsid w:val="004F6127"/>
    <w:rsid w:val="004F612A"/>
    <w:rsid w:val="004F6446"/>
    <w:rsid w:val="004F6B72"/>
    <w:rsid w:val="004F7C7B"/>
    <w:rsid w:val="004F7E26"/>
    <w:rsid w:val="00501D3E"/>
    <w:rsid w:val="00505310"/>
    <w:rsid w:val="00505EAB"/>
    <w:rsid w:val="00506EB9"/>
    <w:rsid w:val="00507E23"/>
    <w:rsid w:val="005104E1"/>
    <w:rsid w:val="00510A22"/>
    <w:rsid w:val="00511FB0"/>
    <w:rsid w:val="005138DF"/>
    <w:rsid w:val="005139B8"/>
    <w:rsid w:val="00520FD8"/>
    <w:rsid w:val="005213F1"/>
    <w:rsid w:val="005253C5"/>
    <w:rsid w:val="005262A4"/>
    <w:rsid w:val="005262EB"/>
    <w:rsid w:val="00526DBE"/>
    <w:rsid w:val="00527B9A"/>
    <w:rsid w:val="00530CB9"/>
    <w:rsid w:val="0053246E"/>
    <w:rsid w:val="00532787"/>
    <w:rsid w:val="00533203"/>
    <w:rsid w:val="00535173"/>
    <w:rsid w:val="00537A9C"/>
    <w:rsid w:val="005410C6"/>
    <w:rsid w:val="005501EA"/>
    <w:rsid w:val="0055078C"/>
    <w:rsid w:val="00551664"/>
    <w:rsid w:val="0055192E"/>
    <w:rsid w:val="00552CD3"/>
    <w:rsid w:val="00552ED5"/>
    <w:rsid w:val="00553171"/>
    <w:rsid w:val="0055493E"/>
    <w:rsid w:val="00554E4E"/>
    <w:rsid w:val="00555FAE"/>
    <w:rsid w:val="00560434"/>
    <w:rsid w:val="005626E5"/>
    <w:rsid w:val="00562E65"/>
    <w:rsid w:val="00563B90"/>
    <w:rsid w:val="005664B4"/>
    <w:rsid w:val="00567CEA"/>
    <w:rsid w:val="00567D58"/>
    <w:rsid w:val="00567F3D"/>
    <w:rsid w:val="0057096B"/>
    <w:rsid w:val="0057424C"/>
    <w:rsid w:val="0057622D"/>
    <w:rsid w:val="00577BF6"/>
    <w:rsid w:val="0058076B"/>
    <w:rsid w:val="00584C22"/>
    <w:rsid w:val="00585639"/>
    <w:rsid w:val="00585B9E"/>
    <w:rsid w:val="00585F1F"/>
    <w:rsid w:val="005864BA"/>
    <w:rsid w:val="005871EC"/>
    <w:rsid w:val="00592050"/>
    <w:rsid w:val="00592FCA"/>
    <w:rsid w:val="00597354"/>
    <w:rsid w:val="005A1BB5"/>
    <w:rsid w:val="005B038A"/>
    <w:rsid w:val="005B06D8"/>
    <w:rsid w:val="005B06E5"/>
    <w:rsid w:val="005B1AA6"/>
    <w:rsid w:val="005B209A"/>
    <w:rsid w:val="005B3314"/>
    <w:rsid w:val="005B5120"/>
    <w:rsid w:val="005B6227"/>
    <w:rsid w:val="005C1BB2"/>
    <w:rsid w:val="005C235D"/>
    <w:rsid w:val="005C2B0F"/>
    <w:rsid w:val="005C4803"/>
    <w:rsid w:val="005C4C17"/>
    <w:rsid w:val="005C4CC8"/>
    <w:rsid w:val="005C5F3B"/>
    <w:rsid w:val="005C72E8"/>
    <w:rsid w:val="005D33F0"/>
    <w:rsid w:val="005D3966"/>
    <w:rsid w:val="005D4B8C"/>
    <w:rsid w:val="005D4FA2"/>
    <w:rsid w:val="005D59C4"/>
    <w:rsid w:val="005E07EE"/>
    <w:rsid w:val="005E4DA1"/>
    <w:rsid w:val="005E51A2"/>
    <w:rsid w:val="005E586B"/>
    <w:rsid w:val="005E5A29"/>
    <w:rsid w:val="005E7D77"/>
    <w:rsid w:val="005F070C"/>
    <w:rsid w:val="005F2568"/>
    <w:rsid w:val="005F3B18"/>
    <w:rsid w:val="005F43CE"/>
    <w:rsid w:val="005F72D5"/>
    <w:rsid w:val="00601E57"/>
    <w:rsid w:val="00602BCB"/>
    <w:rsid w:val="006041D7"/>
    <w:rsid w:val="00605FF4"/>
    <w:rsid w:val="00607C47"/>
    <w:rsid w:val="00610896"/>
    <w:rsid w:val="00614AE3"/>
    <w:rsid w:val="0061568B"/>
    <w:rsid w:val="006157B6"/>
    <w:rsid w:val="00621C79"/>
    <w:rsid w:val="00622A1E"/>
    <w:rsid w:val="00626889"/>
    <w:rsid w:val="0062691A"/>
    <w:rsid w:val="0063105F"/>
    <w:rsid w:val="0063215F"/>
    <w:rsid w:val="00632298"/>
    <w:rsid w:val="00633D32"/>
    <w:rsid w:val="00634112"/>
    <w:rsid w:val="0063439E"/>
    <w:rsid w:val="00635068"/>
    <w:rsid w:val="0063533D"/>
    <w:rsid w:val="00636D83"/>
    <w:rsid w:val="006372D4"/>
    <w:rsid w:val="00637C65"/>
    <w:rsid w:val="00640025"/>
    <w:rsid w:val="00643DEC"/>
    <w:rsid w:val="00647624"/>
    <w:rsid w:val="00647F83"/>
    <w:rsid w:val="00647F8A"/>
    <w:rsid w:val="00650466"/>
    <w:rsid w:val="0065162F"/>
    <w:rsid w:val="00652085"/>
    <w:rsid w:val="00652A28"/>
    <w:rsid w:val="0065575C"/>
    <w:rsid w:val="00656B0A"/>
    <w:rsid w:val="00661A43"/>
    <w:rsid w:val="00661A93"/>
    <w:rsid w:val="00662026"/>
    <w:rsid w:val="00662C71"/>
    <w:rsid w:val="00663D20"/>
    <w:rsid w:val="00667718"/>
    <w:rsid w:val="00667D70"/>
    <w:rsid w:val="006701B8"/>
    <w:rsid w:val="00674541"/>
    <w:rsid w:val="00677796"/>
    <w:rsid w:val="006777E9"/>
    <w:rsid w:val="0068042A"/>
    <w:rsid w:val="0068045F"/>
    <w:rsid w:val="00681695"/>
    <w:rsid w:val="00682FF8"/>
    <w:rsid w:val="00684883"/>
    <w:rsid w:val="00684FFE"/>
    <w:rsid w:val="00685675"/>
    <w:rsid w:val="006863B6"/>
    <w:rsid w:val="00686688"/>
    <w:rsid w:val="006868AA"/>
    <w:rsid w:val="006872CF"/>
    <w:rsid w:val="00691FE7"/>
    <w:rsid w:val="00692C3F"/>
    <w:rsid w:val="00693C27"/>
    <w:rsid w:val="006946C5"/>
    <w:rsid w:val="00696325"/>
    <w:rsid w:val="00697158"/>
    <w:rsid w:val="006978B8"/>
    <w:rsid w:val="00697B43"/>
    <w:rsid w:val="00697DEE"/>
    <w:rsid w:val="006A2F5F"/>
    <w:rsid w:val="006A4402"/>
    <w:rsid w:val="006A4CBE"/>
    <w:rsid w:val="006A4E73"/>
    <w:rsid w:val="006A67F4"/>
    <w:rsid w:val="006B1EF2"/>
    <w:rsid w:val="006B284F"/>
    <w:rsid w:val="006B3263"/>
    <w:rsid w:val="006B5E3A"/>
    <w:rsid w:val="006B6E22"/>
    <w:rsid w:val="006C3599"/>
    <w:rsid w:val="006C76B8"/>
    <w:rsid w:val="006D1671"/>
    <w:rsid w:val="006D25E6"/>
    <w:rsid w:val="006D2821"/>
    <w:rsid w:val="006D2F0F"/>
    <w:rsid w:val="006D480C"/>
    <w:rsid w:val="006D50F3"/>
    <w:rsid w:val="006D5921"/>
    <w:rsid w:val="006D6D0A"/>
    <w:rsid w:val="006E1434"/>
    <w:rsid w:val="006E16BE"/>
    <w:rsid w:val="006E2182"/>
    <w:rsid w:val="006E2B68"/>
    <w:rsid w:val="006E2CC8"/>
    <w:rsid w:val="006E3C39"/>
    <w:rsid w:val="006E4530"/>
    <w:rsid w:val="006F05E0"/>
    <w:rsid w:val="006F2378"/>
    <w:rsid w:val="006F27E4"/>
    <w:rsid w:val="006F59FA"/>
    <w:rsid w:val="006F5CBE"/>
    <w:rsid w:val="006F6983"/>
    <w:rsid w:val="00704037"/>
    <w:rsid w:val="00707A08"/>
    <w:rsid w:val="00714EA0"/>
    <w:rsid w:val="007151D4"/>
    <w:rsid w:val="00715C2E"/>
    <w:rsid w:val="00717599"/>
    <w:rsid w:val="00717A30"/>
    <w:rsid w:val="007208CE"/>
    <w:rsid w:val="0072163A"/>
    <w:rsid w:val="00721F70"/>
    <w:rsid w:val="0072205A"/>
    <w:rsid w:val="0072289C"/>
    <w:rsid w:val="00723F5F"/>
    <w:rsid w:val="007244EC"/>
    <w:rsid w:val="00731203"/>
    <w:rsid w:val="00732EDD"/>
    <w:rsid w:val="00733F32"/>
    <w:rsid w:val="0073448D"/>
    <w:rsid w:val="00734546"/>
    <w:rsid w:val="00735235"/>
    <w:rsid w:val="00736A6E"/>
    <w:rsid w:val="007378DD"/>
    <w:rsid w:val="00737D35"/>
    <w:rsid w:val="00742203"/>
    <w:rsid w:val="00743DD0"/>
    <w:rsid w:val="007452EB"/>
    <w:rsid w:val="00746706"/>
    <w:rsid w:val="0074783E"/>
    <w:rsid w:val="00750D51"/>
    <w:rsid w:val="007522B5"/>
    <w:rsid w:val="007568ED"/>
    <w:rsid w:val="00756BB6"/>
    <w:rsid w:val="007609D9"/>
    <w:rsid w:val="0076646A"/>
    <w:rsid w:val="00766E29"/>
    <w:rsid w:val="00767910"/>
    <w:rsid w:val="0077027D"/>
    <w:rsid w:val="00771A81"/>
    <w:rsid w:val="00772728"/>
    <w:rsid w:val="00774834"/>
    <w:rsid w:val="0077630A"/>
    <w:rsid w:val="0077633B"/>
    <w:rsid w:val="00776B09"/>
    <w:rsid w:val="007770A7"/>
    <w:rsid w:val="00780419"/>
    <w:rsid w:val="007806C7"/>
    <w:rsid w:val="00782183"/>
    <w:rsid w:val="007849CD"/>
    <w:rsid w:val="00787CEF"/>
    <w:rsid w:val="00787F3F"/>
    <w:rsid w:val="0079149F"/>
    <w:rsid w:val="00791B6B"/>
    <w:rsid w:val="007924E1"/>
    <w:rsid w:val="007948AC"/>
    <w:rsid w:val="00795036"/>
    <w:rsid w:val="00795829"/>
    <w:rsid w:val="007A00B9"/>
    <w:rsid w:val="007A0C29"/>
    <w:rsid w:val="007A12EA"/>
    <w:rsid w:val="007A158D"/>
    <w:rsid w:val="007A2656"/>
    <w:rsid w:val="007A37B3"/>
    <w:rsid w:val="007A3BE3"/>
    <w:rsid w:val="007A3F43"/>
    <w:rsid w:val="007A40FF"/>
    <w:rsid w:val="007A7328"/>
    <w:rsid w:val="007A7C11"/>
    <w:rsid w:val="007B12FF"/>
    <w:rsid w:val="007B23D7"/>
    <w:rsid w:val="007B24CF"/>
    <w:rsid w:val="007B462A"/>
    <w:rsid w:val="007B4F47"/>
    <w:rsid w:val="007B64DA"/>
    <w:rsid w:val="007B6AA6"/>
    <w:rsid w:val="007C03BD"/>
    <w:rsid w:val="007C0D5D"/>
    <w:rsid w:val="007C2AAC"/>
    <w:rsid w:val="007C3096"/>
    <w:rsid w:val="007C43B3"/>
    <w:rsid w:val="007C5D78"/>
    <w:rsid w:val="007C6321"/>
    <w:rsid w:val="007D13EE"/>
    <w:rsid w:val="007D17BE"/>
    <w:rsid w:val="007D180F"/>
    <w:rsid w:val="007D260E"/>
    <w:rsid w:val="007D2BD8"/>
    <w:rsid w:val="007D372E"/>
    <w:rsid w:val="007D488E"/>
    <w:rsid w:val="007D6790"/>
    <w:rsid w:val="007D6E32"/>
    <w:rsid w:val="007D71A2"/>
    <w:rsid w:val="007D7D2C"/>
    <w:rsid w:val="007E1CD8"/>
    <w:rsid w:val="007E3498"/>
    <w:rsid w:val="007E64DC"/>
    <w:rsid w:val="007E6E87"/>
    <w:rsid w:val="007E77E5"/>
    <w:rsid w:val="007F0272"/>
    <w:rsid w:val="007F23B7"/>
    <w:rsid w:val="007F28EF"/>
    <w:rsid w:val="007F5831"/>
    <w:rsid w:val="007F5C5B"/>
    <w:rsid w:val="007F61B9"/>
    <w:rsid w:val="00800A2B"/>
    <w:rsid w:val="00800D12"/>
    <w:rsid w:val="00801526"/>
    <w:rsid w:val="0080229F"/>
    <w:rsid w:val="00804282"/>
    <w:rsid w:val="0080443E"/>
    <w:rsid w:val="00805148"/>
    <w:rsid w:val="00807039"/>
    <w:rsid w:val="00810DDF"/>
    <w:rsid w:val="00811B11"/>
    <w:rsid w:val="00812704"/>
    <w:rsid w:val="00814A19"/>
    <w:rsid w:val="00814E24"/>
    <w:rsid w:val="00816204"/>
    <w:rsid w:val="008204E6"/>
    <w:rsid w:val="00821D67"/>
    <w:rsid w:val="00822FF4"/>
    <w:rsid w:val="008237B4"/>
    <w:rsid w:val="00823F73"/>
    <w:rsid w:val="008241EE"/>
    <w:rsid w:val="00825B8C"/>
    <w:rsid w:val="008315F2"/>
    <w:rsid w:val="00831A58"/>
    <w:rsid w:val="008340F0"/>
    <w:rsid w:val="00835D6A"/>
    <w:rsid w:val="00836B40"/>
    <w:rsid w:val="00837EA8"/>
    <w:rsid w:val="008452D5"/>
    <w:rsid w:val="00845DC7"/>
    <w:rsid w:val="008461CD"/>
    <w:rsid w:val="008521B2"/>
    <w:rsid w:val="0085293B"/>
    <w:rsid w:val="00852A9B"/>
    <w:rsid w:val="008553B3"/>
    <w:rsid w:val="0085633E"/>
    <w:rsid w:val="00857660"/>
    <w:rsid w:val="00857FB4"/>
    <w:rsid w:val="00861A4F"/>
    <w:rsid w:val="00863DE8"/>
    <w:rsid w:val="008640AA"/>
    <w:rsid w:val="0086562C"/>
    <w:rsid w:val="00866FDC"/>
    <w:rsid w:val="00870759"/>
    <w:rsid w:val="00870FCE"/>
    <w:rsid w:val="00871083"/>
    <w:rsid w:val="008711F6"/>
    <w:rsid w:val="008727AA"/>
    <w:rsid w:val="00872FAB"/>
    <w:rsid w:val="00873E8E"/>
    <w:rsid w:val="00874930"/>
    <w:rsid w:val="00874EB6"/>
    <w:rsid w:val="00877579"/>
    <w:rsid w:val="00877811"/>
    <w:rsid w:val="00877C98"/>
    <w:rsid w:val="00880B26"/>
    <w:rsid w:val="0088387C"/>
    <w:rsid w:val="00885DB8"/>
    <w:rsid w:val="00886DBC"/>
    <w:rsid w:val="00887022"/>
    <w:rsid w:val="00887BA5"/>
    <w:rsid w:val="008930DF"/>
    <w:rsid w:val="00895D28"/>
    <w:rsid w:val="0089749A"/>
    <w:rsid w:val="008A009B"/>
    <w:rsid w:val="008A18F4"/>
    <w:rsid w:val="008A261C"/>
    <w:rsid w:val="008A3D4A"/>
    <w:rsid w:val="008A4A5E"/>
    <w:rsid w:val="008A7B0E"/>
    <w:rsid w:val="008B0681"/>
    <w:rsid w:val="008B0796"/>
    <w:rsid w:val="008B2C84"/>
    <w:rsid w:val="008B3734"/>
    <w:rsid w:val="008B41CE"/>
    <w:rsid w:val="008B440F"/>
    <w:rsid w:val="008B60F5"/>
    <w:rsid w:val="008B7BC7"/>
    <w:rsid w:val="008C0B63"/>
    <w:rsid w:val="008C0EBA"/>
    <w:rsid w:val="008C21DF"/>
    <w:rsid w:val="008C28ED"/>
    <w:rsid w:val="008C2955"/>
    <w:rsid w:val="008C436A"/>
    <w:rsid w:val="008C6054"/>
    <w:rsid w:val="008C64E9"/>
    <w:rsid w:val="008D4564"/>
    <w:rsid w:val="008D5C57"/>
    <w:rsid w:val="008E493B"/>
    <w:rsid w:val="008E64EC"/>
    <w:rsid w:val="008E7DB3"/>
    <w:rsid w:val="008F0D28"/>
    <w:rsid w:val="008F1D7E"/>
    <w:rsid w:val="008F204A"/>
    <w:rsid w:val="008F262B"/>
    <w:rsid w:val="008F3AE2"/>
    <w:rsid w:val="008F42ED"/>
    <w:rsid w:val="008F451A"/>
    <w:rsid w:val="008F4E01"/>
    <w:rsid w:val="008F513C"/>
    <w:rsid w:val="008F53B4"/>
    <w:rsid w:val="008F73AC"/>
    <w:rsid w:val="008F7A4B"/>
    <w:rsid w:val="00904AE9"/>
    <w:rsid w:val="00904B8F"/>
    <w:rsid w:val="00905FD8"/>
    <w:rsid w:val="0091175D"/>
    <w:rsid w:val="009179B4"/>
    <w:rsid w:val="00920AAB"/>
    <w:rsid w:val="00920CDC"/>
    <w:rsid w:val="009233F6"/>
    <w:rsid w:val="00923877"/>
    <w:rsid w:val="00924B10"/>
    <w:rsid w:val="00924DAA"/>
    <w:rsid w:val="00924DB9"/>
    <w:rsid w:val="00925DFA"/>
    <w:rsid w:val="00926179"/>
    <w:rsid w:val="00926281"/>
    <w:rsid w:val="00927934"/>
    <w:rsid w:val="00930E82"/>
    <w:rsid w:val="00933FD3"/>
    <w:rsid w:val="00934F5C"/>
    <w:rsid w:val="0093722C"/>
    <w:rsid w:val="009379C0"/>
    <w:rsid w:val="00940A55"/>
    <w:rsid w:val="00941D50"/>
    <w:rsid w:val="00946181"/>
    <w:rsid w:val="00946DA0"/>
    <w:rsid w:val="00946EA3"/>
    <w:rsid w:val="009515F8"/>
    <w:rsid w:val="009529B1"/>
    <w:rsid w:val="009531B2"/>
    <w:rsid w:val="009546FE"/>
    <w:rsid w:val="00955023"/>
    <w:rsid w:val="00955E6E"/>
    <w:rsid w:val="0095674A"/>
    <w:rsid w:val="009624D7"/>
    <w:rsid w:val="00962B71"/>
    <w:rsid w:val="00963545"/>
    <w:rsid w:val="00963DD3"/>
    <w:rsid w:val="0096452F"/>
    <w:rsid w:val="00964E6A"/>
    <w:rsid w:val="00965E2A"/>
    <w:rsid w:val="00966BF3"/>
    <w:rsid w:val="0097115F"/>
    <w:rsid w:val="00973510"/>
    <w:rsid w:val="00976B3F"/>
    <w:rsid w:val="00976DF6"/>
    <w:rsid w:val="00976DFF"/>
    <w:rsid w:val="009801F5"/>
    <w:rsid w:val="0098053F"/>
    <w:rsid w:val="00980835"/>
    <w:rsid w:val="0098083F"/>
    <w:rsid w:val="00982553"/>
    <w:rsid w:val="0098296A"/>
    <w:rsid w:val="00982AE9"/>
    <w:rsid w:val="00983109"/>
    <w:rsid w:val="00984333"/>
    <w:rsid w:val="00984E00"/>
    <w:rsid w:val="00985913"/>
    <w:rsid w:val="009874C0"/>
    <w:rsid w:val="00990FB6"/>
    <w:rsid w:val="009925AE"/>
    <w:rsid w:val="00992FB3"/>
    <w:rsid w:val="0099332E"/>
    <w:rsid w:val="00993617"/>
    <w:rsid w:val="00993846"/>
    <w:rsid w:val="0099508D"/>
    <w:rsid w:val="00996572"/>
    <w:rsid w:val="00996D64"/>
    <w:rsid w:val="00997FE6"/>
    <w:rsid w:val="009A09BC"/>
    <w:rsid w:val="009A7D6A"/>
    <w:rsid w:val="009B31E9"/>
    <w:rsid w:val="009B6116"/>
    <w:rsid w:val="009C0106"/>
    <w:rsid w:val="009C0841"/>
    <w:rsid w:val="009C09F7"/>
    <w:rsid w:val="009C63A1"/>
    <w:rsid w:val="009C77C4"/>
    <w:rsid w:val="009D07F1"/>
    <w:rsid w:val="009D0B37"/>
    <w:rsid w:val="009D1E59"/>
    <w:rsid w:val="009D1F1F"/>
    <w:rsid w:val="009D3369"/>
    <w:rsid w:val="009D3757"/>
    <w:rsid w:val="009D5F91"/>
    <w:rsid w:val="009D7447"/>
    <w:rsid w:val="009E1184"/>
    <w:rsid w:val="009E1AB8"/>
    <w:rsid w:val="009E22CA"/>
    <w:rsid w:val="009E3FC5"/>
    <w:rsid w:val="009E73B3"/>
    <w:rsid w:val="009F0321"/>
    <w:rsid w:val="009F0394"/>
    <w:rsid w:val="009F0F58"/>
    <w:rsid w:val="009F2AE0"/>
    <w:rsid w:val="009F3928"/>
    <w:rsid w:val="009F4C51"/>
    <w:rsid w:val="009F4ECE"/>
    <w:rsid w:val="009F52B5"/>
    <w:rsid w:val="009F5608"/>
    <w:rsid w:val="009F5785"/>
    <w:rsid w:val="009F611F"/>
    <w:rsid w:val="009F6431"/>
    <w:rsid w:val="00A008C3"/>
    <w:rsid w:val="00A031BE"/>
    <w:rsid w:val="00A06AC2"/>
    <w:rsid w:val="00A07753"/>
    <w:rsid w:val="00A104FB"/>
    <w:rsid w:val="00A10E3F"/>
    <w:rsid w:val="00A11B69"/>
    <w:rsid w:val="00A1232C"/>
    <w:rsid w:val="00A15B57"/>
    <w:rsid w:val="00A16950"/>
    <w:rsid w:val="00A17D0F"/>
    <w:rsid w:val="00A2083F"/>
    <w:rsid w:val="00A21E28"/>
    <w:rsid w:val="00A262E0"/>
    <w:rsid w:val="00A275A1"/>
    <w:rsid w:val="00A301DB"/>
    <w:rsid w:val="00A316E1"/>
    <w:rsid w:val="00A328C4"/>
    <w:rsid w:val="00A34005"/>
    <w:rsid w:val="00A34253"/>
    <w:rsid w:val="00A34D92"/>
    <w:rsid w:val="00A3680E"/>
    <w:rsid w:val="00A36D75"/>
    <w:rsid w:val="00A37261"/>
    <w:rsid w:val="00A40121"/>
    <w:rsid w:val="00A47F58"/>
    <w:rsid w:val="00A50981"/>
    <w:rsid w:val="00A50E9A"/>
    <w:rsid w:val="00A518EA"/>
    <w:rsid w:val="00A527F6"/>
    <w:rsid w:val="00A52A75"/>
    <w:rsid w:val="00A548BF"/>
    <w:rsid w:val="00A551EA"/>
    <w:rsid w:val="00A55489"/>
    <w:rsid w:val="00A55585"/>
    <w:rsid w:val="00A566A4"/>
    <w:rsid w:val="00A57134"/>
    <w:rsid w:val="00A63D36"/>
    <w:rsid w:val="00A654A3"/>
    <w:rsid w:val="00A722AA"/>
    <w:rsid w:val="00A722D9"/>
    <w:rsid w:val="00A7331C"/>
    <w:rsid w:val="00A75BAF"/>
    <w:rsid w:val="00A75E17"/>
    <w:rsid w:val="00A76D04"/>
    <w:rsid w:val="00A7796E"/>
    <w:rsid w:val="00A80CF4"/>
    <w:rsid w:val="00A81951"/>
    <w:rsid w:val="00A839F2"/>
    <w:rsid w:val="00A84503"/>
    <w:rsid w:val="00A8465C"/>
    <w:rsid w:val="00A84E6F"/>
    <w:rsid w:val="00A85F3A"/>
    <w:rsid w:val="00A90005"/>
    <w:rsid w:val="00A90DBE"/>
    <w:rsid w:val="00A910DF"/>
    <w:rsid w:val="00A914CA"/>
    <w:rsid w:val="00A930A2"/>
    <w:rsid w:val="00A936DA"/>
    <w:rsid w:val="00A946D1"/>
    <w:rsid w:val="00A95AC1"/>
    <w:rsid w:val="00A95B00"/>
    <w:rsid w:val="00A9712D"/>
    <w:rsid w:val="00A978FC"/>
    <w:rsid w:val="00AA2866"/>
    <w:rsid w:val="00AA67BD"/>
    <w:rsid w:val="00AA6A76"/>
    <w:rsid w:val="00AA6BED"/>
    <w:rsid w:val="00AB0008"/>
    <w:rsid w:val="00AB01E9"/>
    <w:rsid w:val="00AB0DB9"/>
    <w:rsid w:val="00AB378B"/>
    <w:rsid w:val="00AB3E52"/>
    <w:rsid w:val="00AB49F8"/>
    <w:rsid w:val="00AB556D"/>
    <w:rsid w:val="00AB60D5"/>
    <w:rsid w:val="00AB62E9"/>
    <w:rsid w:val="00AB6488"/>
    <w:rsid w:val="00AC2F7D"/>
    <w:rsid w:val="00AC63F8"/>
    <w:rsid w:val="00AD159F"/>
    <w:rsid w:val="00AD3977"/>
    <w:rsid w:val="00AD43FF"/>
    <w:rsid w:val="00AD5E2B"/>
    <w:rsid w:val="00AE29B7"/>
    <w:rsid w:val="00AE5E3B"/>
    <w:rsid w:val="00AE7114"/>
    <w:rsid w:val="00AE7A88"/>
    <w:rsid w:val="00AF017D"/>
    <w:rsid w:val="00AF125B"/>
    <w:rsid w:val="00AF1329"/>
    <w:rsid w:val="00AF283E"/>
    <w:rsid w:val="00AF2C73"/>
    <w:rsid w:val="00AF4A52"/>
    <w:rsid w:val="00AF5954"/>
    <w:rsid w:val="00AF6D2F"/>
    <w:rsid w:val="00B0081D"/>
    <w:rsid w:val="00B0131B"/>
    <w:rsid w:val="00B02656"/>
    <w:rsid w:val="00B0379D"/>
    <w:rsid w:val="00B03A3D"/>
    <w:rsid w:val="00B139C1"/>
    <w:rsid w:val="00B1494C"/>
    <w:rsid w:val="00B162EB"/>
    <w:rsid w:val="00B16847"/>
    <w:rsid w:val="00B16EE9"/>
    <w:rsid w:val="00B170F4"/>
    <w:rsid w:val="00B17EAE"/>
    <w:rsid w:val="00B20E54"/>
    <w:rsid w:val="00B22EE0"/>
    <w:rsid w:val="00B24549"/>
    <w:rsid w:val="00B25CAC"/>
    <w:rsid w:val="00B25CF1"/>
    <w:rsid w:val="00B31EC5"/>
    <w:rsid w:val="00B323F1"/>
    <w:rsid w:val="00B34263"/>
    <w:rsid w:val="00B34792"/>
    <w:rsid w:val="00B35D0E"/>
    <w:rsid w:val="00B35FAE"/>
    <w:rsid w:val="00B4058E"/>
    <w:rsid w:val="00B40C00"/>
    <w:rsid w:val="00B4421B"/>
    <w:rsid w:val="00B4743E"/>
    <w:rsid w:val="00B475C2"/>
    <w:rsid w:val="00B4763D"/>
    <w:rsid w:val="00B51E9D"/>
    <w:rsid w:val="00B52760"/>
    <w:rsid w:val="00B52D85"/>
    <w:rsid w:val="00B52E67"/>
    <w:rsid w:val="00B60914"/>
    <w:rsid w:val="00B649A6"/>
    <w:rsid w:val="00B65382"/>
    <w:rsid w:val="00B66941"/>
    <w:rsid w:val="00B71680"/>
    <w:rsid w:val="00B76210"/>
    <w:rsid w:val="00B8171B"/>
    <w:rsid w:val="00B81878"/>
    <w:rsid w:val="00B81CC0"/>
    <w:rsid w:val="00B8224E"/>
    <w:rsid w:val="00B84C27"/>
    <w:rsid w:val="00B85245"/>
    <w:rsid w:val="00B85BCB"/>
    <w:rsid w:val="00B865F2"/>
    <w:rsid w:val="00B86DC5"/>
    <w:rsid w:val="00B878B5"/>
    <w:rsid w:val="00B90F20"/>
    <w:rsid w:val="00B925FC"/>
    <w:rsid w:val="00B94735"/>
    <w:rsid w:val="00B9530B"/>
    <w:rsid w:val="00B9572D"/>
    <w:rsid w:val="00B972C1"/>
    <w:rsid w:val="00BA03D0"/>
    <w:rsid w:val="00BA0878"/>
    <w:rsid w:val="00BA0B6E"/>
    <w:rsid w:val="00BA3901"/>
    <w:rsid w:val="00BA3C7D"/>
    <w:rsid w:val="00BA4CF4"/>
    <w:rsid w:val="00BA5BB9"/>
    <w:rsid w:val="00BA7745"/>
    <w:rsid w:val="00BB4CF5"/>
    <w:rsid w:val="00BB58E5"/>
    <w:rsid w:val="00BB7358"/>
    <w:rsid w:val="00BB7378"/>
    <w:rsid w:val="00BB7523"/>
    <w:rsid w:val="00BB7C5F"/>
    <w:rsid w:val="00BC0357"/>
    <w:rsid w:val="00BC0B61"/>
    <w:rsid w:val="00BC177B"/>
    <w:rsid w:val="00BC19DD"/>
    <w:rsid w:val="00BC6F74"/>
    <w:rsid w:val="00BD1082"/>
    <w:rsid w:val="00BD15D4"/>
    <w:rsid w:val="00BD24B9"/>
    <w:rsid w:val="00BD620D"/>
    <w:rsid w:val="00BD67F8"/>
    <w:rsid w:val="00BD7B46"/>
    <w:rsid w:val="00BE0314"/>
    <w:rsid w:val="00BE0660"/>
    <w:rsid w:val="00BE0959"/>
    <w:rsid w:val="00BE13C0"/>
    <w:rsid w:val="00BE2B4D"/>
    <w:rsid w:val="00BE4347"/>
    <w:rsid w:val="00BE4E76"/>
    <w:rsid w:val="00BE5763"/>
    <w:rsid w:val="00BE5F59"/>
    <w:rsid w:val="00BE5FD8"/>
    <w:rsid w:val="00BE7D39"/>
    <w:rsid w:val="00BF08BB"/>
    <w:rsid w:val="00BF6358"/>
    <w:rsid w:val="00BF6735"/>
    <w:rsid w:val="00BF6FF3"/>
    <w:rsid w:val="00C0030C"/>
    <w:rsid w:val="00C0165A"/>
    <w:rsid w:val="00C02461"/>
    <w:rsid w:val="00C046E1"/>
    <w:rsid w:val="00C04E03"/>
    <w:rsid w:val="00C05439"/>
    <w:rsid w:val="00C060A9"/>
    <w:rsid w:val="00C07C11"/>
    <w:rsid w:val="00C106FE"/>
    <w:rsid w:val="00C10928"/>
    <w:rsid w:val="00C11FC2"/>
    <w:rsid w:val="00C12554"/>
    <w:rsid w:val="00C12AE6"/>
    <w:rsid w:val="00C12FDD"/>
    <w:rsid w:val="00C16625"/>
    <w:rsid w:val="00C16F99"/>
    <w:rsid w:val="00C17B8A"/>
    <w:rsid w:val="00C17DCC"/>
    <w:rsid w:val="00C23900"/>
    <w:rsid w:val="00C2666B"/>
    <w:rsid w:val="00C2672B"/>
    <w:rsid w:val="00C32301"/>
    <w:rsid w:val="00C32ACF"/>
    <w:rsid w:val="00C3565F"/>
    <w:rsid w:val="00C357B4"/>
    <w:rsid w:val="00C35EBE"/>
    <w:rsid w:val="00C372CF"/>
    <w:rsid w:val="00C377DC"/>
    <w:rsid w:val="00C40148"/>
    <w:rsid w:val="00C41250"/>
    <w:rsid w:val="00C417CB"/>
    <w:rsid w:val="00C4269E"/>
    <w:rsid w:val="00C42BF3"/>
    <w:rsid w:val="00C43E6A"/>
    <w:rsid w:val="00C45B7B"/>
    <w:rsid w:val="00C47931"/>
    <w:rsid w:val="00C52B2F"/>
    <w:rsid w:val="00C53BBA"/>
    <w:rsid w:val="00C54AF2"/>
    <w:rsid w:val="00C54EDE"/>
    <w:rsid w:val="00C61C5F"/>
    <w:rsid w:val="00C62274"/>
    <w:rsid w:val="00C62705"/>
    <w:rsid w:val="00C6291E"/>
    <w:rsid w:val="00C6513F"/>
    <w:rsid w:val="00C65D5D"/>
    <w:rsid w:val="00C6773F"/>
    <w:rsid w:val="00C705B2"/>
    <w:rsid w:val="00C71576"/>
    <w:rsid w:val="00C72E77"/>
    <w:rsid w:val="00C72FB6"/>
    <w:rsid w:val="00C7484C"/>
    <w:rsid w:val="00C760E2"/>
    <w:rsid w:val="00C76E8B"/>
    <w:rsid w:val="00C76FEB"/>
    <w:rsid w:val="00C81260"/>
    <w:rsid w:val="00C81FCA"/>
    <w:rsid w:val="00C82157"/>
    <w:rsid w:val="00C83F54"/>
    <w:rsid w:val="00C84251"/>
    <w:rsid w:val="00C84A61"/>
    <w:rsid w:val="00C863C7"/>
    <w:rsid w:val="00C869A9"/>
    <w:rsid w:val="00C86D5D"/>
    <w:rsid w:val="00C87245"/>
    <w:rsid w:val="00C91A45"/>
    <w:rsid w:val="00C943C8"/>
    <w:rsid w:val="00C951B8"/>
    <w:rsid w:val="00CA2208"/>
    <w:rsid w:val="00CA2B6E"/>
    <w:rsid w:val="00CA3599"/>
    <w:rsid w:val="00CA4CF3"/>
    <w:rsid w:val="00CA7E2B"/>
    <w:rsid w:val="00CB43B6"/>
    <w:rsid w:val="00CB48D0"/>
    <w:rsid w:val="00CB6B7C"/>
    <w:rsid w:val="00CC1BD3"/>
    <w:rsid w:val="00CC1C3F"/>
    <w:rsid w:val="00CC4BBC"/>
    <w:rsid w:val="00CD3608"/>
    <w:rsid w:val="00CD5A0A"/>
    <w:rsid w:val="00CD7E39"/>
    <w:rsid w:val="00CD7E76"/>
    <w:rsid w:val="00CE2293"/>
    <w:rsid w:val="00CE4CEF"/>
    <w:rsid w:val="00CF06AD"/>
    <w:rsid w:val="00CF0A0F"/>
    <w:rsid w:val="00CF0C03"/>
    <w:rsid w:val="00CF1233"/>
    <w:rsid w:val="00CF2515"/>
    <w:rsid w:val="00CF2B32"/>
    <w:rsid w:val="00CF4A68"/>
    <w:rsid w:val="00CF4BC2"/>
    <w:rsid w:val="00CF52B7"/>
    <w:rsid w:val="00CF7AF6"/>
    <w:rsid w:val="00D00F20"/>
    <w:rsid w:val="00D02058"/>
    <w:rsid w:val="00D0224B"/>
    <w:rsid w:val="00D02F60"/>
    <w:rsid w:val="00D03F85"/>
    <w:rsid w:val="00D04635"/>
    <w:rsid w:val="00D05EB1"/>
    <w:rsid w:val="00D0637F"/>
    <w:rsid w:val="00D1140A"/>
    <w:rsid w:val="00D13064"/>
    <w:rsid w:val="00D13E0E"/>
    <w:rsid w:val="00D1407D"/>
    <w:rsid w:val="00D173ED"/>
    <w:rsid w:val="00D17DBE"/>
    <w:rsid w:val="00D21DF7"/>
    <w:rsid w:val="00D23B38"/>
    <w:rsid w:val="00D26074"/>
    <w:rsid w:val="00D30262"/>
    <w:rsid w:val="00D311C2"/>
    <w:rsid w:val="00D31252"/>
    <w:rsid w:val="00D31AEC"/>
    <w:rsid w:val="00D32260"/>
    <w:rsid w:val="00D33754"/>
    <w:rsid w:val="00D3614B"/>
    <w:rsid w:val="00D36553"/>
    <w:rsid w:val="00D40258"/>
    <w:rsid w:val="00D42464"/>
    <w:rsid w:val="00D42F4D"/>
    <w:rsid w:val="00D441EE"/>
    <w:rsid w:val="00D44C18"/>
    <w:rsid w:val="00D46A1D"/>
    <w:rsid w:val="00D46C13"/>
    <w:rsid w:val="00D47B0A"/>
    <w:rsid w:val="00D535C2"/>
    <w:rsid w:val="00D558AA"/>
    <w:rsid w:val="00D56145"/>
    <w:rsid w:val="00D638EA"/>
    <w:rsid w:val="00D63C53"/>
    <w:rsid w:val="00D657FB"/>
    <w:rsid w:val="00D66667"/>
    <w:rsid w:val="00D66F15"/>
    <w:rsid w:val="00D72FEB"/>
    <w:rsid w:val="00D730C0"/>
    <w:rsid w:val="00D7438B"/>
    <w:rsid w:val="00D74959"/>
    <w:rsid w:val="00D75C78"/>
    <w:rsid w:val="00D800C0"/>
    <w:rsid w:val="00D8025C"/>
    <w:rsid w:val="00D80708"/>
    <w:rsid w:val="00D810C2"/>
    <w:rsid w:val="00D83068"/>
    <w:rsid w:val="00D8509B"/>
    <w:rsid w:val="00D863F5"/>
    <w:rsid w:val="00D90379"/>
    <w:rsid w:val="00D911A9"/>
    <w:rsid w:val="00D919F4"/>
    <w:rsid w:val="00D9344B"/>
    <w:rsid w:val="00D934E7"/>
    <w:rsid w:val="00D94258"/>
    <w:rsid w:val="00D94EE5"/>
    <w:rsid w:val="00D966FF"/>
    <w:rsid w:val="00D96A0C"/>
    <w:rsid w:val="00D97173"/>
    <w:rsid w:val="00D97A6F"/>
    <w:rsid w:val="00DA10E7"/>
    <w:rsid w:val="00DA4E65"/>
    <w:rsid w:val="00DA57FE"/>
    <w:rsid w:val="00DA5E3E"/>
    <w:rsid w:val="00DA70AB"/>
    <w:rsid w:val="00DA7182"/>
    <w:rsid w:val="00DA78A6"/>
    <w:rsid w:val="00DB1B2C"/>
    <w:rsid w:val="00DB34ED"/>
    <w:rsid w:val="00DB40F1"/>
    <w:rsid w:val="00DB6A14"/>
    <w:rsid w:val="00DB7FD8"/>
    <w:rsid w:val="00DC2DDB"/>
    <w:rsid w:val="00DC59A9"/>
    <w:rsid w:val="00DD0D13"/>
    <w:rsid w:val="00DD3F73"/>
    <w:rsid w:val="00DE23E4"/>
    <w:rsid w:val="00DE466D"/>
    <w:rsid w:val="00DE4851"/>
    <w:rsid w:val="00DE6B2C"/>
    <w:rsid w:val="00DE7196"/>
    <w:rsid w:val="00DE7B2C"/>
    <w:rsid w:val="00DF029E"/>
    <w:rsid w:val="00DF0BEC"/>
    <w:rsid w:val="00DF32D9"/>
    <w:rsid w:val="00DF3A7F"/>
    <w:rsid w:val="00DF4288"/>
    <w:rsid w:val="00DF5A54"/>
    <w:rsid w:val="00DF6F12"/>
    <w:rsid w:val="00E00F4A"/>
    <w:rsid w:val="00E02599"/>
    <w:rsid w:val="00E03B8A"/>
    <w:rsid w:val="00E056DE"/>
    <w:rsid w:val="00E05E34"/>
    <w:rsid w:val="00E0691C"/>
    <w:rsid w:val="00E10E53"/>
    <w:rsid w:val="00E11E6A"/>
    <w:rsid w:val="00E133ED"/>
    <w:rsid w:val="00E13931"/>
    <w:rsid w:val="00E15104"/>
    <w:rsid w:val="00E16503"/>
    <w:rsid w:val="00E204E8"/>
    <w:rsid w:val="00E21B57"/>
    <w:rsid w:val="00E231F0"/>
    <w:rsid w:val="00E25E24"/>
    <w:rsid w:val="00E277B3"/>
    <w:rsid w:val="00E303D2"/>
    <w:rsid w:val="00E30898"/>
    <w:rsid w:val="00E32C30"/>
    <w:rsid w:val="00E42B07"/>
    <w:rsid w:val="00E449AA"/>
    <w:rsid w:val="00E45110"/>
    <w:rsid w:val="00E45E0F"/>
    <w:rsid w:val="00E51219"/>
    <w:rsid w:val="00E51C73"/>
    <w:rsid w:val="00E51DA0"/>
    <w:rsid w:val="00E52AEA"/>
    <w:rsid w:val="00E53107"/>
    <w:rsid w:val="00E5335F"/>
    <w:rsid w:val="00E54EC2"/>
    <w:rsid w:val="00E577F7"/>
    <w:rsid w:val="00E60741"/>
    <w:rsid w:val="00E60EB2"/>
    <w:rsid w:val="00E6206E"/>
    <w:rsid w:val="00E62C5C"/>
    <w:rsid w:val="00E64B51"/>
    <w:rsid w:val="00E7137A"/>
    <w:rsid w:val="00E71F1D"/>
    <w:rsid w:val="00E72BDB"/>
    <w:rsid w:val="00E7460A"/>
    <w:rsid w:val="00E76BF8"/>
    <w:rsid w:val="00E76FA6"/>
    <w:rsid w:val="00E819D2"/>
    <w:rsid w:val="00E8252B"/>
    <w:rsid w:val="00E82E9C"/>
    <w:rsid w:val="00E8510D"/>
    <w:rsid w:val="00E85552"/>
    <w:rsid w:val="00E87C2F"/>
    <w:rsid w:val="00E906AF"/>
    <w:rsid w:val="00E912F6"/>
    <w:rsid w:val="00E91CFE"/>
    <w:rsid w:val="00E92F44"/>
    <w:rsid w:val="00E938EB"/>
    <w:rsid w:val="00E93F3E"/>
    <w:rsid w:val="00E94B09"/>
    <w:rsid w:val="00E95D4C"/>
    <w:rsid w:val="00E95E2B"/>
    <w:rsid w:val="00E97858"/>
    <w:rsid w:val="00EA0BCB"/>
    <w:rsid w:val="00EA1116"/>
    <w:rsid w:val="00EA2886"/>
    <w:rsid w:val="00EA2F24"/>
    <w:rsid w:val="00EA392D"/>
    <w:rsid w:val="00EA4091"/>
    <w:rsid w:val="00EA4D6D"/>
    <w:rsid w:val="00EA4FBC"/>
    <w:rsid w:val="00EA4FE6"/>
    <w:rsid w:val="00EA5862"/>
    <w:rsid w:val="00EA6B57"/>
    <w:rsid w:val="00EA6D27"/>
    <w:rsid w:val="00EB03F0"/>
    <w:rsid w:val="00EB0AB1"/>
    <w:rsid w:val="00EB1C67"/>
    <w:rsid w:val="00EB224E"/>
    <w:rsid w:val="00EB2B57"/>
    <w:rsid w:val="00EB4A77"/>
    <w:rsid w:val="00EB4AB2"/>
    <w:rsid w:val="00EB5351"/>
    <w:rsid w:val="00EB5522"/>
    <w:rsid w:val="00EB55EF"/>
    <w:rsid w:val="00EB5E47"/>
    <w:rsid w:val="00EB62F4"/>
    <w:rsid w:val="00EC09E6"/>
    <w:rsid w:val="00EC399F"/>
    <w:rsid w:val="00EC6B47"/>
    <w:rsid w:val="00ED27CC"/>
    <w:rsid w:val="00ED37B7"/>
    <w:rsid w:val="00ED6A39"/>
    <w:rsid w:val="00EE181A"/>
    <w:rsid w:val="00EE26BA"/>
    <w:rsid w:val="00EE2DAC"/>
    <w:rsid w:val="00EE39D3"/>
    <w:rsid w:val="00EE3D21"/>
    <w:rsid w:val="00EE5021"/>
    <w:rsid w:val="00EE5719"/>
    <w:rsid w:val="00EE7192"/>
    <w:rsid w:val="00EF0648"/>
    <w:rsid w:val="00EF15DE"/>
    <w:rsid w:val="00EF4798"/>
    <w:rsid w:val="00EF638D"/>
    <w:rsid w:val="00EF65E0"/>
    <w:rsid w:val="00EF6999"/>
    <w:rsid w:val="00EF7E99"/>
    <w:rsid w:val="00F000DF"/>
    <w:rsid w:val="00F0089A"/>
    <w:rsid w:val="00F01141"/>
    <w:rsid w:val="00F01BB0"/>
    <w:rsid w:val="00F04244"/>
    <w:rsid w:val="00F04E59"/>
    <w:rsid w:val="00F12CF6"/>
    <w:rsid w:val="00F13638"/>
    <w:rsid w:val="00F141FD"/>
    <w:rsid w:val="00F14205"/>
    <w:rsid w:val="00F14785"/>
    <w:rsid w:val="00F160C8"/>
    <w:rsid w:val="00F2296D"/>
    <w:rsid w:val="00F22DEA"/>
    <w:rsid w:val="00F260B7"/>
    <w:rsid w:val="00F275A3"/>
    <w:rsid w:val="00F30686"/>
    <w:rsid w:val="00F315D9"/>
    <w:rsid w:val="00F31E41"/>
    <w:rsid w:val="00F334DC"/>
    <w:rsid w:val="00F33964"/>
    <w:rsid w:val="00F342F9"/>
    <w:rsid w:val="00F34464"/>
    <w:rsid w:val="00F3702F"/>
    <w:rsid w:val="00F37A3F"/>
    <w:rsid w:val="00F37AE8"/>
    <w:rsid w:val="00F405E0"/>
    <w:rsid w:val="00F40E17"/>
    <w:rsid w:val="00F4198F"/>
    <w:rsid w:val="00F41C48"/>
    <w:rsid w:val="00F43A83"/>
    <w:rsid w:val="00F44691"/>
    <w:rsid w:val="00F467A3"/>
    <w:rsid w:val="00F47475"/>
    <w:rsid w:val="00F50768"/>
    <w:rsid w:val="00F51F95"/>
    <w:rsid w:val="00F533B1"/>
    <w:rsid w:val="00F540DA"/>
    <w:rsid w:val="00F5532A"/>
    <w:rsid w:val="00F564C2"/>
    <w:rsid w:val="00F619E2"/>
    <w:rsid w:val="00F625D3"/>
    <w:rsid w:val="00F64146"/>
    <w:rsid w:val="00F722EA"/>
    <w:rsid w:val="00F72A52"/>
    <w:rsid w:val="00F73908"/>
    <w:rsid w:val="00F7589C"/>
    <w:rsid w:val="00F761B1"/>
    <w:rsid w:val="00F7633C"/>
    <w:rsid w:val="00F76859"/>
    <w:rsid w:val="00F82B72"/>
    <w:rsid w:val="00F82FFC"/>
    <w:rsid w:val="00F834FD"/>
    <w:rsid w:val="00F84ECF"/>
    <w:rsid w:val="00F853D3"/>
    <w:rsid w:val="00F85445"/>
    <w:rsid w:val="00F8719B"/>
    <w:rsid w:val="00F948EF"/>
    <w:rsid w:val="00F963C8"/>
    <w:rsid w:val="00FA0AEA"/>
    <w:rsid w:val="00FA3BB7"/>
    <w:rsid w:val="00FA400D"/>
    <w:rsid w:val="00FA4728"/>
    <w:rsid w:val="00FA70C8"/>
    <w:rsid w:val="00FB1325"/>
    <w:rsid w:val="00FB4257"/>
    <w:rsid w:val="00FC0C57"/>
    <w:rsid w:val="00FC0EC5"/>
    <w:rsid w:val="00FC2A0E"/>
    <w:rsid w:val="00FC2B14"/>
    <w:rsid w:val="00FC2BDD"/>
    <w:rsid w:val="00FC4B3E"/>
    <w:rsid w:val="00FC66D5"/>
    <w:rsid w:val="00FC7F05"/>
    <w:rsid w:val="00FD0915"/>
    <w:rsid w:val="00FD1D7D"/>
    <w:rsid w:val="00FD22CE"/>
    <w:rsid w:val="00FD546E"/>
    <w:rsid w:val="00FD78C1"/>
    <w:rsid w:val="00FD7F5F"/>
    <w:rsid w:val="00FE12C4"/>
    <w:rsid w:val="00FE29DD"/>
    <w:rsid w:val="00FE3F09"/>
    <w:rsid w:val="00FE445C"/>
    <w:rsid w:val="00FE5A38"/>
    <w:rsid w:val="00FE6E95"/>
    <w:rsid w:val="00FE763A"/>
    <w:rsid w:val="00FE7FC7"/>
    <w:rsid w:val="00FF255E"/>
    <w:rsid w:val="00FF28F9"/>
    <w:rsid w:val="00FF4311"/>
    <w:rsid w:val="00FF70A1"/>
    <w:rsid w:val="015D71B0"/>
    <w:rsid w:val="021E2269"/>
    <w:rsid w:val="024A3BEA"/>
    <w:rsid w:val="028B7C2E"/>
    <w:rsid w:val="03126A30"/>
    <w:rsid w:val="039D46F6"/>
    <w:rsid w:val="03E6086F"/>
    <w:rsid w:val="041C1FFF"/>
    <w:rsid w:val="04243174"/>
    <w:rsid w:val="04322275"/>
    <w:rsid w:val="04B7338E"/>
    <w:rsid w:val="04DB5A05"/>
    <w:rsid w:val="05050498"/>
    <w:rsid w:val="052E66DA"/>
    <w:rsid w:val="053D50C7"/>
    <w:rsid w:val="05425F7D"/>
    <w:rsid w:val="05686A00"/>
    <w:rsid w:val="05C767B1"/>
    <w:rsid w:val="05DA529F"/>
    <w:rsid w:val="066A5554"/>
    <w:rsid w:val="06F3584F"/>
    <w:rsid w:val="082A2B17"/>
    <w:rsid w:val="08736F4E"/>
    <w:rsid w:val="089C11F5"/>
    <w:rsid w:val="08BB4FA9"/>
    <w:rsid w:val="091F4919"/>
    <w:rsid w:val="09597121"/>
    <w:rsid w:val="095D2EEB"/>
    <w:rsid w:val="09FD5D55"/>
    <w:rsid w:val="0A2578BD"/>
    <w:rsid w:val="0A4C528E"/>
    <w:rsid w:val="0A863275"/>
    <w:rsid w:val="0ABB0AF9"/>
    <w:rsid w:val="0B17627B"/>
    <w:rsid w:val="0B393D8D"/>
    <w:rsid w:val="0B7D019C"/>
    <w:rsid w:val="0B9217DF"/>
    <w:rsid w:val="0B970EAA"/>
    <w:rsid w:val="0BB95353"/>
    <w:rsid w:val="0BC6256A"/>
    <w:rsid w:val="0BF23298"/>
    <w:rsid w:val="0DA40A09"/>
    <w:rsid w:val="0DE45AD1"/>
    <w:rsid w:val="0DEC37D6"/>
    <w:rsid w:val="0DFE46E2"/>
    <w:rsid w:val="0EFB3D62"/>
    <w:rsid w:val="0F453CE7"/>
    <w:rsid w:val="0FBD23DB"/>
    <w:rsid w:val="10287F66"/>
    <w:rsid w:val="10C65ED5"/>
    <w:rsid w:val="11213E2B"/>
    <w:rsid w:val="11555593"/>
    <w:rsid w:val="115A7860"/>
    <w:rsid w:val="119B1D75"/>
    <w:rsid w:val="11D10813"/>
    <w:rsid w:val="11D41286"/>
    <w:rsid w:val="11DC4168"/>
    <w:rsid w:val="11FD6BD8"/>
    <w:rsid w:val="12745F64"/>
    <w:rsid w:val="12C66D90"/>
    <w:rsid w:val="13336FE9"/>
    <w:rsid w:val="137134CC"/>
    <w:rsid w:val="138B0C6C"/>
    <w:rsid w:val="13950AD9"/>
    <w:rsid w:val="14257C33"/>
    <w:rsid w:val="143C47C7"/>
    <w:rsid w:val="143E131D"/>
    <w:rsid w:val="14A5213E"/>
    <w:rsid w:val="14B003C4"/>
    <w:rsid w:val="14B7783C"/>
    <w:rsid w:val="14E66CCC"/>
    <w:rsid w:val="15876F98"/>
    <w:rsid w:val="159A59D6"/>
    <w:rsid w:val="160F1DE2"/>
    <w:rsid w:val="161A1E24"/>
    <w:rsid w:val="162310E2"/>
    <w:rsid w:val="162B6BDC"/>
    <w:rsid w:val="1644780F"/>
    <w:rsid w:val="175B40AE"/>
    <w:rsid w:val="17840448"/>
    <w:rsid w:val="18086846"/>
    <w:rsid w:val="181D05BC"/>
    <w:rsid w:val="1865432A"/>
    <w:rsid w:val="18666BED"/>
    <w:rsid w:val="18B7697B"/>
    <w:rsid w:val="18EC6670"/>
    <w:rsid w:val="194C644C"/>
    <w:rsid w:val="196C048F"/>
    <w:rsid w:val="19D06693"/>
    <w:rsid w:val="1A1D3400"/>
    <w:rsid w:val="1A656528"/>
    <w:rsid w:val="1BAC316B"/>
    <w:rsid w:val="1BC973E1"/>
    <w:rsid w:val="1C1B2C21"/>
    <w:rsid w:val="1D0C2D42"/>
    <w:rsid w:val="1D1A477A"/>
    <w:rsid w:val="1D95321C"/>
    <w:rsid w:val="1F0A4851"/>
    <w:rsid w:val="206B7926"/>
    <w:rsid w:val="206F429B"/>
    <w:rsid w:val="21D66743"/>
    <w:rsid w:val="22464AB4"/>
    <w:rsid w:val="22A9344D"/>
    <w:rsid w:val="22FB13AA"/>
    <w:rsid w:val="2342126D"/>
    <w:rsid w:val="23D12EDF"/>
    <w:rsid w:val="23DC035E"/>
    <w:rsid w:val="240C40C9"/>
    <w:rsid w:val="24A33D32"/>
    <w:rsid w:val="24CC3F57"/>
    <w:rsid w:val="24F749C1"/>
    <w:rsid w:val="25493B75"/>
    <w:rsid w:val="262E749F"/>
    <w:rsid w:val="2635557B"/>
    <w:rsid w:val="266505B3"/>
    <w:rsid w:val="266D6025"/>
    <w:rsid w:val="26753561"/>
    <w:rsid w:val="278414A2"/>
    <w:rsid w:val="27AD100F"/>
    <w:rsid w:val="28247E7B"/>
    <w:rsid w:val="282644B8"/>
    <w:rsid w:val="28346F9A"/>
    <w:rsid w:val="28991438"/>
    <w:rsid w:val="28AE3E27"/>
    <w:rsid w:val="28C379EE"/>
    <w:rsid w:val="28D736DA"/>
    <w:rsid w:val="29543802"/>
    <w:rsid w:val="296B43CE"/>
    <w:rsid w:val="2B103B5E"/>
    <w:rsid w:val="2B7B0F82"/>
    <w:rsid w:val="2BE66857"/>
    <w:rsid w:val="2C0718AA"/>
    <w:rsid w:val="2C77417F"/>
    <w:rsid w:val="2D586C03"/>
    <w:rsid w:val="2D8D7ECC"/>
    <w:rsid w:val="2D9627BB"/>
    <w:rsid w:val="2DE50C65"/>
    <w:rsid w:val="2E0B4AD6"/>
    <w:rsid w:val="2E406C5F"/>
    <w:rsid w:val="2F0D249C"/>
    <w:rsid w:val="2F6F6356"/>
    <w:rsid w:val="2F7434BA"/>
    <w:rsid w:val="2FA9622D"/>
    <w:rsid w:val="2FB15814"/>
    <w:rsid w:val="2FF62032"/>
    <w:rsid w:val="305F3D41"/>
    <w:rsid w:val="30AA2E2B"/>
    <w:rsid w:val="314E3C1D"/>
    <w:rsid w:val="316723DE"/>
    <w:rsid w:val="32676092"/>
    <w:rsid w:val="327F3D55"/>
    <w:rsid w:val="32846CF5"/>
    <w:rsid w:val="32A31D4F"/>
    <w:rsid w:val="32D1162C"/>
    <w:rsid w:val="33B30A2B"/>
    <w:rsid w:val="34C818EB"/>
    <w:rsid w:val="35B563DC"/>
    <w:rsid w:val="35F941B3"/>
    <w:rsid w:val="36CD192B"/>
    <w:rsid w:val="371C6B98"/>
    <w:rsid w:val="37425253"/>
    <w:rsid w:val="378968D3"/>
    <w:rsid w:val="37A002C1"/>
    <w:rsid w:val="37A75506"/>
    <w:rsid w:val="37F7663D"/>
    <w:rsid w:val="382A06BA"/>
    <w:rsid w:val="38505724"/>
    <w:rsid w:val="38E10A19"/>
    <w:rsid w:val="39607824"/>
    <w:rsid w:val="39C52A79"/>
    <w:rsid w:val="3A24371E"/>
    <w:rsid w:val="3A73759F"/>
    <w:rsid w:val="3A8309F9"/>
    <w:rsid w:val="3ABA684A"/>
    <w:rsid w:val="3AEF3BE5"/>
    <w:rsid w:val="3B1077BB"/>
    <w:rsid w:val="3BAC29CF"/>
    <w:rsid w:val="3C787899"/>
    <w:rsid w:val="3C957C7E"/>
    <w:rsid w:val="3D313D36"/>
    <w:rsid w:val="3D3B29CF"/>
    <w:rsid w:val="3DC509BF"/>
    <w:rsid w:val="3E150457"/>
    <w:rsid w:val="3E885B97"/>
    <w:rsid w:val="3F57398A"/>
    <w:rsid w:val="3FB04F04"/>
    <w:rsid w:val="3FD66119"/>
    <w:rsid w:val="404160B1"/>
    <w:rsid w:val="405B189E"/>
    <w:rsid w:val="40E0150A"/>
    <w:rsid w:val="415B593E"/>
    <w:rsid w:val="41790721"/>
    <w:rsid w:val="42692A1B"/>
    <w:rsid w:val="429F57B2"/>
    <w:rsid w:val="434E68D5"/>
    <w:rsid w:val="43666403"/>
    <w:rsid w:val="43D26295"/>
    <w:rsid w:val="43DC5037"/>
    <w:rsid w:val="441D0B75"/>
    <w:rsid w:val="449169A0"/>
    <w:rsid w:val="44B65A0E"/>
    <w:rsid w:val="44CF26C9"/>
    <w:rsid w:val="44DB5F52"/>
    <w:rsid w:val="451A76BA"/>
    <w:rsid w:val="45202640"/>
    <w:rsid w:val="4592316D"/>
    <w:rsid w:val="45D034E5"/>
    <w:rsid w:val="45D36832"/>
    <w:rsid w:val="46AF55B4"/>
    <w:rsid w:val="474E3F3F"/>
    <w:rsid w:val="47FF16BA"/>
    <w:rsid w:val="4889439A"/>
    <w:rsid w:val="488D77F9"/>
    <w:rsid w:val="49135486"/>
    <w:rsid w:val="495342CD"/>
    <w:rsid w:val="495B3CD5"/>
    <w:rsid w:val="4963688B"/>
    <w:rsid w:val="49807DAA"/>
    <w:rsid w:val="49B4487D"/>
    <w:rsid w:val="4A3B50AA"/>
    <w:rsid w:val="4ACB3F91"/>
    <w:rsid w:val="4BC913A7"/>
    <w:rsid w:val="4C1C212F"/>
    <w:rsid w:val="4C23542C"/>
    <w:rsid w:val="4C84634F"/>
    <w:rsid w:val="4D380511"/>
    <w:rsid w:val="4D607D68"/>
    <w:rsid w:val="4E1206B7"/>
    <w:rsid w:val="4E255704"/>
    <w:rsid w:val="4FA37EFA"/>
    <w:rsid w:val="4FA42F03"/>
    <w:rsid w:val="4FE60C07"/>
    <w:rsid w:val="5031542A"/>
    <w:rsid w:val="506738C5"/>
    <w:rsid w:val="50673B48"/>
    <w:rsid w:val="508A0AF8"/>
    <w:rsid w:val="50C72E69"/>
    <w:rsid w:val="51145775"/>
    <w:rsid w:val="513A2767"/>
    <w:rsid w:val="517E78EC"/>
    <w:rsid w:val="51B824A4"/>
    <w:rsid w:val="521B374E"/>
    <w:rsid w:val="522F2E57"/>
    <w:rsid w:val="52B5772E"/>
    <w:rsid w:val="535C38F4"/>
    <w:rsid w:val="54A123DC"/>
    <w:rsid w:val="54C17E38"/>
    <w:rsid w:val="54E2413F"/>
    <w:rsid w:val="55503373"/>
    <w:rsid w:val="557A4DB0"/>
    <w:rsid w:val="56AA091F"/>
    <w:rsid w:val="57087E97"/>
    <w:rsid w:val="573F14BF"/>
    <w:rsid w:val="58164E40"/>
    <w:rsid w:val="581D604F"/>
    <w:rsid w:val="587758BD"/>
    <w:rsid w:val="590B60C6"/>
    <w:rsid w:val="595A390A"/>
    <w:rsid w:val="596257F6"/>
    <w:rsid w:val="598E375B"/>
    <w:rsid w:val="599E7F6D"/>
    <w:rsid w:val="5AD924E3"/>
    <w:rsid w:val="5B7B6166"/>
    <w:rsid w:val="5BBA232E"/>
    <w:rsid w:val="5C567758"/>
    <w:rsid w:val="5C78693B"/>
    <w:rsid w:val="5CFE239A"/>
    <w:rsid w:val="5D272860"/>
    <w:rsid w:val="5D804522"/>
    <w:rsid w:val="5DD27131"/>
    <w:rsid w:val="5E19036C"/>
    <w:rsid w:val="5E8B7420"/>
    <w:rsid w:val="5EA55686"/>
    <w:rsid w:val="5F0466BE"/>
    <w:rsid w:val="5F6D7DA7"/>
    <w:rsid w:val="5FC174F8"/>
    <w:rsid w:val="60095A81"/>
    <w:rsid w:val="60206147"/>
    <w:rsid w:val="60E93055"/>
    <w:rsid w:val="625835BD"/>
    <w:rsid w:val="628733A5"/>
    <w:rsid w:val="62AB07A1"/>
    <w:rsid w:val="62DD24A4"/>
    <w:rsid w:val="62EA7EDB"/>
    <w:rsid w:val="63172600"/>
    <w:rsid w:val="636F7C2B"/>
    <w:rsid w:val="63872C71"/>
    <w:rsid w:val="63A43429"/>
    <w:rsid w:val="63BD749E"/>
    <w:rsid w:val="64030C20"/>
    <w:rsid w:val="643E720F"/>
    <w:rsid w:val="6454319F"/>
    <w:rsid w:val="64C97C7B"/>
    <w:rsid w:val="64FE5E9F"/>
    <w:rsid w:val="65346913"/>
    <w:rsid w:val="655867E7"/>
    <w:rsid w:val="65826A99"/>
    <w:rsid w:val="65E40E00"/>
    <w:rsid w:val="66796F48"/>
    <w:rsid w:val="668A2732"/>
    <w:rsid w:val="66BC1244"/>
    <w:rsid w:val="66C5624E"/>
    <w:rsid w:val="676042F1"/>
    <w:rsid w:val="677B60FD"/>
    <w:rsid w:val="678A40F8"/>
    <w:rsid w:val="67F0397D"/>
    <w:rsid w:val="68553FDB"/>
    <w:rsid w:val="686003C9"/>
    <w:rsid w:val="68BE3024"/>
    <w:rsid w:val="68DB6E39"/>
    <w:rsid w:val="69BB0116"/>
    <w:rsid w:val="6A1B3B4B"/>
    <w:rsid w:val="6ADE426C"/>
    <w:rsid w:val="6AEE5E53"/>
    <w:rsid w:val="6B1006C7"/>
    <w:rsid w:val="6B9D6858"/>
    <w:rsid w:val="6BC42746"/>
    <w:rsid w:val="6C3A1D54"/>
    <w:rsid w:val="6C7B3723"/>
    <w:rsid w:val="6C8D06A3"/>
    <w:rsid w:val="6CDD44E6"/>
    <w:rsid w:val="6D750951"/>
    <w:rsid w:val="6E5B2617"/>
    <w:rsid w:val="6E672177"/>
    <w:rsid w:val="6E7B184C"/>
    <w:rsid w:val="6E7F2AA6"/>
    <w:rsid w:val="6ECE7824"/>
    <w:rsid w:val="6F122BC3"/>
    <w:rsid w:val="6F3A7B62"/>
    <w:rsid w:val="6F4579F2"/>
    <w:rsid w:val="6F9C3E10"/>
    <w:rsid w:val="6FAC7E1C"/>
    <w:rsid w:val="6FBC2D81"/>
    <w:rsid w:val="6FC012F2"/>
    <w:rsid w:val="71113243"/>
    <w:rsid w:val="714B35A5"/>
    <w:rsid w:val="716263C5"/>
    <w:rsid w:val="716A2C26"/>
    <w:rsid w:val="71FC5FDA"/>
    <w:rsid w:val="72201790"/>
    <w:rsid w:val="72444645"/>
    <w:rsid w:val="726219B8"/>
    <w:rsid w:val="73061A2E"/>
    <w:rsid w:val="73366E25"/>
    <w:rsid w:val="74461DA6"/>
    <w:rsid w:val="747C1CCE"/>
    <w:rsid w:val="748966F6"/>
    <w:rsid w:val="74E96F69"/>
    <w:rsid w:val="75047154"/>
    <w:rsid w:val="75077050"/>
    <w:rsid w:val="75187645"/>
    <w:rsid w:val="757D5A97"/>
    <w:rsid w:val="759B19E4"/>
    <w:rsid w:val="75CD4110"/>
    <w:rsid w:val="75D11CBE"/>
    <w:rsid w:val="75ED3A77"/>
    <w:rsid w:val="765B37D3"/>
    <w:rsid w:val="76EA4AB9"/>
    <w:rsid w:val="76F564AF"/>
    <w:rsid w:val="7722729C"/>
    <w:rsid w:val="773E2EB2"/>
    <w:rsid w:val="77732199"/>
    <w:rsid w:val="77914277"/>
    <w:rsid w:val="781D54D4"/>
    <w:rsid w:val="78405EE1"/>
    <w:rsid w:val="78907C63"/>
    <w:rsid w:val="79447F18"/>
    <w:rsid w:val="79F476D8"/>
    <w:rsid w:val="7A6B23F9"/>
    <w:rsid w:val="7B0662E8"/>
    <w:rsid w:val="7B867654"/>
    <w:rsid w:val="7B914C21"/>
    <w:rsid w:val="7BB0061E"/>
    <w:rsid w:val="7BE15922"/>
    <w:rsid w:val="7C1E486C"/>
    <w:rsid w:val="7C4131F4"/>
    <w:rsid w:val="7CB7256F"/>
    <w:rsid w:val="7CC07111"/>
    <w:rsid w:val="7CDB4245"/>
    <w:rsid w:val="7CDD0004"/>
    <w:rsid w:val="7D9970DC"/>
    <w:rsid w:val="7E182BE0"/>
    <w:rsid w:val="7E5E67D1"/>
    <w:rsid w:val="7E775CDA"/>
    <w:rsid w:val="7ECA3C7D"/>
    <w:rsid w:val="7EE30AAD"/>
    <w:rsid w:val="7EEC68C5"/>
    <w:rsid w:val="7F765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48"/>
    <w:qFormat/>
    <w:uiPriority w:val="9"/>
    <w:pPr>
      <w:keepNext/>
      <w:autoSpaceDE w:val="0"/>
      <w:autoSpaceDN w:val="0"/>
      <w:spacing w:line="360" w:lineRule="auto"/>
      <w:jc w:val="center"/>
      <w:textAlignment w:val="bottom"/>
      <w:outlineLvl w:val="0"/>
    </w:pPr>
    <w:rPr>
      <w:rFonts w:ascii="仿宋_GB2312" w:eastAsia="仿宋_GB2312"/>
      <w:b/>
      <w:sz w:val="44"/>
    </w:rPr>
  </w:style>
  <w:style w:type="paragraph" w:styleId="6">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7">
    <w:name w:val="heading 3"/>
    <w:basedOn w:val="1"/>
    <w:next w:val="8"/>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9">
    <w:name w:val="heading 4"/>
    <w:basedOn w:val="6"/>
    <w:next w:val="1"/>
    <w:qFormat/>
    <w:uiPriority w:val="0"/>
    <w:pPr>
      <w:keepLines/>
      <w:widowControl/>
      <w:spacing w:before="280" w:after="290" w:line="372" w:lineRule="auto"/>
      <w:outlineLvl w:val="3"/>
    </w:pPr>
    <w:rPr>
      <w:rFonts w:ascii="Arial" w:hAnsi="Arial" w:eastAsia="黑体"/>
      <w:color w:val="000000"/>
      <w:sz w:val="28"/>
    </w:rPr>
  </w:style>
  <w:style w:type="paragraph" w:styleId="10">
    <w:name w:val="heading 5"/>
    <w:basedOn w:val="1"/>
    <w:next w:val="1"/>
    <w:qFormat/>
    <w:uiPriority w:val="0"/>
    <w:pPr>
      <w:keepLines/>
      <w:widowControl/>
      <w:spacing w:before="280" w:after="290" w:line="372" w:lineRule="auto"/>
      <w:outlineLvl w:val="4"/>
    </w:pPr>
    <w:rPr>
      <w:b/>
      <w:color w:val="000000"/>
      <w:sz w:val="28"/>
      <w:szCs w:val="20"/>
    </w:rPr>
  </w:style>
  <w:style w:type="paragraph" w:styleId="11">
    <w:name w:val="heading 6"/>
    <w:basedOn w:val="1"/>
    <w:next w:val="1"/>
    <w:qFormat/>
    <w:uiPriority w:val="0"/>
    <w:pPr>
      <w:keepLines/>
      <w:widowControl/>
      <w:spacing w:before="240" w:after="64" w:line="312" w:lineRule="auto"/>
      <w:outlineLvl w:val="5"/>
    </w:pPr>
    <w:rPr>
      <w:rFonts w:ascii="Arial" w:hAnsi="Arial" w:eastAsia="黑体"/>
      <w:b/>
      <w:color w:val="000000"/>
      <w:sz w:val="24"/>
      <w:szCs w:val="20"/>
    </w:rPr>
  </w:style>
  <w:style w:type="paragraph" w:styleId="12">
    <w:name w:val="heading 7"/>
    <w:basedOn w:val="1"/>
    <w:next w:val="1"/>
    <w:qFormat/>
    <w:uiPriority w:val="0"/>
    <w:pPr>
      <w:keepLines/>
      <w:widowControl/>
      <w:spacing w:before="240" w:after="64" w:line="312" w:lineRule="auto"/>
      <w:outlineLvl w:val="6"/>
    </w:pPr>
    <w:rPr>
      <w:b/>
      <w:color w:val="000000"/>
      <w:sz w:val="24"/>
      <w:szCs w:val="20"/>
    </w:rPr>
  </w:style>
  <w:style w:type="paragraph" w:styleId="13">
    <w:name w:val="heading 8"/>
    <w:basedOn w:val="1"/>
    <w:next w:val="1"/>
    <w:qFormat/>
    <w:uiPriority w:val="0"/>
    <w:pPr>
      <w:keepLines/>
      <w:widowControl/>
      <w:spacing w:before="240" w:after="64" w:line="312" w:lineRule="auto"/>
      <w:outlineLvl w:val="7"/>
    </w:pPr>
    <w:rPr>
      <w:rFonts w:ascii="Arial" w:hAnsi="Arial" w:eastAsia="黑体"/>
      <w:color w:val="000000"/>
      <w:sz w:val="24"/>
      <w:szCs w:val="20"/>
    </w:rPr>
  </w:style>
  <w:style w:type="paragraph" w:styleId="14">
    <w:name w:val="heading 9"/>
    <w:basedOn w:val="1"/>
    <w:next w:val="1"/>
    <w:link w:val="253"/>
    <w:qFormat/>
    <w:uiPriority w:val="0"/>
    <w:pPr>
      <w:keepLines/>
      <w:widowControl/>
      <w:spacing w:before="240" w:after="64" w:line="312" w:lineRule="auto"/>
      <w:outlineLvl w:val="8"/>
    </w:pPr>
    <w:rPr>
      <w:rFonts w:ascii="Arial" w:hAnsi="Arial" w:eastAsia="黑体"/>
      <w:color w:val="000000"/>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tabs>
        <w:tab w:val="left" w:pos="208"/>
      </w:tabs>
      <w:spacing w:after="120" w:line="240" w:lineRule="auto"/>
      <w:ind w:firstLine="420" w:firstLineChars="100"/>
    </w:pPr>
    <w:rPr>
      <w:rFonts w:ascii="Times New Roman" w:eastAsia="宋体"/>
      <w:sz w:val="21"/>
    </w:rPr>
  </w:style>
  <w:style w:type="paragraph" w:styleId="3">
    <w:name w:val="Body Text"/>
    <w:basedOn w:val="1"/>
    <w:next w:val="2"/>
    <w:qFormat/>
    <w:uiPriority w:val="0"/>
    <w:pPr>
      <w:tabs>
        <w:tab w:val="left" w:pos="208"/>
      </w:tabs>
      <w:spacing w:line="432" w:lineRule="auto"/>
    </w:pPr>
    <w:rPr>
      <w:rFonts w:ascii="仿宋_GB2312" w:eastAsia="仿宋_GB2312"/>
      <w:sz w:val="28"/>
    </w:rPr>
  </w:style>
  <w:style w:type="paragraph" w:styleId="4">
    <w:name w:val="toc 6"/>
    <w:basedOn w:val="1"/>
    <w:next w:val="1"/>
    <w:unhideWhenUsed/>
    <w:qFormat/>
    <w:uiPriority w:val="39"/>
    <w:pPr>
      <w:ind w:left="1050"/>
      <w:jc w:val="left"/>
    </w:pPr>
    <w:rPr>
      <w:sz w:val="18"/>
      <w:szCs w:val="18"/>
    </w:rPr>
  </w:style>
  <w:style w:type="paragraph" w:styleId="8">
    <w:name w:val="Normal Indent"/>
    <w:basedOn w:val="1"/>
    <w:link w:val="227"/>
    <w:qFormat/>
    <w:uiPriority w:val="0"/>
    <w:pPr>
      <w:ind w:firstLine="420"/>
    </w:pPr>
    <w:rPr>
      <w:rFonts w:ascii="Times New Roman" w:hAnsi="Times New Roman"/>
      <w:szCs w:val="20"/>
    </w:rPr>
  </w:style>
  <w:style w:type="paragraph" w:styleId="15">
    <w:name w:val="toc 7"/>
    <w:basedOn w:val="1"/>
    <w:next w:val="1"/>
    <w:unhideWhenUsed/>
    <w:qFormat/>
    <w:uiPriority w:val="39"/>
    <w:pPr>
      <w:ind w:left="1260"/>
      <w:jc w:val="left"/>
    </w:pPr>
    <w:rPr>
      <w:sz w:val="18"/>
      <w:szCs w:val="18"/>
    </w:rPr>
  </w:style>
  <w:style w:type="paragraph" w:styleId="16">
    <w:name w:val="table of authorities"/>
    <w:basedOn w:val="1"/>
    <w:next w:val="1"/>
    <w:qFormat/>
    <w:uiPriority w:val="0"/>
    <w:pPr>
      <w:ind w:left="420" w:leftChars="200"/>
    </w:pPr>
  </w:style>
  <w:style w:type="paragraph" w:styleId="17">
    <w:name w:val="Document Map"/>
    <w:basedOn w:val="1"/>
    <w:semiHidden/>
    <w:qFormat/>
    <w:uiPriority w:val="0"/>
    <w:pPr>
      <w:shd w:val="clear" w:color="auto" w:fill="000080"/>
    </w:pPr>
  </w:style>
  <w:style w:type="paragraph" w:styleId="18">
    <w:name w:val="annotation text"/>
    <w:basedOn w:val="1"/>
    <w:semiHidden/>
    <w:qFormat/>
    <w:uiPriority w:val="0"/>
    <w:pPr>
      <w:jc w:val="left"/>
    </w:pPr>
  </w:style>
  <w:style w:type="paragraph" w:styleId="19">
    <w:name w:val="Body Text 3"/>
    <w:basedOn w:val="1"/>
    <w:qFormat/>
    <w:uiPriority w:val="0"/>
    <w:pPr>
      <w:widowControl/>
      <w:spacing w:line="360" w:lineRule="auto"/>
    </w:pPr>
    <w:rPr>
      <w:rFonts w:ascii="仿宋_GB2312" w:eastAsia="仿宋_GB2312"/>
      <w:sz w:val="24"/>
      <w:szCs w:val="20"/>
    </w:rPr>
  </w:style>
  <w:style w:type="paragraph" w:styleId="20">
    <w:name w:val="Body Text Indent"/>
    <w:basedOn w:val="1"/>
    <w:qFormat/>
    <w:uiPriority w:val="0"/>
    <w:pPr>
      <w:ind w:firstLine="540"/>
    </w:pPr>
    <w:rPr>
      <w:sz w:val="28"/>
      <w:szCs w:val="20"/>
    </w:rPr>
  </w:style>
  <w:style w:type="paragraph" w:styleId="21">
    <w:name w:val="toc 5"/>
    <w:basedOn w:val="1"/>
    <w:next w:val="1"/>
    <w:unhideWhenUsed/>
    <w:qFormat/>
    <w:uiPriority w:val="39"/>
    <w:pPr>
      <w:ind w:left="840"/>
      <w:jc w:val="left"/>
    </w:pPr>
    <w:rPr>
      <w:sz w:val="18"/>
      <w:szCs w:val="18"/>
    </w:rPr>
  </w:style>
  <w:style w:type="paragraph" w:styleId="22">
    <w:name w:val="toc 3"/>
    <w:basedOn w:val="1"/>
    <w:next w:val="1"/>
    <w:qFormat/>
    <w:uiPriority w:val="39"/>
    <w:pPr>
      <w:spacing w:before="40" w:after="40"/>
      <w:ind w:left="200" w:leftChars="200"/>
      <w:jc w:val="left"/>
    </w:pPr>
    <w:rPr>
      <w:rFonts w:eastAsia="仿宋_GB2312"/>
      <w:iCs/>
      <w:sz w:val="20"/>
      <w:szCs w:val="20"/>
    </w:rPr>
  </w:style>
  <w:style w:type="paragraph" w:styleId="23">
    <w:name w:val="Plain Text"/>
    <w:basedOn w:val="1"/>
    <w:link w:val="228"/>
    <w:qFormat/>
    <w:uiPriority w:val="0"/>
    <w:rPr>
      <w:rFonts w:ascii="宋体" w:hAnsi="Courier New"/>
      <w:szCs w:val="20"/>
    </w:rPr>
  </w:style>
  <w:style w:type="paragraph" w:styleId="24">
    <w:name w:val="toc 8"/>
    <w:basedOn w:val="1"/>
    <w:next w:val="1"/>
    <w:unhideWhenUsed/>
    <w:qFormat/>
    <w:uiPriority w:val="39"/>
    <w:pPr>
      <w:ind w:left="1470"/>
      <w:jc w:val="left"/>
    </w:pPr>
    <w:rPr>
      <w:sz w:val="18"/>
      <w:szCs w:val="18"/>
    </w:rPr>
  </w:style>
  <w:style w:type="paragraph" w:styleId="25">
    <w:name w:val="Date"/>
    <w:basedOn w:val="1"/>
    <w:next w:val="1"/>
    <w:qFormat/>
    <w:uiPriority w:val="0"/>
    <w:pPr>
      <w:adjustRightInd w:val="0"/>
      <w:spacing w:line="312" w:lineRule="atLeast"/>
    </w:pPr>
    <w:rPr>
      <w:rFonts w:hint="eastAsia" w:ascii="仿宋_GB2312" w:eastAsia="仿宋_GB2312"/>
      <w:kern w:val="0"/>
      <w:sz w:val="28"/>
      <w:szCs w:val="20"/>
    </w:rPr>
  </w:style>
  <w:style w:type="paragraph" w:styleId="26">
    <w:name w:val="Body Text Indent 2"/>
    <w:basedOn w:val="1"/>
    <w:qFormat/>
    <w:uiPriority w:val="0"/>
    <w:pPr>
      <w:snapToGrid w:val="0"/>
      <w:spacing w:line="400" w:lineRule="exact"/>
      <w:ind w:firstLine="480"/>
    </w:pPr>
    <w:rPr>
      <w:rFonts w:eastAsia="仿宋_GB2312"/>
      <w:sz w:val="24"/>
    </w:rPr>
  </w:style>
  <w:style w:type="paragraph" w:styleId="27">
    <w:name w:val="Balloon Text"/>
    <w:basedOn w:val="1"/>
    <w:link w:val="232"/>
    <w:qFormat/>
    <w:uiPriority w:val="0"/>
    <w:rPr>
      <w:rFonts w:ascii="Times New Roman" w:hAnsi="Times New Roman"/>
      <w:sz w:val="18"/>
      <w:szCs w:val="18"/>
    </w:rPr>
  </w:style>
  <w:style w:type="paragraph" w:styleId="28">
    <w:name w:val="footer"/>
    <w:basedOn w:val="1"/>
    <w:link w:val="234"/>
    <w:qFormat/>
    <w:uiPriority w:val="99"/>
    <w:pPr>
      <w:tabs>
        <w:tab w:val="center" w:pos="4153"/>
        <w:tab w:val="right" w:pos="8306"/>
      </w:tabs>
      <w:snapToGrid w:val="0"/>
      <w:jc w:val="left"/>
    </w:pPr>
    <w:rPr>
      <w:rFonts w:ascii="Times New Roman" w:hAnsi="Times New Roman"/>
      <w:sz w:val="18"/>
      <w:szCs w:val="18"/>
    </w:rPr>
  </w:style>
  <w:style w:type="paragraph" w:styleId="29">
    <w:name w:val="header"/>
    <w:basedOn w:val="1"/>
    <w:link w:val="233"/>
    <w:qFormat/>
    <w:uiPriority w:val="99"/>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0">
    <w:name w:val="toc 1"/>
    <w:basedOn w:val="1"/>
    <w:next w:val="1"/>
    <w:qFormat/>
    <w:uiPriority w:val="39"/>
    <w:pPr>
      <w:tabs>
        <w:tab w:val="right" w:leader="dot" w:pos="9060"/>
      </w:tabs>
      <w:spacing w:before="40" w:after="40"/>
      <w:jc w:val="left"/>
    </w:pPr>
    <w:rPr>
      <w:rFonts w:eastAsia="仿宋_GB2312"/>
      <w:b/>
      <w:bCs/>
      <w:caps/>
      <w:sz w:val="20"/>
      <w:szCs w:val="20"/>
    </w:rPr>
  </w:style>
  <w:style w:type="paragraph" w:styleId="31">
    <w:name w:val="toc 4"/>
    <w:basedOn w:val="1"/>
    <w:next w:val="1"/>
    <w:unhideWhenUsed/>
    <w:qFormat/>
    <w:uiPriority w:val="39"/>
    <w:pPr>
      <w:ind w:left="630"/>
      <w:jc w:val="left"/>
    </w:pPr>
    <w:rPr>
      <w:sz w:val="18"/>
      <w:szCs w:val="18"/>
    </w:rPr>
  </w:style>
  <w:style w:type="paragraph" w:styleId="32">
    <w:name w:val="List"/>
    <w:basedOn w:val="1"/>
    <w:qFormat/>
    <w:uiPriority w:val="0"/>
    <w:pPr>
      <w:ind w:left="200" w:hanging="200" w:hangingChars="200"/>
    </w:pPr>
    <w:rPr>
      <w:rFonts w:ascii="Times New Roman" w:hAnsi="Times New Roman"/>
      <w:szCs w:val="24"/>
    </w:rPr>
  </w:style>
  <w:style w:type="paragraph" w:styleId="33">
    <w:name w:val="Body Text Indent 3"/>
    <w:basedOn w:val="1"/>
    <w:qFormat/>
    <w:uiPriority w:val="0"/>
    <w:pPr>
      <w:spacing w:line="360" w:lineRule="auto"/>
      <w:ind w:left="220"/>
      <w:jc w:val="left"/>
    </w:pPr>
    <w:rPr>
      <w:rFonts w:ascii="仿宋_GB2312" w:eastAsia="仿宋_GB2312"/>
      <w:color w:val="000000"/>
      <w:sz w:val="24"/>
    </w:rPr>
  </w:style>
  <w:style w:type="paragraph" w:styleId="34">
    <w:name w:val="toc 2"/>
    <w:basedOn w:val="1"/>
    <w:next w:val="1"/>
    <w:qFormat/>
    <w:uiPriority w:val="39"/>
    <w:pPr>
      <w:spacing w:before="40" w:after="40"/>
      <w:ind w:left="100" w:leftChars="100"/>
      <w:jc w:val="left"/>
    </w:pPr>
    <w:rPr>
      <w:rFonts w:eastAsia="仿宋_GB2312"/>
      <w:b/>
      <w:smallCaps/>
      <w:sz w:val="20"/>
      <w:szCs w:val="20"/>
    </w:rPr>
  </w:style>
  <w:style w:type="paragraph" w:styleId="35">
    <w:name w:val="toc 9"/>
    <w:basedOn w:val="1"/>
    <w:next w:val="1"/>
    <w:unhideWhenUsed/>
    <w:qFormat/>
    <w:uiPriority w:val="39"/>
    <w:pPr>
      <w:ind w:left="1680"/>
      <w:jc w:val="left"/>
    </w:pPr>
    <w:rPr>
      <w:sz w:val="18"/>
      <w:szCs w:val="18"/>
    </w:rPr>
  </w:style>
  <w:style w:type="paragraph" w:styleId="36">
    <w:name w:val="Body Text 2"/>
    <w:basedOn w:val="1"/>
    <w:link w:val="252"/>
    <w:qFormat/>
    <w:uiPriority w:val="0"/>
    <w:pPr>
      <w:spacing w:line="560" w:lineRule="exact"/>
    </w:pPr>
    <w:rPr>
      <w:rFonts w:ascii="仿宋_GB2312" w:eastAsia="仿宋_GB2312"/>
      <w:sz w:val="24"/>
    </w:rPr>
  </w:style>
  <w:style w:type="paragraph" w:styleId="37">
    <w:name w:val="Normal (Web)"/>
    <w:basedOn w:val="1"/>
    <w:qFormat/>
    <w:uiPriority w:val="99"/>
    <w:pPr>
      <w:widowControl/>
      <w:spacing w:before="100" w:beforeAutospacing="1" w:after="100" w:afterAutospacing="1"/>
      <w:jc w:val="left"/>
    </w:pPr>
    <w:rPr>
      <w:rFonts w:ascii="宋体" w:hAnsi="宋体"/>
      <w:kern w:val="0"/>
      <w:sz w:val="24"/>
    </w:rPr>
  </w:style>
  <w:style w:type="paragraph" w:styleId="38">
    <w:name w:val="Title"/>
    <w:basedOn w:val="1"/>
    <w:link w:val="254"/>
    <w:qFormat/>
    <w:uiPriority w:val="0"/>
    <w:pPr>
      <w:spacing w:before="240" w:after="60"/>
      <w:jc w:val="center"/>
      <w:outlineLvl w:val="0"/>
    </w:pPr>
    <w:rPr>
      <w:rFonts w:ascii="Arial" w:hAnsi="Arial"/>
      <w:b/>
      <w:bCs/>
      <w:sz w:val="32"/>
      <w:szCs w:val="32"/>
    </w:rPr>
  </w:style>
  <w:style w:type="paragraph" w:styleId="39">
    <w:name w:val="annotation subject"/>
    <w:basedOn w:val="18"/>
    <w:next w:val="18"/>
    <w:semiHidden/>
    <w:qFormat/>
    <w:uiPriority w:val="0"/>
    <w:rPr>
      <w:b/>
      <w:bCs/>
    </w:rPr>
  </w:style>
  <w:style w:type="paragraph" w:styleId="40">
    <w:name w:val="Body Text First Indent 2"/>
    <w:basedOn w:val="20"/>
    <w:unhideWhenUsed/>
    <w:qFormat/>
    <w:uiPriority w:val="99"/>
    <w:pPr>
      <w:ind w:firstLine="420" w:firstLineChars="200"/>
    </w:p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basedOn w:val="43"/>
    <w:qFormat/>
    <w:uiPriority w:val="99"/>
    <w:rPr>
      <w:color w:val="0000FF"/>
      <w:u w:val="single"/>
    </w:rPr>
  </w:style>
  <w:style w:type="character" w:customStyle="1" w:styleId="48">
    <w:name w:val="标题 1 Char"/>
    <w:link w:val="5"/>
    <w:qFormat/>
    <w:uiPriority w:val="9"/>
    <w:rPr>
      <w:rFonts w:ascii="仿宋_GB2312" w:hAnsi="Calibri" w:eastAsia="仿宋_GB2312"/>
      <w:b/>
      <w:kern w:val="2"/>
      <w:sz w:val="44"/>
      <w:szCs w:val="22"/>
    </w:rPr>
  </w:style>
  <w:style w:type="paragraph" w:customStyle="1" w:styleId="49">
    <w:name w:val="表格文字"/>
    <w:basedOn w:val="1"/>
    <w:next w:val="3"/>
    <w:qFormat/>
    <w:uiPriority w:val="0"/>
    <w:pPr>
      <w:adjustRightInd w:val="0"/>
      <w:spacing w:line="420" w:lineRule="atLeast"/>
      <w:textAlignment w:val="baseline"/>
    </w:pPr>
    <w:rPr>
      <w:szCs w:val="24"/>
    </w:rPr>
  </w:style>
  <w:style w:type="paragraph" w:customStyle="1" w:styleId="50">
    <w:name w:val="Char Char Char Char Char Char Char Char Char Char Char Char Char Char Char Char"/>
    <w:basedOn w:val="1"/>
    <w:qFormat/>
    <w:uiPriority w:val="0"/>
    <w:pPr>
      <w:tabs>
        <w:tab w:val="left" w:pos="360"/>
      </w:tabs>
    </w:pPr>
    <w:rPr>
      <w:szCs w:val="20"/>
    </w:rPr>
  </w:style>
  <w:style w:type="paragraph" w:customStyle="1" w:styleId="51">
    <w:name w:val="表内文字"/>
    <w:basedOn w:val="1"/>
    <w:qFormat/>
    <w:uiPriority w:val="0"/>
    <w:pPr>
      <w:jc w:val="center"/>
    </w:pPr>
    <w:rPr>
      <w:rFonts w:ascii="仿宋_GB2312" w:eastAsia="仿宋_GB2312"/>
      <w:sz w:val="24"/>
    </w:rPr>
  </w:style>
  <w:style w:type="paragraph" w:customStyle="1" w:styleId="52">
    <w:name w:val="纯文本1"/>
    <w:basedOn w:val="1"/>
    <w:qFormat/>
    <w:uiPriority w:val="0"/>
    <w:pPr>
      <w:adjustRightInd w:val="0"/>
      <w:jc w:val="left"/>
      <w:textAlignment w:val="baseline"/>
    </w:pPr>
    <w:rPr>
      <w:rFonts w:ascii="宋体" w:hAnsi="Courier New"/>
      <w:sz w:val="24"/>
      <w:szCs w:val="20"/>
    </w:rPr>
  </w:style>
  <w:style w:type="paragraph" w:customStyle="1" w:styleId="53">
    <w:name w:val="def正文"/>
    <w:basedOn w:val="3"/>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5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5">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56">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57">
    <w:name w:val="font8"/>
    <w:basedOn w:val="1"/>
    <w:qFormat/>
    <w:uiPriority w:val="0"/>
    <w:pPr>
      <w:widowControl/>
      <w:spacing w:before="100" w:beforeAutospacing="1" w:after="100" w:afterAutospacing="1"/>
      <w:jc w:val="left"/>
    </w:pPr>
    <w:rPr>
      <w:kern w:val="0"/>
      <w:sz w:val="20"/>
      <w:szCs w:val="20"/>
    </w:rPr>
  </w:style>
  <w:style w:type="paragraph" w:customStyle="1" w:styleId="58">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59">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60">
    <w:name w:val="font11"/>
    <w:basedOn w:val="1"/>
    <w:qFormat/>
    <w:uiPriority w:val="0"/>
    <w:pPr>
      <w:widowControl/>
      <w:spacing w:before="100" w:beforeAutospacing="1" w:after="100" w:afterAutospacing="1"/>
      <w:jc w:val="left"/>
    </w:pPr>
    <w:rPr>
      <w:b/>
      <w:bCs/>
      <w:i/>
      <w:iCs/>
      <w:kern w:val="0"/>
      <w:sz w:val="24"/>
    </w:rPr>
  </w:style>
  <w:style w:type="paragraph" w:customStyle="1" w:styleId="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6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6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6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6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7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7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7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1">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82">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83">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84">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85">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86">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87">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88">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89">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0">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1">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2">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3">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94">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5">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6">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9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99">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100">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01">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02">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03">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04">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05">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106">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107">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108">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0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10">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11">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12">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1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14">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15">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16">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17">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18">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119">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20">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12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22">
    <w:name w:val="页码1"/>
    <w:basedOn w:val="1"/>
    <w:next w:val="1"/>
    <w:qFormat/>
    <w:uiPriority w:val="0"/>
    <w:pPr>
      <w:widowControl/>
    </w:pPr>
    <w:rPr>
      <w:color w:val="000000"/>
      <w:szCs w:val="20"/>
    </w:rPr>
  </w:style>
  <w:style w:type="paragraph" w:customStyle="1" w:styleId="123">
    <w:name w:val="Char"/>
    <w:basedOn w:val="1"/>
    <w:link w:val="229"/>
    <w:qFormat/>
    <w:uiPriority w:val="0"/>
    <w:rPr>
      <w:rFonts w:ascii="Tahoma" w:hAnsi="Tahoma"/>
      <w:sz w:val="24"/>
      <w:szCs w:val="20"/>
    </w:rPr>
  </w:style>
  <w:style w:type="paragraph" w:customStyle="1" w:styleId="124">
    <w:name w:val="Body Text 21"/>
    <w:basedOn w:val="1"/>
    <w:next w:val="1"/>
    <w:qFormat/>
    <w:uiPriority w:val="0"/>
    <w:pPr>
      <w:widowControl/>
      <w:spacing w:line="300" w:lineRule="auto"/>
      <w:jc w:val="center"/>
    </w:pPr>
    <w:rPr>
      <w:rFonts w:ascii="宋体"/>
      <w:color w:val="000000"/>
      <w:sz w:val="24"/>
      <w:szCs w:val="20"/>
    </w:rPr>
  </w:style>
  <w:style w:type="paragraph" w:customStyle="1" w:styleId="125">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26">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27">
    <w:name w:val="样式1"/>
    <w:basedOn w:val="6"/>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12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29">
    <w:name w:val="样式 标题 3h3H3sect1.2.3 + 五号 段前: 6 磅 段后: 6 磅 行距: 单倍行距"/>
    <w:basedOn w:val="7"/>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3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31">
    <w:name w:val="样式 标题 3Title3h33rd levelH3l3CTlevel_3PIM 33Heading 3 -..."/>
    <w:basedOn w:val="7"/>
    <w:qFormat/>
    <w:uiPriority w:val="0"/>
    <w:pPr>
      <w:spacing w:line="416" w:lineRule="auto"/>
      <w:ind w:firstLine="0" w:firstLineChars="0"/>
    </w:pPr>
    <w:rPr>
      <w:rFonts w:ascii="Times New Roman" w:eastAsia="宋体" w:cs="宋体"/>
      <w:sz w:val="36"/>
    </w:rPr>
  </w:style>
  <w:style w:type="paragraph" w:customStyle="1" w:styleId="132">
    <w:name w:val="样式 标题 4h4H4PIM 4Ref Heading 1rh1Heading sqlsect 1.2.3.4h..."/>
    <w:basedOn w:val="9"/>
    <w:qFormat/>
    <w:uiPriority w:val="0"/>
    <w:pPr>
      <w:widowControl w:val="0"/>
      <w:spacing w:line="376" w:lineRule="auto"/>
    </w:pPr>
    <w:rPr>
      <w:bCs/>
      <w:color w:val="auto"/>
      <w:sz w:val="32"/>
      <w:szCs w:val="28"/>
    </w:rPr>
  </w:style>
  <w:style w:type="paragraph" w:customStyle="1" w:styleId="133">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34">
    <w:name w:val="Char Char Char Char Char Char Char1"/>
    <w:basedOn w:val="1"/>
    <w:qFormat/>
    <w:uiPriority w:val="0"/>
    <w:pPr>
      <w:tabs>
        <w:tab w:val="left" w:pos="432"/>
      </w:tabs>
      <w:ind w:left="432" w:hanging="432"/>
      <w:jc w:val="center"/>
    </w:pPr>
    <w:rPr>
      <w:rFonts w:ascii="仿宋_GB2312" w:hAnsi="Tahoma" w:eastAsia="仿宋_GB2312"/>
      <w:sz w:val="24"/>
    </w:rPr>
  </w:style>
  <w:style w:type="paragraph" w:customStyle="1" w:styleId="135">
    <w:name w:val="Char Char Char"/>
    <w:basedOn w:val="1"/>
    <w:qFormat/>
    <w:uiPriority w:val="0"/>
    <w:rPr>
      <w:rFonts w:ascii="Tahoma" w:hAnsi="Tahoma"/>
      <w:sz w:val="24"/>
      <w:szCs w:val="20"/>
    </w:rPr>
  </w:style>
  <w:style w:type="paragraph" w:customStyle="1" w:styleId="136">
    <w:name w:val="Char Char Char Char"/>
    <w:basedOn w:val="1"/>
    <w:qFormat/>
    <w:uiPriority w:val="0"/>
    <w:pPr>
      <w:adjustRightInd w:val="0"/>
      <w:spacing w:line="360" w:lineRule="auto"/>
    </w:pPr>
    <w:rPr>
      <w:kern w:val="0"/>
      <w:sz w:val="24"/>
      <w:szCs w:val="20"/>
    </w:rPr>
  </w:style>
  <w:style w:type="paragraph" w:customStyle="1" w:styleId="137">
    <w:name w:val="标题2正文"/>
    <w:basedOn w:val="1"/>
    <w:qFormat/>
    <w:uiPriority w:val="0"/>
    <w:pPr>
      <w:spacing w:line="360" w:lineRule="auto"/>
      <w:ind w:firstLine="200" w:firstLineChars="200"/>
      <w:jc w:val="left"/>
    </w:pPr>
    <w:rPr>
      <w:sz w:val="24"/>
    </w:rPr>
  </w:style>
  <w:style w:type="paragraph" w:customStyle="1" w:styleId="138">
    <w:name w:val="标题3正文"/>
    <w:basedOn w:val="1"/>
    <w:qFormat/>
    <w:uiPriority w:val="0"/>
    <w:pPr>
      <w:spacing w:line="360" w:lineRule="auto"/>
      <w:ind w:left="200" w:leftChars="200" w:firstLine="200" w:firstLineChars="200"/>
      <w:jc w:val="left"/>
    </w:pPr>
    <w:rPr>
      <w:sz w:val="24"/>
    </w:rPr>
  </w:style>
  <w:style w:type="paragraph" w:customStyle="1" w:styleId="139">
    <w:name w:val="正文2"/>
    <w:basedOn w:val="1"/>
    <w:qFormat/>
    <w:uiPriority w:val="0"/>
    <w:pPr>
      <w:spacing w:before="156" w:line="360" w:lineRule="auto"/>
      <w:ind w:firstLine="510" w:firstLineChars="200"/>
    </w:pPr>
    <w:rPr>
      <w:sz w:val="24"/>
      <w:szCs w:val="20"/>
    </w:rPr>
  </w:style>
  <w:style w:type="paragraph" w:customStyle="1" w:styleId="140">
    <w:name w:val="Char Char Char Char1"/>
    <w:basedOn w:val="1"/>
    <w:qFormat/>
    <w:uiPriority w:val="0"/>
    <w:rPr>
      <w:rFonts w:ascii="Tahoma" w:hAnsi="Tahoma"/>
      <w:sz w:val="24"/>
      <w:szCs w:val="20"/>
    </w:rPr>
  </w:style>
  <w:style w:type="paragraph" w:customStyle="1" w:styleId="141">
    <w:name w:val="Char Char Char Char Char Char Char Char Char Char"/>
    <w:basedOn w:val="17"/>
    <w:qFormat/>
    <w:uiPriority w:val="0"/>
    <w:rPr>
      <w:szCs w:val="20"/>
    </w:rPr>
  </w:style>
  <w:style w:type="paragraph" w:customStyle="1" w:styleId="142">
    <w:name w:val="样式 仿宋_GB2312 小四 加粗 行距: 1.5 倍行距"/>
    <w:basedOn w:val="6"/>
    <w:next w:val="6"/>
    <w:qFormat/>
    <w:uiPriority w:val="0"/>
    <w:pPr>
      <w:keepLines/>
      <w:adjustRightInd/>
      <w:snapToGrid/>
      <w:spacing w:before="260" w:after="260"/>
      <w:jc w:val="both"/>
      <w:textAlignment w:val="auto"/>
    </w:pPr>
    <w:rPr>
      <w:rFonts w:hAnsi="Arial" w:eastAsia="黑体" w:cs="宋体"/>
      <w:kern w:val="2"/>
      <w:sz w:val="28"/>
    </w:rPr>
  </w:style>
  <w:style w:type="paragraph" w:customStyle="1" w:styleId="143">
    <w:name w:val="默认段落字体 Para Char"/>
    <w:basedOn w:val="1"/>
    <w:qFormat/>
    <w:uiPriority w:val="0"/>
    <w:rPr>
      <w:rFonts w:ascii="Tahoma" w:hAnsi="Tahoma"/>
      <w:sz w:val="24"/>
      <w:szCs w:val="20"/>
    </w:rPr>
  </w:style>
  <w:style w:type="paragraph" w:customStyle="1" w:styleId="144">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145">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46">
    <w:name w:val="样式 标题 3列表编号3h33rd level + 段前: 1 行"/>
    <w:basedOn w:val="7"/>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47">
    <w:name w:val="1 Char Char Char Char"/>
    <w:basedOn w:val="1"/>
    <w:qFormat/>
    <w:uiPriority w:val="0"/>
    <w:pPr>
      <w:jc w:val="center"/>
    </w:pPr>
    <w:rPr>
      <w:rFonts w:ascii="Tahoma" w:hAnsi="Tahoma"/>
      <w:sz w:val="24"/>
      <w:szCs w:val="20"/>
    </w:rPr>
  </w:style>
  <w:style w:type="paragraph" w:customStyle="1" w:styleId="148">
    <w:name w:val="默认段落字体 Para Char Char Char Char Char Char Char Char Char Char Char Char Char"/>
    <w:basedOn w:val="17"/>
    <w:qFormat/>
    <w:uiPriority w:val="0"/>
    <w:pPr>
      <w:shd w:val="clear" w:color="auto" w:fill="auto"/>
      <w:spacing w:line="300" w:lineRule="auto"/>
      <w:ind w:left="840" w:leftChars="400"/>
    </w:pPr>
  </w:style>
  <w:style w:type="paragraph" w:customStyle="1" w:styleId="149">
    <w:name w:val="普通(网站)_0"/>
    <w:basedOn w:val="150"/>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5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Char_0"/>
    <w:basedOn w:val="150"/>
    <w:link w:val="236"/>
    <w:qFormat/>
    <w:uiPriority w:val="0"/>
    <w:rPr>
      <w:rFonts w:ascii="Tahoma" w:hAnsi="Tahoma"/>
      <w:sz w:val="24"/>
      <w:szCs w:val="20"/>
    </w:rPr>
  </w:style>
  <w:style w:type="paragraph" w:customStyle="1" w:styleId="152">
    <w:name w:val="标题 3_0"/>
    <w:basedOn w:val="153"/>
    <w:next w:val="154"/>
    <w:link w:val="238"/>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15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正文缩进_0"/>
    <w:basedOn w:val="153"/>
    <w:link w:val="237"/>
    <w:unhideWhenUsed/>
    <w:qFormat/>
    <w:uiPriority w:val="0"/>
    <w:pPr>
      <w:ind w:firstLine="420"/>
    </w:pPr>
    <w:rPr>
      <w:szCs w:val="20"/>
    </w:rPr>
  </w:style>
  <w:style w:type="paragraph" w:customStyle="1" w:styleId="155">
    <w:name w:val="正文文本缩进 2_0"/>
    <w:basedOn w:val="153"/>
    <w:link w:val="239"/>
    <w:unhideWhenUsed/>
    <w:qFormat/>
    <w:uiPriority w:val="0"/>
    <w:pPr>
      <w:snapToGrid w:val="0"/>
      <w:spacing w:line="400" w:lineRule="exact"/>
      <w:ind w:firstLine="480"/>
    </w:pPr>
    <w:rPr>
      <w:rFonts w:eastAsia="仿宋_GB2312"/>
      <w:sz w:val="24"/>
      <w:szCs w:val="22"/>
    </w:rPr>
  </w:style>
  <w:style w:type="paragraph" w:customStyle="1" w:styleId="156">
    <w:name w:val="普通(网站)_1"/>
    <w:basedOn w:val="153"/>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5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正文1"/>
    <w:qFormat/>
    <w:uiPriority w:val="0"/>
    <w:rPr>
      <w:rFonts w:ascii="Times New Roman" w:hAnsi="Times New Roman" w:eastAsia="Times New Roman" w:cs="Times New Roman"/>
      <w:sz w:val="24"/>
      <w:szCs w:val="24"/>
      <w:lang w:val="en-US" w:eastAsia="zh-CN" w:bidi="ar-SA"/>
    </w:rPr>
  </w:style>
  <w:style w:type="paragraph" w:customStyle="1" w:styleId="159">
    <w:name w:val="Normal_0"/>
    <w:qFormat/>
    <w:uiPriority w:val="0"/>
    <w:rPr>
      <w:rFonts w:ascii="黑体" w:hAnsi="黑体" w:eastAsia="黑体" w:cs="Times New Roman"/>
      <w:b/>
      <w:sz w:val="32"/>
      <w:szCs w:val="24"/>
      <w:lang w:val="en-US" w:eastAsia="zh-CN" w:bidi="ar-SA"/>
    </w:rPr>
  </w:style>
  <w:style w:type="paragraph" w:customStyle="1" w:styleId="160">
    <w:name w:val="普通(网站)_2"/>
    <w:basedOn w:val="16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6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Normal_1"/>
    <w:qFormat/>
    <w:uiPriority w:val="0"/>
    <w:rPr>
      <w:rFonts w:ascii="黑体" w:hAnsi="黑体" w:eastAsia="黑体" w:cs="Times New Roman"/>
      <w:b/>
      <w:sz w:val="32"/>
      <w:szCs w:val="24"/>
      <w:lang w:val="en-US" w:eastAsia="zh-CN" w:bidi="ar-SA"/>
    </w:rPr>
  </w:style>
  <w:style w:type="paragraph" w:customStyle="1" w:styleId="16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4">
    <w:name w:val="纯文本_0"/>
    <w:basedOn w:val="163"/>
    <w:link w:val="240"/>
    <w:unhideWhenUsed/>
    <w:qFormat/>
    <w:uiPriority w:val="0"/>
    <w:rPr>
      <w:rFonts w:ascii="宋体" w:hAnsi="Courier New"/>
      <w:kern w:val="0"/>
      <w:sz w:val="20"/>
      <w:szCs w:val="20"/>
    </w:rPr>
  </w:style>
  <w:style w:type="paragraph" w:customStyle="1" w:styleId="165">
    <w:name w:val="Normal_2"/>
    <w:qFormat/>
    <w:uiPriority w:val="0"/>
    <w:rPr>
      <w:rFonts w:ascii="黑体" w:hAnsi="黑体" w:eastAsia="黑体" w:cs="Times New Roman"/>
      <w:b/>
      <w:sz w:val="32"/>
      <w:szCs w:val="24"/>
      <w:lang w:val="en-US" w:eastAsia="zh-CN" w:bidi="ar-SA"/>
    </w:rPr>
  </w:style>
  <w:style w:type="paragraph" w:customStyle="1" w:styleId="16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Normal_3"/>
    <w:qFormat/>
    <w:uiPriority w:val="0"/>
    <w:rPr>
      <w:rFonts w:ascii="黑体" w:hAnsi="黑体" w:eastAsia="黑体" w:cs="Times New Roman"/>
      <w:b/>
      <w:sz w:val="32"/>
      <w:szCs w:val="24"/>
      <w:lang w:val="en-US" w:eastAsia="zh-CN" w:bidi="ar-SA"/>
    </w:rPr>
  </w:style>
  <w:style w:type="paragraph" w:customStyle="1" w:styleId="168">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Normal_4"/>
    <w:qFormat/>
    <w:uiPriority w:val="0"/>
    <w:rPr>
      <w:rFonts w:ascii="黑体" w:hAnsi="黑体" w:eastAsia="黑体" w:cs="Times New Roman"/>
      <w:b/>
      <w:sz w:val="32"/>
      <w:szCs w:val="24"/>
      <w:lang w:val="en-US" w:eastAsia="zh-CN" w:bidi="ar-SA"/>
    </w:rPr>
  </w:style>
  <w:style w:type="paragraph" w:customStyle="1" w:styleId="17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纯文本_1"/>
    <w:basedOn w:val="170"/>
    <w:link w:val="241"/>
    <w:qFormat/>
    <w:uiPriority w:val="0"/>
    <w:rPr>
      <w:rFonts w:ascii="宋体" w:hAnsi="Courier New"/>
      <w:szCs w:val="20"/>
    </w:rPr>
  </w:style>
  <w:style w:type="paragraph" w:customStyle="1" w:styleId="172">
    <w:name w:val="Normal_5"/>
    <w:qFormat/>
    <w:uiPriority w:val="0"/>
    <w:rPr>
      <w:rFonts w:ascii="黑体" w:hAnsi="黑体" w:eastAsia="黑体" w:cs="Times New Roman"/>
      <w:b/>
      <w:sz w:val="32"/>
      <w:szCs w:val="24"/>
      <w:lang w:val="en-US" w:eastAsia="zh-CN" w:bidi="ar-SA"/>
    </w:rPr>
  </w:style>
  <w:style w:type="paragraph" w:customStyle="1" w:styleId="17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Normal_6"/>
    <w:qFormat/>
    <w:uiPriority w:val="0"/>
    <w:rPr>
      <w:rFonts w:ascii="黑体" w:hAnsi="黑体" w:eastAsia="黑体" w:cs="Times New Roman"/>
      <w:b/>
      <w:sz w:val="32"/>
      <w:szCs w:val="24"/>
      <w:lang w:val="en-US" w:eastAsia="zh-CN" w:bidi="ar-SA"/>
    </w:rPr>
  </w:style>
  <w:style w:type="paragraph" w:customStyle="1" w:styleId="175">
    <w:name w:val="纯文本_3"/>
    <w:basedOn w:val="176"/>
    <w:link w:val="242"/>
    <w:qFormat/>
    <w:uiPriority w:val="0"/>
    <w:rPr>
      <w:rFonts w:ascii="宋体" w:hAnsi="Courier New"/>
      <w:szCs w:val="20"/>
    </w:rPr>
  </w:style>
  <w:style w:type="paragraph" w:customStyle="1" w:styleId="17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Normal_7"/>
    <w:qFormat/>
    <w:uiPriority w:val="0"/>
    <w:rPr>
      <w:rFonts w:ascii="黑体" w:hAnsi="黑体" w:eastAsia="黑体" w:cs="Times New Roman"/>
      <w:b/>
      <w:sz w:val="32"/>
      <w:szCs w:val="24"/>
      <w:lang w:val="en-US" w:eastAsia="zh-CN" w:bidi="ar-SA"/>
    </w:rPr>
  </w:style>
  <w:style w:type="paragraph" w:customStyle="1" w:styleId="178">
    <w:name w:val="纯文本_5"/>
    <w:basedOn w:val="179"/>
    <w:link w:val="243"/>
    <w:qFormat/>
    <w:uiPriority w:val="0"/>
    <w:rPr>
      <w:rFonts w:ascii="宋体" w:hAnsi="Courier New"/>
      <w:szCs w:val="20"/>
    </w:rPr>
  </w:style>
  <w:style w:type="paragraph" w:customStyle="1" w:styleId="179">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Normal_8"/>
    <w:qFormat/>
    <w:uiPriority w:val="0"/>
    <w:rPr>
      <w:rFonts w:ascii="黑体" w:hAnsi="黑体" w:eastAsia="黑体" w:cs="Times New Roman"/>
      <w:b/>
      <w:sz w:val="32"/>
      <w:szCs w:val="24"/>
      <w:lang w:val="en-US" w:eastAsia="zh-CN" w:bidi="ar-SA"/>
    </w:rPr>
  </w:style>
  <w:style w:type="paragraph" w:customStyle="1" w:styleId="18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Normal_9"/>
    <w:qFormat/>
    <w:uiPriority w:val="0"/>
    <w:rPr>
      <w:rFonts w:ascii="黑体" w:hAnsi="黑体" w:eastAsia="黑体" w:cs="Times New Roman"/>
      <w:b/>
      <w:sz w:val="32"/>
      <w:szCs w:val="24"/>
      <w:lang w:val="en-US" w:eastAsia="zh-CN" w:bidi="ar-SA"/>
    </w:rPr>
  </w:style>
  <w:style w:type="paragraph" w:customStyle="1" w:styleId="183">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纯文本_4_0"/>
    <w:basedOn w:val="185"/>
    <w:link w:val="244"/>
    <w:qFormat/>
    <w:uiPriority w:val="0"/>
    <w:rPr>
      <w:rFonts w:ascii="宋体" w:hAnsi="Courier New"/>
      <w:szCs w:val="20"/>
    </w:rPr>
  </w:style>
  <w:style w:type="paragraph" w:customStyle="1" w:styleId="185">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_10"/>
    <w:qFormat/>
    <w:uiPriority w:val="0"/>
    <w:rPr>
      <w:rFonts w:ascii="黑体" w:hAnsi="黑体" w:eastAsia="黑体" w:cs="Times New Roman"/>
      <w:b/>
      <w:sz w:val="32"/>
      <w:szCs w:val="24"/>
      <w:lang w:val="en-US" w:eastAsia="zh-CN" w:bidi="ar-SA"/>
    </w:rPr>
  </w:style>
  <w:style w:type="paragraph" w:customStyle="1" w:styleId="187">
    <w:name w:val="纯文本_6_0"/>
    <w:basedOn w:val="188"/>
    <w:qFormat/>
    <w:uiPriority w:val="0"/>
    <w:rPr>
      <w:rFonts w:ascii="宋体" w:hAnsi="Courier New"/>
      <w:szCs w:val="20"/>
    </w:rPr>
  </w:style>
  <w:style w:type="paragraph" w:customStyle="1" w:styleId="18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9">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0">
    <w:name w:val="纯文本_4_1"/>
    <w:basedOn w:val="188"/>
    <w:link w:val="245"/>
    <w:qFormat/>
    <w:uiPriority w:val="0"/>
    <w:rPr>
      <w:rFonts w:ascii="宋体" w:hAnsi="Courier New"/>
      <w:szCs w:val="20"/>
    </w:rPr>
  </w:style>
  <w:style w:type="paragraph" w:customStyle="1" w:styleId="191">
    <w:name w:val="Normal_11"/>
    <w:qFormat/>
    <w:uiPriority w:val="0"/>
    <w:rPr>
      <w:rFonts w:ascii="黑体" w:hAnsi="黑体" w:eastAsia="黑体" w:cs="Times New Roman"/>
      <w:b/>
      <w:sz w:val="32"/>
      <w:szCs w:val="24"/>
      <w:lang w:val="en-US" w:eastAsia="zh-CN" w:bidi="ar-SA"/>
    </w:rPr>
  </w:style>
  <w:style w:type="paragraph" w:customStyle="1" w:styleId="192">
    <w:name w:val="正文_8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纯文本_6_1"/>
    <w:basedOn w:val="193"/>
    <w:link w:val="246"/>
    <w:qFormat/>
    <w:uiPriority w:val="0"/>
    <w:rPr>
      <w:rFonts w:ascii="宋体" w:hAnsi="Courier New"/>
      <w:szCs w:val="20"/>
    </w:rPr>
  </w:style>
  <w:style w:type="paragraph" w:customStyle="1" w:styleId="195">
    <w:name w:val="纯文本_6"/>
    <w:basedOn w:val="196"/>
    <w:link w:val="247"/>
    <w:qFormat/>
    <w:uiPriority w:val="0"/>
    <w:rPr>
      <w:rFonts w:ascii="宋体" w:hAnsi="Courier New"/>
      <w:kern w:val="0"/>
      <w:sz w:val="20"/>
      <w:szCs w:val="20"/>
    </w:rPr>
  </w:style>
  <w:style w:type="paragraph" w:customStyle="1" w:styleId="19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7">
    <w:name w:val="纯文本_4_2"/>
    <w:basedOn w:val="196"/>
    <w:link w:val="248"/>
    <w:qFormat/>
    <w:uiPriority w:val="0"/>
    <w:rPr>
      <w:rFonts w:ascii="宋体" w:hAnsi="Courier New"/>
      <w:szCs w:val="20"/>
    </w:rPr>
  </w:style>
  <w:style w:type="paragraph" w:customStyle="1" w:styleId="198">
    <w:name w:val="Normal_12"/>
    <w:qFormat/>
    <w:uiPriority w:val="0"/>
    <w:rPr>
      <w:rFonts w:ascii="黑体" w:hAnsi="黑体" w:eastAsia="黑体" w:cs="Times New Roman"/>
      <w:b/>
      <w:sz w:val="32"/>
      <w:szCs w:val="24"/>
      <w:lang w:val="en-US" w:eastAsia="zh-CN" w:bidi="ar-SA"/>
    </w:rPr>
  </w:style>
  <w:style w:type="paragraph" w:customStyle="1" w:styleId="199">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0">
    <w:name w:val="Normal_13"/>
    <w:qFormat/>
    <w:uiPriority w:val="0"/>
    <w:rPr>
      <w:rFonts w:ascii="黑体" w:hAnsi="黑体" w:eastAsia="黑体" w:cs="Times New Roman"/>
      <w:b/>
      <w:sz w:val="32"/>
      <w:szCs w:val="24"/>
      <w:lang w:val="en-US" w:eastAsia="zh-CN" w:bidi="ar-SA"/>
    </w:rPr>
  </w:style>
  <w:style w:type="paragraph" w:customStyle="1" w:styleId="201">
    <w:name w:val="纯文本_5_0"/>
    <w:basedOn w:val="202"/>
    <w:link w:val="249"/>
    <w:qFormat/>
    <w:uiPriority w:val="0"/>
    <w:rPr>
      <w:rFonts w:ascii="宋体" w:hAnsi="Courier New"/>
      <w:szCs w:val="20"/>
    </w:rPr>
  </w:style>
  <w:style w:type="paragraph" w:customStyle="1" w:styleId="202">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Normal_15"/>
    <w:qFormat/>
    <w:uiPriority w:val="0"/>
    <w:rPr>
      <w:rFonts w:ascii="黑体" w:hAnsi="黑体" w:eastAsia="黑体" w:cs="Times New Roman"/>
      <w:b/>
      <w:sz w:val="32"/>
      <w:szCs w:val="24"/>
      <w:lang w:val="en-US" w:eastAsia="zh-CN" w:bidi="ar-SA"/>
    </w:rPr>
  </w:style>
  <w:style w:type="paragraph" w:customStyle="1" w:styleId="204">
    <w:name w:val="普通(网站)_0_0"/>
    <w:basedOn w:val="205"/>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05">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Normal_16"/>
    <w:qFormat/>
    <w:uiPriority w:val="0"/>
    <w:rPr>
      <w:rFonts w:ascii="黑体" w:hAnsi="黑体" w:eastAsia="黑体" w:cs="Times New Roman"/>
      <w:b/>
      <w:sz w:val="32"/>
      <w:szCs w:val="24"/>
      <w:lang w:val="en-US" w:eastAsia="zh-CN" w:bidi="ar-SA"/>
    </w:rPr>
  </w:style>
  <w:style w:type="paragraph" w:customStyle="1" w:styleId="207">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纯文本_4_3"/>
    <w:basedOn w:val="210"/>
    <w:link w:val="250"/>
    <w:qFormat/>
    <w:uiPriority w:val="0"/>
    <w:rPr>
      <w:rFonts w:ascii="宋体" w:hAnsi="Courier New"/>
      <w:szCs w:val="20"/>
    </w:rPr>
  </w:style>
  <w:style w:type="paragraph" w:customStyle="1" w:styleId="210">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Normal_17"/>
    <w:qFormat/>
    <w:uiPriority w:val="0"/>
    <w:rPr>
      <w:rFonts w:ascii="黑体" w:hAnsi="黑体" w:eastAsia="黑体" w:cs="Times New Roman"/>
      <w:b/>
      <w:sz w:val="32"/>
      <w:szCs w:val="24"/>
      <w:lang w:val="en-US" w:eastAsia="zh-CN" w:bidi="ar-SA"/>
    </w:rPr>
  </w:style>
  <w:style w:type="paragraph" w:customStyle="1" w:styleId="21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Normal_18"/>
    <w:qFormat/>
    <w:uiPriority w:val="0"/>
    <w:rPr>
      <w:rFonts w:ascii="黑体" w:hAnsi="黑体" w:eastAsia="黑体" w:cs="Times New Roman"/>
      <w:b/>
      <w:sz w:val="32"/>
      <w:szCs w:val="24"/>
      <w:lang w:val="en-US" w:eastAsia="zh-CN" w:bidi="ar-SA"/>
    </w:rPr>
  </w:style>
  <w:style w:type="paragraph" w:customStyle="1" w:styleId="214">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Normal_19"/>
    <w:qFormat/>
    <w:uiPriority w:val="0"/>
    <w:rPr>
      <w:rFonts w:ascii="黑体" w:hAnsi="黑体" w:eastAsia="黑体" w:cs="Times New Roman"/>
      <w:b/>
      <w:sz w:val="32"/>
      <w:szCs w:val="24"/>
      <w:lang w:val="en-US" w:eastAsia="zh-CN" w:bidi="ar-SA"/>
    </w:rPr>
  </w:style>
  <w:style w:type="paragraph" w:customStyle="1" w:styleId="216">
    <w:name w:val="普通(网站)_1_0"/>
    <w:basedOn w:val="217"/>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17">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Normal_20"/>
    <w:qFormat/>
    <w:uiPriority w:val="0"/>
    <w:rPr>
      <w:rFonts w:ascii="黑体" w:hAnsi="黑体" w:eastAsia="黑体" w:cs="Times New Roman"/>
      <w:b/>
      <w:sz w:val="32"/>
      <w:szCs w:val="24"/>
      <w:lang w:val="en-US" w:eastAsia="zh-CN" w:bidi="ar-SA"/>
    </w:rPr>
  </w:style>
  <w:style w:type="paragraph" w:customStyle="1" w:styleId="21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0">
    <w:name w:val="Normal_21"/>
    <w:qFormat/>
    <w:uiPriority w:val="0"/>
    <w:rPr>
      <w:rFonts w:ascii="黑体" w:hAnsi="黑体" w:eastAsia="黑体" w:cs="Times New Roman"/>
      <w:b/>
      <w:sz w:val="32"/>
      <w:szCs w:val="24"/>
      <w:lang w:val="en-US" w:eastAsia="zh-CN" w:bidi="ar-SA"/>
    </w:rPr>
  </w:style>
  <w:style w:type="paragraph" w:customStyle="1" w:styleId="221">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222">
    <w:name w:val="纯文本_0_0"/>
    <w:basedOn w:val="166"/>
    <w:link w:val="251"/>
    <w:qFormat/>
    <w:uiPriority w:val="0"/>
    <w:rPr>
      <w:rFonts w:ascii="宋体" w:hAnsi="Courier New"/>
      <w:szCs w:val="21"/>
    </w:rPr>
  </w:style>
  <w:style w:type="paragraph" w:customStyle="1" w:styleId="223">
    <w:name w:val="_Style 218"/>
    <w:basedOn w:val="5"/>
    <w:next w:val="1"/>
    <w:unhideWhenUsed/>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24">
    <w:name w:val="样式 标题 31.1.1标题 333rd levelBOD 0Bold HeadCTH3H31Heading ..."/>
    <w:basedOn w:val="9"/>
    <w:qFormat/>
    <w:uiPriority w:val="0"/>
    <w:pPr>
      <w:spacing w:before="0" w:after="0"/>
    </w:pPr>
    <w:rPr>
      <w:rFonts w:cs="宋体"/>
    </w:rPr>
  </w:style>
  <w:style w:type="paragraph" w:customStyle="1" w:styleId="225">
    <w:name w:val="样式 标题 31.1.1标题 333rd levelBOD 0Bold HeadCTH3H31Heading ...1"/>
    <w:basedOn w:val="7"/>
    <w:qFormat/>
    <w:uiPriority w:val="0"/>
    <w:pPr>
      <w:spacing w:before="0" w:after="0"/>
      <w:ind w:firstLine="0" w:firstLineChars="0"/>
    </w:pPr>
    <w:rPr>
      <w:rFonts w:hAnsi="宋体" w:cs="宋体"/>
      <w:sz w:val="24"/>
    </w:rPr>
  </w:style>
  <w:style w:type="paragraph" w:styleId="226">
    <w:name w:val="List Paragraph"/>
    <w:basedOn w:val="1"/>
    <w:link w:val="255"/>
    <w:qFormat/>
    <w:uiPriority w:val="0"/>
    <w:pPr>
      <w:ind w:firstLine="420" w:firstLineChars="200"/>
    </w:pPr>
    <w:rPr>
      <w:kern w:val="0"/>
      <w:sz w:val="20"/>
      <w:szCs w:val="20"/>
    </w:rPr>
  </w:style>
  <w:style w:type="character" w:customStyle="1" w:styleId="227">
    <w:name w:val="正文缩进 Char"/>
    <w:link w:val="8"/>
    <w:qFormat/>
    <w:uiPriority w:val="0"/>
    <w:rPr>
      <w:rFonts w:eastAsia="宋体"/>
      <w:kern w:val="2"/>
      <w:sz w:val="21"/>
      <w:lang w:val="en-US" w:eastAsia="zh-CN" w:bidi="ar-SA"/>
    </w:rPr>
  </w:style>
  <w:style w:type="character" w:customStyle="1" w:styleId="228">
    <w:name w:val="纯文本 Char"/>
    <w:link w:val="23"/>
    <w:qFormat/>
    <w:uiPriority w:val="0"/>
    <w:rPr>
      <w:rFonts w:ascii="宋体" w:hAnsi="Courier New" w:eastAsia="宋体"/>
      <w:kern w:val="2"/>
      <w:sz w:val="21"/>
      <w:lang w:val="en-US" w:eastAsia="zh-CN" w:bidi="ar-SA"/>
    </w:rPr>
  </w:style>
  <w:style w:type="character" w:customStyle="1" w:styleId="229">
    <w:name w:val="Char Char1"/>
    <w:link w:val="123"/>
    <w:qFormat/>
    <w:uiPriority w:val="0"/>
    <w:rPr>
      <w:rFonts w:ascii="Tahoma" w:hAnsi="Tahoma" w:eastAsia="宋体"/>
      <w:kern w:val="2"/>
      <w:sz w:val="24"/>
      <w:lang w:val="en-US" w:eastAsia="zh-CN" w:bidi="ar-SA"/>
    </w:rPr>
  </w:style>
  <w:style w:type="character" w:customStyle="1" w:styleId="230">
    <w:name w:val="htd0"/>
    <w:basedOn w:val="43"/>
    <w:qFormat/>
    <w:uiPriority w:val="0"/>
  </w:style>
  <w:style w:type="character" w:customStyle="1" w:styleId="231">
    <w:name w:val="textfont1"/>
    <w:basedOn w:val="43"/>
    <w:qFormat/>
    <w:uiPriority w:val="0"/>
  </w:style>
  <w:style w:type="character" w:customStyle="1" w:styleId="232">
    <w:name w:val="批注框文本 Char"/>
    <w:link w:val="27"/>
    <w:qFormat/>
    <w:uiPriority w:val="0"/>
    <w:rPr>
      <w:kern w:val="2"/>
      <w:sz w:val="18"/>
      <w:szCs w:val="18"/>
    </w:rPr>
  </w:style>
  <w:style w:type="character" w:customStyle="1" w:styleId="233">
    <w:name w:val="页眉 Char"/>
    <w:link w:val="29"/>
    <w:qFormat/>
    <w:uiPriority w:val="99"/>
    <w:rPr>
      <w:sz w:val="18"/>
    </w:rPr>
  </w:style>
  <w:style w:type="character" w:customStyle="1" w:styleId="234">
    <w:name w:val="页脚 Char"/>
    <w:link w:val="28"/>
    <w:qFormat/>
    <w:uiPriority w:val="99"/>
    <w:rPr>
      <w:kern w:val="2"/>
      <w:sz w:val="18"/>
      <w:szCs w:val="18"/>
    </w:rPr>
  </w:style>
  <w:style w:type="character" w:customStyle="1" w:styleId="235">
    <w:name w:val="apple-converted-space"/>
    <w:qFormat/>
    <w:uiPriority w:val="0"/>
  </w:style>
  <w:style w:type="character" w:customStyle="1" w:styleId="236">
    <w:name w:val="Char Char1_0"/>
    <w:link w:val="151"/>
    <w:qFormat/>
    <w:uiPriority w:val="0"/>
    <w:rPr>
      <w:rFonts w:ascii="Tahoma" w:hAnsi="Tahoma"/>
      <w:kern w:val="2"/>
      <w:sz w:val="24"/>
    </w:rPr>
  </w:style>
  <w:style w:type="character" w:customStyle="1" w:styleId="237">
    <w:name w:val="正文缩进 Char_0"/>
    <w:link w:val="154"/>
    <w:qFormat/>
    <w:locked/>
    <w:uiPriority w:val="0"/>
    <w:rPr>
      <w:kern w:val="2"/>
      <w:sz w:val="21"/>
    </w:rPr>
  </w:style>
  <w:style w:type="character" w:customStyle="1" w:styleId="238">
    <w:name w:val="标题 3 Char_0"/>
    <w:link w:val="152"/>
    <w:semiHidden/>
    <w:qFormat/>
    <w:uiPriority w:val="0"/>
    <w:rPr>
      <w:rFonts w:ascii="仿宋_GB2312" w:eastAsia="仿宋_GB2312"/>
      <w:b/>
      <w:bCs/>
      <w:kern w:val="2"/>
      <w:sz w:val="30"/>
    </w:rPr>
  </w:style>
  <w:style w:type="character" w:customStyle="1" w:styleId="239">
    <w:name w:val="正文文本缩进 2 Char"/>
    <w:link w:val="155"/>
    <w:semiHidden/>
    <w:qFormat/>
    <w:uiPriority w:val="0"/>
    <w:rPr>
      <w:rFonts w:eastAsia="仿宋_GB2312"/>
      <w:kern w:val="2"/>
      <w:sz w:val="24"/>
      <w:szCs w:val="22"/>
    </w:rPr>
  </w:style>
  <w:style w:type="character" w:customStyle="1" w:styleId="240">
    <w:name w:val="纯文本 Char1_0"/>
    <w:link w:val="164"/>
    <w:qFormat/>
    <w:locked/>
    <w:uiPriority w:val="0"/>
    <w:rPr>
      <w:rFonts w:ascii="宋体" w:hAnsi="Courier New"/>
    </w:rPr>
  </w:style>
  <w:style w:type="character" w:customStyle="1" w:styleId="241">
    <w:name w:val="纯文本 Char1_1"/>
    <w:link w:val="171"/>
    <w:qFormat/>
    <w:uiPriority w:val="0"/>
    <w:rPr>
      <w:rFonts w:ascii="宋体" w:hAnsi="Courier New"/>
      <w:kern w:val="2"/>
      <w:sz w:val="21"/>
    </w:rPr>
  </w:style>
  <w:style w:type="character" w:customStyle="1" w:styleId="242">
    <w:name w:val="纯文本 Char1_3"/>
    <w:link w:val="175"/>
    <w:qFormat/>
    <w:uiPriority w:val="0"/>
    <w:rPr>
      <w:rFonts w:ascii="宋体" w:hAnsi="Courier New"/>
      <w:kern w:val="2"/>
      <w:sz w:val="21"/>
    </w:rPr>
  </w:style>
  <w:style w:type="character" w:customStyle="1" w:styleId="243">
    <w:name w:val="普通文字 Char Char1_2"/>
    <w:link w:val="178"/>
    <w:qFormat/>
    <w:uiPriority w:val="0"/>
    <w:rPr>
      <w:rFonts w:ascii="宋体" w:hAnsi="Courier New"/>
      <w:kern w:val="2"/>
      <w:sz w:val="21"/>
    </w:rPr>
  </w:style>
  <w:style w:type="character" w:customStyle="1" w:styleId="244">
    <w:name w:val="纯文本 Char1_4_0"/>
    <w:link w:val="184"/>
    <w:qFormat/>
    <w:uiPriority w:val="0"/>
    <w:rPr>
      <w:rFonts w:ascii="宋体" w:hAnsi="Courier New"/>
      <w:kern w:val="2"/>
      <w:sz w:val="21"/>
    </w:rPr>
  </w:style>
  <w:style w:type="character" w:customStyle="1" w:styleId="245">
    <w:name w:val="纯文本 Char1_4_1"/>
    <w:link w:val="190"/>
    <w:qFormat/>
    <w:uiPriority w:val="0"/>
    <w:rPr>
      <w:rFonts w:ascii="宋体" w:hAnsi="Courier New"/>
      <w:kern w:val="2"/>
      <w:sz w:val="21"/>
    </w:rPr>
  </w:style>
  <w:style w:type="character" w:customStyle="1" w:styleId="246">
    <w:name w:val="纯文本 Char_0_0_0"/>
    <w:link w:val="194"/>
    <w:qFormat/>
    <w:uiPriority w:val="0"/>
    <w:rPr>
      <w:rFonts w:ascii="宋体" w:hAnsi="Courier New"/>
      <w:kern w:val="2"/>
      <w:sz w:val="21"/>
    </w:rPr>
  </w:style>
  <w:style w:type="character" w:customStyle="1" w:styleId="247">
    <w:name w:val="纯文本 Char_0_0"/>
    <w:link w:val="195"/>
    <w:qFormat/>
    <w:uiPriority w:val="0"/>
    <w:rPr>
      <w:rFonts w:ascii="宋体" w:hAnsi="Courier New" w:eastAsia="宋体" w:cs="Times New Roman"/>
      <w:szCs w:val="20"/>
      <w:lang w:val="en-US" w:eastAsia="zh-CN"/>
    </w:rPr>
  </w:style>
  <w:style w:type="character" w:customStyle="1" w:styleId="248">
    <w:name w:val="纯文本 Char1_4_2"/>
    <w:link w:val="197"/>
    <w:qFormat/>
    <w:uiPriority w:val="0"/>
    <w:rPr>
      <w:rFonts w:ascii="宋体" w:hAnsi="Courier New"/>
      <w:kern w:val="2"/>
      <w:sz w:val="21"/>
    </w:rPr>
  </w:style>
  <w:style w:type="character" w:customStyle="1" w:styleId="249">
    <w:name w:val="纯文本 Char1_4_3"/>
    <w:link w:val="201"/>
    <w:qFormat/>
    <w:uiPriority w:val="0"/>
    <w:rPr>
      <w:rFonts w:ascii="宋体" w:hAnsi="Courier New"/>
      <w:kern w:val="2"/>
      <w:sz w:val="21"/>
    </w:rPr>
  </w:style>
  <w:style w:type="character" w:customStyle="1" w:styleId="250">
    <w:name w:val="纯文本 Char1_4_4"/>
    <w:link w:val="209"/>
    <w:qFormat/>
    <w:uiPriority w:val="0"/>
    <w:rPr>
      <w:rFonts w:ascii="宋体" w:hAnsi="Courier New"/>
      <w:kern w:val="2"/>
      <w:sz w:val="21"/>
    </w:rPr>
  </w:style>
  <w:style w:type="character" w:customStyle="1" w:styleId="251">
    <w:name w:val="纯文本 Char_0"/>
    <w:link w:val="222"/>
    <w:qFormat/>
    <w:uiPriority w:val="0"/>
    <w:rPr>
      <w:rFonts w:ascii="宋体" w:hAnsi="Courier New"/>
      <w:kern w:val="2"/>
      <w:sz w:val="21"/>
      <w:szCs w:val="21"/>
    </w:rPr>
  </w:style>
  <w:style w:type="character" w:customStyle="1" w:styleId="252">
    <w:name w:val="正文文本 2 Char"/>
    <w:link w:val="36"/>
    <w:qFormat/>
    <w:uiPriority w:val="0"/>
    <w:rPr>
      <w:rFonts w:ascii="仿宋_GB2312" w:hAnsi="Calibri" w:eastAsia="仿宋_GB2312"/>
      <w:kern w:val="2"/>
      <w:sz w:val="24"/>
      <w:szCs w:val="22"/>
    </w:rPr>
  </w:style>
  <w:style w:type="character" w:customStyle="1" w:styleId="253">
    <w:name w:val="标题 9 Char"/>
    <w:link w:val="14"/>
    <w:qFormat/>
    <w:uiPriority w:val="0"/>
    <w:rPr>
      <w:rFonts w:ascii="Arial" w:hAnsi="Arial" w:eastAsia="黑体"/>
      <w:color w:val="000000"/>
      <w:kern w:val="2"/>
      <w:sz w:val="21"/>
    </w:rPr>
  </w:style>
  <w:style w:type="character" w:customStyle="1" w:styleId="254">
    <w:name w:val="标题 Char"/>
    <w:link w:val="38"/>
    <w:qFormat/>
    <w:uiPriority w:val="0"/>
    <w:rPr>
      <w:rFonts w:ascii="Arial" w:hAnsi="Arial" w:cs="Arial"/>
      <w:b/>
      <w:bCs/>
      <w:kern w:val="2"/>
      <w:sz w:val="32"/>
      <w:szCs w:val="32"/>
    </w:rPr>
  </w:style>
  <w:style w:type="character" w:customStyle="1" w:styleId="255">
    <w:name w:val="列出段落 Char"/>
    <w:link w:val="226"/>
    <w:qFormat/>
    <w:uiPriority w:val="0"/>
    <w:rPr>
      <w:rFonts w:ascii="Calibri" w:hAnsi="Calibri"/>
    </w:rPr>
  </w:style>
  <w:style w:type="paragraph" w:customStyle="1" w:styleId="256">
    <w:name w:val="样式2"/>
    <w:basedOn w:val="1"/>
    <w:qFormat/>
    <w:uiPriority w:val="0"/>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kern w:val="0"/>
      <w:szCs w:val="21"/>
      <w:lang w:bidi="he-IL"/>
    </w:rPr>
  </w:style>
  <w:style w:type="paragraph" w:customStyle="1" w:styleId="257">
    <w:name w:val="Char1"/>
    <w:basedOn w:val="1"/>
    <w:qFormat/>
    <w:uiPriority w:val="0"/>
    <w:rPr>
      <w:rFonts w:ascii="Tahoma" w:hAnsi="Tahoma"/>
      <w:sz w:val="24"/>
      <w:szCs w:val="20"/>
    </w:rPr>
  </w:style>
  <w:style w:type="paragraph" w:customStyle="1" w:styleId="258">
    <w:name w:val="缩进正文"/>
    <w:basedOn w:val="1"/>
    <w:qFormat/>
    <w:uiPriority w:val="0"/>
    <w:pPr>
      <w:adjustRightInd w:val="0"/>
      <w:snapToGrid w:val="0"/>
      <w:spacing w:line="360" w:lineRule="auto"/>
      <w:ind w:firstLine="200" w:firstLineChars="200"/>
      <w:jc w:val="left"/>
    </w:pPr>
    <w:rPr>
      <w:rFonts w:ascii="宋体" w:hAnsi="Times New Roman"/>
      <w:snapToGrid w:val="0"/>
      <w:sz w:val="24"/>
      <w:szCs w:val="21"/>
    </w:rPr>
  </w:style>
  <w:style w:type="paragraph" w:customStyle="1" w:styleId="259">
    <w:name w:val="_Style 53"/>
    <w:basedOn w:val="1"/>
    <w:next w:val="1"/>
    <w:qFormat/>
    <w:uiPriority w:val="39"/>
    <w:pPr>
      <w:widowControl/>
      <w:tabs>
        <w:tab w:val="right" w:leader="dot" w:pos="9344"/>
      </w:tabs>
      <w:spacing w:line="460" w:lineRule="exact"/>
      <w:jc w:val="left"/>
    </w:pPr>
    <w:rPr>
      <w:rFonts w:ascii="宋体" w:hAnsi="宋体"/>
      <w:b/>
      <w:bCs/>
      <w:color w:val="000000"/>
      <w:sz w:val="28"/>
      <w:szCs w:val="30"/>
    </w:rPr>
  </w:style>
  <w:style w:type="paragraph" w:customStyle="1" w:styleId="260">
    <w:name w:val="正文3"/>
    <w:qFormat/>
    <w:uiPriority w:val="0"/>
    <w:rPr>
      <w:rFonts w:ascii="Calibri" w:hAnsi="Calibri" w:eastAsia="Times New Roman" w:cs="Times New Roman"/>
      <w:sz w:val="24"/>
      <w:szCs w:val="24"/>
      <w:lang w:val="en-US" w:eastAsia="zh-CN" w:bidi="ar-SA"/>
    </w:rPr>
  </w:style>
  <w:style w:type="paragraph" w:customStyle="1" w:styleId="261">
    <w:name w:val="*正文"/>
    <w:basedOn w:val="1"/>
    <w:qFormat/>
    <w:uiPriority w:val="0"/>
    <w:pPr>
      <w:spacing w:line="360" w:lineRule="auto"/>
      <w:ind w:firstLine="200" w:firstLineChars="200"/>
    </w:pPr>
    <w:rPr>
      <w:rFonts w:ascii="宋体" w:hAnsi="宋体"/>
      <w:sz w:val="24"/>
      <w:szCs w:val="24"/>
    </w:rPr>
  </w:style>
  <w:style w:type="paragraph" w:customStyle="1" w:styleId="262">
    <w:name w:val="_正文段落"/>
    <w:basedOn w:val="1"/>
    <w:qFormat/>
    <w:uiPriority w:val="0"/>
    <w:pPr>
      <w:spacing w:beforeLines="15" w:afterLines="30" w:line="360" w:lineRule="auto"/>
      <w:ind w:firstLine="200" w:firstLineChars="200"/>
    </w:pPr>
    <w:rPr>
      <w:sz w:val="24"/>
    </w:rPr>
  </w:style>
  <w:style w:type="paragraph" w:customStyle="1" w:styleId="263">
    <w:name w:val="正文首行缩进 21"/>
    <w:basedOn w:val="1"/>
    <w:qFormat/>
    <w:uiPriority w:val="0"/>
    <w:pPr>
      <w:ind w:left="420" w:leftChars="200" w:firstLine="420"/>
    </w:pPr>
    <w:rPr>
      <w:rFonts w:ascii="Times New Roman" w:hAnsi="Times New Roman" w:cs="宋体"/>
      <w:color w:val="000000"/>
      <w:szCs w:val="21"/>
    </w:rPr>
  </w:style>
  <w:style w:type="paragraph" w:styleId="264">
    <w:name w:val="No Spacing"/>
    <w:link w:val="265"/>
    <w:qFormat/>
    <w:uiPriority w:val="1"/>
    <w:rPr>
      <w:rFonts w:asciiTheme="minorHAnsi" w:hAnsiTheme="minorHAnsi" w:eastAsiaTheme="minorEastAsia" w:cstheme="minorBidi"/>
      <w:sz w:val="22"/>
      <w:szCs w:val="22"/>
      <w:lang w:val="en-US" w:eastAsia="zh-CN" w:bidi="ar-SA"/>
    </w:rPr>
  </w:style>
  <w:style w:type="character" w:customStyle="1" w:styleId="265">
    <w:name w:val="无间隔 Char"/>
    <w:basedOn w:val="43"/>
    <w:link w:val="264"/>
    <w:qFormat/>
    <w:uiPriority w:val="1"/>
    <w:rPr>
      <w:rFonts w:asciiTheme="minorHAnsi" w:hAnsiTheme="minorHAnsi" w:eastAsiaTheme="minorEastAsia" w:cstheme="minorBidi"/>
      <w:sz w:val="22"/>
      <w:szCs w:val="22"/>
    </w:rPr>
  </w:style>
  <w:style w:type="paragraph" w:customStyle="1" w:styleId="266">
    <w:name w:val="Table Paragraph"/>
    <w:basedOn w:val="1"/>
    <w:qFormat/>
    <w:uiPriority w:val="1"/>
    <w:rPr>
      <w:rFonts w:ascii="宋体" w:hAnsi="宋体" w:eastAsia="宋体" w:cs="宋体"/>
      <w:lang w:val="zh-CN" w:eastAsia="zh-CN" w:bidi="zh-CN"/>
    </w:rPr>
  </w:style>
  <w:style w:type="paragraph" w:customStyle="1" w:styleId="267">
    <w:name w:val="Default"/>
    <w:qFormat/>
    <w:uiPriority w:val="0"/>
    <w:pPr>
      <w:widowControl w:val="0"/>
      <w:autoSpaceDE w:val="0"/>
      <w:autoSpaceDN w:val="0"/>
      <w:adjustRightInd w:val="0"/>
    </w:pPr>
    <w:rPr>
      <w:rFonts w:ascii="华文细黑" w:hAnsi="Calibri" w:eastAsia="华文细黑" w:cs="华文细黑"/>
      <w:color w:val="000000"/>
      <w:sz w:val="24"/>
      <w:szCs w:val="24"/>
      <w:lang w:val="en-US" w:eastAsia="zh-CN" w:bidi="ar-SA"/>
    </w:rPr>
  </w:style>
  <w:style w:type="character" w:customStyle="1" w:styleId="268">
    <w:name w:val="标题 1 Char Char"/>
    <w:qFormat/>
    <w:uiPriority w:val="0"/>
    <w:rPr>
      <w:rFonts w:eastAsia="宋体"/>
      <w:b/>
      <w:spacing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90</Pages>
  <Words>8927</Words>
  <Characters>50887</Characters>
  <Lines>424</Lines>
  <Paragraphs>119</Paragraphs>
  <TotalTime>131</TotalTime>
  <ScaleCrop>false</ScaleCrop>
  <LinksUpToDate>false</LinksUpToDate>
  <CharactersWithSpaces>59695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2019-12-03T02:46:00Z</dcterms:created>
  <dc:creator>微软中国</dc:creator>
  <cp:lastModifiedBy>钟刘俊</cp:lastModifiedBy>
  <cp:lastPrinted>2020-03-23T01:51:00Z</cp:lastPrinted>
  <dcterms:modified xsi:type="dcterms:W3CDTF">2020-07-09T09:09:14Z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