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8F9E0">
      <w:pPr>
        <w:spacing w:line="1200" w:lineRule="exact"/>
        <w:jc w:val="center"/>
        <w:outlineLvl w:val="9"/>
        <w:rPr>
          <w:rFonts w:ascii="宋体" w:hAnsi="宋体"/>
          <w:b/>
          <w:sz w:val="52"/>
          <w:szCs w:val="52"/>
        </w:rPr>
      </w:pPr>
      <w:bookmarkStart w:id="0" w:name="_Toc4114"/>
      <w:r>
        <w:rPr>
          <w:rFonts w:hint="eastAsia" w:ascii="宋体" w:hAnsi="宋体"/>
          <w:b/>
          <w:sz w:val="72"/>
          <w:szCs w:val="72"/>
        </w:rPr>
        <w:t>温馨提醒</w:t>
      </w:r>
      <w:bookmarkEnd w:id="0"/>
    </w:p>
    <w:p w14:paraId="5600ED89">
      <w:pPr>
        <w:numPr>
          <w:ilvl w:val="0"/>
          <w:numId w:val="2"/>
        </w:numPr>
        <w:spacing w:line="360" w:lineRule="auto"/>
        <w:ind w:left="425" w:leftChars="0" w:hanging="425" w:firstLineChars="0"/>
        <w:jc w:val="left"/>
        <w:rPr>
          <w:rFonts w:ascii="宋体" w:hAnsi="宋体"/>
          <w:b w:val="0"/>
          <w:bCs/>
          <w:sz w:val="24"/>
          <w:szCs w:val="24"/>
        </w:rPr>
      </w:pPr>
      <w:r>
        <w:rPr>
          <w:rFonts w:hint="eastAsia" w:ascii="宋体" w:hAnsi="宋体"/>
          <w:b w:val="0"/>
          <w:bCs/>
          <w:sz w:val="24"/>
          <w:szCs w:val="24"/>
        </w:rPr>
        <w:t>投标文件应按招标文件要求将“资格文件</w:t>
      </w:r>
      <w:r>
        <w:rPr>
          <w:rFonts w:hint="eastAsia" w:ascii="宋体" w:hAnsi="宋体"/>
          <w:b w:val="0"/>
          <w:bCs/>
          <w:sz w:val="24"/>
          <w:szCs w:val="24"/>
          <w:lang w:eastAsia="zh-CN"/>
        </w:rPr>
        <w:t>”“</w:t>
      </w:r>
      <w:r>
        <w:rPr>
          <w:rFonts w:hint="eastAsia" w:ascii="宋体" w:hAnsi="宋体"/>
          <w:b w:val="0"/>
          <w:bCs/>
          <w:sz w:val="24"/>
          <w:szCs w:val="24"/>
        </w:rPr>
        <w:t>商务和技术文件</w:t>
      </w:r>
      <w:r>
        <w:rPr>
          <w:rFonts w:hint="eastAsia" w:ascii="宋体" w:hAnsi="宋体"/>
          <w:b w:val="0"/>
          <w:bCs/>
          <w:sz w:val="24"/>
          <w:szCs w:val="24"/>
          <w:lang w:eastAsia="zh-CN"/>
        </w:rPr>
        <w:t>”“</w:t>
      </w:r>
      <w:r>
        <w:rPr>
          <w:rFonts w:hint="eastAsia" w:ascii="宋体" w:hAnsi="宋体"/>
          <w:b w:val="0"/>
          <w:bCs/>
          <w:sz w:val="24"/>
          <w:szCs w:val="24"/>
        </w:rPr>
        <w:t>报价文件”分别编制。</w:t>
      </w:r>
    </w:p>
    <w:p w14:paraId="2BB11942">
      <w:pPr>
        <w:numPr>
          <w:ilvl w:val="0"/>
          <w:numId w:val="2"/>
        </w:numPr>
        <w:spacing w:line="360" w:lineRule="auto"/>
        <w:ind w:left="425" w:leftChars="0" w:hanging="425" w:firstLineChars="0"/>
        <w:jc w:val="left"/>
        <w:rPr>
          <w:rFonts w:ascii="宋体" w:hAnsi="宋体"/>
          <w:b w:val="0"/>
          <w:bCs/>
          <w:sz w:val="24"/>
          <w:szCs w:val="24"/>
        </w:rPr>
      </w:pPr>
      <w:r>
        <w:rPr>
          <w:rFonts w:hint="eastAsia" w:ascii="宋体" w:hAnsi="宋体"/>
          <w:b w:val="0"/>
          <w:bCs/>
          <w:sz w:val="24"/>
          <w:szCs w:val="24"/>
        </w:rPr>
        <w:t>“商务和技术文件”中不得出现涉及投标价格的内容，否则作无效标处理。</w:t>
      </w:r>
    </w:p>
    <w:p w14:paraId="6A856539">
      <w:pPr>
        <w:numPr>
          <w:ilvl w:val="0"/>
          <w:numId w:val="2"/>
        </w:numPr>
        <w:spacing w:line="360" w:lineRule="auto"/>
        <w:ind w:left="425" w:leftChars="0" w:hanging="425" w:firstLineChars="0"/>
        <w:jc w:val="left"/>
        <w:rPr>
          <w:rFonts w:hint="eastAsia" w:ascii="宋体" w:hAnsi="宋体"/>
          <w:b w:val="0"/>
          <w:bCs/>
          <w:sz w:val="24"/>
          <w:szCs w:val="24"/>
        </w:rPr>
      </w:pPr>
      <w:r>
        <w:rPr>
          <w:rFonts w:hint="eastAsia" w:ascii="宋体" w:hAnsi="宋体"/>
          <w:b w:val="0"/>
          <w:bCs/>
          <w:sz w:val="24"/>
          <w:szCs w:val="24"/>
        </w:rPr>
        <w:t>采购人可以对已发出的招标文件进行必要的澄清或者修改，将以“更正公告”的形式发布在政采云平台，供应商应及时登录政采云平台，进行浏览并下载，未及时浏览下载的责任自负。</w:t>
      </w:r>
    </w:p>
    <w:p w14:paraId="32D56DE0">
      <w:pPr>
        <w:pStyle w:val="6"/>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供应商一旦依法被确认为中标人，其投标文件中的相关内容（主要中标标的的名称、服务要求等），将会随中标结果公告一并发布在采购信息发布网上，接受社会监督。</w:t>
      </w:r>
    </w:p>
    <w:p w14:paraId="434D71F5">
      <w:pPr>
        <w:pStyle w:val="6"/>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供应商必须如实填写《中小企业声明函》内容，如不属实的，按提供虚假材料谋取中标、成交处理。根据《中华人民共和国政府采购法》第七十七条 第一款的内容“……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C5DC5C">
      <w:pPr>
        <w:pStyle w:val="6"/>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中标（成交）供应商的《中小企业声明函》随采购结果公告同时对外公告。</w:t>
      </w:r>
    </w:p>
    <w:p w14:paraId="44AB2C1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DA4942C">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（本提示内容非招标文件的组成部分，仅为善意提醒。如有不一致，以招标文件为准）</w:t>
      </w:r>
    </w:p>
    <w:p w14:paraId="38742079">
      <w:pPr>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br w:type="page"/>
      </w:r>
    </w:p>
    <w:p w14:paraId="28A0153B">
      <w:pPr>
        <w:pStyle w:val="6"/>
        <w:rPr>
          <w:rFonts w:hint="eastAsia"/>
          <w:lang w:eastAsia="zh-CN"/>
        </w:rPr>
      </w:pPr>
    </w:p>
    <w:p w14:paraId="2527231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outlineLvl w:val="9"/>
        <w:rPr>
          <w:rFonts w:hint="eastAsia" w:ascii="宋体" w:hAnsi="宋体" w:eastAsia="宋体" w:cs="宋体"/>
          <w:b/>
          <w:kern w:val="0"/>
          <w:sz w:val="52"/>
          <w:szCs w:val="52"/>
        </w:rPr>
      </w:pPr>
      <w:bookmarkStart w:id="1" w:name="_Toc21884"/>
      <w:r>
        <w:rPr>
          <w:rFonts w:hint="eastAsia" w:ascii="宋体" w:hAnsi="宋体" w:eastAsia="宋体" w:cs="宋体"/>
          <w:b/>
          <w:kern w:val="0"/>
          <w:sz w:val="52"/>
          <w:szCs w:val="52"/>
          <w:lang w:eastAsia="zh-CN"/>
        </w:rPr>
        <w:t>台州市</w:t>
      </w:r>
      <w:r>
        <w:rPr>
          <w:rFonts w:hint="eastAsia" w:ascii="宋体" w:hAnsi="宋体" w:eastAsia="宋体" w:cs="宋体"/>
          <w:b/>
          <w:kern w:val="0"/>
          <w:sz w:val="52"/>
          <w:szCs w:val="52"/>
        </w:rPr>
        <w:t>政府采购</w:t>
      </w:r>
      <w:bookmarkEnd w:id="1"/>
    </w:p>
    <w:p w14:paraId="35B3BB0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outlineLvl w:val="9"/>
        <w:rPr>
          <w:rFonts w:hint="eastAsia" w:ascii="宋体" w:hAnsi="宋体" w:eastAsia="宋体" w:cs="宋体"/>
          <w:b/>
          <w:kern w:val="0"/>
          <w:sz w:val="52"/>
          <w:szCs w:val="52"/>
          <w:lang w:eastAsia="zh-CN"/>
        </w:rPr>
      </w:pPr>
      <w:bookmarkStart w:id="2" w:name="_Toc5097"/>
      <w:r>
        <w:rPr>
          <w:rFonts w:hint="eastAsia" w:ascii="宋体" w:hAnsi="宋体" w:cs="宋体"/>
          <w:b/>
          <w:kern w:val="0"/>
          <w:sz w:val="52"/>
          <w:szCs w:val="52"/>
          <w:lang w:eastAsia="zh-CN"/>
        </w:rPr>
        <w:t>采购文件</w:t>
      </w:r>
      <w:bookmarkEnd w:id="2"/>
    </w:p>
    <w:p w14:paraId="2A7043B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b/>
          <w:kern w:val="0"/>
          <w:sz w:val="32"/>
        </w:rPr>
      </w:pPr>
    </w:p>
    <w:p w14:paraId="7E44508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kern w:val="0"/>
          <w:sz w:val="24"/>
        </w:rPr>
      </w:pPr>
    </w:p>
    <w:p w14:paraId="5C094100">
      <w:pPr>
        <w:autoSpaceDE w:val="0"/>
        <w:autoSpaceDN w:val="0"/>
        <w:adjustRightInd w:val="0"/>
        <w:spacing w:line="360" w:lineRule="auto"/>
        <w:rPr>
          <w:rFonts w:hint="eastAsia" w:ascii="宋体" w:hAnsi="宋体" w:eastAsia="宋体" w:cs="宋体"/>
          <w:b/>
          <w:color w:val="000000"/>
          <w:kern w:val="0"/>
          <w:sz w:val="52"/>
          <w:szCs w:val="52"/>
        </w:rPr>
      </w:pPr>
    </w:p>
    <w:p w14:paraId="54996322">
      <w:pPr>
        <w:autoSpaceDE w:val="0"/>
        <w:autoSpaceDN w:val="0"/>
        <w:adjustRightInd w:val="0"/>
        <w:spacing w:line="360" w:lineRule="auto"/>
        <w:ind w:firstLine="1797" w:firstLineChars="642"/>
        <w:jc w:val="left"/>
        <w:rPr>
          <w:rFonts w:hint="eastAsia" w:ascii="宋体" w:hAnsi="宋体" w:eastAsia="宋体" w:cs="宋体"/>
          <w:kern w:val="0"/>
          <w:sz w:val="28"/>
        </w:rPr>
      </w:pPr>
    </w:p>
    <w:p w14:paraId="57E3B1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hint="eastAsia" w:ascii="宋体" w:hAnsi="宋体" w:eastAsia="宋体" w:cs="宋体"/>
          <w:kern w:val="0"/>
          <w:sz w:val="32"/>
        </w:rPr>
      </w:pPr>
    </w:p>
    <w:tbl>
      <w:tblPr>
        <w:tblStyle w:val="21"/>
        <w:tblpPr w:leftFromText="180" w:rightFromText="180" w:vertAnchor="text" w:horzAnchor="page" w:tblpX="1945" w:tblpY="-1369"/>
        <w:tblOverlap w:val="never"/>
        <w:tblW w:w="8791" w:type="dxa"/>
        <w:tblInd w:w="0" w:type="dxa"/>
        <w:tblLayout w:type="fixed"/>
        <w:tblCellMar>
          <w:top w:w="0" w:type="dxa"/>
          <w:left w:w="108" w:type="dxa"/>
          <w:bottom w:w="0" w:type="dxa"/>
          <w:right w:w="108" w:type="dxa"/>
        </w:tblCellMar>
      </w:tblPr>
      <w:tblGrid>
        <w:gridCol w:w="1890"/>
        <w:gridCol w:w="6901"/>
      </w:tblGrid>
      <w:tr w14:paraId="6885D1D1">
        <w:tblPrEx>
          <w:tblCellMar>
            <w:top w:w="0" w:type="dxa"/>
            <w:left w:w="108" w:type="dxa"/>
            <w:bottom w:w="0" w:type="dxa"/>
            <w:right w:w="108" w:type="dxa"/>
          </w:tblCellMar>
        </w:tblPrEx>
        <w:trPr>
          <w:trHeight w:val="681" w:hRule="atLeast"/>
        </w:trPr>
        <w:tc>
          <w:tcPr>
            <w:tcW w:w="1890" w:type="dxa"/>
            <w:vAlign w:val="center"/>
          </w:tcPr>
          <w:p w14:paraId="02F19987">
            <w:pPr>
              <w:widowControl/>
              <w:snapToGrid w:val="0"/>
              <w:spacing w:line="500" w:lineRule="exact"/>
              <w:jc w:val="center"/>
              <w:rPr>
                <w:rFonts w:hint="default" w:ascii="宋体" w:hAnsi="宋体" w:eastAsia="宋体" w:cs="宋体"/>
                <w:b w:val="0"/>
                <w:bCs w:val="0"/>
                <w:color w:val="auto"/>
                <w:sz w:val="30"/>
                <w:szCs w:val="30"/>
                <w:lang w:val="en-US" w:eastAsia="zh-CN"/>
              </w:rPr>
            </w:pPr>
            <w:r>
              <w:rPr>
                <w:rFonts w:hint="eastAsia" w:ascii="宋体" w:hAnsi="宋体" w:cs="宋体"/>
                <w:b w:val="0"/>
                <w:bCs w:val="0"/>
                <w:color w:val="auto"/>
                <w:sz w:val="30"/>
                <w:szCs w:val="30"/>
                <w:lang w:val="en-US" w:eastAsia="zh-CN"/>
              </w:rPr>
              <w:t>项目编号</w:t>
            </w:r>
          </w:p>
        </w:tc>
        <w:tc>
          <w:tcPr>
            <w:tcW w:w="6901" w:type="dxa"/>
            <w:vAlign w:val="center"/>
          </w:tcPr>
          <w:p w14:paraId="07C8C395">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TZYY-2506-002号</w:t>
            </w:r>
          </w:p>
        </w:tc>
      </w:tr>
      <w:tr w14:paraId="2B7EE4CE">
        <w:tblPrEx>
          <w:tblCellMar>
            <w:top w:w="0" w:type="dxa"/>
            <w:left w:w="108" w:type="dxa"/>
            <w:bottom w:w="0" w:type="dxa"/>
            <w:right w:w="108" w:type="dxa"/>
          </w:tblCellMar>
        </w:tblPrEx>
        <w:trPr>
          <w:trHeight w:val="681" w:hRule="atLeast"/>
        </w:trPr>
        <w:tc>
          <w:tcPr>
            <w:tcW w:w="1890" w:type="dxa"/>
            <w:vAlign w:val="center"/>
          </w:tcPr>
          <w:p w14:paraId="4B6B639A">
            <w:pPr>
              <w:widowControl/>
              <w:snapToGrid w:val="0"/>
              <w:spacing w:line="500" w:lineRule="exact"/>
              <w:jc w:val="center"/>
              <w:rPr>
                <w:rFonts w:hint="eastAsia" w:ascii="宋体" w:hAnsi="宋体" w:eastAsia="宋体" w:cs="宋体"/>
                <w:b w:val="0"/>
                <w:bCs w:val="0"/>
                <w:color w:val="auto"/>
                <w:kern w:val="2"/>
                <w:sz w:val="30"/>
                <w:szCs w:val="30"/>
                <w:lang w:val="en-US" w:eastAsia="zh-CN" w:bidi="ar-SA"/>
              </w:rPr>
            </w:pPr>
            <w:r>
              <w:rPr>
                <w:rFonts w:hint="eastAsia" w:ascii="宋体" w:hAnsi="宋体" w:cs="宋体"/>
                <w:b w:val="0"/>
                <w:bCs w:val="0"/>
                <w:color w:val="auto"/>
                <w:kern w:val="0"/>
                <w:sz w:val="30"/>
                <w:szCs w:val="30"/>
                <w:lang w:val="en-US" w:eastAsia="zh-CN"/>
              </w:rPr>
              <w:t>采购项目</w:t>
            </w:r>
          </w:p>
        </w:tc>
        <w:tc>
          <w:tcPr>
            <w:tcW w:w="6901" w:type="dxa"/>
            <w:vAlign w:val="center"/>
          </w:tcPr>
          <w:p w14:paraId="6BB45666">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2025年台州市海洋观测站点日常运行维护项目</w:t>
            </w:r>
          </w:p>
        </w:tc>
      </w:tr>
      <w:tr w14:paraId="70D5DFE4">
        <w:tblPrEx>
          <w:tblCellMar>
            <w:top w:w="0" w:type="dxa"/>
            <w:left w:w="108" w:type="dxa"/>
            <w:bottom w:w="0" w:type="dxa"/>
            <w:right w:w="108" w:type="dxa"/>
          </w:tblCellMar>
        </w:tblPrEx>
        <w:trPr>
          <w:trHeight w:val="681" w:hRule="atLeast"/>
        </w:trPr>
        <w:tc>
          <w:tcPr>
            <w:tcW w:w="1890" w:type="dxa"/>
            <w:vAlign w:val="center"/>
          </w:tcPr>
          <w:p w14:paraId="18066790">
            <w:pPr>
              <w:widowControl/>
              <w:snapToGrid w:val="0"/>
              <w:spacing w:line="500" w:lineRule="exact"/>
              <w:jc w:val="center"/>
              <w:rPr>
                <w:rFonts w:hint="eastAsia" w:ascii="宋体" w:hAnsi="宋体" w:eastAsia="宋体" w:cs="宋体"/>
                <w:b w:val="0"/>
                <w:bCs w:val="0"/>
                <w:i w:val="0"/>
                <w:iCs w:val="0"/>
                <w:color w:val="auto"/>
                <w:sz w:val="30"/>
                <w:szCs w:val="30"/>
              </w:rPr>
            </w:pPr>
            <w:r>
              <w:rPr>
                <w:rFonts w:hint="eastAsia" w:ascii="宋体" w:hAnsi="宋体" w:eastAsia="宋体" w:cs="宋体"/>
                <w:b w:val="0"/>
                <w:bCs w:val="0"/>
                <w:i w:val="0"/>
                <w:iCs w:val="0"/>
                <w:color w:val="auto"/>
                <w:sz w:val="30"/>
                <w:szCs w:val="30"/>
              </w:rPr>
              <w:t>项目类别</w:t>
            </w:r>
          </w:p>
        </w:tc>
        <w:tc>
          <w:tcPr>
            <w:tcW w:w="6901" w:type="dxa"/>
            <w:vAlign w:val="center"/>
          </w:tcPr>
          <w:p w14:paraId="0370EAB0">
            <w:pPr>
              <w:widowControl/>
              <w:snapToGrid w:val="0"/>
              <w:spacing w:line="500" w:lineRule="exact"/>
              <w:jc w:val="both"/>
              <w:rPr>
                <w:rFonts w:hint="default" w:ascii="宋体" w:hAnsi="宋体" w:eastAsia="宋体" w:cs="宋体"/>
                <w:i w:val="0"/>
                <w:iCs w:val="0"/>
                <w:color w:val="auto"/>
                <w:kern w:val="0"/>
                <w:sz w:val="32"/>
                <w:szCs w:val="32"/>
                <w:lang w:val="en-US" w:eastAsia="zh-CN"/>
              </w:rPr>
            </w:pPr>
            <w:r>
              <w:rPr>
                <w:rFonts w:hint="eastAsia" w:ascii="宋体" w:hAnsi="宋体" w:eastAsia="宋体" w:cs="宋体"/>
                <w:i w:val="0"/>
                <w:iCs w:val="0"/>
                <w:color w:val="auto"/>
                <w:kern w:val="0"/>
                <w:sz w:val="32"/>
                <w:szCs w:val="32"/>
                <w:lang w:val="en-US" w:eastAsia="zh-CN"/>
              </w:rPr>
              <w:t>服务</w:t>
            </w:r>
            <w:r>
              <w:rPr>
                <w:rFonts w:hint="eastAsia" w:ascii="宋体" w:hAnsi="宋体" w:cs="宋体"/>
                <w:i w:val="0"/>
                <w:iCs w:val="0"/>
                <w:color w:val="auto"/>
                <w:kern w:val="0"/>
                <w:sz w:val="32"/>
                <w:szCs w:val="32"/>
                <w:lang w:val="en-US" w:eastAsia="zh-CN"/>
              </w:rPr>
              <w:t>类</w:t>
            </w:r>
          </w:p>
        </w:tc>
      </w:tr>
    </w:tbl>
    <w:p w14:paraId="2469C6C2">
      <w:pPr>
        <w:pStyle w:val="29"/>
        <w:rPr>
          <w:rFonts w:hint="eastAsia"/>
        </w:rPr>
      </w:pPr>
    </w:p>
    <w:p w14:paraId="1004AD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kern w:val="0"/>
          <w:sz w:val="32"/>
        </w:rPr>
      </w:pPr>
    </w:p>
    <w:p w14:paraId="267FFE32">
      <w:pPr>
        <w:pStyle w:val="11"/>
        <w:rPr>
          <w:rFonts w:hint="eastAsia" w:ascii="宋体" w:hAnsi="宋体" w:eastAsia="宋体" w:cs="宋体"/>
          <w:kern w:val="0"/>
          <w:sz w:val="32"/>
        </w:rPr>
      </w:pPr>
    </w:p>
    <w:p w14:paraId="00C03ADC">
      <w:pPr>
        <w:pStyle w:val="11"/>
        <w:rPr>
          <w:rFonts w:hint="eastAsia" w:ascii="宋体" w:hAnsi="宋体" w:eastAsia="宋体" w:cs="宋体"/>
          <w:kern w:val="0"/>
          <w:sz w:val="32"/>
        </w:rPr>
      </w:pPr>
    </w:p>
    <w:p w14:paraId="44A7BE62">
      <w:pPr>
        <w:pStyle w:val="11"/>
        <w:rPr>
          <w:rFonts w:hint="eastAsia" w:ascii="宋体" w:hAnsi="宋体" w:eastAsia="宋体" w:cs="宋体"/>
          <w:kern w:val="0"/>
          <w:sz w:val="32"/>
        </w:rPr>
      </w:pPr>
    </w:p>
    <w:p w14:paraId="056D3CFA">
      <w:pPr>
        <w:spacing w:line="360" w:lineRule="auto"/>
        <w:rPr>
          <w:rFonts w:hint="eastAsia" w:ascii="宋体" w:hAnsi="宋体" w:eastAsia="宋体" w:cs="宋体"/>
        </w:rPr>
      </w:pPr>
    </w:p>
    <w:tbl>
      <w:tblPr>
        <w:tblStyle w:val="21"/>
        <w:tblpPr w:leftFromText="180" w:rightFromText="180" w:vertAnchor="text" w:horzAnchor="page" w:tblpXSpec="center" w:tblpY="68"/>
        <w:tblOverlap w:val="never"/>
        <w:tblW w:w="7818" w:type="dxa"/>
        <w:jc w:val="center"/>
        <w:tblLayout w:type="fixed"/>
        <w:tblCellMar>
          <w:top w:w="0" w:type="dxa"/>
          <w:left w:w="108" w:type="dxa"/>
          <w:bottom w:w="0" w:type="dxa"/>
          <w:right w:w="108" w:type="dxa"/>
        </w:tblCellMar>
      </w:tblPr>
      <w:tblGrid>
        <w:gridCol w:w="2402"/>
        <w:gridCol w:w="5416"/>
      </w:tblGrid>
      <w:tr w14:paraId="65E56474">
        <w:tblPrEx>
          <w:tblCellMar>
            <w:top w:w="0" w:type="dxa"/>
            <w:left w:w="108" w:type="dxa"/>
            <w:bottom w:w="0" w:type="dxa"/>
            <w:right w:w="108" w:type="dxa"/>
          </w:tblCellMar>
        </w:tblPrEx>
        <w:trPr>
          <w:trHeight w:val="744" w:hRule="atLeast"/>
          <w:jc w:val="center"/>
        </w:trPr>
        <w:tc>
          <w:tcPr>
            <w:tcW w:w="2402" w:type="dxa"/>
            <w:vAlign w:val="center"/>
          </w:tcPr>
          <w:p w14:paraId="09A7809A">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spacing w:val="240"/>
                <w:kern w:val="0"/>
                <w:sz w:val="32"/>
                <w:szCs w:val="32"/>
                <w:fitText w:val="1920" w:id="905727547"/>
                <w:lang w:val="en-US" w:eastAsia="zh-CN"/>
              </w:rPr>
              <w:t>采购</w:t>
            </w:r>
            <w:r>
              <w:rPr>
                <w:rFonts w:hint="eastAsia" w:ascii="宋体" w:hAnsi="宋体" w:cs="宋体"/>
                <w:color w:val="auto"/>
                <w:spacing w:val="0"/>
                <w:kern w:val="0"/>
                <w:sz w:val="32"/>
                <w:szCs w:val="32"/>
                <w:fitText w:val="1920" w:id="905727547"/>
                <w:lang w:val="en-US" w:eastAsia="zh-CN"/>
              </w:rPr>
              <w:t>人</w:t>
            </w:r>
          </w:p>
        </w:tc>
        <w:tc>
          <w:tcPr>
            <w:tcW w:w="5416" w:type="dxa"/>
            <w:vAlign w:val="center"/>
          </w:tcPr>
          <w:p w14:paraId="4DF7EB34">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台州市自然资源和规划局</w:t>
            </w:r>
          </w:p>
        </w:tc>
      </w:tr>
      <w:tr w14:paraId="1E44DD3D">
        <w:tblPrEx>
          <w:tblCellMar>
            <w:top w:w="0" w:type="dxa"/>
            <w:left w:w="108" w:type="dxa"/>
            <w:bottom w:w="0" w:type="dxa"/>
            <w:right w:w="108" w:type="dxa"/>
          </w:tblCellMar>
        </w:tblPrEx>
        <w:trPr>
          <w:trHeight w:val="744" w:hRule="atLeast"/>
          <w:jc w:val="center"/>
        </w:trPr>
        <w:tc>
          <w:tcPr>
            <w:tcW w:w="2402" w:type="dxa"/>
            <w:vAlign w:val="center"/>
          </w:tcPr>
          <w:p w14:paraId="021D0C3C">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kern w:val="0"/>
                <w:sz w:val="32"/>
                <w:szCs w:val="32"/>
                <w:lang w:val="en-US" w:eastAsia="zh-CN"/>
              </w:rPr>
              <w:t>采购代理机构</w:t>
            </w:r>
          </w:p>
        </w:tc>
        <w:tc>
          <w:tcPr>
            <w:tcW w:w="5416" w:type="dxa"/>
            <w:vAlign w:val="center"/>
          </w:tcPr>
          <w:p w14:paraId="74E4D84D">
            <w:pPr>
              <w:widowControl/>
              <w:snapToGrid w:val="0"/>
              <w:spacing w:line="500" w:lineRule="exact"/>
              <w:jc w:val="both"/>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台州市永阳科技有限公司</w:t>
            </w:r>
          </w:p>
        </w:tc>
      </w:tr>
      <w:tr w14:paraId="42631B68">
        <w:tblPrEx>
          <w:tblCellMar>
            <w:top w:w="0" w:type="dxa"/>
            <w:left w:w="108" w:type="dxa"/>
            <w:bottom w:w="0" w:type="dxa"/>
            <w:right w:w="108" w:type="dxa"/>
          </w:tblCellMar>
        </w:tblPrEx>
        <w:trPr>
          <w:trHeight w:val="744" w:hRule="atLeast"/>
          <w:jc w:val="center"/>
        </w:trPr>
        <w:tc>
          <w:tcPr>
            <w:tcW w:w="2402" w:type="dxa"/>
            <w:vAlign w:val="center"/>
          </w:tcPr>
          <w:p w14:paraId="4F965C8E">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spacing w:val="1"/>
                <w:w w:val="85"/>
                <w:kern w:val="0"/>
                <w:sz w:val="32"/>
                <w:szCs w:val="32"/>
                <w:fitText w:val="1920" w:id="2023251605"/>
                <w:lang w:val="en-US" w:eastAsia="zh-CN"/>
              </w:rPr>
              <w:t xml:space="preserve">日          </w:t>
            </w:r>
            <w:r>
              <w:rPr>
                <w:rFonts w:hint="eastAsia" w:ascii="宋体" w:hAnsi="宋体" w:cs="宋体"/>
                <w:color w:val="auto"/>
                <w:spacing w:val="0"/>
                <w:w w:val="85"/>
                <w:kern w:val="0"/>
                <w:sz w:val="32"/>
                <w:szCs w:val="32"/>
                <w:fitText w:val="1920" w:id="2023251605"/>
                <w:lang w:val="en-US" w:eastAsia="zh-CN"/>
              </w:rPr>
              <w:t>期</w:t>
            </w:r>
          </w:p>
        </w:tc>
        <w:tc>
          <w:tcPr>
            <w:tcW w:w="5416" w:type="dxa"/>
            <w:vAlign w:val="center"/>
          </w:tcPr>
          <w:p w14:paraId="0B59F949">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2025年</w:t>
            </w:r>
            <w:r>
              <w:rPr>
                <w:rFonts w:hint="eastAsia" w:ascii="宋体" w:hAnsi="宋体" w:eastAsia="宋体" w:cs="宋体"/>
                <w:color w:val="auto"/>
                <w:kern w:val="0"/>
                <w:sz w:val="32"/>
                <w:szCs w:val="32"/>
                <w:lang w:val="en-US" w:eastAsia="zh-CN"/>
              </w:rPr>
              <w:t>0</w:t>
            </w:r>
            <w:r>
              <w:rPr>
                <w:rFonts w:hint="eastAsia" w:ascii="宋体" w:hAnsi="宋体" w:cs="宋体"/>
                <w:color w:val="auto"/>
                <w:kern w:val="0"/>
                <w:sz w:val="32"/>
                <w:szCs w:val="32"/>
                <w:lang w:val="en-US" w:eastAsia="zh-CN"/>
              </w:rPr>
              <w:t>7</w:t>
            </w:r>
            <w:r>
              <w:rPr>
                <w:rFonts w:hint="eastAsia" w:ascii="宋体" w:hAnsi="宋体" w:eastAsia="宋体" w:cs="宋体"/>
                <w:color w:val="auto"/>
                <w:kern w:val="0"/>
                <w:sz w:val="32"/>
                <w:szCs w:val="32"/>
                <w:lang w:val="en-US" w:eastAsia="zh-CN"/>
              </w:rPr>
              <w:t>月</w:t>
            </w:r>
          </w:p>
        </w:tc>
      </w:tr>
    </w:tbl>
    <w:p w14:paraId="4E0A8CE0">
      <w:pPr>
        <w:rPr>
          <w:rFonts w:hint="eastAsia" w:ascii="宋体" w:hAnsi="宋体" w:eastAsia="宋体" w:cs="宋体"/>
          <w:b/>
          <w:bCs/>
          <w:color w:val="000000"/>
          <w:sz w:val="36"/>
          <w:szCs w:val="36"/>
        </w:rPr>
        <w:sectPr>
          <w:head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bCs/>
          <w:color w:val="000000"/>
          <w:sz w:val="36"/>
          <w:szCs w:val="36"/>
        </w:rPr>
        <w:br w:type="page"/>
      </w:r>
    </w:p>
    <w:p w14:paraId="6FE60E21">
      <w:pPr>
        <w:jc w:val="center"/>
        <w:outlineLvl w:val="9"/>
        <w:rPr>
          <w:rFonts w:hint="eastAsia" w:ascii="宋体" w:hAnsi="宋体" w:eastAsia="宋体" w:cs="宋体"/>
          <w:b/>
          <w:bCs/>
          <w:color w:val="000000"/>
          <w:sz w:val="36"/>
          <w:szCs w:val="36"/>
        </w:rPr>
      </w:pPr>
      <w:bookmarkStart w:id="3" w:name="_Toc15638"/>
      <w:r>
        <w:rPr>
          <w:rFonts w:hint="eastAsia" w:ascii="宋体" w:hAnsi="宋体" w:eastAsia="宋体" w:cs="宋体"/>
          <w:b/>
          <w:bCs/>
          <w:color w:val="000000"/>
          <w:sz w:val="36"/>
          <w:szCs w:val="36"/>
        </w:rPr>
        <w:t>目    录</w:t>
      </w:r>
      <w:bookmarkEnd w:id="3"/>
    </w:p>
    <w:p w14:paraId="2225656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eastAsia="宋体" w:cs="宋体"/>
          <w:b/>
          <w:sz w:val="36"/>
        </w:rPr>
      </w:pPr>
    </w:p>
    <w:p w14:paraId="3133E5AC">
      <w:pPr>
        <w:spacing w:line="360" w:lineRule="auto"/>
        <w:rPr>
          <w:rFonts w:hint="eastAsia" w:ascii="宋体" w:hAnsi="宋体" w:eastAsia="宋体" w:cs="宋体"/>
          <w:sz w:val="28"/>
          <w:szCs w:val="28"/>
        </w:rPr>
      </w:pPr>
    </w:p>
    <w:p w14:paraId="24DD5E9E">
      <w:pPr>
        <w:numPr>
          <w:ilvl w:val="0"/>
          <w:numId w:val="3"/>
        </w:numPr>
        <w:spacing w:line="360" w:lineRule="auto"/>
        <w:outlineLvl w:val="9"/>
        <w:rPr>
          <w:rFonts w:hint="eastAsia" w:ascii="宋体" w:hAnsi="宋体" w:eastAsia="宋体" w:cs="宋体"/>
          <w:b/>
          <w:sz w:val="28"/>
          <w:szCs w:val="28"/>
        </w:rPr>
      </w:pPr>
      <w:bookmarkStart w:id="4" w:name="_Toc8930"/>
      <w:r>
        <w:rPr>
          <w:rFonts w:hint="eastAsia" w:ascii="宋体" w:hAnsi="宋体" w:eastAsia="宋体" w:cs="宋体"/>
          <w:b/>
          <w:sz w:val="28"/>
          <w:szCs w:val="28"/>
        </w:rPr>
        <w:t>公开招标采购公告</w:t>
      </w:r>
      <w:bookmarkEnd w:id="4"/>
    </w:p>
    <w:p w14:paraId="35C6BF26">
      <w:pPr>
        <w:numPr>
          <w:ilvl w:val="0"/>
          <w:numId w:val="3"/>
        </w:numPr>
        <w:spacing w:line="360" w:lineRule="auto"/>
        <w:outlineLvl w:val="9"/>
        <w:rPr>
          <w:rFonts w:hint="eastAsia" w:ascii="宋体" w:hAnsi="宋体" w:eastAsia="宋体" w:cs="宋体"/>
          <w:b/>
          <w:sz w:val="28"/>
          <w:szCs w:val="28"/>
        </w:rPr>
      </w:pPr>
      <w:bookmarkStart w:id="5" w:name="_Toc24946"/>
      <w:r>
        <w:rPr>
          <w:rFonts w:hint="eastAsia" w:ascii="宋体" w:hAnsi="宋体" w:eastAsia="宋体" w:cs="宋体"/>
          <w:b/>
          <w:sz w:val="28"/>
          <w:szCs w:val="28"/>
          <w:lang w:eastAsia="zh-CN"/>
        </w:rPr>
        <w:t>投标人</w:t>
      </w:r>
      <w:r>
        <w:rPr>
          <w:rFonts w:hint="eastAsia" w:ascii="宋体" w:hAnsi="宋体" w:eastAsia="宋体" w:cs="宋体"/>
          <w:b/>
          <w:sz w:val="28"/>
          <w:szCs w:val="28"/>
        </w:rPr>
        <w:t>须知</w:t>
      </w:r>
      <w:bookmarkEnd w:id="5"/>
    </w:p>
    <w:p w14:paraId="35BD7049">
      <w:pPr>
        <w:numPr>
          <w:ilvl w:val="0"/>
          <w:numId w:val="3"/>
        </w:numPr>
        <w:spacing w:line="360" w:lineRule="auto"/>
        <w:outlineLvl w:val="9"/>
        <w:rPr>
          <w:rFonts w:hint="eastAsia" w:ascii="宋体" w:hAnsi="宋体" w:eastAsia="宋体" w:cs="宋体"/>
          <w:b/>
          <w:sz w:val="28"/>
          <w:szCs w:val="28"/>
        </w:rPr>
      </w:pPr>
      <w:bookmarkStart w:id="6" w:name="_Toc23065"/>
      <w:r>
        <w:rPr>
          <w:rFonts w:hint="eastAsia" w:ascii="宋体" w:hAnsi="宋体" w:eastAsia="宋体" w:cs="宋体"/>
          <w:b/>
          <w:sz w:val="28"/>
          <w:szCs w:val="28"/>
        </w:rPr>
        <w:t>评标办法及评分标准</w:t>
      </w:r>
      <w:bookmarkEnd w:id="6"/>
    </w:p>
    <w:p w14:paraId="214B1C7B">
      <w:pPr>
        <w:numPr>
          <w:ilvl w:val="0"/>
          <w:numId w:val="3"/>
        </w:numPr>
        <w:spacing w:line="360" w:lineRule="auto"/>
        <w:outlineLvl w:val="9"/>
        <w:rPr>
          <w:rFonts w:hint="eastAsia" w:ascii="宋体" w:hAnsi="宋体" w:eastAsia="宋体" w:cs="宋体"/>
          <w:b/>
          <w:sz w:val="28"/>
          <w:szCs w:val="28"/>
        </w:rPr>
      </w:pPr>
      <w:bookmarkStart w:id="7" w:name="_Toc1680"/>
      <w:r>
        <w:rPr>
          <w:rFonts w:hint="eastAsia" w:ascii="宋体" w:hAnsi="宋体" w:eastAsia="宋体" w:cs="宋体"/>
          <w:b/>
          <w:sz w:val="28"/>
          <w:szCs w:val="28"/>
        </w:rPr>
        <w:t>公开招标需求</w:t>
      </w:r>
      <w:bookmarkEnd w:id="7"/>
    </w:p>
    <w:p w14:paraId="2E1DD8D7">
      <w:pPr>
        <w:numPr>
          <w:ilvl w:val="0"/>
          <w:numId w:val="3"/>
        </w:numPr>
        <w:spacing w:line="360" w:lineRule="auto"/>
        <w:outlineLvl w:val="9"/>
        <w:rPr>
          <w:rFonts w:hint="eastAsia" w:ascii="宋体" w:hAnsi="宋体" w:eastAsia="宋体" w:cs="宋体"/>
          <w:b/>
          <w:sz w:val="28"/>
          <w:szCs w:val="28"/>
        </w:rPr>
      </w:pPr>
      <w:bookmarkStart w:id="8" w:name="_Toc25490"/>
      <w:r>
        <w:rPr>
          <w:rFonts w:hint="eastAsia" w:ascii="宋体" w:hAnsi="宋体" w:eastAsia="宋体" w:cs="宋体"/>
          <w:b/>
          <w:sz w:val="28"/>
          <w:szCs w:val="28"/>
        </w:rPr>
        <w:t>政府采购合同主要条款指引</w:t>
      </w:r>
      <w:bookmarkEnd w:id="8"/>
    </w:p>
    <w:p w14:paraId="0AA76E0F">
      <w:pPr>
        <w:numPr>
          <w:ilvl w:val="0"/>
          <w:numId w:val="3"/>
        </w:numPr>
        <w:spacing w:line="360" w:lineRule="auto"/>
        <w:outlineLvl w:val="9"/>
        <w:rPr>
          <w:rFonts w:hint="eastAsia" w:ascii="宋体" w:hAnsi="宋体" w:eastAsia="宋体" w:cs="宋体"/>
          <w:b/>
          <w:sz w:val="28"/>
          <w:szCs w:val="28"/>
        </w:rPr>
      </w:pPr>
      <w:bookmarkStart w:id="9" w:name="_Toc29768"/>
      <w:r>
        <w:rPr>
          <w:rFonts w:hint="eastAsia" w:ascii="宋体" w:hAnsi="宋体" w:cs="宋体"/>
          <w:b/>
          <w:sz w:val="28"/>
          <w:szCs w:val="28"/>
          <w:lang w:eastAsia="zh-CN"/>
        </w:rPr>
        <w:t>投标文件</w:t>
      </w:r>
      <w:r>
        <w:rPr>
          <w:rFonts w:hint="eastAsia" w:ascii="宋体" w:hAnsi="宋体" w:eastAsia="宋体" w:cs="宋体"/>
          <w:b/>
          <w:sz w:val="28"/>
          <w:szCs w:val="28"/>
        </w:rPr>
        <w:t>格式附件</w:t>
      </w:r>
      <w:bookmarkEnd w:id="9"/>
    </w:p>
    <w:p w14:paraId="47CEDD39">
      <w:pPr>
        <w:pStyle w:val="4"/>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b/>
          <w:kern w:val="0"/>
          <w:sz w:val="36"/>
          <w:szCs w:val="36"/>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10" w:name="_Toc7717"/>
      <w:bookmarkStart w:id="11" w:name="_Toc14757"/>
    </w:p>
    <w:p w14:paraId="22C288B7">
      <w:pPr>
        <w:pStyle w:val="4"/>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宋体" w:hAnsi="宋体" w:eastAsia="宋体" w:cs="宋体"/>
          <w:b/>
          <w:kern w:val="0"/>
          <w:sz w:val="36"/>
          <w:szCs w:val="36"/>
        </w:rPr>
        <w:t xml:space="preserve">第一章  </w:t>
      </w:r>
      <w:r>
        <w:rPr>
          <w:rFonts w:hint="eastAsia" w:ascii="宋体" w:hAnsi="宋体" w:eastAsia="宋体" w:cs="宋体"/>
          <w:b/>
          <w:sz w:val="36"/>
          <w:szCs w:val="36"/>
        </w:rPr>
        <w:t>招标</w:t>
      </w:r>
      <w:bookmarkStart w:id="12" w:name="_Toc28359078"/>
      <w:bookmarkStart w:id="13" w:name="_Toc28359001"/>
      <w:r>
        <w:rPr>
          <w:rFonts w:hint="eastAsia" w:ascii="宋体" w:hAnsi="宋体" w:eastAsia="宋体" w:cs="宋体"/>
          <w:b/>
          <w:sz w:val="36"/>
          <w:szCs w:val="36"/>
        </w:rPr>
        <w:t>公告</w:t>
      </w:r>
      <w:bookmarkEnd w:id="10"/>
      <w:bookmarkEnd w:id="11"/>
      <w:bookmarkEnd w:id="12"/>
      <w:bookmarkEnd w:id="1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5C1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52405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074C1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r>
              <w:rPr>
                <w:rFonts w:hint="eastAsia" w:ascii="宋体" w:hAnsi="宋体" w:cs="宋体"/>
                <w:sz w:val="24"/>
                <w:szCs w:val="24"/>
                <w:u w:val="single"/>
                <w:lang w:eastAsia="zh-CN"/>
              </w:rPr>
              <w:t>2025年台州市海洋观测站点日常运行维护项目</w:t>
            </w:r>
            <w:r>
              <w:rPr>
                <w:rFonts w:hint="eastAsia" w:ascii="宋体" w:hAnsi="宋体" w:eastAsia="宋体" w:cs="宋体"/>
                <w:sz w:val="24"/>
                <w:szCs w:val="24"/>
              </w:rPr>
              <w:t>的潜在投标人应在</w:t>
            </w:r>
            <w:r>
              <w:rPr>
                <w:rFonts w:hint="eastAsia" w:ascii="宋体" w:hAnsi="宋体" w:cs="宋体"/>
                <w:sz w:val="24"/>
                <w:szCs w:val="24"/>
                <w:u w:val="single"/>
                <w:lang w:eastAsia="zh-CN"/>
              </w:rPr>
              <w:t>政采云平台（</w:t>
            </w:r>
            <w:r>
              <w:rPr>
                <w:rFonts w:hint="eastAsia" w:ascii="宋体" w:hAnsi="宋体" w:eastAsia="宋体" w:cs="宋体"/>
                <w:sz w:val="24"/>
                <w:szCs w:val="24"/>
                <w:u w:val="single"/>
                <w:lang w:eastAsia="zh-CN"/>
              </w:rPr>
              <w:t>www.zcygov.cn</w:t>
            </w:r>
            <w:r>
              <w:rPr>
                <w:rFonts w:hint="eastAsia" w:ascii="宋体" w:hAnsi="宋体" w:cs="宋体"/>
                <w:sz w:val="24"/>
                <w:szCs w:val="24"/>
                <w:u w:val="single"/>
                <w:lang w:eastAsia="zh-CN"/>
              </w:rPr>
              <w:t>）</w:t>
            </w:r>
            <w:r>
              <w:rPr>
                <w:rFonts w:hint="eastAsia" w:ascii="宋体" w:hAnsi="宋体" w:eastAsia="宋体" w:cs="宋体"/>
                <w:sz w:val="24"/>
                <w:szCs w:val="24"/>
              </w:rPr>
              <w:t>获取</w:t>
            </w:r>
            <w:r>
              <w:rPr>
                <w:rFonts w:hint="eastAsia" w:ascii="宋体" w:hAnsi="宋体" w:cs="宋体"/>
                <w:sz w:val="24"/>
                <w:szCs w:val="24"/>
                <w:lang w:eastAsia="zh-CN"/>
              </w:rPr>
              <w:t>（</w:t>
            </w:r>
            <w:r>
              <w:rPr>
                <w:rFonts w:hint="eastAsia" w:ascii="宋体" w:hAnsi="宋体" w:cs="宋体"/>
                <w:sz w:val="24"/>
                <w:szCs w:val="24"/>
                <w:lang w:val="en-US" w:eastAsia="zh-CN"/>
              </w:rPr>
              <w:t>下载</w:t>
            </w:r>
            <w:r>
              <w:rPr>
                <w:rFonts w:hint="eastAsia" w:ascii="宋体" w:hAnsi="宋体" w:cs="宋体"/>
                <w:sz w:val="24"/>
                <w:szCs w:val="24"/>
                <w:lang w:eastAsia="zh-CN"/>
              </w:rPr>
              <w:t>）</w:t>
            </w:r>
            <w:r>
              <w:rPr>
                <w:rFonts w:hint="eastAsia" w:ascii="宋体" w:hAnsi="宋体" w:eastAsia="宋体" w:cs="宋体"/>
                <w:sz w:val="24"/>
                <w:szCs w:val="24"/>
              </w:rPr>
              <w:t>招标文件</w:t>
            </w:r>
            <w:r>
              <w:rPr>
                <w:rFonts w:hint="eastAsia" w:ascii="宋体" w:hAnsi="宋体" w:eastAsia="宋体" w:cs="宋体"/>
                <w:color w:val="auto"/>
                <w:sz w:val="24"/>
                <w:szCs w:val="24"/>
              </w:rPr>
              <w:t>，并于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日</w:t>
            </w:r>
            <w:r>
              <w:rPr>
                <w:rFonts w:hint="eastAsia" w:ascii="宋体" w:hAnsi="宋体" w:cs="宋体"/>
                <w:color w:val="auto"/>
                <w:sz w:val="24"/>
                <w:szCs w:val="24"/>
                <w:lang w:eastAsia="zh-CN"/>
              </w:rPr>
              <w:t>09:00</w:t>
            </w:r>
            <w:r>
              <w:rPr>
                <w:rFonts w:hint="eastAsia" w:ascii="宋体" w:hAnsi="宋体" w:eastAsia="宋体" w:cs="宋体"/>
                <w:color w:val="auto"/>
                <w:sz w:val="24"/>
                <w:szCs w:val="24"/>
              </w:rPr>
              <w:t>（北京时间）前递交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上传</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投标文件。</w:t>
            </w:r>
          </w:p>
        </w:tc>
      </w:tr>
    </w:tbl>
    <w:p w14:paraId="2AF6F09B">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14" w:name="_Toc21249"/>
      <w:bookmarkStart w:id="15" w:name="_Toc28359079"/>
      <w:bookmarkStart w:id="16" w:name="_Toc11217"/>
      <w:bookmarkStart w:id="17" w:name="_Toc28359002"/>
      <w:bookmarkStart w:id="18" w:name="_Hlk24379207"/>
      <w:r>
        <w:rPr>
          <w:rFonts w:hint="eastAsia" w:ascii="宋体" w:hAnsi="宋体" w:eastAsia="宋体" w:cs="宋体"/>
          <w:b/>
          <w:bCs/>
          <w:sz w:val="24"/>
          <w:szCs w:val="24"/>
        </w:rPr>
        <w:t>项目基本情况</w:t>
      </w:r>
      <w:bookmarkEnd w:id="14"/>
      <w:bookmarkEnd w:id="15"/>
      <w:bookmarkEnd w:id="16"/>
      <w:bookmarkEnd w:id="17"/>
    </w:p>
    <w:p w14:paraId="577DB124">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项目</w:t>
      </w:r>
      <w:r>
        <w:rPr>
          <w:rFonts w:hint="eastAsia" w:ascii="宋体" w:hAnsi="宋体" w:eastAsia="宋体" w:cs="宋体"/>
          <w:sz w:val="24"/>
          <w:szCs w:val="24"/>
        </w:rPr>
        <w:t>编号：</w:t>
      </w:r>
      <w:r>
        <w:rPr>
          <w:rFonts w:hint="eastAsia" w:ascii="宋体" w:hAnsi="宋体" w:cs="宋体"/>
          <w:sz w:val="24"/>
          <w:szCs w:val="24"/>
          <w:u w:val="single"/>
          <w:lang w:eastAsia="zh-CN"/>
        </w:rPr>
        <w:t>TZYY-2506-002号</w:t>
      </w:r>
    </w:p>
    <w:p w14:paraId="39298F2D">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u w:val="single"/>
          <w:lang w:eastAsia="zh-CN"/>
        </w:rPr>
        <w:t>2025年台州市海洋观测站点日常运行维护项目</w:t>
      </w:r>
    </w:p>
    <w:bookmarkEnd w:id="18"/>
    <w:p w14:paraId="05AA952B">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预算金额</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元</w:t>
      </w:r>
      <w:r>
        <w:rPr>
          <w:rFonts w:hint="eastAsia" w:ascii="宋体" w:hAnsi="宋体" w:cs="宋体"/>
          <w:i w:val="0"/>
          <w:iCs w:val="0"/>
          <w:color w:val="auto"/>
          <w:sz w:val="24"/>
          <w:szCs w:val="24"/>
          <w:lang w:eastAsia="zh-CN"/>
        </w:rPr>
        <w:t>）</w:t>
      </w:r>
      <w:r>
        <w:rPr>
          <w:rFonts w:hint="eastAsia" w:ascii="宋体" w:hAnsi="宋体" w:eastAsia="宋体" w:cs="宋体"/>
          <w:i w:val="0"/>
          <w:iCs w:val="0"/>
          <w:color w:val="auto"/>
          <w:sz w:val="24"/>
          <w:szCs w:val="24"/>
        </w:rPr>
        <w:t>：</w:t>
      </w:r>
      <w:r>
        <w:rPr>
          <w:rFonts w:hint="eastAsia" w:ascii="宋体" w:hAnsi="宋体" w:cs="宋体"/>
          <w:i w:val="0"/>
          <w:iCs w:val="0"/>
          <w:color w:val="auto"/>
          <w:sz w:val="24"/>
          <w:szCs w:val="24"/>
          <w:lang w:val="en-US" w:eastAsia="zh-CN"/>
        </w:rPr>
        <w:t>240万</w:t>
      </w:r>
    </w:p>
    <w:p w14:paraId="06F093AF">
      <w:pPr>
        <w:spacing w:line="360" w:lineRule="auto"/>
        <w:rPr>
          <w:rFonts w:hint="eastAsia"/>
          <w:i w:val="0"/>
          <w:iCs w:val="0"/>
          <w:color w:val="auto"/>
        </w:rPr>
      </w:pPr>
      <w:r>
        <w:rPr>
          <w:rFonts w:hint="eastAsia" w:ascii="宋体" w:hAnsi="宋体" w:eastAsia="宋体" w:cs="宋体"/>
          <w:i w:val="0"/>
          <w:iCs w:val="0"/>
          <w:color w:val="auto"/>
          <w:sz w:val="24"/>
          <w:szCs w:val="24"/>
        </w:rPr>
        <w:t>最高限价</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元</w:t>
      </w:r>
      <w:r>
        <w:rPr>
          <w:rFonts w:hint="eastAsia" w:ascii="宋体" w:hAnsi="宋体" w:cs="宋体"/>
          <w:i w:val="0"/>
          <w:iCs w:val="0"/>
          <w:color w:val="auto"/>
          <w:sz w:val="24"/>
          <w:szCs w:val="24"/>
          <w:lang w:eastAsia="zh-CN"/>
        </w:rPr>
        <w:t>）</w:t>
      </w:r>
      <w:r>
        <w:rPr>
          <w:rFonts w:hint="eastAsia" w:ascii="宋体" w:hAnsi="宋体" w:eastAsia="宋体" w:cs="宋体"/>
          <w:i w:val="0"/>
          <w:iCs w:val="0"/>
          <w:color w:val="auto"/>
          <w:sz w:val="24"/>
          <w:szCs w:val="24"/>
        </w:rPr>
        <w:t>：</w:t>
      </w:r>
      <w:r>
        <w:rPr>
          <w:rFonts w:hint="eastAsia" w:ascii="宋体" w:hAnsi="宋体" w:cs="宋体"/>
          <w:i w:val="0"/>
          <w:iCs w:val="0"/>
          <w:color w:val="auto"/>
          <w:sz w:val="24"/>
          <w:szCs w:val="24"/>
          <w:lang w:val="en-US" w:eastAsia="zh-CN"/>
        </w:rPr>
        <w:t>/</w:t>
      </w:r>
    </w:p>
    <w:p w14:paraId="31151F89">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采购需求：</w:t>
      </w:r>
    </w:p>
    <w:p w14:paraId="70787C89">
      <w:pPr>
        <w:pStyle w:val="6"/>
        <w:spacing w:line="360" w:lineRule="auto"/>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标项名称</w:t>
      </w:r>
      <w:r>
        <w:rPr>
          <w:rFonts w:hint="eastAsia" w:ascii="宋体" w:hAnsi="宋体" w:cs="宋体"/>
          <w:i w:val="0"/>
          <w:iCs w:val="0"/>
          <w:color w:val="auto"/>
          <w:kern w:val="2"/>
          <w:sz w:val="24"/>
          <w:szCs w:val="24"/>
          <w:lang w:val="en-US" w:eastAsia="zh-CN" w:bidi="ar-SA"/>
        </w:rPr>
        <w:t>：2025年台州市海洋观测站点日常运行维护项目</w:t>
      </w:r>
    </w:p>
    <w:p w14:paraId="6DF579CC">
      <w:pPr>
        <w:pStyle w:val="6"/>
        <w:spacing w:line="360" w:lineRule="auto"/>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数量</w:t>
      </w:r>
      <w:r>
        <w:rPr>
          <w:rFonts w:hint="eastAsia" w:ascii="宋体" w:hAnsi="宋体" w:cs="宋体"/>
          <w:i w:val="0"/>
          <w:iCs w:val="0"/>
          <w:color w:val="auto"/>
          <w:kern w:val="2"/>
          <w:sz w:val="24"/>
          <w:szCs w:val="24"/>
          <w:lang w:val="en-US" w:eastAsia="zh-CN" w:bidi="ar-SA"/>
        </w:rPr>
        <w:t>：</w:t>
      </w:r>
      <w:r>
        <w:rPr>
          <w:rFonts w:hint="eastAsia" w:ascii="宋体" w:hAnsi="宋体" w:eastAsia="宋体" w:cs="宋体"/>
          <w:i w:val="0"/>
          <w:iCs w:val="0"/>
          <w:color w:val="auto"/>
          <w:kern w:val="2"/>
          <w:sz w:val="24"/>
          <w:szCs w:val="24"/>
          <w:lang w:val="en-US" w:eastAsia="zh-CN" w:bidi="ar-SA"/>
        </w:rPr>
        <w:t>1</w:t>
      </w:r>
    </w:p>
    <w:p w14:paraId="2912F4F4">
      <w:pPr>
        <w:pStyle w:val="6"/>
        <w:spacing w:line="360" w:lineRule="auto"/>
        <w:ind w:left="0" w:leftChars="0" w:firstLine="0" w:firstLineChars="0"/>
        <w:rPr>
          <w:rFonts w:hint="default"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预算金额（元）</w:t>
      </w:r>
      <w:r>
        <w:rPr>
          <w:rFonts w:hint="eastAsia" w:ascii="宋体" w:hAnsi="宋体" w:cs="宋体"/>
          <w:i w:val="0"/>
          <w:iCs w:val="0"/>
          <w:color w:val="auto"/>
          <w:kern w:val="2"/>
          <w:sz w:val="24"/>
          <w:szCs w:val="24"/>
          <w:lang w:val="en-US" w:eastAsia="zh-CN" w:bidi="ar-SA"/>
        </w:rPr>
        <w:t>：240万</w:t>
      </w:r>
    </w:p>
    <w:p w14:paraId="095A8D64">
      <w:pPr>
        <w:pStyle w:val="6"/>
        <w:spacing w:line="360" w:lineRule="auto"/>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简要规格描述或项目基本概况介绍、用途：详见“公开招标需求”</w:t>
      </w:r>
    </w:p>
    <w:p w14:paraId="4537EDC0">
      <w:pPr>
        <w:pStyle w:val="6"/>
        <w:spacing w:line="360" w:lineRule="auto"/>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备注：</w:t>
      </w:r>
      <w:r>
        <w:rPr>
          <w:rFonts w:hint="eastAsia" w:ascii="宋体" w:hAnsi="宋体" w:eastAsia="宋体" w:cs="宋体"/>
          <w:i w:val="0"/>
          <w:iCs w:val="0"/>
          <w:color w:val="auto"/>
          <w:sz w:val="24"/>
          <w:szCs w:val="24"/>
          <w:lang w:eastAsia="zh-CN"/>
        </w:rPr>
        <w:t>本次采购产品为非进口产品。</w:t>
      </w:r>
    </w:p>
    <w:p w14:paraId="14EF529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合同履行期限：</w:t>
      </w:r>
      <w:r>
        <w:rPr>
          <w:rFonts w:hint="eastAsia" w:ascii="宋体" w:hAnsi="宋体" w:cs="宋体"/>
          <w:i w:val="0"/>
          <w:iCs w:val="0"/>
          <w:color w:val="auto"/>
          <w:sz w:val="24"/>
          <w:szCs w:val="24"/>
          <w:lang w:eastAsia="zh-CN"/>
        </w:rPr>
        <w:t>标项1，</w:t>
      </w:r>
      <w:r>
        <w:rPr>
          <w:rFonts w:hint="eastAsia" w:ascii="宋体" w:hAnsi="宋体" w:cs="宋体"/>
          <w:i w:val="0"/>
          <w:iCs w:val="0"/>
          <w:color w:val="auto"/>
          <w:sz w:val="24"/>
          <w:szCs w:val="24"/>
          <w:lang w:val="en-US" w:eastAsia="zh-CN"/>
        </w:rPr>
        <w:t>服务期：一年。</w:t>
      </w:r>
    </w:p>
    <w:p w14:paraId="55A64C2D">
      <w:pPr>
        <w:spacing w:line="360" w:lineRule="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本项目（否）接受联合体投标。</w:t>
      </w:r>
    </w:p>
    <w:p w14:paraId="31C0A859">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19" w:name="_Toc28359003"/>
      <w:bookmarkStart w:id="20" w:name="_Toc8382"/>
      <w:bookmarkStart w:id="21" w:name="_Toc2500"/>
      <w:bookmarkStart w:id="22" w:name="_Toc28359080"/>
      <w:r>
        <w:rPr>
          <w:rFonts w:hint="eastAsia" w:ascii="宋体" w:hAnsi="宋体" w:eastAsia="宋体" w:cs="宋体"/>
          <w:b/>
          <w:bCs/>
          <w:sz w:val="24"/>
          <w:szCs w:val="24"/>
        </w:rPr>
        <w:t>申请人的资格要求：</w:t>
      </w:r>
      <w:bookmarkEnd w:id="19"/>
      <w:bookmarkEnd w:id="20"/>
      <w:bookmarkEnd w:id="21"/>
      <w:bookmarkEnd w:id="22"/>
    </w:p>
    <w:p w14:paraId="4A5445F5">
      <w:pPr>
        <w:numPr>
          <w:ilvl w:val="0"/>
          <w:numId w:val="5"/>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满足《中华人民共和国政府采购法》第二十二条规定</w:t>
      </w:r>
      <w:r>
        <w:rPr>
          <w:rFonts w:hint="eastAsia" w:ascii="宋体" w:hAnsi="宋体" w:cs="宋体"/>
          <w:sz w:val="24"/>
          <w:szCs w:val="24"/>
          <w:lang w:eastAsia="zh-CN"/>
        </w:rPr>
        <w:t>；</w:t>
      </w:r>
      <w:r>
        <w:rPr>
          <w:rFonts w:hint="eastAsia" w:ascii="宋体" w:hAnsi="宋体" w:cs="宋体"/>
          <w:sz w:val="24"/>
        </w:rPr>
        <w:t>未被“信用中国”（www.creditchina.gov.cn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r>
        <w:rPr>
          <w:rFonts w:hint="eastAsia" w:ascii="宋体" w:hAnsi="宋体" w:cs="宋体"/>
          <w:sz w:val="24"/>
          <w:lang w:eastAsia="zh-CN"/>
        </w:rPr>
        <w:t>。</w:t>
      </w:r>
    </w:p>
    <w:p w14:paraId="65F29D74">
      <w:pPr>
        <w:numPr>
          <w:ilvl w:val="0"/>
          <w:numId w:val="5"/>
        </w:numPr>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落实政府采购政策需满足的资格要求</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无</w:t>
      </w:r>
      <w:r>
        <w:rPr>
          <w:rFonts w:hint="eastAsia" w:ascii="宋体" w:hAnsi="宋体" w:cs="宋体"/>
          <w:color w:val="auto"/>
          <w:sz w:val="24"/>
          <w:szCs w:val="24"/>
          <w:lang w:val="en-US" w:eastAsia="zh-CN"/>
        </w:rPr>
        <w:t>。</w:t>
      </w:r>
    </w:p>
    <w:p w14:paraId="4A54DD44">
      <w:pPr>
        <w:numPr>
          <w:ilvl w:val="0"/>
          <w:numId w:val="5"/>
        </w:numPr>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本项目的特定资格要求：</w:t>
      </w:r>
      <w:r>
        <w:rPr>
          <w:rFonts w:hint="eastAsia" w:ascii="宋体" w:hAnsi="宋体" w:eastAsia="宋体" w:cs="宋体"/>
          <w:color w:val="auto"/>
          <w:sz w:val="24"/>
          <w:szCs w:val="24"/>
          <w:lang w:val="en-US" w:eastAsia="zh-CN"/>
        </w:rPr>
        <w:t>无。</w:t>
      </w:r>
    </w:p>
    <w:p w14:paraId="243C3873">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23" w:name="_Toc19480"/>
      <w:bookmarkStart w:id="24" w:name="_Toc24425"/>
      <w:bookmarkStart w:id="25" w:name="_Toc28359081"/>
      <w:bookmarkStart w:id="26" w:name="_Toc28359004"/>
      <w:r>
        <w:rPr>
          <w:rFonts w:hint="eastAsia" w:ascii="宋体" w:hAnsi="宋体" w:eastAsia="宋体" w:cs="宋体"/>
          <w:b/>
          <w:bCs/>
          <w:sz w:val="24"/>
          <w:szCs w:val="24"/>
        </w:rPr>
        <w:t>获取招标文件</w:t>
      </w:r>
      <w:bookmarkEnd w:id="23"/>
      <w:bookmarkEnd w:id="24"/>
      <w:bookmarkEnd w:id="25"/>
      <w:bookmarkEnd w:id="26"/>
    </w:p>
    <w:p w14:paraId="039883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时间：</w:t>
      </w:r>
      <w:r>
        <w:rPr>
          <w:rFonts w:hint="eastAsia" w:ascii="宋体" w:hAnsi="宋体" w:eastAsia="宋体" w:cs="宋体"/>
          <w:color w:val="auto"/>
          <w:sz w:val="24"/>
          <w:szCs w:val="24"/>
        </w:rPr>
        <w:t>/至</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日，每天上午00:00至12:00，下午12:00至23:59（北京时间，线上获取法定节假日均可，线下获取文件法定节假日除外</w:t>
      </w:r>
      <w:bookmarkStart w:id="172" w:name="_GoBack"/>
      <w:bookmarkEnd w:id="172"/>
      <w:r>
        <w:rPr>
          <w:rFonts w:hint="eastAsia" w:ascii="宋体" w:hAnsi="宋体" w:eastAsia="宋体" w:cs="宋体"/>
          <w:color w:val="auto"/>
          <w:sz w:val="24"/>
          <w:szCs w:val="24"/>
        </w:rPr>
        <w:t>）</w:t>
      </w:r>
    </w:p>
    <w:p w14:paraId="0A2AB2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cs="宋体"/>
          <w:sz w:val="24"/>
          <w:szCs w:val="24"/>
          <w:lang w:eastAsia="zh-CN"/>
        </w:rPr>
        <w:t>（</w:t>
      </w:r>
      <w:r>
        <w:rPr>
          <w:rFonts w:hint="eastAsia" w:ascii="宋体" w:hAnsi="宋体" w:cs="宋体"/>
          <w:sz w:val="24"/>
          <w:szCs w:val="24"/>
          <w:lang w:val="en-US" w:eastAsia="zh-CN"/>
        </w:rPr>
        <w:t>网址</w:t>
      </w:r>
      <w:r>
        <w:rPr>
          <w:rFonts w:hint="eastAsia" w:ascii="宋体" w:hAnsi="宋体" w:cs="宋体"/>
          <w:sz w:val="24"/>
          <w:szCs w:val="24"/>
          <w:lang w:eastAsia="zh-CN"/>
        </w:rPr>
        <w:t>）</w:t>
      </w:r>
      <w:r>
        <w:rPr>
          <w:rFonts w:hint="eastAsia" w:ascii="宋体" w:hAnsi="宋体" w:eastAsia="宋体" w:cs="宋体"/>
          <w:sz w:val="24"/>
          <w:szCs w:val="24"/>
        </w:rPr>
        <w:t>：政采云平台线上获取</w:t>
      </w:r>
    </w:p>
    <w:p w14:paraId="1BBF53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方式：供应商登录政采云平台https://www.zcygov.cn/在线申请获取采购文件（进入“项目采购”应用，在获取采购文件菜单中选择项目，申请获取采购文件）</w:t>
      </w:r>
    </w:p>
    <w:p w14:paraId="491B0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售价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p>
    <w:p w14:paraId="7C000785">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27" w:name="_Toc9821"/>
      <w:bookmarkStart w:id="28" w:name="_Toc17117"/>
      <w:r>
        <w:rPr>
          <w:rFonts w:hint="eastAsia" w:ascii="宋体" w:hAnsi="宋体" w:eastAsia="宋体" w:cs="宋体"/>
          <w:b/>
          <w:bCs/>
          <w:sz w:val="24"/>
          <w:szCs w:val="24"/>
          <w:lang w:eastAsia="zh-CN"/>
        </w:rPr>
        <w:t>提交</w:t>
      </w:r>
      <w:r>
        <w:rPr>
          <w:rFonts w:hint="eastAsia" w:ascii="宋体" w:hAnsi="宋体" w:cs="宋体"/>
          <w:b/>
          <w:bCs/>
          <w:sz w:val="24"/>
          <w:szCs w:val="24"/>
          <w:lang w:eastAsia="zh-CN"/>
        </w:rPr>
        <w:t>投标文件</w:t>
      </w:r>
      <w:r>
        <w:rPr>
          <w:rFonts w:hint="eastAsia" w:ascii="宋体" w:hAnsi="宋体" w:eastAsia="宋体" w:cs="宋体"/>
          <w:b/>
          <w:bCs/>
          <w:sz w:val="24"/>
          <w:szCs w:val="24"/>
          <w:lang w:eastAsia="zh-CN"/>
        </w:rPr>
        <w:t>截止时间、开标时间和地点</w:t>
      </w:r>
      <w:bookmarkEnd w:id="27"/>
      <w:bookmarkEnd w:id="28"/>
    </w:p>
    <w:p w14:paraId="7AA92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提交</w:t>
      </w:r>
      <w:r>
        <w:rPr>
          <w:rFonts w:hint="eastAsia" w:ascii="宋体" w:hAnsi="宋体" w:eastAsia="宋体" w:cs="宋体"/>
          <w:sz w:val="24"/>
          <w:szCs w:val="24"/>
          <w:lang w:eastAsia="zh-CN"/>
        </w:rPr>
        <w:t>投标文件</w:t>
      </w:r>
      <w:r>
        <w:rPr>
          <w:rFonts w:hint="eastAsia" w:ascii="宋体" w:hAnsi="宋体" w:eastAsia="宋体" w:cs="宋体"/>
          <w:sz w:val="24"/>
          <w:szCs w:val="24"/>
        </w:rPr>
        <w:t>截止时间</w:t>
      </w:r>
      <w:r>
        <w:rPr>
          <w:rFonts w:hint="eastAsia" w:ascii="宋体" w:hAnsi="宋体" w:eastAsia="宋体" w:cs="宋体"/>
          <w:sz w:val="24"/>
          <w:szCs w:val="24"/>
          <w:lang w:eastAsia="zh-CN"/>
        </w:rPr>
        <w:t>：</w:t>
      </w:r>
      <w:r>
        <w:rPr>
          <w:rFonts w:hint="eastAsia" w:ascii="宋体" w:hAnsi="宋体" w:cs="宋体"/>
          <w:sz w:val="24"/>
          <w:szCs w:val="24"/>
          <w:lang w:eastAsia="zh-CN"/>
        </w:rPr>
        <w:t>2025年</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7</w:t>
      </w:r>
      <w:r>
        <w:rPr>
          <w:rFonts w:hint="eastAsia" w:ascii="宋体" w:hAnsi="宋体" w:eastAsia="宋体" w:cs="宋体"/>
          <w:sz w:val="24"/>
          <w:szCs w:val="24"/>
          <w:lang w:eastAsia="zh-CN"/>
        </w:rPr>
        <w:t>日09:00</w:t>
      </w:r>
      <w:r>
        <w:rPr>
          <w:rFonts w:hint="eastAsia" w:ascii="宋体" w:hAnsi="宋体" w:eastAsia="宋体" w:cs="宋体"/>
          <w:sz w:val="24"/>
          <w:szCs w:val="24"/>
        </w:rPr>
        <w:t>（北京时间</w:t>
      </w:r>
      <w:r>
        <w:rPr>
          <w:rFonts w:hint="eastAsia" w:ascii="宋体" w:hAnsi="宋体" w:eastAsia="宋体" w:cs="宋体"/>
          <w:sz w:val="24"/>
          <w:szCs w:val="24"/>
          <w:lang w:eastAsia="zh-CN"/>
        </w:rPr>
        <w:t>）</w:t>
      </w:r>
    </w:p>
    <w:p w14:paraId="7DF8C9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投标地点（网址）：请登录政采云投标客户端投标</w:t>
      </w:r>
    </w:p>
    <w:p w14:paraId="62FB7B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eastAsia="宋体" w:cs="宋体"/>
          <w:sz w:val="24"/>
          <w:szCs w:val="24"/>
          <w:lang w:eastAsia="zh-CN"/>
        </w:rPr>
        <w:t>：</w:t>
      </w:r>
      <w:r>
        <w:rPr>
          <w:rFonts w:hint="eastAsia" w:ascii="宋体" w:hAnsi="宋体" w:cs="宋体"/>
          <w:sz w:val="24"/>
          <w:szCs w:val="24"/>
          <w:lang w:eastAsia="zh-CN"/>
        </w:rPr>
        <w:t>2025年</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7</w:t>
      </w:r>
      <w:r>
        <w:rPr>
          <w:rFonts w:hint="eastAsia" w:ascii="宋体" w:hAnsi="宋体" w:eastAsia="宋体" w:cs="宋体"/>
          <w:sz w:val="24"/>
          <w:szCs w:val="24"/>
          <w:lang w:eastAsia="zh-CN"/>
        </w:rPr>
        <w:t>日09:00</w:t>
      </w:r>
      <w:r>
        <w:rPr>
          <w:rFonts w:hint="eastAsia" w:ascii="宋体" w:hAnsi="宋体" w:eastAsia="宋体" w:cs="宋体"/>
          <w:sz w:val="24"/>
          <w:szCs w:val="24"/>
        </w:rPr>
        <w:t>（北京时间）</w:t>
      </w:r>
    </w:p>
    <w:p w14:paraId="3A7B7A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（网址）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在线开标浙江省台州市椒江区市府大道777号民泰大楼3楼开标室（“政采云平台（www.zcygov.cn）”）</w:t>
      </w:r>
    </w:p>
    <w:p w14:paraId="6C3A7542">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29" w:name="_Toc28359007"/>
      <w:bookmarkStart w:id="30" w:name="_Toc28359084"/>
      <w:bookmarkStart w:id="31" w:name="_Toc13510"/>
      <w:bookmarkStart w:id="32" w:name="_Toc21125"/>
      <w:r>
        <w:rPr>
          <w:rFonts w:hint="eastAsia" w:ascii="宋体" w:hAnsi="宋体" w:eastAsia="宋体" w:cs="宋体"/>
          <w:b/>
          <w:bCs/>
          <w:sz w:val="24"/>
          <w:szCs w:val="24"/>
        </w:rPr>
        <w:t>公告期限</w:t>
      </w:r>
      <w:bookmarkEnd w:id="29"/>
      <w:bookmarkEnd w:id="30"/>
      <w:bookmarkEnd w:id="31"/>
      <w:bookmarkEnd w:id="32"/>
    </w:p>
    <w:p w14:paraId="7CE11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497317DD">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33" w:name="_Toc27994"/>
      <w:bookmarkStart w:id="34" w:name="_Toc28140"/>
      <w:r>
        <w:rPr>
          <w:rFonts w:hint="eastAsia" w:ascii="宋体" w:hAnsi="宋体" w:eastAsia="宋体" w:cs="宋体"/>
          <w:b/>
          <w:bCs/>
          <w:sz w:val="24"/>
          <w:szCs w:val="24"/>
        </w:rPr>
        <w:t>其他补充事宜：</w:t>
      </w:r>
      <w:bookmarkEnd w:id="33"/>
      <w:bookmarkEnd w:id="34"/>
    </w:p>
    <w:p w14:paraId="37559D21">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E21E849">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B5A32">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供应商认为采购文件使自己的权益受到损害的，可以自获取采购文件之日或者采购公告期限届满之日起7个工作日内，对采购文件需求的以书面形式向采购人</w:t>
      </w:r>
      <w:r>
        <w:rPr>
          <w:rFonts w:hint="eastAsia" w:ascii="宋体" w:hAnsi="宋体" w:cs="宋体"/>
          <w:sz w:val="24"/>
          <w:szCs w:val="24"/>
          <w:lang w:val="en-US" w:eastAsia="zh-CN"/>
        </w:rPr>
        <w:t>或采购代理机构</w:t>
      </w:r>
      <w:r>
        <w:rPr>
          <w:rFonts w:hint="eastAsia" w:ascii="宋体" w:hAnsi="宋体" w:cs="宋体"/>
          <w:sz w:val="24"/>
          <w:szCs w:val="24"/>
          <w:lang w:eastAsia="zh-CN"/>
        </w:rPr>
        <w:t>提出质疑，对其他内容的以书面形式针对同一环节（包括采购过程、采购结果）一次性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DCBCED">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val="en-US" w:eastAsia="zh-CN"/>
        </w:rPr>
        <w:t>其他事项：</w:t>
      </w:r>
    </w:p>
    <w:p w14:paraId="49FE6D3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信用信息查询渠道及截止时点、信用信息查询记录和证据留存的具体方式、信用信息的使用规则：</w:t>
      </w:r>
    </w:p>
    <w:p w14:paraId="5EDBAF21">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查询渠道：信用中国（www.creditchina.gov.cn）、中国政府采购网（www.ccgp.gov.cn）。</w:t>
      </w:r>
    </w:p>
    <w:p w14:paraId="26D0A453">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截止时点：开标后评标前。</w:t>
      </w:r>
    </w:p>
    <w:p w14:paraId="102CCEC3">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信用信息查询记录和证据留存的具体方式：由采购代理机构在规定查询时间内查询信用信息记录并归入项目档案。</w:t>
      </w:r>
    </w:p>
    <w:p w14:paraId="2734DB5E">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使用规则：对列入失信被执行人、重大税收违法案件当事人名单、政府采购严重违法失信行为记录名单及其他不符合《中华人民共和国政府采购法》第二十二条规定条件的供应商，将被拒绝其参与采购活动。</w:t>
      </w:r>
    </w:p>
    <w:p w14:paraId="034DB78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中小企业信用融资：</w:t>
      </w:r>
      <w:r>
        <w:rPr>
          <w:rFonts w:hint="eastAsia" w:ascii="宋体" w:hAnsi="宋体" w:cs="宋体"/>
          <w:sz w:val="24"/>
          <w:szCs w:val="24"/>
          <w:lang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256EA0C">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35" w:name="_Toc10953"/>
      <w:bookmarkStart w:id="36" w:name="_Toc3682"/>
      <w:r>
        <w:rPr>
          <w:rFonts w:hint="eastAsia" w:ascii="宋体" w:hAnsi="宋体" w:eastAsia="宋体" w:cs="宋体"/>
          <w:b/>
          <w:bCs/>
          <w:sz w:val="24"/>
          <w:szCs w:val="24"/>
        </w:rPr>
        <w:t>凡对本次招标提出询问、质疑、投诉，请按以下方式联系</w:t>
      </w:r>
      <w:bookmarkEnd w:id="35"/>
      <w:bookmarkEnd w:id="36"/>
    </w:p>
    <w:p w14:paraId="4DA7B54D">
      <w:pPr>
        <w:numPr>
          <w:ilvl w:val="0"/>
          <w:numId w:val="9"/>
        </w:num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采购人信息</w:t>
      </w:r>
    </w:p>
    <w:p w14:paraId="76328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台州市自然资源和规划局</w:t>
      </w:r>
    </w:p>
    <w:p w14:paraId="1F9D86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址：浙江省台州市椒江区市府大道468号</w:t>
      </w:r>
    </w:p>
    <w:p w14:paraId="460DB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    真：/</w:t>
      </w:r>
    </w:p>
    <w:p w14:paraId="46AE14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项目联系人（询问）：慕女士</w:t>
      </w:r>
    </w:p>
    <w:p w14:paraId="334A10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项目联系方式（询问）：0576-88511322</w:t>
      </w:r>
    </w:p>
    <w:p w14:paraId="3DE288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质疑联系人：葛先生</w:t>
      </w:r>
    </w:p>
    <w:p w14:paraId="425432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质疑联系方式：0576-88488202</w:t>
      </w:r>
    </w:p>
    <w:p w14:paraId="577FB4EE">
      <w:pPr>
        <w:numPr>
          <w:ilvl w:val="0"/>
          <w:numId w:val="9"/>
        </w:numPr>
        <w:spacing w:line="360" w:lineRule="auto"/>
        <w:ind w:left="0" w:leftChars="0" w:firstLine="482" w:firstLineChars="200"/>
        <w:rPr>
          <w:rFonts w:hint="eastAsia" w:ascii="宋体" w:hAnsi="宋体" w:eastAsia="宋体" w:cs="宋体"/>
          <w:b/>
          <w:bCs/>
          <w:sz w:val="24"/>
          <w:szCs w:val="24"/>
        </w:rPr>
      </w:pPr>
      <w:bookmarkStart w:id="37" w:name="_Toc28359086"/>
      <w:bookmarkStart w:id="38" w:name="_Toc28359009"/>
      <w:r>
        <w:rPr>
          <w:rFonts w:hint="eastAsia" w:ascii="宋体" w:hAnsi="宋体" w:eastAsia="宋体" w:cs="宋体"/>
          <w:b/>
          <w:bCs/>
          <w:sz w:val="24"/>
          <w:szCs w:val="24"/>
        </w:rPr>
        <w:t>采购代理机构信息</w:t>
      </w:r>
      <w:bookmarkEnd w:id="37"/>
      <w:bookmarkEnd w:id="38"/>
    </w:p>
    <w:p w14:paraId="2024D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台州市永阳科技有限公司</w:t>
      </w:r>
    </w:p>
    <w:p w14:paraId="28C012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浙江省台州市黄岩区劳动南路尚品南郡小区2号楼2单元902室</w:t>
      </w:r>
    </w:p>
    <w:p w14:paraId="19CC6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传    真：/</w:t>
      </w:r>
    </w:p>
    <w:p w14:paraId="353C8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项目联系人（询问）</w:t>
      </w:r>
      <w:r>
        <w:rPr>
          <w:rFonts w:hint="eastAsia" w:ascii="宋体" w:hAnsi="宋体" w:eastAsia="宋体" w:cs="宋体"/>
          <w:sz w:val="24"/>
          <w:szCs w:val="24"/>
        </w:rPr>
        <w:t>：</w:t>
      </w:r>
      <w:r>
        <w:rPr>
          <w:rFonts w:hint="eastAsia" w:ascii="宋体" w:hAnsi="宋体" w:eastAsia="宋体" w:cs="宋体"/>
          <w:sz w:val="24"/>
          <w:szCs w:val="24"/>
          <w:lang w:val="en-US" w:eastAsia="zh-CN"/>
        </w:rPr>
        <w:t>周先生</w:t>
      </w:r>
    </w:p>
    <w:p w14:paraId="191AE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项目联系方式（询问）：</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8958682891</w:t>
      </w:r>
    </w:p>
    <w:p w14:paraId="7904F5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质疑联系人：</w:t>
      </w:r>
      <w:r>
        <w:rPr>
          <w:rFonts w:hint="eastAsia" w:ascii="宋体" w:hAnsi="宋体" w:cs="宋体"/>
          <w:sz w:val="24"/>
          <w:szCs w:val="24"/>
          <w:lang w:val="en-US" w:eastAsia="zh-CN"/>
        </w:rPr>
        <w:t>杨先生</w:t>
      </w:r>
    </w:p>
    <w:p w14:paraId="7F9082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质疑联系方式：15757655840</w:t>
      </w:r>
    </w:p>
    <w:p w14:paraId="438F0C28">
      <w:pPr>
        <w:numPr>
          <w:ilvl w:val="0"/>
          <w:numId w:val="9"/>
        </w:num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同级政府采购监督管理部门</w:t>
      </w:r>
    </w:p>
    <w:p w14:paraId="48AB0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称：台州市财政局</w:t>
      </w:r>
    </w:p>
    <w:p w14:paraId="01782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址：浙江省台州市</w:t>
      </w:r>
      <w:r>
        <w:rPr>
          <w:rFonts w:hint="eastAsia" w:ascii="宋体" w:hAnsi="宋体" w:eastAsia="宋体" w:cs="宋体"/>
          <w:sz w:val="24"/>
          <w:szCs w:val="24"/>
          <w:lang w:eastAsia="zh-CN"/>
        </w:rPr>
        <w:t>台州湾新区</w:t>
      </w:r>
      <w:r>
        <w:rPr>
          <w:rFonts w:hint="eastAsia" w:ascii="宋体" w:hAnsi="宋体" w:eastAsia="宋体" w:cs="宋体"/>
          <w:sz w:val="24"/>
          <w:szCs w:val="24"/>
        </w:rPr>
        <w:t>纬一路66号</w:t>
      </w:r>
    </w:p>
    <w:p w14:paraId="4A3F4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传    真：/</w:t>
      </w:r>
    </w:p>
    <w:p w14:paraId="5C541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陈</w:t>
      </w:r>
      <w:r>
        <w:rPr>
          <w:rFonts w:hint="eastAsia" w:ascii="宋体" w:hAnsi="宋体" w:eastAsia="宋体" w:cs="宋体"/>
          <w:sz w:val="24"/>
          <w:szCs w:val="24"/>
        </w:rPr>
        <w:t>老师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李老师</w:t>
      </w:r>
    </w:p>
    <w:p w14:paraId="319892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监督</w:t>
      </w:r>
      <w:r>
        <w:rPr>
          <w:rFonts w:hint="eastAsia" w:ascii="宋体" w:hAnsi="宋体" w:eastAsia="宋体" w:cs="宋体"/>
          <w:sz w:val="24"/>
          <w:szCs w:val="24"/>
          <w:lang w:val="en-US" w:eastAsia="zh-CN"/>
        </w:rPr>
        <w:t>投诉</w:t>
      </w:r>
      <w:r>
        <w:rPr>
          <w:rFonts w:hint="eastAsia" w:ascii="宋体" w:hAnsi="宋体" w:eastAsia="宋体" w:cs="宋体"/>
          <w:sz w:val="24"/>
          <w:szCs w:val="24"/>
        </w:rPr>
        <w:t>电话：</w:t>
      </w:r>
      <w:r>
        <w:rPr>
          <w:rFonts w:hint="eastAsia" w:ascii="宋体" w:hAnsi="宋体" w:eastAsia="宋体" w:cs="宋体"/>
          <w:sz w:val="24"/>
          <w:szCs w:val="24"/>
          <w:lang w:eastAsia="zh-CN"/>
        </w:rPr>
        <w:t>0576-88206705、</w:t>
      </w:r>
      <w:r>
        <w:rPr>
          <w:rFonts w:hint="eastAsia" w:ascii="宋体" w:hAnsi="宋体" w:eastAsia="宋体" w:cs="宋体"/>
          <w:sz w:val="24"/>
          <w:szCs w:val="24"/>
          <w:lang w:val="en-US" w:eastAsia="zh-CN"/>
        </w:rPr>
        <w:t>0576-88206731</w:t>
      </w:r>
    </w:p>
    <w:p w14:paraId="2F84DB86">
      <w:pPr>
        <w:pStyle w:val="4"/>
        <w:rPr>
          <w:rFonts w:hint="eastAsia" w:ascii="宋体" w:hAnsi="宋体" w:cs="宋体"/>
          <w:sz w:val="24"/>
          <w:szCs w:val="24"/>
          <w:lang w:val="en-US" w:eastAsia="zh-CN"/>
        </w:rPr>
      </w:pPr>
    </w:p>
    <w:p w14:paraId="7C547DF1">
      <w:pPr>
        <w:jc w:val="right"/>
        <w:rPr>
          <w:rFonts w:hint="eastAsia" w:eastAsia="宋体"/>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71ECF2A8">
      <w:pPr>
        <w:numPr>
          <w:ilvl w:val="0"/>
          <w:numId w:val="10"/>
        </w:numPr>
        <w:spacing w:line="360" w:lineRule="auto"/>
        <w:jc w:val="center"/>
        <w:outlineLvl w:val="0"/>
        <w:rPr>
          <w:rFonts w:hint="eastAsia" w:ascii="宋体" w:hAnsi="宋体" w:eastAsia="宋体" w:cs="宋体"/>
          <w:b/>
          <w:sz w:val="36"/>
          <w:szCs w:val="36"/>
        </w:rPr>
      </w:pPr>
      <w:bookmarkStart w:id="39" w:name="_Toc15478"/>
      <w:bookmarkStart w:id="40" w:name="_Toc10336"/>
      <w:r>
        <w:rPr>
          <w:rFonts w:hint="eastAsia" w:ascii="宋体" w:hAnsi="宋体" w:eastAsia="宋体" w:cs="宋体"/>
          <w:b/>
          <w:sz w:val="36"/>
          <w:szCs w:val="36"/>
          <w:lang w:eastAsia="zh-CN"/>
        </w:rPr>
        <w:t>投标人</w:t>
      </w:r>
      <w:r>
        <w:rPr>
          <w:rFonts w:hint="eastAsia" w:ascii="宋体" w:hAnsi="宋体" w:eastAsia="宋体" w:cs="宋体"/>
          <w:b/>
          <w:sz w:val="36"/>
          <w:szCs w:val="36"/>
        </w:rPr>
        <w:t>须知</w:t>
      </w:r>
      <w:bookmarkEnd w:id="39"/>
      <w:bookmarkEnd w:id="40"/>
    </w:p>
    <w:p w14:paraId="1FF2D8B9">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1" w:name="_Toc11796"/>
      <w:r>
        <w:rPr>
          <w:rFonts w:hint="eastAsia" w:ascii="宋体" w:hAnsi="宋体" w:eastAsia="宋体" w:cs="宋体"/>
          <w:sz w:val="24"/>
          <w:szCs w:val="24"/>
        </w:rPr>
        <w:t>前附表</w:t>
      </w:r>
      <w:bookmarkEnd w:id="41"/>
    </w:p>
    <w:tbl>
      <w:tblPr>
        <w:tblStyle w:val="2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07"/>
        <w:gridCol w:w="6501"/>
      </w:tblGrid>
      <w:tr w14:paraId="5933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9150813">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07" w:type="dxa"/>
            <w:tcBorders>
              <w:top w:val="single" w:color="auto" w:sz="4" w:space="0"/>
              <w:left w:val="single" w:color="auto" w:sz="4" w:space="0"/>
              <w:bottom w:val="single" w:color="auto" w:sz="4" w:space="0"/>
              <w:right w:val="single" w:color="auto" w:sz="4" w:space="0"/>
            </w:tcBorders>
            <w:vAlign w:val="center"/>
          </w:tcPr>
          <w:p w14:paraId="6948B7A7">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28B1D06F">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本项目的特别规定</w:t>
            </w:r>
          </w:p>
        </w:tc>
      </w:tr>
      <w:tr w14:paraId="156F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592066C">
            <w:pPr>
              <w:numPr>
                <w:ilvl w:val="0"/>
                <w:numId w:val="12"/>
              </w:numPr>
              <w:bidi w:val="0"/>
              <w:ind w:left="0" w:leftChars="0" w:firstLine="0" w:firstLineChars="0"/>
              <w:jc w:val="center"/>
              <w:rPr>
                <w:rFonts w:hint="eastAsia"/>
              </w:rPr>
            </w:pPr>
          </w:p>
        </w:tc>
        <w:tc>
          <w:tcPr>
            <w:tcW w:w="1907" w:type="dxa"/>
            <w:tcBorders>
              <w:top w:val="single" w:color="auto" w:sz="4" w:space="0"/>
              <w:left w:val="single" w:color="auto" w:sz="4" w:space="0"/>
              <w:bottom w:val="single" w:color="auto" w:sz="4" w:space="0"/>
              <w:right w:val="single" w:color="auto" w:sz="4" w:space="0"/>
            </w:tcBorders>
            <w:vAlign w:val="center"/>
          </w:tcPr>
          <w:p w14:paraId="3E19A1C2">
            <w:pPr>
              <w:autoSpaceDE w:val="0"/>
              <w:autoSpaceDN w:val="0"/>
              <w:adjustRightInd w:val="0"/>
              <w:jc w:val="center"/>
              <w:rPr>
                <w:rFonts w:hint="eastAsia"/>
                <w:lang w:val="en-US" w:eastAsia="zh-CN"/>
              </w:rPr>
            </w:pPr>
            <w:r>
              <w:rPr>
                <w:rFonts w:hint="eastAsia" w:ascii="宋体" w:hAnsi="宋体" w:eastAsia="宋体" w:cs="宋体"/>
                <w:sz w:val="21"/>
                <w:szCs w:val="21"/>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1E24107B">
            <w:pPr>
              <w:autoSpaceDE w:val="0"/>
              <w:autoSpaceDN w:val="0"/>
              <w:adjustRightInd w:val="0"/>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不接受/</w:t>
            </w:r>
            <w:r>
              <w:rPr>
                <w:rFonts w:hint="eastAsia" w:ascii="宋体" w:hAnsi="宋体" w:eastAsia="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接受</w:t>
            </w:r>
          </w:p>
        </w:tc>
      </w:tr>
      <w:tr w14:paraId="5A1E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AED351A">
            <w:pPr>
              <w:numPr>
                <w:ilvl w:val="0"/>
                <w:numId w:val="12"/>
              </w:numPr>
              <w:bidi w:val="0"/>
              <w:ind w:left="0" w:leftChars="0" w:firstLine="0" w:firstLineChars="0"/>
              <w:jc w:val="center"/>
              <w:rPr>
                <w:rFonts w:hint="eastAsia"/>
              </w:rPr>
            </w:pPr>
          </w:p>
        </w:tc>
        <w:tc>
          <w:tcPr>
            <w:tcW w:w="1907" w:type="dxa"/>
            <w:tcBorders>
              <w:top w:val="single" w:color="auto" w:sz="4" w:space="0"/>
              <w:left w:val="single" w:color="auto" w:sz="4" w:space="0"/>
              <w:bottom w:val="single" w:color="auto" w:sz="4" w:space="0"/>
              <w:right w:val="single" w:color="auto" w:sz="4" w:space="0"/>
            </w:tcBorders>
            <w:vAlign w:val="center"/>
          </w:tcPr>
          <w:p w14:paraId="1D95C023">
            <w:pPr>
              <w:autoSpaceDE w:val="0"/>
              <w:autoSpaceDN w:val="0"/>
              <w:adjustRightInd w:val="0"/>
              <w:jc w:val="center"/>
              <w:rPr>
                <w:rFonts w:hint="eastAsia"/>
                <w:lang w:val="en-US" w:eastAsia="zh-CN"/>
              </w:rPr>
            </w:pPr>
            <w:r>
              <w:rPr>
                <w:rFonts w:hint="eastAsia" w:ascii="宋体" w:hAnsi="宋体" w:eastAsia="宋体" w:cs="宋体"/>
                <w:sz w:val="21"/>
                <w:szCs w:val="21"/>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7F035971">
            <w:pPr>
              <w:autoSpaceDE w:val="0"/>
              <w:autoSpaceDN w:val="0"/>
              <w:adjustRightInd w:val="0"/>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不允许/□ 允许</w:t>
            </w:r>
          </w:p>
        </w:tc>
      </w:tr>
      <w:tr w14:paraId="116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7CBA84E">
            <w:pPr>
              <w:numPr>
                <w:ilvl w:val="0"/>
                <w:numId w:val="12"/>
              </w:numPr>
              <w:bidi w:val="0"/>
              <w:ind w:left="0" w:leftChars="0" w:firstLine="0" w:firstLineChars="0"/>
              <w:jc w:val="center"/>
              <w:rPr>
                <w:rFonts w:hint="eastAsia"/>
              </w:rPr>
            </w:pPr>
          </w:p>
        </w:tc>
        <w:tc>
          <w:tcPr>
            <w:tcW w:w="1907" w:type="dxa"/>
            <w:tcBorders>
              <w:top w:val="single" w:color="auto" w:sz="4" w:space="0"/>
              <w:left w:val="single" w:color="auto" w:sz="4" w:space="0"/>
              <w:bottom w:val="single" w:color="auto" w:sz="4" w:space="0"/>
              <w:right w:val="single" w:color="auto" w:sz="4" w:space="0"/>
            </w:tcBorders>
            <w:vAlign w:val="center"/>
          </w:tcPr>
          <w:p w14:paraId="018F9DD1">
            <w:pPr>
              <w:jc w:val="center"/>
              <w:rPr>
                <w:rFonts w:hint="eastAsia"/>
                <w:lang w:val="en-US" w:eastAsia="zh-CN"/>
              </w:rPr>
            </w:pPr>
            <w:r>
              <w:rPr>
                <w:rFonts w:hint="eastAsia" w:ascii="宋体" w:hAnsi="宋体" w:cs="宋体"/>
                <w:color w:val="auto"/>
                <w:sz w:val="21"/>
                <w:szCs w:val="21"/>
                <w:lang w:val="en-US" w:eastAsia="zh-CN"/>
              </w:rPr>
              <w:t>采购标的所属行业</w:t>
            </w:r>
          </w:p>
        </w:tc>
        <w:tc>
          <w:tcPr>
            <w:tcW w:w="6501" w:type="dxa"/>
            <w:tcBorders>
              <w:top w:val="single" w:color="auto" w:sz="4" w:space="0"/>
              <w:left w:val="single" w:color="auto" w:sz="4" w:space="0"/>
              <w:bottom w:val="single" w:color="auto" w:sz="4" w:space="0"/>
              <w:right w:val="single" w:color="auto" w:sz="4" w:space="0"/>
            </w:tcBorders>
            <w:vAlign w:val="center"/>
          </w:tcPr>
          <w:p w14:paraId="35A7E070">
            <w:pPr>
              <w:rPr>
                <w:rFonts w:hint="default" w:ascii="宋体" w:hAnsi="宋体" w:eastAsia="宋体" w:cs="宋体"/>
                <w:kern w:val="0"/>
                <w:sz w:val="21"/>
                <w:szCs w:val="21"/>
                <w:lang w:val="en-US" w:eastAsia="zh-CN"/>
              </w:rPr>
            </w:pPr>
            <w:r>
              <w:rPr>
                <w:rFonts w:hint="eastAsia" w:ascii="宋体" w:hAnsi="宋体" w:eastAsia="宋体" w:cs="宋体"/>
                <w:color w:val="auto"/>
                <w:sz w:val="21"/>
                <w:szCs w:val="21"/>
              </w:rPr>
              <w:t>其他未列明行业</w:t>
            </w:r>
          </w:p>
        </w:tc>
      </w:tr>
      <w:tr w14:paraId="21E5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5FFF192">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0FA76B54">
            <w:pPr>
              <w:bidi w:val="0"/>
              <w:jc w:val="center"/>
              <w:rPr>
                <w:rFonts w:hint="eastAsia"/>
              </w:rPr>
            </w:pPr>
            <w:r>
              <w:rPr>
                <w:rFonts w:hint="eastAsia"/>
              </w:rPr>
              <w:t>答疑会或</w:t>
            </w:r>
          </w:p>
          <w:p w14:paraId="0C09B9EF">
            <w:pPr>
              <w:bidi w:val="0"/>
              <w:jc w:val="center"/>
              <w:rPr>
                <w:rFonts w:hint="eastAsia"/>
              </w:rPr>
            </w:pPr>
            <w:r>
              <w:rPr>
                <w:rFonts w:hint="eastAsia"/>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0C7F44E1">
            <w:pPr>
              <w:rPr>
                <w:rFonts w:hint="eastAsia" w:ascii="宋体" w:hAnsi="宋体" w:eastAsia="宋体" w:cs="宋体"/>
                <w:kern w:val="0"/>
                <w:sz w:val="21"/>
                <w:szCs w:val="21"/>
              </w:rPr>
            </w:pPr>
            <w:r>
              <w:rPr>
                <w:rFonts w:hint="eastAsia" w:ascii="宋体" w:hAnsi="宋体" w:eastAsia="宋体" w:cs="宋体"/>
                <w:sz w:val="21"/>
                <w:szCs w:val="21"/>
              </w:rPr>
              <w:t>无</w:t>
            </w:r>
          </w:p>
        </w:tc>
      </w:tr>
      <w:tr w14:paraId="1764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72AE610">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221B93EF">
            <w:pPr>
              <w:bidi w:val="0"/>
              <w:jc w:val="center"/>
              <w:rPr>
                <w:rFonts w:hint="eastAsia"/>
              </w:rPr>
            </w:pPr>
            <w:r>
              <w:rPr>
                <w:rFonts w:hint="eastAsia"/>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7E03DCFB">
            <w:pPr>
              <w:bidi w:val="0"/>
              <w:rPr>
                <w:rFonts w:hint="eastAsia"/>
              </w:rPr>
            </w:pPr>
            <w:r>
              <w:rPr>
                <w:rFonts w:hint="eastAsia"/>
              </w:rPr>
              <w:t>请投标人在投标前仔细阅读“政府采购项目电子交易操作指南”。</w:t>
            </w:r>
          </w:p>
          <w:p w14:paraId="69392D55">
            <w:pPr>
              <w:numPr>
                <w:ilvl w:val="0"/>
                <w:numId w:val="13"/>
              </w:numPr>
              <w:bidi w:val="0"/>
              <w:ind w:left="0" w:leftChars="0" w:firstLine="420" w:firstLineChars="200"/>
              <w:rPr>
                <w:rFonts w:hint="eastAsia"/>
              </w:rPr>
            </w:pPr>
            <w:r>
              <w:rPr>
                <w:rFonts w:hint="eastAsia"/>
              </w:rPr>
              <w:t>投标文件的制作：投标人按照本项目招标文件和政采云平台的要求</w:t>
            </w:r>
            <w:r>
              <w:rPr>
                <w:rFonts w:hint="eastAsia"/>
                <w:lang w:eastAsia="zh-CN"/>
              </w:rPr>
              <w:t>，</w:t>
            </w:r>
            <w:r>
              <w:rPr>
                <w:rFonts w:hint="eastAsia"/>
              </w:rPr>
              <w:t>通过“政采云电子交易客户端”编制、加密并递交投标文件（网址：</w:t>
            </w:r>
            <w:r>
              <w:rPr>
                <w:rFonts w:hint="eastAsia"/>
              </w:rPr>
              <w:fldChar w:fldCharType="begin"/>
            </w:r>
            <w:r>
              <w:rPr>
                <w:rFonts w:hint="eastAsia"/>
              </w:rPr>
              <w:instrText xml:space="preserve"> HYPERLINK "http://www.zjzfcg.gov.cn/bidClientTemplate/2019-09-24/12975.html）。" </w:instrText>
            </w:r>
            <w:r>
              <w:rPr>
                <w:rFonts w:hint="eastAsia"/>
              </w:rPr>
              <w:fldChar w:fldCharType="separate"/>
            </w:r>
            <w:r>
              <w:rPr>
                <w:rFonts w:hint="eastAsia"/>
                <w:lang w:eastAsia="zh-CN"/>
              </w:rPr>
              <w:t>zfcg.czt.zj.gov.cn/bidClientTemplate/2021-11-01/12975.html</w:t>
            </w:r>
            <w:r>
              <w:rPr>
                <w:rFonts w:hint="eastAsia"/>
              </w:rPr>
              <w:t>）。</w:t>
            </w:r>
            <w:r>
              <w:rPr>
                <w:rFonts w:hint="eastAsia"/>
              </w:rPr>
              <w:fldChar w:fldCharType="end"/>
            </w:r>
          </w:p>
          <w:p w14:paraId="53DBC2F8">
            <w:pPr>
              <w:numPr>
                <w:ilvl w:val="0"/>
                <w:numId w:val="13"/>
              </w:numPr>
              <w:bidi w:val="0"/>
              <w:ind w:left="0" w:leftChars="0" w:firstLine="420" w:firstLineChars="200"/>
              <w:rPr>
                <w:rFonts w:hint="eastAsia"/>
              </w:rPr>
            </w:pPr>
            <w:r>
              <w:rPr>
                <w:rFonts w:hint="eastAsia"/>
              </w:rPr>
              <w:t>投标：投标人应当在投标截止时间前完成投标文件的传输递交，逾期上传的投标文件恕不接受。补充或者修改投标文件的，应当先行撤回原文件，补充、修改后重新传输递交。投标截止时间前未完成上传的，视为撤回投标文件。</w:t>
            </w:r>
          </w:p>
          <w:p w14:paraId="7B94F654">
            <w:pPr>
              <w:numPr>
                <w:ilvl w:val="0"/>
                <w:numId w:val="13"/>
              </w:numPr>
              <w:bidi w:val="0"/>
              <w:ind w:left="0" w:leftChars="0" w:firstLine="420" w:firstLineChars="200"/>
              <w:rPr>
                <w:rFonts w:hint="eastAsia" w:ascii="宋体" w:hAnsi="宋体" w:eastAsia="宋体" w:cs="宋体"/>
                <w:color w:val="auto"/>
                <w:kern w:val="0"/>
                <w:szCs w:val="21"/>
              </w:rPr>
            </w:pPr>
            <w:r>
              <w:rPr>
                <w:rFonts w:hint="eastAsia"/>
              </w:rPr>
              <w:t>投标文件解密：投标人应在</w:t>
            </w:r>
            <w:r>
              <w:rPr>
                <w:rFonts w:hint="eastAsia"/>
                <w:lang w:val="en-US" w:eastAsia="zh-CN"/>
              </w:rPr>
              <w:t>接到解密通知后30分钟内自行“电子加密投标文</w:t>
            </w:r>
            <w:r>
              <w:rPr>
                <w:rFonts w:hint="eastAsia" w:ascii="宋体" w:hAnsi="宋体" w:eastAsia="宋体" w:cs="宋体"/>
                <w:color w:val="auto"/>
                <w:szCs w:val="21"/>
                <w:lang w:val="en-US" w:eastAsia="zh-CN"/>
              </w:rPr>
              <w:t>件”的在线解密</w:t>
            </w:r>
            <w:r>
              <w:rPr>
                <w:rFonts w:hint="eastAsia" w:ascii="宋体" w:hAnsi="宋体" w:eastAsia="宋体" w:cs="宋体"/>
                <w:color w:val="auto"/>
                <w:szCs w:val="21"/>
              </w:rPr>
              <w:t>。</w:t>
            </w:r>
          </w:p>
        </w:tc>
      </w:tr>
      <w:tr w14:paraId="516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73A7A9A">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24894E7D">
            <w:pPr>
              <w:bidi w:val="0"/>
              <w:jc w:val="center"/>
              <w:rPr>
                <w:rFonts w:hint="eastAsia"/>
              </w:rPr>
            </w:pPr>
            <w:r>
              <w:rPr>
                <w:rFonts w:hint="eastAsia"/>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468B321A">
            <w:pPr>
              <w:bidi w:val="0"/>
              <w:rPr>
                <w:rFonts w:hint="eastAsia"/>
                <w:color w:val="auto"/>
                <w:lang w:val="en-US" w:eastAsia="zh-CN"/>
              </w:rPr>
            </w:pPr>
            <w:r>
              <w:rPr>
                <w:rFonts w:hint="eastAsia" w:ascii="宋体" w:hAnsi="宋体" w:cs="宋体"/>
                <w:color w:val="auto"/>
                <w:szCs w:val="21"/>
              </w:rPr>
              <w:t>备份响应文件是通过</w:t>
            </w:r>
            <w:r>
              <w:rPr>
                <w:rFonts w:hint="eastAsia"/>
                <w:color w:val="auto"/>
              </w:rPr>
              <w:t>“政采云电子交易客户端”</w:t>
            </w:r>
            <w:r>
              <w:rPr>
                <w:rFonts w:hint="eastAsia"/>
                <w:color w:val="auto"/>
                <w:lang w:eastAsia="zh-CN"/>
              </w:rPr>
              <w:t>制作</w:t>
            </w:r>
            <w:r>
              <w:rPr>
                <w:rFonts w:hint="eastAsia" w:ascii="宋体" w:hAnsi="宋体" w:cs="宋体"/>
                <w:color w:val="auto"/>
                <w:szCs w:val="21"/>
              </w:rPr>
              <w:t>响应文件产生的备份文件</w:t>
            </w:r>
            <w:r>
              <w:rPr>
                <w:rFonts w:hint="eastAsia"/>
                <w:color w:val="auto"/>
                <w:lang w:val="en-US" w:eastAsia="zh-CN"/>
              </w:rPr>
              <w:t>，投标人自行确定是否提交</w:t>
            </w:r>
            <w:r>
              <w:rPr>
                <w:rFonts w:hint="eastAsia"/>
                <w:b/>
                <w:bCs/>
                <w:color w:val="auto"/>
                <w:lang w:val="en-US" w:eastAsia="zh-CN"/>
              </w:rPr>
              <w:t>（自愿提供，非实质性要求，因无法读取的后果由投标人自行承担；以邮件收到的时间为准，逾期或不符合规定的投标文件恕不接受）</w:t>
            </w:r>
            <w:r>
              <w:rPr>
                <w:rFonts w:hint="eastAsia"/>
                <w:color w:val="auto"/>
                <w:lang w:val="en-US" w:eastAsia="zh-CN"/>
              </w:rPr>
              <w:t>。若提交，请在投标截止时间前将备份投标文件打包压缩加密（未加密造成泄密的由投标人自行承担）后以电子邮件的形式发送至15757655840@163.com ，备份投标文件在“电子加密投标文件”在线解密失败后启用，否则不予以启用；投标人确认“电子加密投标文件”在线解密失败后，将打包压缩加密的备份投标文件的解密密码在解密规定的时间（投标截止时间后30分钟内）发送至上述邮箱内，未在规定时间内发送造成的投标无效或失败由投标人自行承担。提交备份投标文件和解密密码时，应写明投标人名称和所投项目名称。</w:t>
            </w:r>
          </w:p>
          <w:p w14:paraId="40B93942">
            <w:pPr>
              <w:bidi w:val="0"/>
              <w:rPr>
                <w:rFonts w:hint="eastAsia"/>
                <w:b/>
                <w:bCs/>
                <w:color w:val="auto"/>
                <w:lang w:val="en-US" w:eastAsia="zh-CN"/>
              </w:rPr>
            </w:pPr>
            <w:r>
              <w:rPr>
                <w:rFonts w:hint="eastAsia"/>
                <w:b/>
                <w:bCs/>
                <w:color w:val="auto"/>
                <w:lang w:val="en-US" w:eastAsia="zh-CN"/>
              </w:rPr>
              <w:t>提示：</w:t>
            </w:r>
          </w:p>
          <w:p w14:paraId="717E806A">
            <w:pPr>
              <w:numPr>
                <w:ilvl w:val="0"/>
                <w:numId w:val="14"/>
              </w:numPr>
              <w:ind w:left="0" w:leftChars="0" w:firstLine="420" w:firstLineChars="200"/>
              <w:rPr>
                <w:rFonts w:hint="eastAsia"/>
                <w:color w:val="auto"/>
                <w:lang w:eastAsia="zh-CN"/>
              </w:rPr>
            </w:pPr>
            <w:r>
              <w:rPr>
                <w:rFonts w:hint="eastAsia"/>
                <w:color w:val="auto"/>
                <w:lang w:eastAsia="zh-CN"/>
              </w:rPr>
              <w:t>投标文件已按时解密的，备份投标文件自动失效。</w:t>
            </w:r>
          </w:p>
          <w:p w14:paraId="6CA715C5">
            <w:pPr>
              <w:numPr>
                <w:ilvl w:val="0"/>
                <w:numId w:val="14"/>
              </w:numPr>
              <w:ind w:left="0" w:leftChars="0" w:firstLine="420" w:firstLineChars="200"/>
              <w:rPr>
                <w:rFonts w:hint="eastAsia"/>
                <w:color w:val="auto"/>
                <w:lang w:eastAsia="zh-CN"/>
              </w:rPr>
            </w:pPr>
            <w:r>
              <w:rPr>
                <w:rFonts w:hint="eastAsia"/>
                <w:color w:val="auto"/>
                <w:lang w:eastAsia="zh-CN"/>
              </w:rPr>
              <w:t>投标文件未按时解密，供应商提供了备份投标文件的，以备份投标文件作为依据，否则视为投标文件撤回。</w:t>
            </w:r>
          </w:p>
          <w:p w14:paraId="71D41F26">
            <w:pPr>
              <w:numPr>
                <w:ilvl w:val="0"/>
                <w:numId w:val="14"/>
              </w:numPr>
              <w:ind w:left="0" w:leftChars="0" w:firstLine="420" w:firstLineChars="200"/>
              <w:rPr>
                <w:rFonts w:hint="eastAsia"/>
                <w:color w:val="auto"/>
                <w:shd w:val="clear" w:color="auto" w:fill="auto"/>
                <w:lang w:eastAsia="zh-CN"/>
              </w:rPr>
            </w:pPr>
            <w:r>
              <w:rPr>
                <w:rFonts w:hint="eastAsia"/>
                <w:color w:val="auto"/>
                <w:shd w:val="clear" w:color="auto" w:fill="auto"/>
                <w:lang w:eastAsia="zh-CN"/>
              </w:rPr>
              <w:t>投标文件未按时解密，又未提供备份投标文件的，视为放弃投标。</w:t>
            </w:r>
          </w:p>
          <w:p w14:paraId="3A31862B">
            <w:pPr>
              <w:numPr>
                <w:ilvl w:val="0"/>
                <w:numId w:val="14"/>
              </w:numPr>
              <w:ind w:left="0" w:leftChars="0" w:firstLine="420" w:firstLineChars="200"/>
              <w:rPr>
                <w:rFonts w:hint="eastAsia" w:ascii="宋体" w:hAnsi="宋体" w:eastAsia="宋体" w:cs="宋体"/>
                <w:color w:val="auto"/>
                <w:kern w:val="0"/>
                <w:szCs w:val="21"/>
              </w:rPr>
            </w:pPr>
            <w:r>
              <w:rPr>
                <w:rFonts w:hint="eastAsia"/>
                <w:color w:val="auto"/>
                <w:shd w:val="clear" w:color="auto" w:fill="auto"/>
                <w:lang w:eastAsia="zh-CN"/>
              </w:rPr>
              <w:t>供应</w:t>
            </w:r>
            <w:r>
              <w:rPr>
                <w:rFonts w:hint="eastAsia"/>
                <w:b w:val="0"/>
                <w:bCs w:val="0"/>
                <w:color w:val="auto"/>
                <w:shd w:val="clear" w:color="auto" w:fill="auto"/>
                <w:lang w:eastAsia="zh-CN"/>
              </w:rPr>
              <w:t>商</w:t>
            </w:r>
            <w:r>
              <w:rPr>
                <w:rFonts w:hint="eastAsia" w:ascii="宋体" w:hAnsi="宋体" w:eastAsia="宋体" w:cs="宋体"/>
                <w:b w:val="0"/>
                <w:bCs w:val="0"/>
                <w:color w:val="auto"/>
                <w:szCs w:val="21"/>
                <w:highlight w:val="none"/>
                <w:lang w:eastAsia="zh-CN"/>
              </w:rPr>
              <w:t>仅提交备份投标文件的，投标无效。</w:t>
            </w:r>
          </w:p>
        </w:tc>
      </w:tr>
      <w:tr w14:paraId="1DA0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2941524">
            <w:pPr>
              <w:numPr>
                <w:ilvl w:val="0"/>
                <w:numId w:val="12"/>
              </w:numPr>
              <w:bidi w:val="0"/>
              <w:ind w:left="0" w:leftChars="0" w:firstLine="0" w:firstLineChars="0"/>
              <w:jc w:val="center"/>
              <w:rPr>
                <w:rFonts w:hint="default"/>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63025D2B">
            <w:pPr>
              <w:bidi w:val="0"/>
              <w:jc w:val="center"/>
              <w:rPr>
                <w:rFonts w:hint="eastAsia"/>
                <w:lang w:val="en-US" w:eastAsia="zh-CN"/>
              </w:rPr>
            </w:pPr>
            <w:r>
              <w:rPr>
                <w:rFonts w:hint="eastAsia"/>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2BAB49BD">
            <w:pPr>
              <w:keepNext w:val="0"/>
              <w:keepLines w:val="0"/>
              <w:pageBreakBefore w:val="0"/>
              <w:numPr>
                <w:ilvl w:val="0"/>
                <w:numId w:val="15"/>
              </w:numPr>
              <w:kinsoku/>
              <w:wordWrap/>
              <w:overflowPunct/>
              <w:topLinePunct w:val="0"/>
              <w:bidi w:val="0"/>
              <w:adjustRightInd/>
              <w:snapToGrid/>
              <w:spacing w:beforeAutospacing="0" w:afterAutospacing="0" w:line="360" w:lineRule="auto"/>
              <w:ind w:left="0" w:leftChars="0" w:firstLine="420" w:firstLineChars="200"/>
              <w:jc w:val="left"/>
              <w:textAlignment w:val="auto"/>
              <w:rPr>
                <w:rFonts w:hint="eastAsia"/>
              </w:rPr>
            </w:pPr>
            <w:r>
              <w:rPr>
                <w:rFonts w:hint="eastAsia"/>
              </w:rPr>
              <w:t>本项目实行电子投标，投标人自行承担投标一切费用。</w:t>
            </w:r>
          </w:p>
          <w:p w14:paraId="3F04B6F2">
            <w:pPr>
              <w:keepNext w:val="0"/>
              <w:keepLines w:val="0"/>
              <w:pageBreakBefore w:val="0"/>
              <w:numPr>
                <w:ilvl w:val="0"/>
                <w:numId w:val="15"/>
              </w:numPr>
              <w:kinsoku/>
              <w:wordWrap/>
              <w:overflowPunct/>
              <w:topLinePunct w:val="0"/>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kern w:val="2"/>
                <w:szCs w:val="21"/>
                <w:lang w:val="en-US" w:eastAsia="zh-CN" w:bidi="ar-SA"/>
              </w:rPr>
            </w:pPr>
            <w:r>
              <w:rPr>
                <w:rFonts w:hint="eastAsia"/>
              </w:rPr>
              <w:t>标前准备：投标人在开标前确保成为</w:t>
            </w:r>
            <w:r>
              <w:rPr>
                <w:rFonts w:hint="eastAsia"/>
                <w:lang w:eastAsia="zh-CN"/>
              </w:rPr>
              <w:t>浙江政府采购网</w:t>
            </w:r>
            <w:r>
              <w:rPr>
                <w:rFonts w:hint="eastAsia"/>
              </w:rPr>
              <w:t>正式注册用户，并完成CA数字证书办</w:t>
            </w:r>
            <w:r>
              <w:rPr>
                <w:rFonts w:hint="eastAsia"/>
                <w:highlight w:val="none"/>
              </w:rPr>
              <w:t>理（办理流程详见招标公告附件：“CA申领操作指南.pdf”）</w:t>
            </w:r>
            <w:r>
              <w:rPr>
                <w:rFonts w:hint="eastAsia" w:ascii="宋体" w:hAnsi="宋体" w:eastAsia="宋体" w:cs="宋体"/>
                <w:bCs/>
                <w:szCs w:val="21"/>
                <w:highlight w:val="none"/>
              </w:rPr>
              <w:t>。因</w:t>
            </w:r>
            <w:r>
              <w:rPr>
                <w:rFonts w:hint="eastAsia" w:ascii="宋体" w:hAnsi="宋体" w:eastAsia="宋体" w:cs="宋体"/>
                <w:bCs/>
                <w:szCs w:val="21"/>
              </w:rPr>
              <w:t>未注册入库、未办理CA数字证书等原因造成无法投标或投标失败等后果由投标人自行承担。</w:t>
            </w:r>
          </w:p>
        </w:tc>
      </w:tr>
      <w:tr w14:paraId="6678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tcBorders>
              <w:top w:val="single" w:color="auto" w:sz="4" w:space="0"/>
              <w:left w:val="single" w:color="auto" w:sz="4" w:space="0"/>
              <w:right w:val="single" w:color="auto" w:sz="4" w:space="0"/>
            </w:tcBorders>
            <w:vAlign w:val="center"/>
          </w:tcPr>
          <w:p w14:paraId="69E00E36">
            <w:pPr>
              <w:numPr>
                <w:ilvl w:val="0"/>
                <w:numId w:val="12"/>
              </w:numPr>
              <w:bidi w:val="0"/>
              <w:ind w:left="0" w:leftChars="0" w:firstLine="0" w:firstLineChars="0"/>
              <w:jc w:val="center"/>
              <w:rPr>
                <w:rFonts w:hint="default"/>
                <w:lang w:val="en-US" w:eastAsia="zh-CN"/>
              </w:rPr>
            </w:pPr>
          </w:p>
        </w:tc>
        <w:tc>
          <w:tcPr>
            <w:tcW w:w="1907" w:type="dxa"/>
            <w:tcBorders>
              <w:top w:val="single" w:color="auto" w:sz="4" w:space="0"/>
              <w:left w:val="single" w:color="auto" w:sz="4" w:space="0"/>
              <w:right w:val="single" w:color="auto" w:sz="4" w:space="0"/>
            </w:tcBorders>
            <w:vAlign w:val="center"/>
          </w:tcPr>
          <w:p w14:paraId="2A922185">
            <w:pPr>
              <w:autoSpaceDE w:val="0"/>
              <w:autoSpaceDN w:val="0"/>
              <w:adjustRightInd w:val="0"/>
              <w:jc w:val="center"/>
              <w:rPr>
                <w:rFonts w:hint="eastAsia"/>
                <w:lang w:val="en-US" w:eastAsia="zh-CN"/>
              </w:rPr>
            </w:pPr>
            <w:r>
              <w:rPr>
                <w:rFonts w:hint="eastAsia" w:ascii="宋体" w:hAnsi="宋体" w:eastAsia="宋体" w:cs="宋体"/>
                <w:sz w:val="21"/>
                <w:szCs w:val="21"/>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646A06F0">
            <w:pPr>
              <w:snapToGrid w:val="0"/>
              <w:rPr>
                <w:rFonts w:hint="eastAsia"/>
                <w:lang w:eastAsia="zh-CN"/>
              </w:rPr>
            </w:pPr>
            <w:r>
              <w:rPr>
                <w:rFonts w:hint="eastAsia" w:ascii="宋体" w:hAnsi="宋体" w:cs="宋体"/>
                <w:sz w:val="21"/>
                <w:szCs w:val="21"/>
                <w:lang w:val="en-US" w:eastAsia="zh-CN"/>
              </w:rPr>
              <w:t>按13100元</w:t>
            </w:r>
            <w:r>
              <w:rPr>
                <w:rFonts w:hint="eastAsia" w:ascii="宋体" w:hAnsi="宋体" w:eastAsia="宋体" w:cs="宋体"/>
                <w:sz w:val="21"/>
                <w:szCs w:val="21"/>
              </w:rPr>
              <w:t>计算</w:t>
            </w:r>
            <w:r>
              <w:rPr>
                <w:rFonts w:hint="eastAsia" w:ascii="宋体" w:hAnsi="宋体" w:cs="宋体"/>
                <w:sz w:val="21"/>
                <w:szCs w:val="21"/>
                <w:lang w:eastAsia="zh-CN"/>
              </w:rPr>
              <w:t>，</w:t>
            </w:r>
            <w:r>
              <w:rPr>
                <w:rFonts w:hint="eastAsia" w:ascii="宋体" w:hAnsi="宋体" w:cs="宋体"/>
                <w:sz w:val="21"/>
                <w:szCs w:val="21"/>
                <w:lang w:val="en-US" w:eastAsia="zh-CN"/>
              </w:rPr>
              <w:t>由供应商向采购代理机构支付。</w:t>
            </w:r>
          </w:p>
        </w:tc>
      </w:tr>
      <w:tr w14:paraId="7184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53E2414">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7D70686D">
            <w:pPr>
              <w:spacing w:line="360" w:lineRule="auto"/>
              <w:jc w:val="center"/>
              <w:rPr>
                <w:rFonts w:hint="eastAsia"/>
                <w:b/>
                <w:bCs/>
                <w:lang w:val="en-US" w:eastAsia="zh-CN"/>
              </w:rPr>
            </w:pPr>
            <w:r>
              <w:rPr>
                <w:rFonts w:hint="eastAsia" w:ascii="宋体" w:hAnsi="宋体" w:cs="宋体"/>
                <w:b/>
                <w:color w:val="000000"/>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6932D3C9">
            <w:pPr>
              <w:rPr>
                <w:rFonts w:hint="eastAsia"/>
                <w:b/>
                <w:bCs/>
                <w:lang w:val="en-US" w:eastAsia="zh-CN"/>
              </w:rPr>
            </w:pPr>
            <w:r>
              <w:rPr>
                <w:rFonts w:hint="eastAsia"/>
                <w:b/>
                <w:lang w:val="en-US" w:eastAsia="zh-CN"/>
              </w:rPr>
              <w:t>无</w:t>
            </w:r>
          </w:p>
        </w:tc>
      </w:tr>
      <w:tr w14:paraId="5830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433398E">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268C0D2E">
            <w:pPr>
              <w:bidi w:val="0"/>
              <w:jc w:val="center"/>
              <w:rPr>
                <w:rFonts w:hint="eastAsia"/>
                <w:lang w:val="zh-CN" w:eastAsia="zh-CN"/>
              </w:rPr>
            </w:pPr>
            <w:r>
              <w:rPr>
                <w:rFonts w:hint="eastAsia"/>
                <w:lang w:val="en-US" w:eastAsia="zh-CN"/>
              </w:rPr>
              <w:t>核心产品</w:t>
            </w:r>
          </w:p>
        </w:tc>
        <w:tc>
          <w:tcPr>
            <w:tcW w:w="6501" w:type="dxa"/>
            <w:tcBorders>
              <w:top w:val="single" w:color="auto" w:sz="4" w:space="0"/>
              <w:left w:val="single" w:color="auto" w:sz="4" w:space="0"/>
              <w:bottom w:val="single" w:color="auto" w:sz="4" w:space="0"/>
              <w:right w:val="single" w:color="auto" w:sz="4" w:space="0"/>
            </w:tcBorders>
            <w:vAlign w:val="center"/>
          </w:tcPr>
          <w:p w14:paraId="63273039">
            <w:pPr>
              <w:bidi w:val="0"/>
              <w:rPr>
                <w:rFonts w:hint="eastAsia"/>
                <w:lang w:val="en-US" w:eastAsia="zh-CN"/>
              </w:rPr>
            </w:pPr>
            <w:r>
              <w:rPr>
                <w:rFonts w:hint="eastAsia"/>
              </w:rPr>
              <w:t>服务采购</w:t>
            </w:r>
            <w:r>
              <w:rPr>
                <w:rFonts w:hint="eastAsia"/>
                <w:lang w:val="en-US" w:eastAsia="zh-CN"/>
              </w:rPr>
              <w:t>项目</w:t>
            </w:r>
            <w:r>
              <w:rPr>
                <w:rFonts w:hint="eastAsia"/>
              </w:rPr>
              <w:t>，不适用</w:t>
            </w:r>
            <w:r>
              <w:rPr>
                <w:rFonts w:hint="eastAsia"/>
                <w:lang w:eastAsia="zh-CN"/>
              </w:rPr>
              <w:t>。</w:t>
            </w:r>
          </w:p>
        </w:tc>
      </w:tr>
      <w:tr w14:paraId="5472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05BB9AD">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146102C7">
            <w:pPr>
              <w:bidi w:val="0"/>
              <w:jc w:val="center"/>
              <w:rPr>
                <w:rFonts w:hint="eastAsia"/>
                <w:lang w:val="zh-CN" w:eastAsia="zh-CN"/>
              </w:rPr>
            </w:pPr>
            <w:r>
              <w:rPr>
                <w:rFonts w:hint="eastAsia"/>
                <w:lang w:val="en-US" w:eastAsia="zh-CN"/>
              </w:rPr>
              <w:t>报价</w:t>
            </w:r>
          </w:p>
        </w:tc>
        <w:tc>
          <w:tcPr>
            <w:tcW w:w="6501" w:type="dxa"/>
            <w:tcBorders>
              <w:top w:val="single" w:color="auto" w:sz="4" w:space="0"/>
              <w:left w:val="single" w:color="auto" w:sz="4" w:space="0"/>
              <w:bottom w:val="single" w:color="auto" w:sz="4" w:space="0"/>
              <w:right w:val="single" w:color="auto" w:sz="4" w:space="0"/>
            </w:tcBorders>
            <w:vAlign w:val="center"/>
          </w:tcPr>
          <w:p w14:paraId="6E4ADDDE">
            <w:pPr>
              <w:bidi w:val="0"/>
              <w:rPr>
                <w:rFonts w:hint="eastAsia"/>
                <w:lang w:val="zh-CN" w:eastAsia="zh-CN"/>
              </w:rPr>
            </w:pPr>
            <w:r>
              <w:rPr>
                <w:rFonts w:hint="default"/>
                <w:lang w:val="en-US" w:eastAsia="zh-CN"/>
              </w:rPr>
              <w:t>供应商报价低于项目预算50%的，应当在报价文件中详细阐述不影响产品质量或者诚信履约的具体原因。</w:t>
            </w:r>
          </w:p>
        </w:tc>
      </w:tr>
      <w:tr w14:paraId="228C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A7FBE55">
            <w:pPr>
              <w:numPr>
                <w:ilvl w:val="0"/>
                <w:numId w:val="12"/>
              </w:numPr>
              <w:bidi w:val="0"/>
              <w:ind w:left="0" w:leftChars="0" w:firstLine="0" w:firstLineChars="0"/>
              <w:jc w:val="center"/>
              <w:rPr>
                <w:rFonts w:hint="eastAsia"/>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62C07F59">
            <w:pPr>
              <w:bidi w:val="0"/>
              <w:jc w:val="center"/>
              <w:rPr>
                <w:rFonts w:hint="eastAsia"/>
                <w:lang w:val="en-US" w:eastAsia="zh-CN"/>
              </w:rPr>
            </w:pPr>
            <w:r>
              <w:rPr>
                <w:rFonts w:hint="eastAsia"/>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14:paraId="2BFBA707">
            <w:pPr>
              <w:bidi w:val="0"/>
              <w:rPr>
                <w:rFonts w:hint="eastAsia"/>
                <w:lang w:val="en-US" w:eastAsia="zh-CN"/>
              </w:rPr>
            </w:pPr>
            <w:r>
              <w:rPr>
                <w:rFonts w:hint="eastAsia"/>
                <w:lang w:val="zh-CN"/>
              </w:rPr>
              <w:t>带“</w:t>
            </w:r>
            <w:r>
              <w:rPr>
                <w:rFonts w:hint="eastAsia"/>
              </w:rPr>
              <w:t>▲”的条款是实质性条款，投标文件须作出实质性响应，否则作无效投标处理。</w:t>
            </w:r>
          </w:p>
        </w:tc>
      </w:tr>
      <w:tr w14:paraId="5EEC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DB58C2E">
            <w:pPr>
              <w:numPr>
                <w:ilvl w:val="0"/>
                <w:numId w:val="12"/>
              </w:numPr>
              <w:bidi w:val="0"/>
              <w:ind w:left="0" w:leftChars="0" w:firstLine="0" w:firstLineChars="0"/>
              <w:jc w:val="center"/>
              <w:rPr>
                <w:rFonts w:hint="default"/>
                <w:lang w:val="en-US" w:eastAsia="zh-CN"/>
              </w:rPr>
            </w:pPr>
          </w:p>
        </w:tc>
        <w:tc>
          <w:tcPr>
            <w:tcW w:w="1907" w:type="dxa"/>
            <w:tcBorders>
              <w:top w:val="single" w:color="auto" w:sz="4" w:space="0"/>
              <w:left w:val="single" w:color="auto" w:sz="4" w:space="0"/>
              <w:bottom w:val="single" w:color="auto" w:sz="4" w:space="0"/>
              <w:right w:val="single" w:color="auto" w:sz="4" w:space="0"/>
            </w:tcBorders>
            <w:vAlign w:val="center"/>
          </w:tcPr>
          <w:p w14:paraId="03F60FDA">
            <w:pPr>
              <w:bidi w:val="0"/>
              <w:jc w:val="center"/>
              <w:rPr>
                <w:rFonts w:hint="eastAsia"/>
                <w:lang w:val="en-US" w:eastAsia="zh-CN"/>
              </w:rPr>
            </w:pPr>
            <w:r>
              <w:rPr>
                <w:rFonts w:hint="eastAsia"/>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5FC2E54F">
            <w:pPr>
              <w:bidi w:val="0"/>
              <w:rPr>
                <w:rFonts w:hint="eastAsia"/>
                <w:lang w:val="en-US" w:eastAsia="zh-CN"/>
              </w:rPr>
            </w:pPr>
            <w:r>
              <w:rPr>
                <w:rFonts w:hint="eastAsia"/>
              </w:rPr>
              <w:t>包括电子邮件、信函、传真。</w:t>
            </w:r>
          </w:p>
        </w:tc>
      </w:tr>
      <w:tr w14:paraId="170D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66776CD">
            <w:pPr>
              <w:numPr>
                <w:ilvl w:val="0"/>
                <w:numId w:val="12"/>
              </w:numPr>
              <w:bidi w:val="0"/>
              <w:ind w:left="0" w:leftChars="0" w:firstLine="0" w:firstLineChars="0"/>
              <w:jc w:val="center"/>
              <w:rPr>
                <w:rFonts w:hint="default"/>
                <w:lang w:val="en-US" w:eastAsia="zh-CN"/>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center"/>
          </w:tcPr>
          <w:p w14:paraId="64D080E2">
            <w:pPr>
              <w:bidi w:val="0"/>
              <w:jc w:val="center"/>
              <w:rPr>
                <w:rFonts w:hint="eastAsia"/>
                <w:lang w:val="en-US" w:eastAsia="zh-CN"/>
              </w:rPr>
            </w:pPr>
            <w:r>
              <w:rPr>
                <w:rFonts w:hint="eastAsia"/>
              </w:rPr>
              <w:t>解释权</w:t>
            </w:r>
          </w:p>
        </w:tc>
        <w:tc>
          <w:tcPr>
            <w:tcW w:w="6501" w:type="dxa"/>
            <w:tcBorders>
              <w:top w:val="single" w:color="auto" w:sz="4" w:space="0"/>
              <w:left w:val="single" w:color="auto" w:sz="4" w:space="0"/>
              <w:bottom w:val="single" w:color="auto" w:sz="4" w:space="0"/>
              <w:right w:val="single" w:color="auto" w:sz="4" w:space="0"/>
            </w:tcBorders>
            <w:shd w:val="clear" w:color="auto" w:fill="auto"/>
            <w:vAlign w:val="center"/>
          </w:tcPr>
          <w:p w14:paraId="4D9AEFA5">
            <w:pPr>
              <w:bidi w:val="0"/>
              <w:rPr>
                <w:rFonts w:hint="eastAsia" w:ascii="Times New Roman" w:hAnsi="Times New Roman" w:eastAsia="宋体" w:cs="Times New Roman"/>
                <w:kern w:val="2"/>
                <w:sz w:val="21"/>
                <w:szCs w:val="24"/>
                <w:lang w:val="en-US" w:eastAsia="zh-CN" w:bidi="ar-SA"/>
              </w:rPr>
            </w:pPr>
            <w:r>
              <w:rPr>
                <w:rFonts w:hint="eastAsia"/>
              </w:rPr>
              <w:t>本</w:t>
            </w:r>
            <w:r>
              <w:rPr>
                <w:rFonts w:hint="eastAsia"/>
                <w:lang w:eastAsia="zh-CN"/>
              </w:rPr>
              <w:t>采购文件</w:t>
            </w:r>
            <w:r>
              <w:rPr>
                <w:rFonts w:hint="eastAsia"/>
              </w:rPr>
              <w:t>解释权属于采购人和</w:t>
            </w:r>
            <w:r>
              <w:rPr>
                <w:rFonts w:hint="eastAsia"/>
                <w:lang w:eastAsia="zh-CN"/>
              </w:rPr>
              <w:t>采购代理机构</w:t>
            </w:r>
          </w:p>
        </w:tc>
      </w:tr>
    </w:tbl>
    <w:p w14:paraId="4AFA67B6">
      <w:pPr>
        <w:pStyle w:val="13"/>
        <w:keepNext w:val="0"/>
        <w:keepLines w:val="0"/>
        <w:pageBreakBefore w:val="0"/>
        <w:kinsoku/>
        <w:wordWrap/>
        <w:overflowPunct/>
        <w:topLinePunct w:val="0"/>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注：</w:t>
      </w:r>
      <w:r>
        <w:rPr>
          <w:rFonts w:hint="eastAsia" w:ascii="宋体" w:hAnsi="宋体" w:eastAsia="宋体" w:cs="宋体"/>
          <w:b/>
          <w:sz w:val="24"/>
          <w:szCs w:val="24"/>
        </w:rPr>
        <w:t>前附表</w:t>
      </w:r>
      <w:r>
        <w:rPr>
          <w:rFonts w:hint="eastAsia" w:ascii="宋体" w:hAnsi="宋体" w:eastAsia="宋体" w:cs="宋体"/>
          <w:b/>
          <w:sz w:val="24"/>
          <w:szCs w:val="24"/>
          <w:lang w:val="en-US" w:eastAsia="zh-CN"/>
        </w:rPr>
        <w:t>的内容与本采购文件其他内容不一致的，以本前附表为准。</w:t>
      </w:r>
    </w:p>
    <w:p w14:paraId="0AA05E7A">
      <w:pPr>
        <w:keepNext w:val="0"/>
        <w:keepLines w:val="0"/>
        <w:pageBreakBefore w:val="0"/>
        <w:kinsoku/>
        <w:wordWrap/>
        <w:overflowPunct/>
        <w:topLinePunct w:val="0"/>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4"/>
          <w:szCs w:val="24"/>
        </w:rPr>
        <w:br w:type="page"/>
      </w:r>
    </w:p>
    <w:p w14:paraId="4BF3BAB3">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2" w:name="_Toc287"/>
      <w:r>
        <w:rPr>
          <w:rFonts w:hint="eastAsia" w:ascii="宋体" w:hAnsi="宋体" w:eastAsia="宋体" w:cs="宋体"/>
          <w:sz w:val="24"/>
          <w:szCs w:val="24"/>
        </w:rPr>
        <w:t>说 明</w:t>
      </w:r>
      <w:bookmarkEnd w:id="42"/>
      <w:sdt>
        <w:sdtPr>
          <w:rPr>
            <w:rFonts w:hint="eastAsia" w:ascii="宋体" w:hAnsi="宋体" w:eastAsia="宋体" w:cs="宋体"/>
            <w:sz w:val="24"/>
            <w:szCs w:val="24"/>
            <w:lang w:val="en-US" w:eastAsia="zh-CN"/>
          </w:rPr>
          <w:id w:val="147478307"/>
          <w:showingPlcHdr/>
          <w15:color w:val="DBDBDB"/>
          <w:docPartObj>
            <w:docPartGallery w:val="Table of Contents"/>
            <w:docPartUnique/>
          </w:docPartObj>
        </w:sdtPr>
        <w:sdtEndPr>
          <w:rPr>
            <w:rFonts w:hint="eastAsia" w:ascii="宋体" w:hAnsi="宋体" w:eastAsia="宋体" w:cs="宋体"/>
            <w:sz w:val="24"/>
            <w:szCs w:val="24"/>
            <w:lang w:val="en-US" w:eastAsia="zh-CN"/>
          </w:rPr>
        </w:sdtEndPr>
        <w:sdtContent/>
      </w:sdt>
    </w:p>
    <w:p w14:paraId="58FC91BB">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总则</w:t>
      </w:r>
    </w:p>
    <w:p w14:paraId="66980E45">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本招标文件依据</w:t>
      </w:r>
      <w:r>
        <w:rPr>
          <w:rFonts w:hint="eastAsia" w:ascii="宋体" w:hAnsi="宋体" w:cs="宋体"/>
          <w:sz w:val="24"/>
          <w:szCs w:val="24"/>
          <w:lang w:eastAsia="zh-CN"/>
        </w:rPr>
        <w:t>《中华人民共和国政府采购法》</w:t>
      </w:r>
      <w:r>
        <w:rPr>
          <w:rFonts w:hint="eastAsia" w:ascii="宋体" w:hAnsi="宋体" w:eastAsia="宋体" w:cs="宋体"/>
          <w:sz w:val="24"/>
          <w:szCs w:val="24"/>
        </w:rPr>
        <w:t>《中华人民共和国政府采购法实施条例》（国务院令第658号）和《政府采购货物和服务招标投标管理办法》（财政部令第87号）及国家和浙江省有关法律、法规、规章编制。</w:t>
      </w:r>
    </w:p>
    <w:p w14:paraId="730CBBC5">
      <w:pPr>
        <w:keepNext w:val="0"/>
        <w:keepLines w:val="0"/>
        <w:pageBreakBefore w:val="0"/>
        <w:tabs>
          <w:tab w:val="left" w:pos="7980"/>
        </w:tabs>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14:paraId="45B46D20">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43" w:name="_Toc32279"/>
      <w:r>
        <w:rPr>
          <w:rFonts w:hint="eastAsia" w:ascii="宋体" w:hAnsi="宋体" w:eastAsia="宋体" w:cs="宋体"/>
          <w:b/>
          <w:sz w:val="24"/>
          <w:szCs w:val="24"/>
        </w:rPr>
        <w:t>适用范围</w:t>
      </w:r>
      <w:bookmarkEnd w:id="43"/>
    </w:p>
    <w:p w14:paraId="5DED2B1C">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本招标文件适用于</w:t>
      </w:r>
      <w:r>
        <w:rPr>
          <w:rFonts w:hint="eastAsia" w:ascii="宋体" w:hAnsi="宋体" w:eastAsia="宋体" w:cs="宋体"/>
          <w:bCs/>
          <w:sz w:val="24"/>
          <w:szCs w:val="24"/>
        </w:rPr>
        <w:t>本次</w:t>
      </w:r>
      <w:r>
        <w:rPr>
          <w:rFonts w:hint="eastAsia" w:ascii="宋体" w:hAnsi="宋体" w:eastAsia="宋体" w:cs="宋体"/>
          <w:sz w:val="24"/>
          <w:szCs w:val="24"/>
        </w:rPr>
        <w:t>项目的招标、投标、评标、定标、验收、合同履约、付款等行为（法律、法规另有规定的，从其规定）。</w:t>
      </w:r>
    </w:p>
    <w:p w14:paraId="0F0C614C">
      <w:pPr>
        <w:pStyle w:val="11"/>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本招标文件仅适用于本次招标公告中所涉及的项目和内容。</w:t>
      </w:r>
    </w:p>
    <w:p w14:paraId="2E620798">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44" w:name="_Toc20379"/>
      <w:r>
        <w:rPr>
          <w:rFonts w:hint="eastAsia" w:ascii="宋体" w:hAnsi="宋体" w:eastAsia="宋体" w:cs="宋体"/>
          <w:b/>
          <w:sz w:val="24"/>
          <w:szCs w:val="24"/>
        </w:rPr>
        <w:t>当事人</w:t>
      </w:r>
      <w:bookmarkEnd w:id="44"/>
    </w:p>
    <w:p w14:paraId="075BADAD">
      <w:pPr>
        <w:keepNext w:val="0"/>
        <w:keepLines w:val="0"/>
        <w:pageBreakBefore w:val="0"/>
        <w:numPr>
          <w:ilvl w:val="0"/>
          <w:numId w:val="17"/>
        </w:numPr>
        <w:tabs>
          <w:tab w:val="left" w:pos="0"/>
          <w:tab w:val="left" w:pos="851"/>
          <w:tab w:val="left" w:pos="8280"/>
        </w:tabs>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val="0"/>
          <w:sz w:val="24"/>
          <w:szCs w:val="24"/>
        </w:rPr>
      </w:pPr>
      <w:r>
        <w:rPr>
          <w:rFonts w:hint="eastAsia" w:ascii="宋体" w:hAnsi="宋体" w:cs="宋体"/>
          <w:bCs w:val="0"/>
          <w:sz w:val="24"/>
          <w:szCs w:val="24"/>
          <w:lang w:val="zh-CN"/>
        </w:rPr>
        <w:t>采购代理机构</w:t>
      </w:r>
      <w:r>
        <w:rPr>
          <w:rFonts w:hint="eastAsia" w:ascii="宋体" w:hAnsi="宋体" w:eastAsia="宋体" w:cs="宋体"/>
          <w:bCs w:val="0"/>
          <w:sz w:val="24"/>
          <w:szCs w:val="24"/>
          <w:lang w:val="zh-CN"/>
        </w:rPr>
        <w:t>：</w:t>
      </w:r>
      <w:r>
        <w:rPr>
          <w:rFonts w:hint="eastAsia" w:ascii="宋体" w:hAnsi="宋体" w:eastAsia="宋体" w:cs="宋体"/>
          <w:bCs w:val="0"/>
          <w:sz w:val="24"/>
          <w:szCs w:val="24"/>
        </w:rPr>
        <w:t>是</w:t>
      </w:r>
      <w:r>
        <w:rPr>
          <w:rFonts w:hint="eastAsia" w:ascii="宋体" w:hAnsi="宋体" w:eastAsia="宋体" w:cs="宋体"/>
          <w:bCs w:val="0"/>
          <w:sz w:val="24"/>
          <w:szCs w:val="24"/>
          <w:lang w:val="zh-CN"/>
        </w:rPr>
        <w:t>指</w:t>
      </w:r>
      <w:r>
        <w:rPr>
          <w:rFonts w:hint="eastAsia" w:ascii="宋体" w:hAnsi="宋体" w:cs="宋体"/>
          <w:sz w:val="24"/>
          <w:lang w:val="zh-CN"/>
        </w:rPr>
        <w:t>台州市永阳科技有限公司</w:t>
      </w:r>
      <w:r>
        <w:rPr>
          <w:rFonts w:hint="eastAsia" w:ascii="宋体" w:hAnsi="宋体" w:eastAsia="宋体" w:cs="宋体"/>
          <w:bCs w:val="0"/>
          <w:sz w:val="24"/>
          <w:szCs w:val="24"/>
          <w:lang w:val="zh-CN"/>
        </w:rPr>
        <w:t>。</w:t>
      </w:r>
    </w:p>
    <w:p w14:paraId="611DB23F">
      <w:pPr>
        <w:keepNext w:val="0"/>
        <w:keepLines w:val="0"/>
        <w:pageBreakBefore w:val="0"/>
        <w:numPr>
          <w:ilvl w:val="0"/>
          <w:numId w:val="1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采购人：是指</w:t>
      </w:r>
      <w:r>
        <w:rPr>
          <w:rFonts w:hint="eastAsia" w:ascii="宋体" w:hAnsi="宋体" w:cs="宋体"/>
          <w:sz w:val="24"/>
          <w:lang w:eastAsia="zh-CN"/>
        </w:rPr>
        <w:t>台州市自然资源和规划局</w:t>
      </w:r>
      <w:r>
        <w:rPr>
          <w:rFonts w:hint="eastAsia" w:ascii="宋体" w:hAnsi="宋体" w:eastAsia="宋体" w:cs="宋体"/>
          <w:sz w:val="24"/>
          <w:szCs w:val="24"/>
        </w:rPr>
        <w:t>。</w:t>
      </w:r>
    </w:p>
    <w:p w14:paraId="2FEA3E57">
      <w:pPr>
        <w:keepNext w:val="0"/>
        <w:keepLines w:val="0"/>
        <w:pageBreakBefore w:val="0"/>
        <w:numPr>
          <w:ilvl w:val="0"/>
          <w:numId w:val="1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投标人：是指响应招标、参加投标竞争的法人、其他组织或者自然人。</w:t>
      </w:r>
    </w:p>
    <w:p w14:paraId="149A0D73">
      <w:pPr>
        <w:keepNext w:val="0"/>
        <w:keepLines w:val="0"/>
        <w:pageBreakBefore w:val="0"/>
        <w:numPr>
          <w:ilvl w:val="0"/>
          <w:numId w:val="1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中标</w:t>
      </w:r>
      <w:r>
        <w:rPr>
          <w:rFonts w:hint="eastAsia" w:ascii="宋体" w:hAnsi="宋体" w:eastAsia="宋体" w:cs="宋体"/>
          <w:sz w:val="24"/>
          <w:szCs w:val="24"/>
        </w:rPr>
        <w:t>人</w:t>
      </w:r>
      <w:r>
        <w:rPr>
          <w:rFonts w:hint="eastAsia" w:ascii="宋体" w:hAnsi="宋体" w:eastAsia="宋体" w:cs="宋体"/>
          <w:sz w:val="24"/>
          <w:szCs w:val="24"/>
          <w:lang w:val="zh-CN"/>
        </w:rPr>
        <w:t>：是指经评</w:t>
      </w:r>
      <w:r>
        <w:rPr>
          <w:rFonts w:hint="eastAsia" w:ascii="宋体" w:hAnsi="宋体" w:eastAsia="宋体" w:cs="宋体"/>
          <w:sz w:val="24"/>
          <w:szCs w:val="24"/>
        </w:rPr>
        <w:t>标</w:t>
      </w:r>
      <w:r>
        <w:rPr>
          <w:rFonts w:hint="eastAsia" w:ascii="宋体" w:hAnsi="宋体" w:eastAsia="宋体" w:cs="宋体"/>
          <w:sz w:val="24"/>
          <w:szCs w:val="24"/>
          <w:lang w:val="zh-CN"/>
        </w:rPr>
        <w:t>委员会评审确定的对招标文件</w:t>
      </w:r>
      <w:r>
        <w:rPr>
          <w:rFonts w:hint="eastAsia" w:ascii="宋体" w:hAnsi="宋体" w:eastAsia="宋体" w:cs="宋体"/>
          <w:sz w:val="24"/>
          <w:szCs w:val="24"/>
        </w:rPr>
        <w:t>作</w:t>
      </w:r>
      <w:r>
        <w:rPr>
          <w:rFonts w:hint="eastAsia" w:ascii="宋体" w:hAnsi="宋体" w:eastAsia="宋体" w:cs="宋体"/>
          <w:sz w:val="24"/>
          <w:szCs w:val="24"/>
          <w:lang w:val="zh-CN"/>
        </w:rPr>
        <w:t>出实质性响应，经采购人按照规定在评</w:t>
      </w:r>
      <w:r>
        <w:rPr>
          <w:rFonts w:hint="eastAsia" w:ascii="宋体" w:hAnsi="宋体" w:eastAsia="宋体" w:cs="宋体"/>
          <w:sz w:val="24"/>
          <w:szCs w:val="24"/>
        </w:rPr>
        <w:t>标</w:t>
      </w:r>
      <w:r>
        <w:rPr>
          <w:rFonts w:hint="eastAsia" w:ascii="宋体" w:hAnsi="宋体" w:eastAsia="宋体" w:cs="宋体"/>
          <w:sz w:val="24"/>
          <w:szCs w:val="24"/>
          <w:lang w:val="zh-CN"/>
        </w:rPr>
        <w:t>委员会推荐的中标候选人中确定的或受采购人委托直接确认的，与采购人签订合同资格的投标</w:t>
      </w:r>
      <w:r>
        <w:rPr>
          <w:rFonts w:hint="eastAsia" w:ascii="宋体" w:hAnsi="宋体" w:eastAsia="宋体" w:cs="宋体"/>
          <w:sz w:val="24"/>
          <w:szCs w:val="24"/>
        </w:rPr>
        <w:t>人</w:t>
      </w:r>
      <w:r>
        <w:rPr>
          <w:rFonts w:hint="eastAsia" w:ascii="宋体" w:hAnsi="宋体" w:eastAsia="宋体" w:cs="宋体"/>
          <w:sz w:val="24"/>
          <w:szCs w:val="24"/>
          <w:lang w:val="zh-CN"/>
        </w:rPr>
        <w:t>。</w:t>
      </w:r>
    </w:p>
    <w:p w14:paraId="44559A52">
      <w:pPr>
        <w:pStyle w:val="2"/>
        <w:keepNext w:val="0"/>
        <w:keepLines w:val="0"/>
        <w:pageBreakBefore w:val="0"/>
        <w:numPr>
          <w:ilvl w:val="0"/>
          <w:numId w:val="17"/>
        </w:numPr>
        <w:kinsoku/>
        <w:wordWrap/>
        <w:overflowPunct/>
        <w:topLinePunct w:val="0"/>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rPr>
        <w:t>负责人</w:t>
      </w:r>
      <w:r>
        <w:rPr>
          <w:rFonts w:hint="eastAsia" w:ascii="宋体" w:hAnsi="宋体" w:cs="宋体"/>
          <w:sz w:val="24"/>
          <w:lang w:eastAsia="zh-CN"/>
        </w:rPr>
        <w:t>：</w:t>
      </w:r>
      <w:r>
        <w:rPr>
          <w:rFonts w:hint="eastAsia" w:ascii="宋体" w:hAnsi="宋体" w:cs="宋体"/>
          <w:sz w:val="24"/>
          <w:lang w:val="en-US" w:eastAsia="zh-CN"/>
        </w:rPr>
        <w:t>是</w:t>
      </w:r>
      <w:r>
        <w:rPr>
          <w:rFonts w:hint="eastAsia" w:ascii="宋体" w:hAnsi="宋体" w:cs="宋体"/>
          <w:sz w:val="24"/>
        </w:rPr>
        <w:t>指法人企业的法定负责人，或其他组织为法律、行政法规规定代表单位行使职权的主要负责人，或自然人本人。</w:t>
      </w:r>
    </w:p>
    <w:p w14:paraId="0AAEAAA0">
      <w:pPr>
        <w:pStyle w:val="2"/>
        <w:keepNext w:val="0"/>
        <w:keepLines w:val="0"/>
        <w:pageBreakBefore w:val="0"/>
        <w:numPr>
          <w:ilvl w:val="0"/>
          <w:numId w:val="17"/>
        </w:numPr>
        <w:kinsoku/>
        <w:wordWrap/>
        <w:overflowPunct/>
        <w:topLinePunct w:val="0"/>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联合体：</w:t>
      </w:r>
      <w:r>
        <w:rPr>
          <w:rFonts w:hint="eastAsia" w:ascii="宋体" w:hAnsi="宋体" w:eastAsia="宋体" w:cs="宋体"/>
          <w:sz w:val="24"/>
          <w:szCs w:val="24"/>
          <w:lang w:val="zh-CN"/>
        </w:rPr>
        <w:t>是指</w:t>
      </w:r>
      <w:r>
        <w:rPr>
          <w:rFonts w:hint="eastAsia" w:ascii="宋体" w:hAnsi="宋体" w:eastAsia="宋体" w:cs="宋体"/>
          <w:sz w:val="24"/>
          <w:szCs w:val="24"/>
        </w:rPr>
        <w:t>两个或两个以上法人或者其他组织可以组成一个联合体，以一个投标人的身份共同投标。</w:t>
      </w:r>
    </w:p>
    <w:p w14:paraId="6311CBD1">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bookmarkStart w:id="45" w:name="_Toc969"/>
      <w:r>
        <w:rPr>
          <w:rFonts w:hint="eastAsia" w:ascii="宋体" w:hAnsi="宋体" w:eastAsia="宋体" w:cs="宋体"/>
          <w:b/>
          <w:bCs/>
          <w:color w:val="auto"/>
          <w:sz w:val="24"/>
          <w:szCs w:val="24"/>
        </w:rPr>
        <w:t>以联合体形式投标的，应符合以下规定：</w:t>
      </w:r>
      <w:bookmarkEnd w:id="45"/>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本项目不适用</w:t>
      </w:r>
      <w:r>
        <w:rPr>
          <w:rFonts w:hint="eastAsia" w:ascii="宋体" w:hAnsi="宋体" w:cs="宋体"/>
          <w:b/>
          <w:bCs/>
          <w:color w:val="auto"/>
          <w:sz w:val="24"/>
          <w:szCs w:val="24"/>
          <w:lang w:eastAsia="zh-CN"/>
        </w:rPr>
        <w:t>）</w:t>
      </w:r>
    </w:p>
    <w:p w14:paraId="34E5F5E4">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联合体各方应签订联合体协议书，明确联合体牵头人和各方权利义务，并作为投标文件组成部分；</w:t>
      </w:r>
    </w:p>
    <w:p w14:paraId="132A0C9F">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联合体各方均应当具备</w:t>
      </w:r>
      <w:r>
        <w:rPr>
          <w:rFonts w:hint="eastAsia" w:ascii="宋体" w:hAnsi="宋体" w:eastAsia="宋体" w:cs="宋体"/>
          <w:color w:val="auto"/>
          <w:sz w:val="24"/>
          <w:szCs w:val="24"/>
          <w:lang w:val="zh-CN"/>
        </w:rPr>
        <w:t>《中华人民共和国政府采购法》</w:t>
      </w:r>
      <w:r>
        <w:rPr>
          <w:rFonts w:hint="eastAsia" w:ascii="宋体" w:hAnsi="宋体" w:eastAsia="宋体" w:cs="宋体"/>
          <w:color w:val="auto"/>
          <w:sz w:val="24"/>
          <w:szCs w:val="24"/>
        </w:rPr>
        <w:t>第二十二条规定的条件，并在投标文件中提供联合体各方的相关证明材料；</w:t>
      </w:r>
    </w:p>
    <w:p w14:paraId="2A5C7119">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联合体成员存在不良信用记录的，视同联合体存在不良信用记录；</w:t>
      </w:r>
    </w:p>
    <w:p w14:paraId="2541E01E">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由同一资质条件的投标人组成的联合体，应当按照资质等级较低的投标人确定联合体资质等级；</w:t>
      </w:r>
    </w:p>
    <w:p w14:paraId="33497BF6">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联合体各方不得再以自己名义单独在同一</w:t>
      </w:r>
      <w:r>
        <w:rPr>
          <w:rFonts w:hint="eastAsia" w:ascii="宋体" w:hAnsi="宋体" w:eastAsia="宋体" w:cs="宋体"/>
          <w:color w:val="auto"/>
          <w:sz w:val="24"/>
          <w:szCs w:val="24"/>
          <w:lang w:eastAsia="zh-CN"/>
        </w:rPr>
        <w:t>合同项</w:t>
      </w:r>
      <w:r>
        <w:rPr>
          <w:rFonts w:hint="eastAsia" w:ascii="宋体" w:hAnsi="宋体" w:eastAsia="宋体" w:cs="宋体"/>
          <w:color w:val="auto"/>
          <w:sz w:val="24"/>
          <w:szCs w:val="24"/>
        </w:rPr>
        <w:t>中投标，也不得组成新的联合体参加同一项目投标；</w:t>
      </w:r>
    </w:p>
    <w:p w14:paraId="3EF6C4EC">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联合体各方应当共同与采购人签订采购合同，就合同约定的事项对采购人承担连带责任；</w:t>
      </w:r>
    </w:p>
    <w:p w14:paraId="1CB12D78">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投标时，应以联合体协议中确定的主体方名义投标，对联合体各方均具有约束力。</w:t>
      </w:r>
    </w:p>
    <w:p w14:paraId="5777D3DD">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46" w:name="_Toc21120"/>
      <w:r>
        <w:rPr>
          <w:rFonts w:hint="eastAsia" w:ascii="宋体" w:hAnsi="宋体" w:eastAsia="宋体" w:cs="宋体"/>
          <w:b/>
          <w:bCs/>
          <w:sz w:val="24"/>
          <w:szCs w:val="24"/>
        </w:rPr>
        <w:t>语言文字</w:t>
      </w:r>
      <w:bookmarkEnd w:id="46"/>
    </w:p>
    <w:p w14:paraId="040F620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文件以及投标人与采购代理机构就有关投标事宜的所有来往函电，均应以中文汉语书写。投标文件中如附有外文资料，要对应翻译成中文并附在相关外文资料后面。翻译的中文资料与外文资料如果出现差异和矛盾，以中文为准。未翻译的外文资料，评标委员会将视其为无效材料，但以下情形除外：</w:t>
      </w:r>
    </w:p>
    <w:p w14:paraId="762A6BB0">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投标人的法定代表人为外籍人士的，法定代表人的签字和护照。 </w:t>
      </w:r>
    </w:p>
    <w:p w14:paraId="0ADA33D2">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对于如生产厂家授权书、原厂技术证明资料及一些行业标准、国家标准、国际标准或者行业认证等需要以非中文表述且不宜翻译为中文的。</w:t>
      </w:r>
    </w:p>
    <w:p w14:paraId="51665DD3">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度量衡单位</w:t>
      </w:r>
    </w:p>
    <w:p w14:paraId="01DF230B">
      <w:pPr>
        <w:keepNext w:val="0"/>
        <w:keepLines w:val="0"/>
        <w:pageBreakBefore w:val="0"/>
        <w:numPr>
          <w:ilvl w:val="0"/>
          <w:numId w:val="20"/>
        </w:numPr>
        <w:kinsoku/>
        <w:wordWrap/>
        <w:overflowPunct/>
        <w:topLinePunct w:val="0"/>
        <w:bidi w:val="0"/>
        <w:adjustRightInd/>
        <w:snapToGrid/>
        <w:spacing w:beforeAutospacing="0" w:afterAutospacing="0" w:line="360" w:lineRule="auto"/>
        <w:ind w:left="150" w:leftChars="0" w:right="0" w:firstLine="48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所有计量均采用中国法定的计量单位。</w:t>
      </w:r>
    </w:p>
    <w:p w14:paraId="76C51BAA">
      <w:pPr>
        <w:keepNext w:val="0"/>
        <w:keepLines w:val="0"/>
        <w:pageBreakBefore w:val="0"/>
        <w:numPr>
          <w:ilvl w:val="0"/>
          <w:numId w:val="20"/>
        </w:numPr>
        <w:kinsoku/>
        <w:wordWrap/>
        <w:overflowPunct/>
        <w:topLinePunct w:val="0"/>
        <w:bidi w:val="0"/>
        <w:adjustRightInd/>
        <w:snapToGrid/>
        <w:spacing w:beforeAutospacing="0" w:afterAutospacing="0" w:line="360" w:lineRule="auto"/>
        <w:ind w:left="150" w:leftChars="0" w:right="0" w:firstLine="48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所有报价一律使用人民币，货币单位：元。</w:t>
      </w:r>
    </w:p>
    <w:p w14:paraId="650FDA44">
      <w:pPr>
        <w:pStyle w:val="31"/>
        <w:keepNext w:val="0"/>
        <w:keepLines w:val="0"/>
        <w:pageBreakBefore w:val="0"/>
        <w:numPr>
          <w:ilvl w:val="0"/>
          <w:numId w:val="16"/>
        </w:numPr>
        <w:tabs>
          <w:tab w:val="left" w:pos="437"/>
        </w:tabs>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47" w:name="_Toc13839"/>
      <w:r>
        <w:rPr>
          <w:rFonts w:hint="eastAsia" w:ascii="宋体" w:hAnsi="宋体" w:eastAsia="宋体" w:cs="宋体"/>
          <w:b/>
          <w:bCs/>
          <w:sz w:val="24"/>
          <w:szCs w:val="24"/>
        </w:rPr>
        <w:t>现场踏勘</w:t>
      </w:r>
      <w:bookmarkEnd w:id="47"/>
    </w:p>
    <w:p w14:paraId="27C4B521">
      <w:pPr>
        <w:keepNext w:val="0"/>
        <w:keepLines w:val="0"/>
        <w:pageBreakBefore w:val="0"/>
        <w:numPr>
          <w:ilvl w:val="0"/>
          <w:numId w:val="2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招标文件规定组织踏勘现场的，采购人按招标文件规定的时间、地点组织投标人踏勘项目现场。</w:t>
      </w:r>
    </w:p>
    <w:p w14:paraId="0BC3FC72">
      <w:pPr>
        <w:keepNext w:val="0"/>
        <w:keepLines w:val="0"/>
        <w:pageBreakBefore w:val="0"/>
        <w:numPr>
          <w:ilvl w:val="0"/>
          <w:numId w:val="2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投标人自行承担踏勘现场发生的责任、风险和自身费用。</w:t>
      </w:r>
    </w:p>
    <w:p w14:paraId="14C6135C">
      <w:pPr>
        <w:keepNext w:val="0"/>
        <w:keepLines w:val="0"/>
        <w:pageBreakBefore w:val="0"/>
        <w:numPr>
          <w:ilvl w:val="0"/>
          <w:numId w:val="2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采购人在踏勘现场中介绍的资料和数据等，不构成对招标文件的修改或不作为投标人编制投标文件的依据。</w:t>
      </w:r>
    </w:p>
    <w:p w14:paraId="5587A64A">
      <w:pPr>
        <w:pStyle w:val="13"/>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bookmarkStart w:id="48" w:name="_Toc18570"/>
      <w:r>
        <w:rPr>
          <w:rFonts w:hint="eastAsia" w:ascii="宋体" w:hAnsi="宋体" w:eastAsia="宋体" w:cs="宋体"/>
          <w:b/>
          <w:bCs w:val="0"/>
          <w:sz w:val="24"/>
          <w:szCs w:val="24"/>
        </w:rPr>
        <w:t>特别说明</w:t>
      </w:r>
      <w:bookmarkEnd w:id="48"/>
    </w:p>
    <w:p w14:paraId="1704DD8D">
      <w:pPr>
        <w:pStyle w:val="13"/>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投标人投标所使用的资格、信誉、荣誉、业绩与企业认证必须为本法人所拥有且所提供的资料都是真实有效的。投标人投标所使用的采购项目实施人员必须为本法人员工。投标人拥有的资格、证书等必须在有效期内，如有年审（年检）要求的，还须通过年审。</w:t>
      </w:r>
    </w:p>
    <w:p w14:paraId="08BAC48A">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投标人在投标活动中提供任何虚假材料</w:t>
      </w:r>
      <w:r>
        <w:rPr>
          <w:rFonts w:hint="eastAsia" w:ascii="宋体" w:hAnsi="宋体" w:cs="宋体"/>
          <w:b/>
          <w:bCs w:val="0"/>
          <w:sz w:val="24"/>
          <w:szCs w:val="24"/>
          <w:lang w:eastAsia="zh-CN"/>
        </w:rPr>
        <w:t>，</w:t>
      </w:r>
      <w:r>
        <w:rPr>
          <w:rFonts w:hint="eastAsia" w:ascii="宋体" w:hAnsi="宋体" w:eastAsia="宋体" w:cs="宋体"/>
          <w:b/>
          <w:bCs w:val="0"/>
          <w:sz w:val="24"/>
          <w:szCs w:val="24"/>
        </w:rPr>
        <w:t>其投标无效，并报监管部门查处；中标后发</w:t>
      </w:r>
      <w:r>
        <w:rPr>
          <w:rFonts w:hint="eastAsia" w:ascii="宋体" w:hAnsi="宋体" w:cs="宋体"/>
          <w:b/>
          <w:bCs w:val="0"/>
          <w:sz w:val="24"/>
          <w:szCs w:val="24"/>
          <w:lang w:val="en-US" w:eastAsia="zh-CN"/>
        </w:rPr>
        <w:t>现</w:t>
      </w:r>
      <w:r>
        <w:rPr>
          <w:rFonts w:hint="eastAsia" w:ascii="宋体" w:hAnsi="宋体" w:eastAsia="宋体" w:cs="宋体"/>
          <w:b/>
          <w:bCs w:val="0"/>
          <w:sz w:val="24"/>
          <w:szCs w:val="24"/>
        </w:rPr>
        <w:t>的</w:t>
      </w:r>
      <w:r>
        <w:rPr>
          <w:rFonts w:hint="eastAsia" w:ascii="宋体" w:hAnsi="宋体" w:cs="宋体"/>
          <w:b/>
          <w:bCs w:val="0"/>
          <w:sz w:val="24"/>
          <w:szCs w:val="24"/>
          <w:lang w:eastAsia="zh-CN"/>
        </w:rPr>
        <w:t>，</w:t>
      </w:r>
      <w:r>
        <w:rPr>
          <w:rFonts w:hint="eastAsia" w:ascii="宋体" w:hAnsi="宋体" w:eastAsia="宋体" w:cs="宋体"/>
          <w:b/>
          <w:bCs w:val="0"/>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88CDD6">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412F8929">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为采购项目提供整体设计、规范编制或者项目管理、监理、检测等服务的供应商，不得再参加该采购项目的其他采购活动。</w:t>
      </w:r>
    </w:p>
    <w:p w14:paraId="1072A6C0">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val="0"/>
          <w:color w:val="auto"/>
          <w:sz w:val="24"/>
          <w:szCs w:val="24"/>
        </w:rPr>
        <w:t>单位负责人为同一人或者存在直接控股、管理关系的不同供应商，不得参加同一合同项下的政府采购活动</w:t>
      </w:r>
      <w:r>
        <w:rPr>
          <w:rFonts w:hint="eastAsia" w:ascii="宋体" w:hAnsi="宋体" w:eastAsia="宋体" w:cs="宋体"/>
          <w:b/>
          <w:bCs w:val="0"/>
          <w:color w:val="auto"/>
          <w:sz w:val="24"/>
          <w:szCs w:val="24"/>
          <w:lang w:eastAsia="zh-CN"/>
        </w:rPr>
        <w:t>，否则，相关供应商均按无效标处理。</w:t>
      </w:r>
    </w:p>
    <w:p w14:paraId="0724B418">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电子交易平台运营机构，以及与该机构有直接控股或者管理关系可能影响采购公正性的任何单位和个人，不得在该平台进行的政府采购项目电子交易中投标、响应和代理政府采购项目。</w:t>
      </w:r>
    </w:p>
    <w:p w14:paraId="7D30E255">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公益一类事业单位不属于政府购买服务的承接主体，不得参与承接政府购买服务。本项目属于政府购买服务项目。</w:t>
      </w:r>
    </w:p>
    <w:p w14:paraId="417F7E81">
      <w:pPr>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i w:val="0"/>
          <w:iCs w:val="0"/>
          <w:color w:val="auto"/>
          <w:sz w:val="24"/>
          <w:szCs w:val="24"/>
        </w:rPr>
      </w:pPr>
      <w:r>
        <w:rPr>
          <w:rFonts w:hint="eastAsia" w:ascii="宋体" w:hAnsi="宋体" w:eastAsia="宋体" w:cs="宋体"/>
          <w:b/>
          <w:bCs w:val="0"/>
          <w:i w:val="0"/>
          <w:iCs w:val="0"/>
          <w:color w:val="auto"/>
          <w:sz w:val="24"/>
          <w:szCs w:val="24"/>
          <w:lang w:val="en-US" w:eastAsia="zh-CN"/>
        </w:rPr>
        <w:t>本项目</w:t>
      </w:r>
      <w:r>
        <w:rPr>
          <w:rFonts w:hint="eastAsia" w:ascii="宋体" w:hAnsi="宋体" w:cs="宋体"/>
          <w:b/>
          <w:bCs w:val="0"/>
          <w:i w:val="0"/>
          <w:iCs w:val="0"/>
          <w:color w:val="auto"/>
          <w:sz w:val="24"/>
          <w:szCs w:val="24"/>
          <w:lang w:val="en-US" w:eastAsia="zh-CN"/>
        </w:rPr>
        <w:t>不允许分包</w:t>
      </w:r>
      <w:r>
        <w:rPr>
          <w:rFonts w:hint="eastAsia" w:ascii="宋体" w:hAnsi="宋体" w:eastAsia="宋体" w:cs="宋体"/>
          <w:b/>
          <w:bCs w:val="0"/>
          <w:i w:val="0"/>
          <w:iCs w:val="0"/>
          <w:color w:val="auto"/>
          <w:sz w:val="24"/>
          <w:szCs w:val="24"/>
          <w:lang w:val="en-US" w:eastAsia="zh-CN"/>
        </w:rPr>
        <w:t>。</w:t>
      </w:r>
    </w:p>
    <w:p w14:paraId="15E064B1">
      <w:pPr>
        <w:pStyle w:val="31"/>
        <w:keepNext w:val="0"/>
        <w:keepLines w:val="0"/>
        <w:pageBreakBefore w:val="0"/>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i w:val="0"/>
          <w:iCs w:val="0"/>
          <w:color w:val="auto"/>
          <w:sz w:val="24"/>
          <w:szCs w:val="24"/>
        </w:rPr>
      </w:pPr>
      <w:r>
        <w:rPr>
          <w:rFonts w:hint="eastAsia" w:ascii="宋体" w:hAnsi="宋体" w:eastAsia="宋体" w:cs="宋体"/>
          <w:b/>
          <w:bCs w:val="0"/>
          <w:i w:val="0"/>
          <w:iCs w:val="0"/>
          <w:color w:val="auto"/>
          <w:sz w:val="24"/>
          <w:szCs w:val="24"/>
          <w:lang w:val="en-US" w:eastAsia="zh-CN"/>
        </w:rPr>
        <w:t>需要落实的政府采购政策：</w:t>
      </w:r>
      <w:r>
        <w:rPr>
          <w:rFonts w:hint="eastAsia" w:ascii="宋体" w:hAnsi="宋体" w:eastAsia="宋体" w:cs="宋体"/>
          <w:b/>
          <w:bCs w:val="0"/>
          <w:i w:val="0"/>
          <w:iCs w:val="0"/>
          <w:color w:val="auto"/>
          <w:sz w:val="24"/>
          <w:szCs w:val="24"/>
          <w:lang w:eastAsia="zh-CN"/>
        </w:rPr>
        <w:t>促进中小企业发展等。</w:t>
      </w:r>
    </w:p>
    <w:p w14:paraId="2C4C3163">
      <w:pPr>
        <w:pStyle w:val="31"/>
        <w:keepNext w:val="0"/>
        <w:keepLines w:val="0"/>
        <w:pageBreakBefore w:val="0"/>
        <w:widowControl w:val="0"/>
        <w:numPr>
          <w:ilvl w:val="0"/>
          <w:numId w:val="22"/>
        </w:numPr>
        <w:kinsoku/>
        <w:wordWrap/>
        <w:overflowPunct/>
        <w:topLinePunct w:val="0"/>
        <w:autoSpaceDE/>
        <w:autoSpaceDN/>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cs="宋体"/>
          <w:b/>
          <w:bCs w:val="0"/>
          <w:i w:val="0"/>
          <w:iCs w:val="0"/>
          <w:color w:val="auto"/>
          <w:sz w:val="24"/>
          <w:szCs w:val="24"/>
          <w:lang w:val="en-US" w:eastAsia="zh-CN"/>
        </w:rPr>
        <w:t>中标供应商放弃中标资格导致重新采购的，须承担支付代理费和专家评审费等费用在内的赔偿责任，还需赔偿采购人因重新采购、项目延误等造成</w:t>
      </w:r>
      <w:r>
        <w:rPr>
          <w:rFonts w:hint="eastAsia" w:ascii="宋体" w:hAnsi="宋体" w:cs="宋体"/>
          <w:b/>
          <w:bCs/>
          <w:sz w:val="24"/>
          <w:szCs w:val="24"/>
          <w:lang w:val="en-US" w:eastAsia="zh-CN"/>
        </w:rPr>
        <w:t>的全部直接和间接损失。</w:t>
      </w:r>
    </w:p>
    <w:p w14:paraId="7E4B7B2C">
      <w:pPr>
        <w:pStyle w:val="31"/>
        <w:keepNext w:val="0"/>
        <w:keepLines w:val="0"/>
        <w:pageBreakBefore w:val="0"/>
        <w:widowControl w:val="0"/>
        <w:numPr>
          <w:ilvl w:val="0"/>
          <w:numId w:val="22"/>
        </w:numPr>
        <w:kinsoku/>
        <w:wordWrap/>
        <w:overflowPunct/>
        <w:topLinePunct w:val="0"/>
        <w:autoSpaceDE/>
        <w:autoSpaceDN/>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本招标文件中关于电子招投标内容、流程如与政采云系统中最新的内容、操作不一致的，以政采云系统中的要求为准。</w:t>
      </w:r>
    </w:p>
    <w:p w14:paraId="41DF04B8">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9" w:name="_Toc25126"/>
      <w:r>
        <w:rPr>
          <w:rFonts w:hint="eastAsia" w:ascii="宋体" w:hAnsi="宋体" w:eastAsia="宋体" w:cs="宋体"/>
          <w:sz w:val="24"/>
          <w:szCs w:val="24"/>
        </w:rPr>
        <w:t>招标文件</w:t>
      </w:r>
      <w:bookmarkEnd w:id="49"/>
    </w:p>
    <w:p w14:paraId="23660E29">
      <w:pPr>
        <w:pStyle w:val="31"/>
        <w:keepNext w:val="0"/>
        <w:keepLines w:val="0"/>
        <w:pageBreakBefore w:val="0"/>
        <w:widowControl w:val="0"/>
        <w:numPr>
          <w:ilvl w:val="0"/>
          <w:numId w:val="23"/>
        </w:numPr>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招标文件由招标文件总目录所列内容组成。</w:t>
      </w:r>
    </w:p>
    <w:p w14:paraId="79FFB7AF">
      <w:pPr>
        <w:pStyle w:val="31"/>
        <w:keepNext w:val="0"/>
        <w:keepLines w:val="0"/>
        <w:pageBreakBefore w:val="0"/>
        <w:widowControl w:val="0"/>
        <w:numPr>
          <w:ilvl w:val="0"/>
          <w:numId w:val="23"/>
        </w:numPr>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投标人在规定的时间内未对招标文件提出疑问、质疑或要求澄清的，将视其为无异议。</w:t>
      </w:r>
    </w:p>
    <w:p w14:paraId="445227FF">
      <w:pPr>
        <w:pStyle w:val="31"/>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招标文件中描述有歧义或前后不一致的地方，评标委员会有权进行评判，但对同一条款的评判应适用于每个投标人。评标委员会发现招标文件存在歧义、重大缺陷导致评标工作无法进行，或者招标文件内容违反国家有关强制性规定的，应当停止评标工作，与采购人或者采购代理机构沟通并做书面记录。采购人或者采购代理机构确认后，应当修改招标文件，重新组织采购活动。</w:t>
      </w:r>
    </w:p>
    <w:p w14:paraId="2C7F796C">
      <w:pPr>
        <w:pStyle w:val="31"/>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采购代理机构</w:t>
      </w:r>
      <w:r>
        <w:rPr>
          <w:rFonts w:hint="eastAsia" w:ascii="宋体" w:hAnsi="宋体" w:eastAsia="宋体" w:cs="宋体"/>
          <w:sz w:val="24"/>
          <w:szCs w:val="24"/>
        </w:rPr>
        <w:t>对招标文件进行必要的澄清更正的，澄清或者修改的内容可能影响投标文件编制的，于投标截止时间的15</w:t>
      </w:r>
      <w:r>
        <w:rPr>
          <w:rFonts w:hint="eastAsia" w:ascii="宋体" w:hAnsi="宋体" w:eastAsia="宋体" w:cs="宋体"/>
          <w:sz w:val="24"/>
          <w:szCs w:val="24"/>
          <w:lang w:eastAsia="zh-CN"/>
        </w:rPr>
        <w:t>日</w:t>
      </w:r>
      <w:r>
        <w:rPr>
          <w:rFonts w:hint="eastAsia" w:ascii="宋体" w:hAnsi="宋体" w:eastAsia="宋体" w:cs="宋体"/>
          <w:sz w:val="24"/>
          <w:szCs w:val="24"/>
        </w:rPr>
        <w:t>前在浙江政府采购网上以更正公告的形式通知各潜在的投标人；不足15日的，</w:t>
      </w:r>
      <w:r>
        <w:rPr>
          <w:rFonts w:hint="eastAsia" w:ascii="宋体" w:hAnsi="宋体" w:cs="宋体"/>
          <w:sz w:val="24"/>
          <w:szCs w:val="24"/>
          <w:lang w:eastAsia="zh-CN"/>
        </w:rPr>
        <w:t>采购代理机构</w:t>
      </w:r>
      <w:r>
        <w:rPr>
          <w:rFonts w:hint="eastAsia" w:ascii="宋体" w:hAnsi="宋体" w:eastAsia="宋体" w:cs="宋体"/>
          <w:sz w:val="24"/>
          <w:szCs w:val="24"/>
        </w:rPr>
        <w:t>应当顺延提交投标文件的截止时间。</w:t>
      </w:r>
    </w:p>
    <w:p w14:paraId="723038A4">
      <w:pPr>
        <w:pStyle w:val="31"/>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当采购文件与澄清或者修改的补充公告就同一内容的表述不一致时，以最后发出的补充公告为准。</w:t>
      </w:r>
    </w:p>
    <w:p w14:paraId="163B242D">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50" w:name="_Toc6360"/>
      <w:r>
        <w:rPr>
          <w:rFonts w:hint="eastAsia" w:ascii="宋体" w:hAnsi="宋体" w:eastAsia="宋体" w:cs="宋体"/>
          <w:sz w:val="24"/>
          <w:szCs w:val="24"/>
        </w:rPr>
        <w:t>投标文件</w:t>
      </w:r>
      <w:bookmarkEnd w:id="50"/>
    </w:p>
    <w:p w14:paraId="4CB8B700">
      <w:pPr>
        <w:pStyle w:val="6"/>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1" w:name="_Toc17953"/>
      <w:r>
        <w:rPr>
          <w:rFonts w:hint="eastAsia" w:ascii="宋体" w:hAnsi="宋体" w:eastAsia="宋体" w:cs="宋体"/>
          <w:b/>
          <w:kern w:val="0"/>
          <w:sz w:val="24"/>
          <w:szCs w:val="24"/>
        </w:rPr>
        <w:t>投标文件的编制</w:t>
      </w:r>
      <w:bookmarkEnd w:id="51"/>
    </w:p>
    <w:p w14:paraId="2E96A91D">
      <w:pPr>
        <w:pStyle w:val="6"/>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kern w:val="0"/>
          <w:sz w:val="24"/>
          <w:szCs w:val="24"/>
        </w:rPr>
        <w:t xml:space="preserve"> 投标人接到招标文件后，按照</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的要求提供：资格证明文件、商务与技术文件和报价</w:t>
      </w:r>
      <w:r>
        <w:rPr>
          <w:rFonts w:hint="eastAsia" w:ascii="宋体" w:hAnsi="宋体" w:eastAsia="宋体" w:cs="宋体"/>
          <w:kern w:val="0"/>
          <w:sz w:val="24"/>
          <w:szCs w:val="24"/>
          <w:lang w:val="zh-CN"/>
        </w:rPr>
        <w:t>文件。</w:t>
      </w:r>
    </w:p>
    <w:p w14:paraId="72B2C6F5">
      <w:pPr>
        <w:keepNext w:val="0"/>
        <w:keepLines w:val="0"/>
        <w:pageBreakBefore w:val="0"/>
        <w:numPr>
          <w:ilvl w:val="0"/>
          <w:numId w:val="2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b/>
          <w:sz w:val="24"/>
          <w:szCs w:val="24"/>
        </w:rPr>
        <w:t>资格证明文件</w:t>
      </w:r>
      <w:r>
        <w:rPr>
          <w:rFonts w:hint="eastAsia" w:ascii="宋体" w:hAnsi="宋体" w:eastAsia="宋体" w:cs="宋体"/>
          <w:b/>
          <w:color w:val="000000"/>
          <w:sz w:val="24"/>
          <w:szCs w:val="24"/>
        </w:rPr>
        <w:t>的组成：</w:t>
      </w:r>
    </w:p>
    <w:p w14:paraId="28EB0772">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2" w:name="_Toc4955"/>
      <w:r>
        <w:rPr>
          <w:rFonts w:hint="eastAsia" w:ascii="宋体" w:hAnsi="宋体" w:eastAsia="宋体" w:cs="宋体"/>
          <w:b/>
          <w:sz w:val="24"/>
          <w:szCs w:val="24"/>
        </w:rPr>
        <w:t>▲</w:t>
      </w:r>
      <w:r>
        <w:rPr>
          <w:rFonts w:hint="eastAsia" w:ascii="宋体" w:hAnsi="宋体" w:eastAsia="宋体" w:cs="宋体"/>
          <w:b/>
          <w:bCs/>
          <w:sz w:val="24"/>
          <w:szCs w:val="24"/>
          <w:highlight w:val="none"/>
        </w:rPr>
        <w:t>投标声明书；</w:t>
      </w:r>
      <w:bookmarkEnd w:id="52"/>
    </w:p>
    <w:p w14:paraId="0B0C9214">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3" w:name="_Toc13385"/>
      <w:r>
        <w:rPr>
          <w:rFonts w:hint="eastAsia" w:ascii="宋体" w:hAnsi="宋体" w:eastAsia="宋体" w:cs="宋体"/>
          <w:b/>
          <w:sz w:val="24"/>
          <w:szCs w:val="24"/>
        </w:rPr>
        <w:t>▲</w:t>
      </w:r>
      <w:r>
        <w:rPr>
          <w:rFonts w:hint="eastAsia" w:ascii="宋体" w:hAnsi="宋体" w:eastAsia="宋体" w:cs="宋体"/>
          <w:b/>
          <w:bCs/>
          <w:sz w:val="24"/>
          <w:szCs w:val="24"/>
          <w:highlight w:val="none"/>
        </w:rPr>
        <w:t>授权委托书（</w:t>
      </w:r>
      <w:r>
        <w:rPr>
          <w:rFonts w:hint="eastAsia" w:ascii="宋体" w:hAnsi="宋体" w:cs="宋体"/>
          <w:b/>
          <w:bCs/>
          <w:sz w:val="24"/>
          <w:szCs w:val="24"/>
          <w:highlight w:val="none"/>
          <w:lang w:eastAsia="zh-CN"/>
        </w:rPr>
        <w:t>负责人</w:t>
      </w:r>
      <w:r>
        <w:rPr>
          <w:rFonts w:hint="eastAsia" w:ascii="宋体" w:hAnsi="宋体" w:eastAsia="宋体" w:cs="宋体"/>
          <w:b/>
          <w:bCs/>
          <w:sz w:val="24"/>
          <w:szCs w:val="24"/>
          <w:highlight w:val="none"/>
        </w:rPr>
        <w:t>亲自办理投标事宜的，则无需提交</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w:t>
      </w:r>
      <w:bookmarkEnd w:id="53"/>
    </w:p>
    <w:p w14:paraId="603E9145">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4" w:name="_Toc30591"/>
      <w:r>
        <w:rPr>
          <w:rFonts w:hint="eastAsia" w:ascii="宋体" w:hAnsi="宋体" w:eastAsia="宋体" w:cs="宋体"/>
          <w:b/>
          <w:sz w:val="24"/>
          <w:szCs w:val="24"/>
        </w:rPr>
        <w:t>▲</w:t>
      </w:r>
      <w:r>
        <w:rPr>
          <w:rFonts w:hint="eastAsia" w:ascii="宋体" w:hAnsi="宋体" w:eastAsia="宋体" w:cs="宋体"/>
          <w:b/>
          <w:bCs/>
          <w:sz w:val="24"/>
          <w:szCs w:val="24"/>
          <w:highlight w:val="none"/>
        </w:rPr>
        <w:t>法人或者其他组织的营业执照等证明文件，自然人的身份证明；</w:t>
      </w:r>
      <w:bookmarkEnd w:id="54"/>
    </w:p>
    <w:p w14:paraId="6A55397A">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bookmarkStart w:id="55" w:name="_Toc11400"/>
      <w:r>
        <w:rPr>
          <w:rFonts w:hint="eastAsia" w:ascii="宋体" w:hAnsi="宋体" w:eastAsia="宋体" w:cs="宋体"/>
          <w:b/>
          <w:bCs/>
          <w:color w:val="auto"/>
          <w:sz w:val="24"/>
          <w:szCs w:val="24"/>
          <w:highlight w:val="none"/>
        </w:rPr>
        <w:t>▲符合参与政府采购活动的资格条件、具备良好的商业信誉和健全的财务会计制度并且没有税收缴纳、社会保障等方面的失信记录的承诺函；</w:t>
      </w:r>
    </w:p>
    <w:p w14:paraId="1E36A9D2">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▲具备履行合同所必需的设备和专业技术能力的承诺函</w:t>
      </w:r>
      <w:r>
        <w:rPr>
          <w:rFonts w:hint="eastAsia" w:ascii="宋体" w:hAnsi="宋体" w:cs="宋体"/>
          <w:b/>
          <w:bCs/>
          <w:color w:val="auto"/>
          <w:sz w:val="24"/>
          <w:szCs w:val="24"/>
          <w:highlight w:val="none"/>
          <w:lang w:val="en-US" w:eastAsia="zh-CN"/>
        </w:rPr>
        <w:t>；</w:t>
      </w:r>
    </w:p>
    <w:p w14:paraId="2046BF47">
      <w:pPr>
        <w:keepNext w:val="0"/>
        <w:keepLines w:val="0"/>
        <w:pageBreakBefore w:val="0"/>
        <w:widowControl/>
        <w:numPr>
          <w:ilvl w:val="0"/>
          <w:numId w:val="2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以及</w:t>
      </w:r>
      <w:r>
        <w:rPr>
          <w:rFonts w:hint="eastAsia" w:ascii="宋体" w:hAnsi="宋体" w:eastAsia="宋体" w:cs="宋体"/>
          <w:b/>
          <w:bCs/>
          <w:sz w:val="24"/>
          <w:szCs w:val="24"/>
          <w:highlight w:val="none"/>
        </w:rPr>
        <w:t>需要说明的其他资料</w:t>
      </w:r>
      <w:r>
        <w:rPr>
          <w:rFonts w:hint="eastAsia" w:ascii="宋体" w:hAnsi="宋体" w:eastAsia="宋体" w:cs="宋体"/>
          <w:b/>
          <w:bCs/>
          <w:sz w:val="24"/>
          <w:szCs w:val="24"/>
          <w:highlight w:val="none"/>
          <w:lang w:eastAsia="zh-CN"/>
        </w:rPr>
        <w:t>。</w:t>
      </w:r>
      <w:bookmarkEnd w:id="55"/>
    </w:p>
    <w:p w14:paraId="29769178">
      <w:pPr>
        <w:keepNext w:val="0"/>
        <w:keepLines w:val="0"/>
        <w:pageBreakBefore w:val="0"/>
        <w:numPr>
          <w:ilvl w:val="0"/>
          <w:numId w:val="24"/>
        </w:numPr>
        <w:tabs>
          <w:tab w:val="left" w:pos="840"/>
        </w:tabs>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u w:val="single"/>
        </w:rPr>
      </w:pPr>
      <w:r>
        <w:rPr>
          <w:rFonts w:hint="eastAsia" w:ascii="宋体" w:hAnsi="宋体" w:eastAsia="宋体" w:cs="宋体"/>
          <w:b/>
          <w:bCs w:val="0"/>
          <w:color w:val="000000"/>
          <w:sz w:val="24"/>
          <w:szCs w:val="24"/>
        </w:rPr>
        <w:t>商务与技术文件的组成：</w:t>
      </w:r>
    </w:p>
    <w:p w14:paraId="2F06D503">
      <w:pPr>
        <w:keepNext w:val="0"/>
        <w:keepLines w:val="0"/>
        <w:pageBreakBefore w:val="0"/>
        <w:numPr>
          <w:ilvl w:val="0"/>
          <w:numId w:val="26"/>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需求</w:t>
      </w:r>
      <w:r>
        <w:rPr>
          <w:rFonts w:hint="eastAsia" w:ascii="宋体" w:hAnsi="宋体" w:eastAsia="宋体" w:cs="宋体"/>
          <w:b/>
          <w:bCs/>
          <w:color w:val="auto"/>
          <w:sz w:val="24"/>
          <w:szCs w:val="24"/>
        </w:rPr>
        <w:t>响</w:t>
      </w:r>
      <w:r>
        <w:rPr>
          <w:rFonts w:hint="eastAsia" w:ascii="宋体" w:hAnsi="宋体" w:eastAsia="宋体" w:cs="宋体"/>
          <w:b/>
          <w:bCs/>
          <w:color w:val="000000"/>
          <w:sz w:val="24"/>
          <w:szCs w:val="24"/>
        </w:rPr>
        <w:t>应表；</w:t>
      </w:r>
    </w:p>
    <w:p w14:paraId="700EF002">
      <w:pPr>
        <w:keepNext w:val="0"/>
        <w:keepLines w:val="0"/>
        <w:pageBreakBefore w:val="0"/>
        <w:numPr>
          <w:ilvl w:val="0"/>
          <w:numId w:val="2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其余内容根据评标办法自拟</w:t>
      </w:r>
      <w:r>
        <w:rPr>
          <w:rFonts w:hint="eastAsia" w:ascii="宋体" w:hAnsi="宋体" w:eastAsia="宋体" w:cs="宋体"/>
          <w:color w:val="000000"/>
          <w:kern w:val="0"/>
          <w:sz w:val="24"/>
          <w:szCs w:val="24"/>
          <w:lang w:eastAsia="zh-CN"/>
        </w:rPr>
        <w:t>。</w:t>
      </w:r>
    </w:p>
    <w:p w14:paraId="587BF35E">
      <w:pPr>
        <w:pStyle w:val="6"/>
        <w:keepNext w:val="0"/>
        <w:keepLines w:val="0"/>
        <w:pageBreakBefore w:val="0"/>
        <w:widowControl/>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color w:val="000000"/>
          <w:kern w:val="0"/>
          <w:sz w:val="24"/>
          <w:szCs w:val="24"/>
        </w:rPr>
        <w:t>招标需求中要求提供的相关证明材料及根据评标办法提供的证明材料均需在投标文件中提供扫描件。评分</w:t>
      </w:r>
      <w:r>
        <w:rPr>
          <w:rFonts w:hint="eastAsia" w:ascii="宋体" w:hAnsi="宋体" w:cs="宋体"/>
          <w:b/>
          <w:color w:val="000000"/>
          <w:kern w:val="0"/>
          <w:sz w:val="24"/>
          <w:szCs w:val="24"/>
          <w:lang w:val="en-US" w:eastAsia="zh-CN"/>
        </w:rPr>
        <w:t>办法</w:t>
      </w:r>
      <w:r>
        <w:rPr>
          <w:rFonts w:hint="eastAsia" w:ascii="宋体" w:hAnsi="宋体" w:eastAsia="宋体" w:cs="宋体"/>
          <w:b/>
          <w:color w:val="000000"/>
          <w:kern w:val="0"/>
          <w:sz w:val="24"/>
          <w:szCs w:val="24"/>
        </w:rPr>
        <w:t>要求提供的证明材料须清晰可辨</w:t>
      </w:r>
      <w:r>
        <w:rPr>
          <w:rFonts w:hint="eastAsia" w:ascii="宋体" w:hAnsi="宋体" w:cs="宋体"/>
          <w:b/>
          <w:color w:val="000000"/>
          <w:kern w:val="0"/>
          <w:sz w:val="24"/>
          <w:szCs w:val="24"/>
          <w:lang w:eastAsia="zh-CN"/>
        </w:rPr>
        <w:t>，</w:t>
      </w:r>
      <w:r>
        <w:rPr>
          <w:rFonts w:hint="eastAsia" w:ascii="宋体" w:hAnsi="宋体" w:cs="宋体"/>
          <w:b/>
          <w:color w:val="000000"/>
          <w:kern w:val="0"/>
          <w:sz w:val="24"/>
          <w:szCs w:val="24"/>
          <w:lang w:val="en-US" w:eastAsia="zh-CN"/>
        </w:rPr>
        <w:t>如因证明材料模糊无法辨认，导致无法进行评审认定的，由供应商自行承担不利后果</w:t>
      </w:r>
      <w:r>
        <w:rPr>
          <w:rFonts w:hint="eastAsia" w:ascii="宋体" w:hAnsi="宋体" w:eastAsia="宋体" w:cs="宋体"/>
          <w:b/>
          <w:color w:val="000000"/>
          <w:kern w:val="0"/>
          <w:sz w:val="24"/>
          <w:szCs w:val="24"/>
        </w:rPr>
        <w:t>。</w:t>
      </w:r>
    </w:p>
    <w:p w14:paraId="5F231B2E">
      <w:pPr>
        <w:keepNext w:val="0"/>
        <w:keepLines w:val="0"/>
        <w:pageBreakBefore w:val="0"/>
        <w:numPr>
          <w:ilvl w:val="0"/>
          <w:numId w:val="24"/>
        </w:numPr>
        <w:tabs>
          <w:tab w:val="left" w:pos="840"/>
        </w:tabs>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报价文件的组成</w:t>
      </w:r>
      <w:r>
        <w:rPr>
          <w:rFonts w:hint="eastAsia" w:ascii="宋体" w:hAnsi="宋体" w:eastAsia="宋体" w:cs="宋体"/>
          <w:b/>
          <w:bCs w:val="0"/>
          <w:kern w:val="0"/>
          <w:sz w:val="24"/>
          <w:szCs w:val="24"/>
          <w:lang w:eastAsia="zh-CN"/>
        </w:rPr>
        <w:t>：</w:t>
      </w:r>
    </w:p>
    <w:p w14:paraId="1E630B33">
      <w:pPr>
        <w:keepNext w:val="0"/>
        <w:keepLines w:val="0"/>
        <w:pageBreakBefore w:val="0"/>
        <w:numPr>
          <w:ilvl w:val="0"/>
          <w:numId w:val="27"/>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lang w:eastAsia="zh-CN"/>
        </w:rPr>
      </w:pPr>
      <w:r>
        <w:rPr>
          <w:rFonts w:hint="eastAsia" w:ascii="宋体" w:hAnsi="宋体" w:eastAsia="宋体" w:cs="宋体"/>
          <w:b/>
          <w:sz w:val="24"/>
          <w:szCs w:val="24"/>
        </w:rPr>
        <w:t>▲</w:t>
      </w:r>
      <w:r>
        <w:rPr>
          <w:rFonts w:hint="eastAsia" w:ascii="宋体" w:hAnsi="宋体" w:eastAsia="宋体" w:cs="宋体"/>
          <w:b/>
          <w:bCs w:val="0"/>
          <w:color w:val="000000"/>
          <w:kern w:val="0"/>
          <w:sz w:val="24"/>
          <w:szCs w:val="24"/>
        </w:rPr>
        <w:t>开标一览表</w:t>
      </w:r>
      <w:r>
        <w:rPr>
          <w:rFonts w:hint="eastAsia" w:ascii="宋体" w:hAnsi="宋体" w:eastAsia="宋体" w:cs="宋体"/>
          <w:b/>
          <w:bCs w:val="0"/>
          <w:color w:val="000000"/>
          <w:kern w:val="0"/>
          <w:sz w:val="24"/>
          <w:szCs w:val="24"/>
          <w:lang w:eastAsia="zh-CN"/>
        </w:rPr>
        <w:t>；</w:t>
      </w:r>
    </w:p>
    <w:p w14:paraId="339EAB1B">
      <w:pPr>
        <w:keepNext w:val="0"/>
        <w:keepLines w:val="0"/>
        <w:pageBreakBefore w:val="0"/>
        <w:numPr>
          <w:ilvl w:val="0"/>
          <w:numId w:val="27"/>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中小企业声明函</w:t>
      </w:r>
      <w:r>
        <w:rPr>
          <w:rFonts w:hint="eastAsia" w:ascii="宋体" w:hAnsi="宋体" w:eastAsia="宋体" w:cs="宋体"/>
          <w:b/>
          <w:sz w:val="24"/>
          <w:szCs w:val="24"/>
        </w:rPr>
        <w:t>或残疾人福利性单位声明函或监狱企业证明资料（视情提供）</w:t>
      </w:r>
      <w:r>
        <w:rPr>
          <w:rFonts w:hint="eastAsia" w:ascii="宋体" w:hAnsi="宋体" w:eastAsia="宋体" w:cs="宋体"/>
          <w:b/>
          <w:sz w:val="24"/>
          <w:szCs w:val="24"/>
          <w:lang w:eastAsia="zh-CN"/>
        </w:rPr>
        <w:t>；</w:t>
      </w:r>
    </w:p>
    <w:p w14:paraId="0C597A28">
      <w:pPr>
        <w:keepNext w:val="0"/>
        <w:keepLines w:val="0"/>
        <w:pageBreakBefore w:val="0"/>
        <w:numPr>
          <w:ilvl w:val="0"/>
          <w:numId w:val="27"/>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投标人认为其他需要说明的内容组成。</w:t>
      </w:r>
    </w:p>
    <w:p w14:paraId="52DEC2D8">
      <w:pPr>
        <w:pStyle w:val="6"/>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6" w:name="_Toc30301"/>
      <w:r>
        <w:rPr>
          <w:rFonts w:hint="eastAsia" w:ascii="宋体" w:hAnsi="宋体" w:eastAsia="宋体" w:cs="宋体"/>
          <w:b/>
          <w:kern w:val="0"/>
          <w:sz w:val="24"/>
          <w:szCs w:val="24"/>
        </w:rPr>
        <w:t>投标报价</w:t>
      </w:r>
      <w:bookmarkEnd w:id="56"/>
    </w:p>
    <w:p w14:paraId="3A8E12F6">
      <w:pPr>
        <w:pStyle w:val="6"/>
        <w:keepNext w:val="0"/>
        <w:keepLines w:val="0"/>
        <w:pageBreakBefore w:val="0"/>
        <w:numPr>
          <w:ilvl w:val="0"/>
          <w:numId w:val="2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投标人应按照招</w:t>
      </w:r>
      <w:r>
        <w:rPr>
          <w:rFonts w:hint="eastAsia" w:ascii="宋体" w:hAnsi="宋体" w:eastAsia="宋体" w:cs="宋体"/>
          <w:bCs/>
          <w:color w:val="auto"/>
          <w:kern w:val="0"/>
          <w:sz w:val="24"/>
          <w:szCs w:val="24"/>
        </w:rPr>
        <w:t>标需求内容、责任范围以及合同条款进行报价。并按“开标一览表”规定的格式报出总价。投标总</w:t>
      </w:r>
      <w:r>
        <w:rPr>
          <w:rFonts w:hint="eastAsia" w:ascii="宋体" w:hAnsi="宋体" w:eastAsia="宋体" w:cs="宋体"/>
          <w:bCs/>
          <w:kern w:val="0"/>
          <w:sz w:val="24"/>
          <w:szCs w:val="24"/>
        </w:rPr>
        <w:t>价中不得包含招标文件要求以外的内容，否则，在评标时不予核减。</w:t>
      </w:r>
    </w:p>
    <w:p w14:paraId="69BE426D">
      <w:pPr>
        <w:pStyle w:val="6"/>
        <w:keepNext w:val="0"/>
        <w:keepLines w:val="0"/>
        <w:pageBreakBefore w:val="0"/>
        <w:numPr>
          <w:ilvl w:val="0"/>
          <w:numId w:val="2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投标报价不得为选择性报价和附有条件的报价。</w:t>
      </w:r>
    </w:p>
    <w:p w14:paraId="4F5EF404">
      <w:pPr>
        <w:pStyle w:val="6"/>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7" w:name="_Toc30930"/>
      <w:r>
        <w:rPr>
          <w:rFonts w:hint="eastAsia" w:ascii="宋体" w:hAnsi="宋体" w:eastAsia="宋体" w:cs="宋体"/>
          <w:b/>
          <w:kern w:val="0"/>
          <w:sz w:val="24"/>
          <w:szCs w:val="24"/>
        </w:rPr>
        <w:t>投标文件的有效期</w:t>
      </w:r>
      <w:bookmarkEnd w:id="57"/>
    </w:p>
    <w:p w14:paraId="297A0A99">
      <w:pPr>
        <w:pStyle w:val="6"/>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val="en-GB"/>
        </w:rPr>
      </w:pPr>
      <w:r>
        <w:rPr>
          <w:rFonts w:hint="eastAsia" w:ascii="宋体" w:hAnsi="宋体" w:eastAsia="宋体" w:cs="宋体"/>
          <w:sz w:val="24"/>
          <w:szCs w:val="24"/>
        </w:rPr>
        <w:t>投标文件有效期为</w:t>
      </w:r>
      <w:r>
        <w:rPr>
          <w:rFonts w:hint="eastAsia" w:ascii="宋体" w:hAnsi="宋体" w:eastAsia="宋体" w:cs="宋体"/>
          <w:sz w:val="24"/>
          <w:szCs w:val="24"/>
          <w:lang w:val="en-GB"/>
        </w:rPr>
        <w:t>投标截止日起90天。</w:t>
      </w:r>
    </w:p>
    <w:p w14:paraId="344B4F15">
      <w:pPr>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cs="宋体"/>
          <w:sz w:val="24"/>
          <w:szCs w:val="24"/>
          <w:lang w:eastAsia="zh-CN"/>
        </w:rPr>
      </w:pPr>
      <w:r>
        <w:rPr>
          <w:rFonts w:hint="eastAsia" w:ascii="宋体" w:hAnsi="宋体" w:eastAsia="宋体" w:cs="宋体"/>
          <w:sz w:val="24"/>
          <w:szCs w:val="24"/>
          <w:lang w:val="en-GB"/>
        </w:rPr>
        <w:t>在特殊情况下，采购人可与投标人协商延长投标文件的有效期，这种要求和答复均以书面形式进行。</w:t>
      </w:r>
    </w:p>
    <w:p w14:paraId="36F580D5">
      <w:pPr>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val="en-GB"/>
        </w:rPr>
      </w:pPr>
      <w:r>
        <w:rPr>
          <w:rFonts w:hint="eastAsia" w:ascii="宋体" w:hAnsi="宋体" w:cs="宋体"/>
          <w:sz w:val="24"/>
          <w:szCs w:val="24"/>
          <w:lang w:eastAsia="zh-CN"/>
        </w:rPr>
        <w:t>自投标截止时间起至投标有效期届满，供应商投标文件不可撤销。</w:t>
      </w:r>
    </w:p>
    <w:p w14:paraId="49945176">
      <w:pPr>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58" w:name="_Toc17835"/>
      <w:r>
        <w:rPr>
          <w:rFonts w:hint="eastAsia" w:ascii="宋体" w:hAnsi="宋体" w:eastAsia="宋体" w:cs="宋体"/>
          <w:sz w:val="24"/>
          <w:szCs w:val="24"/>
        </w:rPr>
        <w:t>中标人的投标文件自开标之日起至合同履行完毕均应保持有效。</w:t>
      </w:r>
      <w:bookmarkEnd w:id="58"/>
    </w:p>
    <w:p w14:paraId="0B073AA4">
      <w:pPr>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9" w:name="_Toc31077"/>
      <w:r>
        <w:rPr>
          <w:rFonts w:hint="eastAsia" w:ascii="宋体" w:hAnsi="宋体" w:eastAsia="宋体" w:cs="宋体"/>
          <w:b/>
          <w:kern w:val="0"/>
          <w:sz w:val="24"/>
          <w:szCs w:val="24"/>
        </w:rPr>
        <w:t>投标文件的签署</w:t>
      </w:r>
      <w:bookmarkEnd w:id="59"/>
    </w:p>
    <w:p w14:paraId="672E324F">
      <w:pPr>
        <w:pStyle w:val="6"/>
        <w:keepNext w:val="0"/>
        <w:keepLines w:val="0"/>
        <w:pageBreakBefore w:val="0"/>
        <w:numPr>
          <w:ilvl w:val="0"/>
          <w:numId w:val="0"/>
        </w:numPr>
        <w:kinsoku/>
        <w:wordWrap/>
        <w:overflowPunct/>
        <w:topLinePunct w:val="0"/>
        <w:bidi w:val="0"/>
        <w:adjustRightInd/>
        <w:snapToGrid/>
        <w:spacing w:beforeAutospacing="0" w:afterAutospacing="0" w:line="360" w:lineRule="auto"/>
        <w:ind w:leftChars="200" w:right="0" w:right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投标文件按照招标文件第六部分格式要求进行签署、盖章。</w:t>
      </w:r>
    </w:p>
    <w:p w14:paraId="0E4EEA4F">
      <w:pPr>
        <w:keepNext w:val="0"/>
        <w:keepLines w:val="0"/>
        <w:pageBreakBefore w:val="0"/>
        <w:numPr>
          <w:ilvl w:val="0"/>
          <w:numId w:val="23"/>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投标文件的递交要求</w:t>
      </w:r>
    </w:p>
    <w:p w14:paraId="5DE7F503">
      <w:pPr>
        <w:keepNext w:val="0"/>
        <w:keepLines w:val="0"/>
        <w:pageBreakBefore w:val="0"/>
        <w:tabs>
          <w:tab w:val="left" w:pos="1418"/>
        </w:tabs>
        <w:kinsoku/>
        <w:wordWrap/>
        <w:overflowPunct/>
        <w:topLinePunct w:val="0"/>
        <w:autoSpaceDE w:val="0"/>
        <w:autoSpaceDN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按照前附表要求提交，</w:t>
      </w:r>
      <w:r>
        <w:rPr>
          <w:rFonts w:hint="eastAsia" w:ascii="宋体" w:hAnsi="宋体" w:eastAsia="宋体" w:cs="宋体"/>
          <w:kern w:val="0"/>
          <w:sz w:val="24"/>
          <w:szCs w:val="24"/>
        </w:rPr>
        <w:t>如</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延长截止时间和开标时间，</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和投标人的权利和义务将受到新的截止时间和开标时间的约束。</w:t>
      </w:r>
    </w:p>
    <w:p w14:paraId="5DB26737">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0" w:name="_Toc2711"/>
      <w:r>
        <w:rPr>
          <w:rFonts w:hint="eastAsia" w:ascii="宋体" w:hAnsi="宋体" w:eastAsia="宋体" w:cs="宋体"/>
          <w:sz w:val="24"/>
          <w:szCs w:val="24"/>
        </w:rPr>
        <w:t>开标</w:t>
      </w:r>
      <w:bookmarkEnd w:id="60"/>
    </w:p>
    <w:p w14:paraId="26E23CE4">
      <w:pPr>
        <w:keepNext w:val="0"/>
        <w:keepLines w:val="0"/>
        <w:pageBreakBefore w:val="0"/>
        <w:numPr>
          <w:ilvl w:val="0"/>
          <w:numId w:val="30"/>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61" w:name="_Toc8272"/>
      <w:r>
        <w:rPr>
          <w:rFonts w:hint="eastAsia" w:ascii="宋体" w:hAnsi="宋体" w:eastAsia="宋体" w:cs="宋体"/>
          <w:b/>
          <w:sz w:val="24"/>
          <w:szCs w:val="24"/>
        </w:rPr>
        <w:t>开标程序</w:t>
      </w:r>
      <w:bookmarkEnd w:id="61"/>
    </w:p>
    <w:p w14:paraId="0F94097C">
      <w:pPr>
        <w:pStyle w:val="6"/>
        <w:keepNext w:val="0"/>
        <w:keepLines w:val="0"/>
        <w:pageBreakBefore w:val="0"/>
        <w:numPr>
          <w:ilvl w:val="0"/>
          <w:numId w:val="3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开标时间到后，主持人准时组织开标；</w:t>
      </w:r>
    </w:p>
    <w:p w14:paraId="0B352B73">
      <w:pPr>
        <w:pStyle w:val="6"/>
        <w:keepNext w:val="0"/>
        <w:keepLines w:val="0"/>
        <w:pageBreakBefore w:val="0"/>
        <w:numPr>
          <w:ilvl w:val="0"/>
          <w:numId w:val="3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投标人登录政采云平台，用“项目采购-开标评标”功能对电子投标文件进行在线解密。在线解密时间为</w:t>
      </w:r>
      <w:r>
        <w:rPr>
          <w:rFonts w:hint="eastAsia" w:ascii="宋体" w:hAnsi="宋体" w:eastAsia="宋体" w:cs="宋体"/>
          <w:b w:val="0"/>
          <w:bCs w:val="0"/>
          <w:sz w:val="24"/>
          <w:lang w:eastAsia="zh-CN"/>
        </w:rPr>
        <w:t>接到解密通知</w:t>
      </w:r>
      <w:r>
        <w:rPr>
          <w:rFonts w:hint="eastAsia" w:ascii="宋体" w:hAnsi="宋体" w:eastAsia="宋体" w:cs="宋体"/>
          <w:b w:val="0"/>
          <w:bCs w:val="0"/>
          <w:sz w:val="24"/>
        </w:rPr>
        <w:t>起</w:t>
      </w:r>
      <w:r>
        <w:rPr>
          <w:rFonts w:hint="eastAsia" w:ascii="宋体" w:hAnsi="宋体" w:eastAsia="宋体" w:cs="宋体"/>
          <w:b w:val="0"/>
          <w:bCs w:val="0"/>
          <w:sz w:val="24"/>
          <w:lang w:eastAsia="zh-CN"/>
        </w:rPr>
        <w:t>半</w:t>
      </w:r>
      <w:r>
        <w:rPr>
          <w:rFonts w:hint="eastAsia" w:ascii="宋体" w:hAnsi="宋体" w:eastAsia="宋体" w:cs="宋体"/>
          <w:b w:val="0"/>
          <w:bCs w:val="0"/>
          <w:sz w:val="24"/>
        </w:rPr>
        <w:t>个小时内</w:t>
      </w:r>
      <w:r>
        <w:rPr>
          <w:rFonts w:hint="eastAsia" w:ascii="宋体" w:hAnsi="宋体" w:eastAsia="宋体" w:cs="宋体"/>
          <w:sz w:val="24"/>
          <w:szCs w:val="24"/>
        </w:rPr>
        <w:t>；</w:t>
      </w:r>
    </w:p>
    <w:p w14:paraId="3B64A323">
      <w:pPr>
        <w:pStyle w:val="6"/>
        <w:keepNext w:val="0"/>
        <w:keepLines w:val="0"/>
        <w:pageBreakBefore w:val="0"/>
        <w:numPr>
          <w:ilvl w:val="0"/>
          <w:numId w:val="3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公布开标结果。</w:t>
      </w:r>
    </w:p>
    <w:p w14:paraId="10D1123C">
      <w:pPr>
        <w:keepNext w:val="0"/>
        <w:keepLines w:val="0"/>
        <w:pageBreakBefore w:val="0"/>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color w:val="000000"/>
          <w:sz w:val="24"/>
          <w:szCs w:val="24"/>
          <w:lang w:eastAsia="zh-CN"/>
        </w:rPr>
        <w:t>特别说明：政采云公司如对电子化开标及评审程序有调整的，按调整后的程序操作。</w:t>
      </w:r>
      <w:r>
        <w:rPr>
          <w:rFonts w:hint="eastAsia" w:ascii="宋体" w:hAnsi="宋体" w:eastAsia="宋体" w:cs="宋体"/>
          <w:b/>
          <w:bCs/>
          <w:sz w:val="24"/>
          <w:szCs w:val="24"/>
        </w:rPr>
        <w:t>本项目</w:t>
      </w:r>
      <w:r>
        <w:rPr>
          <w:rFonts w:hint="eastAsia" w:ascii="宋体" w:hAnsi="宋体" w:eastAsia="宋体" w:cs="宋体"/>
          <w:b/>
          <w:bCs/>
          <w:sz w:val="24"/>
          <w:szCs w:val="24"/>
          <w:lang w:eastAsia="zh-CN"/>
        </w:rPr>
        <w:t>原则上</w:t>
      </w:r>
      <w:r>
        <w:rPr>
          <w:rFonts w:hint="eastAsia" w:ascii="宋体" w:hAnsi="宋体" w:eastAsia="宋体" w:cs="宋体"/>
          <w:b/>
          <w:bCs/>
          <w:sz w:val="24"/>
          <w:szCs w:val="24"/>
        </w:rPr>
        <w:t>采用政采云电</w:t>
      </w:r>
      <w:r>
        <w:rPr>
          <w:rFonts w:hint="eastAsia" w:ascii="宋体" w:hAnsi="宋体" w:eastAsia="宋体" w:cs="宋体"/>
          <w:b/>
          <w:bCs/>
          <w:sz w:val="24"/>
          <w:szCs w:val="24"/>
          <w:highlight w:val="none"/>
        </w:rPr>
        <w:t>子招投标开标及评审程序</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rPr>
        <w:t>若投标人在规定时间内无法解密或解密失败，</w:t>
      </w:r>
      <w:r>
        <w:rPr>
          <w:rFonts w:hint="eastAsia" w:ascii="宋体" w:hAnsi="宋体" w:cs="宋体"/>
          <w:b w:val="0"/>
          <w:bCs w:val="0"/>
          <w:sz w:val="24"/>
          <w:szCs w:val="24"/>
          <w:highlight w:val="none"/>
          <w:lang w:eastAsia="zh-CN"/>
        </w:rPr>
        <w:t>采购代理机构</w:t>
      </w:r>
      <w:r>
        <w:rPr>
          <w:rFonts w:hint="eastAsia" w:ascii="宋体" w:hAnsi="宋体" w:eastAsia="宋体" w:cs="宋体"/>
          <w:b w:val="0"/>
          <w:bCs w:val="0"/>
          <w:sz w:val="24"/>
          <w:szCs w:val="24"/>
          <w:highlight w:val="none"/>
        </w:rPr>
        <w:t>将开启投标人递交的数据电文形式的备份投标文件，上传至政采云平台项目采购模块，以完成开标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，采购过程中出现以下情形，导致电子交易平台无</w:t>
      </w:r>
      <w:r>
        <w:rPr>
          <w:rFonts w:hint="eastAsia" w:ascii="宋体" w:hAnsi="宋体" w:eastAsia="宋体" w:cs="宋体"/>
          <w:b/>
          <w:bCs/>
          <w:sz w:val="24"/>
          <w:szCs w:val="24"/>
        </w:rPr>
        <w:t>法正常运行，或者无法保证电子交易的公平、公正和安全时，</w:t>
      </w:r>
      <w:r>
        <w:rPr>
          <w:rFonts w:hint="eastAsia" w:ascii="宋体" w:hAnsi="宋体" w:cs="宋体"/>
          <w:b/>
          <w:bCs/>
          <w:sz w:val="24"/>
          <w:szCs w:val="24"/>
          <w:lang w:eastAsia="zh-CN"/>
        </w:rPr>
        <w:t>采购代理机构</w:t>
      </w:r>
      <w:r>
        <w:rPr>
          <w:rFonts w:hint="eastAsia" w:ascii="宋体" w:hAnsi="宋体" w:eastAsia="宋体" w:cs="宋体"/>
          <w:b/>
          <w:bCs/>
          <w:sz w:val="24"/>
          <w:szCs w:val="24"/>
        </w:rPr>
        <w:t>可中止电子交易活动：</w:t>
      </w:r>
    </w:p>
    <w:p w14:paraId="28E75EEF">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电子交易平台发生故障而无法登录访问的； </w:t>
      </w:r>
    </w:p>
    <w:p w14:paraId="0BC4D242">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电子交易平台应用或数据库出现错误，不能进行正常操作的；</w:t>
      </w:r>
    </w:p>
    <w:p w14:paraId="16682732">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电子交易平台发现严重安全漏洞，有潜在泄密危险的；</w:t>
      </w:r>
    </w:p>
    <w:p w14:paraId="6D89B4B4">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病毒发作导致不能进行正常操作的； </w:t>
      </w:r>
    </w:p>
    <w:p w14:paraId="12C9A208">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其他无法保证电子交易的公平、公正和安全的情况。</w:t>
      </w:r>
    </w:p>
    <w:p w14:paraId="2D434D19">
      <w:pPr>
        <w:pStyle w:val="6"/>
        <w:keepNext w:val="0"/>
        <w:keepLines w:val="0"/>
        <w:pageBreakBefore w:val="0"/>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出现前款规定情形，不影响采购公平、公正性的，</w:t>
      </w:r>
      <w:r>
        <w:rPr>
          <w:rFonts w:hint="eastAsia" w:ascii="宋体" w:hAnsi="宋体" w:cs="宋体"/>
          <w:b/>
          <w:bCs/>
          <w:sz w:val="24"/>
          <w:szCs w:val="24"/>
          <w:lang w:eastAsia="zh-CN"/>
        </w:rPr>
        <w:t>采购代理机构</w:t>
      </w:r>
      <w:r>
        <w:rPr>
          <w:rFonts w:hint="eastAsia" w:ascii="宋体" w:hAnsi="宋体" w:eastAsia="宋体" w:cs="宋体"/>
          <w:b/>
          <w:bCs/>
          <w:sz w:val="24"/>
          <w:szCs w:val="24"/>
        </w:rPr>
        <w:t>可以待上述情形消除后继续组织电子交易活动，也可以决定某些环节以纸质形式进行；影响或可能影响采购公平、公正性的，应当重新采购。</w:t>
      </w:r>
    </w:p>
    <w:p w14:paraId="2A48252A">
      <w:pPr>
        <w:pStyle w:val="6"/>
        <w:keepNext w:val="0"/>
        <w:keepLines w:val="0"/>
        <w:pageBreakBefore w:val="0"/>
        <w:numPr>
          <w:ilvl w:val="0"/>
          <w:numId w:val="3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62" w:name="_Toc22507"/>
      <w:r>
        <w:rPr>
          <w:rFonts w:hint="eastAsia" w:ascii="宋体" w:hAnsi="宋体" w:eastAsia="宋体" w:cs="宋体"/>
          <w:b/>
          <w:bCs/>
          <w:sz w:val="24"/>
          <w:szCs w:val="24"/>
        </w:rPr>
        <w:t>开标异议</w:t>
      </w:r>
      <w:bookmarkEnd w:id="62"/>
    </w:p>
    <w:p w14:paraId="174A6559">
      <w:pPr>
        <w:pStyle w:val="6"/>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投标人代表对开标过程和开标记录有疑义，以及认为采购人、</w:t>
      </w:r>
      <w:r>
        <w:rPr>
          <w:rFonts w:hint="eastAsia" w:ascii="宋体" w:hAnsi="宋体" w:cs="宋体"/>
          <w:sz w:val="24"/>
          <w:szCs w:val="24"/>
          <w:lang w:eastAsia="zh-CN"/>
        </w:rPr>
        <w:t>采购代理机构</w:t>
      </w:r>
      <w:r>
        <w:rPr>
          <w:rFonts w:hint="eastAsia" w:ascii="宋体" w:hAnsi="宋体" w:eastAsia="宋体" w:cs="宋体"/>
          <w:sz w:val="24"/>
          <w:szCs w:val="24"/>
        </w:rPr>
        <w:t>相关工作人员有需要回避的情形的，应当场提出询问或者回避申请，</w:t>
      </w:r>
      <w:r>
        <w:rPr>
          <w:rFonts w:hint="eastAsia" w:ascii="宋体" w:hAnsi="宋体" w:cs="宋体"/>
          <w:sz w:val="24"/>
          <w:szCs w:val="24"/>
          <w:lang w:val="en-US" w:eastAsia="zh-CN"/>
        </w:rPr>
        <w:t>并说明理由</w:t>
      </w:r>
      <w:r>
        <w:rPr>
          <w:rFonts w:hint="eastAsia" w:ascii="宋体" w:hAnsi="宋体" w:eastAsia="宋体" w:cs="宋体"/>
          <w:sz w:val="24"/>
          <w:szCs w:val="24"/>
        </w:rPr>
        <w:t>。</w:t>
      </w:r>
    </w:p>
    <w:p w14:paraId="74853889">
      <w:pPr>
        <w:pStyle w:val="6"/>
        <w:keepNext w:val="0"/>
        <w:keepLines w:val="0"/>
        <w:pageBreakBefore w:val="0"/>
        <w:numPr>
          <w:ilvl w:val="0"/>
          <w:numId w:val="30"/>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63" w:name="_Toc2228"/>
      <w:r>
        <w:rPr>
          <w:rFonts w:hint="eastAsia" w:ascii="宋体" w:hAnsi="宋体" w:eastAsia="宋体" w:cs="宋体"/>
          <w:sz w:val="24"/>
          <w:szCs w:val="24"/>
        </w:rPr>
        <w:t>投标人不足三家，不得开标。</w:t>
      </w:r>
      <w:bookmarkEnd w:id="63"/>
    </w:p>
    <w:p w14:paraId="1583AE57">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4" w:name="_Toc27070"/>
      <w:r>
        <w:rPr>
          <w:rFonts w:hint="eastAsia" w:ascii="宋体" w:hAnsi="宋体" w:eastAsia="宋体" w:cs="宋体"/>
          <w:sz w:val="24"/>
          <w:szCs w:val="24"/>
        </w:rPr>
        <w:t>评标（详见第</w:t>
      </w:r>
      <w:r>
        <w:rPr>
          <w:rFonts w:hint="eastAsia" w:ascii="宋体" w:hAnsi="宋体" w:eastAsia="宋体" w:cs="宋体"/>
          <w:sz w:val="24"/>
          <w:szCs w:val="24"/>
          <w:lang w:val="en-US" w:eastAsia="zh-CN"/>
        </w:rPr>
        <w:t>三</w:t>
      </w:r>
      <w:r>
        <w:rPr>
          <w:rFonts w:hint="eastAsia" w:ascii="宋体" w:hAnsi="宋体" w:eastAsia="宋体" w:cs="宋体"/>
          <w:sz w:val="24"/>
          <w:szCs w:val="24"/>
        </w:rPr>
        <w:t>章）</w:t>
      </w:r>
      <w:bookmarkEnd w:id="64"/>
    </w:p>
    <w:p w14:paraId="655E6BF3">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5" w:name="_Toc15838"/>
      <w:r>
        <w:rPr>
          <w:rFonts w:hint="eastAsia" w:ascii="宋体" w:hAnsi="宋体" w:eastAsia="宋体" w:cs="宋体"/>
          <w:sz w:val="24"/>
          <w:szCs w:val="24"/>
        </w:rPr>
        <w:t>定标</w:t>
      </w:r>
      <w:bookmarkEnd w:id="65"/>
    </w:p>
    <w:p w14:paraId="27A9DB98">
      <w:pPr>
        <w:pStyle w:val="19"/>
        <w:keepNext w:val="0"/>
        <w:keepLines w:val="0"/>
        <w:pageBreakBefore w:val="0"/>
        <w:numPr>
          <w:ilvl w:val="0"/>
          <w:numId w:val="33"/>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确定中标人。评标委员会根据采购单位的《授权意见确认书》，推荐中标候选人或确定中标人。其中推荐中标候选人的，</w:t>
      </w:r>
      <w:r>
        <w:rPr>
          <w:rFonts w:hint="eastAsia" w:cs="宋体"/>
          <w:sz w:val="24"/>
          <w:szCs w:val="24"/>
          <w:lang w:eastAsia="zh-CN"/>
        </w:rPr>
        <w:t>采购代理机构</w:t>
      </w:r>
      <w:r>
        <w:rPr>
          <w:rFonts w:hint="eastAsia" w:ascii="宋体" w:hAnsi="宋体" w:eastAsia="宋体" w:cs="宋体"/>
          <w:sz w:val="24"/>
          <w:szCs w:val="24"/>
        </w:rPr>
        <w:t>在评标结束后2个工作日内将评标报告送采购人，采购人自收到评标报告之日起5个工作日内在评标报告推荐的中标候选人中确定中标人。</w:t>
      </w:r>
    </w:p>
    <w:p w14:paraId="2974B306">
      <w:pPr>
        <w:keepNext w:val="0"/>
        <w:keepLines w:val="0"/>
        <w:pageBreakBefore w:val="0"/>
        <w:numPr>
          <w:ilvl w:val="0"/>
          <w:numId w:val="3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发布</w:t>
      </w:r>
      <w:r>
        <w:rPr>
          <w:rFonts w:hint="eastAsia" w:ascii="宋体" w:hAnsi="宋体" w:eastAsia="宋体" w:cs="宋体"/>
          <w:sz w:val="24"/>
          <w:szCs w:val="24"/>
        </w:rPr>
        <w:t>中标</w:t>
      </w:r>
      <w:r>
        <w:rPr>
          <w:rFonts w:hint="eastAsia" w:ascii="宋体" w:hAnsi="宋体" w:eastAsia="宋体" w:cs="宋体"/>
          <w:kern w:val="0"/>
          <w:sz w:val="24"/>
          <w:szCs w:val="24"/>
        </w:rPr>
        <w:t>结果公告。</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自中标人确定之日起2个工作日内，在浙江政府采购网公告中标结果，</w:t>
      </w:r>
      <w:r>
        <w:rPr>
          <w:rFonts w:hint="eastAsia" w:ascii="宋体" w:hAnsi="宋体" w:eastAsia="宋体" w:cs="宋体"/>
          <w:sz w:val="24"/>
          <w:szCs w:val="24"/>
        </w:rPr>
        <w:t>中标结果公告期为 1 个工作日</w:t>
      </w:r>
      <w:r>
        <w:rPr>
          <w:rFonts w:hint="eastAsia" w:ascii="宋体" w:hAnsi="宋体" w:eastAsia="宋体" w:cs="宋体"/>
          <w:kern w:val="0"/>
          <w:sz w:val="24"/>
          <w:szCs w:val="24"/>
        </w:rPr>
        <w:t>。</w:t>
      </w:r>
    </w:p>
    <w:p w14:paraId="03D152A2">
      <w:pPr>
        <w:pStyle w:val="10"/>
        <w:keepNext w:val="0"/>
        <w:keepLines w:val="0"/>
        <w:pageBreakBefore w:val="0"/>
        <w:numPr>
          <w:ilvl w:val="0"/>
          <w:numId w:val="3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发放中标通知书。</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在发布中标结果公告的同时，</w:t>
      </w:r>
      <w:r>
        <w:rPr>
          <w:rFonts w:hint="eastAsia" w:ascii="宋体" w:hAnsi="宋体" w:eastAsia="宋体" w:cs="宋体"/>
          <w:sz w:val="24"/>
          <w:szCs w:val="24"/>
        </w:rPr>
        <w:t>通过政采云平台</w:t>
      </w:r>
      <w:r>
        <w:rPr>
          <w:rFonts w:hint="eastAsia" w:ascii="宋体" w:hAnsi="宋体" w:eastAsia="宋体" w:cs="宋体"/>
          <w:kern w:val="0"/>
          <w:sz w:val="24"/>
          <w:szCs w:val="24"/>
        </w:rPr>
        <w:t>向中标人</w:t>
      </w:r>
      <w:r>
        <w:rPr>
          <w:rFonts w:hint="eastAsia" w:ascii="宋体" w:hAnsi="宋体" w:eastAsia="宋体" w:cs="宋体"/>
          <w:sz w:val="24"/>
          <w:szCs w:val="24"/>
        </w:rPr>
        <w:t>发放中标通知书</w:t>
      </w:r>
      <w:r>
        <w:rPr>
          <w:rFonts w:hint="eastAsia" w:ascii="宋体" w:hAnsi="宋体" w:eastAsia="宋体" w:cs="宋体"/>
          <w:kern w:val="0"/>
          <w:sz w:val="24"/>
          <w:szCs w:val="24"/>
        </w:rPr>
        <w:t>。</w:t>
      </w:r>
    </w:p>
    <w:p w14:paraId="5361B31C">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6" w:name="_Toc10098"/>
      <w:r>
        <w:rPr>
          <w:rFonts w:hint="eastAsia" w:ascii="宋体" w:hAnsi="宋体" w:eastAsia="宋体" w:cs="宋体"/>
          <w:sz w:val="24"/>
          <w:szCs w:val="24"/>
        </w:rPr>
        <w:t>合同签订及公告</w:t>
      </w:r>
      <w:bookmarkEnd w:id="66"/>
    </w:p>
    <w:p w14:paraId="234B71F6">
      <w:pPr>
        <w:keepNext w:val="0"/>
        <w:keepLines w:val="0"/>
        <w:pageBreakBefore w:val="0"/>
        <w:numPr>
          <w:ilvl w:val="0"/>
          <w:numId w:val="3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67" w:name="_Toc5583"/>
      <w:r>
        <w:rPr>
          <w:rFonts w:hint="eastAsia" w:ascii="宋体" w:hAnsi="宋体" w:eastAsia="宋体" w:cs="宋体"/>
          <w:b/>
          <w:sz w:val="24"/>
          <w:szCs w:val="24"/>
        </w:rPr>
        <w:t>签订合同</w:t>
      </w:r>
      <w:bookmarkEnd w:id="67"/>
    </w:p>
    <w:p w14:paraId="2FC17D03">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采购人应当自中标通知书发出之日起30日内，按照招标文件和中标人投标文件内容要求，与中标人签订书面合同或者电子合同。所签订的合同不得对招标文件确定的事项和中标人投标文件作实质性修改。</w:t>
      </w:r>
    </w:p>
    <w:p w14:paraId="36E0E554">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中标人完全遵守《中华人民共和国劳动合同法》有关规定和《中华人民共和国妇女权益保障法》中关于“劳动和社会保障权益”的有关要求</w:t>
      </w:r>
      <w:r>
        <w:rPr>
          <w:rFonts w:hint="eastAsia" w:cs="宋体"/>
          <w:sz w:val="24"/>
          <w:szCs w:val="24"/>
          <w:lang w:eastAsia="zh-CN"/>
        </w:rPr>
        <w:t>。</w:t>
      </w:r>
    </w:p>
    <w:p w14:paraId="0EC31001">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采购人不得向中标人提出任何不合理的要求作为签订合同的条件。</w:t>
      </w:r>
    </w:p>
    <w:p w14:paraId="4A9DA2B5">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中标人无故拖延、拒签合同的</w:t>
      </w:r>
      <w:r>
        <w:rPr>
          <w:rFonts w:hint="eastAsia" w:cs="宋体"/>
          <w:sz w:val="24"/>
          <w:szCs w:val="24"/>
          <w:lang w:eastAsia="zh-CN"/>
        </w:rPr>
        <w:t>，</w:t>
      </w:r>
      <w:r>
        <w:rPr>
          <w:rFonts w:hint="eastAsia" w:ascii="宋体" w:hAnsi="宋体" w:eastAsia="宋体" w:cs="宋体"/>
          <w:sz w:val="24"/>
          <w:szCs w:val="24"/>
        </w:rPr>
        <w:t>将取消中标资格。</w:t>
      </w:r>
    </w:p>
    <w:p w14:paraId="176A78F7">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r>
        <w:t>同时，采购人保留对拒签</w:t>
      </w:r>
      <w:r>
        <w:rPr>
          <w:rFonts w:hint="eastAsia"/>
          <w:lang w:val="en-US" w:eastAsia="zh-CN"/>
        </w:rPr>
        <w:t>成交供应商</w:t>
      </w:r>
      <w:r>
        <w:t>追究责任的权利</w:t>
      </w:r>
      <w:r>
        <w:rPr>
          <w:rFonts w:hint="eastAsia" w:ascii="宋体" w:hAnsi="宋体" w:eastAsia="宋体" w:cs="宋体"/>
          <w:sz w:val="24"/>
          <w:szCs w:val="24"/>
        </w:rPr>
        <w:t>。</w:t>
      </w:r>
    </w:p>
    <w:p w14:paraId="1D447790">
      <w:pPr>
        <w:pStyle w:val="19"/>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询问或者质疑事项可能影响中标结果的，采购人应当暂停签订合同，已经签订合同的，应当中止履行合同。</w:t>
      </w:r>
    </w:p>
    <w:p w14:paraId="6E3AFE0E">
      <w:pPr>
        <w:pStyle w:val="19"/>
        <w:keepNext w:val="0"/>
        <w:keepLines w:val="0"/>
        <w:pageBreakBefore w:val="0"/>
        <w:numPr>
          <w:ilvl w:val="0"/>
          <w:numId w:val="34"/>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68" w:name="_Toc29343"/>
      <w:r>
        <w:rPr>
          <w:rFonts w:hint="eastAsia" w:ascii="宋体" w:hAnsi="宋体" w:eastAsia="宋体" w:cs="宋体"/>
          <w:b/>
          <w:sz w:val="24"/>
          <w:szCs w:val="24"/>
        </w:rPr>
        <w:t>合同公告及备案</w:t>
      </w:r>
      <w:bookmarkEnd w:id="68"/>
    </w:p>
    <w:p w14:paraId="5A404407">
      <w:pPr>
        <w:pStyle w:val="3"/>
        <w:keepNext w:val="0"/>
        <w:keepLines w:val="0"/>
        <w:pageBreakBefore w:val="0"/>
        <w:numPr>
          <w:ilvl w:val="0"/>
          <w:numId w:val="36"/>
        </w:numPr>
        <w:kinsoku/>
        <w:wordWrap/>
        <w:overflowPunct/>
        <w:topLinePunct w:val="0"/>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采购人应当自合同签订之日起2个工作日内，</w:t>
      </w:r>
      <w:r>
        <w:rPr>
          <w:rFonts w:hint="eastAsia" w:ascii="宋体" w:hAnsi="宋体" w:eastAsia="宋体" w:cs="宋体"/>
          <w:kern w:val="0"/>
          <w:sz w:val="24"/>
          <w:szCs w:val="24"/>
        </w:rPr>
        <w:t>在浙江政府采购网</w:t>
      </w:r>
      <w:r>
        <w:rPr>
          <w:rFonts w:hint="eastAsia" w:ascii="宋体" w:hAnsi="宋体" w:eastAsia="宋体" w:cs="宋体"/>
          <w:kern w:val="0"/>
          <w:sz w:val="24"/>
          <w:szCs w:val="24"/>
          <w:lang w:val="en-US" w:eastAsia="zh-CN"/>
        </w:rPr>
        <w:t>进行合同</w:t>
      </w:r>
      <w:r>
        <w:rPr>
          <w:rFonts w:hint="eastAsia" w:ascii="宋体" w:hAnsi="宋体" w:eastAsia="宋体" w:cs="宋体"/>
          <w:kern w:val="0"/>
          <w:sz w:val="24"/>
          <w:szCs w:val="24"/>
        </w:rPr>
        <w:t>公告</w:t>
      </w:r>
      <w:r>
        <w:rPr>
          <w:rFonts w:hint="eastAsia" w:ascii="宋体" w:hAnsi="宋体" w:eastAsia="宋体" w:cs="宋体"/>
          <w:sz w:val="24"/>
          <w:szCs w:val="24"/>
        </w:rPr>
        <w:t>。</w:t>
      </w:r>
    </w:p>
    <w:p w14:paraId="55D330DF">
      <w:pPr>
        <w:pStyle w:val="10"/>
        <w:keepNext w:val="0"/>
        <w:keepLines w:val="0"/>
        <w:pageBreakBefore w:val="0"/>
        <w:numPr>
          <w:ilvl w:val="0"/>
          <w:numId w:val="3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采购人应当自合同签订之日起7个工作日内，将合同通过政采云平台提交至同级人民政府财政部门备案存档。</w:t>
      </w:r>
    </w:p>
    <w:p w14:paraId="156CE198">
      <w:pPr>
        <w:pStyle w:val="5"/>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9" w:name="_Toc10475"/>
      <w:r>
        <w:rPr>
          <w:rFonts w:hint="eastAsia" w:ascii="宋体" w:hAnsi="宋体" w:eastAsia="宋体" w:cs="宋体"/>
          <w:sz w:val="24"/>
          <w:szCs w:val="24"/>
        </w:rPr>
        <w:t>询问、质疑与投诉</w:t>
      </w:r>
      <w:bookmarkEnd w:id="69"/>
    </w:p>
    <w:p w14:paraId="0809A5CE">
      <w:pPr>
        <w:pStyle w:val="10"/>
        <w:keepNext w:val="0"/>
        <w:keepLines w:val="0"/>
        <w:pageBreakBefore w:val="0"/>
        <w:numPr>
          <w:ilvl w:val="0"/>
          <w:numId w:val="37"/>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0" w:name="_Toc4736"/>
      <w:r>
        <w:rPr>
          <w:rFonts w:hint="eastAsia" w:ascii="宋体" w:hAnsi="宋体" w:eastAsia="宋体" w:cs="宋体"/>
          <w:b/>
          <w:bCs/>
          <w:sz w:val="24"/>
          <w:szCs w:val="24"/>
        </w:rPr>
        <w:t>询问</w:t>
      </w:r>
      <w:bookmarkEnd w:id="70"/>
    </w:p>
    <w:p w14:paraId="2CECBAA5">
      <w:pPr>
        <w:pStyle w:val="10"/>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投标人对政府采购活动事项（招标文件、采购过程和中标结果）有疑问的，可以向采购人或</w:t>
      </w:r>
      <w:r>
        <w:rPr>
          <w:rFonts w:hint="eastAsia" w:ascii="宋体" w:hAnsi="宋体" w:cs="宋体"/>
          <w:sz w:val="24"/>
          <w:szCs w:val="24"/>
          <w:lang w:eastAsia="zh-CN"/>
        </w:rPr>
        <w:t>采购代理机构</w:t>
      </w:r>
      <w:r>
        <w:rPr>
          <w:rFonts w:hint="eastAsia" w:ascii="宋体" w:hAnsi="宋体" w:eastAsia="宋体" w:cs="宋体"/>
          <w:sz w:val="24"/>
          <w:szCs w:val="24"/>
        </w:rPr>
        <w:t>提出询问，采购人或</w:t>
      </w:r>
      <w:r>
        <w:rPr>
          <w:rFonts w:hint="eastAsia" w:ascii="宋体" w:hAnsi="宋体" w:cs="宋体"/>
          <w:sz w:val="24"/>
          <w:szCs w:val="24"/>
          <w:lang w:eastAsia="zh-CN"/>
        </w:rPr>
        <w:t>采购代理机构</w:t>
      </w:r>
      <w:r>
        <w:rPr>
          <w:rFonts w:hint="eastAsia" w:ascii="宋体" w:hAnsi="宋体" w:eastAsia="宋体" w:cs="宋体"/>
          <w:sz w:val="24"/>
          <w:szCs w:val="24"/>
        </w:rPr>
        <w:t>将及时作出答复，但答复的内容不涉及商业秘密。询问可以口头方式提出，也可以书面方式提出。联系方式见第一章“</w:t>
      </w:r>
      <w:r>
        <w:rPr>
          <w:rFonts w:hint="eastAsia" w:ascii="宋体" w:hAnsi="宋体" w:cs="宋体"/>
          <w:sz w:val="24"/>
          <w:szCs w:val="24"/>
          <w:lang w:eastAsia="zh-CN"/>
        </w:rPr>
        <w:t>公开招标采购公告</w:t>
      </w:r>
      <w:r>
        <w:rPr>
          <w:rFonts w:hint="eastAsia" w:ascii="宋体" w:hAnsi="宋体" w:eastAsia="宋体" w:cs="宋体"/>
          <w:sz w:val="24"/>
          <w:szCs w:val="24"/>
        </w:rPr>
        <w:t>”中“采购人、</w:t>
      </w:r>
      <w:r>
        <w:rPr>
          <w:rFonts w:hint="eastAsia" w:ascii="宋体" w:hAnsi="宋体" w:cs="宋体"/>
          <w:sz w:val="24"/>
          <w:szCs w:val="24"/>
          <w:lang w:eastAsia="zh-CN"/>
        </w:rPr>
        <w:t>采购代理机构</w:t>
      </w:r>
      <w:r>
        <w:rPr>
          <w:rFonts w:hint="eastAsia" w:ascii="宋体" w:hAnsi="宋体" w:eastAsia="宋体" w:cs="宋体"/>
          <w:sz w:val="24"/>
          <w:szCs w:val="24"/>
        </w:rPr>
        <w:t>的名称、地址和联系方式”。</w:t>
      </w:r>
    </w:p>
    <w:p w14:paraId="2EA41DA6">
      <w:pPr>
        <w:pStyle w:val="10"/>
        <w:keepNext w:val="0"/>
        <w:keepLines w:val="0"/>
        <w:pageBreakBefore w:val="0"/>
        <w:numPr>
          <w:ilvl w:val="0"/>
          <w:numId w:val="37"/>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1" w:name="_Toc6212"/>
      <w:r>
        <w:rPr>
          <w:rFonts w:hint="eastAsia" w:ascii="宋体" w:hAnsi="宋体" w:eastAsia="宋体" w:cs="宋体"/>
          <w:b/>
          <w:bCs/>
          <w:sz w:val="24"/>
          <w:szCs w:val="24"/>
        </w:rPr>
        <w:t>质疑</w:t>
      </w:r>
      <w:bookmarkEnd w:id="71"/>
    </w:p>
    <w:p w14:paraId="1F4822BF">
      <w:pPr>
        <w:pStyle w:val="10"/>
        <w:keepNext w:val="0"/>
        <w:keepLines w:val="0"/>
        <w:pageBreakBefore w:val="0"/>
        <w:numPr>
          <w:ilvl w:val="0"/>
          <w:numId w:val="3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报名本项目的投标人认为招标文件、采购过程和中标结果使自己的权益受到损害的，以书面形式或政采云平台的质疑系统一次性向采购人或</w:t>
      </w:r>
      <w:r>
        <w:rPr>
          <w:rFonts w:hint="eastAsia" w:ascii="宋体" w:hAnsi="宋体" w:cs="宋体"/>
          <w:sz w:val="24"/>
          <w:szCs w:val="24"/>
          <w:lang w:eastAsia="zh-CN"/>
        </w:rPr>
        <w:t>采购代理机构</w:t>
      </w:r>
      <w:r>
        <w:rPr>
          <w:rFonts w:hint="eastAsia" w:ascii="宋体" w:hAnsi="宋体" w:eastAsia="宋体" w:cs="宋体"/>
          <w:sz w:val="24"/>
          <w:szCs w:val="24"/>
        </w:rPr>
        <w:t>提出质</w:t>
      </w:r>
      <w:r>
        <w:rPr>
          <w:rFonts w:hint="eastAsia" w:ascii="宋体" w:hAnsi="宋体" w:eastAsia="宋体" w:cs="宋体"/>
          <w:sz w:val="24"/>
          <w:szCs w:val="24"/>
          <w:highlight w:val="none"/>
        </w:rPr>
        <w:t>疑</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否则，被质疑人可不予接受。不符合要求的质疑函在法定质疑期内及时补充完整，否则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被质疑人</w:t>
      </w:r>
      <w:r>
        <w:rPr>
          <w:rFonts w:hint="eastAsia" w:ascii="宋体" w:hAnsi="宋体" w:cs="宋体"/>
          <w:sz w:val="24"/>
          <w:szCs w:val="24"/>
          <w:highlight w:val="none"/>
          <w:lang w:val="en-US" w:eastAsia="zh-CN"/>
        </w:rPr>
        <w:t>有权</w:t>
      </w:r>
      <w:r>
        <w:rPr>
          <w:rFonts w:hint="eastAsia" w:ascii="宋体" w:hAnsi="宋体" w:eastAsia="宋体" w:cs="宋体"/>
          <w:sz w:val="24"/>
          <w:szCs w:val="24"/>
          <w:highlight w:val="none"/>
        </w:rPr>
        <w:t>作质疑不成立处理。质疑函范本请到浙江政府采购网下载专区下载：</w:t>
      </w:r>
    </w:p>
    <w:p w14:paraId="50E97289">
      <w:pPr>
        <w:pStyle w:val="10"/>
        <w:keepNext w:val="0"/>
        <w:keepLines w:val="0"/>
        <w:pageBreakBefore w:val="0"/>
        <w:numPr>
          <w:ilvl w:val="0"/>
          <w:numId w:val="3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投标人认为招标文件的内容损害其权益的，应当自获取采购文件之日或采购文件公告期限届满之日起7个工作日内提出质疑；</w:t>
      </w:r>
    </w:p>
    <w:p w14:paraId="78199C94">
      <w:pPr>
        <w:pStyle w:val="10"/>
        <w:keepNext w:val="0"/>
        <w:keepLines w:val="0"/>
        <w:pageBreakBefore w:val="0"/>
        <w:numPr>
          <w:ilvl w:val="0"/>
          <w:numId w:val="3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投标人对采购过程提出质疑的，应当在各采购程序环节结束之日起7个工作日内提出质疑；</w:t>
      </w:r>
    </w:p>
    <w:p w14:paraId="6C09F4D3">
      <w:pPr>
        <w:pStyle w:val="10"/>
        <w:keepNext w:val="0"/>
        <w:keepLines w:val="0"/>
        <w:pageBreakBefore w:val="0"/>
        <w:numPr>
          <w:ilvl w:val="0"/>
          <w:numId w:val="3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投标人对中标结果提出质疑的，应当在中标结果公告期限届满之日起7个工作日内提出质疑；</w:t>
      </w:r>
    </w:p>
    <w:p w14:paraId="74341E14">
      <w:pPr>
        <w:pStyle w:val="10"/>
        <w:keepNext w:val="0"/>
        <w:keepLines w:val="0"/>
        <w:pageBreakBefore w:val="0"/>
        <w:numPr>
          <w:ilvl w:val="0"/>
          <w:numId w:val="3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采购人或</w:t>
      </w:r>
      <w:r>
        <w:rPr>
          <w:rFonts w:hint="eastAsia" w:ascii="宋体" w:hAnsi="宋体" w:cs="宋体"/>
          <w:sz w:val="24"/>
          <w:szCs w:val="24"/>
          <w:lang w:eastAsia="zh-CN"/>
        </w:rPr>
        <w:t>采购代理机构</w:t>
      </w:r>
      <w:r>
        <w:rPr>
          <w:rFonts w:hint="eastAsia" w:ascii="宋体" w:hAnsi="宋体" w:eastAsia="宋体" w:cs="宋体"/>
          <w:sz w:val="24"/>
          <w:szCs w:val="24"/>
        </w:rPr>
        <w:t>在收到投标人的书面质疑后7个工作日内作出答复，并以书面形式或政采云平台回复质疑投标人和其他有关投标人，但答复内容不涉及商业秘密。</w:t>
      </w:r>
    </w:p>
    <w:p w14:paraId="61A68B82">
      <w:pPr>
        <w:pStyle w:val="10"/>
        <w:keepNext w:val="0"/>
        <w:keepLines w:val="0"/>
        <w:pageBreakBefore w:val="0"/>
        <w:numPr>
          <w:ilvl w:val="0"/>
          <w:numId w:val="3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2B713C9">
      <w:pPr>
        <w:pStyle w:val="10"/>
        <w:keepNext w:val="0"/>
        <w:keepLines w:val="0"/>
        <w:pageBreakBefore w:val="0"/>
        <w:numPr>
          <w:ilvl w:val="0"/>
          <w:numId w:val="37"/>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2" w:name="_Toc18331"/>
      <w:r>
        <w:rPr>
          <w:rFonts w:hint="eastAsia" w:ascii="宋体" w:hAnsi="宋体" w:eastAsia="宋体" w:cs="宋体"/>
          <w:b/>
          <w:bCs/>
          <w:sz w:val="24"/>
          <w:szCs w:val="24"/>
        </w:rPr>
        <w:t>投诉</w:t>
      </w:r>
      <w:bookmarkEnd w:id="72"/>
    </w:p>
    <w:p w14:paraId="18AA9694">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sz w:val="24"/>
          <w:szCs w:val="24"/>
        </w:rPr>
        <w:t>投标人对采购人或</w:t>
      </w:r>
      <w:r>
        <w:rPr>
          <w:rFonts w:hint="eastAsia" w:ascii="宋体" w:hAnsi="宋体" w:cs="宋体"/>
          <w:sz w:val="24"/>
          <w:szCs w:val="24"/>
          <w:lang w:eastAsia="zh-CN"/>
        </w:rPr>
        <w:t>采购代理机构</w:t>
      </w:r>
      <w:r>
        <w:rPr>
          <w:rFonts w:hint="eastAsia" w:ascii="宋体" w:hAnsi="宋体" w:eastAsia="宋体" w:cs="宋体"/>
          <w:sz w:val="24"/>
          <w:szCs w:val="24"/>
        </w:rPr>
        <w:t>的质疑答复不满意或在规定时间内未得到答复的，可以在答复期满后15个工作日内，向同级政府采购监督管理机构投诉。</w:t>
      </w:r>
    </w:p>
    <w:p w14:paraId="40AC6B6E">
      <w:pPr>
        <w:spacing w:line="360" w:lineRule="auto"/>
        <w:rPr>
          <w:rFonts w:hint="eastAsia" w:ascii="宋体" w:hAnsi="宋体" w:eastAsia="宋体" w:cs="宋体"/>
          <w:b/>
          <w:sz w:val="28"/>
          <w:szCs w:val="28"/>
        </w:rPr>
      </w:pPr>
    </w:p>
    <w:p w14:paraId="272FE97D">
      <w:pPr>
        <w:rPr>
          <w:rFonts w:hint="eastAsia" w:ascii="宋体" w:hAnsi="宋体" w:eastAsia="宋体" w:cs="宋体"/>
          <w:b/>
          <w:sz w:val="36"/>
          <w:szCs w:val="36"/>
        </w:rPr>
      </w:pPr>
      <w:r>
        <w:rPr>
          <w:rFonts w:hint="eastAsia" w:ascii="宋体" w:hAnsi="宋体" w:eastAsia="宋体" w:cs="宋体"/>
          <w:b/>
          <w:sz w:val="36"/>
          <w:szCs w:val="36"/>
        </w:rPr>
        <w:br w:type="page"/>
      </w:r>
    </w:p>
    <w:p w14:paraId="5C04B4A5">
      <w:pPr>
        <w:numPr>
          <w:ilvl w:val="0"/>
          <w:numId w:val="10"/>
        </w:numPr>
        <w:spacing w:line="360" w:lineRule="auto"/>
        <w:jc w:val="center"/>
        <w:outlineLvl w:val="0"/>
        <w:rPr>
          <w:rFonts w:hint="eastAsia" w:ascii="宋体" w:hAnsi="宋体" w:eastAsia="宋体" w:cs="宋体"/>
          <w:b/>
          <w:sz w:val="36"/>
          <w:szCs w:val="36"/>
        </w:rPr>
      </w:pPr>
      <w:bookmarkStart w:id="73" w:name="_Toc7966"/>
      <w:bookmarkStart w:id="74" w:name="_Toc8659"/>
      <w:r>
        <w:rPr>
          <w:rFonts w:hint="eastAsia" w:ascii="宋体" w:hAnsi="宋体" w:eastAsia="宋体" w:cs="宋体"/>
          <w:b/>
          <w:sz w:val="36"/>
          <w:szCs w:val="36"/>
        </w:rPr>
        <w:t>评标办法及评分标准</w:t>
      </w:r>
      <w:bookmarkEnd w:id="73"/>
      <w:bookmarkEnd w:id="74"/>
    </w:p>
    <w:p w14:paraId="19121502">
      <w:pPr>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5" w:name="_Toc12720"/>
      <w:r>
        <w:rPr>
          <w:rFonts w:hint="eastAsia" w:ascii="宋体" w:hAnsi="宋体" w:eastAsia="宋体" w:cs="宋体"/>
          <w:b/>
          <w:bCs/>
          <w:sz w:val="24"/>
          <w:szCs w:val="24"/>
        </w:rPr>
        <w:t>评标方法</w:t>
      </w:r>
      <w:bookmarkEnd w:id="75"/>
    </w:p>
    <w:p w14:paraId="64F532DB">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本项目采用</w:t>
      </w:r>
      <w:r>
        <w:rPr>
          <w:rFonts w:hint="eastAsia" w:ascii="宋体" w:hAnsi="宋体" w:eastAsia="宋体" w:cs="宋体"/>
          <w:sz w:val="24"/>
          <w:szCs w:val="24"/>
        </w:rPr>
        <w:t>综合评分法。</w:t>
      </w:r>
    </w:p>
    <w:p w14:paraId="129CC041">
      <w:pPr>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6" w:name="_Toc4502"/>
      <w:r>
        <w:rPr>
          <w:rFonts w:hint="eastAsia" w:ascii="宋体" w:hAnsi="宋体" w:eastAsia="宋体" w:cs="宋体"/>
          <w:b/>
          <w:bCs/>
          <w:sz w:val="24"/>
          <w:szCs w:val="24"/>
        </w:rPr>
        <w:t>评标原则</w:t>
      </w:r>
      <w:bookmarkEnd w:id="76"/>
    </w:p>
    <w:p w14:paraId="4DA65BD5">
      <w:pPr>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评标活动遵循公平、公正、科学和择优的原则，以招标文件和投标文件为评标的基本依据，并按照招标文件规定的评标方法和评标标准进行评标。</w:t>
      </w:r>
    </w:p>
    <w:p w14:paraId="635C3A13">
      <w:pPr>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评标过程严格按照</w:t>
      </w:r>
      <w:r>
        <w:rPr>
          <w:rFonts w:hint="eastAsia" w:ascii="宋体" w:hAnsi="宋体" w:cs="宋体"/>
          <w:sz w:val="24"/>
          <w:szCs w:val="24"/>
          <w:lang w:val="en-US" w:eastAsia="zh-CN"/>
        </w:rPr>
        <w:t>招标</w:t>
      </w:r>
      <w:r>
        <w:rPr>
          <w:rFonts w:hint="eastAsia" w:ascii="宋体" w:hAnsi="宋体" w:eastAsia="宋体" w:cs="宋体"/>
          <w:sz w:val="24"/>
          <w:szCs w:val="24"/>
        </w:rPr>
        <w:t>文件及相关法律法规进行，由评标委员会和有关工作人员组成的评标小组独立进行，任何单位和个人不得干扰、影响评标的正常进行；评标委员会及有关工作人员应不带任何倾向性和启发性，不得向外界透露任何与评标有关的内容，不得私下与投标人接触。</w:t>
      </w:r>
    </w:p>
    <w:p w14:paraId="3177DD56">
      <w:pPr>
        <w:pStyle w:val="2"/>
        <w:keepNext w:val="0"/>
        <w:keepLines w:val="0"/>
        <w:pageBreakBefore w:val="0"/>
        <w:numPr>
          <w:ilvl w:val="0"/>
          <w:numId w:val="40"/>
        </w:numPr>
        <w:kinsoku/>
        <w:wordWrap/>
        <w:overflowPunct/>
        <w:topLinePunct w:val="0"/>
        <w:bidi w:val="0"/>
        <w:adjustRightInd/>
        <w:snapToGrid/>
        <w:spacing w:after="0"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7" w:name="_Toc16962"/>
      <w:r>
        <w:rPr>
          <w:rFonts w:hint="eastAsia" w:ascii="宋体" w:hAnsi="宋体" w:eastAsia="宋体" w:cs="宋体"/>
          <w:b/>
          <w:bCs/>
          <w:sz w:val="24"/>
          <w:szCs w:val="24"/>
        </w:rPr>
        <w:t>评标委员会</w:t>
      </w:r>
      <w:bookmarkEnd w:id="77"/>
    </w:p>
    <w:p w14:paraId="342CC45D">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本项目评标委员会由采购人代表和评审专家组成。</w:t>
      </w:r>
    </w:p>
    <w:p w14:paraId="492ABCDE">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评标委员会成员与参与投标的供应商有下列情形之一的，应当回避：</w:t>
      </w:r>
    </w:p>
    <w:p w14:paraId="31C26DD4">
      <w:pPr>
        <w:numPr>
          <w:ilvl w:val="0"/>
          <w:numId w:val="43"/>
        </w:numPr>
        <w:bidi w:val="0"/>
        <w:spacing w:line="360" w:lineRule="auto"/>
        <w:rPr>
          <w:rFonts w:hint="eastAsia"/>
          <w:sz w:val="24"/>
          <w:szCs w:val="32"/>
        </w:rPr>
      </w:pPr>
      <w:r>
        <w:rPr>
          <w:rFonts w:hint="eastAsia"/>
          <w:sz w:val="24"/>
          <w:szCs w:val="32"/>
        </w:rPr>
        <w:t>参加采购活动前3年内与供应商存在劳动关系；</w:t>
      </w:r>
    </w:p>
    <w:p w14:paraId="2D6D1D20">
      <w:pPr>
        <w:numPr>
          <w:ilvl w:val="0"/>
          <w:numId w:val="43"/>
        </w:numPr>
        <w:bidi w:val="0"/>
        <w:spacing w:line="360" w:lineRule="auto"/>
        <w:rPr>
          <w:rFonts w:hint="eastAsia"/>
          <w:sz w:val="24"/>
          <w:szCs w:val="32"/>
        </w:rPr>
      </w:pPr>
      <w:r>
        <w:rPr>
          <w:rFonts w:hint="eastAsia"/>
          <w:sz w:val="24"/>
          <w:szCs w:val="32"/>
        </w:rPr>
        <w:t>参加采购活动前3年内担任供应商的董事、监事；</w:t>
      </w:r>
    </w:p>
    <w:p w14:paraId="1187E2AD">
      <w:pPr>
        <w:numPr>
          <w:ilvl w:val="0"/>
          <w:numId w:val="43"/>
        </w:numPr>
        <w:bidi w:val="0"/>
        <w:spacing w:line="360" w:lineRule="auto"/>
        <w:rPr>
          <w:rFonts w:hint="eastAsia"/>
          <w:sz w:val="24"/>
          <w:szCs w:val="32"/>
        </w:rPr>
      </w:pPr>
      <w:r>
        <w:rPr>
          <w:rFonts w:hint="eastAsia"/>
          <w:sz w:val="24"/>
          <w:szCs w:val="32"/>
        </w:rPr>
        <w:t>参加采购活动前3年内是供应商的控股股东或者实际控制人；</w:t>
      </w:r>
    </w:p>
    <w:p w14:paraId="2CEED776">
      <w:pPr>
        <w:numPr>
          <w:ilvl w:val="0"/>
          <w:numId w:val="43"/>
        </w:numPr>
        <w:bidi w:val="0"/>
        <w:spacing w:line="360" w:lineRule="auto"/>
        <w:rPr>
          <w:rFonts w:hint="eastAsia"/>
          <w:sz w:val="24"/>
          <w:szCs w:val="32"/>
        </w:rPr>
      </w:pPr>
      <w:r>
        <w:rPr>
          <w:rFonts w:hint="eastAsia"/>
          <w:sz w:val="24"/>
          <w:szCs w:val="32"/>
        </w:rPr>
        <w:t>与供应商的法定代表人或者负责人有夫妻、直系血亲、三代以内旁系血亲或者近姻亲关系；</w:t>
      </w:r>
    </w:p>
    <w:p w14:paraId="7F1D97CA">
      <w:pPr>
        <w:numPr>
          <w:ilvl w:val="0"/>
          <w:numId w:val="43"/>
        </w:numPr>
        <w:bidi w:val="0"/>
        <w:spacing w:line="360" w:lineRule="auto"/>
        <w:rPr>
          <w:rFonts w:hint="eastAsia"/>
          <w:sz w:val="24"/>
          <w:szCs w:val="32"/>
        </w:rPr>
      </w:pPr>
      <w:r>
        <w:rPr>
          <w:rFonts w:hint="eastAsia"/>
          <w:sz w:val="24"/>
          <w:szCs w:val="32"/>
        </w:rPr>
        <w:t>与供应商有其他可能影响政府采购活动公平、公正进行的关系。</w:t>
      </w:r>
    </w:p>
    <w:p w14:paraId="269E5171">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评标委员会负责具体评标事务，并独立履行下列职责：</w:t>
      </w:r>
    </w:p>
    <w:p w14:paraId="33865B6F">
      <w:pPr>
        <w:numPr>
          <w:ilvl w:val="0"/>
          <w:numId w:val="44"/>
        </w:numPr>
        <w:bidi w:val="0"/>
        <w:spacing w:line="360" w:lineRule="auto"/>
        <w:rPr>
          <w:rFonts w:hint="eastAsia"/>
          <w:sz w:val="24"/>
          <w:szCs w:val="32"/>
        </w:rPr>
      </w:pPr>
      <w:r>
        <w:rPr>
          <w:rFonts w:hint="eastAsia"/>
          <w:sz w:val="24"/>
          <w:szCs w:val="32"/>
        </w:rPr>
        <w:t>审查、评价投标文件是否符合招标文件的商务、技术等实质性要求；</w:t>
      </w:r>
    </w:p>
    <w:p w14:paraId="470590DC">
      <w:pPr>
        <w:numPr>
          <w:ilvl w:val="0"/>
          <w:numId w:val="44"/>
        </w:numPr>
        <w:bidi w:val="0"/>
        <w:spacing w:line="360" w:lineRule="auto"/>
        <w:rPr>
          <w:rFonts w:hint="eastAsia"/>
          <w:sz w:val="24"/>
          <w:szCs w:val="32"/>
        </w:rPr>
      </w:pPr>
      <w:r>
        <w:rPr>
          <w:rFonts w:hint="eastAsia"/>
          <w:sz w:val="24"/>
          <w:szCs w:val="32"/>
        </w:rPr>
        <w:t>要求投标人对投标文件有关事项作出澄清或者说明；</w:t>
      </w:r>
    </w:p>
    <w:p w14:paraId="0F5E6627">
      <w:pPr>
        <w:numPr>
          <w:ilvl w:val="0"/>
          <w:numId w:val="44"/>
        </w:numPr>
        <w:bidi w:val="0"/>
        <w:spacing w:line="360" w:lineRule="auto"/>
        <w:rPr>
          <w:rFonts w:hint="eastAsia"/>
          <w:sz w:val="24"/>
          <w:szCs w:val="32"/>
        </w:rPr>
      </w:pPr>
      <w:r>
        <w:rPr>
          <w:rFonts w:hint="eastAsia"/>
          <w:sz w:val="24"/>
          <w:szCs w:val="32"/>
        </w:rPr>
        <w:t>对投标文件进行比较和评价；</w:t>
      </w:r>
    </w:p>
    <w:p w14:paraId="43EFAF2A">
      <w:pPr>
        <w:numPr>
          <w:ilvl w:val="0"/>
          <w:numId w:val="44"/>
        </w:numPr>
        <w:bidi w:val="0"/>
        <w:spacing w:line="360" w:lineRule="auto"/>
        <w:rPr>
          <w:rFonts w:hint="eastAsia"/>
          <w:sz w:val="24"/>
          <w:szCs w:val="32"/>
        </w:rPr>
      </w:pPr>
      <w:r>
        <w:rPr>
          <w:rFonts w:hint="eastAsia"/>
          <w:sz w:val="24"/>
          <w:szCs w:val="32"/>
        </w:rPr>
        <w:t>确定中标候选人名单，以及根据采购人委托直接确定中标人；</w:t>
      </w:r>
    </w:p>
    <w:p w14:paraId="6EA656B3">
      <w:pPr>
        <w:numPr>
          <w:ilvl w:val="0"/>
          <w:numId w:val="44"/>
        </w:numPr>
        <w:bidi w:val="0"/>
        <w:spacing w:line="360" w:lineRule="auto"/>
        <w:rPr>
          <w:rFonts w:hint="eastAsia"/>
          <w:sz w:val="24"/>
          <w:szCs w:val="32"/>
        </w:rPr>
      </w:pPr>
      <w:r>
        <w:rPr>
          <w:rFonts w:hint="eastAsia"/>
          <w:sz w:val="24"/>
          <w:szCs w:val="32"/>
        </w:rPr>
        <w:t>向采购人、</w:t>
      </w:r>
      <w:r>
        <w:rPr>
          <w:rFonts w:hint="eastAsia"/>
          <w:sz w:val="24"/>
          <w:szCs w:val="32"/>
          <w:lang w:eastAsia="zh-CN"/>
        </w:rPr>
        <w:t>采购代理机构</w:t>
      </w:r>
      <w:r>
        <w:rPr>
          <w:rFonts w:hint="eastAsia"/>
          <w:sz w:val="24"/>
          <w:szCs w:val="32"/>
        </w:rPr>
        <w:t>或者有关部门报告评标中发现的违法行为；</w:t>
      </w:r>
    </w:p>
    <w:p w14:paraId="6C7E936A">
      <w:pPr>
        <w:numPr>
          <w:ilvl w:val="0"/>
          <w:numId w:val="44"/>
        </w:numPr>
        <w:bidi w:val="0"/>
        <w:spacing w:line="360" w:lineRule="auto"/>
        <w:rPr>
          <w:rFonts w:hint="eastAsia"/>
          <w:sz w:val="24"/>
          <w:szCs w:val="32"/>
        </w:rPr>
      </w:pPr>
      <w:r>
        <w:rPr>
          <w:rFonts w:hint="eastAsia"/>
          <w:sz w:val="24"/>
          <w:szCs w:val="32"/>
        </w:rPr>
        <w:t>法律法规规定的其他职责。</w:t>
      </w:r>
    </w:p>
    <w:p w14:paraId="090ACD3F">
      <w:pPr>
        <w:pStyle w:val="19"/>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8" w:name="_Toc14746"/>
      <w:r>
        <w:rPr>
          <w:rFonts w:hint="eastAsia" w:ascii="宋体" w:hAnsi="宋体" w:eastAsia="宋体" w:cs="宋体"/>
          <w:b/>
          <w:bCs/>
          <w:sz w:val="24"/>
          <w:szCs w:val="24"/>
        </w:rPr>
        <w:t>无效标情形</w:t>
      </w:r>
      <w:bookmarkEnd w:id="78"/>
    </w:p>
    <w:p w14:paraId="5C22CA0C">
      <w:pPr>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 w:val="0"/>
          <w:bCs w:val="0"/>
          <w:i w:val="0"/>
          <w:iCs w:val="0"/>
          <w:color w:val="auto"/>
          <w:sz w:val="24"/>
          <w:szCs w:val="24"/>
        </w:rPr>
      </w:pPr>
      <w:r>
        <w:rPr>
          <w:rFonts w:hint="eastAsia" w:ascii="宋体" w:hAnsi="宋体" w:cs="宋体"/>
          <w:b w:val="0"/>
          <w:bCs w:val="0"/>
          <w:i w:val="0"/>
          <w:iCs w:val="0"/>
          <w:color w:val="auto"/>
          <w:sz w:val="24"/>
          <w:szCs w:val="24"/>
          <w:lang w:val="en-US" w:eastAsia="zh-CN"/>
        </w:rPr>
        <w:t>未按采购文件要求签署、盖章的；</w:t>
      </w:r>
    </w:p>
    <w:p w14:paraId="0AA693A2">
      <w:pPr>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rPr>
        <w:t>在资格证明文件或商务与技术文件中出现投标报价的；</w:t>
      </w:r>
    </w:p>
    <w:p w14:paraId="6FA86900">
      <w:pPr>
        <w:pStyle w:val="19"/>
        <w:keepNext w:val="0"/>
        <w:keepLines w:val="0"/>
        <w:pageBreakBefore w:val="0"/>
        <w:numPr>
          <w:ilvl w:val="0"/>
          <w:numId w:val="45"/>
        </w:numPr>
        <w:tabs>
          <w:tab w:val="left" w:pos="7380"/>
        </w:tabs>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不具备招标文件中规定的资格要求的；</w:t>
      </w:r>
    </w:p>
    <w:p w14:paraId="3D9DCEEF">
      <w:pPr>
        <w:pStyle w:val="19"/>
        <w:keepNext w:val="0"/>
        <w:keepLines w:val="0"/>
        <w:pageBreakBefore w:val="0"/>
        <w:numPr>
          <w:ilvl w:val="0"/>
          <w:numId w:val="45"/>
        </w:numPr>
        <w:tabs>
          <w:tab w:val="left" w:pos="7380"/>
        </w:tabs>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《中小企业声明函》填写行业错误或者未填写行业的；</w:t>
      </w:r>
      <w:r>
        <w:rPr>
          <w:rFonts w:hint="eastAsia" w:ascii="宋体" w:hAnsi="宋体" w:eastAsia="宋体" w:cs="宋体"/>
          <w:sz w:val="24"/>
          <w:szCs w:val="24"/>
        </w:rPr>
        <w:tab/>
      </w:r>
    </w:p>
    <w:p w14:paraId="3D8E9AFC">
      <w:pPr>
        <w:pStyle w:val="19"/>
        <w:keepNext w:val="0"/>
        <w:keepLines w:val="0"/>
        <w:pageBreakBefore w:val="0"/>
        <w:numPr>
          <w:ilvl w:val="0"/>
          <w:numId w:val="4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投标文件含有采购人不能接受的附加条件的；</w:t>
      </w:r>
    </w:p>
    <w:p w14:paraId="507FB012">
      <w:pPr>
        <w:pStyle w:val="10"/>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rPr>
        <w:t>投标代表人未能出具身份证明或与授权委托人身份不符的</w:t>
      </w:r>
      <w:r>
        <w:rPr>
          <w:rFonts w:hint="eastAsia" w:ascii="宋体" w:hAnsi="宋体" w:eastAsia="宋体" w:cs="宋体"/>
          <w:sz w:val="24"/>
          <w:szCs w:val="24"/>
          <w:lang w:val="en-US" w:eastAsia="zh-CN"/>
        </w:rPr>
        <w:t>；</w:t>
      </w:r>
    </w:p>
    <w:p w14:paraId="0D51D533">
      <w:pPr>
        <w:pStyle w:val="10"/>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color w:val="111F2C"/>
          <w:sz w:val="24"/>
          <w:szCs w:val="24"/>
          <w:shd w:val="clear" w:color="auto" w:fill="FFFFFF"/>
        </w:rPr>
        <w:t>评标委员会认为投标人的报价明显低于其他通过符合性审</w:t>
      </w:r>
      <w:r>
        <w:rPr>
          <w:rFonts w:hint="eastAsia" w:ascii="宋体" w:hAnsi="宋体" w:cs="宋体"/>
          <w:color w:val="111F2C"/>
          <w:sz w:val="24"/>
          <w:szCs w:val="24"/>
          <w:shd w:val="clear" w:color="auto" w:fill="FFFFFF"/>
          <w:lang w:eastAsia="zh-CN"/>
        </w:rPr>
        <w:t>查的</w:t>
      </w:r>
      <w:r>
        <w:rPr>
          <w:rFonts w:hint="eastAsia" w:ascii="宋体" w:hAnsi="宋体" w:eastAsia="宋体" w:cs="宋体"/>
          <w:color w:val="111F2C"/>
          <w:sz w:val="24"/>
          <w:szCs w:val="24"/>
          <w:shd w:val="clear" w:color="auto" w:fill="FFFFFF"/>
        </w:rPr>
        <w:t>投标人的报价，有可能影响产品质量或者不能</w:t>
      </w:r>
      <w:r>
        <w:rPr>
          <w:rFonts w:hint="eastAsia" w:ascii="宋体" w:hAnsi="宋体" w:eastAsia="宋体" w:cs="宋体"/>
          <w:color w:val="auto"/>
          <w:sz w:val="24"/>
          <w:szCs w:val="24"/>
          <w:shd w:val="clear" w:color="auto" w:fill="FFFFFF"/>
        </w:rPr>
        <w:t>诚信履约的，</w:t>
      </w:r>
      <w:r>
        <w:rPr>
          <w:rFonts w:ascii="宋体" w:hAnsi="宋体" w:cs="宋体"/>
          <w:sz w:val="24"/>
          <w:szCs w:val="24"/>
        </w:rPr>
        <w:t>应当要求其在评标现场合理的时间内提供书面说明，必要时提交相关证明材料；</w:t>
      </w:r>
      <w:r>
        <w:rPr>
          <w:rFonts w:hint="eastAsia" w:ascii="宋体" w:hAnsi="宋体" w:eastAsia="宋体" w:cs="宋体"/>
          <w:color w:val="auto"/>
          <w:sz w:val="24"/>
          <w:szCs w:val="24"/>
          <w:shd w:val="clear" w:color="auto" w:fill="FFFFFF"/>
        </w:rPr>
        <w:t>投标人在限定的时间内不能证明其报价合理性的，评标委员会应当将其作为无效投标处理；</w:t>
      </w:r>
    </w:p>
    <w:p w14:paraId="02772C67">
      <w:pPr>
        <w:pStyle w:val="19"/>
        <w:keepNext w:val="0"/>
        <w:keepLines w:val="0"/>
        <w:pageBreakBefore w:val="0"/>
        <w:numPr>
          <w:ilvl w:val="0"/>
          <w:numId w:val="4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报价超过招标文件中规定的预算</w:t>
      </w:r>
      <w:r>
        <w:rPr>
          <w:rFonts w:hint="eastAsia" w:ascii="宋体" w:hAnsi="宋体" w:eastAsia="宋体" w:cs="宋体"/>
          <w:sz w:val="24"/>
          <w:szCs w:val="24"/>
        </w:rPr>
        <w:t>金额</w:t>
      </w:r>
      <w:r>
        <w:rPr>
          <w:rFonts w:hint="eastAsia" w:ascii="宋体" w:hAnsi="宋体" w:eastAsia="宋体" w:cs="宋体"/>
          <w:sz w:val="24"/>
          <w:szCs w:val="24"/>
          <w:lang w:eastAsia="zh-CN"/>
        </w:rPr>
        <w:t>或未填写投标报价的</w:t>
      </w:r>
      <w:r>
        <w:rPr>
          <w:rFonts w:hint="eastAsia" w:ascii="宋体" w:hAnsi="宋体" w:eastAsia="宋体" w:cs="宋体"/>
          <w:sz w:val="24"/>
          <w:szCs w:val="24"/>
        </w:rPr>
        <w:t xml:space="preserve">； </w:t>
      </w:r>
    </w:p>
    <w:p w14:paraId="30759215">
      <w:pPr>
        <w:keepNext w:val="0"/>
        <w:keepLines w:val="0"/>
        <w:pageBreakBefore w:val="0"/>
        <w:numPr>
          <w:ilvl w:val="0"/>
          <w:numId w:val="45"/>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投标文件存在虚假材料的； </w:t>
      </w:r>
    </w:p>
    <w:p w14:paraId="11F00E5F">
      <w:pPr>
        <w:keepNext w:val="0"/>
        <w:keepLines w:val="0"/>
        <w:pageBreakBefore w:val="0"/>
        <w:numPr>
          <w:ilvl w:val="0"/>
          <w:numId w:val="45"/>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08B4BB1B">
      <w:pPr>
        <w:keepNext w:val="0"/>
        <w:keepLines w:val="0"/>
        <w:pageBreakBefore w:val="0"/>
        <w:numPr>
          <w:ilvl w:val="0"/>
          <w:numId w:val="46"/>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不同投标人的投标文件由同一单位或者个人编制；</w:t>
      </w:r>
    </w:p>
    <w:p w14:paraId="20241738">
      <w:pPr>
        <w:pStyle w:val="19"/>
        <w:keepNext w:val="0"/>
        <w:keepLines w:val="0"/>
        <w:pageBreakBefore w:val="0"/>
        <w:numPr>
          <w:ilvl w:val="0"/>
          <w:numId w:val="46"/>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不同投标人委托同一单位或者个人办理投标事宜；</w:t>
      </w:r>
    </w:p>
    <w:p w14:paraId="318B4080">
      <w:pPr>
        <w:pStyle w:val="19"/>
        <w:keepNext w:val="0"/>
        <w:keepLines w:val="0"/>
        <w:pageBreakBefore w:val="0"/>
        <w:numPr>
          <w:ilvl w:val="0"/>
          <w:numId w:val="46"/>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不同投标人的投标文件载明的项目管理成员或者联系人员为同一人；</w:t>
      </w:r>
    </w:p>
    <w:p w14:paraId="3720275F">
      <w:pPr>
        <w:pStyle w:val="19"/>
        <w:keepNext w:val="0"/>
        <w:keepLines w:val="0"/>
        <w:pageBreakBefore w:val="0"/>
        <w:numPr>
          <w:ilvl w:val="0"/>
          <w:numId w:val="46"/>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不同投标人的投标文件异常一致或者投标报价呈规律性差异；</w:t>
      </w:r>
    </w:p>
    <w:p w14:paraId="5DC00901">
      <w:pPr>
        <w:pStyle w:val="19"/>
        <w:keepNext w:val="0"/>
        <w:keepLines w:val="0"/>
        <w:pageBreakBefore w:val="0"/>
        <w:numPr>
          <w:ilvl w:val="0"/>
          <w:numId w:val="46"/>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111F2C"/>
          <w:sz w:val="24"/>
          <w:szCs w:val="24"/>
          <w:shd w:val="clear" w:color="auto" w:fill="FFFFFF"/>
        </w:rPr>
        <w:t>不同投标人的投标文件相互混装；</w:t>
      </w:r>
    </w:p>
    <w:p w14:paraId="4B492AEE">
      <w:pPr>
        <w:keepNext w:val="0"/>
        <w:keepLines w:val="0"/>
        <w:pageBreakBefore w:val="0"/>
        <w:numPr>
          <w:ilvl w:val="0"/>
          <w:numId w:val="45"/>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不同供应商的响应文件上传计算机的网卡MAC地址或硬盘序列号等硬件信息相同且无法合理解释的；</w:t>
      </w:r>
    </w:p>
    <w:p w14:paraId="47407466">
      <w:pPr>
        <w:keepNext w:val="0"/>
        <w:keepLines w:val="0"/>
        <w:pageBreakBefore w:val="0"/>
        <w:numPr>
          <w:ilvl w:val="0"/>
          <w:numId w:val="45"/>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上传的响应文件若出现使用本项目其他响应供应商的数字证书加密的，或者加盖本项目其他响应供应商的电子印章且无法合理解释的；</w:t>
      </w:r>
    </w:p>
    <w:p w14:paraId="51A12C7C">
      <w:pPr>
        <w:keepNext w:val="0"/>
        <w:keepLines w:val="0"/>
        <w:pageBreakBefore w:val="0"/>
        <w:numPr>
          <w:ilvl w:val="0"/>
          <w:numId w:val="45"/>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不同供应商的响应文件的内容存在3处（含）以上错误一致且无法合理解释的；</w:t>
      </w:r>
    </w:p>
    <w:p w14:paraId="30326E04">
      <w:pPr>
        <w:keepNext w:val="0"/>
        <w:keepLines w:val="0"/>
        <w:pageBreakBefore w:val="0"/>
        <w:numPr>
          <w:ilvl w:val="0"/>
          <w:numId w:val="45"/>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不同供应商联系人为同一人或不同联系人的联系电话一致且无法合理解释的；</w:t>
      </w:r>
    </w:p>
    <w:p w14:paraId="081687DF">
      <w:pPr>
        <w:pStyle w:val="6"/>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修正后的报价投标人不确认的</w:t>
      </w:r>
      <w:r>
        <w:rPr>
          <w:rFonts w:hint="eastAsia" w:ascii="宋体" w:hAnsi="宋体" w:cs="宋体"/>
          <w:kern w:val="0"/>
          <w:sz w:val="24"/>
          <w:szCs w:val="24"/>
          <w:lang w:val="en-US" w:eastAsia="zh-CN"/>
        </w:rPr>
        <w:t>；</w:t>
      </w:r>
    </w:p>
    <w:p w14:paraId="58760FCF">
      <w:pPr>
        <w:pStyle w:val="6"/>
        <w:keepNext w:val="0"/>
        <w:keepLines w:val="0"/>
        <w:pageBreakBefore w:val="0"/>
        <w:numPr>
          <w:ilvl w:val="0"/>
          <w:numId w:val="45"/>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不符合法律、法规和</w:t>
      </w:r>
      <w:r>
        <w:rPr>
          <w:rFonts w:hint="eastAsia" w:ascii="宋体" w:hAnsi="宋体" w:eastAsia="宋体" w:cs="宋体"/>
          <w:color w:val="000000"/>
          <w:kern w:val="0"/>
          <w:sz w:val="24"/>
          <w:szCs w:val="24"/>
          <w:lang w:eastAsia="zh-CN"/>
        </w:rPr>
        <w:t>采购文件</w:t>
      </w:r>
      <w:r>
        <w:rPr>
          <w:rFonts w:hint="eastAsia" w:ascii="宋体" w:hAnsi="宋体" w:eastAsia="宋体" w:cs="宋体"/>
          <w:color w:val="000000"/>
          <w:kern w:val="0"/>
          <w:sz w:val="24"/>
          <w:szCs w:val="24"/>
        </w:rPr>
        <w:t>中规定的其他实质性要求的（</w:t>
      </w:r>
      <w:r>
        <w:rPr>
          <w:rFonts w:hint="eastAsia" w:ascii="宋体" w:hAnsi="宋体" w:eastAsia="宋体" w:cs="宋体"/>
          <w:color w:val="000000"/>
          <w:kern w:val="0"/>
          <w:sz w:val="24"/>
          <w:szCs w:val="24"/>
          <w:lang w:eastAsia="zh-CN"/>
        </w:rPr>
        <w:t>采购文件</w:t>
      </w:r>
      <w:r>
        <w:rPr>
          <w:rFonts w:hint="eastAsia" w:ascii="宋体" w:hAnsi="宋体" w:eastAsia="宋体" w:cs="宋体"/>
          <w:color w:val="000000"/>
          <w:kern w:val="0"/>
          <w:sz w:val="24"/>
          <w:szCs w:val="24"/>
        </w:rPr>
        <w:t>中打“▲”内容及被拒绝的条款）</w:t>
      </w:r>
      <w:r>
        <w:rPr>
          <w:rFonts w:hint="eastAsia" w:ascii="宋体" w:hAnsi="宋体" w:eastAsia="宋体" w:cs="宋体"/>
          <w:sz w:val="24"/>
          <w:szCs w:val="24"/>
        </w:rPr>
        <w:t>。</w:t>
      </w:r>
    </w:p>
    <w:p w14:paraId="13A635F6">
      <w:pPr>
        <w:keepNext w:val="0"/>
        <w:keepLines w:val="0"/>
        <w:pageBreakBefore w:val="0"/>
        <w:numPr>
          <w:ilvl w:val="0"/>
          <w:numId w:val="40"/>
        </w:numPr>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kern w:val="0"/>
          <w:sz w:val="24"/>
          <w:szCs w:val="24"/>
        </w:rPr>
      </w:pPr>
      <w:bookmarkStart w:id="79" w:name="_Toc2091"/>
      <w:r>
        <w:rPr>
          <w:rFonts w:hint="eastAsia" w:ascii="宋体" w:hAnsi="宋体" w:eastAsia="宋体" w:cs="宋体"/>
          <w:b/>
          <w:bCs/>
          <w:kern w:val="0"/>
          <w:sz w:val="24"/>
          <w:szCs w:val="24"/>
        </w:rPr>
        <w:t>废标情形</w:t>
      </w:r>
      <w:bookmarkEnd w:id="79"/>
    </w:p>
    <w:p w14:paraId="4CCEDE4B">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符合专业条件的投标人或者对招标文件作实质响应的投标人不足3家的；</w:t>
      </w:r>
    </w:p>
    <w:p w14:paraId="4B802D3E">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出现影响采购公正的违法、违规行为的；</w:t>
      </w:r>
    </w:p>
    <w:p w14:paraId="211AD056">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评标委员会发现招标文件存在歧义、重大缺陷导致评标工作无法进行，或者招标文件内容违反国家有关强制性规定的；</w:t>
      </w:r>
    </w:p>
    <w:p w14:paraId="1A472D53">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因重大变故，采购任务取消的；</w:t>
      </w:r>
    </w:p>
    <w:p w14:paraId="07A017D7">
      <w:pPr>
        <w:pStyle w:val="19"/>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法律、法规和招标文件规定的其他导致评标结果无效的。</w:t>
      </w:r>
    </w:p>
    <w:p w14:paraId="02EFA42D">
      <w:pPr>
        <w:pStyle w:val="13"/>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80" w:name="_Toc19608"/>
      <w:r>
        <w:rPr>
          <w:rFonts w:hint="eastAsia" w:ascii="宋体" w:hAnsi="宋体" w:eastAsia="宋体" w:cs="宋体"/>
          <w:b/>
          <w:bCs/>
          <w:sz w:val="24"/>
          <w:szCs w:val="24"/>
        </w:rPr>
        <w:t>评标过程的监控</w:t>
      </w:r>
      <w:bookmarkEnd w:id="80"/>
    </w:p>
    <w:p w14:paraId="3A4B3228">
      <w:pPr>
        <w:pStyle w:val="19"/>
        <w:keepNext w:val="0"/>
        <w:keepLines w:val="0"/>
        <w:pageBreakBefore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本项目评标过程实行全程录音、录像监控，政府采购监管部门视情进行现场监督，投标人在评标过程中所进行的试图影响评标结果的不公正活动，可能导致其投标被拒绝。</w:t>
      </w:r>
    </w:p>
    <w:p w14:paraId="614DE21E">
      <w:pPr>
        <w:pStyle w:val="13"/>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default" w:hAnsi="宋体" w:cs="宋体"/>
          <w:b/>
          <w:bCs/>
          <w:sz w:val="24"/>
          <w:szCs w:val="24"/>
          <w:lang w:val="en-US" w:eastAsia="zh-CN"/>
        </w:rPr>
      </w:pPr>
      <w:r>
        <w:rPr>
          <w:rFonts w:hint="eastAsia" w:hAnsi="宋体" w:cs="宋体"/>
          <w:b/>
          <w:bCs/>
          <w:sz w:val="24"/>
          <w:szCs w:val="24"/>
          <w:lang w:val="en-US" w:eastAsia="zh-CN"/>
        </w:rPr>
        <w:t>小微企业政策及价格优惠</w:t>
      </w:r>
    </w:p>
    <w:p w14:paraId="208BA2B2">
      <w:pPr>
        <w:keepNext w:val="0"/>
        <w:keepLines w:val="0"/>
        <w:pageBreakBefore w:val="0"/>
        <w:widowControl w:val="0"/>
        <w:numPr>
          <w:ilvl w:val="0"/>
          <w:numId w:val="48"/>
        </w:numPr>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rPr>
          <w:rFonts w:hint="default" w:ascii="宋体" w:hAnsi="宋体" w:eastAsia="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小微企业政策</w:t>
      </w:r>
    </w:p>
    <w:p w14:paraId="1BE54814">
      <w:pPr>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lang w:val="zh-CN"/>
        </w:rPr>
        <w:t>关于小型、微型企业（简称</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企业是指符合《中小企业划型标准规定》（工信部联企业〔2011</w:t>
      </w:r>
      <w:r>
        <w:rPr>
          <w:rFonts w:hint="eastAsia" w:ascii="宋体" w:hAnsi="宋体" w:eastAsia="宋体" w:cs="宋体"/>
          <w:i w:val="0"/>
          <w:iCs w:val="0"/>
          <w:color w:val="auto"/>
          <w:sz w:val="24"/>
          <w:szCs w:val="24"/>
          <w:highlight w:val="none"/>
          <w:lang w:val="zh-CN"/>
        </w:rPr>
        <w:t>〕300号）</w:t>
      </w:r>
      <w:r>
        <w:rPr>
          <w:rFonts w:hint="eastAsia" w:ascii="宋体" w:hAnsi="宋体" w:eastAsia="宋体" w:cs="宋体"/>
          <w:i w:val="0"/>
          <w:iCs w:val="0"/>
          <w:color w:val="auto"/>
          <w:sz w:val="24"/>
          <w:szCs w:val="24"/>
          <w:highlight w:val="none"/>
          <w:lang w:val="en-US" w:eastAsia="zh-CN"/>
        </w:rPr>
        <w:t>和《政府采购促进中小企业发展管理办法》（财库〔2020〕46号）</w:t>
      </w:r>
      <w:r>
        <w:rPr>
          <w:rFonts w:hint="eastAsia" w:ascii="宋体" w:hAnsi="宋体" w:eastAsia="宋体" w:cs="宋体"/>
          <w:i w:val="0"/>
          <w:iCs w:val="0"/>
          <w:color w:val="auto"/>
          <w:sz w:val="24"/>
          <w:szCs w:val="24"/>
          <w:highlight w:val="none"/>
          <w:lang w:val="zh-CN"/>
        </w:rPr>
        <w:t>的</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highlight w:val="none"/>
          <w:lang w:val="en-US" w:eastAsia="zh-CN"/>
        </w:rPr>
        <w:t>企业</w:t>
      </w:r>
      <w:r>
        <w:rPr>
          <w:rFonts w:hint="eastAsia" w:ascii="宋体" w:hAnsi="宋体" w:eastAsia="宋体" w:cs="宋体"/>
          <w:i w:val="0"/>
          <w:iCs w:val="0"/>
          <w:color w:val="auto"/>
          <w:sz w:val="24"/>
          <w:szCs w:val="24"/>
          <w:highlight w:val="none"/>
          <w:lang w:val="zh-CN"/>
        </w:rPr>
        <w:t>。</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highlight w:val="none"/>
          <w:lang w:val="zh-CN"/>
        </w:rPr>
        <w:t>企业参加政府采购活动必须提供</w:t>
      </w:r>
      <w:r>
        <w:rPr>
          <w:rFonts w:hint="eastAsia" w:ascii="宋体" w:hAnsi="宋体" w:eastAsia="宋体" w:cs="宋体"/>
          <w:b/>
          <w:bCs/>
          <w:i w:val="0"/>
          <w:iCs w:val="0"/>
          <w:color w:val="auto"/>
          <w:sz w:val="24"/>
          <w:szCs w:val="24"/>
          <w:highlight w:val="none"/>
          <w:lang w:val="zh-CN"/>
        </w:rPr>
        <w:t>《</w:t>
      </w:r>
      <w:r>
        <w:rPr>
          <w:rFonts w:hint="eastAsia" w:ascii="宋体" w:hAnsi="宋体" w:cs="宋体"/>
          <w:b/>
          <w:bCs/>
          <w:i w:val="0"/>
          <w:iCs w:val="0"/>
          <w:color w:val="auto"/>
          <w:sz w:val="24"/>
          <w:szCs w:val="24"/>
          <w:highlight w:val="none"/>
          <w:lang w:val="en-US" w:eastAsia="zh-CN"/>
        </w:rPr>
        <w:t>中小企业声明函</w:t>
      </w:r>
      <w:r>
        <w:rPr>
          <w:rFonts w:hint="eastAsia" w:ascii="宋体" w:hAnsi="宋体" w:eastAsia="宋体" w:cs="宋体"/>
          <w:b/>
          <w:bCs/>
          <w:i w:val="0"/>
          <w:iCs w:val="0"/>
          <w:color w:val="auto"/>
          <w:sz w:val="24"/>
          <w:szCs w:val="24"/>
          <w:highlight w:val="none"/>
          <w:lang w:val="zh-CN"/>
        </w:rPr>
        <w:t>》（供应商提供声明函内容不实的，属于提供虚假材料谋取中标、成交，依照《中华人民共和国政府采购法》等国家有关规定追究相应责任）</w:t>
      </w: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且必须完整地填写</w:t>
      </w:r>
      <w:r>
        <w:rPr>
          <w:rFonts w:hint="eastAsia" w:ascii="宋体" w:hAnsi="宋体" w:eastAsia="宋体" w:cs="宋体"/>
          <w:b/>
          <w:bCs/>
          <w:i w:val="0"/>
          <w:iCs w:val="0"/>
          <w:color w:val="auto"/>
          <w:sz w:val="24"/>
          <w:szCs w:val="24"/>
          <w:highlight w:val="none"/>
          <w:lang w:val="zh-CN"/>
        </w:rPr>
        <w:t>《</w:t>
      </w:r>
      <w:r>
        <w:rPr>
          <w:rFonts w:hint="eastAsia" w:ascii="宋体" w:hAnsi="宋体" w:eastAsia="宋体" w:cs="宋体"/>
          <w:b/>
          <w:bCs/>
          <w:i w:val="0"/>
          <w:iCs w:val="0"/>
          <w:color w:val="auto"/>
          <w:sz w:val="24"/>
          <w:szCs w:val="24"/>
          <w:highlight w:val="none"/>
          <w:lang w:val="en-US" w:eastAsia="zh-CN"/>
        </w:rPr>
        <w:t>中小</w:t>
      </w:r>
      <w:r>
        <w:rPr>
          <w:rFonts w:hint="eastAsia" w:ascii="宋体" w:hAnsi="宋体" w:eastAsia="宋体" w:cs="宋体"/>
          <w:b/>
          <w:bCs/>
          <w:i w:val="0"/>
          <w:iCs w:val="0"/>
          <w:color w:val="auto"/>
          <w:sz w:val="24"/>
          <w:szCs w:val="24"/>
          <w:highlight w:val="none"/>
          <w:lang w:val="zh-CN"/>
        </w:rPr>
        <w:t>企业声明函》，否则无价格优惠扶持</w:t>
      </w:r>
      <w:r>
        <w:rPr>
          <w:rFonts w:hint="eastAsia" w:ascii="宋体" w:hAnsi="宋体" w:eastAsia="宋体" w:cs="宋体"/>
          <w:i w:val="0"/>
          <w:iCs w:val="0"/>
          <w:color w:val="auto"/>
          <w:sz w:val="24"/>
          <w:szCs w:val="24"/>
          <w:highlight w:val="none"/>
          <w:lang w:val="zh-CN"/>
        </w:rPr>
        <w:t>；</w:t>
      </w:r>
    </w:p>
    <w:p w14:paraId="0E868F86">
      <w:pPr>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监狱企业参加政府采购活动时，应当提供由省级以上监狱管理局、戒毒管理局（含新疆生产建设兵团）出具的属于监狱企业的证明文件，视同</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企业，享受</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企业政府采购优惠政策；</w:t>
      </w:r>
    </w:p>
    <w:p w14:paraId="55B76C48">
      <w:pPr>
        <w:keepNext w:val="0"/>
        <w:keepLines w:val="0"/>
        <w:pageBreakBefore w:val="0"/>
        <w:widowControl w:val="0"/>
        <w:numPr>
          <w:ilvl w:val="0"/>
          <w:numId w:val="49"/>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残疾人福利性单位在参加政府采购活动时，应提供《残疾人福利性单位声明函》，视同</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企业，享受</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企业政府采购优惠政策。享受政府采购支持政策的残疾人福利性单位应当同时满足以下条件：</w:t>
      </w:r>
    </w:p>
    <w:p w14:paraId="311207C5">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安置的残疾人占本单位在职职工人数的比例不低于25%（含25%），并且安置的残疾人人数不少于10人（含10人）；</w:t>
      </w:r>
    </w:p>
    <w:p w14:paraId="736B15AE">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依法与安置的每位残疾人签订了一年以上（含一年）的劳动合同或服务协议；</w:t>
      </w:r>
    </w:p>
    <w:p w14:paraId="0AE0BDC9">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为安置的每位残疾人按月足额缴纳了基本养老保险、基本医疗保险、失业保险、工伤保险和生育保险等社会保险费；</w:t>
      </w:r>
    </w:p>
    <w:p w14:paraId="41696F58">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通过银行等金融机构向安置的每位残疾人，按月支付了不低于单位所在区县适用的经省级人民政府批准的月最低工资标准的工资；</w:t>
      </w:r>
    </w:p>
    <w:p w14:paraId="6C6C4C31">
      <w:pPr>
        <w:pStyle w:val="11"/>
        <w:keepNext w:val="0"/>
        <w:keepLines w:val="0"/>
        <w:pageBreakBefore w:val="0"/>
        <w:numPr>
          <w:ilvl w:val="0"/>
          <w:numId w:val="5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提供本单位制造的货物、承担的工程或者服务（以下简称产品），或者提供其他残疾人福利性单位制造的货物（不包括使用非残疾人福利性单位注册商标的货物）。</w:t>
      </w:r>
    </w:p>
    <w:p w14:paraId="5DB21A8C">
      <w:pPr>
        <w:pStyle w:val="19"/>
        <w:keepNext w:val="0"/>
        <w:keepLines w:val="0"/>
        <w:pageBreakBefore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cs="宋体"/>
          <w:i w:val="0"/>
          <w:iCs w:val="0"/>
          <w:color w:val="auto"/>
          <w:sz w:val="24"/>
          <w:szCs w:val="24"/>
          <w:lang w:val="zh-CN"/>
        </w:rPr>
      </w:pPr>
      <w:r>
        <w:rPr>
          <w:rFonts w:hint="eastAsia" w:ascii="宋体" w:hAnsi="宋体" w:eastAsia="宋体" w:cs="宋体"/>
          <w:i w:val="0"/>
          <w:iCs w:val="0"/>
          <w:color w:val="auto"/>
          <w:sz w:val="24"/>
          <w:szCs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cs="宋体"/>
          <w:i w:val="0"/>
          <w:iCs w:val="0"/>
          <w:color w:val="auto"/>
          <w:sz w:val="24"/>
          <w:szCs w:val="24"/>
          <w:lang w:val="zh-CN"/>
        </w:rPr>
        <w:t>。</w:t>
      </w:r>
    </w:p>
    <w:p w14:paraId="1E5D1DB4">
      <w:pPr>
        <w:keepNext w:val="0"/>
        <w:keepLines w:val="0"/>
        <w:pageBreakBefore w:val="0"/>
        <w:numPr>
          <w:ilvl w:val="0"/>
          <w:numId w:val="48"/>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i w:val="0"/>
          <w:iCs w:val="0"/>
          <w:color w:val="auto"/>
          <w:sz w:val="24"/>
          <w:szCs w:val="24"/>
          <w:lang w:val="zh-CN"/>
        </w:rPr>
      </w:pPr>
      <w:r>
        <w:rPr>
          <w:rFonts w:hint="eastAsia" w:ascii="宋体" w:hAnsi="宋体" w:eastAsia="宋体" w:cs="宋体"/>
          <w:b/>
          <w:bCs/>
          <w:i w:val="0"/>
          <w:iCs w:val="0"/>
          <w:color w:val="auto"/>
          <w:sz w:val="24"/>
          <w:szCs w:val="24"/>
        </w:rPr>
        <w:t>价格扣除相关要求：</w:t>
      </w:r>
    </w:p>
    <w:p w14:paraId="0CE3F72B">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1"/>
        <w:rPr>
          <w:rFonts w:hint="eastAsia" w:cs="宋体"/>
          <w:i w:val="0"/>
          <w:iCs w:val="0"/>
          <w:color w:val="auto"/>
          <w:sz w:val="24"/>
          <w:szCs w:val="24"/>
          <w:lang w:val="zh-CN"/>
        </w:rPr>
      </w:pPr>
      <w:r>
        <w:rPr>
          <w:rFonts w:hint="eastAsia" w:ascii="宋体" w:hAnsi="宋体" w:eastAsia="宋体" w:cs="宋体"/>
          <w:i w:val="0"/>
          <w:iCs w:val="0"/>
          <w:color w:val="auto"/>
          <w:sz w:val="24"/>
          <w:szCs w:val="24"/>
          <w:lang w:val="zh-CN"/>
        </w:rPr>
        <w:t>对于小微企业的价格给予</w:t>
      </w:r>
      <w:r>
        <w:rPr>
          <w:rFonts w:hint="eastAsia" w:cs="宋体"/>
          <w:i w:val="0"/>
          <w:iCs w:val="0"/>
          <w:color w:val="auto"/>
          <w:sz w:val="24"/>
          <w:szCs w:val="24"/>
          <w:lang w:val="en-US" w:eastAsia="zh-CN"/>
        </w:rPr>
        <w:t>10%</w:t>
      </w:r>
      <w:r>
        <w:rPr>
          <w:rFonts w:hint="eastAsia" w:ascii="宋体" w:hAnsi="宋体" w:eastAsia="宋体" w:cs="宋体"/>
          <w:i w:val="0"/>
          <w:iCs w:val="0"/>
          <w:color w:val="auto"/>
          <w:sz w:val="24"/>
          <w:szCs w:val="24"/>
          <w:lang w:val="zh-CN"/>
        </w:rPr>
        <w:t>的扣除，用扣除后的价格计算评标基准价和投标报价。同一供应商（包括联合体），小微企业、监狱企业、残疾人福利性单位价格扣除优惠只享受一次，不得重复享受。</w:t>
      </w:r>
    </w:p>
    <w:p w14:paraId="514242D6">
      <w:pPr>
        <w:pStyle w:val="13"/>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81" w:name="_Toc18305"/>
      <w:r>
        <w:rPr>
          <w:rFonts w:hint="eastAsia" w:ascii="宋体" w:hAnsi="宋体" w:eastAsia="宋体" w:cs="宋体"/>
          <w:b/>
          <w:bCs/>
          <w:sz w:val="24"/>
          <w:szCs w:val="24"/>
        </w:rPr>
        <w:t>评标程序</w:t>
      </w:r>
      <w:bookmarkEnd w:id="81"/>
    </w:p>
    <w:p w14:paraId="5105EDE9">
      <w:pPr>
        <w:keepNext w:val="0"/>
        <w:keepLines w:val="0"/>
        <w:pageBreakBefore w:val="0"/>
        <w:numPr>
          <w:ilvl w:val="0"/>
          <w:numId w:val="51"/>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资格性审查</w:t>
      </w:r>
    </w:p>
    <w:p w14:paraId="4ABE164E">
      <w:pPr>
        <w:pStyle w:val="10"/>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投标文件解密后，采购人或</w:t>
      </w:r>
      <w:r>
        <w:rPr>
          <w:rFonts w:hint="eastAsia" w:ascii="宋体" w:hAnsi="宋体" w:cs="宋体"/>
          <w:sz w:val="24"/>
          <w:szCs w:val="24"/>
          <w:lang w:eastAsia="zh-CN"/>
        </w:rPr>
        <w:t>采购代理机构</w:t>
      </w:r>
      <w:r>
        <w:rPr>
          <w:rFonts w:hint="eastAsia" w:ascii="宋体" w:hAnsi="宋体" w:eastAsia="宋体" w:cs="宋体"/>
          <w:sz w:val="24"/>
          <w:szCs w:val="24"/>
        </w:rPr>
        <w:t>依法对投标人的资格进行审查，对审查发现无效的进行必要的询标，在政采云平台公布无效投标的投标人名单、投标无效的原因。</w:t>
      </w:r>
    </w:p>
    <w:tbl>
      <w:tblPr>
        <w:tblStyle w:val="21"/>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8"/>
        <w:gridCol w:w="6701"/>
      </w:tblGrid>
      <w:tr w14:paraId="7E9C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8" w:type="dxa"/>
            <w:shd w:val="clear" w:color="auto" w:fill="auto"/>
            <w:vAlign w:val="center"/>
          </w:tcPr>
          <w:p w14:paraId="7ED48CE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资格证明</w:t>
            </w:r>
            <w:r>
              <w:rPr>
                <w:rFonts w:hint="eastAsia" w:ascii="宋体" w:hAnsi="宋体" w:eastAsia="宋体" w:cs="宋体"/>
                <w:sz w:val="24"/>
                <w:szCs w:val="24"/>
              </w:rPr>
              <w:t>文件</w:t>
            </w:r>
          </w:p>
        </w:tc>
        <w:tc>
          <w:tcPr>
            <w:tcW w:w="6701" w:type="dxa"/>
            <w:shd w:val="clear" w:color="auto" w:fill="auto"/>
            <w:vAlign w:val="center"/>
          </w:tcPr>
          <w:p w14:paraId="2A4BC324">
            <w:pPr>
              <w:bidi w:val="0"/>
              <w:rPr>
                <w:rFonts w:hint="eastAsia" w:ascii="宋体" w:hAnsi="宋体" w:eastAsia="宋体" w:cs="宋体"/>
                <w:sz w:val="24"/>
                <w:szCs w:val="24"/>
                <w:lang w:val="en-US" w:eastAsia="zh-CN"/>
              </w:rPr>
            </w:pPr>
            <w:r>
              <w:rPr>
                <w:rFonts w:hint="eastAsia" w:ascii="宋体" w:hAnsi="宋体" w:cs="宋体"/>
                <w:sz w:val="24"/>
                <w:szCs w:val="24"/>
                <w:lang w:eastAsia="zh-CN"/>
              </w:rPr>
              <w:t>按要求签署、盖章（指响应文件格式附件中明确注明签</w:t>
            </w:r>
            <w:r>
              <w:rPr>
                <w:rFonts w:hint="eastAsia" w:ascii="宋体" w:hAnsi="宋体" w:cs="宋体"/>
                <w:sz w:val="24"/>
                <w:szCs w:val="24"/>
                <w:lang w:val="en-US" w:eastAsia="zh-CN"/>
              </w:rPr>
              <w:t>署</w:t>
            </w:r>
            <w:r>
              <w:rPr>
                <w:rFonts w:hint="eastAsia" w:ascii="宋体" w:hAnsi="宋体" w:cs="宋体"/>
                <w:sz w:val="24"/>
                <w:szCs w:val="24"/>
                <w:lang w:eastAsia="zh-CN"/>
              </w:rPr>
              <w:t>、签章的内容）。</w:t>
            </w:r>
          </w:p>
        </w:tc>
      </w:tr>
      <w:tr w14:paraId="7C3B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8" w:type="dxa"/>
            <w:shd w:val="clear" w:color="auto" w:fill="auto"/>
            <w:vAlign w:val="center"/>
          </w:tcPr>
          <w:p w14:paraId="7946401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满足《中华人民共和国政府采购法》第二十二条规定</w:t>
            </w:r>
          </w:p>
        </w:tc>
        <w:tc>
          <w:tcPr>
            <w:tcW w:w="6701" w:type="dxa"/>
            <w:shd w:val="clear" w:color="auto" w:fill="auto"/>
            <w:vAlign w:val="center"/>
          </w:tcPr>
          <w:p w14:paraId="6EAE3C9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《投标声明函》、授权委托书（视情提供）、</w:t>
            </w:r>
            <w:r>
              <w:rPr>
                <w:rFonts w:hint="eastAsia" w:ascii="宋体" w:hAnsi="宋体" w:cs="宋体"/>
                <w:sz w:val="24"/>
                <w:szCs w:val="24"/>
                <w:lang w:val="en-US" w:eastAsia="zh-CN"/>
              </w:rPr>
              <w:t>营业执照</w:t>
            </w:r>
          </w:p>
        </w:tc>
      </w:tr>
      <w:tr w14:paraId="4B98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2488" w:type="dxa"/>
            <w:shd w:val="clear" w:color="auto" w:fill="auto"/>
            <w:vAlign w:val="center"/>
          </w:tcPr>
          <w:p w14:paraId="2CB40F4E">
            <w:pPr>
              <w:bidi w:val="0"/>
              <w:rPr>
                <w:rFonts w:hint="eastAsia" w:ascii="宋体" w:hAnsi="宋体" w:eastAsia="宋体" w:cs="宋体"/>
                <w:sz w:val="24"/>
                <w:szCs w:val="24"/>
                <w:lang w:val="en-US" w:eastAsia="zh-CN"/>
              </w:rPr>
            </w:pPr>
            <w:r>
              <w:rPr>
                <w:rFonts w:hint="eastAsia" w:ascii="宋体" w:hAnsi="宋体" w:eastAsia="宋体" w:cs="宋体"/>
                <w:sz w:val="24"/>
                <w:szCs w:val="24"/>
              </w:rPr>
              <w:t>必须符合法律、行政法规规定的其他条件</w:t>
            </w:r>
          </w:p>
        </w:tc>
        <w:tc>
          <w:tcPr>
            <w:tcW w:w="6701" w:type="dxa"/>
            <w:shd w:val="clear" w:color="auto" w:fill="auto"/>
            <w:vAlign w:val="center"/>
          </w:tcPr>
          <w:p w14:paraId="5A5ECE32">
            <w:pPr>
              <w:bidi w:val="0"/>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1.单位负责人为同一人或者存在直接控股、管理关系的不同供应商，不得同时参加本项目投标。</w:t>
            </w:r>
          </w:p>
          <w:p w14:paraId="3B3EE322">
            <w:pPr>
              <w:bidi w:val="0"/>
              <w:rPr>
                <w:rFonts w:hint="eastAsia" w:ascii="宋体" w:hAnsi="宋体" w:eastAsia="宋体" w:cs="宋体"/>
                <w:sz w:val="24"/>
                <w:szCs w:val="24"/>
                <w:lang w:val="en-US" w:eastAsia="zh-CN"/>
              </w:rPr>
            </w:pPr>
            <w:r>
              <w:rPr>
                <w:rFonts w:hint="eastAsia" w:ascii="宋体" w:hAnsi="宋体" w:eastAsia="宋体" w:cs="宋体"/>
                <w:sz w:val="24"/>
                <w:szCs w:val="24"/>
              </w:rPr>
              <w:t>2.为本项目提供整体设计、规范编制或者项目管理、监理、检测等服务的供应商，不得再参与本项目投标。</w:t>
            </w:r>
          </w:p>
        </w:tc>
      </w:tr>
    </w:tbl>
    <w:p w14:paraId="5FFFED18">
      <w:pPr>
        <w:pStyle w:val="10"/>
        <w:keepNext w:val="0"/>
        <w:keepLines w:val="0"/>
        <w:pageBreakBefore w:val="0"/>
        <w:widowControl w:val="0"/>
        <w:numPr>
          <w:ilvl w:val="0"/>
          <w:numId w:val="51"/>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符合性审查</w:t>
      </w:r>
    </w:p>
    <w:p w14:paraId="6AF55B7A">
      <w:pPr>
        <w:pStyle w:val="1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2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7"/>
        <w:gridCol w:w="6891"/>
      </w:tblGrid>
      <w:tr w14:paraId="5CA8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488B9B12">
            <w:pPr>
              <w:bidi w:val="0"/>
              <w:jc w:val="center"/>
              <w:rPr>
                <w:rFonts w:hint="eastAsia" w:ascii="宋体" w:hAnsi="宋体" w:eastAsia="宋体" w:cs="宋体"/>
                <w:sz w:val="24"/>
                <w:szCs w:val="24"/>
              </w:rPr>
            </w:pPr>
            <w:r>
              <w:rPr>
                <w:rFonts w:hint="eastAsia" w:ascii="宋体" w:hAnsi="宋体" w:eastAsia="宋体" w:cs="宋体"/>
                <w:sz w:val="24"/>
                <w:szCs w:val="24"/>
                <w:lang w:eastAsia="zh-CN"/>
              </w:rPr>
              <w:t>响应文件</w:t>
            </w:r>
          </w:p>
        </w:tc>
        <w:tc>
          <w:tcPr>
            <w:tcW w:w="6891" w:type="dxa"/>
            <w:shd w:val="clear" w:color="auto" w:fill="auto"/>
            <w:vAlign w:val="center"/>
          </w:tcPr>
          <w:p w14:paraId="0653FBBB">
            <w:pPr>
              <w:bidi w:val="0"/>
              <w:rPr>
                <w:rFonts w:hint="eastAsia" w:ascii="宋体" w:hAnsi="宋体" w:eastAsia="宋体" w:cs="宋体"/>
                <w:sz w:val="24"/>
                <w:szCs w:val="24"/>
                <w:lang w:eastAsia="zh-CN"/>
              </w:rPr>
            </w:pPr>
            <w:r>
              <w:rPr>
                <w:rFonts w:hint="eastAsia" w:ascii="宋体" w:hAnsi="宋体" w:cs="宋体"/>
                <w:sz w:val="24"/>
                <w:szCs w:val="24"/>
                <w:lang w:eastAsia="zh-CN"/>
              </w:rPr>
              <w:t>按要求签署、盖章（指响应文件格式附件中明确注明签</w:t>
            </w:r>
            <w:r>
              <w:rPr>
                <w:rFonts w:hint="eastAsia" w:ascii="宋体" w:hAnsi="宋体" w:cs="宋体"/>
                <w:sz w:val="24"/>
                <w:szCs w:val="24"/>
                <w:lang w:val="en-US" w:eastAsia="zh-CN"/>
              </w:rPr>
              <w:t>署</w:t>
            </w:r>
            <w:r>
              <w:rPr>
                <w:rFonts w:hint="eastAsia" w:ascii="宋体" w:hAnsi="宋体" w:cs="宋体"/>
                <w:sz w:val="24"/>
                <w:szCs w:val="24"/>
                <w:lang w:eastAsia="zh-CN"/>
              </w:rPr>
              <w:t>、签章的内容）。</w:t>
            </w:r>
          </w:p>
        </w:tc>
      </w:tr>
      <w:tr w14:paraId="6C13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0D649E7B">
            <w:pPr>
              <w:bidi w:val="0"/>
              <w:jc w:val="center"/>
              <w:rPr>
                <w:rFonts w:hint="eastAsia" w:ascii="宋体" w:hAnsi="宋体" w:eastAsia="宋体" w:cs="宋体"/>
                <w:sz w:val="24"/>
                <w:szCs w:val="24"/>
              </w:rPr>
            </w:pPr>
            <w:r>
              <w:rPr>
                <w:rFonts w:hint="eastAsia" w:ascii="宋体" w:hAnsi="宋体" w:eastAsia="宋体" w:cs="宋体"/>
                <w:sz w:val="24"/>
                <w:szCs w:val="24"/>
              </w:rPr>
              <w:t>“▲”实质性条款</w:t>
            </w:r>
          </w:p>
        </w:tc>
        <w:tc>
          <w:tcPr>
            <w:tcW w:w="6891" w:type="dxa"/>
            <w:shd w:val="clear" w:color="auto" w:fill="auto"/>
            <w:vAlign w:val="center"/>
          </w:tcPr>
          <w:p w14:paraId="2EE3C58E">
            <w:pPr>
              <w:bidi w:val="0"/>
              <w:rPr>
                <w:rFonts w:hint="eastAsia" w:ascii="宋体" w:hAnsi="宋体" w:eastAsia="宋体" w:cs="宋体"/>
                <w:sz w:val="24"/>
                <w:szCs w:val="24"/>
              </w:rPr>
            </w:pPr>
            <w:r>
              <w:rPr>
                <w:rFonts w:hint="eastAsia" w:ascii="宋体" w:hAnsi="宋体" w:eastAsia="宋体" w:cs="宋体"/>
                <w:sz w:val="24"/>
                <w:szCs w:val="24"/>
              </w:rPr>
              <w:t>“▲”实质性条款必须满足招标文件要求。</w:t>
            </w:r>
          </w:p>
        </w:tc>
      </w:tr>
      <w:tr w14:paraId="1B47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15947013">
            <w:pPr>
              <w:bidi w:val="0"/>
              <w:jc w:val="center"/>
              <w:rPr>
                <w:rFonts w:hint="eastAsia" w:ascii="宋体" w:hAnsi="宋体" w:eastAsia="宋体" w:cs="宋体"/>
                <w:sz w:val="24"/>
                <w:szCs w:val="24"/>
              </w:rPr>
            </w:pPr>
            <w:r>
              <w:rPr>
                <w:rFonts w:hint="eastAsia" w:ascii="宋体" w:hAnsi="宋体" w:eastAsia="宋体" w:cs="宋体"/>
                <w:sz w:val="24"/>
                <w:szCs w:val="24"/>
              </w:rPr>
              <w:t>串通投标</w:t>
            </w:r>
          </w:p>
        </w:tc>
        <w:tc>
          <w:tcPr>
            <w:tcW w:w="6891" w:type="dxa"/>
            <w:shd w:val="clear" w:color="auto" w:fill="auto"/>
            <w:vAlign w:val="center"/>
          </w:tcPr>
          <w:p w14:paraId="0C8E62F1">
            <w:pPr>
              <w:bidi w:val="0"/>
              <w:rPr>
                <w:rFonts w:hint="eastAsia" w:ascii="宋体" w:hAnsi="宋体" w:eastAsia="宋体" w:cs="宋体"/>
                <w:sz w:val="24"/>
                <w:szCs w:val="24"/>
              </w:rPr>
            </w:pPr>
            <w:r>
              <w:rPr>
                <w:rFonts w:hint="eastAsia" w:ascii="宋体" w:hAnsi="宋体" w:eastAsia="宋体" w:cs="宋体"/>
                <w:sz w:val="24"/>
                <w:szCs w:val="24"/>
              </w:rPr>
              <w:t>未出现财政部87号令《政府采购货物和服务招标投标管理办法》第三十七条规定的串通投标情形。</w:t>
            </w:r>
          </w:p>
        </w:tc>
      </w:tr>
      <w:tr w14:paraId="4AC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418460D0">
            <w:pPr>
              <w:bidi w:val="0"/>
              <w:jc w:val="center"/>
              <w:rPr>
                <w:rFonts w:hint="eastAsia" w:ascii="宋体" w:hAnsi="宋体" w:eastAsia="宋体" w:cs="宋体"/>
                <w:sz w:val="24"/>
                <w:szCs w:val="24"/>
              </w:rPr>
            </w:pPr>
            <w:r>
              <w:rPr>
                <w:rFonts w:hint="eastAsia" w:ascii="宋体" w:hAnsi="宋体" w:eastAsia="宋体" w:cs="宋体"/>
                <w:sz w:val="24"/>
                <w:szCs w:val="24"/>
              </w:rPr>
              <w:t>附加条件</w:t>
            </w:r>
          </w:p>
        </w:tc>
        <w:tc>
          <w:tcPr>
            <w:tcW w:w="6891" w:type="dxa"/>
            <w:shd w:val="clear" w:color="auto" w:fill="auto"/>
            <w:vAlign w:val="center"/>
          </w:tcPr>
          <w:p w14:paraId="763708DE">
            <w:pPr>
              <w:bidi w:val="0"/>
              <w:rPr>
                <w:rFonts w:hint="eastAsia" w:ascii="宋体" w:hAnsi="宋体" w:eastAsia="宋体" w:cs="宋体"/>
                <w:sz w:val="24"/>
                <w:szCs w:val="24"/>
              </w:rPr>
            </w:pPr>
            <w:r>
              <w:rPr>
                <w:rFonts w:hint="eastAsia" w:ascii="宋体" w:hAnsi="宋体" w:eastAsia="宋体" w:cs="宋体"/>
                <w:sz w:val="24"/>
                <w:szCs w:val="24"/>
              </w:rPr>
              <w:t>投标文件未含有采购人不可接受的附加条件。</w:t>
            </w:r>
          </w:p>
        </w:tc>
      </w:tr>
      <w:tr w14:paraId="0D24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3C042E10">
            <w:pPr>
              <w:jc w:val="center"/>
              <w:rPr>
                <w:rFonts w:hint="eastAsia" w:ascii="宋体" w:hAnsi="宋体" w:eastAsia="宋体" w:cs="宋体"/>
                <w:sz w:val="24"/>
                <w:szCs w:val="24"/>
              </w:rPr>
            </w:pPr>
            <w:r>
              <w:rPr>
                <w:rFonts w:hint="eastAsia"/>
                <w:sz w:val="24"/>
              </w:rPr>
              <w:t>其他要求</w:t>
            </w:r>
          </w:p>
        </w:tc>
        <w:tc>
          <w:tcPr>
            <w:tcW w:w="6891" w:type="dxa"/>
            <w:shd w:val="clear" w:color="auto" w:fill="auto"/>
            <w:vAlign w:val="center"/>
          </w:tcPr>
          <w:p w14:paraId="38206E17">
            <w:pPr>
              <w:rPr>
                <w:rFonts w:hint="eastAsia" w:ascii="宋体" w:hAnsi="宋体" w:eastAsia="宋体" w:cs="宋体"/>
                <w:sz w:val="24"/>
                <w:szCs w:val="24"/>
              </w:rPr>
            </w:pPr>
            <w:r>
              <w:rPr>
                <w:rFonts w:hint="eastAsia"/>
                <w:sz w:val="24"/>
              </w:rPr>
              <w:t>不得存在法定或本文件规定的其他无效情形。</w:t>
            </w:r>
          </w:p>
        </w:tc>
      </w:tr>
    </w:tbl>
    <w:p w14:paraId="313C8795">
      <w:pPr>
        <w:pStyle w:val="19"/>
        <w:keepNext w:val="0"/>
        <w:keepLines w:val="0"/>
        <w:pageBreakBefore w:val="0"/>
        <w:numPr>
          <w:ilvl w:val="0"/>
          <w:numId w:val="51"/>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商务技术及价格评审</w:t>
      </w:r>
    </w:p>
    <w:p w14:paraId="4C459B9C">
      <w:pPr>
        <w:keepNext w:val="0"/>
        <w:keepLines w:val="0"/>
        <w:pageBreakBefore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none"/>
          <w:lang w:val="en-US" w:eastAsia="zh-CN"/>
        </w:rPr>
        <w:t>本</w:t>
      </w:r>
      <w:r>
        <w:rPr>
          <w:rFonts w:hint="eastAsia" w:ascii="宋体" w:hAnsi="宋体" w:eastAsia="宋体" w:cs="宋体"/>
          <w:kern w:val="0"/>
          <w:sz w:val="24"/>
          <w:szCs w:val="24"/>
        </w:rPr>
        <w:t>项目评标方法为综合评分法，总计100分，评标按以下标准及要求进行：</w:t>
      </w:r>
    </w:p>
    <w:p w14:paraId="426B7216">
      <w:pPr>
        <w:keepNext w:val="0"/>
        <w:keepLines w:val="0"/>
        <w:pageBreakBefore w:val="0"/>
        <w:numPr>
          <w:ilvl w:val="0"/>
          <w:numId w:val="52"/>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sectPr>
          <w:pgSz w:w="11906" w:h="16838"/>
          <w:pgMar w:top="1440" w:right="1800" w:bottom="1440" w:left="1800" w:header="851" w:footer="992" w:gutter="0"/>
          <w:pgNumType w:fmt="decimal"/>
          <w:cols w:space="425" w:num="1"/>
          <w:docGrid w:type="lines" w:linePitch="312" w:charSpace="0"/>
        </w:sectPr>
      </w:pPr>
    </w:p>
    <w:p w14:paraId="2FFCF075">
      <w:pPr>
        <w:keepNext w:val="0"/>
        <w:keepLines w:val="0"/>
        <w:pageBreakBefore w:val="0"/>
        <w:numPr>
          <w:ilvl w:val="0"/>
          <w:numId w:val="52"/>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bl>
      <w:tblPr>
        <w:tblStyle w:val="21"/>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31"/>
        <w:gridCol w:w="611"/>
        <w:gridCol w:w="1734"/>
        <w:gridCol w:w="5278"/>
        <w:gridCol w:w="664"/>
        <w:gridCol w:w="664"/>
      </w:tblGrid>
      <w:tr w14:paraId="1EFE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7" w:hRule="atLeast"/>
          <w:jc w:val="center"/>
        </w:trPr>
        <w:tc>
          <w:tcPr>
            <w:tcW w:w="731" w:type="dxa"/>
            <w:shd w:val="clear" w:color="auto" w:fill="FFFFFF"/>
            <w:noWrap w:val="0"/>
            <w:vAlign w:val="center"/>
          </w:tcPr>
          <w:p w14:paraId="25DCDFA6">
            <w:pPr>
              <w:bidi w:val="0"/>
              <w:jc w:val="center"/>
              <w:rPr>
                <w:rFonts w:hint="eastAsia"/>
                <w:b/>
                <w:bCs/>
                <w:color w:val="auto"/>
              </w:rPr>
            </w:pPr>
            <w:r>
              <w:rPr>
                <w:rFonts w:hint="eastAsia"/>
                <w:b/>
                <w:bCs/>
                <w:color w:val="auto"/>
              </w:rPr>
              <w:t>分值构成</w:t>
            </w:r>
          </w:p>
        </w:tc>
        <w:tc>
          <w:tcPr>
            <w:tcW w:w="7623" w:type="dxa"/>
            <w:gridSpan w:val="3"/>
            <w:shd w:val="clear" w:color="auto" w:fill="FFFFFF"/>
            <w:noWrap w:val="0"/>
            <w:vAlign w:val="center"/>
          </w:tcPr>
          <w:p w14:paraId="4436750B">
            <w:pPr>
              <w:bidi w:val="0"/>
              <w:rPr>
                <w:rFonts w:hint="eastAsia"/>
                <w:b/>
                <w:bCs/>
                <w:color w:val="auto"/>
              </w:rPr>
            </w:pPr>
            <w:r>
              <w:rPr>
                <w:rFonts w:hint="eastAsia"/>
                <w:b/>
                <w:bCs/>
                <w:color w:val="auto"/>
              </w:rPr>
              <w:t>1.技术部分</w:t>
            </w:r>
            <w:r>
              <w:rPr>
                <w:rFonts w:hint="eastAsia"/>
                <w:b/>
                <w:bCs/>
                <w:color w:val="auto"/>
                <w:lang w:val="en-US" w:eastAsia="zh-CN"/>
              </w:rPr>
              <w:t>66</w:t>
            </w:r>
            <w:r>
              <w:rPr>
                <w:rFonts w:hint="eastAsia"/>
                <w:b/>
                <w:bCs/>
                <w:color w:val="auto"/>
              </w:rPr>
              <w:t>分2.商务部分</w:t>
            </w:r>
            <w:r>
              <w:rPr>
                <w:rFonts w:hint="eastAsia"/>
                <w:b/>
                <w:bCs/>
                <w:color w:val="auto"/>
                <w:lang w:val="en-US" w:eastAsia="zh-CN"/>
              </w:rPr>
              <w:t>14</w:t>
            </w:r>
            <w:r>
              <w:rPr>
                <w:rFonts w:hint="eastAsia"/>
                <w:b/>
                <w:bCs/>
                <w:color w:val="auto"/>
              </w:rPr>
              <w:t>分3.报价得分</w:t>
            </w:r>
            <w:r>
              <w:rPr>
                <w:rFonts w:hint="eastAsia"/>
                <w:b/>
                <w:bCs/>
                <w:color w:val="auto"/>
                <w:lang w:val="en-US" w:eastAsia="zh-CN"/>
              </w:rPr>
              <w:t>20</w:t>
            </w:r>
            <w:r>
              <w:rPr>
                <w:rFonts w:hint="eastAsia"/>
                <w:b/>
                <w:bCs/>
                <w:color w:val="auto"/>
              </w:rPr>
              <w:t>分</w:t>
            </w:r>
          </w:p>
        </w:tc>
        <w:tc>
          <w:tcPr>
            <w:tcW w:w="664" w:type="dxa"/>
            <w:vMerge w:val="restart"/>
            <w:shd w:val="clear" w:color="auto" w:fill="FFFFFF"/>
            <w:noWrap w:val="0"/>
            <w:vAlign w:val="center"/>
          </w:tcPr>
          <w:p w14:paraId="583637EB">
            <w:pPr>
              <w:bidi w:val="0"/>
              <w:jc w:val="center"/>
              <w:rPr>
                <w:rFonts w:hint="eastAsia"/>
                <w:b/>
                <w:bCs w:val="0"/>
                <w:color w:val="auto"/>
              </w:rPr>
            </w:pPr>
            <w:r>
              <w:rPr>
                <w:rFonts w:hint="eastAsia" w:cs="仿宋_GB2312" w:asciiTheme="minorEastAsia" w:hAnsiTheme="minorEastAsia" w:eastAsiaTheme="minorEastAsia"/>
                <w:b/>
                <w:bCs w:val="0"/>
                <w:color w:val="auto"/>
                <w:sz w:val="21"/>
                <w:szCs w:val="21"/>
              </w:rPr>
              <w:t>主/客观分</w:t>
            </w:r>
          </w:p>
        </w:tc>
        <w:tc>
          <w:tcPr>
            <w:tcW w:w="664" w:type="dxa"/>
            <w:vMerge w:val="restart"/>
            <w:shd w:val="clear" w:color="auto" w:fill="FFFFFF"/>
            <w:noWrap w:val="0"/>
            <w:vAlign w:val="center"/>
          </w:tcPr>
          <w:p w14:paraId="2031C1BE">
            <w:pPr>
              <w:bidi w:val="0"/>
              <w:jc w:val="center"/>
              <w:rPr>
                <w:rFonts w:hint="eastAsia"/>
                <w:b/>
                <w:bCs w:val="0"/>
                <w:color w:val="auto"/>
              </w:rPr>
            </w:pPr>
            <w:r>
              <w:rPr>
                <w:rFonts w:hint="eastAsia"/>
                <w:b/>
                <w:bCs w:val="0"/>
                <w:color w:val="auto"/>
              </w:rPr>
              <w:t>分值</w:t>
            </w:r>
          </w:p>
        </w:tc>
      </w:tr>
      <w:tr w14:paraId="2E7B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31" w:type="dxa"/>
            <w:shd w:val="clear" w:color="auto" w:fill="FFFFFF"/>
            <w:noWrap w:val="0"/>
            <w:vAlign w:val="center"/>
          </w:tcPr>
          <w:p w14:paraId="4D7E9773">
            <w:pPr>
              <w:bidi w:val="0"/>
              <w:jc w:val="center"/>
              <w:rPr>
                <w:rFonts w:hint="eastAsia"/>
                <w:b/>
                <w:bCs/>
                <w:color w:val="auto"/>
              </w:rPr>
            </w:pPr>
            <w:r>
              <w:rPr>
                <w:rFonts w:hint="eastAsia"/>
                <w:b/>
                <w:bCs/>
                <w:color w:val="auto"/>
              </w:rPr>
              <w:t>评分项目</w:t>
            </w:r>
          </w:p>
        </w:tc>
        <w:tc>
          <w:tcPr>
            <w:tcW w:w="7623" w:type="dxa"/>
            <w:gridSpan w:val="3"/>
            <w:shd w:val="clear" w:color="auto" w:fill="FFFFFF"/>
            <w:noWrap w:val="0"/>
            <w:vAlign w:val="center"/>
          </w:tcPr>
          <w:p w14:paraId="62ECE693">
            <w:pPr>
              <w:bidi w:val="0"/>
              <w:jc w:val="center"/>
              <w:rPr>
                <w:rFonts w:hint="eastAsia"/>
                <w:b/>
                <w:bCs/>
                <w:color w:val="auto"/>
              </w:rPr>
            </w:pPr>
            <w:r>
              <w:rPr>
                <w:rFonts w:hint="eastAsia"/>
                <w:b/>
                <w:bCs/>
                <w:color w:val="auto"/>
              </w:rPr>
              <w:t>评分细则</w:t>
            </w:r>
          </w:p>
        </w:tc>
        <w:tc>
          <w:tcPr>
            <w:tcW w:w="664" w:type="dxa"/>
            <w:vMerge w:val="continue"/>
            <w:shd w:val="clear" w:color="auto" w:fill="FFFFFF"/>
            <w:noWrap w:val="0"/>
            <w:vAlign w:val="center"/>
          </w:tcPr>
          <w:p w14:paraId="6B581D36">
            <w:pPr>
              <w:bidi w:val="0"/>
              <w:jc w:val="center"/>
              <w:rPr>
                <w:rFonts w:hint="eastAsia"/>
                <w:b/>
                <w:bCs/>
                <w:color w:val="auto"/>
              </w:rPr>
            </w:pPr>
          </w:p>
        </w:tc>
        <w:tc>
          <w:tcPr>
            <w:tcW w:w="664" w:type="dxa"/>
            <w:vMerge w:val="continue"/>
            <w:shd w:val="clear" w:color="auto" w:fill="FFFFFF"/>
            <w:noWrap w:val="0"/>
            <w:vAlign w:val="center"/>
          </w:tcPr>
          <w:p w14:paraId="10CF86CC">
            <w:pPr>
              <w:bidi w:val="0"/>
              <w:jc w:val="center"/>
              <w:rPr>
                <w:rFonts w:hint="eastAsia"/>
                <w:color w:val="auto"/>
              </w:rPr>
            </w:pPr>
          </w:p>
        </w:tc>
      </w:tr>
      <w:tr w14:paraId="3270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31" w:type="dxa"/>
            <w:vMerge w:val="restart"/>
            <w:shd w:val="clear" w:color="auto" w:fill="FFFFFF"/>
            <w:noWrap w:val="0"/>
            <w:vAlign w:val="center"/>
          </w:tcPr>
          <w:p w14:paraId="04278388">
            <w:pPr>
              <w:bidi w:val="0"/>
              <w:jc w:val="center"/>
              <w:rPr>
                <w:rFonts w:hint="eastAsia"/>
                <w:color w:val="auto"/>
              </w:rPr>
            </w:pPr>
            <w:r>
              <w:rPr>
                <w:rFonts w:hint="eastAsia"/>
                <w:color w:val="auto"/>
              </w:rPr>
              <w:t>技术部分</w:t>
            </w:r>
          </w:p>
        </w:tc>
        <w:tc>
          <w:tcPr>
            <w:tcW w:w="611" w:type="dxa"/>
            <w:shd w:val="clear" w:color="auto" w:fill="FFFFFF"/>
            <w:noWrap w:val="0"/>
            <w:vAlign w:val="center"/>
          </w:tcPr>
          <w:p w14:paraId="6EC99382">
            <w:pPr>
              <w:bidi w:val="0"/>
              <w:jc w:val="center"/>
              <w:rPr>
                <w:rFonts w:hint="default"/>
                <w:color w:val="auto"/>
                <w:lang w:val="en-US" w:eastAsia="zh-CN"/>
              </w:rPr>
            </w:pPr>
            <w:r>
              <w:rPr>
                <w:rFonts w:hint="eastAsia"/>
                <w:color w:val="auto"/>
                <w:lang w:val="en-US" w:eastAsia="zh-CN"/>
              </w:rPr>
              <w:t>1.1</w:t>
            </w:r>
          </w:p>
        </w:tc>
        <w:tc>
          <w:tcPr>
            <w:tcW w:w="1734" w:type="dxa"/>
            <w:vMerge w:val="restart"/>
            <w:shd w:val="clear" w:color="auto" w:fill="FFFFFF"/>
            <w:noWrap w:val="0"/>
            <w:vAlign w:val="center"/>
          </w:tcPr>
          <w:p w14:paraId="09B2CD34">
            <w:pPr>
              <w:bidi w:val="0"/>
              <w:jc w:val="center"/>
              <w:rPr>
                <w:rFonts w:hint="eastAsia"/>
                <w:color w:val="auto"/>
                <w:lang w:val="en-US" w:eastAsia="zh-CN"/>
              </w:rPr>
            </w:pPr>
            <w:r>
              <w:rPr>
                <w:rFonts w:hint="default"/>
                <w:color w:val="auto"/>
                <w:lang w:val="en-US"/>
              </w:rPr>
              <w:t>重点难点分析及解决方案</w:t>
            </w:r>
          </w:p>
        </w:tc>
        <w:tc>
          <w:tcPr>
            <w:tcW w:w="5278" w:type="dxa"/>
            <w:shd w:val="clear" w:color="auto" w:fill="FFFFFF"/>
            <w:noWrap w:val="0"/>
            <w:vAlign w:val="center"/>
          </w:tcPr>
          <w:p w14:paraId="7ABAA6DC">
            <w:pPr>
              <w:bidi w:val="0"/>
              <w:rPr>
                <w:rFonts w:hint="eastAsia"/>
                <w:color w:val="auto"/>
                <w:lang w:val="en-US" w:eastAsia="zh-CN"/>
              </w:rPr>
            </w:pPr>
            <w:r>
              <w:rPr>
                <w:rFonts w:hint="eastAsia"/>
                <w:color w:val="auto"/>
              </w:rPr>
              <w:t>对项目重难点分析</w:t>
            </w:r>
            <w:r>
              <w:rPr>
                <w:rFonts w:hint="eastAsia"/>
                <w:color w:val="auto"/>
                <w:lang w:val="en-US" w:eastAsia="zh-CN"/>
              </w:rPr>
              <w:t>准确、</w:t>
            </w:r>
            <w:r>
              <w:rPr>
                <w:rFonts w:hint="eastAsia"/>
                <w:color w:val="auto"/>
              </w:rPr>
              <w:t>到位</w:t>
            </w:r>
            <w:r>
              <w:rPr>
                <w:rFonts w:hint="eastAsia"/>
                <w:color w:val="auto"/>
                <w:lang w:val="en-US" w:eastAsia="zh-CN"/>
              </w:rPr>
              <w:t>的</w:t>
            </w:r>
            <w:r>
              <w:rPr>
                <w:rFonts w:hint="eastAsia"/>
                <w:color w:val="auto"/>
              </w:rPr>
              <w:t>，</w:t>
            </w:r>
            <w:r>
              <w:rPr>
                <w:rFonts w:hint="eastAsia"/>
                <w:color w:val="auto"/>
                <w:lang w:val="en-US" w:eastAsia="zh-CN"/>
              </w:rPr>
              <w:t>得3分；</w:t>
            </w:r>
          </w:p>
          <w:p w14:paraId="42E900BF">
            <w:pPr>
              <w:bidi w:val="0"/>
              <w:rPr>
                <w:rFonts w:hint="eastAsia"/>
                <w:color w:val="auto"/>
                <w:lang w:val="en-US" w:eastAsia="zh-CN"/>
              </w:rPr>
            </w:pPr>
            <w:r>
              <w:rPr>
                <w:rFonts w:hint="eastAsia"/>
                <w:color w:val="auto"/>
              </w:rPr>
              <w:t>对项目重难点分析比较</w:t>
            </w:r>
            <w:r>
              <w:rPr>
                <w:rFonts w:hint="eastAsia"/>
                <w:color w:val="auto"/>
                <w:lang w:val="en-US" w:eastAsia="zh-CN"/>
              </w:rPr>
              <w:t>准确的</w:t>
            </w:r>
            <w:r>
              <w:rPr>
                <w:rFonts w:hint="eastAsia"/>
                <w:color w:val="auto"/>
              </w:rPr>
              <w:t>，</w:t>
            </w:r>
            <w:r>
              <w:rPr>
                <w:rFonts w:hint="eastAsia"/>
                <w:color w:val="auto"/>
                <w:lang w:val="en-US" w:eastAsia="zh-CN"/>
              </w:rPr>
              <w:t>得2分；</w:t>
            </w:r>
          </w:p>
          <w:p w14:paraId="636EF0B1">
            <w:pPr>
              <w:bidi w:val="0"/>
              <w:rPr>
                <w:rFonts w:hint="eastAsia"/>
                <w:color w:val="auto"/>
                <w:lang w:val="en-US" w:eastAsia="zh-CN"/>
              </w:rPr>
            </w:pPr>
            <w:r>
              <w:rPr>
                <w:rFonts w:hint="eastAsia"/>
                <w:color w:val="auto"/>
              </w:rPr>
              <w:t>对项目重难点分析</w:t>
            </w:r>
            <w:r>
              <w:rPr>
                <w:rFonts w:hint="eastAsia"/>
                <w:color w:val="auto"/>
                <w:lang w:val="en-US" w:eastAsia="zh-CN"/>
              </w:rPr>
              <w:t>不准确、不到位的，得1分；</w:t>
            </w:r>
          </w:p>
          <w:p w14:paraId="08BC2FC7">
            <w:pPr>
              <w:bidi w:val="0"/>
              <w:rPr>
                <w:rFonts w:hint="eastAsia"/>
                <w:color w:val="auto"/>
                <w:lang w:val="en-US" w:eastAsia="zh-CN"/>
              </w:rPr>
            </w:pPr>
            <w:r>
              <w:rPr>
                <w:rFonts w:hint="eastAsia"/>
                <w:color w:val="auto"/>
                <w:lang w:val="en-US" w:eastAsia="zh-CN"/>
              </w:rPr>
              <w:t>未提及的不得分。</w:t>
            </w:r>
          </w:p>
        </w:tc>
        <w:tc>
          <w:tcPr>
            <w:tcW w:w="664" w:type="dxa"/>
            <w:shd w:val="clear" w:color="auto" w:fill="FFFFFF"/>
            <w:noWrap w:val="0"/>
            <w:vAlign w:val="center"/>
          </w:tcPr>
          <w:p w14:paraId="57293021">
            <w:pPr>
              <w:bidi w:val="0"/>
              <w:jc w:val="center"/>
              <w:rPr>
                <w:rFonts w:hint="default"/>
                <w:color w:val="auto"/>
                <w:lang w:val="en-US" w:eastAsia="zh-CN"/>
              </w:rPr>
            </w:pPr>
            <w:r>
              <w:rPr>
                <w:rFonts w:hint="eastAsia"/>
                <w:color w:val="auto"/>
                <w:lang w:val="en-US" w:eastAsia="zh-CN"/>
              </w:rPr>
              <w:t>主</w:t>
            </w:r>
          </w:p>
        </w:tc>
        <w:tc>
          <w:tcPr>
            <w:tcW w:w="664" w:type="dxa"/>
            <w:shd w:val="clear" w:color="auto" w:fill="FFFFFF"/>
            <w:noWrap w:val="0"/>
            <w:vAlign w:val="center"/>
          </w:tcPr>
          <w:p w14:paraId="7553BC14">
            <w:pPr>
              <w:bidi w:val="0"/>
              <w:jc w:val="center"/>
              <w:rPr>
                <w:rFonts w:hint="eastAsia"/>
                <w:color w:val="auto"/>
                <w:lang w:val="en-US" w:eastAsia="zh-CN"/>
              </w:rPr>
            </w:pPr>
            <w:r>
              <w:rPr>
                <w:rFonts w:hint="eastAsia"/>
                <w:color w:val="auto"/>
                <w:lang w:val="en-US" w:eastAsia="zh-CN"/>
              </w:rPr>
              <w:t>3</w:t>
            </w:r>
          </w:p>
        </w:tc>
      </w:tr>
      <w:tr w14:paraId="73A8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31" w:type="dxa"/>
            <w:vMerge w:val="continue"/>
            <w:shd w:val="clear" w:color="auto" w:fill="FFFFFF"/>
            <w:noWrap w:val="0"/>
            <w:vAlign w:val="center"/>
          </w:tcPr>
          <w:p w14:paraId="3861AE64">
            <w:pPr>
              <w:bidi w:val="0"/>
              <w:jc w:val="center"/>
              <w:rPr>
                <w:rFonts w:hint="eastAsia"/>
                <w:color w:val="auto"/>
              </w:rPr>
            </w:pPr>
          </w:p>
        </w:tc>
        <w:tc>
          <w:tcPr>
            <w:tcW w:w="611" w:type="dxa"/>
            <w:shd w:val="clear" w:color="auto" w:fill="FFFFFF"/>
            <w:noWrap w:val="0"/>
            <w:vAlign w:val="center"/>
          </w:tcPr>
          <w:p w14:paraId="1C372044">
            <w:pPr>
              <w:bidi w:val="0"/>
              <w:jc w:val="center"/>
              <w:rPr>
                <w:rFonts w:hint="default"/>
                <w:color w:val="auto"/>
                <w:lang w:val="en-US" w:eastAsia="zh-CN"/>
              </w:rPr>
            </w:pPr>
            <w:r>
              <w:rPr>
                <w:rFonts w:hint="eastAsia"/>
                <w:color w:val="auto"/>
                <w:lang w:val="en-US" w:eastAsia="zh-CN"/>
              </w:rPr>
              <w:t>1.2</w:t>
            </w:r>
          </w:p>
        </w:tc>
        <w:tc>
          <w:tcPr>
            <w:tcW w:w="1734" w:type="dxa"/>
            <w:vMerge w:val="continue"/>
            <w:shd w:val="clear" w:color="auto" w:fill="FFFFFF"/>
            <w:noWrap w:val="0"/>
            <w:vAlign w:val="center"/>
          </w:tcPr>
          <w:p w14:paraId="3090C037">
            <w:pPr>
              <w:bidi w:val="0"/>
              <w:jc w:val="center"/>
              <w:rPr>
                <w:rFonts w:hint="eastAsia"/>
                <w:color w:val="auto"/>
                <w:lang w:val="en-US" w:eastAsia="zh-CN"/>
              </w:rPr>
            </w:pPr>
          </w:p>
        </w:tc>
        <w:tc>
          <w:tcPr>
            <w:tcW w:w="5278" w:type="dxa"/>
            <w:shd w:val="clear" w:color="auto" w:fill="FFFFFF"/>
            <w:noWrap w:val="0"/>
            <w:vAlign w:val="center"/>
          </w:tcPr>
          <w:p w14:paraId="3E1CADE4">
            <w:pPr>
              <w:bidi w:val="0"/>
              <w:rPr>
                <w:rFonts w:hint="eastAsia"/>
                <w:color w:val="auto"/>
                <w:lang w:val="en-US" w:eastAsia="zh-CN"/>
              </w:rPr>
            </w:pPr>
            <w:r>
              <w:rPr>
                <w:rFonts w:hint="eastAsia"/>
                <w:color w:val="auto"/>
                <w:lang w:val="en-US" w:eastAsia="zh-CN"/>
              </w:rPr>
              <w:t>解决方案切实可行，完全满足采购需求、</w:t>
            </w:r>
            <w:r>
              <w:rPr>
                <w:rFonts w:hint="default"/>
                <w:color w:val="auto"/>
                <w:lang w:val="en-US"/>
              </w:rPr>
              <w:t>能够保障项</w:t>
            </w:r>
            <w:r>
              <w:rPr>
                <w:rFonts w:hint="eastAsia"/>
                <w:color w:val="auto"/>
                <w:lang w:val="en-US" w:eastAsia="zh-CN"/>
              </w:rPr>
              <w:t>目顺利</w:t>
            </w:r>
            <w:r>
              <w:rPr>
                <w:rFonts w:hint="default"/>
                <w:color w:val="auto"/>
                <w:lang w:val="en-US"/>
              </w:rPr>
              <w:t>完成</w:t>
            </w:r>
            <w:r>
              <w:rPr>
                <w:rFonts w:hint="eastAsia"/>
                <w:color w:val="auto"/>
                <w:lang w:val="en-US" w:eastAsia="zh-CN"/>
              </w:rPr>
              <w:t>的，得3分；</w:t>
            </w:r>
          </w:p>
          <w:p w14:paraId="2FB5067B">
            <w:pPr>
              <w:bidi w:val="0"/>
              <w:rPr>
                <w:rFonts w:hint="eastAsia"/>
                <w:color w:val="auto"/>
                <w:lang w:val="en-US" w:eastAsia="zh-CN"/>
              </w:rPr>
            </w:pPr>
            <w:r>
              <w:rPr>
                <w:rFonts w:hint="eastAsia"/>
                <w:color w:val="auto"/>
                <w:lang w:val="en-US" w:eastAsia="zh-CN"/>
              </w:rPr>
              <w:t>解决方案基本可行，基本满足采购需求的，得2分；</w:t>
            </w:r>
          </w:p>
          <w:p w14:paraId="5E29500D">
            <w:pPr>
              <w:bidi w:val="0"/>
              <w:rPr>
                <w:rFonts w:hint="eastAsia"/>
                <w:color w:val="auto"/>
                <w:lang w:val="en-US" w:eastAsia="zh-CN"/>
              </w:rPr>
            </w:pPr>
            <w:r>
              <w:rPr>
                <w:rFonts w:hint="eastAsia"/>
                <w:color w:val="auto"/>
                <w:lang w:val="en-US" w:eastAsia="zh-CN"/>
              </w:rPr>
              <w:t>解决方案有欠缺，难以满足采购需求的，得1分；</w:t>
            </w:r>
          </w:p>
          <w:p w14:paraId="76536637">
            <w:pPr>
              <w:bidi w:val="0"/>
              <w:rPr>
                <w:rFonts w:hint="eastAsia"/>
                <w:color w:val="auto"/>
                <w:lang w:val="en-US" w:eastAsia="zh-CN"/>
              </w:rPr>
            </w:pPr>
            <w:r>
              <w:rPr>
                <w:rFonts w:hint="eastAsia"/>
                <w:color w:val="auto"/>
                <w:lang w:val="en-US" w:eastAsia="zh-CN"/>
              </w:rPr>
              <w:t>未提及的不得分。</w:t>
            </w:r>
          </w:p>
        </w:tc>
        <w:tc>
          <w:tcPr>
            <w:tcW w:w="664" w:type="dxa"/>
            <w:shd w:val="clear" w:color="auto" w:fill="FFFFFF"/>
            <w:noWrap w:val="0"/>
            <w:vAlign w:val="center"/>
          </w:tcPr>
          <w:p w14:paraId="6FEF88A2">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046B47EC">
            <w:pPr>
              <w:bidi w:val="0"/>
              <w:jc w:val="center"/>
              <w:rPr>
                <w:rFonts w:hint="eastAsia"/>
                <w:color w:val="auto"/>
                <w:lang w:val="en-US" w:eastAsia="zh-CN"/>
              </w:rPr>
            </w:pPr>
            <w:r>
              <w:rPr>
                <w:rFonts w:hint="eastAsia"/>
                <w:color w:val="auto"/>
                <w:lang w:val="en-US" w:eastAsia="zh-CN"/>
              </w:rPr>
              <w:t>3</w:t>
            </w:r>
          </w:p>
        </w:tc>
      </w:tr>
      <w:tr w14:paraId="0AEC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31" w:type="dxa"/>
            <w:vMerge w:val="continue"/>
            <w:shd w:val="clear" w:color="auto" w:fill="FFFFFF"/>
            <w:noWrap w:val="0"/>
            <w:vAlign w:val="center"/>
          </w:tcPr>
          <w:p w14:paraId="0A5C23F1">
            <w:pPr>
              <w:bidi w:val="0"/>
              <w:jc w:val="center"/>
              <w:rPr>
                <w:rFonts w:hint="eastAsia"/>
                <w:color w:val="auto"/>
              </w:rPr>
            </w:pPr>
          </w:p>
        </w:tc>
        <w:tc>
          <w:tcPr>
            <w:tcW w:w="611" w:type="dxa"/>
            <w:shd w:val="clear" w:color="auto" w:fill="FFFFFF"/>
            <w:noWrap w:val="0"/>
            <w:vAlign w:val="center"/>
          </w:tcPr>
          <w:p w14:paraId="03457C78">
            <w:pPr>
              <w:bidi w:val="0"/>
              <w:jc w:val="center"/>
              <w:rPr>
                <w:rFonts w:hint="eastAsia"/>
                <w:color w:val="auto"/>
                <w:lang w:val="en-US" w:eastAsia="zh-CN"/>
              </w:rPr>
            </w:pPr>
            <w:r>
              <w:rPr>
                <w:rFonts w:hint="eastAsia"/>
                <w:color w:val="auto"/>
                <w:lang w:val="en-US" w:eastAsia="zh-CN"/>
              </w:rPr>
              <w:t>2</w:t>
            </w:r>
          </w:p>
        </w:tc>
        <w:tc>
          <w:tcPr>
            <w:tcW w:w="1734" w:type="dxa"/>
            <w:shd w:val="clear" w:color="auto" w:fill="FFFFFF"/>
            <w:noWrap w:val="0"/>
            <w:vAlign w:val="center"/>
          </w:tcPr>
          <w:p w14:paraId="1C4BC375">
            <w:pPr>
              <w:bidi w:val="0"/>
              <w:jc w:val="center"/>
              <w:rPr>
                <w:rFonts w:hint="default"/>
                <w:color w:val="auto"/>
                <w:lang w:val="en-US" w:eastAsia="zh-CN"/>
              </w:rPr>
            </w:pPr>
            <w:r>
              <w:rPr>
                <w:rFonts w:hint="eastAsia"/>
                <w:color w:val="auto"/>
                <w:lang w:val="en-US" w:eastAsia="zh-CN"/>
              </w:rPr>
              <w:t>海洋自动观测站的日常运行维护与保养方案</w:t>
            </w:r>
          </w:p>
        </w:tc>
        <w:tc>
          <w:tcPr>
            <w:tcW w:w="5278" w:type="dxa"/>
            <w:shd w:val="clear" w:color="auto" w:fill="FFFFFF"/>
            <w:noWrap w:val="0"/>
            <w:vAlign w:val="center"/>
          </w:tcPr>
          <w:p w14:paraId="561B72BE">
            <w:pPr>
              <w:bidi w:val="0"/>
              <w:rPr>
                <w:rFonts w:hint="eastAsia"/>
                <w:color w:val="auto"/>
                <w:lang w:val="en-US" w:eastAsia="zh-CN"/>
              </w:rPr>
            </w:pPr>
            <w:r>
              <w:rPr>
                <w:rFonts w:hint="eastAsia"/>
                <w:color w:val="auto"/>
                <w:lang w:val="en-US" w:eastAsia="zh-CN"/>
              </w:rPr>
              <w:t>评委视方案的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2FFD2788">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500ADA69">
            <w:pPr>
              <w:bidi w:val="0"/>
              <w:jc w:val="center"/>
              <w:rPr>
                <w:rFonts w:hint="eastAsia"/>
                <w:color w:val="auto"/>
                <w:lang w:val="en-US" w:eastAsia="zh-CN"/>
              </w:rPr>
            </w:pPr>
            <w:r>
              <w:rPr>
                <w:rFonts w:hint="eastAsia"/>
                <w:color w:val="auto"/>
                <w:lang w:val="en-US" w:eastAsia="zh-CN"/>
              </w:rPr>
              <w:t>6</w:t>
            </w:r>
          </w:p>
        </w:tc>
      </w:tr>
      <w:tr w14:paraId="008B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731" w:type="dxa"/>
            <w:vMerge w:val="continue"/>
            <w:shd w:val="clear" w:color="auto" w:fill="FFFFFF"/>
            <w:noWrap w:val="0"/>
            <w:vAlign w:val="center"/>
          </w:tcPr>
          <w:p w14:paraId="52B0F10A">
            <w:pPr>
              <w:bidi w:val="0"/>
              <w:jc w:val="center"/>
              <w:rPr>
                <w:rFonts w:hint="eastAsia"/>
                <w:color w:val="auto"/>
              </w:rPr>
            </w:pPr>
          </w:p>
        </w:tc>
        <w:tc>
          <w:tcPr>
            <w:tcW w:w="611" w:type="dxa"/>
            <w:shd w:val="clear" w:color="auto" w:fill="FFFFFF"/>
            <w:noWrap w:val="0"/>
            <w:vAlign w:val="center"/>
          </w:tcPr>
          <w:p w14:paraId="5DF6EEED">
            <w:pPr>
              <w:bidi w:val="0"/>
              <w:jc w:val="center"/>
              <w:rPr>
                <w:rFonts w:hint="default"/>
                <w:color w:val="auto"/>
                <w:lang w:val="en-US" w:eastAsia="zh-CN"/>
              </w:rPr>
            </w:pPr>
            <w:r>
              <w:rPr>
                <w:rFonts w:hint="eastAsia"/>
                <w:color w:val="auto"/>
                <w:lang w:val="en-US" w:eastAsia="zh-CN"/>
              </w:rPr>
              <w:t>3</w:t>
            </w:r>
          </w:p>
        </w:tc>
        <w:tc>
          <w:tcPr>
            <w:tcW w:w="1734" w:type="dxa"/>
            <w:shd w:val="clear" w:color="auto" w:fill="FFFFFF"/>
            <w:noWrap w:val="0"/>
            <w:vAlign w:val="center"/>
          </w:tcPr>
          <w:p w14:paraId="17D5CB40">
            <w:pPr>
              <w:bidi w:val="0"/>
              <w:jc w:val="center"/>
              <w:rPr>
                <w:rFonts w:hint="eastAsia"/>
                <w:color w:val="auto"/>
                <w:lang w:val="en-US" w:eastAsia="zh-CN"/>
              </w:rPr>
            </w:pPr>
            <w:r>
              <w:rPr>
                <w:rFonts w:hint="eastAsia"/>
                <w:color w:val="auto"/>
              </w:rPr>
              <w:t>X波段雷达站的日常维护与保养</w:t>
            </w:r>
            <w:r>
              <w:rPr>
                <w:rFonts w:hint="eastAsia"/>
                <w:color w:val="auto"/>
                <w:lang w:val="en-US" w:eastAsia="zh-CN"/>
              </w:rPr>
              <w:t>方案</w:t>
            </w:r>
          </w:p>
        </w:tc>
        <w:tc>
          <w:tcPr>
            <w:tcW w:w="5278" w:type="dxa"/>
            <w:shd w:val="clear" w:color="auto" w:fill="FFFFFF"/>
            <w:noWrap w:val="0"/>
            <w:vAlign w:val="center"/>
          </w:tcPr>
          <w:p w14:paraId="301C4FB0">
            <w:pPr>
              <w:bidi w:val="0"/>
              <w:rPr>
                <w:rFonts w:hint="eastAsia"/>
                <w:color w:val="auto"/>
                <w:lang w:val="en-US" w:eastAsia="zh-CN"/>
              </w:rPr>
            </w:pPr>
            <w:r>
              <w:rPr>
                <w:rFonts w:hint="eastAsia"/>
                <w:color w:val="auto"/>
                <w:lang w:val="en-US" w:eastAsia="zh-CN"/>
              </w:rPr>
              <w:t>评委视方案的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552E6931">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6896F6A0">
            <w:pPr>
              <w:bidi w:val="0"/>
              <w:jc w:val="center"/>
              <w:rPr>
                <w:rFonts w:hint="eastAsia"/>
                <w:color w:val="auto"/>
                <w:lang w:val="en-US" w:eastAsia="zh-CN"/>
              </w:rPr>
            </w:pPr>
            <w:r>
              <w:rPr>
                <w:rFonts w:hint="eastAsia"/>
                <w:color w:val="auto"/>
                <w:lang w:val="en-US" w:eastAsia="zh-CN"/>
              </w:rPr>
              <w:t>6</w:t>
            </w:r>
          </w:p>
        </w:tc>
      </w:tr>
      <w:tr w14:paraId="46C9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731" w:type="dxa"/>
            <w:vMerge w:val="continue"/>
            <w:shd w:val="clear" w:color="auto" w:fill="FFFFFF"/>
            <w:noWrap w:val="0"/>
            <w:vAlign w:val="center"/>
          </w:tcPr>
          <w:p w14:paraId="1DB3F1B2">
            <w:pPr>
              <w:bidi w:val="0"/>
              <w:jc w:val="center"/>
              <w:rPr>
                <w:rFonts w:hint="eastAsia"/>
                <w:color w:val="auto"/>
              </w:rPr>
            </w:pPr>
          </w:p>
        </w:tc>
        <w:tc>
          <w:tcPr>
            <w:tcW w:w="611" w:type="dxa"/>
            <w:shd w:val="clear" w:color="auto" w:fill="FFFFFF"/>
            <w:noWrap w:val="0"/>
            <w:vAlign w:val="center"/>
          </w:tcPr>
          <w:p w14:paraId="12F1C794">
            <w:pPr>
              <w:bidi w:val="0"/>
              <w:jc w:val="center"/>
              <w:rPr>
                <w:rFonts w:hint="default"/>
                <w:color w:val="auto"/>
                <w:lang w:val="en-US" w:eastAsia="zh-CN"/>
              </w:rPr>
            </w:pPr>
            <w:r>
              <w:rPr>
                <w:rFonts w:hint="eastAsia"/>
                <w:color w:val="auto"/>
                <w:lang w:val="en-US" w:eastAsia="zh-CN"/>
              </w:rPr>
              <w:t>4</w:t>
            </w:r>
          </w:p>
        </w:tc>
        <w:tc>
          <w:tcPr>
            <w:tcW w:w="1734" w:type="dxa"/>
            <w:shd w:val="clear" w:color="auto" w:fill="FFFFFF"/>
            <w:noWrap w:val="0"/>
            <w:vAlign w:val="center"/>
          </w:tcPr>
          <w:p w14:paraId="4863A3AD">
            <w:pPr>
              <w:bidi w:val="0"/>
              <w:jc w:val="center"/>
              <w:rPr>
                <w:rFonts w:hint="eastAsia"/>
                <w:color w:val="auto"/>
                <w:lang w:val="en-US" w:eastAsia="zh-CN"/>
              </w:rPr>
            </w:pPr>
            <w:r>
              <w:rPr>
                <w:rFonts w:hint="eastAsia"/>
                <w:color w:val="auto"/>
              </w:rPr>
              <w:t>3米海上波浪浮标的日常运行维护与保养</w:t>
            </w:r>
            <w:r>
              <w:rPr>
                <w:rFonts w:hint="eastAsia"/>
                <w:color w:val="auto"/>
                <w:lang w:val="en-US" w:eastAsia="zh-CN"/>
              </w:rPr>
              <w:t>方案</w:t>
            </w:r>
          </w:p>
        </w:tc>
        <w:tc>
          <w:tcPr>
            <w:tcW w:w="5278" w:type="dxa"/>
            <w:shd w:val="clear" w:color="auto" w:fill="FFFFFF"/>
            <w:noWrap w:val="0"/>
            <w:vAlign w:val="center"/>
          </w:tcPr>
          <w:p w14:paraId="70AB1A71">
            <w:pPr>
              <w:bidi w:val="0"/>
              <w:rPr>
                <w:rFonts w:hint="eastAsia"/>
                <w:color w:val="auto"/>
                <w:lang w:val="en-US" w:eastAsia="zh-CN"/>
              </w:rPr>
            </w:pPr>
            <w:r>
              <w:rPr>
                <w:rFonts w:hint="eastAsia"/>
                <w:color w:val="auto"/>
                <w:lang w:val="en-US" w:eastAsia="zh-CN"/>
              </w:rPr>
              <w:t>评委视方案的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1EEE2671">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2B1404CE">
            <w:pPr>
              <w:bidi w:val="0"/>
              <w:jc w:val="center"/>
              <w:rPr>
                <w:rFonts w:hint="eastAsia"/>
                <w:color w:val="auto"/>
                <w:lang w:val="en-US" w:eastAsia="zh-CN"/>
              </w:rPr>
            </w:pPr>
            <w:r>
              <w:rPr>
                <w:rFonts w:hint="eastAsia"/>
                <w:color w:val="auto"/>
                <w:lang w:val="en-US" w:eastAsia="zh-CN"/>
              </w:rPr>
              <w:t>6</w:t>
            </w:r>
          </w:p>
        </w:tc>
      </w:tr>
      <w:tr w14:paraId="6D7B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31" w:type="dxa"/>
            <w:vMerge w:val="continue"/>
            <w:shd w:val="clear" w:color="auto" w:fill="FFFFFF"/>
            <w:noWrap w:val="0"/>
            <w:vAlign w:val="center"/>
          </w:tcPr>
          <w:p w14:paraId="0E106A85">
            <w:pPr>
              <w:bidi w:val="0"/>
              <w:jc w:val="center"/>
              <w:rPr>
                <w:rFonts w:hint="eastAsia"/>
                <w:color w:val="auto"/>
              </w:rPr>
            </w:pPr>
          </w:p>
        </w:tc>
        <w:tc>
          <w:tcPr>
            <w:tcW w:w="611" w:type="dxa"/>
            <w:shd w:val="clear" w:color="auto" w:fill="FFFFFF"/>
            <w:noWrap w:val="0"/>
            <w:vAlign w:val="center"/>
          </w:tcPr>
          <w:p w14:paraId="4E5FB72B">
            <w:pPr>
              <w:bidi w:val="0"/>
              <w:jc w:val="center"/>
              <w:rPr>
                <w:rFonts w:hint="default"/>
                <w:color w:val="auto"/>
                <w:lang w:val="en-US" w:eastAsia="zh-CN"/>
              </w:rPr>
            </w:pPr>
            <w:r>
              <w:rPr>
                <w:rFonts w:hint="eastAsia"/>
                <w:color w:val="auto"/>
                <w:lang w:val="en-US" w:eastAsia="zh-CN"/>
              </w:rPr>
              <w:t>5</w:t>
            </w:r>
          </w:p>
        </w:tc>
        <w:tc>
          <w:tcPr>
            <w:tcW w:w="1734" w:type="dxa"/>
            <w:shd w:val="clear" w:color="auto" w:fill="FFFFFF"/>
            <w:noWrap w:val="0"/>
            <w:vAlign w:val="center"/>
          </w:tcPr>
          <w:p w14:paraId="480D4ECA">
            <w:pPr>
              <w:bidi w:val="0"/>
              <w:jc w:val="center"/>
              <w:rPr>
                <w:rFonts w:hint="eastAsia"/>
                <w:color w:val="auto"/>
                <w:lang w:val="en-US" w:eastAsia="zh-CN"/>
              </w:rPr>
            </w:pPr>
            <w:r>
              <w:rPr>
                <w:rFonts w:hint="eastAsia"/>
                <w:color w:val="auto"/>
              </w:rPr>
              <w:t>简易潮位观测点的</w:t>
            </w:r>
            <w:r>
              <w:rPr>
                <w:rFonts w:hint="eastAsia"/>
                <w:color w:val="auto"/>
                <w:lang w:val="en-US" w:eastAsia="zh-CN"/>
              </w:rPr>
              <w:t>日常</w:t>
            </w:r>
            <w:r>
              <w:rPr>
                <w:rFonts w:hint="eastAsia"/>
                <w:color w:val="auto"/>
              </w:rPr>
              <w:t>运行维护与保养</w:t>
            </w:r>
            <w:r>
              <w:rPr>
                <w:rFonts w:hint="eastAsia"/>
                <w:color w:val="auto"/>
                <w:lang w:val="en-US" w:eastAsia="zh-CN"/>
              </w:rPr>
              <w:t>方案</w:t>
            </w:r>
          </w:p>
        </w:tc>
        <w:tc>
          <w:tcPr>
            <w:tcW w:w="5278" w:type="dxa"/>
            <w:shd w:val="clear" w:color="auto" w:fill="FFFFFF"/>
            <w:noWrap w:val="0"/>
            <w:vAlign w:val="center"/>
          </w:tcPr>
          <w:p w14:paraId="338332AB">
            <w:pPr>
              <w:bidi w:val="0"/>
              <w:rPr>
                <w:rFonts w:hint="eastAsia"/>
                <w:color w:val="auto"/>
                <w:lang w:val="en-US" w:eastAsia="zh-CN"/>
              </w:rPr>
            </w:pPr>
            <w:r>
              <w:rPr>
                <w:rFonts w:hint="eastAsia"/>
                <w:color w:val="auto"/>
                <w:lang w:val="en-US" w:eastAsia="zh-CN"/>
              </w:rPr>
              <w:t>评委视方案的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4ECF4B9A">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15988AFD">
            <w:pPr>
              <w:bidi w:val="0"/>
              <w:jc w:val="center"/>
              <w:rPr>
                <w:rFonts w:hint="eastAsia"/>
                <w:color w:val="auto"/>
                <w:lang w:val="en-US" w:eastAsia="zh-CN"/>
              </w:rPr>
            </w:pPr>
            <w:r>
              <w:rPr>
                <w:rFonts w:hint="eastAsia"/>
                <w:color w:val="auto"/>
                <w:lang w:val="en-US" w:eastAsia="zh-CN"/>
              </w:rPr>
              <w:t>6</w:t>
            </w:r>
          </w:p>
        </w:tc>
      </w:tr>
      <w:tr w14:paraId="3FA1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731" w:type="dxa"/>
            <w:vMerge w:val="continue"/>
            <w:shd w:val="clear" w:color="auto" w:fill="FFFFFF"/>
            <w:noWrap w:val="0"/>
            <w:vAlign w:val="center"/>
          </w:tcPr>
          <w:p w14:paraId="661A39D1">
            <w:pPr>
              <w:bidi w:val="0"/>
              <w:jc w:val="center"/>
              <w:rPr>
                <w:rFonts w:hint="eastAsia"/>
                <w:color w:val="auto"/>
              </w:rPr>
            </w:pPr>
          </w:p>
        </w:tc>
        <w:tc>
          <w:tcPr>
            <w:tcW w:w="611" w:type="dxa"/>
            <w:shd w:val="clear" w:color="auto" w:fill="FFFFFF"/>
            <w:noWrap w:val="0"/>
            <w:vAlign w:val="center"/>
          </w:tcPr>
          <w:p w14:paraId="12A39565">
            <w:pPr>
              <w:bidi w:val="0"/>
              <w:jc w:val="center"/>
              <w:rPr>
                <w:rFonts w:hint="default"/>
                <w:color w:val="auto"/>
                <w:lang w:val="en-US" w:eastAsia="zh-CN"/>
              </w:rPr>
            </w:pPr>
            <w:r>
              <w:rPr>
                <w:rFonts w:hint="eastAsia"/>
                <w:color w:val="auto"/>
                <w:lang w:val="en-US" w:eastAsia="zh-CN"/>
              </w:rPr>
              <w:t>6</w:t>
            </w:r>
          </w:p>
        </w:tc>
        <w:tc>
          <w:tcPr>
            <w:tcW w:w="1734" w:type="dxa"/>
            <w:shd w:val="clear" w:color="auto" w:fill="FFFFFF"/>
            <w:noWrap w:val="0"/>
            <w:vAlign w:val="center"/>
          </w:tcPr>
          <w:p w14:paraId="4AB05F60">
            <w:pPr>
              <w:bidi w:val="0"/>
              <w:jc w:val="center"/>
              <w:rPr>
                <w:rFonts w:hint="eastAsia"/>
                <w:strike w:val="0"/>
                <w:dstrike w:val="0"/>
                <w:color w:val="auto"/>
                <w:lang w:val="en-US" w:eastAsia="zh-CN"/>
              </w:rPr>
            </w:pPr>
            <w:r>
              <w:rPr>
                <w:rFonts w:hint="eastAsia"/>
                <w:strike w:val="0"/>
                <w:dstrike w:val="0"/>
                <w:color w:val="auto"/>
              </w:rPr>
              <w:t>简易</w:t>
            </w:r>
            <w:r>
              <w:rPr>
                <w:rFonts w:hint="eastAsia"/>
                <w:strike w:val="0"/>
                <w:dstrike w:val="0"/>
                <w:color w:val="auto"/>
                <w:lang w:val="en-US" w:eastAsia="zh-CN"/>
              </w:rPr>
              <w:t>气象</w:t>
            </w:r>
            <w:r>
              <w:rPr>
                <w:rFonts w:hint="eastAsia"/>
                <w:strike w:val="0"/>
                <w:dstrike w:val="0"/>
                <w:color w:val="auto"/>
              </w:rPr>
              <w:t>观测点的日常运行维护与保养</w:t>
            </w:r>
            <w:r>
              <w:rPr>
                <w:rFonts w:hint="eastAsia"/>
                <w:strike w:val="0"/>
                <w:dstrike w:val="0"/>
                <w:color w:val="auto"/>
                <w:lang w:val="en-US" w:eastAsia="zh-CN"/>
              </w:rPr>
              <w:t>方案</w:t>
            </w:r>
          </w:p>
        </w:tc>
        <w:tc>
          <w:tcPr>
            <w:tcW w:w="5278" w:type="dxa"/>
            <w:shd w:val="clear" w:color="auto" w:fill="FFFFFF"/>
            <w:noWrap w:val="0"/>
            <w:vAlign w:val="center"/>
          </w:tcPr>
          <w:p w14:paraId="27998114">
            <w:pPr>
              <w:bidi w:val="0"/>
              <w:rPr>
                <w:rFonts w:hint="eastAsia"/>
                <w:strike w:val="0"/>
                <w:dstrike w:val="0"/>
                <w:color w:val="auto"/>
                <w:lang w:val="en-US" w:eastAsia="zh-CN"/>
              </w:rPr>
            </w:pPr>
            <w:r>
              <w:rPr>
                <w:rFonts w:hint="eastAsia"/>
                <w:color w:val="auto"/>
                <w:lang w:val="en-US" w:eastAsia="zh-CN"/>
              </w:rPr>
              <w:t>评委视方案的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7E061E27">
            <w:pPr>
              <w:bidi w:val="0"/>
              <w:jc w:val="center"/>
              <w:rPr>
                <w:rFonts w:hint="eastAsia"/>
                <w:strike w:val="0"/>
                <w:color w:val="auto"/>
                <w:lang w:val="en-US" w:eastAsia="zh-CN"/>
              </w:rPr>
            </w:pPr>
            <w:r>
              <w:rPr>
                <w:rFonts w:hint="eastAsia"/>
                <w:color w:val="auto"/>
                <w:lang w:val="en-US" w:eastAsia="zh-CN"/>
              </w:rPr>
              <w:t>主</w:t>
            </w:r>
          </w:p>
        </w:tc>
        <w:tc>
          <w:tcPr>
            <w:tcW w:w="664" w:type="dxa"/>
            <w:shd w:val="clear" w:color="auto" w:fill="FFFFFF"/>
            <w:noWrap w:val="0"/>
            <w:vAlign w:val="center"/>
          </w:tcPr>
          <w:p w14:paraId="68F76FC1">
            <w:pPr>
              <w:bidi w:val="0"/>
              <w:jc w:val="center"/>
              <w:rPr>
                <w:rFonts w:hint="eastAsia"/>
                <w:strike w:val="0"/>
                <w:color w:val="auto"/>
                <w:lang w:val="en-US" w:eastAsia="zh-CN"/>
              </w:rPr>
            </w:pPr>
            <w:r>
              <w:rPr>
                <w:rFonts w:hint="eastAsia"/>
                <w:strike w:val="0"/>
                <w:color w:val="auto"/>
                <w:lang w:val="en-US" w:eastAsia="zh-CN"/>
              </w:rPr>
              <w:t>6</w:t>
            </w:r>
          </w:p>
        </w:tc>
      </w:tr>
      <w:tr w14:paraId="1211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731" w:type="dxa"/>
            <w:vMerge w:val="continue"/>
            <w:shd w:val="clear" w:color="auto" w:fill="FFFFFF"/>
            <w:noWrap w:val="0"/>
            <w:vAlign w:val="center"/>
          </w:tcPr>
          <w:p w14:paraId="03B8FBB0">
            <w:pPr>
              <w:bidi w:val="0"/>
              <w:jc w:val="center"/>
              <w:rPr>
                <w:rFonts w:hint="eastAsia"/>
                <w:color w:val="auto"/>
              </w:rPr>
            </w:pPr>
          </w:p>
        </w:tc>
        <w:tc>
          <w:tcPr>
            <w:tcW w:w="611" w:type="dxa"/>
            <w:shd w:val="clear" w:color="auto" w:fill="FFFFFF"/>
            <w:noWrap w:val="0"/>
            <w:vAlign w:val="center"/>
          </w:tcPr>
          <w:p w14:paraId="4A504A5B">
            <w:pPr>
              <w:bidi w:val="0"/>
              <w:jc w:val="center"/>
              <w:rPr>
                <w:rFonts w:hint="default"/>
                <w:color w:val="auto"/>
                <w:lang w:val="en-US" w:eastAsia="zh-CN"/>
              </w:rPr>
            </w:pPr>
            <w:r>
              <w:rPr>
                <w:rFonts w:hint="eastAsia"/>
                <w:color w:val="auto"/>
                <w:lang w:val="en-US" w:eastAsia="zh-CN"/>
              </w:rPr>
              <w:t>7</w:t>
            </w:r>
          </w:p>
        </w:tc>
        <w:tc>
          <w:tcPr>
            <w:tcW w:w="1734" w:type="dxa"/>
            <w:shd w:val="clear" w:color="auto" w:fill="FFFFFF"/>
            <w:noWrap w:val="0"/>
            <w:vAlign w:val="center"/>
          </w:tcPr>
          <w:p w14:paraId="16B439AF">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服务</w:t>
            </w:r>
            <w:r>
              <w:rPr>
                <w:rFonts w:hint="default"/>
                <w:color w:val="auto"/>
                <w:lang w:val="en-US"/>
              </w:rPr>
              <w:t>质量保证措施</w:t>
            </w:r>
          </w:p>
        </w:tc>
        <w:tc>
          <w:tcPr>
            <w:tcW w:w="5278" w:type="dxa"/>
            <w:shd w:val="clear" w:color="auto" w:fill="FFFFFF"/>
            <w:noWrap w:val="0"/>
            <w:vAlign w:val="center"/>
          </w:tcPr>
          <w:p w14:paraId="383DDE24">
            <w:pPr>
              <w:bidi w:val="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评委视方案的</w:t>
            </w:r>
            <w:r>
              <w:rPr>
                <w:rFonts w:hint="eastAsia"/>
                <w:color w:val="auto"/>
              </w:rPr>
              <w:t>全面</w:t>
            </w:r>
            <w:r>
              <w:rPr>
                <w:rFonts w:hint="eastAsia"/>
                <w:color w:val="auto"/>
                <w:lang w:val="en-US" w:eastAsia="zh-CN"/>
              </w:rPr>
              <w:t>性</w:t>
            </w:r>
            <w:r>
              <w:rPr>
                <w:rFonts w:hint="eastAsia"/>
                <w:color w:val="auto"/>
                <w:lang w:eastAsia="zh-CN"/>
              </w:rPr>
              <w:t>、</w:t>
            </w:r>
            <w:r>
              <w:rPr>
                <w:rFonts w:hint="eastAsia"/>
                <w:color w:val="auto"/>
                <w:lang w:val="en-US" w:eastAsia="zh-CN"/>
              </w:rPr>
              <w:t>完善程度、</w:t>
            </w:r>
            <w:r>
              <w:rPr>
                <w:rFonts w:hint="eastAsia"/>
                <w:color w:val="auto"/>
              </w:rPr>
              <w:t>针对性</w:t>
            </w:r>
            <w:r>
              <w:rPr>
                <w:rFonts w:hint="eastAsia"/>
                <w:color w:val="auto"/>
                <w:lang w:eastAsia="zh-CN"/>
              </w:rPr>
              <w:t>、</w:t>
            </w:r>
            <w:r>
              <w:rPr>
                <w:rFonts w:hint="eastAsia"/>
                <w:color w:val="auto"/>
              </w:rPr>
              <w:t>可行</w:t>
            </w:r>
            <w:r>
              <w:rPr>
                <w:rFonts w:hint="eastAsia"/>
                <w:color w:val="auto"/>
                <w:lang w:val="en-US" w:eastAsia="zh-CN"/>
              </w:rPr>
              <w:t>性进行评审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6093DA6D">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59188308">
            <w:pPr>
              <w:bidi w:val="0"/>
              <w:jc w:val="center"/>
              <w:rPr>
                <w:rFonts w:hint="default"/>
                <w:color w:val="auto"/>
                <w:lang w:val="en-US" w:eastAsia="zh-CN"/>
              </w:rPr>
            </w:pPr>
            <w:r>
              <w:rPr>
                <w:rFonts w:hint="eastAsia"/>
                <w:color w:val="auto"/>
                <w:lang w:val="en-US" w:eastAsia="zh-CN"/>
              </w:rPr>
              <w:t>6</w:t>
            </w:r>
          </w:p>
        </w:tc>
      </w:tr>
      <w:tr w14:paraId="2CA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731" w:type="dxa"/>
            <w:vMerge w:val="continue"/>
            <w:shd w:val="clear" w:color="auto" w:fill="FFFFFF"/>
            <w:noWrap w:val="0"/>
            <w:vAlign w:val="center"/>
          </w:tcPr>
          <w:p w14:paraId="266B0555">
            <w:pPr>
              <w:bidi w:val="0"/>
              <w:jc w:val="center"/>
              <w:rPr>
                <w:rFonts w:hint="eastAsia"/>
                <w:color w:val="auto"/>
              </w:rPr>
            </w:pPr>
          </w:p>
        </w:tc>
        <w:tc>
          <w:tcPr>
            <w:tcW w:w="611" w:type="dxa"/>
            <w:shd w:val="clear" w:color="auto" w:fill="FFFFFF"/>
            <w:noWrap w:val="0"/>
            <w:vAlign w:val="center"/>
          </w:tcPr>
          <w:p w14:paraId="50DAFFE4">
            <w:pPr>
              <w:bidi w:val="0"/>
              <w:jc w:val="center"/>
              <w:rPr>
                <w:rFonts w:hint="default"/>
                <w:color w:val="auto"/>
                <w:lang w:val="en-US" w:eastAsia="zh-CN"/>
              </w:rPr>
            </w:pPr>
            <w:r>
              <w:rPr>
                <w:rFonts w:hint="eastAsia"/>
                <w:color w:val="auto"/>
                <w:lang w:val="en-US" w:eastAsia="zh-CN"/>
              </w:rPr>
              <w:t>8</w:t>
            </w:r>
          </w:p>
        </w:tc>
        <w:tc>
          <w:tcPr>
            <w:tcW w:w="1734" w:type="dxa"/>
            <w:shd w:val="clear" w:color="auto" w:fill="FFFFFF"/>
            <w:noWrap w:val="0"/>
            <w:vAlign w:val="center"/>
          </w:tcPr>
          <w:p w14:paraId="16D323F9">
            <w:pPr>
              <w:bidi w:val="0"/>
              <w:jc w:val="center"/>
              <w:rPr>
                <w:rFonts w:hint="eastAsia" w:ascii="Times New Roman" w:hAnsi="Times New Roman" w:eastAsia="宋体" w:cs="Times New Roman"/>
                <w:color w:val="auto"/>
                <w:kern w:val="2"/>
                <w:sz w:val="21"/>
                <w:szCs w:val="24"/>
                <w:lang w:val="en-US" w:eastAsia="zh-CN" w:bidi="ar-SA"/>
              </w:rPr>
            </w:pPr>
            <w:r>
              <w:rPr>
                <w:rFonts w:hint="default"/>
                <w:color w:val="auto"/>
                <w:lang w:val="en-US"/>
              </w:rPr>
              <w:t>应急预案</w:t>
            </w:r>
          </w:p>
        </w:tc>
        <w:tc>
          <w:tcPr>
            <w:tcW w:w="5278" w:type="dxa"/>
            <w:shd w:val="clear" w:color="auto" w:fill="FFFFFF"/>
            <w:noWrap w:val="0"/>
            <w:vAlign w:val="center"/>
          </w:tcPr>
          <w:p w14:paraId="1E49B4A8">
            <w:pPr>
              <w:bidi w:val="0"/>
              <w:rPr>
                <w:rFonts w:hint="eastAsia" w:ascii="Times New Roman" w:hAnsi="Times New Roman" w:eastAsia="宋体" w:cs="Times New Roman"/>
                <w:color w:val="auto"/>
                <w:kern w:val="2"/>
                <w:sz w:val="21"/>
                <w:szCs w:val="24"/>
                <w:lang w:val="en-US" w:eastAsia="zh-CN" w:bidi="ar-SA"/>
              </w:rPr>
            </w:pPr>
            <w:r>
              <w:rPr>
                <w:rFonts w:hint="default"/>
                <w:color w:val="auto"/>
                <w:lang w:val="en-US"/>
              </w:rPr>
              <w:t>投标人针对各种突发的事件及恶劣天气情况等作出的应急预案</w:t>
            </w:r>
            <w:r>
              <w:rPr>
                <w:rFonts w:hint="eastAsia"/>
                <w:color w:val="auto"/>
                <w:lang w:val="en-US" w:eastAsia="zh-CN"/>
              </w:rPr>
              <w:t>，评委视其</w:t>
            </w:r>
            <w:r>
              <w:rPr>
                <w:rFonts w:hint="default"/>
                <w:color w:val="auto"/>
                <w:lang w:val="en-US"/>
              </w:rPr>
              <w:t>可操作性</w:t>
            </w:r>
            <w:r>
              <w:rPr>
                <w:rFonts w:hint="eastAsia"/>
                <w:color w:val="auto"/>
                <w:lang w:val="en-US" w:eastAsia="zh-CN"/>
              </w:rPr>
              <w:t>、</w:t>
            </w:r>
            <w:r>
              <w:rPr>
                <w:rFonts w:hint="default"/>
                <w:color w:val="auto"/>
                <w:lang w:val="en-US"/>
              </w:rPr>
              <w:t>合理性</w:t>
            </w:r>
            <w:r>
              <w:rPr>
                <w:rFonts w:hint="eastAsia"/>
                <w:color w:val="auto"/>
                <w:lang w:val="en-US" w:eastAsia="zh-CN"/>
              </w:rPr>
              <w:t>和及时性</w:t>
            </w:r>
            <w:r>
              <w:rPr>
                <w:rFonts w:hint="default"/>
                <w:color w:val="auto"/>
                <w:lang w:val="en-US"/>
              </w:rPr>
              <w:t>进行评</w:t>
            </w:r>
            <w:r>
              <w:rPr>
                <w:rFonts w:hint="eastAsia"/>
                <w:color w:val="auto"/>
                <w:lang w:val="en-US" w:eastAsia="zh-CN"/>
              </w:rPr>
              <w:t>审</w:t>
            </w:r>
            <w:r>
              <w:rPr>
                <w:rFonts w:hint="eastAsia"/>
                <w:color w:val="auto"/>
              </w:rPr>
              <w:t>，</w:t>
            </w:r>
            <w:r>
              <w:rPr>
                <w:rFonts w:hint="eastAsia"/>
                <w:color w:val="auto"/>
                <w:lang w:val="en-US" w:eastAsia="zh-CN"/>
              </w:rPr>
              <w:t>评分范围：6、5、4、3、2、1、0</w:t>
            </w:r>
            <w:r>
              <w:rPr>
                <w:rFonts w:hint="eastAsia"/>
                <w:color w:val="auto"/>
              </w:rPr>
              <w:t>。</w:t>
            </w:r>
          </w:p>
        </w:tc>
        <w:tc>
          <w:tcPr>
            <w:tcW w:w="664" w:type="dxa"/>
            <w:shd w:val="clear" w:color="auto" w:fill="FFFFFF"/>
            <w:noWrap w:val="0"/>
            <w:vAlign w:val="center"/>
          </w:tcPr>
          <w:p w14:paraId="72D9BAF9">
            <w:pPr>
              <w:bidi w:val="0"/>
              <w:jc w:val="center"/>
              <w:rPr>
                <w:rFonts w:hint="eastAsia"/>
                <w:color w:val="auto"/>
                <w:lang w:val="en-US" w:eastAsia="zh-CN"/>
              </w:rPr>
            </w:pPr>
            <w:r>
              <w:rPr>
                <w:rFonts w:hint="eastAsia"/>
                <w:color w:val="auto"/>
                <w:lang w:val="en-US" w:eastAsia="zh-CN"/>
              </w:rPr>
              <w:t>主</w:t>
            </w:r>
          </w:p>
        </w:tc>
        <w:tc>
          <w:tcPr>
            <w:tcW w:w="664" w:type="dxa"/>
            <w:shd w:val="clear" w:color="auto" w:fill="FFFFFF"/>
            <w:noWrap w:val="0"/>
            <w:vAlign w:val="center"/>
          </w:tcPr>
          <w:p w14:paraId="0F33589F">
            <w:pPr>
              <w:bidi w:val="0"/>
              <w:jc w:val="center"/>
              <w:rPr>
                <w:rFonts w:hint="default"/>
                <w:color w:val="auto"/>
                <w:lang w:val="en-US" w:eastAsia="zh-CN"/>
              </w:rPr>
            </w:pPr>
            <w:r>
              <w:rPr>
                <w:rFonts w:hint="eastAsia"/>
                <w:color w:val="auto"/>
                <w:lang w:val="en-US" w:eastAsia="zh-CN"/>
              </w:rPr>
              <w:t>6</w:t>
            </w:r>
          </w:p>
        </w:tc>
      </w:tr>
      <w:tr w14:paraId="75BE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731" w:type="dxa"/>
            <w:vMerge w:val="continue"/>
            <w:shd w:val="clear" w:color="auto" w:fill="FFFFFF"/>
            <w:noWrap w:val="0"/>
            <w:vAlign w:val="center"/>
          </w:tcPr>
          <w:p w14:paraId="35AF5A79">
            <w:pPr>
              <w:bidi w:val="0"/>
              <w:jc w:val="center"/>
              <w:rPr>
                <w:rFonts w:hint="eastAsia"/>
                <w:color w:val="auto"/>
              </w:rPr>
            </w:pPr>
          </w:p>
        </w:tc>
        <w:tc>
          <w:tcPr>
            <w:tcW w:w="611" w:type="dxa"/>
            <w:shd w:val="clear" w:color="auto" w:fill="FFFFFF"/>
            <w:noWrap w:val="0"/>
            <w:vAlign w:val="center"/>
          </w:tcPr>
          <w:p w14:paraId="43EC90C7">
            <w:pPr>
              <w:bidi w:val="0"/>
              <w:jc w:val="center"/>
              <w:rPr>
                <w:rFonts w:hint="default"/>
                <w:color w:val="auto"/>
                <w:lang w:val="en-US" w:eastAsia="zh-CN"/>
              </w:rPr>
            </w:pPr>
            <w:r>
              <w:rPr>
                <w:rFonts w:hint="eastAsia"/>
                <w:color w:val="auto"/>
                <w:lang w:val="en-US" w:eastAsia="zh-CN"/>
              </w:rPr>
              <w:t>9.1</w:t>
            </w:r>
          </w:p>
        </w:tc>
        <w:tc>
          <w:tcPr>
            <w:tcW w:w="1734" w:type="dxa"/>
            <w:vMerge w:val="restart"/>
            <w:shd w:val="clear" w:color="auto" w:fill="FFFFFF"/>
            <w:noWrap w:val="0"/>
            <w:vAlign w:val="center"/>
          </w:tcPr>
          <w:p w14:paraId="3BA2A28F">
            <w:pPr>
              <w:bidi w:val="0"/>
              <w:jc w:val="center"/>
              <w:rPr>
                <w:rFonts w:hint="eastAsia"/>
                <w:color w:val="auto"/>
              </w:rPr>
            </w:pPr>
            <w:r>
              <w:rPr>
                <w:rFonts w:hint="eastAsia"/>
                <w:color w:val="auto"/>
              </w:rPr>
              <w:t>项目</w:t>
            </w:r>
            <w:r>
              <w:rPr>
                <w:rFonts w:hint="eastAsia"/>
                <w:color w:val="auto"/>
                <w:lang w:val="en-US" w:eastAsia="zh-CN"/>
              </w:rPr>
              <w:t>团队</w:t>
            </w:r>
          </w:p>
        </w:tc>
        <w:tc>
          <w:tcPr>
            <w:tcW w:w="5278" w:type="dxa"/>
            <w:shd w:val="clear" w:color="auto" w:fill="FFFFFF"/>
            <w:noWrap w:val="0"/>
            <w:vAlign w:val="center"/>
          </w:tcPr>
          <w:p w14:paraId="18C6E98B">
            <w:pPr>
              <w:numPr>
                <w:ilvl w:val="0"/>
                <w:numId w:val="0"/>
              </w:numPr>
              <w:bidi w:val="0"/>
              <w:rPr>
                <w:rFonts w:hint="default"/>
                <w:color w:val="auto"/>
                <w:lang w:val="en-US" w:eastAsia="zh-CN"/>
              </w:rPr>
            </w:pPr>
            <w:r>
              <w:rPr>
                <w:rFonts w:hint="default"/>
                <w:color w:val="auto"/>
                <w:lang w:val="en-US" w:eastAsia="zh-CN"/>
              </w:rPr>
              <w:t>项目负责人具有海洋工程专业高级工程师及以上职称的得3分，中级工程师职称的得2分，助理工程师职称的得1分，其他不得分。</w:t>
            </w:r>
          </w:p>
          <w:p w14:paraId="2D6F5548">
            <w:pPr>
              <w:numPr>
                <w:ilvl w:val="0"/>
                <w:numId w:val="0"/>
              </w:numPr>
              <w:bidi w:val="0"/>
              <w:ind w:left="0" w:leftChars="0" w:firstLine="0" w:firstLineChars="0"/>
              <w:rPr>
                <w:rFonts w:hint="eastAsia"/>
                <w:color w:val="auto"/>
                <w:lang w:val="en-US" w:eastAsia="zh-CN"/>
              </w:rPr>
            </w:pPr>
            <w:r>
              <w:rPr>
                <w:rFonts w:hint="eastAsia"/>
                <w:b/>
                <w:bCs/>
                <w:color w:val="auto"/>
                <w:lang w:val="en-US" w:eastAsia="zh-CN"/>
              </w:rPr>
              <w:t>需同时</w:t>
            </w:r>
            <w:r>
              <w:rPr>
                <w:rFonts w:hint="default"/>
                <w:b/>
                <w:bCs/>
                <w:color w:val="auto"/>
                <w:lang w:val="en-US" w:eastAsia="zh-CN"/>
              </w:rPr>
              <w:t>提供</w:t>
            </w:r>
            <w:r>
              <w:rPr>
                <w:rFonts w:hint="eastAsia"/>
                <w:b/>
                <w:bCs/>
                <w:color w:val="auto"/>
                <w:lang w:val="en-US" w:eastAsia="zh-CN"/>
              </w:rPr>
              <w:t>职称证明</w:t>
            </w:r>
            <w:r>
              <w:rPr>
                <w:rFonts w:hint="eastAsia" w:ascii="宋体" w:hAnsi="宋体" w:eastAsia="宋体" w:cs="宋体"/>
                <w:b/>
                <w:bCs/>
                <w:color w:val="auto"/>
                <w:szCs w:val="21"/>
              </w:rPr>
              <w:t>扫描件</w:t>
            </w:r>
            <w:r>
              <w:rPr>
                <w:rFonts w:hint="eastAsia"/>
                <w:b/>
                <w:bCs/>
                <w:color w:val="auto"/>
                <w:lang w:val="en-US" w:eastAsia="zh-CN"/>
              </w:rPr>
              <w:t>和在职社保证明（必须包含养老）</w:t>
            </w:r>
            <w:r>
              <w:rPr>
                <w:rFonts w:hint="default"/>
                <w:b/>
                <w:bCs/>
                <w:color w:val="auto"/>
                <w:lang w:val="en-US" w:eastAsia="zh-CN"/>
              </w:rPr>
              <w:t>，未</w:t>
            </w:r>
            <w:r>
              <w:rPr>
                <w:rFonts w:hint="eastAsia"/>
                <w:b/>
                <w:bCs/>
                <w:color w:val="auto"/>
                <w:lang w:val="en-US" w:eastAsia="zh-CN"/>
              </w:rPr>
              <w:t>按要求</w:t>
            </w:r>
            <w:r>
              <w:rPr>
                <w:rFonts w:hint="default"/>
                <w:b/>
                <w:bCs/>
                <w:color w:val="auto"/>
                <w:lang w:val="en-US" w:eastAsia="zh-CN"/>
              </w:rPr>
              <w:t>提供</w:t>
            </w:r>
            <w:r>
              <w:rPr>
                <w:rFonts w:hint="eastAsia"/>
                <w:b/>
                <w:bCs/>
                <w:color w:val="auto"/>
                <w:lang w:val="en-US" w:eastAsia="zh-CN"/>
              </w:rPr>
              <w:t>的</w:t>
            </w:r>
            <w:r>
              <w:rPr>
                <w:rFonts w:hint="default"/>
                <w:b/>
                <w:bCs/>
                <w:color w:val="auto"/>
                <w:lang w:val="en-US" w:eastAsia="zh-CN"/>
              </w:rPr>
              <w:t>不</w:t>
            </w:r>
            <w:r>
              <w:rPr>
                <w:rFonts w:hint="eastAsia"/>
                <w:b/>
                <w:bCs/>
                <w:color w:val="auto"/>
                <w:lang w:val="en-US" w:eastAsia="zh-CN"/>
              </w:rPr>
              <w:t>计入评审。</w:t>
            </w:r>
          </w:p>
        </w:tc>
        <w:tc>
          <w:tcPr>
            <w:tcW w:w="664" w:type="dxa"/>
            <w:shd w:val="clear" w:color="auto" w:fill="FFFFFF"/>
            <w:noWrap w:val="0"/>
            <w:vAlign w:val="center"/>
          </w:tcPr>
          <w:p w14:paraId="34CF846C">
            <w:pPr>
              <w:bidi w:val="0"/>
              <w:jc w:val="center"/>
              <w:rPr>
                <w:rFonts w:hint="default"/>
                <w:color w:val="auto"/>
                <w:lang w:val="en-US" w:eastAsia="zh-CN"/>
              </w:rPr>
            </w:pPr>
            <w:r>
              <w:rPr>
                <w:rFonts w:hint="eastAsia"/>
                <w:color w:val="auto"/>
                <w:lang w:val="en-US" w:eastAsia="zh-CN"/>
              </w:rPr>
              <w:t>客</w:t>
            </w:r>
          </w:p>
        </w:tc>
        <w:tc>
          <w:tcPr>
            <w:tcW w:w="664" w:type="dxa"/>
            <w:shd w:val="clear" w:color="auto" w:fill="FFFFFF"/>
            <w:noWrap w:val="0"/>
            <w:vAlign w:val="center"/>
          </w:tcPr>
          <w:p w14:paraId="71E9AD55">
            <w:pPr>
              <w:bidi w:val="0"/>
              <w:jc w:val="center"/>
              <w:rPr>
                <w:rFonts w:hint="eastAsia"/>
                <w:color w:val="auto"/>
                <w:lang w:val="en-US" w:eastAsia="zh-CN"/>
              </w:rPr>
            </w:pPr>
            <w:r>
              <w:rPr>
                <w:rFonts w:hint="eastAsia"/>
                <w:color w:val="auto"/>
                <w:lang w:val="en-US" w:eastAsia="zh-CN"/>
              </w:rPr>
              <w:t>3</w:t>
            </w:r>
          </w:p>
        </w:tc>
      </w:tr>
      <w:tr w14:paraId="6551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731" w:type="dxa"/>
            <w:vMerge w:val="continue"/>
            <w:shd w:val="clear" w:color="auto" w:fill="FFFFFF"/>
            <w:noWrap w:val="0"/>
            <w:vAlign w:val="center"/>
          </w:tcPr>
          <w:p w14:paraId="7436ECE9">
            <w:pPr>
              <w:bidi w:val="0"/>
              <w:jc w:val="center"/>
              <w:rPr>
                <w:rFonts w:hint="eastAsia"/>
                <w:color w:val="auto"/>
              </w:rPr>
            </w:pPr>
          </w:p>
        </w:tc>
        <w:tc>
          <w:tcPr>
            <w:tcW w:w="611" w:type="dxa"/>
            <w:shd w:val="clear" w:color="auto" w:fill="FFFFFF"/>
            <w:noWrap w:val="0"/>
            <w:vAlign w:val="center"/>
          </w:tcPr>
          <w:p w14:paraId="22A49E88">
            <w:pPr>
              <w:bidi w:val="0"/>
              <w:jc w:val="center"/>
              <w:rPr>
                <w:rFonts w:hint="default"/>
                <w:color w:val="auto"/>
                <w:lang w:val="en-US" w:eastAsia="zh-CN"/>
              </w:rPr>
            </w:pPr>
            <w:r>
              <w:rPr>
                <w:rFonts w:hint="eastAsia"/>
                <w:color w:val="auto"/>
                <w:lang w:val="en-US" w:eastAsia="zh-CN"/>
              </w:rPr>
              <w:t>9.2</w:t>
            </w:r>
          </w:p>
        </w:tc>
        <w:tc>
          <w:tcPr>
            <w:tcW w:w="1734" w:type="dxa"/>
            <w:vMerge w:val="continue"/>
            <w:shd w:val="clear" w:color="auto" w:fill="FFFFFF"/>
            <w:noWrap w:val="0"/>
            <w:vAlign w:val="center"/>
          </w:tcPr>
          <w:p w14:paraId="0536B842">
            <w:pPr>
              <w:bidi w:val="0"/>
              <w:jc w:val="center"/>
              <w:rPr>
                <w:rFonts w:hint="eastAsia"/>
                <w:color w:val="auto"/>
              </w:rPr>
            </w:pPr>
          </w:p>
        </w:tc>
        <w:tc>
          <w:tcPr>
            <w:tcW w:w="5278" w:type="dxa"/>
            <w:shd w:val="clear" w:color="auto" w:fill="FFFFFF"/>
            <w:noWrap w:val="0"/>
            <w:vAlign w:val="center"/>
          </w:tcPr>
          <w:p w14:paraId="564D19B9">
            <w:pPr>
              <w:numPr>
                <w:ilvl w:val="0"/>
                <w:numId w:val="53"/>
              </w:numPr>
              <w:bidi w:val="0"/>
              <w:ind w:left="425" w:leftChars="0" w:hanging="425" w:firstLineChars="0"/>
              <w:rPr>
                <w:rFonts w:hint="eastAsia"/>
                <w:color w:val="auto"/>
                <w:highlight w:val="none"/>
                <w:lang w:val="en-US" w:eastAsia="zh-CN"/>
              </w:rPr>
            </w:pPr>
            <w:r>
              <w:rPr>
                <w:rFonts w:hint="eastAsia"/>
                <w:color w:val="auto"/>
                <w:highlight w:val="none"/>
                <w:lang w:val="en-US" w:eastAsia="zh-CN"/>
              </w:rPr>
              <w:t>项目成员</w:t>
            </w:r>
            <w:r>
              <w:rPr>
                <w:rFonts w:hint="default"/>
                <w:color w:val="auto"/>
                <w:highlight w:val="none"/>
                <w:lang w:val="en-US" w:eastAsia="zh-CN"/>
              </w:rPr>
              <w:t>具有</w:t>
            </w:r>
            <w:r>
              <w:rPr>
                <w:rFonts w:hint="eastAsia"/>
                <w:color w:val="auto"/>
                <w:highlight w:val="none"/>
                <w:lang w:val="en-US" w:eastAsia="zh-CN"/>
              </w:rPr>
              <w:t>海洋相关</w:t>
            </w:r>
            <w:r>
              <w:rPr>
                <w:rFonts w:hint="default"/>
                <w:color w:val="auto"/>
                <w:highlight w:val="none"/>
                <w:lang w:val="en-US" w:eastAsia="zh-CN"/>
              </w:rPr>
              <w:t>专业</w:t>
            </w:r>
            <w:r>
              <w:rPr>
                <w:rFonts w:hint="eastAsia"/>
                <w:color w:val="auto"/>
                <w:highlight w:val="none"/>
                <w:lang w:val="en-US" w:eastAsia="zh-CN"/>
              </w:rPr>
              <w:t>（包含但不限于</w:t>
            </w:r>
            <w:r>
              <w:rPr>
                <w:rFonts w:hint="eastAsia"/>
                <w:color w:val="auto"/>
                <w:highlight w:val="none"/>
              </w:rPr>
              <w:t>《海洋管理》、《海洋技术》、《港口、海岸及近海工程》、《环境科学》</w:t>
            </w:r>
            <w:r>
              <w:rPr>
                <w:rFonts w:hint="eastAsia"/>
                <w:color w:val="auto"/>
                <w:highlight w:val="none"/>
                <w:lang w:val="en-US" w:eastAsia="zh-CN"/>
              </w:rPr>
              <w:t>）本科及以上</w:t>
            </w:r>
            <w:r>
              <w:rPr>
                <w:rFonts w:hint="default"/>
                <w:color w:val="auto"/>
                <w:highlight w:val="none"/>
                <w:lang w:val="en-US" w:eastAsia="zh-CN"/>
              </w:rPr>
              <w:t>学历</w:t>
            </w:r>
            <w:r>
              <w:rPr>
                <w:rFonts w:hint="eastAsia"/>
                <w:color w:val="auto"/>
                <w:highlight w:val="none"/>
                <w:lang w:val="en-US" w:eastAsia="zh-CN"/>
              </w:rPr>
              <w:t>，得1分/人，最高得7分。</w:t>
            </w:r>
          </w:p>
          <w:p w14:paraId="2EAD9E3E">
            <w:pPr>
              <w:bidi w:val="0"/>
              <w:rPr>
                <w:rFonts w:hint="default"/>
                <w:color w:val="auto"/>
                <w:highlight w:val="none"/>
                <w:lang w:val="en-US" w:eastAsia="zh-CN"/>
              </w:rPr>
            </w:pPr>
            <w:r>
              <w:rPr>
                <w:rFonts w:hint="default"/>
                <w:color w:val="auto"/>
                <w:highlight w:val="none"/>
                <w:lang w:val="en-US" w:eastAsia="zh-CN"/>
              </w:rPr>
              <w:t>同一人员</w:t>
            </w:r>
            <w:r>
              <w:rPr>
                <w:rFonts w:hint="eastAsia"/>
                <w:color w:val="auto"/>
                <w:highlight w:val="none"/>
                <w:lang w:val="en-US" w:eastAsia="zh-CN"/>
              </w:rPr>
              <w:t>按最高学历计，不同专业不重复计分</w:t>
            </w:r>
            <w:r>
              <w:rPr>
                <w:rFonts w:hint="default"/>
                <w:color w:val="auto"/>
                <w:highlight w:val="none"/>
                <w:lang w:val="en-US" w:eastAsia="zh-CN"/>
              </w:rPr>
              <w:t>。</w:t>
            </w:r>
          </w:p>
          <w:p w14:paraId="021618E3">
            <w:pPr>
              <w:numPr>
                <w:ilvl w:val="0"/>
                <w:numId w:val="53"/>
              </w:numPr>
              <w:bidi w:val="0"/>
              <w:ind w:left="425" w:leftChars="0" w:hanging="425" w:firstLineChars="0"/>
              <w:rPr>
                <w:rFonts w:hint="default"/>
                <w:color w:val="auto"/>
                <w:highlight w:val="none"/>
                <w:lang w:val="en-US" w:eastAsia="zh-CN"/>
              </w:rPr>
            </w:pPr>
            <w:r>
              <w:rPr>
                <w:rFonts w:hint="eastAsia"/>
                <w:color w:val="auto"/>
                <w:highlight w:val="none"/>
                <w:lang w:val="en-US" w:eastAsia="zh-CN"/>
              </w:rPr>
              <w:t>项目成员（项目负责人除外）</w:t>
            </w:r>
            <w:r>
              <w:rPr>
                <w:rFonts w:hint="default"/>
                <w:color w:val="auto"/>
                <w:highlight w:val="none"/>
                <w:lang w:val="en-US" w:eastAsia="zh-CN"/>
              </w:rPr>
              <w:t>具有海洋工程专业高级工程师及以上职称的得3分</w:t>
            </w:r>
            <w:r>
              <w:rPr>
                <w:rFonts w:hint="eastAsia"/>
                <w:color w:val="auto"/>
                <w:highlight w:val="none"/>
                <w:lang w:val="en-US" w:eastAsia="zh-CN"/>
              </w:rPr>
              <w:t>/人</w:t>
            </w:r>
            <w:r>
              <w:rPr>
                <w:rFonts w:hint="default"/>
                <w:color w:val="auto"/>
                <w:highlight w:val="none"/>
                <w:lang w:val="en-US" w:eastAsia="zh-CN"/>
              </w:rPr>
              <w:t>，中级工程师职称的得2分</w:t>
            </w:r>
            <w:r>
              <w:rPr>
                <w:rFonts w:hint="eastAsia"/>
                <w:color w:val="auto"/>
                <w:highlight w:val="none"/>
                <w:lang w:val="en-US" w:eastAsia="zh-CN"/>
              </w:rPr>
              <w:t>/人</w:t>
            </w:r>
            <w:r>
              <w:rPr>
                <w:rFonts w:hint="default"/>
                <w:color w:val="auto"/>
                <w:highlight w:val="none"/>
                <w:lang w:val="en-US" w:eastAsia="zh-CN"/>
              </w:rPr>
              <w:t>，助理工程师职称的得1分</w:t>
            </w:r>
            <w:r>
              <w:rPr>
                <w:rFonts w:hint="eastAsia"/>
                <w:color w:val="auto"/>
                <w:highlight w:val="none"/>
                <w:lang w:val="en-US" w:eastAsia="zh-CN"/>
              </w:rPr>
              <w:t>/人</w:t>
            </w:r>
            <w:r>
              <w:rPr>
                <w:rFonts w:hint="default"/>
                <w:color w:val="auto"/>
                <w:highlight w:val="none"/>
                <w:lang w:val="en-US" w:eastAsia="zh-CN"/>
              </w:rPr>
              <w:t>，其他不得分</w:t>
            </w:r>
            <w:r>
              <w:rPr>
                <w:rFonts w:hint="eastAsia"/>
                <w:color w:val="auto"/>
                <w:highlight w:val="none"/>
                <w:lang w:val="en-US" w:eastAsia="zh-CN"/>
              </w:rPr>
              <w:t>，最高得8分</w:t>
            </w:r>
            <w:r>
              <w:rPr>
                <w:rFonts w:hint="default"/>
                <w:color w:val="auto"/>
                <w:highlight w:val="none"/>
                <w:lang w:val="en-US" w:eastAsia="zh-CN"/>
              </w:rPr>
              <w:t>。</w:t>
            </w:r>
          </w:p>
          <w:p w14:paraId="48DB18F8">
            <w:pPr>
              <w:bidi w:val="0"/>
              <w:rPr>
                <w:rFonts w:hint="eastAsia"/>
                <w:color w:val="auto"/>
                <w:highlight w:val="none"/>
                <w:lang w:val="en-US" w:eastAsia="zh-CN"/>
              </w:rPr>
            </w:pPr>
            <w:r>
              <w:rPr>
                <w:rFonts w:hint="eastAsia"/>
                <w:b/>
                <w:bCs/>
                <w:color w:val="auto"/>
                <w:highlight w:val="none"/>
                <w:lang w:val="en-US" w:eastAsia="zh-CN"/>
              </w:rPr>
              <w:t>需</w:t>
            </w:r>
            <w:r>
              <w:rPr>
                <w:rFonts w:hint="default"/>
                <w:b/>
                <w:bCs/>
                <w:color w:val="auto"/>
                <w:highlight w:val="none"/>
                <w:lang w:val="en-US" w:eastAsia="zh-CN"/>
              </w:rPr>
              <w:t>提供有效的学历证明</w:t>
            </w:r>
            <w:r>
              <w:rPr>
                <w:rFonts w:hint="eastAsia"/>
                <w:b/>
                <w:bCs/>
                <w:color w:val="auto"/>
                <w:highlight w:val="none"/>
                <w:lang w:val="en-US" w:eastAsia="zh-CN"/>
              </w:rPr>
              <w:t>、职称证明</w:t>
            </w:r>
            <w:r>
              <w:rPr>
                <w:rFonts w:hint="eastAsia" w:ascii="宋体" w:hAnsi="宋体" w:eastAsia="宋体" w:cs="宋体"/>
                <w:b/>
                <w:bCs/>
                <w:color w:val="auto"/>
                <w:szCs w:val="21"/>
                <w:highlight w:val="none"/>
              </w:rPr>
              <w:t>扫描件</w:t>
            </w:r>
            <w:r>
              <w:rPr>
                <w:rFonts w:hint="eastAsia"/>
                <w:b/>
                <w:bCs/>
                <w:color w:val="auto"/>
                <w:highlight w:val="none"/>
                <w:lang w:val="en-US" w:eastAsia="zh-CN"/>
              </w:rPr>
              <w:t>，以及在职社保证明（必须包含养老）</w:t>
            </w:r>
            <w:r>
              <w:rPr>
                <w:rFonts w:hint="default"/>
                <w:b/>
                <w:bCs/>
                <w:color w:val="auto"/>
                <w:highlight w:val="none"/>
                <w:lang w:val="en-US" w:eastAsia="zh-CN"/>
              </w:rPr>
              <w:t>，未</w:t>
            </w:r>
            <w:r>
              <w:rPr>
                <w:rFonts w:hint="eastAsia"/>
                <w:b/>
                <w:bCs/>
                <w:color w:val="auto"/>
                <w:highlight w:val="none"/>
                <w:lang w:val="en-US" w:eastAsia="zh-CN"/>
              </w:rPr>
              <w:t>按要求</w:t>
            </w:r>
            <w:r>
              <w:rPr>
                <w:rFonts w:hint="default"/>
                <w:b/>
                <w:bCs/>
                <w:color w:val="auto"/>
                <w:highlight w:val="none"/>
                <w:lang w:val="en-US" w:eastAsia="zh-CN"/>
              </w:rPr>
              <w:t>提供</w:t>
            </w:r>
            <w:r>
              <w:rPr>
                <w:rFonts w:hint="eastAsia"/>
                <w:b/>
                <w:bCs/>
                <w:color w:val="auto"/>
                <w:highlight w:val="none"/>
                <w:lang w:val="en-US" w:eastAsia="zh-CN"/>
              </w:rPr>
              <w:t>的</w:t>
            </w:r>
            <w:r>
              <w:rPr>
                <w:rFonts w:hint="default"/>
                <w:b/>
                <w:bCs/>
                <w:color w:val="auto"/>
                <w:highlight w:val="none"/>
                <w:lang w:val="en-US" w:eastAsia="zh-CN"/>
              </w:rPr>
              <w:t>不</w:t>
            </w:r>
            <w:r>
              <w:rPr>
                <w:rFonts w:hint="eastAsia"/>
                <w:b/>
                <w:bCs/>
                <w:color w:val="auto"/>
                <w:highlight w:val="none"/>
                <w:lang w:val="en-US" w:eastAsia="zh-CN"/>
              </w:rPr>
              <w:t>计入评审。</w:t>
            </w:r>
          </w:p>
        </w:tc>
        <w:tc>
          <w:tcPr>
            <w:tcW w:w="664" w:type="dxa"/>
            <w:shd w:val="clear" w:color="auto" w:fill="FFFFFF"/>
            <w:noWrap w:val="0"/>
            <w:vAlign w:val="center"/>
          </w:tcPr>
          <w:p w14:paraId="4C093ACE">
            <w:pPr>
              <w:bidi w:val="0"/>
              <w:jc w:val="center"/>
              <w:rPr>
                <w:rFonts w:hint="eastAsia"/>
                <w:color w:val="auto"/>
                <w:lang w:val="en-US" w:eastAsia="zh-CN"/>
              </w:rPr>
            </w:pPr>
            <w:r>
              <w:rPr>
                <w:rFonts w:hint="eastAsia"/>
                <w:color w:val="auto"/>
                <w:lang w:val="en-US" w:eastAsia="zh-CN"/>
              </w:rPr>
              <w:t>客</w:t>
            </w:r>
          </w:p>
        </w:tc>
        <w:tc>
          <w:tcPr>
            <w:tcW w:w="664" w:type="dxa"/>
            <w:shd w:val="clear" w:color="auto" w:fill="FFFFFF"/>
            <w:noWrap w:val="0"/>
            <w:vAlign w:val="center"/>
          </w:tcPr>
          <w:p w14:paraId="523D6D7B">
            <w:pPr>
              <w:bidi w:val="0"/>
              <w:jc w:val="center"/>
              <w:rPr>
                <w:rFonts w:hint="default"/>
                <w:color w:val="auto"/>
                <w:lang w:val="en-US" w:eastAsia="zh-CN"/>
              </w:rPr>
            </w:pPr>
            <w:r>
              <w:rPr>
                <w:rFonts w:hint="eastAsia"/>
                <w:color w:val="auto"/>
                <w:lang w:val="en-US" w:eastAsia="zh-CN"/>
              </w:rPr>
              <w:t>15</w:t>
            </w:r>
          </w:p>
        </w:tc>
      </w:tr>
      <w:tr w14:paraId="057B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1" w:type="dxa"/>
            <w:vMerge w:val="restart"/>
            <w:shd w:val="clear" w:color="auto" w:fill="FFFFFF"/>
            <w:noWrap w:val="0"/>
            <w:vAlign w:val="center"/>
          </w:tcPr>
          <w:p w14:paraId="3E50B40E">
            <w:pPr>
              <w:bidi w:val="0"/>
              <w:jc w:val="center"/>
              <w:rPr>
                <w:rFonts w:hint="eastAsia"/>
                <w:color w:val="auto"/>
              </w:rPr>
            </w:pPr>
            <w:r>
              <w:rPr>
                <w:rFonts w:hint="eastAsia"/>
                <w:color w:val="auto"/>
              </w:rPr>
              <w:t>商务部分</w:t>
            </w:r>
          </w:p>
        </w:tc>
        <w:tc>
          <w:tcPr>
            <w:tcW w:w="611" w:type="dxa"/>
            <w:shd w:val="clear" w:color="auto" w:fill="FFFFFF"/>
            <w:noWrap w:val="0"/>
            <w:vAlign w:val="center"/>
          </w:tcPr>
          <w:p w14:paraId="1D3E661C">
            <w:pPr>
              <w:bidi w:val="0"/>
              <w:jc w:val="center"/>
              <w:rPr>
                <w:rFonts w:hint="default"/>
                <w:color w:val="auto"/>
                <w:lang w:val="en-US" w:eastAsia="zh-CN"/>
              </w:rPr>
            </w:pPr>
            <w:r>
              <w:rPr>
                <w:rFonts w:hint="eastAsia"/>
                <w:color w:val="auto"/>
                <w:lang w:val="en-US" w:eastAsia="zh-CN"/>
              </w:rPr>
              <w:t>10.1</w:t>
            </w:r>
          </w:p>
        </w:tc>
        <w:tc>
          <w:tcPr>
            <w:tcW w:w="1734" w:type="dxa"/>
            <w:vMerge w:val="restart"/>
            <w:shd w:val="clear" w:color="auto" w:fill="FFFFFF"/>
            <w:noWrap w:val="0"/>
            <w:vAlign w:val="center"/>
          </w:tcPr>
          <w:p w14:paraId="791C9F6E">
            <w:pPr>
              <w:bidi w:val="0"/>
              <w:jc w:val="center"/>
              <w:rPr>
                <w:rFonts w:hint="eastAsia"/>
                <w:color w:val="auto"/>
                <w:lang w:val="en-US" w:eastAsia="zh-CN"/>
              </w:rPr>
            </w:pPr>
            <w:r>
              <w:rPr>
                <w:rFonts w:hint="eastAsia"/>
                <w:color w:val="auto"/>
              </w:rPr>
              <w:t>实力</w:t>
            </w:r>
          </w:p>
        </w:tc>
        <w:tc>
          <w:tcPr>
            <w:tcW w:w="5278" w:type="dxa"/>
            <w:shd w:val="clear" w:color="auto" w:fill="FFFFFF"/>
            <w:noWrap w:val="0"/>
            <w:vAlign w:val="center"/>
          </w:tcPr>
          <w:p w14:paraId="02F42E45">
            <w:pPr>
              <w:numPr>
                <w:ilvl w:val="0"/>
                <w:numId w:val="54"/>
              </w:numPr>
              <w:bidi w:val="0"/>
              <w:ind w:left="425" w:leftChars="0" w:hanging="425" w:firstLineChars="0"/>
              <w:rPr>
                <w:rFonts w:hint="default"/>
                <w:color w:val="auto"/>
                <w:lang w:val="en-US" w:eastAsia="zh-CN"/>
              </w:rPr>
            </w:pPr>
            <w:r>
              <w:rPr>
                <w:rFonts w:hint="default"/>
                <w:color w:val="auto"/>
                <w:lang w:val="en-US" w:eastAsia="zh-CN"/>
              </w:rPr>
              <w:t>投标人</w:t>
            </w:r>
            <w:r>
              <w:rPr>
                <w:rFonts w:hint="eastAsia"/>
                <w:color w:val="auto"/>
                <w:lang w:val="en-US" w:eastAsia="zh-CN"/>
              </w:rPr>
              <w:t>具有检验检测机构资质认定证书(CMA)(认证范围包含</w:t>
            </w:r>
            <w:r>
              <w:rPr>
                <w:rFonts w:hint="default"/>
                <w:color w:val="auto"/>
                <w:lang w:val="en-US" w:eastAsia="zh-CN"/>
              </w:rPr>
              <w:t>海洋监测相关</w:t>
            </w:r>
            <w:r>
              <w:rPr>
                <w:rFonts w:hint="eastAsia"/>
                <w:color w:val="auto"/>
                <w:lang w:val="en-US" w:eastAsia="zh-CN"/>
              </w:rPr>
              <w:t>内容)，</w:t>
            </w:r>
            <w:r>
              <w:rPr>
                <w:rFonts w:hint="default"/>
                <w:color w:val="auto"/>
                <w:lang w:val="en-US" w:eastAsia="zh-CN"/>
              </w:rPr>
              <w:t>得4分</w:t>
            </w:r>
            <w:r>
              <w:rPr>
                <w:rFonts w:hint="eastAsia"/>
                <w:color w:val="auto"/>
                <w:lang w:val="en-US" w:eastAsia="zh-CN"/>
              </w:rPr>
              <w:t>；</w:t>
            </w:r>
          </w:p>
          <w:p w14:paraId="245ECB4B">
            <w:pPr>
              <w:numPr>
                <w:ilvl w:val="0"/>
                <w:numId w:val="54"/>
              </w:numPr>
              <w:bidi w:val="0"/>
              <w:ind w:left="425" w:leftChars="0" w:hanging="425" w:firstLineChars="0"/>
              <w:rPr>
                <w:rFonts w:hint="default"/>
                <w:color w:val="auto"/>
                <w:lang w:val="en-US" w:eastAsia="zh-CN"/>
              </w:rPr>
            </w:pPr>
            <w:r>
              <w:rPr>
                <w:rFonts w:hint="default"/>
                <w:color w:val="auto"/>
                <w:lang w:val="en-US" w:eastAsia="zh-CN"/>
              </w:rPr>
              <w:t>有效期内的检验检测机构资质认定证书的</w:t>
            </w:r>
            <w:r>
              <w:rPr>
                <w:rFonts w:hint="default" w:ascii="Times New Roman" w:hAnsi="Times New Roman" w:eastAsia="宋体" w:cs="Times New Roman"/>
                <w:color w:val="auto"/>
                <w:lang w:val="en-US" w:eastAsia="zh-CN"/>
              </w:rPr>
              <w:t>范围：</w:t>
            </w:r>
            <w:r>
              <w:rPr>
                <w:rFonts w:hint="eastAsia" w:ascii="Times New Roman" w:hAnsi="Times New Roman" w:eastAsia="宋体" w:cs="Times New Roman"/>
                <w:color w:val="auto"/>
                <w:lang w:val="en-US" w:eastAsia="zh-CN"/>
              </w:rPr>
              <w:t>海洋水文、海洋气象监测类别，具备全部指标的得4分，具备其中1项的得2分，其他不得分</w:t>
            </w:r>
            <w:r>
              <w:rPr>
                <w:rFonts w:hint="default" w:ascii="Times New Roman" w:hAnsi="Times New Roman" w:eastAsia="宋体" w:cs="Times New Roman"/>
                <w:color w:val="auto"/>
                <w:lang w:val="en-US" w:eastAsia="zh-CN"/>
              </w:rPr>
              <w:t>。</w:t>
            </w:r>
          </w:p>
          <w:p w14:paraId="5879794A">
            <w:pPr>
              <w:bidi w:val="0"/>
              <w:rPr>
                <w:rFonts w:hint="eastAsia"/>
                <w:color w:val="auto"/>
                <w:lang w:val="en-US" w:eastAsia="zh-CN"/>
              </w:rPr>
            </w:pPr>
            <w:r>
              <w:rPr>
                <w:rFonts w:hint="eastAsia"/>
                <w:b/>
                <w:bCs/>
                <w:color w:val="auto"/>
                <w:lang w:val="en-US" w:eastAsia="zh-CN"/>
              </w:rPr>
              <w:t>需提供证书和认证范围页</w:t>
            </w:r>
            <w:r>
              <w:rPr>
                <w:rFonts w:hint="eastAsia" w:ascii="宋体" w:hAnsi="宋体" w:eastAsia="宋体" w:cs="宋体"/>
                <w:b/>
                <w:bCs/>
                <w:color w:val="auto"/>
                <w:szCs w:val="21"/>
              </w:rPr>
              <w:t>扫描件</w:t>
            </w:r>
            <w:r>
              <w:rPr>
                <w:rFonts w:hint="eastAsia"/>
                <w:b/>
                <w:bCs/>
                <w:color w:val="auto"/>
                <w:lang w:val="en-US" w:eastAsia="zh-CN"/>
              </w:rPr>
              <w:t>。</w:t>
            </w:r>
          </w:p>
        </w:tc>
        <w:tc>
          <w:tcPr>
            <w:tcW w:w="664" w:type="dxa"/>
            <w:shd w:val="clear" w:color="auto" w:fill="FFFFFF"/>
            <w:noWrap w:val="0"/>
            <w:vAlign w:val="center"/>
          </w:tcPr>
          <w:p w14:paraId="3A03ED03">
            <w:pPr>
              <w:bidi w:val="0"/>
              <w:jc w:val="center"/>
              <w:rPr>
                <w:rFonts w:hint="default"/>
                <w:color w:val="auto"/>
                <w:lang w:val="en-US"/>
              </w:rPr>
            </w:pPr>
            <w:r>
              <w:rPr>
                <w:rFonts w:hint="eastAsia"/>
                <w:color w:val="auto"/>
                <w:lang w:val="en-US" w:eastAsia="zh-CN"/>
              </w:rPr>
              <w:t>客</w:t>
            </w:r>
          </w:p>
        </w:tc>
        <w:tc>
          <w:tcPr>
            <w:tcW w:w="664" w:type="dxa"/>
            <w:shd w:val="clear" w:color="auto" w:fill="FFFFFF"/>
            <w:noWrap w:val="0"/>
            <w:vAlign w:val="center"/>
          </w:tcPr>
          <w:p w14:paraId="429F2602">
            <w:pPr>
              <w:bidi w:val="0"/>
              <w:jc w:val="center"/>
              <w:rPr>
                <w:rFonts w:hint="eastAsia"/>
                <w:color w:val="auto"/>
                <w:lang w:val="en-US" w:eastAsia="zh-CN"/>
              </w:rPr>
            </w:pPr>
            <w:r>
              <w:rPr>
                <w:rFonts w:hint="default"/>
                <w:color w:val="auto"/>
                <w:lang w:val="en-US"/>
              </w:rPr>
              <w:t>8</w:t>
            </w:r>
          </w:p>
        </w:tc>
      </w:tr>
      <w:tr w14:paraId="7EB7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31" w:type="dxa"/>
            <w:vMerge w:val="continue"/>
            <w:shd w:val="clear" w:color="auto" w:fill="FFFFFF"/>
            <w:noWrap w:val="0"/>
            <w:vAlign w:val="center"/>
          </w:tcPr>
          <w:p w14:paraId="6DD95742">
            <w:pPr>
              <w:bidi w:val="0"/>
              <w:jc w:val="center"/>
              <w:rPr>
                <w:rFonts w:hint="eastAsia"/>
                <w:color w:val="auto"/>
              </w:rPr>
            </w:pPr>
          </w:p>
        </w:tc>
        <w:tc>
          <w:tcPr>
            <w:tcW w:w="611" w:type="dxa"/>
            <w:shd w:val="clear" w:color="auto" w:fill="FFFFFF"/>
            <w:noWrap w:val="0"/>
            <w:vAlign w:val="center"/>
          </w:tcPr>
          <w:p w14:paraId="0B80241F">
            <w:pPr>
              <w:bidi w:val="0"/>
              <w:jc w:val="center"/>
              <w:rPr>
                <w:rFonts w:hint="default"/>
                <w:color w:val="auto"/>
                <w:lang w:val="en-US" w:eastAsia="zh-CN"/>
              </w:rPr>
            </w:pPr>
            <w:r>
              <w:rPr>
                <w:rFonts w:hint="eastAsia"/>
                <w:color w:val="auto"/>
                <w:lang w:val="en-US" w:eastAsia="zh-CN"/>
              </w:rPr>
              <w:t>10.2</w:t>
            </w:r>
          </w:p>
        </w:tc>
        <w:tc>
          <w:tcPr>
            <w:tcW w:w="1734" w:type="dxa"/>
            <w:vMerge w:val="continue"/>
            <w:shd w:val="clear" w:color="auto" w:fill="FFFFFF"/>
            <w:noWrap w:val="0"/>
            <w:vAlign w:val="center"/>
          </w:tcPr>
          <w:p w14:paraId="7A41B8DB">
            <w:pPr>
              <w:bidi w:val="0"/>
              <w:jc w:val="center"/>
              <w:rPr>
                <w:rFonts w:hint="eastAsia"/>
                <w:color w:val="auto"/>
              </w:rPr>
            </w:pPr>
          </w:p>
        </w:tc>
        <w:tc>
          <w:tcPr>
            <w:tcW w:w="5278" w:type="dxa"/>
            <w:shd w:val="clear" w:color="auto" w:fill="FFFFFF"/>
            <w:noWrap w:val="0"/>
            <w:vAlign w:val="center"/>
          </w:tcPr>
          <w:p w14:paraId="19B3E768">
            <w:pPr>
              <w:autoSpaceDE w:val="0"/>
              <w:autoSpaceDN w:val="0"/>
              <w:adjustRightInd w:val="0"/>
              <w:rPr>
                <w:rFonts w:ascii="宋体" w:hAnsi="宋体" w:eastAsia="宋体" w:cs="宋体"/>
                <w:color w:val="auto"/>
                <w:szCs w:val="21"/>
              </w:rPr>
            </w:pPr>
            <w:r>
              <w:rPr>
                <w:rFonts w:hint="eastAsia" w:ascii="宋体" w:hAnsi="宋体" w:eastAsia="宋体" w:cs="宋体"/>
                <w:color w:val="auto"/>
                <w:szCs w:val="21"/>
              </w:rPr>
              <w:t>自2019年1月1日</w:t>
            </w:r>
            <w:r>
              <w:rPr>
                <w:rFonts w:hint="eastAsia" w:ascii="宋体" w:hAnsi="宋体" w:eastAsia="宋体" w:cs="宋体"/>
                <w:b w:val="0"/>
                <w:bCs w:val="0"/>
                <w:color w:val="auto"/>
                <w:szCs w:val="21"/>
                <w:lang w:val="en-US" w:eastAsia="zh-CN"/>
              </w:rPr>
              <w:t>(以</w:t>
            </w:r>
            <w:r>
              <w:rPr>
                <w:rFonts w:hint="eastAsia" w:ascii="宋体" w:hAnsi="宋体" w:eastAsia="宋体" w:cs="宋体"/>
                <w:b w:val="0"/>
                <w:bCs w:val="0"/>
                <w:color w:val="auto"/>
                <w:szCs w:val="21"/>
              </w:rPr>
              <w:t>考核结果证明文件或证书</w:t>
            </w:r>
            <w:r>
              <w:rPr>
                <w:rFonts w:hint="eastAsia" w:ascii="宋体" w:hAnsi="宋体" w:eastAsia="宋体" w:cs="宋体"/>
                <w:b w:val="0"/>
                <w:bCs w:val="0"/>
                <w:color w:val="auto"/>
                <w:szCs w:val="21"/>
                <w:lang w:val="en-US" w:eastAsia="zh-CN"/>
              </w:rPr>
              <w:t>的时间为准)</w:t>
            </w:r>
            <w:r>
              <w:rPr>
                <w:rFonts w:hint="eastAsia" w:ascii="宋体" w:hAnsi="宋体" w:eastAsia="宋体" w:cs="宋体"/>
                <w:color w:val="auto"/>
                <w:szCs w:val="21"/>
              </w:rPr>
              <w:t>以来参加省级及以上海洋监测质量管理部门组织的质量考核结果合格的，每提供一份证明文件或证书得2分，最高得4分。</w:t>
            </w:r>
          </w:p>
          <w:p w14:paraId="106F8B66">
            <w:pPr>
              <w:autoSpaceDE w:val="0"/>
              <w:autoSpaceDN w:val="0"/>
              <w:adjustRightInd w:val="0"/>
              <w:rPr>
                <w:rFonts w:hint="eastAsia" w:eastAsia="宋体"/>
                <w:b/>
                <w:bCs/>
                <w:color w:val="auto"/>
                <w:lang w:val="en-US" w:eastAsia="zh-CN"/>
              </w:rPr>
            </w:pPr>
            <w:r>
              <w:rPr>
                <w:rFonts w:hint="eastAsia" w:ascii="宋体" w:hAnsi="宋体" w:eastAsia="宋体" w:cs="宋体"/>
                <w:b/>
                <w:color w:val="auto"/>
                <w:szCs w:val="21"/>
                <w:lang w:val="en-US" w:eastAsia="zh-CN"/>
              </w:rPr>
              <w:t>需</w:t>
            </w:r>
            <w:r>
              <w:rPr>
                <w:rFonts w:hint="eastAsia" w:ascii="宋体" w:hAnsi="宋体" w:eastAsia="宋体" w:cs="宋体"/>
                <w:b/>
                <w:color w:val="auto"/>
                <w:szCs w:val="21"/>
              </w:rPr>
              <w:t>提供考核结果证明文件或证书</w:t>
            </w:r>
            <w:r>
              <w:rPr>
                <w:rFonts w:hint="eastAsia" w:ascii="宋体" w:hAnsi="宋体" w:eastAsia="宋体" w:cs="宋体"/>
                <w:b/>
                <w:bCs/>
                <w:color w:val="auto"/>
                <w:szCs w:val="21"/>
              </w:rPr>
              <w:t>扫描件</w:t>
            </w:r>
            <w:r>
              <w:rPr>
                <w:rFonts w:hint="eastAsia" w:ascii="宋体" w:hAnsi="宋体" w:eastAsia="宋体" w:cs="宋体"/>
                <w:b/>
                <w:bCs/>
                <w:color w:val="auto"/>
                <w:szCs w:val="21"/>
                <w:lang w:eastAsia="zh-CN"/>
              </w:rPr>
              <w:t>。</w:t>
            </w:r>
          </w:p>
        </w:tc>
        <w:tc>
          <w:tcPr>
            <w:tcW w:w="664" w:type="dxa"/>
            <w:shd w:val="clear" w:color="auto" w:fill="FFFFFF"/>
            <w:noWrap w:val="0"/>
            <w:vAlign w:val="center"/>
          </w:tcPr>
          <w:p w14:paraId="58240970">
            <w:pPr>
              <w:autoSpaceDE w:val="0"/>
              <w:autoSpaceDN w:val="0"/>
              <w:adjustRightInd w:val="0"/>
              <w:jc w:val="center"/>
              <w:rPr>
                <w:rFonts w:hint="eastAsia" w:eastAsia="宋体"/>
                <w:color w:val="auto"/>
                <w:szCs w:val="21"/>
                <w:lang w:val="en-US" w:eastAsia="zh-CN"/>
              </w:rPr>
            </w:pPr>
            <w:r>
              <w:rPr>
                <w:rFonts w:hint="eastAsia"/>
                <w:color w:val="auto"/>
                <w:lang w:val="en-US" w:eastAsia="zh-CN"/>
              </w:rPr>
              <w:t>客</w:t>
            </w:r>
          </w:p>
        </w:tc>
        <w:tc>
          <w:tcPr>
            <w:tcW w:w="664" w:type="dxa"/>
            <w:shd w:val="clear" w:color="auto" w:fill="FFFFFF"/>
            <w:noWrap w:val="0"/>
            <w:vAlign w:val="center"/>
          </w:tcPr>
          <w:p w14:paraId="1845FFE7">
            <w:pPr>
              <w:autoSpaceDE w:val="0"/>
              <w:autoSpaceDN w:val="0"/>
              <w:adjustRightInd w:val="0"/>
              <w:jc w:val="center"/>
              <w:rPr>
                <w:rFonts w:hint="eastAsia" w:eastAsia="宋体"/>
                <w:color w:val="auto"/>
                <w:lang w:val="en-US" w:eastAsia="zh-CN"/>
              </w:rPr>
            </w:pPr>
            <w:r>
              <w:rPr>
                <w:rFonts w:hint="eastAsia" w:eastAsia="宋体"/>
                <w:color w:val="auto"/>
                <w:szCs w:val="21"/>
                <w:lang w:val="en-US" w:eastAsia="zh-CN"/>
              </w:rPr>
              <w:t>4</w:t>
            </w:r>
          </w:p>
        </w:tc>
      </w:tr>
      <w:tr w14:paraId="2113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04" w:hRule="atLeast"/>
          <w:jc w:val="center"/>
        </w:trPr>
        <w:tc>
          <w:tcPr>
            <w:tcW w:w="731" w:type="dxa"/>
            <w:vMerge w:val="continue"/>
            <w:shd w:val="clear" w:color="auto" w:fill="FFFFFF"/>
            <w:noWrap w:val="0"/>
            <w:vAlign w:val="center"/>
          </w:tcPr>
          <w:p w14:paraId="6270505F">
            <w:pPr>
              <w:bidi w:val="0"/>
              <w:jc w:val="center"/>
              <w:rPr>
                <w:rFonts w:hint="eastAsia"/>
                <w:color w:val="auto"/>
              </w:rPr>
            </w:pPr>
          </w:p>
        </w:tc>
        <w:tc>
          <w:tcPr>
            <w:tcW w:w="611" w:type="dxa"/>
            <w:shd w:val="clear" w:color="auto" w:fill="FFFFFF"/>
            <w:noWrap w:val="0"/>
            <w:vAlign w:val="center"/>
          </w:tcPr>
          <w:p w14:paraId="6780A453">
            <w:pPr>
              <w:bidi w:val="0"/>
              <w:jc w:val="center"/>
              <w:rPr>
                <w:rFonts w:hint="eastAsia"/>
                <w:color w:val="auto"/>
                <w:lang w:val="en-US" w:eastAsia="zh-CN"/>
              </w:rPr>
            </w:pPr>
            <w:r>
              <w:rPr>
                <w:rFonts w:hint="eastAsia"/>
                <w:color w:val="auto"/>
                <w:lang w:val="en-US" w:eastAsia="zh-CN"/>
              </w:rPr>
              <w:t>11</w:t>
            </w:r>
          </w:p>
        </w:tc>
        <w:tc>
          <w:tcPr>
            <w:tcW w:w="1734" w:type="dxa"/>
            <w:shd w:val="clear" w:color="auto" w:fill="FFFFFF"/>
            <w:noWrap w:val="0"/>
            <w:vAlign w:val="center"/>
          </w:tcPr>
          <w:p w14:paraId="18EF3FF2">
            <w:pPr>
              <w:bidi w:val="0"/>
              <w:jc w:val="center"/>
              <w:rPr>
                <w:rFonts w:hint="eastAsia"/>
                <w:color w:val="auto"/>
                <w:lang w:val="en-US" w:eastAsia="zh-CN"/>
              </w:rPr>
            </w:pPr>
            <w:r>
              <w:rPr>
                <w:rFonts w:hint="eastAsia"/>
                <w:color w:val="auto"/>
              </w:rPr>
              <w:t>业绩</w:t>
            </w:r>
          </w:p>
        </w:tc>
        <w:tc>
          <w:tcPr>
            <w:tcW w:w="5278" w:type="dxa"/>
            <w:shd w:val="clear" w:color="auto" w:fill="FFFFFF"/>
            <w:noWrap w:val="0"/>
            <w:vAlign w:val="center"/>
          </w:tcPr>
          <w:p w14:paraId="1AFDDFB1">
            <w:pPr>
              <w:bidi w:val="0"/>
              <w:rPr>
                <w:rFonts w:hint="default"/>
                <w:color w:val="auto"/>
                <w:lang w:val="en-US" w:eastAsia="zh-CN"/>
              </w:rPr>
            </w:pPr>
            <w:r>
              <w:rPr>
                <w:rFonts w:hint="eastAsia"/>
                <w:color w:val="auto"/>
              </w:rPr>
              <w:t>根据</w:t>
            </w:r>
            <w:r>
              <w:rPr>
                <w:rFonts w:hint="eastAsia"/>
                <w:color w:val="auto"/>
                <w:lang w:val="en-US" w:eastAsia="zh-CN"/>
              </w:rPr>
              <w:t>投标人2022年1月1日至今</w:t>
            </w:r>
            <w:r>
              <w:rPr>
                <w:rFonts w:hint="eastAsia"/>
                <w:color w:val="auto"/>
                <w:lang w:eastAsia="zh-CN"/>
              </w:rPr>
              <w:t>（</w:t>
            </w:r>
            <w:r>
              <w:rPr>
                <w:rFonts w:hint="eastAsia"/>
                <w:color w:val="auto"/>
                <w:lang w:val="en-US" w:eastAsia="zh-CN"/>
              </w:rPr>
              <w:t>以合同签订时间为准）</w:t>
            </w:r>
            <w:r>
              <w:rPr>
                <w:rFonts w:hint="eastAsia"/>
                <w:color w:val="auto"/>
              </w:rPr>
              <w:t>的</w:t>
            </w:r>
            <w:r>
              <w:rPr>
                <w:rFonts w:hint="eastAsia"/>
                <w:color w:val="auto"/>
                <w:lang w:eastAsia="zh-CN"/>
              </w:rPr>
              <w:t>同类</w:t>
            </w:r>
            <w:r>
              <w:rPr>
                <w:rFonts w:hint="eastAsia"/>
                <w:color w:val="auto"/>
              </w:rPr>
              <w:t>项目业绩的数量</w:t>
            </w:r>
            <w:r>
              <w:rPr>
                <w:rFonts w:hint="eastAsia"/>
                <w:color w:val="auto"/>
                <w:lang w:eastAsia="zh-CN"/>
              </w:rPr>
              <w:t>进行评审，每提供一个业绩得</w:t>
            </w:r>
            <w:r>
              <w:rPr>
                <w:rFonts w:hint="eastAsia"/>
                <w:color w:val="auto"/>
                <w:lang w:val="en-US" w:eastAsia="zh-CN"/>
              </w:rPr>
              <w:t>1分，最高得2分。</w:t>
            </w:r>
          </w:p>
          <w:p w14:paraId="6548008E">
            <w:pPr>
              <w:bidi w:val="0"/>
              <w:rPr>
                <w:rFonts w:hint="eastAsia"/>
                <w:color w:val="auto"/>
                <w:lang w:val="en-US" w:eastAsia="zh-CN"/>
              </w:rPr>
            </w:pPr>
            <w:r>
              <w:rPr>
                <w:rFonts w:hint="eastAsia"/>
                <w:b/>
                <w:bCs/>
                <w:color w:val="auto"/>
                <w:lang w:val="en-US" w:eastAsia="zh-CN"/>
              </w:rPr>
              <w:t>需提供</w:t>
            </w:r>
            <w:r>
              <w:rPr>
                <w:rFonts w:hint="eastAsia"/>
                <w:b/>
                <w:bCs/>
                <w:color w:val="auto"/>
                <w:lang w:eastAsia="zh-CN"/>
              </w:rPr>
              <w:t>合同</w:t>
            </w:r>
            <w:r>
              <w:rPr>
                <w:rFonts w:hint="eastAsia" w:ascii="宋体" w:hAnsi="宋体" w:eastAsia="宋体" w:cs="宋体"/>
                <w:b/>
                <w:bCs/>
                <w:color w:val="auto"/>
                <w:szCs w:val="21"/>
              </w:rPr>
              <w:t>扫描件</w:t>
            </w:r>
            <w:r>
              <w:rPr>
                <w:rFonts w:hint="eastAsia"/>
                <w:b/>
                <w:bCs/>
                <w:color w:val="auto"/>
                <w:lang w:eastAsia="zh-CN"/>
              </w:rPr>
              <w:t>。</w:t>
            </w:r>
          </w:p>
        </w:tc>
        <w:tc>
          <w:tcPr>
            <w:tcW w:w="664" w:type="dxa"/>
            <w:shd w:val="clear" w:color="auto" w:fill="FFFFFF"/>
            <w:noWrap w:val="0"/>
            <w:vAlign w:val="center"/>
          </w:tcPr>
          <w:p w14:paraId="667A66F4">
            <w:pPr>
              <w:bidi w:val="0"/>
              <w:jc w:val="center"/>
              <w:rPr>
                <w:rFonts w:hint="eastAsia"/>
                <w:color w:val="auto"/>
                <w:lang w:val="en-US" w:eastAsia="zh-CN"/>
              </w:rPr>
            </w:pPr>
            <w:r>
              <w:rPr>
                <w:rFonts w:hint="eastAsia"/>
                <w:color w:val="auto"/>
                <w:lang w:val="en-US" w:eastAsia="zh-CN"/>
              </w:rPr>
              <w:t>客</w:t>
            </w:r>
          </w:p>
        </w:tc>
        <w:tc>
          <w:tcPr>
            <w:tcW w:w="664" w:type="dxa"/>
            <w:shd w:val="clear" w:color="auto" w:fill="FFFFFF"/>
            <w:noWrap w:val="0"/>
            <w:vAlign w:val="center"/>
          </w:tcPr>
          <w:p w14:paraId="789360B7">
            <w:pPr>
              <w:bidi w:val="0"/>
              <w:jc w:val="center"/>
              <w:rPr>
                <w:rFonts w:hint="eastAsia"/>
                <w:color w:val="auto"/>
                <w:lang w:val="en-US" w:eastAsia="zh-CN"/>
              </w:rPr>
            </w:pPr>
            <w:r>
              <w:rPr>
                <w:rFonts w:hint="eastAsia"/>
                <w:color w:val="auto"/>
                <w:lang w:val="en-US" w:eastAsia="zh-CN"/>
              </w:rPr>
              <w:t>2</w:t>
            </w:r>
          </w:p>
        </w:tc>
      </w:tr>
      <w:tr w14:paraId="1B07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31" w:type="dxa"/>
            <w:shd w:val="clear" w:color="auto" w:fill="FFFFFF"/>
            <w:noWrap w:val="0"/>
            <w:vAlign w:val="center"/>
          </w:tcPr>
          <w:p w14:paraId="298849A9">
            <w:pPr>
              <w:bidi w:val="0"/>
              <w:jc w:val="center"/>
              <w:rPr>
                <w:rFonts w:hint="eastAsia"/>
                <w:i w:val="0"/>
                <w:iCs w:val="0"/>
                <w:color w:val="auto"/>
              </w:rPr>
            </w:pPr>
            <w:r>
              <w:rPr>
                <w:rFonts w:hint="eastAsia"/>
                <w:i w:val="0"/>
                <w:iCs w:val="0"/>
                <w:color w:val="auto"/>
              </w:rPr>
              <w:t>报价得分</w:t>
            </w:r>
          </w:p>
        </w:tc>
        <w:tc>
          <w:tcPr>
            <w:tcW w:w="7623" w:type="dxa"/>
            <w:gridSpan w:val="3"/>
            <w:shd w:val="clear" w:color="auto" w:fill="FFFFFF"/>
            <w:noWrap w:val="0"/>
            <w:vAlign w:val="center"/>
          </w:tcPr>
          <w:p w14:paraId="3A96BD2B">
            <w:pPr>
              <w:bidi w:val="0"/>
              <w:rPr>
                <w:rFonts w:hint="eastAsia"/>
                <w:i w:val="0"/>
                <w:iCs w:val="0"/>
                <w:color w:val="auto"/>
              </w:rPr>
            </w:pPr>
            <w:r>
              <w:rPr>
                <w:rFonts w:hint="eastAsia"/>
                <w:i w:val="0"/>
                <w:iCs w:val="0"/>
                <w:color w:val="auto"/>
              </w:rPr>
              <w:t>以合格投标人有效投标总报价中的最低价为基准价，基准价为</w:t>
            </w:r>
            <w:r>
              <w:rPr>
                <w:rFonts w:hint="eastAsia"/>
                <w:i w:val="0"/>
                <w:iCs w:val="0"/>
                <w:color w:val="auto"/>
                <w:lang w:val="en-US" w:eastAsia="zh-CN"/>
              </w:rPr>
              <w:t>20</w:t>
            </w:r>
            <w:r>
              <w:rPr>
                <w:rFonts w:hint="eastAsia"/>
                <w:i w:val="0"/>
                <w:iCs w:val="0"/>
                <w:color w:val="auto"/>
              </w:rPr>
              <w:t>分。投标报价得分＝（评标基准价/最终投标报价）×</w:t>
            </w:r>
            <w:r>
              <w:rPr>
                <w:rFonts w:hint="eastAsia"/>
                <w:i w:val="0"/>
                <w:iCs w:val="0"/>
                <w:color w:val="auto"/>
                <w:lang w:val="en-US" w:eastAsia="zh-CN"/>
              </w:rPr>
              <w:t>20</w:t>
            </w:r>
            <w:r>
              <w:rPr>
                <w:rFonts w:hint="eastAsia"/>
                <w:i w:val="0"/>
                <w:iCs w:val="0"/>
                <w:color w:val="auto"/>
              </w:rPr>
              <w:t>%×100（小数点后保留2位小数）。</w:t>
            </w:r>
            <w:r>
              <w:rPr>
                <w:rFonts w:hint="eastAsia"/>
                <w:b/>
                <w:bCs/>
                <w:i w:val="0"/>
                <w:iCs w:val="0"/>
                <w:color w:val="auto"/>
              </w:rPr>
              <w:t>注：对于小型和微型企业的价格给予</w:t>
            </w:r>
            <w:r>
              <w:rPr>
                <w:rFonts w:hint="eastAsia"/>
                <w:b/>
                <w:bCs/>
                <w:i w:val="0"/>
                <w:iCs w:val="0"/>
                <w:color w:val="auto"/>
                <w:lang w:val="en-US" w:eastAsia="zh-CN"/>
              </w:rPr>
              <w:t>10%</w:t>
            </w:r>
            <w:r>
              <w:rPr>
                <w:rFonts w:hint="eastAsia"/>
                <w:b/>
                <w:bCs/>
                <w:i w:val="0"/>
                <w:iCs w:val="0"/>
                <w:color w:val="auto"/>
              </w:rPr>
              <w:t>的扣除，用扣除后的价格参与评审。</w:t>
            </w:r>
          </w:p>
        </w:tc>
        <w:tc>
          <w:tcPr>
            <w:tcW w:w="664" w:type="dxa"/>
            <w:shd w:val="clear" w:color="auto" w:fill="FFFFFF"/>
            <w:noWrap w:val="0"/>
            <w:vAlign w:val="center"/>
          </w:tcPr>
          <w:p w14:paraId="6D2633EF">
            <w:pPr>
              <w:bidi w:val="0"/>
              <w:jc w:val="center"/>
              <w:rPr>
                <w:rFonts w:hint="eastAsia"/>
                <w:color w:val="auto"/>
                <w:lang w:val="en-US" w:eastAsia="zh-CN"/>
              </w:rPr>
            </w:pPr>
            <w:r>
              <w:rPr>
                <w:rFonts w:hint="eastAsia"/>
                <w:color w:val="auto"/>
                <w:lang w:val="en-US" w:eastAsia="zh-CN"/>
              </w:rPr>
              <w:t>客</w:t>
            </w:r>
          </w:p>
        </w:tc>
        <w:tc>
          <w:tcPr>
            <w:tcW w:w="664" w:type="dxa"/>
            <w:shd w:val="clear" w:color="auto" w:fill="FFFFFF"/>
            <w:noWrap w:val="0"/>
            <w:vAlign w:val="center"/>
          </w:tcPr>
          <w:p w14:paraId="0F9AC353">
            <w:pPr>
              <w:bidi w:val="0"/>
              <w:jc w:val="center"/>
              <w:rPr>
                <w:rFonts w:hint="default" w:eastAsia="宋体"/>
                <w:color w:val="auto"/>
                <w:lang w:val="en-US" w:eastAsia="zh-CN"/>
              </w:rPr>
            </w:pPr>
            <w:r>
              <w:rPr>
                <w:rFonts w:hint="eastAsia"/>
                <w:color w:val="auto"/>
                <w:lang w:val="en-US" w:eastAsia="zh-CN"/>
              </w:rPr>
              <w:t>20</w:t>
            </w:r>
          </w:p>
        </w:tc>
      </w:tr>
    </w:tbl>
    <w:p w14:paraId="1902CC81">
      <w:pPr>
        <w:pStyle w:val="13"/>
        <w:keepNext w:val="0"/>
        <w:keepLines w:val="0"/>
        <w:pageBreakBefore w:val="0"/>
        <w:numPr>
          <w:ilvl w:val="0"/>
          <w:numId w:val="52"/>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p>
    <w:p w14:paraId="02DCEE12">
      <w:pPr>
        <w:pStyle w:val="13"/>
        <w:keepNext w:val="0"/>
        <w:keepLines w:val="0"/>
        <w:pageBreakBefore w:val="0"/>
        <w:numPr>
          <w:ilvl w:val="0"/>
          <w:numId w:val="52"/>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评审要求</w:t>
      </w:r>
    </w:p>
    <w:p w14:paraId="4F236A41">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评标委员会应当按照招标文件中规定的评标方法和标准，对符合性审查合格的投标文件的商务部分和技术部分进行综合比较与评价，其中</w:t>
      </w:r>
      <w:r>
        <w:rPr>
          <w:rFonts w:hint="eastAsia" w:ascii="宋体" w:hAnsi="宋体" w:eastAsia="宋体" w:cs="宋体"/>
          <w:bCs/>
          <w:sz w:val="24"/>
          <w:szCs w:val="24"/>
          <w:lang w:val="zh-CN"/>
        </w:rPr>
        <w:t>客观</w:t>
      </w:r>
      <w:r>
        <w:rPr>
          <w:rFonts w:hint="eastAsia" w:ascii="宋体" w:hAnsi="宋体" w:eastAsia="宋体" w:cs="宋体"/>
          <w:bCs/>
          <w:sz w:val="24"/>
          <w:szCs w:val="24"/>
        </w:rPr>
        <w:t>评分项的分值</w:t>
      </w:r>
      <w:r>
        <w:rPr>
          <w:rFonts w:hint="eastAsia" w:ascii="宋体" w:hAnsi="宋体" w:eastAsia="宋体" w:cs="宋体"/>
          <w:bCs/>
          <w:sz w:val="24"/>
          <w:szCs w:val="24"/>
          <w:lang w:val="zh-CN"/>
        </w:rPr>
        <w:t>应当一致。</w:t>
      </w:r>
    </w:p>
    <w:p w14:paraId="5077D63A">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对于投标文件报价出现前后不一致的，除招标文件另有规定外，按照下列规定修正：</w:t>
      </w:r>
    </w:p>
    <w:p w14:paraId="2C45A1F0">
      <w:pPr>
        <w:keepNext w:val="0"/>
        <w:keepLines w:val="0"/>
        <w:pageBreakBefore w:val="0"/>
        <w:numPr>
          <w:ilvl w:val="0"/>
          <w:numId w:val="56"/>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lang w:eastAsia="zh-CN"/>
        </w:rPr>
        <w:t>“政府采购云平台”上开启的投标报价与电子投标文件中开标一览表（报价表）内容不一致的，以电子投标文件中开标一览表（报价表）为准</w:t>
      </w:r>
      <w:r>
        <w:rPr>
          <w:rFonts w:hint="eastAsia" w:ascii="宋体" w:hAnsi="宋体" w:eastAsia="宋体" w:cs="宋体"/>
          <w:sz w:val="24"/>
          <w:szCs w:val="24"/>
          <w:shd w:val="clear"/>
          <w:lang w:val="en-US" w:eastAsia="zh-CN"/>
        </w:rPr>
        <w:t>；</w:t>
      </w:r>
    </w:p>
    <w:p w14:paraId="6FD3687A">
      <w:pPr>
        <w:keepNext w:val="0"/>
        <w:keepLines w:val="0"/>
        <w:pageBreakBefore w:val="0"/>
        <w:numPr>
          <w:ilvl w:val="0"/>
          <w:numId w:val="56"/>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投标文件中开标一览表（报价表）内容与投标文件中相应内容不一致的，以开标一览表（报价表）为准；</w:t>
      </w:r>
    </w:p>
    <w:p w14:paraId="6D680454">
      <w:pPr>
        <w:keepNext w:val="0"/>
        <w:keepLines w:val="0"/>
        <w:pageBreakBefore w:val="0"/>
        <w:numPr>
          <w:ilvl w:val="0"/>
          <w:numId w:val="56"/>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w:t>
      </w:r>
    </w:p>
    <w:p w14:paraId="4F4DC2B5">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同时出现两种以上不一致的，按照前款规定的顺序修正。修正应当采用电子询标的形式，并加盖公章（</w:t>
      </w:r>
      <w:r>
        <w:rPr>
          <w:rFonts w:hint="eastAsia" w:ascii="宋体" w:hAnsi="宋体" w:eastAsia="宋体" w:cs="宋体"/>
          <w:sz w:val="24"/>
          <w:szCs w:val="24"/>
          <w:lang w:eastAsia="zh-CN"/>
        </w:rPr>
        <w:t>CA签章</w:t>
      </w:r>
      <w:r>
        <w:rPr>
          <w:rFonts w:hint="eastAsia" w:ascii="宋体" w:hAnsi="宋体" w:eastAsia="宋体" w:cs="宋体"/>
          <w:sz w:val="24"/>
          <w:szCs w:val="24"/>
        </w:rPr>
        <w:t>）。</w:t>
      </w:r>
    </w:p>
    <w:p w14:paraId="7B1358BE">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对于投标文件中含义不明确、同类问题表述不一致或者有明显文字和计算错误的内容，评标委员会应当要求投标人作出必要的澄清、说明或者补正。给予投标人提交澄清、说明或补正的时间不得少于半小时，投标人已经明确表示澄清说明或补正完毕的除外。</w:t>
      </w:r>
      <w:r>
        <w:rPr>
          <w:rFonts w:hint="eastAsia" w:ascii="宋体" w:hAnsi="宋体" w:eastAsia="宋体" w:cs="宋体"/>
          <w:sz w:val="24"/>
          <w:szCs w:val="24"/>
          <w:highlight w:val="none"/>
        </w:rPr>
        <w:t>评标结束前，投标人应通过交易系统随时关注评标消息提示，及时响应评标委员会发出的澄清、说明或补正或者确认要求。投标人未能及时响应的，自行承担不利后果。评标委员会应当积极履行澄清、说明或者补正的职责，不得滥用权力。投标人的投标文件可以要求澄清、说明或者补正的，不得未经澄清、说明或者补正而直接作无效投标处理。</w:t>
      </w:r>
    </w:p>
    <w:p w14:paraId="79B1488B">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投标人的澄清、说明或者补正采用书面形式，并加盖公章（</w:t>
      </w:r>
      <w:r>
        <w:rPr>
          <w:rFonts w:hint="eastAsia" w:ascii="宋体" w:hAnsi="宋体" w:eastAsia="宋体" w:cs="宋体"/>
          <w:sz w:val="24"/>
          <w:szCs w:val="24"/>
          <w:lang w:eastAsia="zh-CN"/>
        </w:rPr>
        <w:t>CA签章</w:t>
      </w:r>
      <w:r>
        <w:rPr>
          <w:rFonts w:hint="eastAsia" w:ascii="宋体" w:hAnsi="宋体" w:eastAsia="宋体" w:cs="宋体"/>
          <w:sz w:val="24"/>
          <w:szCs w:val="24"/>
        </w:rPr>
        <w:t>）或者由</w:t>
      </w:r>
      <w:r>
        <w:rPr>
          <w:rFonts w:hint="eastAsia" w:ascii="宋体" w:hAnsi="宋体" w:cs="宋体"/>
          <w:sz w:val="24"/>
          <w:szCs w:val="24"/>
          <w:lang w:eastAsia="zh-CN"/>
        </w:rPr>
        <w:t>负责人</w:t>
      </w:r>
      <w:r>
        <w:rPr>
          <w:rFonts w:hint="eastAsia" w:ascii="宋体" w:hAnsi="宋体" w:eastAsia="宋体" w:cs="宋体"/>
          <w:sz w:val="24"/>
          <w:szCs w:val="24"/>
        </w:rPr>
        <w:t>或</w:t>
      </w:r>
      <w:r>
        <w:rPr>
          <w:rFonts w:hint="eastAsia" w:ascii="宋体" w:hAnsi="宋体" w:cs="宋体"/>
          <w:sz w:val="24"/>
          <w:szCs w:val="24"/>
          <w:lang w:eastAsia="zh-CN"/>
        </w:rPr>
        <w:t>全权代表</w:t>
      </w:r>
      <w:r>
        <w:rPr>
          <w:rFonts w:hint="eastAsia" w:ascii="宋体" w:hAnsi="宋体" w:eastAsia="宋体" w:cs="宋体"/>
          <w:sz w:val="24"/>
          <w:szCs w:val="24"/>
        </w:rPr>
        <w:t>签字，且不得超出投标文件的范围或者改变投标文件的实质性内容。</w:t>
      </w:r>
    </w:p>
    <w:p w14:paraId="1783E470">
      <w:pPr>
        <w:keepNext w:val="0"/>
        <w:keepLines w:val="0"/>
        <w:pageBreakBefore w:val="0"/>
        <w:numPr>
          <w:ilvl w:val="0"/>
          <w:numId w:val="51"/>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结果汇总及排序</w:t>
      </w:r>
    </w:p>
    <w:p w14:paraId="56DD724F">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评标委员会各成员应当独立对每个投标人的投标文件进行评价，并汇总每个投标人的得分。</w:t>
      </w:r>
    </w:p>
    <w:p w14:paraId="58E98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评标结果按评审后综合得分由高到低顺序排列。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得分相同</w:t>
      </w:r>
      <w:r>
        <w:rPr>
          <w:rFonts w:hint="eastAsia" w:ascii="宋体" w:hAnsi="宋体" w:eastAsia="宋体" w:cs="宋体"/>
          <w:sz w:val="24"/>
          <w:szCs w:val="24"/>
        </w:rPr>
        <w:t>的</w:t>
      </w:r>
      <w:r>
        <w:rPr>
          <w:rFonts w:hint="eastAsia" w:ascii="宋体" w:hAnsi="宋体" w:eastAsia="宋体" w:cs="宋体"/>
          <w:sz w:val="24"/>
          <w:szCs w:val="24"/>
          <w:lang w:val="zh-CN"/>
        </w:rPr>
        <w:t>，</w:t>
      </w:r>
      <w:r>
        <w:rPr>
          <w:rFonts w:hint="eastAsia" w:ascii="宋体" w:hAnsi="宋体" w:eastAsia="宋体" w:cs="宋体"/>
          <w:sz w:val="24"/>
          <w:szCs w:val="24"/>
        </w:rPr>
        <w:t>按</w:t>
      </w:r>
      <w:r>
        <w:rPr>
          <w:rFonts w:hint="eastAsia" w:ascii="宋体" w:hAnsi="宋体" w:eastAsia="宋体" w:cs="宋体"/>
          <w:sz w:val="24"/>
          <w:szCs w:val="24"/>
          <w:lang w:val="zh-CN"/>
        </w:rPr>
        <w:t>投标报价</w:t>
      </w:r>
      <w:r>
        <w:rPr>
          <w:rFonts w:hint="eastAsia" w:ascii="宋体" w:hAnsi="宋体" w:eastAsia="宋体" w:cs="宋体"/>
          <w:sz w:val="24"/>
          <w:szCs w:val="24"/>
        </w:rPr>
        <w:t>由</w:t>
      </w:r>
      <w:r>
        <w:rPr>
          <w:rFonts w:hint="eastAsia" w:ascii="宋体" w:hAnsi="宋体" w:eastAsia="宋体" w:cs="宋体"/>
          <w:sz w:val="24"/>
          <w:szCs w:val="24"/>
          <w:lang w:val="zh-CN"/>
        </w:rPr>
        <w:t>低</w:t>
      </w:r>
      <w:r>
        <w:rPr>
          <w:rFonts w:hint="eastAsia" w:ascii="宋体" w:hAnsi="宋体" w:eastAsia="宋体" w:cs="宋体"/>
          <w:sz w:val="24"/>
          <w:szCs w:val="24"/>
        </w:rPr>
        <w:t>到高顺序排列。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得分且投标报价相同的</w:t>
      </w:r>
      <w:r>
        <w:rPr>
          <w:rFonts w:hint="eastAsia" w:ascii="宋体" w:hAnsi="宋体" w:eastAsia="宋体" w:cs="宋体"/>
          <w:sz w:val="24"/>
          <w:szCs w:val="24"/>
          <w:lang w:eastAsia="zh-CN"/>
        </w:rPr>
        <w:t>，</w:t>
      </w:r>
      <w:r>
        <w:rPr>
          <w:rFonts w:hint="eastAsia" w:ascii="宋体" w:hAnsi="宋体" w:eastAsia="宋体" w:cs="宋体"/>
          <w:color w:val="000000"/>
          <w:sz w:val="24"/>
          <w:szCs w:val="24"/>
          <w:lang w:val="zh-CN"/>
        </w:rPr>
        <w:t>由</w:t>
      </w:r>
      <w:r>
        <w:rPr>
          <w:rFonts w:hint="eastAsia" w:ascii="宋体" w:hAnsi="宋体" w:eastAsia="宋体" w:cs="宋体"/>
          <w:color w:val="000000"/>
          <w:sz w:val="24"/>
          <w:szCs w:val="24"/>
          <w:lang w:val="en-US" w:eastAsia="zh-CN"/>
        </w:rPr>
        <w:t>采购人</w:t>
      </w:r>
      <w:r>
        <w:rPr>
          <w:rFonts w:hint="eastAsia" w:ascii="宋体" w:hAnsi="宋体" w:eastAsia="宋体" w:cs="宋体"/>
          <w:color w:val="auto"/>
          <w:sz w:val="24"/>
          <w:szCs w:val="24"/>
          <w:lang w:val="zh-CN"/>
        </w:rPr>
        <w:t>抽签确定</w:t>
      </w:r>
      <w:r>
        <w:rPr>
          <w:rFonts w:hint="eastAsia" w:ascii="宋体" w:hAnsi="宋体" w:eastAsia="宋体" w:cs="宋体"/>
          <w:sz w:val="24"/>
          <w:szCs w:val="24"/>
          <w:lang w:val="zh-CN"/>
        </w:rPr>
        <w:t>。</w:t>
      </w:r>
      <w:r>
        <w:rPr>
          <w:rFonts w:hint="eastAsia" w:ascii="宋体" w:hAnsi="宋体" w:eastAsia="宋体" w:cs="宋体"/>
          <w:sz w:val="24"/>
          <w:szCs w:val="24"/>
        </w:rPr>
        <w:t>在投标文件满足招标文件全部实质性要求前提下，评标委员会按照评审因素的量化指标进行综合评审，以评标总得分由高到低的顺序推荐2名中标候选人</w:t>
      </w:r>
      <w:r>
        <w:rPr>
          <w:rFonts w:hint="eastAsia" w:ascii="宋体" w:hAnsi="宋体" w:eastAsia="宋体" w:cs="宋体"/>
          <w:sz w:val="24"/>
          <w:szCs w:val="24"/>
          <w:lang w:val="zh-CN"/>
        </w:rPr>
        <w:t>。报价最高的投标人为</w:t>
      </w:r>
      <w:r>
        <w:rPr>
          <w:rFonts w:hint="eastAsia" w:ascii="宋体" w:hAnsi="宋体" w:cs="宋体"/>
          <w:sz w:val="24"/>
          <w:szCs w:val="24"/>
          <w:lang w:val="en-US" w:eastAsia="zh-CN"/>
        </w:rPr>
        <w:t>第一</w:t>
      </w:r>
      <w:r>
        <w:rPr>
          <w:rFonts w:hint="eastAsia" w:ascii="宋体" w:hAnsi="宋体" w:eastAsia="宋体" w:cs="宋体"/>
          <w:sz w:val="24"/>
          <w:szCs w:val="24"/>
          <w:lang w:val="zh-CN"/>
        </w:rPr>
        <w:t>中标候选人的，评标委员会应当对其报价的合理性予以特别说明。</w:t>
      </w:r>
    </w:p>
    <w:p w14:paraId="3846178C">
      <w:pPr>
        <w:keepNext w:val="0"/>
        <w:keepLines w:val="0"/>
        <w:pageBreakBefore w:val="0"/>
        <w:numPr>
          <w:ilvl w:val="0"/>
          <w:numId w:val="51"/>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评标报告撰写</w:t>
      </w:r>
    </w:p>
    <w:p w14:paraId="638EB336">
      <w:pPr>
        <w:pStyle w:val="11"/>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26F592E0">
      <w:pPr>
        <w:keepNext w:val="0"/>
        <w:keepLines w:val="0"/>
        <w:pageBreakBefore w:val="0"/>
        <w:numPr>
          <w:ilvl w:val="0"/>
          <w:numId w:val="51"/>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评标争议处理规则</w:t>
      </w:r>
    </w:p>
    <w:p w14:paraId="72701417">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rPr>
      </w:pPr>
      <w:r>
        <w:rPr>
          <w:rFonts w:hint="eastAsia" w:ascii="宋体" w:hAnsi="宋体" w:eastAsia="宋体" w:cs="宋体"/>
          <w:sz w:val="24"/>
          <w:szCs w:val="24"/>
        </w:rPr>
        <w:t>评标委员会在评标过程中，对于符合性审查、对投标人文件作无效投标处理及其他需要共同认定的事项存在争议的，应当以少数服从多数的原则作出结论，但不得违反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代理机构书面反映。采购人、代理机构收到书面反映后，应当书面报告采购项目同级财政部门依法处理。</w:t>
      </w:r>
    </w:p>
    <w:p w14:paraId="63B557CC">
      <w:pPr>
        <w:rPr>
          <w:rFonts w:hint="eastAsia" w:ascii="宋体" w:hAnsi="宋体" w:eastAsia="宋体" w:cs="宋体"/>
          <w:b/>
          <w:sz w:val="36"/>
          <w:szCs w:val="36"/>
        </w:rPr>
      </w:pPr>
      <w:r>
        <w:rPr>
          <w:rFonts w:hint="eastAsia" w:ascii="宋体" w:hAnsi="宋体" w:eastAsia="宋体" w:cs="宋体"/>
          <w:b/>
          <w:sz w:val="36"/>
          <w:szCs w:val="36"/>
        </w:rPr>
        <w:br w:type="page"/>
      </w:r>
    </w:p>
    <w:p w14:paraId="6AC978D0">
      <w:pPr>
        <w:numPr>
          <w:ilvl w:val="0"/>
          <w:numId w:val="10"/>
        </w:numPr>
        <w:spacing w:line="360" w:lineRule="auto"/>
        <w:jc w:val="center"/>
        <w:outlineLvl w:val="0"/>
        <w:rPr>
          <w:rFonts w:hint="eastAsia" w:ascii="宋体" w:hAnsi="宋体" w:eastAsia="宋体" w:cs="宋体"/>
          <w:b/>
          <w:sz w:val="36"/>
          <w:szCs w:val="36"/>
        </w:rPr>
      </w:pPr>
      <w:bookmarkStart w:id="82" w:name="_Toc18707"/>
      <w:bookmarkStart w:id="83" w:name="_Toc11290"/>
      <w:r>
        <w:rPr>
          <w:rFonts w:hint="eastAsia" w:ascii="宋体" w:hAnsi="宋体" w:eastAsia="宋体" w:cs="宋体"/>
          <w:b/>
          <w:sz w:val="36"/>
          <w:szCs w:val="36"/>
        </w:rPr>
        <w:t>公开招标需求</w:t>
      </w:r>
      <w:bookmarkEnd w:id="82"/>
      <w:bookmarkEnd w:id="83"/>
    </w:p>
    <w:p w14:paraId="2F265645">
      <w:pPr>
        <w:tabs>
          <w:tab w:val="left" w:pos="8280"/>
        </w:tabs>
        <w:autoSpaceDE w:val="0"/>
        <w:autoSpaceDN w:val="0"/>
        <w:adjustRightInd w:val="0"/>
        <w:spacing w:line="360" w:lineRule="auto"/>
        <w:ind w:right="25"/>
        <w:outlineLvl w:val="1"/>
        <w:rPr>
          <w:rFonts w:hint="default" w:ascii="宋体" w:hAnsi="宋体" w:cs="宋体"/>
          <w:b/>
          <w:sz w:val="24"/>
          <w:szCs w:val="24"/>
          <w:lang w:val="en-US" w:eastAsia="zh-CN"/>
        </w:rPr>
      </w:pPr>
      <w:bookmarkStart w:id="84" w:name="_Toc24545"/>
      <w:r>
        <w:rPr>
          <w:rFonts w:hint="eastAsia" w:ascii="宋体" w:hAnsi="宋体" w:cs="宋体"/>
          <w:b/>
          <w:sz w:val="24"/>
          <w:szCs w:val="24"/>
          <w:lang w:val="en-US" w:eastAsia="zh-CN"/>
        </w:rPr>
        <w:t>前附表</w:t>
      </w:r>
      <w:bookmarkEnd w:id="84"/>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9"/>
        <w:gridCol w:w="4699"/>
      </w:tblGrid>
      <w:tr w14:paraId="57AF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3765DE">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2769" w:type="dxa"/>
            <w:vAlign w:val="center"/>
          </w:tcPr>
          <w:p w14:paraId="126D3C98">
            <w:pPr>
              <w:widowControl w:val="0"/>
              <w:adjustRightInd/>
              <w:spacing w:line="360" w:lineRule="auto"/>
              <w:ind w:left="0" w:firstLine="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需实现的功能或者目标</w:t>
            </w:r>
          </w:p>
        </w:tc>
        <w:tc>
          <w:tcPr>
            <w:tcW w:w="4699" w:type="dxa"/>
            <w:vAlign w:val="center"/>
          </w:tcPr>
          <w:p w14:paraId="72E6E84B">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14:paraId="4137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4CC124A0">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2769" w:type="dxa"/>
            <w:vAlign w:val="center"/>
          </w:tcPr>
          <w:p w14:paraId="01C36A3C">
            <w:pPr>
              <w:widowControl w:val="0"/>
              <w:adjustRightInd/>
              <w:spacing w:line="360" w:lineRule="auto"/>
              <w:ind w:left="0" w:firstLine="0"/>
              <w:jc w:val="both"/>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执行标准</w:t>
            </w:r>
          </w:p>
        </w:tc>
        <w:tc>
          <w:tcPr>
            <w:tcW w:w="4699" w:type="dxa"/>
            <w:vAlign w:val="center"/>
          </w:tcPr>
          <w:p w14:paraId="5FD9F26C">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执行</w:t>
            </w:r>
            <w:r>
              <w:rPr>
                <w:rFonts w:hint="eastAsia" w:ascii="宋体" w:hAnsi="宋体" w:eastAsia="宋体" w:cs="宋体"/>
                <w:color w:val="auto"/>
                <w:kern w:val="2"/>
                <w:sz w:val="21"/>
                <w:szCs w:val="21"/>
                <w:highlight w:val="none"/>
                <w:lang w:val="en-US" w:eastAsia="zh-CN"/>
              </w:rPr>
              <w:t>最新的</w:t>
            </w:r>
            <w:r>
              <w:rPr>
                <w:rFonts w:hint="eastAsia" w:ascii="宋体" w:hAnsi="宋体" w:eastAsia="宋体" w:cs="宋体"/>
                <w:color w:val="auto"/>
                <w:kern w:val="2"/>
                <w:sz w:val="21"/>
                <w:szCs w:val="21"/>
                <w:highlight w:val="none"/>
              </w:rPr>
              <w:t>国家相关标准、行业标准、地方标准</w:t>
            </w:r>
            <w:r>
              <w:rPr>
                <w:rFonts w:hint="eastAsia" w:ascii="宋体" w:hAnsi="宋体" w:cs="宋体"/>
                <w:color w:val="auto"/>
                <w:kern w:val="2"/>
                <w:sz w:val="21"/>
                <w:szCs w:val="21"/>
                <w:highlight w:val="none"/>
                <w:lang w:eastAsia="zh-CN"/>
              </w:rPr>
              <w:t>或者其他</w:t>
            </w:r>
            <w:r>
              <w:rPr>
                <w:rFonts w:hint="eastAsia" w:ascii="宋体" w:hAnsi="宋体" w:eastAsia="宋体" w:cs="宋体"/>
                <w:color w:val="auto"/>
                <w:kern w:val="2"/>
                <w:sz w:val="21"/>
                <w:szCs w:val="21"/>
                <w:highlight w:val="none"/>
              </w:rPr>
              <w:t>标准、规范（如有）</w:t>
            </w:r>
          </w:p>
        </w:tc>
      </w:tr>
      <w:tr w14:paraId="7B52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F85446">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2769" w:type="dxa"/>
            <w:vAlign w:val="center"/>
          </w:tcPr>
          <w:p w14:paraId="6759308B">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技术规格要求</w:t>
            </w:r>
          </w:p>
        </w:tc>
        <w:tc>
          <w:tcPr>
            <w:tcW w:w="4699" w:type="dxa"/>
            <w:vAlign w:val="center"/>
          </w:tcPr>
          <w:p w14:paraId="011676C1">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14:paraId="3C30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441E721">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2769" w:type="dxa"/>
            <w:vAlign w:val="center"/>
          </w:tcPr>
          <w:p w14:paraId="51F96FD5">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物理特性要求</w:t>
            </w:r>
          </w:p>
        </w:tc>
        <w:tc>
          <w:tcPr>
            <w:tcW w:w="4699" w:type="dxa"/>
            <w:vAlign w:val="center"/>
          </w:tcPr>
          <w:p w14:paraId="57D4B169">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w:t>
            </w:r>
          </w:p>
        </w:tc>
      </w:tr>
      <w:tr w14:paraId="4C30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3E7A86C">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2769" w:type="dxa"/>
            <w:vAlign w:val="center"/>
          </w:tcPr>
          <w:p w14:paraId="78600AE0">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质量、安全要求</w:t>
            </w:r>
          </w:p>
        </w:tc>
        <w:tc>
          <w:tcPr>
            <w:tcW w:w="4699" w:type="dxa"/>
            <w:vAlign w:val="center"/>
          </w:tcPr>
          <w:p w14:paraId="2C25F901">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合格</w:t>
            </w:r>
          </w:p>
        </w:tc>
      </w:tr>
      <w:tr w14:paraId="7143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7413A96">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2769" w:type="dxa"/>
            <w:vAlign w:val="center"/>
          </w:tcPr>
          <w:p w14:paraId="69F3F47D">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服务标准、期限、效率</w:t>
            </w:r>
          </w:p>
        </w:tc>
        <w:tc>
          <w:tcPr>
            <w:tcW w:w="4699" w:type="dxa"/>
            <w:vAlign w:val="center"/>
          </w:tcPr>
          <w:p w14:paraId="4B81CB7B">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14:paraId="2264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C858C3E">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2769" w:type="dxa"/>
            <w:vAlign w:val="center"/>
          </w:tcPr>
          <w:p w14:paraId="53D676C1">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验收标准</w:t>
            </w:r>
          </w:p>
        </w:tc>
        <w:tc>
          <w:tcPr>
            <w:tcW w:w="4699" w:type="dxa"/>
            <w:vAlign w:val="center"/>
          </w:tcPr>
          <w:p w14:paraId="7650C01E">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en-US" w:eastAsia="zh-CN"/>
              </w:rPr>
              <w:t>按国家、省、市验收规范结合本项目</w:t>
            </w:r>
            <w:r>
              <w:rPr>
                <w:rFonts w:hint="eastAsia" w:ascii="宋体" w:hAnsi="宋体" w:eastAsia="宋体" w:cs="宋体"/>
                <w:bCs/>
                <w:color w:val="auto"/>
                <w:sz w:val="21"/>
                <w:szCs w:val="21"/>
                <w:highlight w:val="none"/>
              </w:rPr>
              <w:t>招标文件要求、</w:t>
            </w:r>
            <w:r>
              <w:rPr>
                <w:rFonts w:hint="eastAsia" w:ascii="宋体" w:hAnsi="宋体" w:eastAsia="宋体" w:cs="宋体"/>
                <w:bCs/>
                <w:color w:val="auto"/>
                <w:sz w:val="21"/>
                <w:szCs w:val="21"/>
                <w:highlight w:val="none"/>
                <w:lang w:eastAsia="zh-CN"/>
              </w:rPr>
              <w:t>中标供应商</w:t>
            </w:r>
            <w:r>
              <w:rPr>
                <w:rFonts w:hint="eastAsia" w:ascii="宋体" w:hAnsi="宋体" w:eastAsia="宋体" w:cs="宋体"/>
                <w:bCs/>
                <w:color w:val="auto"/>
                <w:sz w:val="21"/>
                <w:szCs w:val="21"/>
                <w:highlight w:val="none"/>
              </w:rPr>
              <w:t>提供的投标文件及</w:t>
            </w:r>
            <w:r>
              <w:rPr>
                <w:rFonts w:hint="eastAsia" w:ascii="宋体" w:hAnsi="宋体" w:eastAsia="宋体" w:cs="宋体"/>
                <w:bCs/>
                <w:color w:val="auto"/>
                <w:sz w:val="21"/>
                <w:szCs w:val="21"/>
                <w:highlight w:val="none"/>
                <w:lang w:eastAsia="zh-CN"/>
              </w:rPr>
              <w:t>中标供应商</w:t>
            </w:r>
            <w:r>
              <w:rPr>
                <w:rFonts w:hint="eastAsia" w:ascii="宋体" w:hAnsi="宋体" w:eastAsia="宋体" w:cs="宋体"/>
                <w:bCs/>
                <w:color w:val="auto"/>
                <w:sz w:val="21"/>
                <w:szCs w:val="21"/>
                <w:highlight w:val="none"/>
              </w:rPr>
              <w:t>和采购人签订的政府采购合同为标准进行验收</w:t>
            </w:r>
          </w:p>
        </w:tc>
      </w:tr>
    </w:tbl>
    <w:p w14:paraId="27990C07">
      <w:pPr>
        <w:rPr>
          <w:rFonts w:hint="eastAsia" w:ascii="宋体" w:hAnsi="宋体" w:eastAsia="宋体" w:cs="宋体"/>
          <w:b/>
          <w:sz w:val="24"/>
          <w:szCs w:val="24"/>
        </w:rPr>
      </w:pPr>
      <w:r>
        <w:rPr>
          <w:rFonts w:hint="eastAsia" w:ascii="宋体" w:hAnsi="宋体" w:eastAsia="宋体" w:cs="宋体"/>
          <w:b/>
          <w:sz w:val="24"/>
          <w:szCs w:val="24"/>
        </w:rPr>
        <w:br w:type="page"/>
      </w:r>
    </w:p>
    <w:p w14:paraId="53F439C0">
      <w:pPr>
        <w:numPr>
          <w:ilvl w:val="0"/>
          <w:numId w:val="57"/>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sz w:val="24"/>
          <w:szCs w:val="24"/>
        </w:rPr>
      </w:pPr>
      <w:bookmarkStart w:id="85" w:name="_Toc12726"/>
      <w:bookmarkStart w:id="86" w:name="_Toc3178"/>
      <w:r>
        <w:rPr>
          <w:rFonts w:hint="eastAsia" w:ascii="宋体" w:hAnsi="宋体" w:eastAsia="宋体" w:cs="宋体"/>
          <w:b/>
          <w:sz w:val="24"/>
          <w:szCs w:val="24"/>
        </w:rPr>
        <w:t>招标项目一览表</w:t>
      </w:r>
      <w:bookmarkEnd w:id="85"/>
      <w:bookmarkEnd w:id="86"/>
    </w:p>
    <w:p w14:paraId="08282DC3">
      <w:pPr>
        <w:tabs>
          <w:tab w:val="left" w:pos="8280"/>
        </w:tabs>
        <w:autoSpaceDE w:val="0"/>
        <w:autoSpaceDN w:val="0"/>
        <w:adjustRightInd w:val="0"/>
        <w:spacing w:line="360" w:lineRule="auto"/>
        <w:ind w:right="25" w:firstLine="280"/>
        <w:rPr>
          <w:rFonts w:hint="eastAsia" w:ascii="宋体" w:hAnsi="宋体" w:eastAsia="宋体" w:cs="宋体"/>
          <w:color w:val="33CCCC"/>
          <w:sz w:val="24"/>
          <w:szCs w:val="24"/>
        </w:rPr>
      </w:pPr>
      <w:r>
        <w:rPr>
          <w:rFonts w:hint="eastAsia" w:ascii="宋体" w:hAnsi="宋体" w:eastAsia="宋体" w:cs="宋体"/>
          <w:sz w:val="24"/>
          <w:szCs w:val="24"/>
        </w:rPr>
        <w:t>本次招标共</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rPr>
        <w:t>个</w:t>
      </w:r>
      <w:r>
        <w:rPr>
          <w:rFonts w:hint="eastAsia" w:ascii="宋体" w:hAnsi="宋体" w:cs="宋体"/>
          <w:sz w:val="24"/>
          <w:szCs w:val="24"/>
          <w:lang w:eastAsia="zh-CN"/>
        </w:rPr>
        <w:t>标项</w:t>
      </w:r>
      <w:r>
        <w:rPr>
          <w:rFonts w:hint="eastAsia" w:ascii="宋体" w:hAnsi="宋体" w:eastAsia="宋体" w:cs="宋体"/>
          <w:sz w:val="24"/>
          <w:szCs w:val="24"/>
        </w:rPr>
        <w:t>，具体内容如下表：</w:t>
      </w:r>
    </w:p>
    <w:tbl>
      <w:tblPr>
        <w:tblStyle w:val="21"/>
        <w:tblW w:w="813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277"/>
        <w:gridCol w:w="1391"/>
        <w:gridCol w:w="927"/>
        <w:gridCol w:w="927"/>
        <w:gridCol w:w="1478"/>
      </w:tblGrid>
      <w:tr w14:paraId="2B74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38" w:type="dxa"/>
            <w:vAlign w:val="center"/>
          </w:tcPr>
          <w:p w14:paraId="16035D4D">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rPr>
            </w:pPr>
            <w:r>
              <w:rPr>
                <w:rFonts w:hint="eastAsia" w:ascii="宋体" w:hAnsi="宋体" w:cs="宋体"/>
                <w:b/>
                <w:color w:val="000000"/>
                <w:sz w:val="24"/>
                <w:szCs w:val="24"/>
                <w:lang w:eastAsia="zh-CN"/>
              </w:rPr>
              <w:t>标项</w:t>
            </w:r>
            <w:r>
              <w:rPr>
                <w:rFonts w:hint="eastAsia" w:ascii="宋体" w:hAnsi="宋体" w:eastAsia="宋体" w:cs="宋体"/>
                <w:b/>
                <w:color w:val="000000"/>
                <w:sz w:val="24"/>
                <w:szCs w:val="24"/>
              </w:rPr>
              <w:t>号</w:t>
            </w:r>
          </w:p>
        </w:tc>
        <w:tc>
          <w:tcPr>
            <w:tcW w:w="2277" w:type="dxa"/>
            <w:vAlign w:val="center"/>
          </w:tcPr>
          <w:p w14:paraId="76E38BE2">
            <w:pP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项目名称</w:t>
            </w:r>
          </w:p>
        </w:tc>
        <w:tc>
          <w:tcPr>
            <w:tcW w:w="1391" w:type="dxa"/>
            <w:vAlign w:val="center"/>
          </w:tcPr>
          <w:p w14:paraId="53A8F12A">
            <w:pPr>
              <w:tabs>
                <w:tab w:val="left" w:pos="8280"/>
              </w:tabs>
              <w:autoSpaceDE w:val="0"/>
              <w:autoSpaceDN w:val="0"/>
              <w:adjustRightInd w:val="0"/>
              <w:spacing w:line="360" w:lineRule="auto"/>
              <w:ind w:right="25"/>
              <w:rPr>
                <w:rFonts w:hint="eastAsia" w:ascii="宋体" w:hAnsi="宋体" w:eastAsia="宋体" w:cs="宋体"/>
                <w:b/>
                <w:color w:val="000000"/>
                <w:sz w:val="24"/>
                <w:szCs w:val="24"/>
              </w:rPr>
            </w:pPr>
            <w:r>
              <w:rPr>
                <w:rFonts w:hint="eastAsia" w:ascii="宋体" w:hAnsi="宋体" w:eastAsia="宋体" w:cs="宋体"/>
                <w:b/>
                <w:color w:val="000000"/>
                <w:sz w:val="24"/>
                <w:szCs w:val="24"/>
              </w:rPr>
              <w:t>规格型号</w:t>
            </w:r>
          </w:p>
        </w:tc>
        <w:tc>
          <w:tcPr>
            <w:tcW w:w="927" w:type="dxa"/>
            <w:vAlign w:val="center"/>
          </w:tcPr>
          <w:p w14:paraId="45DC6B1B">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927" w:type="dxa"/>
            <w:vAlign w:val="center"/>
          </w:tcPr>
          <w:p w14:paraId="56FD4FEB">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单位</w:t>
            </w:r>
          </w:p>
        </w:tc>
        <w:tc>
          <w:tcPr>
            <w:tcW w:w="1478" w:type="dxa"/>
            <w:vAlign w:val="center"/>
          </w:tcPr>
          <w:p w14:paraId="065B9CEF">
            <w:pPr>
              <w:tabs>
                <w:tab w:val="left" w:pos="8280"/>
              </w:tabs>
              <w:autoSpaceDE w:val="0"/>
              <w:autoSpaceDN w:val="0"/>
              <w:adjustRightInd w:val="0"/>
              <w:spacing w:line="360" w:lineRule="auto"/>
              <w:ind w:right="25" w:rightChars="0"/>
              <w:jc w:val="center"/>
              <w:rPr>
                <w:rFonts w:hint="eastAsia" w:ascii="宋体" w:hAnsi="宋体" w:eastAsia="宋体" w:cs="宋体"/>
                <w:b/>
                <w:sz w:val="24"/>
                <w:szCs w:val="24"/>
              </w:rPr>
            </w:pPr>
            <w:r>
              <w:rPr>
                <w:rFonts w:hint="eastAsia" w:ascii="宋体" w:hAnsi="宋体" w:eastAsia="宋体" w:cs="宋体"/>
                <w:b/>
                <w:color w:val="000000"/>
                <w:sz w:val="24"/>
                <w:szCs w:val="24"/>
              </w:rPr>
              <w:t>预算（万元）</w:t>
            </w:r>
          </w:p>
        </w:tc>
      </w:tr>
      <w:tr w14:paraId="3ABA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138" w:type="dxa"/>
            <w:vAlign w:val="center"/>
          </w:tcPr>
          <w:p w14:paraId="6181874C">
            <w:pPr>
              <w:tabs>
                <w:tab w:val="left" w:pos="8280"/>
              </w:tabs>
              <w:autoSpaceDE w:val="0"/>
              <w:autoSpaceDN w:val="0"/>
              <w:adjustRightInd w:val="0"/>
              <w:spacing w:line="360" w:lineRule="auto"/>
              <w:ind w:right="25"/>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2277" w:type="dxa"/>
            <w:vAlign w:val="center"/>
          </w:tcPr>
          <w:p w14:paraId="716CA975">
            <w:pPr>
              <w:tabs>
                <w:tab w:val="left" w:pos="8280"/>
              </w:tabs>
              <w:autoSpaceDE w:val="0"/>
              <w:autoSpaceDN w:val="0"/>
              <w:adjustRightInd w:val="0"/>
              <w:spacing w:line="360" w:lineRule="auto"/>
              <w:ind w:right="25"/>
              <w:jc w:val="center"/>
              <w:rPr>
                <w:rFonts w:hint="eastAsia" w:ascii="宋体" w:hAnsi="宋体" w:eastAsia="宋体" w:cs="宋体"/>
                <w:sz w:val="24"/>
                <w:szCs w:val="24"/>
                <w:lang w:eastAsia="zh-CN"/>
              </w:rPr>
            </w:pPr>
            <w:r>
              <w:rPr>
                <w:rFonts w:hint="eastAsia" w:ascii="宋体" w:hAnsi="宋体" w:cs="宋体"/>
                <w:sz w:val="24"/>
                <w:szCs w:val="24"/>
                <w:lang w:eastAsia="zh-CN"/>
              </w:rPr>
              <w:t>2025年台州市海洋观测站点日常运行维护项目</w:t>
            </w:r>
          </w:p>
        </w:tc>
        <w:tc>
          <w:tcPr>
            <w:tcW w:w="1391" w:type="dxa"/>
            <w:vAlign w:val="center"/>
          </w:tcPr>
          <w:p w14:paraId="6333929C">
            <w:pPr>
              <w:tabs>
                <w:tab w:val="left" w:pos="8280"/>
              </w:tabs>
              <w:autoSpaceDE w:val="0"/>
              <w:autoSpaceDN w:val="0"/>
              <w:adjustRightInd w:val="0"/>
              <w:spacing w:line="360" w:lineRule="auto"/>
              <w:ind w:right="25"/>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详见“技术需求”</w:t>
            </w:r>
          </w:p>
        </w:tc>
        <w:tc>
          <w:tcPr>
            <w:tcW w:w="927" w:type="dxa"/>
            <w:vAlign w:val="center"/>
          </w:tcPr>
          <w:p w14:paraId="0AA4BF04">
            <w:pPr>
              <w:tabs>
                <w:tab w:val="left" w:pos="8280"/>
              </w:tabs>
              <w:autoSpaceDE w:val="0"/>
              <w:autoSpaceDN w:val="0"/>
              <w:adjustRightInd w:val="0"/>
              <w:spacing w:line="360" w:lineRule="auto"/>
              <w:ind w:right="25"/>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927" w:type="dxa"/>
            <w:vAlign w:val="center"/>
          </w:tcPr>
          <w:p w14:paraId="5268B0D5">
            <w:pPr>
              <w:tabs>
                <w:tab w:val="left" w:pos="8280"/>
              </w:tabs>
              <w:autoSpaceDE w:val="0"/>
              <w:autoSpaceDN w:val="0"/>
              <w:adjustRightInd w:val="0"/>
              <w:spacing w:line="360" w:lineRule="auto"/>
              <w:ind w:right="25"/>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项</w:t>
            </w:r>
          </w:p>
        </w:tc>
        <w:tc>
          <w:tcPr>
            <w:tcW w:w="1478" w:type="dxa"/>
            <w:vAlign w:val="center"/>
          </w:tcPr>
          <w:p w14:paraId="2FFB4EE5">
            <w:pPr>
              <w:tabs>
                <w:tab w:val="left" w:pos="8280"/>
              </w:tabs>
              <w:autoSpaceDE w:val="0"/>
              <w:autoSpaceDN w:val="0"/>
              <w:adjustRightInd w:val="0"/>
              <w:spacing w:line="360" w:lineRule="auto"/>
              <w:ind w:right="25" w:rightChars="0"/>
              <w:jc w:val="center"/>
              <w:rPr>
                <w:rFonts w:hint="default" w:ascii="宋体" w:hAnsi="宋体" w:eastAsia="宋体" w:cs="宋体"/>
                <w:sz w:val="24"/>
                <w:szCs w:val="24"/>
                <w:lang w:val="en-US" w:eastAsia="zh-CN"/>
              </w:rPr>
            </w:pPr>
            <w:r>
              <w:rPr>
                <w:rFonts w:hint="eastAsia" w:ascii="宋体" w:hAnsi="宋体" w:cs="宋体"/>
                <w:sz w:val="21"/>
                <w:szCs w:val="21"/>
                <w:lang w:val="en-US" w:eastAsia="zh-CN"/>
              </w:rPr>
              <w:t>240</w:t>
            </w:r>
          </w:p>
        </w:tc>
      </w:tr>
    </w:tbl>
    <w:p w14:paraId="367F3199">
      <w:pPr>
        <w:numPr>
          <w:ilvl w:val="0"/>
          <w:numId w:val="57"/>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rPr>
      </w:pPr>
      <w:bookmarkStart w:id="87" w:name="_Toc19090"/>
      <w:bookmarkStart w:id="88" w:name="_Toc25444"/>
      <w:r>
        <w:rPr>
          <w:rFonts w:hint="eastAsia" w:ascii="宋体" w:hAnsi="宋体" w:eastAsia="宋体" w:cs="宋体"/>
          <w:b/>
          <w:sz w:val="24"/>
          <w:szCs w:val="24"/>
        </w:rPr>
        <w:t>技术需求</w:t>
      </w:r>
      <w:bookmarkEnd w:id="87"/>
      <w:bookmarkEnd w:id="88"/>
    </w:p>
    <w:p w14:paraId="2CE0A959">
      <w:pPr>
        <w:numPr>
          <w:ilvl w:val="0"/>
          <w:numId w:val="58"/>
        </w:numPr>
        <w:bidi w:val="0"/>
        <w:spacing w:line="360" w:lineRule="auto"/>
        <w:ind w:left="0" w:leftChars="0" w:firstLine="420" w:firstLineChars="0"/>
        <w:rPr>
          <w:rFonts w:hint="eastAsia"/>
          <w:b/>
          <w:bCs/>
          <w:sz w:val="24"/>
          <w:szCs w:val="24"/>
        </w:rPr>
      </w:pPr>
      <w:r>
        <w:rPr>
          <w:rFonts w:hint="eastAsia"/>
          <w:b/>
          <w:bCs/>
          <w:sz w:val="24"/>
          <w:szCs w:val="24"/>
        </w:rPr>
        <w:t>海洋观测站的日常运行维护与保养</w:t>
      </w:r>
    </w:p>
    <w:p w14:paraId="04B86928">
      <w:pPr>
        <w:numPr>
          <w:ilvl w:val="0"/>
          <w:numId w:val="59"/>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运维站点：三门核电、</w:t>
      </w:r>
      <w:r>
        <w:rPr>
          <w:rFonts w:hint="eastAsia" w:ascii="宋体" w:hAnsi="宋体" w:cs="宋体"/>
          <w:sz w:val="24"/>
          <w:szCs w:val="24"/>
          <w:lang w:val="en-US" w:eastAsia="zh-CN"/>
        </w:rPr>
        <w:t>三门浦坝、</w:t>
      </w:r>
      <w:r>
        <w:rPr>
          <w:rFonts w:hint="eastAsia" w:ascii="宋体" w:hAnsi="宋体" w:eastAsia="宋体" w:cs="宋体"/>
          <w:sz w:val="24"/>
          <w:szCs w:val="24"/>
          <w:lang w:val="en-US" w:eastAsia="zh-CN"/>
        </w:rPr>
        <w:t>临海</w:t>
      </w:r>
      <w:r>
        <w:rPr>
          <w:rFonts w:hint="eastAsia" w:ascii="宋体" w:hAnsi="宋体" w:eastAsia="宋体" w:cs="宋体"/>
          <w:sz w:val="24"/>
          <w:szCs w:val="24"/>
        </w:rPr>
        <w:t>头门、温岭石塘、温岭坞根。</w:t>
      </w:r>
    </w:p>
    <w:p w14:paraId="01D3E8BC">
      <w:pPr>
        <w:numPr>
          <w:ilvl w:val="0"/>
          <w:numId w:val="59"/>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工作内容：日常监控、数据接收、数据处理、数据专网传输、质量控制、现场维护、数据比测等。</w:t>
      </w:r>
    </w:p>
    <w:p w14:paraId="43EE31BB">
      <w:pPr>
        <w:numPr>
          <w:ilvl w:val="0"/>
          <w:numId w:val="59"/>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工作形式：人工监控、数据处理、质量控制、现场维护等。</w:t>
      </w:r>
    </w:p>
    <w:p w14:paraId="1524F98E">
      <w:pPr>
        <w:numPr>
          <w:ilvl w:val="0"/>
          <w:numId w:val="59"/>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工作要求：按照《海洋观测规范第2部分：海滨观测》（GB/T 14914.2-2019）、《浙江省海洋观测站点运行维护规定》等规范要求执行。</w:t>
      </w:r>
    </w:p>
    <w:p w14:paraId="36E84B2B">
      <w:pPr>
        <w:numPr>
          <w:ilvl w:val="0"/>
          <w:numId w:val="59"/>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现场巡查维护：每月1次检查观测系统采集器、传感器、工控机、通讯设施、供电设施、避雷设施，以及观测场地和观测环境清理维护，故障排除及维修。</w:t>
      </w:r>
    </w:p>
    <w:p w14:paraId="5C8FF7C8">
      <w:pPr>
        <w:numPr>
          <w:ilvl w:val="0"/>
          <w:numId w:val="59"/>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质量管理：每月1次观测要素比测，月报表制作审核，观测仪器检/校。</w:t>
      </w:r>
    </w:p>
    <w:p w14:paraId="3939B38E">
      <w:pPr>
        <w:numPr>
          <w:ilvl w:val="0"/>
          <w:numId w:val="58"/>
        </w:numPr>
        <w:bidi w:val="0"/>
        <w:spacing w:line="360" w:lineRule="auto"/>
        <w:ind w:left="0" w:leftChars="0" w:firstLine="420" w:firstLineChars="0"/>
        <w:rPr>
          <w:rFonts w:hint="eastAsia" w:ascii="宋体" w:hAnsi="宋体" w:eastAsia="宋体" w:cs="宋体"/>
          <w:b/>
          <w:bCs/>
          <w:sz w:val="24"/>
          <w:szCs w:val="24"/>
        </w:rPr>
      </w:pPr>
      <w:r>
        <w:rPr>
          <w:rFonts w:hint="eastAsia" w:ascii="宋体" w:hAnsi="宋体" w:eastAsia="宋体" w:cs="宋体"/>
          <w:b/>
          <w:bCs/>
          <w:sz w:val="24"/>
          <w:szCs w:val="24"/>
        </w:rPr>
        <w:t>X波段雷达站的日常</w:t>
      </w:r>
      <w:r>
        <w:rPr>
          <w:rFonts w:hint="eastAsia" w:ascii="宋体" w:hAnsi="宋体" w:cs="宋体"/>
          <w:b/>
          <w:bCs/>
          <w:sz w:val="24"/>
          <w:szCs w:val="24"/>
          <w:lang w:val="en-US" w:eastAsia="zh-CN"/>
        </w:rPr>
        <w:t>运行</w:t>
      </w:r>
      <w:r>
        <w:rPr>
          <w:rFonts w:hint="eastAsia" w:ascii="宋体" w:hAnsi="宋体" w:eastAsia="宋体" w:cs="宋体"/>
          <w:b/>
          <w:bCs/>
          <w:sz w:val="24"/>
          <w:szCs w:val="24"/>
        </w:rPr>
        <w:t>维护与保养</w:t>
      </w:r>
    </w:p>
    <w:p w14:paraId="6CCBF45A">
      <w:pPr>
        <w:numPr>
          <w:ilvl w:val="0"/>
          <w:numId w:val="60"/>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运维站点：临海头门、温岭石塘、玉环南排山。</w:t>
      </w:r>
    </w:p>
    <w:p w14:paraId="4847DBB5">
      <w:pPr>
        <w:numPr>
          <w:ilvl w:val="0"/>
          <w:numId w:val="60"/>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工作内容：日常监控、设备维护、数据接收、数据处理、数据专网传输、质量控制等。</w:t>
      </w:r>
    </w:p>
    <w:p w14:paraId="2A33692C">
      <w:pPr>
        <w:numPr>
          <w:ilvl w:val="0"/>
          <w:numId w:val="60"/>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工作形式：人工监控、数据处理、质量控制、现场维护等。</w:t>
      </w:r>
    </w:p>
    <w:p w14:paraId="61C481B5">
      <w:pPr>
        <w:numPr>
          <w:ilvl w:val="0"/>
          <w:numId w:val="60"/>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工作要求：按照《海洋观测规范第2部分：海滨观测》（GB/T 14914.2-2019）、《浙江省海洋观测站点运行维护规定》等规范要求执行。</w:t>
      </w:r>
    </w:p>
    <w:p w14:paraId="2698D309">
      <w:pPr>
        <w:numPr>
          <w:ilvl w:val="0"/>
          <w:numId w:val="60"/>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现场巡查维护：每月1次检查观测系统采集器、工控机、通讯设施、供电设施、避雷设施、以及雷达观测场地和观测环境清理维护，故障排除及维修。</w:t>
      </w:r>
    </w:p>
    <w:p w14:paraId="4E41DF23">
      <w:pPr>
        <w:numPr>
          <w:ilvl w:val="0"/>
          <w:numId w:val="58"/>
        </w:numPr>
        <w:bidi w:val="0"/>
        <w:spacing w:line="360" w:lineRule="auto"/>
        <w:ind w:left="0" w:leftChars="0" w:firstLine="420" w:firstLineChars="0"/>
        <w:rPr>
          <w:rFonts w:hint="eastAsia" w:ascii="宋体" w:hAnsi="宋体" w:eastAsia="宋体" w:cs="宋体"/>
          <w:b/>
          <w:bCs/>
          <w:sz w:val="24"/>
          <w:szCs w:val="24"/>
        </w:rPr>
      </w:pPr>
      <w:r>
        <w:rPr>
          <w:rFonts w:hint="eastAsia" w:ascii="宋体" w:hAnsi="宋体" w:eastAsia="宋体" w:cs="宋体"/>
          <w:b/>
          <w:bCs/>
          <w:sz w:val="24"/>
          <w:szCs w:val="24"/>
        </w:rPr>
        <w:t>海上</w:t>
      </w:r>
      <w:r>
        <w:rPr>
          <w:rFonts w:hint="eastAsia" w:ascii="宋体" w:hAnsi="宋体" w:eastAsia="宋体" w:cs="宋体"/>
          <w:b/>
          <w:bCs/>
          <w:sz w:val="24"/>
          <w:szCs w:val="24"/>
          <w:lang w:val="en-US" w:eastAsia="zh-CN"/>
        </w:rPr>
        <w:t>3米</w:t>
      </w:r>
      <w:r>
        <w:rPr>
          <w:rFonts w:hint="eastAsia" w:ascii="宋体" w:hAnsi="宋体" w:eastAsia="宋体" w:cs="宋体"/>
          <w:b/>
          <w:bCs/>
          <w:sz w:val="24"/>
          <w:szCs w:val="24"/>
        </w:rPr>
        <w:t>波浪浮标的日常运行维护与保养</w:t>
      </w:r>
    </w:p>
    <w:p w14:paraId="242F59C7">
      <w:pPr>
        <w:numPr>
          <w:ilvl w:val="0"/>
          <w:numId w:val="6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运维站点：三门3米浮标、临海东矶3米浮标、临海头门3米浮标、温岭石塘3米浮标、玉环披山3米浮标。</w:t>
      </w:r>
    </w:p>
    <w:p w14:paraId="7A3676E8">
      <w:pPr>
        <w:numPr>
          <w:ilvl w:val="0"/>
          <w:numId w:val="6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工作内容：日常监控、数据接收、数据处理、数据专网传输、质量控制、检查维护等。</w:t>
      </w:r>
    </w:p>
    <w:p w14:paraId="323240EC">
      <w:pPr>
        <w:numPr>
          <w:ilvl w:val="0"/>
          <w:numId w:val="6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工作形式：人工监控、数据处理、质量控制、检查维护等。</w:t>
      </w:r>
    </w:p>
    <w:p w14:paraId="73641602">
      <w:pPr>
        <w:numPr>
          <w:ilvl w:val="0"/>
          <w:numId w:val="6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工作要求：按照《海洋观测规范第2部分：海滨观测》（GB/T 14914.2-2019）、《浙江省海洋观测站点运行维护规定》等规范要求执行。</w:t>
      </w:r>
    </w:p>
    <w:p w14:paraId="774C5653">
      <w:pPr>
        <w:numPr>
          <w:ilvl w:val="0"/>
          <w:numId w:val="6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定期检查浮标观测系统、供电系统、通讯系统、定位系统，确保浮标安全稳定运行</w:t>
      </w:r>
      <w:r>
        <w:rPr>
          <w:rFonts w:hint="eastAsia" w:ascii="宋体" w:hAnsi="宋体" w:cs="宋体"/>
          <w:sz w:val="24"/>
          <w:szCs w:val="24"/>
          <w:lang w:eastAsia="zh-CN"/>
        </w:rPr>
        <w:t>。</w:t>
      </w:r>
    </w:p>
    <w:p w14:paraId="61803066">
      <w:pPr>
        <w:numPr>
          <w:ilvl w:val="0"/>
          <w:numId w:val="6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定期检查锚系安全性，根据锚链及锚缆的腐蚀磨损程度及时对锚系进行更换</w:t>
      </w:r>
      <w:r>
        <w:rPr>
          <w:rFonts w:hint="eastAsia" w:ascii="宋体" w:hAnsi="宋体" w:cs="宋体"/>
          <w:sz w:val="24"/>
          <w:szCs w:val="24"/>
          <w:lang w:eastAsia="zh-CN"/>
        </w:rPr>
        <w:t>。</w:t>
      </w:r>
    </w:p>
    <w:p w14:paraId="7BA854AC">
      <w:pPr>
        <w:numPr>
          <w:ilvl w:val="0"/>
          <w:numId w:val="6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3米</w:t>
      </w:r>
      <w:r>
        <w:rPr>
          <w:rFonts w:hint="eastAsia" w:ascii="宋体" w:hAnsi="宋体" w:eastAsia="宋体" w:cs="宋体"/>
          <w:sz w:val="24"/>
          <w:szCs w:val="24"/>
        </w:rPr>
        <w:t>波浪浮标在海上工作期间，要求每半年开展1次现场维护，如发现浮标位置异常、浮标故障等情况，及时赴现场开展维护工作</w:t>
      </w:r>
      <w:r>
        <w:rPr>
          <w:rFonts w:hint="eastAsia" w:ascii="宋体" w:hAnsi="宋体" w:cs="宋体"/>
          <w:sz w:val="24"/>
          <w:szCs w:val="24"/>
          <w:lang w:eastAsia="zh-CN"/>
        </w:rPr>
        <w:t>。</w:t>
      </w:r>
    </w:p>
    <w:p w14:paraId="3A1AE9ED">
      <w:pPr>
        <w:numPr>
          <w:ilvl w:val="0"/>
          <w:numId w:val="58"/>
        </w:numPr>
        <w:bidi w:val="0"/>
        <w:spacing w:line="360" w:lineRule="auto"/>
        <w:ind w:left="0" w:leftChars="0" w:firstLine="420" w:firstLineChars="0"/>
        <w:rPr>
          <w:rFonts w:hint="eastAsia" w:ascii="宋体" w:hAnsi="宋体" w:eastAsia="宋体" w:cs="宋体"/>
          <w:b/>
          <w:bCs/>
          <w:sz w:val="24"/>
          <w:szCs w:val="24"/>
        </w:rPr>
      </w:pPr>
      <w:r>
        <w:rPr>
          <w:rFonts w:hint="eastAsia" w:ascii="宋体" w:hAnsi="宋体" w:eastAsia="宋体" w:cs="宋体"/>
          <w:b/>
          <w:bCs/>
          <w:sz w:val="24"/>
          <w:szCs w:val="24"/>
        </w:rPr>
        <w:t xml:space="preserve">简易潮位观测点的日常运行维护与保养 </w:t>
      </w:r>
    </w:p>
    <w:p w14:paraId="020D7314">
      <w:pPr>
        <w:numPr>
          <w:ilvl w:val="0"/>
          <w:numId w:val="62"/>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运维站点：</w:t>
      </w:r>
      <w:r>
        <w:rPr>
          <w:rFonts w:hint="eastAsia" w:ascii="宋体" w:hAnsi="宋体" w:eastAsia="宋体" w:cs="宋体"/>
          <w:sz w:val="24"/>
          <w:szCs w:val="24"/>
          <w:lang w:val="en-US" w:eastAsia="zh-CN"/>
        </w:rPr>
        <w:t>三门蛇蟠、</w:t>
      </w:r>
      <w:r>
        <w:rPr>
          <w:rFonts w:hint="eastAsia" w:ascii="宋体" w:hAnsi="宋体" w:eastAsia="宋体" w:cs="宋体"/>
          <w:sz w:val="24"/>
          <w:szCs w:val="24"/>
        </w:rPr>
        <w:t>临海白沙、</w:t>
      </w:r>
      <w:r>
        <w:rPr>
          <w:rFonts w:hint="eastAsia" w:ascii="宋体" w:hAnsi="宋体" w:cs="宋体"/>
          <w:sz w:val="24"/>
          <w:szCs w:val="24"/>
          <w:lang w:val="en-US" w:eastAsia="zh-CN"/>
        </w:rPr>
        <w:t>椒江</w:t>
      </w:r>
      <w:r>
        <w:rPr>
          <w:rFonts w:hint="eastAsia" w:ascii="宋体" w:hAnsi="宋体" w:eastAsia="宋体" w:cs="宋体"/>
          <w:sz w:val="24"/>
          <w:szCs w:val="24"/>
          <w:lang w:val="en-US" w:eastAsia="zh-CN"/>
        </w:rPr>
        <w:t>、</w:t>
      </w:r>
      <w:r>
        <w:rPr>
          <w:rFonts w:hint="eastAsia" w:ascii="宋体" w:hAnsi="宋体" w:eastAsia="宋体" w:cs="宋体"/>
          <w:sz w:val="24"/>
          <w:szCs w:val="24"/>
        </w:rPr>
        <w:t>温岭龙门、</w:t>
      </w:r>
      <w:r>
        <w:rPr>
          <w:rFonts w:hint="eastAsia" w:ascii="宋体" w:hAnsi="宋体" w:cs="宋体"/>
          <w:sz w:val="24"/>
          <w:szCs w:val="24"/>
          <w:lang w:val="en-US" w:eastAsia="zh-CN"/>
        </w:rPr>
        <w:t>温岭石塘、</w:t>
      </w:r>
      <w:r>
        <w:rPr>
          <w:rFonts w:hint="eastAsia" w:ascii="宋体" w:hAnsi="宋体" w:eastAsia="宋体" w:cs="宋体"/>
          <w:sz w:val="24"/>
          <w:szCs w:val="24"/>
          <w:lang w:val="en-US" w:eastAsia="zh-CN"/>
        </w:rPr>
        <w:t>玉环灵门、</w:t>
      </w:r>
      <w:r>
        <w:rPr>
          <w:rFonts w:hint="eastAsia" w:ascii="宋体" w:hAnsi="宋体" w:eastAsia="宋体" w:cs="宋体"/>
          <w:sz w:val="24"/>
          <w:szCs w:val="24"/>
        </w:rPr>
        <w:t>玉环鸡山、玉环大麦屿。</w:t>
      </w:r>
    </w:p>
    <w:p w14:paraId="05055277">
      <w:pPr>
        <w:numPr>
          <w:ilvl w:val="0"/>
          <w:numId w:val="62"/>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工作内容：日常监控、数据接收、数据处理、数据专网传输、质量控制、现场维护、数据比测等。</w:t>
      </w:r>
    </w:p>
    <w:p w14:paraId="3ADACD42">
      <w:pPr>
        <w:numPr>
          <w:ilvl w:val="0"/>
          <w:numId w:val="62"/>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工作形式：人工监控、数据处理、质量控制、现场维护等。</w:t>
      </w:r>
    </w:p>
    <w:p w14:paraId="6920D6AF">
      <w:pPr>
        <w:numPr>
          <w:ilvl w:val="0"/>
          <w:numId w:val="62"/>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工作要求：按照《海洋观测规范第2部分：海滨观测》（GB/T 14914.2-2019）、《浙江省海洋观测站点运行维护规定》等规范要求执行。</w:t>
      </w:r>
    </w:p>
    <w:p w14:paraId="274C9A10">
      <w:pPr>
        <w:numPr>
          <w:ilvl w:val="0"/>
          <w:numId w:val="62"/>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现场巡查维护：每月1次对验潮仪常规检查、供电检查、通讯检查、浮子系统检查，以及浮子附着物清理清洗，定期疏通消波孔，加固观测设施，检查蓄电池，故障排除及维修（简易潮位站系统提升、大修及整体性淤积除外）</w:t>
      </w:r>
      <w:r>
        <w:rPr>
          <w:rFonts w:hint="eastAsia" w:ascii="宋体" w:hAnsi="宋体" w:cs="宋体"/>
          <w:sz w:val="24"/>
          <w:szCs w:val="24"/>
          <w:lang w:eastAsia="zh-CN"/>
        </w:rPr>
        <w:t>。</w:t>
      </w:r>
    </w:p>
    <w:p w14:paraId="153E7A98">
      <w:pPr>
        <w:numPr>
          <w:ilvl w:val="0"/>
          <w:numId w:val="62"/>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质量管理：每月1次开展观测要素比测，并制作审核月报表。简易点验潮仪器采用现场比对方法，不作检定/校准。</w:t>
      </w:r>
    </w:p>
    <w:p w14:paraId="0DCD2F2D">
      <w:pPr>
        <w:numPr>
          <w:ilvl w:val="0"/>
          <w:numId w:val="58"/>
        </w:numPr>
        <w:bidi w:val="0"/>
        <w:spacing w:line="360" w:lineRule="auto"/>
        <w:ind w:left="0" w:leftChars="0" w:firstLine="420" w:firstLineChars="0"/>
        <w:rPr>
          <w:rFonts w:hint="eastAsia" w:ascii="宋体" w:hAnsi="宋体" w:eastAsia="宋体" w:cs="宋体"/>
          <w:b/>
          <w:bCs/>
          <w:strike w:val="0"/>
          <w:dstrike w:val="0"/>
          <w:sz w:val="24"/>
          <w:szCs w:val="24"/>
        </w:rPr>
      </w:pPr>
      <w:r>
        <w:rPr>
          <w:rFonts w:hint="eastAsia" w:ascii="宋体" w:hAnsi="宋体" w:eastAsia="宋体" w:cs="宋体"/>
          <w:b/>
          <w:bCs/>
          <w:strike w:val="0"/>
          <w:dstrike w:val="0"/>
          <w:sz w:val="24"/>
          <w:szCs w:val="24"/>
        </w:rPr>
        <w:t>简易</w:t>
      </w:r>
      <w:r>
        <w:rPr>
          <w:rFonts w:hint="eastAsia" w:ascii="宋体" w:hAnsi="宋体" w:eastAsia="宋体" w:cs="宋体"/>
          <w:b/>
          <w:bCs/>
          <w:strike w:val="0"/>
          <w:dstrike w:val="0"/>
          <w:sz w:val="24"/>
          <w:szCs w:val="24"/>
          <w:lang w:val="en-US" w:eastAsia="zh-CN"/>
        </w:rPr>
        <w:t>气象</w:t>
      </w:r>
      <w:r>
        <w:rPr>
          <w:rFonts w:hint="eastAsia" w:ascii="宋体" w:hAnsi="宋体" w:eastAsia="宋体" w:cs="宋体"/>
          <w:b/>
          <w:bCs/>
          <w:strike w:val="0"/>
          <w:dstrike w:val="0"/>
          <w:sz w:val="24"/>
          <w:szCs w:val="24"/>
        </w:rPr>
        <w:t xml:space="preserve">观测点的日常运行维护与保养 </w:t>
      </w:r>
    </w:p>
    <w:p w14:paraId="6E78E2F6">
      <w:pPr>
        <w:numPr>
          <w:ilvl w:val="0"/>
          <w:numId w:val="63"/>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运维站点：</w:t>
      </w:r>
      <w:r>
        <w:rPr>
          <w:rFonts w:hint="eastAsia" w:ascii="宋体" w:hAnsi="宋体" w:eastAsia="宋体" w:cs="宋体"/>
          <w:strike w:val="0"/>
          <w:dstrike w:val="0"/>
          <w:sz w:val="24"/>
          <w:szCs w:val="24"/>
          <w:lang w:val="en-US" w:eastAsia="zh-CN"/>
        </w:rPr>
        <w:t>三门健跳、</w:t>
      </w:r>
      <w:r>
        <w:rPr>
          <w:rFonts w:hint="eastAsia" w:ascii="宋体" w:hAnsi="宋体" w:eastAsia="宋体" w:cs="宋体"/>
          <w:strike w:val="0"/>
          <w:dstrike w:val="0"/>
          <w:sz w:val="24"/>
          <w:szCs w:val="24"/>
        </w:rPr>
        <w:t>临海</w:t>
      </w:r>
      <w:r>
        <w:rPr>
          <w:rFonts w:hint="eastAsia" w:ascii="宋体" w:hAnsi="宋体" w:eastAsia="宋体" w:cs="宋体"/>
          <w:strike w:val="0"/>
          <w:dstrike w:val="0"/>
          <w:sz w:val="24"/>
          <w:szCs w:val="24"/>
          <w:lang w:val="en-US" w:eastAsia="zh-CN"/>
        </w:rPr>
        <w:t>红脚岩</w:t>
      </w:r>
      <w:r>
        <w:rPr>
          <w:rFonts w:hint="eastAsia" w:ascii="宋体" w:hAnsi="宋体" w:eastAsia="宋体" w:cs="宋体"/>
          <w:strike w:val="0"/>
          <w:dstrike w:val="0"/>
          <w:sz w:val="24"/>
          <w:szCs w:val="24"/>
        </w:rPr>
        <w:t>、</w:t>
      </w:r>
      <w:r>
        <w:rPr>
          <w:rFonts w:hint="eastAsia" w:ascii="宋体" w:hAnsi="宋体" w:eastAsia="宋体" w:cs="宋体"/>
          <w:strike w:val="0"/>
          <w:dstrike w:val="0"/>
          <w:sz w:val="24"/>
          <w:szCs w:val="24"/>
          <w:lang w:val="en-US" w:eastAsia="zh-CN"/>
        </w:rPr>
        <w:t>路桥金清、</w:t>
      </w:r>
      <w:r>
        <w:rPr>
          <w:rFonts w:hint="eastAsia" w:ascii="宋体" w:hAnsi="宋体" w:eastAsia="宋体" w:cs="宋体"/>
          <w:strike w:val="0"/>
          <w:dstrike w:val="0"/>
          <w:sz w:val="24"/>
          <w:szCs w:val="24"/>
        </w:rPr>
        <w:t>温岭</w:t>
      </w:r>
      <w:r>
        <w:rPr>
          <w:rFonts w:hint="eastAsia" w:ascii="宋体" w:hAnsi="宋体" w:eastAsia="宋体" w:cs="宋体"/>
          <w:strike w:val="0"/>
          <w:dstrike w:val="0"/>
          <w:sz w:val="24"/>
          <w:szCs w:val="24"/>
          <w:lang w:val="en-US" w:eastAsia="zh-CN"/>
        </w:rPr>
        <w:t>礁山</w:t>
      </w:r>
      <w:r>
        <w:rPr>
          <w:rFonts w:hint="eastAsia" w:ascii="宋体" w:hAnsi="宋体" w:eastAsia="宋体" w:cs="宋体"/>
          <w:strike w:val="0"/>
          <w:dstrike w:val="0"/>
          <w:sz w:val="24"/>
          <w:szCs w:val="24"/>
        </w:rPr>
        <w:t>、</w:t>
      </w:r>
      <w:r>
        <w:rPr>
          <w:rFonts w:hint="eastAsia" w:ascii="宋体" w:hAnsi="宋体" w:eastAsia="宋体" w:cs="宋体"/>
          <w:strike w:val="0"/>
          <w:dstrike w:val="0"/>
          <w:sz w:val="24"/>
          <w:szCs w:val="24"/>
          <w:lang w:val="en-US" w:eastAsia="zh-CN"/>
        </w:rPr>
        <w:t>温岭钓浜、温岭石塘、</w:t>
      </w:r>
      <w:r>
        <w:rPr>
          <w:rFonts w:hint="eastAsia" w:ascii="宋体" w:hAnsi="宋体" w:eastAsia="宋体" w:cs="宋体"/>
          <w:strike w:val="0"/>
          <w:dstrike w:val="0"/>
          <w:sz w:val="24"/>
          <w:szCs w:val="24"/>
        </w:rPr>
        <w:t>玉环鸡山、玉环大麦屿</w:t>
      </w:r>
      <w:r>
        <w:rPr>
          <w:rFonts w:hint="eastAsia" w:ascii="宋体" w:hAnsi="宋体" w:eastAsia="宋体" w:cs="宋体"/>
          <w:strike w:val="0"/>
          <w:dstrike w:val="0"/>
          <w:sz w:val="24"/>
          <w:szCs w:val="24"/>
          <w:lang w:val="en-US" w:eastAsia="zh-CN"/>
        </w:rPr>
        <w:t>、玉环坎门</w:t>
      </w:r>
      <w:r>
        <w:rPr>
          <w:rFonts w:hint="eastAsia" w:ascii="宋体" w:hAnsi="宋体" w:eastAsia="宋体" w:cs="宋体"/>
          <w:strike w:val="0"/>
          <w:dstrike w:val="0"/>
          <w:sz w:val="24"/>
          <w:szCs w:val="24"/>
        </w:rPr>
        <w:t>。</w:t>
      </w:r>
    </w:p>
    <w:p w14:paraId="45060E10">
      <w:pPr>
        <w:numPr>
          <w:ilvl w:val="0"/>
          <w:numId w:val="63"/>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工作内容：日常监控、数据接收、数据处理、数据专网传输、质量控制、现场维护、数据比测等。</w:t>
      </w:r>
    </w:p>
    <w:p w14:paraId="000D52CE">
      <w:pPr>
        <w:numPr>
          <w:ilvl w:val="0"/>
          <w:numId w:val="63"/>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工作形式：人工监控、数据处理、质量控制、现场维护等。</w:t>
      </w:r>
    </w:p>
    <w:p w14:paraId="7C1C6605">
      <w:pPr>
        <w:numPr>
          <w:ilvl w:val="0"/>
          <w:numId w:val="63"/>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工作要求：按照《海洋观测规范第2部分：海滨观测》（GB/T 14914.2-2019）、《浙江省海洋观测站点运行维护规定》等规范要求执行。</w:t>
      </w:r>
    </w:p>
    <w:p w14:paraId="7EDD25C0">
      <w:pPr>
        <w:numPr>
          <w:ilvl w:val="0"/>
          <w:numId w:val="63"/>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现场巡查维护：每</w:t>
      </w:r>
      <w:r>
        <w:rPr>
          <w:rFonts w:hint="eastAsia" w:ascii="宋体" w:hAnsi="宋体" w:eastAsia="宋体" w:cs="宋体"/>
          <w:strike w:val="0"/>
          <w:dstrike w:val="0"/>
          <w:sz w:val="24"/>
          <w:szCs w:val="24"/>
          <w:lang w:val="en-US" w:eastAsia="zh-CN"/>
        </w:rPr>
        <w:t>季度</w:t>
      </w:r>
      <w:r>
        <w:rPr>
          <w:rFonts w:hint="eastAsia" w:ascii="宋体" w:hAnsi="宋体" w:eastAsia="宋体" w:cs="宋体"/>
          <w:strike w:val="0"/>
          <w:dstrike w:val="0"/>
          <w:sz w:val="24"/>
          <w:szCs w:val="24"/>
        </w:rPr>
        <w:t>1次对气象仪器设备常规检查、供电检查、通讯检查；定期清洁气象传感器、加固观测设施，检查更换蓄电池，故障排除及维修</w:t>
      </w:r>
      <w:r>
        <w:rPr>
          <w:rFonts w:hint="eastAsia" w:ascii="宋体" w:hAnsi="宋体" w:cs="宋体"/>
          <w:strike w:val="0"/>
          <w:dstrike w:val="0"/>
          <w:sz w:val="24"/>
          <w:szCs w:val="24"/>
          <w:lang w:eastAsia="zh-CN"/>
        </w:rPr>
        <w:t>。</w:t>
      </w:r>
    </w:p>
    <w:p w14:paraId="17B0BE1A">
      <w:pPr>
        <w:numPr>
          <w:ilvl w:val="0"/>
          <w:numId w:val="63"/>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质量管理：每</w:t>
      </w:r>
      <w:r>
        <w:rPr>
          <w:rFonts w:hint="eastAsia" w:ascii="宋体" w:hAnsi="宋体" w:eastAsia="宋体" w:cs="宋体"/>
          <w:strike w:val="0"/>
          <w:dstrike w:val="0"/>
          <w:sz w:val="24"/>
          <w:szCs w:val="24"/>
          <w:lang w:val="en-US" w:eastAsia="zh-CN"/>
        </w:rPr>
        <w:t>季度</w:t>
      </w:r>
      <w:r>
        <w:rPr>
          <w:rFonts w:hint="eastAsia" w:ascii="宋体" w:hAnsi="宋体" w:eastAsia="宋体" w:cs="宋体"/>
          <w:strike w:val="0"/>
          <w:dstrike w:val="0"/>
          <w:sz w:val="24"/>
          <w:szCs w:val="24"/>
        </w:rPr>
        <w:t>1次开展观测要素比测，并制作审核月报表。简易气象点观测仪器采用现场比对，不作检定/校准。</w:t>
      </w:r>
    </w:p>
    <w:p w14:paraId="5117820A">
      <w:pPr>
        <w:numPr>
          <w:ilvl w:val="0"/>
          <w:numId w:val="57"/>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其他要求</w:t>
      </w:r>
    </w:p>
    <w:p w14:paraId="12B26EBB">
      <w:pPr>
        <w:numPr>
          <w:ilvl w:val="0"/>
          <w:numId w:val="64"/>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lang w:eastAsia="zh-CN"/>
        </w:rPr>
        <w:t>供应商</w:t>
      </w:r>
      <w:r>
        <w:rPr>
          <w:rFonts w:hint="eastAsia" w:ascii="宋体" w:hAnsi="宋体" w:eastAsia="宋体" w:cs="宋体"/>
          <w:strike w:val="0"/>
          <w:dstrike w:val="0"/>
          <w:sz w:val="24"/>
          <w:szCs w:val="24"/>
        </w:rPr>
        <w:t>必须提供实施相关服务所需的人员、车船、场所、试剂耗材及其他必需条件，并承担有关费用（因人为损坏或自然灾害等原因造成损失产生的费用除外）。</w:t>
      </w:r>
    </w:p>
    <w:p w14:paraId="488D127F">
      <w:pPr>
        <w:numPr>
          <w:ilvl w:val="0"/>
          <w:numId w:val="64"/>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应能长期提供系统正常运行所需配件、耗材及维护服务</w:t>
      </w:r>
      <w:r>
        <w:rPr>
          <w:rFonts w:hint="eastAsia" w:ascii="宋体" w:hAnsi="宋体" w:eastAsia="宋体" w:cs="宋体"/>
          <w:sz w:val="24"/>
          <w:szCs w:val="24"/>
          <w:lang w:eastAsia="zh-CN"/>
        </w:rPr>
        <w:t>，</w:t>
      </w:r>
      <w:r>
        <w:rPr>
          <w:rFonts w:hint="eastAsia" w:ascii="宋体" w:hAnsi="宋体" w:eastAsia="宋体" w:cs="宋体"/>
          <w:sz w:val="24"/>
          <w:szCs w:val="24"/>
        </w:rPr>
        <w:t>有合理配置的专业维护队伍负责对波浪浮标系统及潮位仪系统等提供现场技术服务。</w:t>
      </w:r>
    </w:p>
    <w:p w14:paraId="0B29F2BE">
      <w:pPr>
        <w:numPr>
          <w:ilvl w:val="0"/>
          <w:numId w:val="64"/>
        </w:numPr>
        <w:bidi w:val="0"/>
        <w:spacing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为使项目按质、按量、按时、有序实施，在项目实施期间，项目组成员未经采购人同意不得调整，否则采购人有权终止合同</w:t>
      </w:r>
      <w:r>
        <w:rPr>
          <w:rFonts w:hint="eastAsia" w:ascii="宋体" w:hAnsi="宋体" w:eastAsia="宋体" w:cs="宋体"/>
          <w:b w:val="0"/>
          <w:bCs w:val="0"/>
          <w:sz w:val="24"/>
          <w:szCs w:val="24"/>
          <w:lang w:eastAsia="zh-CN"/>
        </w:rPr>
        <w:t>。</w:t>
      </w:r>
    </w:p>
    <w:p w14:paraId="2283F9F1">
      <w:pPr>
        <w:numPr>
          <w:ilvl w:val="0"/>
          <w:numId w:val="64"/>
        </w:numPr>
        <w:bidi w:val="0"/>
        <w:spacing w:line="360" w:lineRule="auto"/>
        <w:ind w:left="0" w:leftChars="0" w:firstLine="480" w:firstLineChars="200"/>
        <w:rPr>
          <w:rFonts w:ascii="宋体" w:hAnsi="宋体" w:eastAsia="宋体"/>
          <w:b w:val="0"/>
          <w:bCs w:val="0"/>
          <w:sz w:val="24"/>
          <w:szCs w:val="24"/>
        </w:rPr>
      </w:pPr>
      <w:bookmarkStart w:id="89" w:name="_Toc491457069"/>
      <w:bookmarkEnd w:id="89"/>
      <w:r>
        <w:rPr>
          <w:rFonts w:hint="eastAsia" w:ascii="宋体" w:hAnsi="宋体" w:eastAsia="宋体" w:cs="宋体"/>
          <w:b w:val="0"/>
          <w:bCs w:val="0"/>
          <w:sz w:val="24"/>
          <w:szCs w:val="24"/>
        </w:rPr>
        <w:t>本项目的所有材料、设备、施工必须达到现行中华人民共和国及省、市、行业的一切有关法规、规范、标准的要求。</w:t>
      </w:r>
    </w:p>
    <w:p w14:paraId="1F027223">
      <w:pPr>
        <w:rPr>
          <w:rFonts w:hint="eastAsia" w:ascii="宋体" w:hAnsi="宋体" w:eastAsia="宋体" w:cs="宋体"/>
          <w:b/>
          <w:sz w:val="24"/>
          <w:szCs w:val="24"/>
        </w:rPr>
      </w:pPr>
    </w:p>
    <w:p w14:paraId="78FD9DB7">
      <w:pPr>
        <w:rPr>
          <w:rFonts w:hint="eastAsia" w:ascii="宋体" w:hAnsi="宋体" w:eastAsia="宋体" w:cs="宋体"/>
          <w:b/>
          <w:sz w:val="24"/>
          <w:szCs w:val="24"/>
        </w:rPr>
      </w:pPr>
    </w:p>
    <w:p w14:paraId="4A752998">
      <w:pPr>
        <w:pStyle w:val="6"/>
        <w:rPr>
          <w:rFonts w:hint="eastAsia" w:ascii="宋体" w:hAnsi="宋体" w:eastAsia="宋体" w:cs="宋体"/>
          <w:b/>
          <w:sz w:val="24"/>
          <w:szCs w:val="24"/>
        </w:rPr>
      </w:pPr>
    </w:p>
    <w:p w14:paraId="23098DF9">
      <w:pPr>
        <w:pStyle w:val="6"/>
        <w:rPr>
          <w:rFonts w:hint="eastAsia" w:ascii="宋体" w:hAnsi="宋体" w:eastAsia="宋体" w:cs="宋体"/>
          <w:b/>
          <w:sz w:val="24"/>
          <w:szCs w:val="24"/>
        </w:rPr>
      </w:pPr>
    </w:p>
    <w:p w14:paraId="50223F5D">
      <w:pPr>
        <w:pStyle w:val="6"/>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p>
    <w:p w14:paraId="4D1AACA0">
      <w:pPr>
        <w:numPr>
          <w:ilvl w:val="0"/>
          <w:numId w:val="57"/>
        </w:numPr>
        <w:spacing w:line="360" w:lineRule="auto"/>
        <w:ind w:left="0" w:leftChars="0" w:firstLine="420" w:firstLineChars="0"/>
        <w:outlineLvl w:val="1"/>
        <w:rPr>
          <w:rFonts w:hint="eastAsia" w:ascii="宋体" w:hAnsi="宋体" w:eastAsia="宋体" w:cs="宋体"/>
          <w:b/>
          <w:sz w:val="24"/>
          <w:szCs w:val="24"/>
        </w:rPr>
      </w:pPr>
      <w:bookmarkStart w:id="90" w:name="_Toc772"/>
      <w:bookmarkStart w:id="91" w:name="_Toc19655"/>
      <w:r>
        <w:rPr>
          <w:rFonts w:hint="eastAsia" w:ascii="宋体" w:hAnsi="宋体" w:eastAsia="宋体" w:cs="宋体"/>
          <w:b/>
          <w:sz w:val="24"/>
          <w:szCs w:val="24"/>
        </w:rPr>
        <w:t>商务需求</w:t>
      </w:r>
      <w:bookmarkEnd w:id="90"/>
      <w:bookmarkEnd w:id="91"/>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1"/>
        <w:gridCol w:w="7057"/>
      </w:tblGrid>
      <w:tr w14:paraId="21510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3AF474CE">
            <w:pPr>
              <w:widowControl/>
              <w:spacing w:line="312"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事项</w:t>
            </w:r>
          </w:p>
        </w:tc>
        <w:tc>
          <w:tcPr>
            <w:tcW w:w="7057" w:type="dxa"/>
            <w:tcBorders>
              <w:top w:val="single" w:color="auto" w:sz="4" w:space="0"/>
              <w:left w:val="single" w:color="auto" w:sz="4" w:space="0"/>
              <w:bottom w:val="single" w:color="auto" w:sz="4" w:space="0"/>
              <w:right w:val="single" w:color="auto" w:sz="4" w:space="0"/>
            </w:tcBorders>
            <w:vAlign w:val="center"/>
          </w:tcPr>
          <w:p w14:paraId="32F426E4">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要 求</w:t>
            </w:r>
          </w:p>
        </w:tc>
      </w:tr>
      <w:tr w14:paraId="6F7B4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0EDA518A">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w:t>
            </w:r>
            <w:r>
              <w:rPr>
                <w:rFonts w:hint="eastAsia" w:ascii="宋体" w:hAnsi="宋体" w:cs="宋体"/>
                <w:b/>
                <w:bCs/>
                <w:kern w:val="0"/>
                <w:sz w:val="21"/>
                <w:szCs w:val="21"/>
                <w:highlight w:val="none"/>
                <w:lang w:val="en-US" w:eastAsia="zh-CN"/>
              </w:rPr>
              <w:t>服务期</w:t>
            </w:r>
          </w:p>
        </w:tc>
        <w:tc>
          <w:tcPr>
            <w:tcW w:w="7057" w:type="dxa"/>
            <w:tcBorders>
              <w:top w:val="single" w:color="auto" w:sz="4" w:space="0"/>
              <w:left w:val="single" w:color="auto" w:sz="4" w:space="0"/>
              <w:bottom w:val="single" w:color="auto" w:sz="4" w:space="0"/>
              <w:right w:val="single" w:color="auto" w:sz="4" w:space="0"/>
            </w:tcBorders>
            <w:vAlign w:val="center"/>
          </w:tcPr>
          <w:p w14:paraId="6F6972AA">
            <w:pPr>
              <w:widowControl/>
              <w:spacing w:line="312" w:lineRule="auto"/>
              <w:jc w:val="left"/>
              <w:rPr>
                <w:rFonts w:hint="eastAsia" w:ascii="宋体" w:hAnsi="宋体" w:eastAsia="宋体" w:cs="宋体"/>
                <w:b/>
                <w:bCs/>
                <w:sz w:val="21"/>
                <w:szCs w:val="21"/>
                <w:lang w:eastAsia="zh-CN"/>
              </w:rPr>
            </w:pPr>
            <w:r>
              <w:rPr>
                <w:rFonts w:hint="eastAsia" w:ascii="宋体" w:hAnsi="宋体" w:cs="宋体"/>
                <w:b/>
                <w:bCs/>
                <w:kern w:val="0"/>
                <w:sz w:val="21"/>
                <w:szCs w:val="21"/>
                <w:highlight w:val="none"/>
                <w:lang w:val="en-US" w:eastAsia="zh-CN"/>
              </w:rPr>
              <w:t>一年</w:t>
            </w:r>
          </w:p>
        </w:tc>
      </w:tr>
      <w:tr w14:paraId="71981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3476F9D7">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▲付款条件</w:t>
            </w:r>
          </w:p>
        </w:tc>
        <w:tc>
          <w:tcPr>
            <w:tcW w:w="7057" w:type="dxa"/>
            <w:tcBorders>
              <w:top w:val="single" w:color="auto" w:sz="4" w:space="0"/>
              <w:left w:val="single" w:color="auto" w:sz="4" w:space="0"/>
              <w:bottom w:val="single" w:color="auto" w:sz="4" w:space="0"/>
              <w:right w:val="single" w:color="auto" w:sz="4" w:space="0"/>
            </w:tcBorders>
            <w:vAlign w:val="center"/>
          </w:tcPr>
          <w:p w14:paraId="1B86781C">
            <w:pPr>
              <w:widowControl/>
              <w:spacing w:line="312" w:lineRule="auto"/>
              <w:jc w:val="left"/>
              <w:rPr>
                <w:rFonts w:hint="eastAsia" w:ascii="宋体" w:hAnsi="宋体" w:eastAsia="宋体" w:cs="宋体"/>
                <w:b/>
                <w:bCs/>
                <w:color w:val="auto"/>
                <w:sz w:val="21"/>
                <w:szCs w:val="21"/>
                <w:highlight w:val="none"/>
                <w:lang w:val="en-US" w:eastAsia="zh-CN"/>
              </w:rPr>
            </w:pPr>
            <w:r>
              <w:rPr>
                <w:rFonts w:hint="eastAsia" w:ascii="宋体" w:hAnsi="宋体" w:cs="宋体"/>
                <w:b/>
                <w:bCs/>
                <w:sz w:val="21"/>
                <w:szCs w:val="21"/>
                <w:lang w:eastAsia="zh-CN"/>
              </w:rPr>
              <w:t>合同生效</w:t>
            </w:r>
            <w:r>
              <w:rPr>
                <w:rFonts w:hint="eastAsia" w:ascii="宋体" w:hAnsi="宋体" w:cs="宋体"/>
                <w:b/>
                <w:bCs/>
                <w:sz w:val="21"/>
                <w:szCs w:val="21"/>
                <w:highlight w:val="none"/>
                <w:lang w:eastAsia="zh-CN"/>
              </w:rPr>
              <w:t>后，</w:t>
            </w:r>
            <w:r>
              <w:rPr>
                <w:rFonts w:hint="eastAsia" w:ascii="宋体" w:hAnsi="宋体" w:cs="宋体"/>
                <w:b/>
                <w:bCs/>
                <w:sz w:val="21"/>
                <w:szCs w:val="21"/>
                <w:highlight w:val="none"/>
                <w:lang w:val="en-US" w:eastAsia="zh-CN"/>
              </w:rPr>
              <w:t>自收到发票后</w:t>
            </w:r>
            <w:r>
              <w:rPr>
                <w:rFonts w:hint="eastAsia" w:ascii="宋体" w:hAnsi="宋体" w:eastAsia="宋体" w:cs="宋体"/>
                <w:b/>
                <w:bCs/>
                <w:sz w:val="21"/>
                <w:szCs w:val="21"/>
                <w:highlight w:val="none"/>
                <w:lang w:val="en-US" w:eastAsia="zh-CN"/>
              </w:rPr>
              <w:t>7个工作日内支付合同金额的</w:t>
            </w:r>
            <w:r>
              <w:rPr>
                <w:rFonts w:hint="eastAsia" w:ascii="宋体" w:hAnsi="宋体" w:cs="宋体"/>
                <w:b/>
                <w:bCs/>
                <w:sz w:val="21"/>
                <w:szCs w:val="21"/>
                <w:highlight w:val="none"/>
                <w:lang w:val="en-US" w:eastAsia="zh-CN"/>
              </w:rPr>
              <w:t>5</w:t>
            </w:r>
            <w:r>
              <w:rPr>
                <w:rFonts w:hint="eastAsia" w:ascii="宋体" w:hAnsi="宋体" w:eastAsia="宋体" w:cs="宋体"/>
                <w:b/>
                <w:bCs/>
                <w:sz w:val="21"/>
                <w:szCs w:val="21"/>
                <w:highlight w:val="none"/>
                <w:lang w:val="en-US" w:eastAsia="zh-CN"/>
              </w:rPr>
              <w:t>0%作为预付</w:t>
            </w:r>
            <w:r>
              <w:rPr>
                <w:rFonts w:hint="eastAsia" w:ascii="宋体" w:hAnsi="宋体" w:eastAsia="宋体" w:cs="宋体"/>
                <w:b/>
                <w:bCs/>
                <w:color w:val="auto"/>
                <w:sz w:val="21"/>
                <w:szCs w:val="21"/>
                <w:highlight w:val="none"/>
                <w:lang w:val="en-US" w:eastAsia="zh-CN"/>
              </w:rPr>
              <w:t>款；</w:t>
            </w:r>
          </w:p>
          <w:p w14:paraId="04B89F2B">
            <w:pPr>
              <w:widowControl/>
              <w:spacing w:line="312" w:lineRule="auto"/>
              <w:jc w:val="left"/>
              <w:rPr>
                <w:rFonts w:hint="eastAsia" w:ascii="宋体" w:hAnsi="宋体" w:eastAsia="宋体" w:cs="宋体"/>
                <w:b/>
                <w:bCs/>
                <w:color w:val="auto"/>
                <w:sz w:val="21"/>
                <w:szCs w:val="21"/>
              </w:rPr>
            </w:pPr>
            <w:r>
              <w:rPr>
                <w:rFonts w:hint="eastAsia" w:ascii="宋体" w:hAnsi="宋体" w:cs="宋体"/>
                <w:b/>
                <w:bCs/>
                <w:color w:val="auto"/>
                <w:sz w:val="21"/>
                <w:szCs w:val="21"/>
                <w:highlight w:val="none"/>
                <w:lang w:val="en-US" w:eastAsia="zh-CN"/>
              </w:rPr>
              <w:t>2025年12月1日前支付合同金额的30%</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lang w:val="en-US" w:eastAsia="zh-CN"/>
              </w:rPr>
              <w:t>维护期满并通过验收后，自收到发票后10个工作日内支付余款</w:t>
            </w:r>
            <w:r>
              <w:rPr>
                <w:rFonts w:hint="eastAsia" w:ascii="宋体" w:hAnsi="宋体" w:eastAsia="宋体" w:cs="宋体"/>
                <w:b/>
                <w:bCs/>
                <w:color w:val="auto"/>
                <w:sz w:val="21"/>
                <w:szCs w:val="21"/>
              </w:rPr>
              <w:t>。</w:t>
            </w:r>
          </w:p>
          <w:p w14:paraId="1B70E69C">
            <w:pPr>
              <w:widowControl/>
              <w:spacing w:line="312" w:lineRule="auto"/>
              <w:jc w:val="left"/>
              <w:rPr>
                <w:rFonts w:hint="eastAsia" w:ascii="宋体" w:hAnsi="宋体" w:eastAsia="宋体" w:cs="宋体"/>
                <w:b/>
                <w:bCs/>
                <w:sz w:val="21"/>
                <w:szCs w:val="21"/>
                <w:lang w:eastAsia="zh-CN"/>
              </w:rPr>
            </w:pPr>
            <w:r>
              <w:rPr>
                <w:rFonts w:hint="eastAsia" w:ascii="宋体" w:hAnsi="宋体" w:cs="宋体"/>
                <w:b/>
                <w:bCs/>
                <w:color w:val="auto"/>
                <w:sz w:val="21"/>
                <w:szCs w:val="21"/>
                <w:lang w:val="en-US" w:eastAsia="zh-CN"/>
              </w:rPr>
              <w:t>每次付款供应商均需</w:t>
            </w:r>
            <w:r>
              <w:rPr>
                <w:rFonts w:hint="eastAsia" w:ascii="宋体" w:hAnsi="宋体" w:eastAsia="宋体" w:cs="宋体"/>
                <w:b/>
                <w:bCs/>
                <w:color w:val="auto"/>
                <w:sz w:val="21"/>
                <w:szCs w:val="21"/>
              </w:rPr>
              <w:t>提供等额的正式发票</w:t>
            </w:r>
            <w:r>
              <w:rPr>
                <w:rFonts w:hint="eastAsia" w:ascii="宋体" w:hAnsi="宋体" w:cs="宋体"/>
                <w:b/>
                <w:bCs/>
                <w:color w:val="auto"/>
                <w:sz w:val="21"/>
                <w:szCs w:val="21"/>
                <w:lang w:eastAsia="zh-CN"/>
              </w:rPr>
              <w:t>。</w:t>
            </w:r>
          </w:p>
        </w:tc>
      </w:tr>
    </w:tbl>
    <w:p w14:paraId="47EC4F4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p>
    <w:p w14:paraId="5609079D">
      <w:pPr>
        <w:spacing w:line="360" w:lineRule="auto"/>
        <w:rPr>
          <w:rFonts w:hint="eastAsia" w:ascii="宋体" w:hAnsi="宋体" w:eastAsia="宋体" w:cs="宋体"/>
          <w:b/>
          <w:sz w:val="30"/>
          <w:szCs w:val="30"/>
        </w:rPr>
      </w:pPr>
    </w:p>
    <w:p w14:paraId="6A602455">
      <w:pPr>
        <w:spacing w:line="360" w:lineRule="auto"/>
        <w:rPr>
          <w:rFonts w:hint="eastAsia" w:ascii="宋体" w:hAnsi="宋体" w:eastAsia="宋体" w:cs="宋体"/>
          <w:b/>
          <w:sz w:val="30"/>
          <w:szCs w:val="30"/>
        </w:rPr>
      </w:pPr>
    </w:p>
    <w:p w14:paraId="3C5EF854">
      <w:pPr>
        <w:spacing w:line="360" w:lineRule="auto"/>
        <w:rPr>
          <w:rFonts w:hint="eastAsia" w:ascii="宋体" w:hAnsi="宋体" w:eastAsia="宋体" w:cs="宋体"/>
          <w:b/>
          <w:sz w:val="30"/>
          <w:szCs w:val="30"/>
        </w:rPr>
      </w:pPr>
    </w:p>
    <w:p w14:paraId="4F8CE108">
      <w:pPr>
        <w:spacing w:line="360" w:lineRule="auto"/>
        <w:rPr>
          <w:rFonts w:hint="eastAsia" w:ascii="宋体" w:hAnsi="宋体" w:eastAsia="宋体" w:cs="宋体"/>
          <w:b/>
          <w:sz w:val="30"/>
          <w:szCs w:val="30"/>
        </w:rPr>
      </w:pPr>
    </w:p>
    <w:p w14:paraId="4790598B">
      <w:pPr>
        <w:rPr>
          <w:rFonts w:hint="eastAsia" w:ascii="宋体" w:hAnsi="宋体" w:eastAsia="宋体" w:cs="宋体"/>
          <w:b/>
          <w:sz w:val="36"/>
          <w:szCs w:val="36"/>
        </w:rPr>
      </w:pPr>
    </w:p>
    <w:p w14:paraId="5EF808B3">
      <w:pPr>
        <w:rPr>
          <w:rFonts w:hint="eastAsia" w:ascii="宋体" w:hAnsi="宋体" w:eastAsia="宋体" w:cs="宋体"/>
          <w:b/>
          <w:sz w:val="36"/>
          <w:szCs w:val="36"/>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36"/>
          <w:szCs w:val="36"/>
        </w:rPr>
        <w:br w:type="page"/>
      </w:r>
    </w:p>
    <w:p w14:paraId="67F42532">
      <w:pPr>
        <w:numPr>
          <w:ilvl w:val="0"/>
          <w:numId w:val="10"/>
        </w:numPr>
        <w:spacing w:line="360" w:lineRule="auto"/>
        <w:jc w:val="center"/>
        <w:outlineLvl w:val="0"/>
        <w:rPr>
          <w:rFonts w:hint="eastAsia" w:ascii="宋体" w:hAnsi="宋体" w:eastAsia="宋体" w:cs="宋体"/>
          <w:b/>
          <w:sz w:val="36"/>
          <w:szCs w:val="36"/>
        </w:rPr>
      </w:pPr>
      <w:bookmarkStart w:id="92" w:name="_Toc7835"/>
      <w:bookmarkStart w:id="93" w:name="_Toc31114"/>
      <w:r>
        <w:rPr>
          <w:rFonts w:hint="eastAsia" w:ascii="宋体" w:hAnsi="宋体" w:eastAsia="宋体" w:cs="宋体"/>
          <w:b/>
          <w:sz w:val="36"/>
          <w:szCs w:val="36"/>
        </w:rPr>
        <w:t>政府采购合同主要条款指引</w:t>
      </w:r>
      <w:bookmarkEnd w:id="92"/>
      <w:bookmarkEnd w:id="93"/>
    </w:p>
    <w:p w14:paraId="570A92E2">
      <w:pPr>
        <w:pStyle w:val="13"/>
        <w:snapToGrid w:val="0"/>
        <w:spacing w:before="120" w:after="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甲方：（采购单位）                                                          </w:t>
      </w:r>
    </w:p>
    <w:p w14:paraId="6D5CAEC6">
      <w:pPr>
        <w:pStyle w:val="13"/>
        <w:snapToGrid w:val="0"/>
        <w:spacing w:before="120" w:after="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乙方：（中标供应商）                          </w:t>
      </w:r>
    </w:p>
    <w:p w14:paraId="26B0EF7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cs="宋体"/>
          <w:b/>
          <w:bCs/>
          <w:sz w:val="24"/>
          <w:szCs w:val="24"/>
          <w:lang w:eastAsia="zh-CN"/>
        </w:rPr>
        <w:t>2025年台州市海洋观测站点日常运行维护项目（</w:t>
      </w:r>
      <w:r>
        <w:rPr>
          <w:rFonts w:hint="eastAsia" w:ascii="宋体" w:hAnsi="宋体" w:cs="宋体"/>
          <w:b/>
          <w:bCs/>
          <w:sz w:val="24"/>
          <w:szCs w:val="24"/>
          <w:lang w:val="en-US" w:eastAsia="zh-CN"/>
        </w:rPr>
        <w:t>项目编号：TZYY-2506-002号</w:t>
      </w:r>
      <w:r>
        <w:rPr>
          <w:rFonts w:hint="eastAsia" w:ascii="宋体" w:hAnsi="宋体" w:cs="宋体"/>
          <w:b/>
          <w:bCs/>
          <w:sz w:val="24"/>
          <w:szCs w:val="24"/>
          <w:lang w:eastAsia="zh-CN"/>
        </w:rPr>
        <w:t>）</w:t>
      </w:r>
      <w:r>
        <w:rPr>
          <w:rFonts w:hint="eastAsia" w:ascii="宋体" w:hAnsi="宋体" w:eastAsia="宋体" w:cs="宋体"/>
          <w:sz w:val="24"/>
          <w:szCs w:val="24"/>
        </w:rPr>
        <w:t>公开招标的结果，签署本合同。</w:t>
      </w:r>
    </w:p>
    <w:p w14:paraId="5E1B09BC">
      <w:pPr>
        <w:keepNext w:val="0"/>
        <w:keepLines w:val="0"/>
        <w:pageBreakBefore w:val="0"/>
        <w:numPr>
          <w:ilvl w:val="0"/>
          <w:numId w:val="65"/>
        </w:numPr>
        <w:kinsoku/>
        <w:wordWrap/>
        <w:overflowPunct/>
        <w:topLinePunct w:val="0"/>
        <w:bidi w:val="0"/>
        <w:adjustRightInd/>
        <w:snapToGrid/>
        <w:spacing w:line="360" w:lineRule="auto"/>
        <w:ind w:left="0" w:leftChars="0" w:firstLine="482" w:firstLineChars="200"/>
        <w:jc w:val="left"/>
        <w:textAlignment w:val="auto"/>
        <w:outlineLvl w:val="1"/>
        <w:rPr>
          <w:rFonts w:ascii="宋体"/>
          <w:b/>
          <w:bCs w:val="0"/>
          <w:color w:val="000000"/>
          <w:sz w:val="24"/>
          <w:szCs w:val="24"/>
          <w:lang w:val="zh-CN"/>
        </w:rPr>
      </w:pPr>
      <w:bookmarkStart w:id="94" w:name="_Toc14348"/>
      <w:bookmarkStart w:id="95" w:name="_Toc14053"/>
      <w:r>
        <w:rPr>
          <w:rFonts w:hint="eastAsia" w:ascii="宋体"/>
          <w:b/>
          <w:bCs w:val="0"/>
          <w:color w:val="000000"/>
          <w:sz w:val="24"/>
          <w:szCs w:val="24"/>
          <w:lang w:val="zh-CN"/>
        </w:rPr>
        <w:t>合同文件：</w:t>
      </w:r>
      <w:bookmarkEnd w:id="94"/>
      <w:bookmarkEnd w:id="95"/>
      <w:r>
        <w:rPr>
          <w:rFonts w:hint="eastAsia" w:ascii="宋体"/>
          <w:b/>
          <w:bCs w:val="0"/>
          <w:color w:val="000000"/>
          <w:sz w:val="24"/>
          <w:szCs w:val="24"/>
          <w:lang w:val="zh-CN"/>
        </w:rPr>
        <w:t xml:space="preserve"> </w:t>
      </w:r>
    </w:p>
    <w:p w14:paraId="334C6351">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合同条款。</w:t>
      </w:r>
    </w:p>
    <w:p w14:paraId="2EC92362">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中标通知书。</w:t>
      </w:r>
    </w:p>
    <w:p w14:paraId="1182DDE0">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更正补充文件。</w:t>
      </w:r>
    </w:p>
    <w:p w14:paraId="339C9463">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招标文件。</w:t>
      </w:r>
    </w:p>
    <w:p w14:paraId="7F826A95">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中标供应商投标文件。</w:t>
      </w:r>
    </w:p>
    <w:p w14:paraId="7B9AAC21">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其他。</w:t>
      </w:r>
    </w:p>
    <w:p w14:paraId="00E09E7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333333"/>
          <w:kern w:val="0"/>
          <w:sz w:val="24"/>
          <w:szCs w:val="24"/>
        </w:rPr>
      </w:pPr>
      <w:r>
        <w:rPr>
          <w:rFonts w:hint="eastAsia"/>
          <w:color w:val="000000"/>
          <w:sz w:val="24"/>
          <w:szCs w:val="24"/>
          <w:lang w:val="zh-CN"/>
        </w:rPr>
        <w:t>上述所指合同文件应认为是互相补充和解释的，但是有模棱两可或互相矛盾之处，以其所列内容顺序为准。</w:t>
      </w:r>
    </w:p>
    <w:p w14:paraId="73A4A048">
      <w:pPr>
        <w:keepNext w:val="0"/>
        <w:keepLines w:val="0"/>
        <w:pageBreakBefore w:val="0"/>
        <w:widowControl/>
        <w:numPr>
          <w:ilvl w:val="0"/>
          <w:numId w:val="65"/>
        </w:numPr>
        <w:shd w:val="clear" w:color="auto" w:fill="FFFFFF"/>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333333"/>
          <w:kern w:val="0"/>
          <w:sz w:val="24"/>
          <w:szCs w:val="24"/>
        </w:rPr>
      </w:pPr>
      <w:bookmarkStart w:id="96" w:name="_Toc25574"/>
      <w:bookmarkStart w:id="97" w:name="_Toc26657"/>
      <w:r>
        <w:rPr>
          <w:rFonts w:hint="eastAsia" w:ascii="宋体" w:hAnsi="宋体" w:eastAsia="宋体" w:cs="宋体"/>
          <w:b/>
          <w:bCs w:val="0"/>
          <w:color w:val="333333"/>
          <w:kern w:val="0"/>
          <w:sz w:val="24"/>
          <w:szCs w:val="24"/>
        </w:rPr>
        <w:t>合同内容及服务标准</w:t>
      </w:r>
      <w:bookmarkEnd w:id="96"/>
      <w:bookmarkEnd w:id="97"/>
    </w:p>
    <w:p w14:paraId="160899FD">
      <w:pPr>
        <w:keepNext w:val="0"/>
        <w:keepLines w:val="0"/>
        <w:pageBreakBefore w:val="0"/>
        <w:widowControl/>
        <w:shd w:val="clear" w:color="auto" w:fill="FFFFFF"/>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（具体见项目需求）</w:t>
      </w:r>
    </w:p>
    <w:p w14:paraId="0611255F">
      <w:pPr>
        <w:pStyle w:val="13"/>
        <w:keepNext w:val="0"/>
        <w:keepLines w:val="0"/>
        <w:pageBreakBefore w:val="0"/>
        <w:numPr>
          <w:ilvl w:val="0"/>
          <w:numId w:val="65"/>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98" w:name="_Toc7882"/>
      <w:bookmarkStart w:id="99" w:name="_Toc15125"/>
      <w:r>
        <w:rPr>
          <w:rFonts w:hint="eastAsia" w:ascii="宋体" w:hAnsi="宋体" w:eastAsia="宋体" w:cs="宋体"/>
          <w:b/>
          <w:bCs w:val="0"/>
          <w:i w:val="0"/>
          <w:iCs w:val="0"/>
          <w:color w:val="auto"/>
          <w:sz w:val="24"/>
          <w:szCs w:val="24"/>
        </w:rPr>
        <w:t>合同金额</w:t>
      </w:r>
      <w:bookmarkEnd w:id="98"/>
      <w:bookmarkEnd w:id="99"/>
    </w:p>
    <w:p w14:paraId="0818FBCD">
      <w:pPr>
        <w:pStyle w:val="13"/>
        <w:keepNext w:val="0"/>
        <w:keepLines w:val="0"/>
        <w:pageBreakBefore w:val="0"/>
        <w:kinsoku/>
        <w:wordWrap/>
        <w:overflowPunct/>
        <w:topLinePunct w:val="0"/>
        <w:bidi w:val="0"/>
        <w:adjustRightInd/>
        <w:snapToGrid/>
        <w:spacing w:line="360" w:lineRule="auto"/>
        <w:ind w:left="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w:t>
      </w:r>
      <w:r>
        <w:rPr>
          <w:rFonts w:hint="eastAsia" w:hAnsi="宋体" w:cs="宋体"/>
          <w:i w:val="0"/>
          <w:iCs w:val="0"/>
          <w:color w:val="auto"/>
          <w:sz w:val="24"/>
          <w:szCs w:val="24"/>
          <w:lang w:val="en-US" w:eastAsia="zh-CN"/>
        </w:rPr>
        <w:t>含税</w:t>
      </w:r>
      <w:r>
        <w:rPr>
          <w:rFonts w:hint="eastAsia" w:ascii="宋体" w:hAnsi="宋体" w:eastAsia="宋体" w:cs="宋体"/>
          <w:i w:val="0"/>
          <w:iCs w:val="0"/>
          <w:color w:val="auto"/>
          <w:sz w:val="24"/>
          <w:szCs w:val="24"/>
        </w:rPr>
        <w:t>金额为（大写）：______________元（￥__________元）人民币。</w:t>
      </w:r>
    </w:p>
    <w:p w14:paraId="40A43351">
      <w:pPr>
        <w:pStyle w:val="13"/>
        <w:keepNext w:val="0"/>
        <w:keepLines w:val="0"/>
        <w:pageBreakBefore w:val="0"/>
        <w:widowControl w:val="0"/>
        <w:numPr>
          <w:ilvl w:val="0"/>
          <w:numId w:val="65"/>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0" w:name="_Toc15833"/>
      <w:bookmarkStart w:id="101" w:name="_Toc28111"/>
      <w:r>
        <w:rPr>
          <w:rFonts w:hint="eastAsia" w:ascii="宋体" w:hAnsi="宋体" w:eastAsia="宋体" w:cs="宋体"/>
          <w:b/>
          <w:bCs w:val="0"/>
          <w:i w:val="0"/>
          <w:iCs w:val="0"/>
          <w:color w:val="auto"/>
          <w:sz w:val="24"/>
          <w:szCs w:val="24"/>
        </w:rPr>
        <w:t>技术资料</w:t>
      </w:r>
      <w:bookmarkEnd w:id="100"/>
      <w:bookmarkEnd w:id="101"/>
    </w:p>
    <w:p w14:paraId="1C47153F">
      <w:pPr>
        <w:pStyle w:val="13"/>
        <w:keepNext w:val="0"/>
        <w:keepLines w:val="0"/>
        <w:pageBreakBefore w:val="0"/>
        <w:widowControl w:val="0"/>
        <w:numPr>
          <w:ilvl w:val="0"/>
          <w:numId w:val="67"/>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乙方应按</w:t>
      </w:r>
      <w:r>
        <w:rPr>
          <w:rFonts w:hint="eastAsia" w:hAnsi="宋体" w:cs="宋体"/>
          <w:i w:val="0"/>
          <w:iCs w:val="0"/>
          <w:color w:val="auto"/>
          <w:sz w:val="24"/>
          <w:szCs w:val="24"/>
          <w:lang w:eastAsia="zh-CN"/>
        </w:rPr>
        <w:t>采购文件</w:t>
      </w:r>
      <w:r>
        <w:rPr>
          <w:rFonts w:hint="eastAsia" w:ascii="宋体" w:hAnsi="宋体" w:eastAsia="宋体" w:cs="宋体"/>
          <w:i w:val="0"/>
          <w:iCs w:val="0"/>
          <w:color w:val="auto"/>
          <w:sz w:val="24"/>
          <w:szCs w:val="24"/>
        </w:rPr>
        <w:t>规定的时间向甲方提供有关技术资料。</w:t>
      </w:r>
    </w:p>
    <w:p w14:paraId="1E7F8EEE">
      <w:pPr>
        <w:pStyle w:val="13"/>
        <w:keepNext w:val="0"/>
        <w:keepLines w:val="0"/>
        <w:pageBreakBefore w:val="0"/>
        <w:widowControl w:val="0"/>
        <w:numPr>
          <w:ilvl w:val="0"/>
          <w:numId w:val="67"/>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泄密</w:t>
      </w:r>
      <w:r>
        <w:rPr>
          <w:rFonts w:hint="eastAsia" w:ascii="宋体" w:hAnsi="宋体" w:eastAsia="宋体" w:cs="宋体"/>
          <w:i w:val="0"/>
          <w:iCs w:val="0"/>
          <w:color w:val="auto"/>
          <w:sz w:val="24"/>
          <w:szCs w:val="24"/>
          <w:lang w:val="en-US" w:eastAsia="zh-CN"/>
        </w:rPr>
        <w:t>须</w:t>
      </w:r>
      <w:r>
        <w:rPr>
          <w:rFonts w:hint="eastAsia" w:ascii="宋体" w:hAnsi="宋体" w:eastAsia="宋体" w:cs="宋体"/>
          <w:i w:val="0"/>
          <w:iCs w:val="0"/>
          <w:color w:val="auto"/>
          <w:sz w:val="24"/>
          <w:szCs w:val="24"/>
        </w:rPr>
        <w:t>按合同金额</w:t>
      </w:r>
      <w:r>
        <w:rPr>
          <w:rFonts w:hint="eastAsia" w:hAnsi="宋体" w:cs="宋体"/>
          <w:i w:val="0"/>
          <w:iCs w:val="0"/>
          <w:color w:val="auto"/>
          <w:sz w:val="24"/>
          <w:szCs w:val="24"/>
          <w:lang w:val="en-US" w:eastAsia="zh-CN"/>
        </w:rPr>
        <w:t>5%</w:t>
      </w:r>
      <w:r>
        <w:rPr>
          <w:rFonts w:hint="eastAsia" w:ascii="宋体" w:hAnsi="宋体" w:eastAsia="宋体" w:cs="宋体"/>
          <w:i w:val="0"/>
          <w:iCs w:val="0"/>
          <w:color w:val="auto"/>
          <w:sz w:val="24"/>
          <w:szCs w:val="24"/>
        </w:rPr>
        <w:t>向甲方支付违约金，</w:t>
      </w:r>
      <w:r>
        <w:rPr>
          <w:rFonts w:hint="eastAsia" w:ascii="宋体" w:hAnsi="宋体" w:eastAsia="宋体" w:cs="宋体"/>
          <w:i w:val="0"/>
          <w:iCs w:val="0"/>
          <w:color w:val="auto"/>
          <w:sz w:val="24"/>
          <w:szCs w:val="24"/>
          <w:lang w:val="en-US" w:eastAsia="zh-CN"/>
        </w:rPr>
        <w:t>如造成甲方损失超过违约金的，超出部分由乙方继续承担赔偿责任。无论本合同是否变更、解除或终止，本条款持续有效，乙方受本条款永久约束。</w:t>
      </w:r>
    </w:p>
    <w:p w14:paraId="5AF77CEE">
      <w:pPr>
        <w:pStyle w:val="13"/>
        <w:keepNext w:val="0"/>
        <w:keepLines w:val="0"/>
        <w:pageBreakBefore w:val="0"/>
        <w:widowControl w:val="0"/>
        <w:numPr>
          <w:ilvl w:val="0"/>
          <w:numId w:val="65"/>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2" w:name="_Toc28968"/>
      <w:bookmarkStart w:id="103" w:name="_Toc4945"/>
      <w:r>
        <w:rPr>
          <w:rFonts w:hint="eastAsia" w:ascii="宋体" w:hAnsi="宋体" w:eastAsia="宋体" w:cs="宋体"/>
          <w:b/>
          <w:bCs w:val="0"/>
          <w:i w:val="0"/>
          <w:iCs w:val="0"/>
          <w:color w:val="auto"/>
          <w:sz w:val="24"/>
          <w:szCs w:val="24"/>
        </w:rPr>
        <w:t>知识产权</w:t>
      </w:r>
      <w:bookmarkEnd w:id="102"/>
      <w:bookmarkEnd w:id="103"/>
    </w:p>
    <w:p w14:paraId="6944B5B4">
      <w:pPr>
        <w:pStyle w:val="13"/>
        <w:keepNext w:val="0"/>
        <w:keepLines w:val="0"/>
        <w:pageBreakBefore w:val="0"/>
        <w:widowControl w:val="0"/>
        <w:numPr>
          <w:ilvl w:val="0"/>
          <w:numId w:val="68"/>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乙方应保证提供服务过程中不会侵犯任何第三方的知识产权</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否则甲方有权要求乙方承担本合同金额5％的违约金，</w:t>
      </w:r>
      <w:r>
        <w:rPr>
          <w:rFonts w:hint="eastAsia" w:ascii="宋体" w:hAnsi="宋体" w:eastAsia="宋体" w:cs="宋体"/>
          <w:i w:val="0"/>
          <w:iCs w:val="0"/>
          <w:color w:val="auto"/>
          <w:sz w:val="24"/>
          <w:szCs w:val="24"/>
          <w:lang w:eastAsia="zh-CN"/>
        </w:rPr>
        <w:t>如造成甲方损失超过违约金的，超出部分由乙方继续承担赔偿责任</w:t>
      </w:r>
      <w:r>
        <w:rPr>
          <w:rFonts w:hint="eastAsia" w:ascii="宋体" w:hAnsi="宋体" w:eastAsia="宋体" w:cs="宋体"/>
          <w:i w:val="0"/>
          <w:iCs w:val="0"/>
          <w:color w:val="auto"/>
          <w:sz w:val="24"/>
          <w:szCs w:val="24"/>
        </w:rPr>
        <w:t>。</w:t>
      </w:r>
    </w:p>
    <w:p w14:paraId="3E219010">
      <w:pPr>
        <w:pStyle w:val="13"/>
        <w:keepNext w:val="0"/>
        <w:keepLines w:val="0"/>
        <w:pageBreakBefore w:val="0"/>
        <w:widowControl w:val="0"/>
        <w:numPr>
          <w:ilvl w:val="0"/>
          <w:numId w:val="68"/>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因实施本项目所产生成果的知识产权归甲方所有，乙方仅限本项目使用。</w:t>
      </w:r>
    </w:p>
    <w:p w14:paraId="7592B158">
      <w:pPr>
        <w:keepNext w:val="0"/>
        <w:keepLines w:val="0"/>
        <w:pageBreakBefore w:val="0"/>
        <w:widowControl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4" w:name="_Toc23596"/>
      <w:bookmarkStart w:id="105" w:name="_Toc21699"/>
      <w:r>
        <w:rPr>
          <w:rFonts w:hint="eastAsia" w:ascii="宋体" w:hAnsi="宋体" w:eastAsia="宋体" w:cs="宋体"/>
          <w:b/>
          <w:bCs w:val="0"/>
          <w:i w:val="0"/>
          <w:iCs w:val="0"/>
          <w:color w:val="auto"/>
          <w:sz w:val="24"/>
          <w:szCs w:val="24"/>
        </w:rPr>
        <w:t>转包或分包</w:t>
      </w:r>
      <w:bookmarkEnd w:id="104"/>
      <w:bookmarkEnd w:id="105"/>
    </w:p>
    <w:p w14:paraId="5D819CB3">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本合同范围的服务，应由乙方直接供应，不得转让他人供应</w:t>
      </w:r>
      <w:r>
        <w:rPr>
          <w:rFonts w:hint="eastAsia" w:ascii="宋体" w:hAnsi="宋体" w:cs="宋体"/>
          <w:i w:val="0"/>
          <w:iCs w:val="0"/>
          <w:color w:val="auto"/>
          <w:sz w:val="24"/>
          <w:szCs w:val="24"/>
          <w:lang w:eastAsia="zh-CN"/>
        </w:rPr>
        <w:t>。</w:t>
      </w:r>
    </w:p>
    <w:p w14:paraId="5846C088">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乙方不得将本合同范围的服务全部或部分分包给他人供应</w:t>
      </w:r>
      <w:r>
        <w:rPr>
          <w:rFonts w:hint="eastAsia" w:ascii="宋体" w:hAnsi="宋体" w:cs="宋体"/>
          <w:i w:val="0"/>
          <w:iCs w:val="0"/>
          <w:color w:val="auto"/>
          <w:sz w:val="24"/>
          <w:szCs w:val="24"/>
          <w:lang w:eastAsia="zh-CN"/>
        </w:rPr>
        <w:t>。</w:t>
      </w:r>
    </w:p>
    <w:p w14:paraId="1EC9F54A">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如有转让和分包行为，甲方有权解除合同，</w:t>
      </w:r>
      <w:r>
        <w:rPr>
          <w:rFonts w:hint="eastAsia" w:ascii="宋体" w:hAnsi="宋体" w:cs="宋体"/>
          <w:i w:val="0"/>
          <w:iCs w:val="0"/>
          <w:color w:val="auto"/>
          <w:sz w:val="24"/>
          <w:szCs w:val="24"/>
          <w:highlight w:val="none"/>
          <w:lang w:val="en-US" w:eastAsia="zh-CN"/>
        </w:rPr>
        <w:t>要求乙方承担本合同金额5％的违约金，如造成甲方损失超过违约金的，超出部分由乙方继续承担赔偿责任</w:t>
      </w:r>
      <w:r>
        <w:rPr>
          <w:rFonts w:hint="eastAsia" w:ascii="宋体" w:hAnsi="宋体" w:eastAsia="宋体" w:cs="宋体"/>
          <w:i w:val="0"/>
          <w:iCs w:val="0"/>
          <w:color w:val="auto"/>
          <w:sz w:val="24"/>
          <w:szCs w:val="24"/>
          <w:highlight w:val="none"/>
        </w:rPr>
        <w:t>。</w:t>
      </w:r>
    </w:p>
    <w:p w14:paraId="75CC8231">
      <w:pPr>
        <w:keepNext w:val="0"/>
        <w:keepLines w:val="0"/>
        <w:pageBreakBefore w:val="0"/>
        <w:widowControl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6" w:name="_Toc591"/>
      <w:bookmarkStart w:id="107" w:name="_Toc28441"/>
      <w:r>
        <w:rPr>
          <w:rFonts w:hint="eastAsia" w:ascii="宋体" w:hAnsi="宋体" w:eastAsia="宋体" w:cs="宋体"/>
          <w:b/>
          <w:bCs w:val="0"/>
          <w:i w:val="0"/>
          <w:iCs w:val="0"/>
          <w:color w:val="auto"/>
          <w:sz w:val="24"/>
          <w:szCs w:val="24"/>
        </w:rPr>
        <w:t>合同履行时间</w:t>
      </w:r>
      <w:bookmarkEnd w:id="106"/>
      <w:bookmarkEnd w:id="107"/>
      <w:r>
        <w:rPr>
          <w:rFonts w:hint="eastAsia" w:ascii="宋体" w:hAnsi="宋体" w:cs="宋体"/>
          <w:b/>
          <w:bCs w:val="0"/>
          <w:i w:val="0"/>
          <w:iCs w:val="0"/>
          <w:color w:val="auto"/>
          <w:sz w:val="24"/>
          <w:szCs w:val="24"/>
          <w:lang w:val="en-US" w:eastAsia="zh-CN"/>
        </w:rPr>
        <w:t>与验收标准</w:t>
      </w:r>
    </w:p>
    <w:p w14:paraId="5BAE73F1">
      <w:pPr>
        <w:pStyle w:val="3"/>
        <w:numPr>
          <w:ilvl w:val="0"/>
          <w:numId w:val="70"/>
        </w:numPr>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履行时间：一年，即2025年09月29日至2026年9月28日。</w:t>
      </w:r>
    </w:p>
    <w:p w14:paraId="5FAC3A2C">
      <w:pPr>
        <w:numPr>
          <w:ilvl w:val="0"/>
          <w:numId w:val="70"/>
        </w:numPr>
        <w:ind w:firstLine="480" w:firstLineChars="200"/>
        <w:rPr>
          <w:rFonts w:hint="default"/>
          <w:lang w:val="en-US" w:eastAsia="zh-CN"/>
        </w:rPr>
      </w:pPr>
      <w:r>
        <w:rPr>
          <w:rFonts w:hint="eastAsia" w:ascii="宋体" w:hAnsi="宋体" w:eastAsia="宋体" w:cs="宋体"/>
          <w:sz w:val="24"/>
          <w:lang w:val="en-US" w:eastAsia="zh-CN"/>
        </w:rPr>
        <w:t>验收标准：以招标文件中的项目需求为准。</w:t>
      </w:r>
    </w:p>
    <w:p w14:paraId="5049EA6C">
      <w:pPr>
        <w:pStyle w:val="13"/>
        <w:keepNext w:val="0"/>
        <w:keepLines w:val="0"/>
        <w:pageBreakBefore w:val="0"/>
        <w:widowControl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08" w:name="_Toc21504"/>
      <w:bookmarkStart w:id="109" w:name="_Toc18065"/>
      <w:r>
        <w:rPr>
          <w:rFonts w:hint="eastAsia" w:ascii="宋体" w:hAnsi="宋体" w:eastAsia="宋体" w:cs="宋体"/>
          <w:b/>
          <w:bCs w:val="0"/>
          <w:i w:val="0"/>
          <w:iCs w:val="0"/>
          <w:color w:val="auto"/>
          <w:sz w:val="24"/>
          <w:szCs w:val="24"/>
        </w:rPr>
        <w:t>款项支付</w:t>
      </w:r>
      <w:bookmarkEnd w:id="108"/>
      <w:bookmarkEnd w:id="109"/>
    </w:p>
    <w:p w14:paraId="0212EEC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color w:val="000000"/>
          <w:sz w:val="24"/>
          <w:szCs w:val="24"/>
          <w:lang w:val="en-US" w:eastAsia="zh-CN"/>
        </w:rPr>
      </w:pPr>
      <w:r>
        <w:rPr>
          <w:rFonts w:hint="eastAsia" w:eastAsia="宋体"/>
          <w:color w:val="000000"/>
          <w:sz w:val="24"/>
          <w:szCs w:val="24"/>
          <w:lang w:val="zh-CN"/>
        </w:rPr>
        <w:t>合同生效后，自收到发票后7个工作日内支付合同金额的50%作为预付款；2025年12月1日前支付合同金额的30%；维护期满并通过验收后，自收到发票后10个工作日内支付余款。每次付款</w:t>
      </w:r>
      <w:r>
        <w:rPr>
          <w:rFonts w:hint="eastAsia" w:eastAsia="宋体"/>
          <w:color w:val="000000"/>
          <w:sz w:val="24"/>
          <w:szCs w:val="24"/>
          <w:lang w:val="zh-CN" w:eastAsia="zh-CN"/>
        </w:rPr>
        <w:t>乙方</w:t>
      </w:r>
      <w:r>
        <w:rPr>
          <w:rFonts w:hint="eastAsia" w:eastAsia="宋体"/>
          <w:color w:val="000000"/>
          <w:sz w:val="24"/>
          <w:szCs w:val="24"/>
          <w:lang w:val="zh-CN"/>
        </w:rPr>
        <w:t>均需提供等额的正式发票。</w:t>
      </w:r>
    </w:p>
    <w:p w14:paraId="5EDEAE15">
      <w:pPr>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0" w:name="_Toc21135"/>
      <w:bookmarkStart w:id="111" w:name="_Toc2274"/>
      <w:r>
        <w:rPr>
          <w:rFonts w:hint="eastAsia" w:ascii="宋体" w:hAnsi="宋体" w:eastAsia="宋体" w:cs="宋体"/>
          <w:b/>
          <w:bCs w:val="0"/>
          <w:i w:val="0"/>
          <w:iCs w:val="0"/>
          <w:color w:val="auto"/>
          <w:sz w:val="24"/>
          <w:szCs w:val="24"/>
        </w:rPr>
        <w:t>税费</w:t>
      </w:r>
      <w:bookmarkEnd w:id="110"/>
      <w:bookmarkEnd w:id="111"/>
    </w:p>
    <w:p w14:paraId="65965605">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本合同执行中相关的一切税费均由乙方负担。</w:t>
      </w:r>
    </w:p>
    <w:p w14:paraId="57FE1ECF">
      <w:pPr>
        <w:pStyle w:val="13"/>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2" w:name="_Toc12933"/>
      <w:bookmarkStart w:id="113" w:name="_Toc17032"/>
      <w:r>
        <w:rPr>
          <w:rFonts w:hint="eastAsia" w:ascii="宋体" w:hAnsi="宋体" w:eastAsia="宋体" w:cs="宋体"/>
          <w:b/>
          <w:bCs w:val="0"/>
          <w:i w:val="0"/>
          <w:iCs w:val="0"/>
          <w:color w:val="auto"/>
          <w:sz w:val="24"/>
          <w:szCs w:val="24"/>
        </w:rPr>
        <w:t>违约责任</w:t>
      </w:r>
      <w:bookmarkEnd w:id="112"/>
      <w:bookmarkEnd w:id="113"/>
    </w:p>
    <w:p w14:paraId="2F6EBCE4">
      <w:pPr>
        <w:pStyle w:val="13"/>
        <w:keepNext w:val="0"/>
        <w:keepLines w:val="0"/>
        <w:pageBreakBefore w:val="0"/>
        <w:numPr>
          <w:ilvl w:val="0"/>
          <w:numId w:val="7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甲方无正当理由</w:t>
      </w:r>
      <w:r>
        <w:rPr>
          <w:rFonts w:hint="eastAsia" w:hAnsi="宋体" w:cs="宋体"/>
          <w:i w:val="0"/>
          <w:iCs w:val="0"/>
          <w:color w:val="auto"/>
          <w:sz w:val="24"/>
          <w:szCs w:val="24"/>
          <w:lang w:eastAsia="zh-CN"/>
        </w:rPr>
        <w:t>拒绝接受</w:t>
      </w:r>
      <w:r>
        <w:rPr>
          <w:rFonts w:hint="eastAsia" w:ascii="宋体" w:hAnsi="宋体" w:eastAsia="宋体" w:cs="宋体"/>
          <w:i w:val="0"/>
          <w:iCs w:val="0"/>
          <w:color w:val="auto"/>
          <w:sz w:val="24"/>
          <w:szCs w:val="24"/>
        </w:rPr>
        <w:t>服务的，甲方向乙方偿付合同款项</w:t>
      </w:r>
      <w:r>
        <w:rPr>
          <w:rFonts w:hint="eastAsia" w:hAnsi="宋体" w:cs="宋体"/>
          <w:i w:val="0"/>
          <w:iCs w:val="0"/>
          <w:color w:val="auto"/>
          <w:sz w:val="24"/>
          <w:szCs w:val="24"/>
          <w:lang w:eastAsia="zh-CN"/>
        </w:rPr>
        <w:t>5%</w:t>
      </w:r>
      <w:r>
        <w:rPr>
          <w:rFonts w:hint="eastAsia" w:ascii="宋体" w:hAnsi="宋体" w:eastAsia="宋体" w:cs="宋体"/>
          <w:i w:val="0"/>
          <w:iCs w:val="0"/>
          <w:color w:val="auto"/>
          <w:sz w:val="24"/>
          <w:szCs w:val="24"/>
        </w:rPr>
        <w:t>作为违约金。</w:t>
      </w:r>
    </w:p>
    <w:p w14:paraId="24345B94">
      <w:pPr>
        <w:pStyle w:val="13"/>
        <w:keepNext w:val="0"/>
        <w:keepLines w:val="0"/>
        <w:pageBreakBefore w:val="0"/>
        <w:numPr>
          <w:ilvl w:val="0"/>
          <w:numId w:val="7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甲方无故逾期验收和办理款项支付手续的</w:t>
      </w:r>
      <w:r>
        <w:rPr>
          <w:rFonts w:hint="eastAsia" w:hAnsi="宋体" w:cs="宋体"/>
          <w:i w:val="0"/>
          <w:iCs w:val="0"/>
          <w:color w:val="auto"/>
          <w:sz w:val="24"/>
          <w:szCs w:val="24"/>
          <w:lang w:eastAsia="zh-CN"/>
        </w:rPr>
        <w:t>，</w:t>
      </w:r>
      <w:r>
        <w:rPr>
          <w:rFonts w:hint="eastAsia" w:ascii="宋体" w:hAnsi="宋体" w:eastAsia="宋体" w:cs="宋体"/>
          <w:i w:val="0"/>
          <w:iCs w:val="0"/>
          <w:color w:val="auto"/>
          <w:sz w:val="24"/>
          <w:szCs w:val="24"/>
        </w:rPr>
        <w:t>甲方应按逾期付款总额每日</w:t>
      </w:r>
      <w:r>
        <w:rPr>
          <w:rFonts w:hint="eastAsia" w:hAnsi="宋体" w:cs="宋体"/>
          <w:i w:val="0"/>
          <w:iCs w:val="0"/>
          <w:color w:val="auto"/>
          <w:sz w:val="24"/>
          <w:szCs w:val="24"/>
          <w:lang w:eastAsia="zh-CN"/>
        </w:rPr>
        <w:t>万分之三</w:t>
      </w:r>
      <w:r>
        <w:rPr>
          <w:rFonts w:hint="eastAsia" w:ascii="宋体" w:hAnsi="宋体" w:eastAsia="宋体" w:cs="宋体"/>
          <w:i w:val="0"/>
          <w:iCs w:val="0"/>
          <w:color w:val="auto"/>
          <w:sz w:val="24"/>
          <w:szCs w:val="24"/>
        </w:rPr>
        <w:t>向乙方支付违约金。</w:t>
      </w:r>
    </w:p>
    <w:p w14:paraId="591CC26F">
      <w:pPr>
        <w:pStyle w:val="13"/>
        <w:keepNext w:val="0"/>
        <w:keepLines w:val="0"/>
        <w:pageBreakBefore w:val="0"/>
        <w:numPr>
          <w:ilvl w:val="0"/>
          <w:numId w:val="7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hAnsi="宋体" w:cs="宋体"/>
          <w:i w:val="0"/>
          <w:iCs w:val="0"/>
          <w:color w:val="auto"/>
          <w:sz w:val="24"/>
          <w:szCs w:val="24"/>
          <w:lang w:eastAsia="zh-CN"/>
        </w:rPr>
        <w:t>乙方未能如期提供服务或未能按期交付工作成果</w:t>
      </w:r>
      <w:r>
        <w:rPr>
          <w:rFonts w:hint="eastAsia" w:ascii="宋体" w:hAnsi="宋体" w:eastAsia="宋体" w:cs="宋体"/>
          <w:i w:val="0"/>
          <w:iCs w:val="0"/>
          <w:color w:val="auto"/>
          <w:sz w:val="24"/>
          <w:szCs w:val="24"/>
        </w:rPr>
        <w:t>的，每日向甲方支付合同款项的</w:t>
      </w:r>
      <w:r>
        <w:rPr>
          <w:rFonts w:hint="eastAsia" w:hAnsi="宋体" w:cs="宋体"/>
          <w:i w:val="0"/>
          <w:iCs w:val="0"/>
          <w:color w:val="auto"/>
          <w:sz w:val="24"/>
          <w:szCs w:val="24"/>
          <w:lang w:eastAsia="zh-CN"/>
        </w:rPr>
        <w:t>千分之六</w:t>
      </w:r>
      <w:r>
        <w:rPr>
          <w:rFonts w:hint="eastAsia" w:ascii="宋体" w:hAnsi="宋体" w:eastAsia="宋体" w:cs="宋体"/>
          <w:i w:val="0"/>
          <w:iCs w:val="0"/>
          <w:color w:val="auto"/>
          <w:sz w:val="24"/>
          <w:szCs w:val="24"/>
        </w:rPr>
        <w:t>作为违约金。乙方超过约定日期10个工作日仍不能提供服务的，甲方可解除本合同。乙方因未能如期提供服务或因其他违约行为导致甲方解除合同的，</w:t>
      </w:r>
      <w:r>
        <w:rPr>
          <w:rFonts w:hint="eastAsia" w:hAnsi="宋体" w:cs="宋体"/>
          <w:i w:val="0"/>
          <w:iCs w:val="0"/>
          <w:color w:val="auto"/>
          <w:sz w:val="24"/>
          <w:szCs w:val="24"/>
          <w:lang w:eastAsia="zh-CN"/>
        </w:rPr>
        <w:t>乙方应向甲方退还已收取服务费用，并支付合同总值5%的违约金</w:t>
      </w:r>
      <w:r>
        <w:rPr>
          <w:rFonts w:hint="eastAsia" w:ascii="宋体" w:hAnsi="宋体" w:eastAsia="宋体" w:cs="宋体"/>
          <w:i w:val="0"/>
          <w:iCs w:val="0"/>
          <w:color w:val="auto"/>
          <w:sz w:val="24"/>
          <w:szCs w:val="24"/>
        </w:rPr>
        <w:t xml:space="preserve">，如造成甲方损失超过违约金的，超出部分由乙方继续承担赔偿责任。 </w:t>
      </w:r>
    </w:p>
    <w:p w14:paraId="0AD818AB">
      <w:pPr>
        <w:pStyle w:val="13"/>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4" w:name="_Toc22535"/>
      <w:bookmarkStart w:id="115" w:name="_Toc571"/>
      <w:r>
        <w:rPr>
          <w:rFonts w:hint="eastAsia" w:ascii="宋体" w:hAnsi="宋体" w:eastAsia="宋体" w:cs="宋体"/>
          <w:b/>
          <w:bCs w:val="0"/>
          <w:i w:val="0"/>
          <w:iCs w:val="0"/>
          <w:color w:val="auto"/>
          <w:sz w:val="24"/>
          <w:szCs w:val="24"/>
        </w:rPr>
        <w:t>不可抗力事件处理</w:t>
      </w:r>
      <w:bookmarkEnd w:id="114"/>
      <w:bookmarkEnd w:id="115"/>
    </w:p>
    <w:p w14:paraId="41921E3A">
      <w:pPr>
        <w:pStyle w:val="13"/>
        <w:keepNext w:val="0"/>
        <w:keepLines w:val="0"/>
        <w:pageBreakBefore w:val="0"/>
        <w:numPr>
          <w:ilvl w:val="0"/>
          <w:numId w:val="7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在合同有效期内，任何一方因不可抗力事件导致不能履行合同，双方应通过友好协商，确定是否继续履行合同。</w:t>
      </w:r>
    </w:p>
    <w:p w14:paraId="1E6AFDAF">
      <w:pPr>
        <w:pStyle w:val="13"/>
        <w:keepNext w:val="0"/>
        <w:keepLines w:val="0"/>
        <w:pageBreakBefore w:val="0"/>
        <w:numPr>
          <w:ilvl w:val="0"/>
          <w:numId w:val="72"/>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不可抗力事件发生后，应立即通知对方，并寄送有关权威机构出具的证明。</w:t>
      </w:r>
    </w:p>
    <w:p w14:paraId="5B2FBABC">
      <w:pPr>
        <w:pStyle w:val="13"/>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6" w:name="_Toc21992"/>
      <w:bookmarkStart w:id="117" w:name="_Toc16918"/>
      <w:r>
        <w:rPr>
          <w:rFonts w:hint="eastAsia" w:ascii="宋体" w:hAnsi="宋体" w:eastAsia="宋体" w:cs="宋体"/>
          <w:b/>
          <w:bCs w:val="0"/>
          <w:i w:val="0"/>
          <w:iCs w:val="0"/>
          <w:color w:val="auto"/>
          <w:sz w:val="24"/>
          <w:szCs w:val="24"/>
        </w:rPr>
        <w:t>解决争议的方法</w:t>
      </w:r>
      <w:bookmarkEnd w:id="116"/>
      <w:bookmarkEnd w:id="117"/>
    </w:p>
    <w:p w14:paraId="229A7436">
      <w:pPr>
        <w:pStyle w:val="13"/>
        <w:keepNext w:val="0"/>
        <w:keepLines w:val="0"/>
        <w:pageBreakBefore w:val="0"/>
        <w:numPr>
          <w:ilvl w:val="0"/>
          <w:numId w:val="7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如双方在履行合同时发生纠纷，应协商解决；协商不成时，可通过第（1）种方式解决：</w:t>
      </w:r>
    </w:p>
    <w:p w14:paraId="160F629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i w:val="0"/>
          <w:iCs w:val="0"/>
          <w:color w:val="auto"/>
          <w:kern w:val="0"/>
          <w:sz w:val="24"/>
          <w:szCs w:val="24"/>
          <w:lang w:val="en-US" w:eastAsia="zh-CN"/>
        </w:rPr>
      </w:pPr>
      <w:r>
        <w:rPr>
          <w:rFonts w:ascii="宋体" w:hAnsi="宋体" w:eastAsia="宋体" w:cs="宋体"/>
          <w:i w:val="0"/>
          <w:iCs w:val="0"/>
          <w:color w:val="auto"/>
          <w:kern w:val="0"/>
          <w:sz w:val="24"/>
          <w:szCs w:val="24"/>
          <w:lang w:val="en-US" w:eastAsia="zh-CN"/>
        </w:rPr>
        <w:t>（1） 提交</w:t>
      </w:r>
      <w:r>
        <w:rPr>
          <w:rFonts w:hAnsi="宋体"/>
          <w:i w:val="0"/>
          <w:iCs w:val="0"/>
          <w:color w:val="auto"/>
          <w:sz w:val="24"/>
          <w:szCs w:val="24"/>
          <w:u w:val="single"/>
        </w:rPr>
        <w:t>台州</w:t>
      </w:r>
      <w:r>
        <w:rPr>
          <w:rFonts w:ascii="宋体" w:hAnsi="宋体" w:eastAsia="宋体" w:cs="宋体"/>
          <w:i w:val="0"/>
          <w:iCs w:val="0"/>
          <w:color w:val="auto"/>
          <w:kern w:val="0"/>
          <w:sz w:val="24"/>
          <w:szCs w:val="24"/>
          <w:lang w:val="en-US" w:eastAsia="zh-CN"/>
        </w:rPr>
        <w:t>仲裁委员会仲裁。</w:t>
      </w:r>
    </w:p>
    <w:p w14:paraId="1AE557A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kern w:val="0"/>
          <w:sz w:val="24"/>
          <w:szCs w:val="24"/>
          <w:lang w:val="en-US" w:eastAsia="zh-CN"/>
        </w:rPr>
      </w:pPr>
      <w:r>
        <w:rPr>
          <w:rFonts w:ascii="宋体" w:hAnsi="宋体" w:eastAsia="宋体" w:cs="宋体"/>
          <w:i w:val="0"/>
          <w:iCs w:val="0"/>
          <w:color w:val="auto"/>
          <w:kern w:val="0"/>
          <w:sz w:val="24"/>
          <w:szCs w:val="24"/>
          <w:lang w:val="en-US" w:eastAsia="zh-CN"/>
        </w:rPr>
        <w:t>（2） 依法向</w:t>
      </w:r>
      <w:r>
        <w:rPr>
          <w:rFonts w:hint="eastAsia" w:hAnsi="宋体" w:cs="宋体"/>
          <w:i w:val="0"/>
          <w:iCs w:val="0"/>
          <w:color w:val="auto"/>
          <w:kern w:val="0"/>
          <w:sz w:val="24"/>
          <w:szCs w:val="24"/>
          <w:lang w:val="en-US" w:eastAsia="zh-CN"/>
        </w:rPr>
        <w:t>甲方所在地</w:t>
      </w:r>
      <w:r>
        <w:rPr>
          <w:rFonts w:ascii="宋体" w:hAnsi="宋体" w:eastAsia="宋体" w:cs="宋体"/>
          <w:i w:val="0"/>
          <w:iCs w:val="0"/>
          <w:color w:val="auto"/>
          <w:kern w:val="0"/>
          <w:sz w:val="24"/>
          <w:szCs w:val="24"/>
          <w:lang w:val="en-US" w:eastAsia="zh-CN"/>
        </w:rPr>
        <w:t>人民法院提起诉讼</w:t>
      </w:r>
      <w:r>
        <w:rPr>
          <w:rFonts w:hint="eastAsia" w:ascii="宋体" w:hAnsi="宋体" w:eastAsia="宋体" w:cs="宋体"/>
          <w:i w:val="0"/>
          <w:iCs w:val="0"/>
          <w:color w:val="auto"/>
          <w:kern w:val="0"/>
          <w:sz w:val="24"/>
          <w:szCs w:val="24"/>
          <w:lang w:val="en-US" w:eastAsia="zh-CN"/>
        </w:rPr>
        <w:t>。</w:t>
      </w:r>
    </w:p>
    <w:p w14:paraId="71E1AC17">
      <w:pPr>
        <w:pStyle w:val="13"/>
        <w:keepNext w:val="0"/>
        <w:keepLines w:val="0"/>
        <w:pageBreakBefore w:val="0"/>
        <w:numPr>
          <w:ilvl w:val="0"/>
          <w:numId w:val="7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争议解决产生的合理费用（包括律师费、仲裁费、鉴定费等）由败诉方承担。</w:t>
      </w:r>
    </w:p>
    <w:p w14:paraId="5DE22744">
      <w:pPr>
        <w:pStyle w:val="13"/>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i w:val="0"/>
          <w:iCs w:val="0"/>
          <w:color w:val="auto"/>
          <w:sz w:val="24"/>
          <w:szCs w:val="24"/>
        </w:rPr>
      </w:pPr>
      <w:bookmarkStart w:id="118" w:name="_Toc18041"/>
      <w:bookmarkStart w:id="119" w:name="_Toc4330"/>
      <w:r>
        <w:rPr>
          <w:rFonts w:hint="eastAsia" w:ascii="宋体" w:hAnsi="宋体" w:eastAsia="宋体" w:cs="宋体"/>
          <w:b/>
          <w:bCs w:val="0"/>
          <w:i w:val="0"/>
          <w:iCs w:val="0"/>
          <w:color w:val="auto"/>
          <w:sz w:val="24"/>
          <w:szCs w:val="24"/>
        </w:rPr>
        <w:t>合同生效</w:t>
      </w:r>
      <w:r>
        <w:rPr>
          <w:rFonts w:hint="eastAsia" w:hAnsi="宋体" w:cs="宋体"/>
          <w:b/>
          <w:bCs w:val="0"/>
          <w:i w:val="0"/>
          <w:iCs w:val="0"/>
          <w:color w:val="auto"/>
          <w:sz w:val="24"/>
          <w:szCs w:val="24"/>
          <w:lang w:eastAsia="zh-CN"/>
        </w:rPr>
        <w:t>及其他</w:t>
      </w:r>
      <w:bookmarkEnd w:id="118"/>
      <w:bookmarkEnd w:id="119"/>
    </w:p>
    <w:p w14:paraId="7AB6BF12">
      <w:pPr>
        <w:pStyle w:val="13"/>
        <w:keepNext w:val="0"/>
        <w:keepLines w:val="0"/>
        <w:pageBreakBefore w:val="0"/>
        <w:numPr>
          <w:ilvl w:val="0"/>
          <w:numId w:val="7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hAnsi="宋体" w:cs="宋体"/>
          <w:i w:val="0"/>
          <w:iCs w:val="0"/>
          <w:color w:val="auto"/>
          <w:sz w:val="24"/>
          <w:szCs w:val="24"/>
          <w:highlight w:val="none"/>
          <w:lang w:eastAsia="zh-CN"/>
        </w:rPr>
        <w:t>合同经双方负责人或全权代表签字（或签章）并加盖单位公章（或合同章）后生效</w:t>
      </w:r>
      <w:r>
        <w:rPr>
          <w:rFonts w:hint="eastAsia" w:ascii="宋体" w:hAnsi="宋体" w:eastAsia="宋体" w:cs="宋体"/>
          <w:i w:val="0"/>
          <w:iCs w:val="0"/>
          <w:color w:val="auto"/>
          <w:sz w:val="24"/>
          <w:szCs w:val="24"/>
        </w:rPr>
        <w:t>。</w:t>
      </w:r>
    </w:p>
    <w:p w14:paraId="191268B1">
      <w:pPr>
        <w:pStyle w:val="13"/>
        <w:keepNext w:val="0"/>
        <w:keepLines w:val="0"/>
        <w:pageBreakBefore w:val="0"/>
        <w:numPr>
          <w:ilvl w:val="0"/>
          <w:numId w:val="7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本合同未尽事宜，遵照《</w:t>
      </w:r>
      <w:r>
        <w:rPr>
          <w:rFonts w:hint="eastAsia" w:hAnsi="宋体" w:cs="宋体"/>
          <w:i w:val="0"/>
          <w:iCs w:val="0"/>
          <w:color w:val="auto"/>
          <w:sz w:val="24"/>
          <w:szCs w:val="24"/>
          <w:lang w:eastAsia="zh-CN"/>
        </w:rPr>
        <w:t>中华人民共和国民法典</w:t>
      </w:r>
      <w:r>
        <w:rPr>
          <w:rFonts w:hint="eastAsia" w:ascii="宋体" w:hAnsi="宋体" w:eastAsia="宋体" w:cs="宋体"/>
          <w:i w:val="0"/>
          <w:iCs w:val="0"/>
          <w:color w:val="auto"/>
          <w:sz w:val="24"/>
          <w:szCs w:val="24"/>
        </w:rPr>
        <w:t>》有关条文执行。</w:t>
      </w:r>
    </w:p>
    <w:p w14:paraId="5D7787BE">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i w:val="0"/>
          <w:iCs w:val="0"/>
          <w:color w:val="auto"/>
          <w:sz w:val="24"/>
          <w:szCs w:val="24"/>
        </w:rPr>
      </w:pPr>
      <w:r>
        <w:rPr>
          <w:rFonts w:hint="eastAsia" w:ascii="宋体" w:hAnsi="宋体" w:eastAsia="宋体" w:cs="宋体"/>
          <w:i w:val="0"/>
          <w:iCs w:val="0"/>
          <w:color w:val="auto"/>
          <w:sz w:val="24"/>
          <w:szCs w:val="24"/>
        </w:rPr>
        <w:t>本合同一式六份，甲方执三份，乙方执二份，采购代理机构执一份</w:t>
      </w:r>
      <w:r>
        <w:rPr>
          <w:rFonts w:hint="eastAsia" w:ascii="宋体" w:hAnsi="宋体" w:eastAsia="宋体" w:cs="宋体"/>
          <w:b w:val="0"/>
          <w:bCs/>
          <w:i w:val="0"/>
          <w:iCs w:val="0"/>
          <w:color w:val="auto"/>
          <w:sz w:val="24"/>
          <w:szCs w:val="24"/>
        </w:rPr>
        <w:t>。本项目未尽事宜以</w:t>
      </w:r>
      <w:r>
        <w:rPr>
          <w:rFonts w:hint="eastAsia" w:ascii="宋体" w:hAnsi="宋体" w:cs="宋体"/>
          <w:b w:val="0"/>
          <w:bCs/>
          <w:i w:val="0"/>
          <w:iCs w:val="0"/>
          <w:color w:val="auto"/>
          <w:sz w:val="24"/>
          <w:szCs w:val="24"/>
          <w:lang w:eastAsia="zh-CN"/>
        </w:rPr>
        <w:t>采购文件</w:t>
      </w:r>
      <w:r>
        <w:rPr>
          <w:rFonts w:hint="eastAsia" w:ascii="宋体" w:hAnsi="宋体" w:eastAsia="宋体" w:cs="宋体"/>
          <w:b w:val="0"/>
          <w:bCs/>
          <w:i w:val="0"/>
          <w:iCs w:val="0"/>
          <w:color w:val="auto"/>
          <w:sz w:val="24"/>
          <w:szCs w:val="24"/>
        </w:rPr>
        <w:t>、</w:t>
      </w:r>
      <w:r>
        <w:rPr>
          <w:rFonts w:hint="eastAsia" w:ascii="宋体" w:hAnsi="宋体" w:eastAsia="宋体" w:cs="宋体"/>
          <w:b w:val="0"/>
          <w:bCs/>
          <w:i w:val="0"/>
          <w:iCs w:val="0"/>
          <w:color w:val="auto"/>
          <w:sz w:val="24"/>
          <w:szCs w:val="24"/>
          <w:lang w:eastAsia="zh-CN"/>
        </w:rPr>
        <w:t>投标</w:t>
      </w:r>
      <w:r>
        <w:rPr>
          <w:rFonts w:hint="eastAsia" w:ascii="宋体" w:hAnsi="宋体" w:eastAsia="宋体" w:cs="宋体"/>
          <w:b w:val="0"/>
          <w:bCs/>
          <w:i w:val="0"/>
          <w:iCs w:val="0"/>
          <w:color w:val="auto"/>
          <w:sz w:val="24"/>
          <w:szCs w:val="24"/>
        </w:rPr>
        <w:t>文件及澄清文件等为准。</w:t>
      </w:r>
    </w:p>
    <w:p w14:paraId="4C76C41D">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（以下无正文）</w:t>
      </w:r>
    </w:p>
    <w:tbl>
      <w:tblPr>
        <w:tblStyle w:val="21"/>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933"/>
        <w:gridCol w:w="1137"/>
        <w:gridCol w:w="1013"/>
        <w:gridCol w:w="1162"/>
        <w:gridCol w:w="3135"/>
      </w:tblGrid>
      <w:tr w14:paraId="2B9A8FBC">
        <w:tblPrEx>
          <w:tblCellMar>
            <w:top w:w="0" w:type="dxa"/>
            <w:left w:w="0" w:type="dxa"/>
            <w:bottom w:w="0" w:type="dxa"/>
            <w:right w:w="0" w:type="dxa"/>
          </w:tblCellMar>
        </w:tblPrEx>
        <w:trPr>
          <w:trHeight w:val="354" w:hRule="atLeast"/>
        </w:trPr>
        <w:tc>
          <w:tcPr>
            <w:tcW w:w="4083" w:type="dxa"/>
            <w:gridSpan w:val="3"/>
            <w:noWrap w:val="0"/>
            <w:vAlign w:val="top"/>
          </w:tcPr>
          <w:p w14:paraId="62C7DB74">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tc>
        <w:tc>
          <w:tcPr>
            <w:tcW w:w="4297" w:type="dxa"/>
            <w:gridSpan w:val="2"/>
            <w:noWrap w:val="0"/>
            <w:vAlign w:val="top"/>
          </w:tcPr>
          <w:p w14:paraId="12B542D1">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tc>
      </w:tr>
      <w:tr w14:paraId="4533BD0C">
        <w:tblPrEx>
          <w:tblCellMar>
            <w:top w:w="0" w:type="dxa"/>
            <w:left w:w="0" w:type="dxa"/>
            <w:bottom w:w="0" w:type="dxa"/>
            <w:right w:w="0" w:type="dxa"/>
          </w:tblCellMar>
        </w:tblPrEx>
        <w:trPr>
          <w:trHeight w:val="467" w:hRule="atLeast"/>
        </w:trPr>
        <w:tc>
          <w:tcPr>
            <w:tcW w:w="4083" w:type="dxa"/>
            <w:gridSpan w:val="3"/>
            <w:noWrap w:val="0"/>
            <w:vAlign w:val="top"/>
          </w:tcPr>
          <w:p w14:paraId="4AB7CB30">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297" w:type="dxa"/>
            <w:gridSpan w:val="2"/>
            <w:noWrap w:val="0"/>
            <w:vAlign w:val="top"/>
          </w:tcPr>
          <w:p w14:paraId="41E4C0E2">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r>
      <w:tr w14:paraId="631958BC">
        <w:tblPrEx>
          <w:tblCellMar>
            <w:top w:w="0" w:type="dxa"/>
            <w:left w:w="0" w:type="dxa"/>
            <w:bottom w:w="0" w:type="dxa"/>
            <w:right w:w="0" w:type="dxa"/>
          </w:tblCellMar>
        </w:tblPrEx>
        <w:trPr>
          <w:trHeight w:val="468" w:hRule="atLeast"/>
        </w:trPr>
        <w:tc>
          <w:tcPr>
            <w:tcW w:w="4083" w:type="dxa"/>
            <w:gridSpan w:val="3"/>
            <w:noWrap w:val="0"/>
            <w:vAlign w:val="top"/>
          </w:tcPr>
          <w:p w14:paraId="42125764">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负责人</w:t>
            </w:r>
            <w:r>
              <w:rPr>
                <w:rFonts w:hint="eastAsia" w:ascii="宋体" w:hAnsi="宋体" w:eastAsia="宋体" w:cs="宋体"/>
                <w:sz w:val="21"/>
                <w:szCs w:val="21"/>
                <w:highlight w:val="none"/>
              </w:rPr>
              <w:t>：</w:t>
            </w:r>
          </w:p>
        </w:tc>
        <w:tc>
          <w:tcPr>
            <w:tcW w:w="4297" w:type="dxa"/>
            <w:gridSpan w:val="2"/>
            <w:noWrap w:val="0"/>
            <w:vAlign w:val="top"/>
          </w:tcPr>
          <w:p w14:paraId="38453654">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负责人</w:t>
            </w:r>
            <w:r>
              <w:rPr>
                <w:rFonts w:hint="eastAsia" w:ascii="宋体" w:hAnsi="宋体" w:eastAsia="宋体" w:cs="宋体"/>
                <w:sz w:val="21"/>
                <w:szCs w:val="21"/>
                <w:highlight w:val="none"/>
              </w:rPr>
              <w:t>：</w:t>
            </w:r>
          </w:p>
        </w:tc>
      </w:tr>
      <w:tr w14:paraId="38FC1BD8">
        <w:tblPrEx>
          <w:tblCellMar>
            <w:top w:w="0" w:type="dxa"/>
            <w:left w:w="0" w:type="dxa"/>
            <w:bottom w:w="0" w:type="dxa"/>
            <w:right w:w="0" w:type="dxa"/>
          </w:tblCellMar>
        </w:tblPrEx>
        <w:trPr>
          <w:trHeight w:val="468" w:hRule="atLeast"/>
        </w:trPr>
        <w:tc>
          <w:tcPr>
            <w:tcW w:w="4083" w:type="dxa"/>
            <w:gridSpan w:val="3"/>
            <w:noWrap w:val="0"/>
            <w:vAlign w:val="top"/>
          </w:tcPr>
          <w:p w14:paraId="251EEE05">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或全权代表：</w:t>
            </w:r>
          </w:p>
        </w:tc>
        <w:tc>
          <w:tcPr>
            <w:tcW w:w="4297" w:type="dxa"/>
            <w:gridSpan w:val="2"/>
            <w:noWrap w:val="0"/>
            <w:vAlign w:val="top"/>
          </w:tcPr>
          <w:p w14:paraId="329D4E06">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或全权代表：</w:t>
            </w:r>
          </w:p>
        </w:tc>
      </w:tr>
      <w:tr w14:paraId="60DB9446">
        <w:tblPrEx>
          <w:tblCellMar>
            <w:top w:w="0" w:type="dxa"/>
            <w:left w:w="0" w:type="dxa"/>
            <w:bottom w:w="0" w:type="dxa"/>
            <w:right w:w="0" w:type="dxa"/>
          </w:tblCellMar>
        </w:tblPrEx>
        <w:trPr>
          <w:trHeight w:val="468" w:hRule="atLeast"/>
        </w:trPr>
        <w:tc>
          <w:tcPr>
            <w:tcW w:w="4083" w:type="dxa"/>
            <w:gridSpan w:val="3"/>
            <w:noWrap w:val="0"/>
            <w:vAlign w:val="top"/>
          </w:tcPr>
          <w:p w14:paraId="760BCE8A">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4297" w:type="dxa"/>
            <w:gridSpan w:val="2"/>
            <w:noWrap w:val="0"/>
            <w:vAlign w:val="top"/>
          </w:tcPr>
          <w:p w14:paraId="0CD9C9B2">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r>
      <w:tr w14:paraId="52F3AF81">
        <w:tblPrEx>
          <w:tblCellMar>
            <w:top w:w="0" w:type="dxa"/>
            <w:left w:w="0" w:type="dxa"/>
            <w:bottom w:w="0" w:type="dxa"/>
            <w:right w:w="0" w:type="dxa"/>
          </w:tblCellMar>
        </w:tblPrEx>
        <w:trPr>
          <w:trHeight w:val="467" w:hRule="atLeast"/>
        </w:trPr>
        <w:tc>
          <w:tcPr>
            <w:tcW w:w="4083" w:type="dxa"/>
            <w:gridSpan w:val="3"/>
            <w:vMerge w:val="restart"/>
            <w:noWrap w:val="0"/>
            <w:vAlign w:val="top"/>
          </w:tcPr>
          <w:p w14:paraId="7E73A2C0">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p>
        </w:tc>
        <w:tc>
          <w:tcPr>
            <w:tcW w:w="4297" w:type="dxa"/>
            <w:gridSpan w:val="2"/>
            <w:noWrap w:val="0"/>
            <w:vAlign w:val="top"/>
          </w:tcPr>
          <w:p w14:paraId="68948362">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开户行：</w:t>
            </w:r>
          </w:p>
        </w:tc>
      </w:tr>
      <w:tr w14:paraId="6208C336">
        <w:tblPrEx>
          <w:tblCellMar>
            <w:top w:w="0" w:type="dxa"/>
            <w:left w:w="0" w:type="dxa"/>
            <w:bottom w:w="0" w:type="dxa"/>
            <w:right w:w="0" w:type="dxa"/>
          </w:tblCellMar>
        </w:tblPrEx>
        <w:trPr>
          <w:trHeight w:val="468" w:hRule="atLeast"/>
        </w:trPr>
        <w:tc>
          <w:tcPr>
            <w:tcW w:w="4083" w:type="dxa"/>
            <w:gridSpan w:val="3"/>
            <w:vMerge w:val="continue"/>
            <w:noWrap w:val="0"/>
            <w:vAlign w:val="top"/>
          </w:tcPr>
          <w:p w14:paraId="17009050">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p>
        </w:tc>
        <w:tc>
          <w:tcPr>
            <w:tcW w:w="4297" w:type="dxa"/>
            <w:gridSpan w:val="2"/>
            <w:noWrap w:val="0"/>
            <w:vAlign w:val="top"/>
          </w:tcPr>
          <w:p w14:paraId="331586CA">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r>
      <w:tr w14:paraId="69E290BF">
        <w:tblPrEx>
          <w:tblCellMar>
            <w:top w:w="0" w:type="dxa"/>
            <w:left w:w="0" w:type="dxa"/>
            <w:bottom w:w="0" w:type="dxa"/>
            <w:right w:w="0" w:type="dxa"/>
          </w:tblCellMar>
        </w:tblPrEx>
        <w:trPr>
          <w:trHeight w:val="354" w:hRule="atLeast"/>
        </w:trPr>
        <w:tc>
          <w:tcPr>
            <w:tcW w:w="1933" w:type="dxa"/>
            <w:noWrap w:val="0"/>
            <w:vAlign w:val="top"/>
          </w:tcPr>
          <w:p w14:paraId="57932276">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签字日期：</w:t>
            </w:r>
          </w:p>
        </w:tc>
        <w:tc>
          <w:tcPr>
            <w:tcW w:w="1137" w:type="dxa"/>
            <w:noWrap w:val="0"/>
            <w:vAlign w:val="top"/>
          </w:tcPr>
          <w:p w14:paraId="7103B8A5">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w:t>
            </w:r>
          </w:p>
        </w:tc>
        <w:tc>
          <w:tcPr>
            <w:tcW w:w="1013" w:type="dxa"/>
            <w:noWrap w:val="0"/>
            <w:vAlign w:val="top"/>
          </w:tcPr>
          <w:p w14:paraId="797A59CE">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tc>
        <w:tc>
          <w:tcPr>
            <w:tcW w:w="1162" w:type="dxa"/>
            <w:noWrap w:val="0"/>
            <w:vAlign w:val="top"/>
          </w:tcPr>
          <w:p w14:paraId="62D4FD1C">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w:t>
            </w:r>
          </w:p>
        </w:tc>
        <w:tc>
          <w:tcPr>
            <w:tcW w:w="3135" w:type="dxa"/>
            <w:noWrap w:val="0"/>
            <w:vAlign w:val="top"/>
          </w:tcPr>
          <w:p w14:paraId="6F502CFD">
            <w:pPr>
              <w:pStyle w:val="52"/>
              <w:keepNext w:val="0"/>
              <w:keepLines w:val="0"/>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sz w:val="21"/>
                <w:szCs w:val="21"/>
                <w:highlight w:val="none"/>
              </w:rPr>
            </w:pPr>
          </w:p>
        </w:tc>
      </w:tr>
    </w:tbl>
    <w:p w14:paraId="0B2D54CE">
      <w:pPr>
        <w:rPr>
          <w:rFonts w:hint="eastAsia" w:ascii="宋体" w:hAnsi="宋体" w:eastAsia="宋体" w:cs="宋体"/>
          <w:b/>
          <w:sz w:val="36"/>
          <w:szCs w:val="36"/>
        </w:rPr>
      </w:pPr>
      <w:r>
        <w:rPr>
          <w:rFonts w:hint="eastAsia" w:ascii="宋体" w:hAnsi="宋体" w:eastAsia="宋体" w:cs="宋体"/>
          <w:b/>
          <w:sz w:val="36"/>
          <w:szCs w:val="36"/>
        </w:rPr>
        <w:br w:type="page"/>
      </w:r>
    </w:p>
    <w:p w14:paraId="6CAEC891">
      <w:pPr>
        <w:numPr>
          <w:ilvl w:val="0"/>
          <w:numId w:val="10"/>
        </w:numPr>
        <w:spacing w:line="360" w:lineRule="auto"/>
        <w:jc w:val="center"/>
        <w:outlineLvl w:val="0"/>
        <w:rPr>
          <w:rFonts w:hint="eastAsia" w:ascii="宋体" w:hAnsi="宋体" w:eastAsia="宋体" w:cs="宋体"/>
          <w:b/>
          <w:sz w:val="36"/>
          <w:szCs w:val="36"/>
        </w:rPr>
      </w:pPr>
      <w:bookmarkStart w:id="120" w:name="_Toc14337"/>
      <w:bookmarkStart w:id="121" w:name="_Toc15287"/>
      <w:r>
        <w:rPr>
          <w:rFonts w:hint="eastAsia" w:ascii="宋体" w:hAnsi="宋体" w:eastAsia="宋体" w:cs="宋体"/>
          <w:b/>
          <w:sz w:val="36"/>
          <w:szCs w:val="36"/>
        </w:rPr>
        <w:t>投标文件格式附件</w:t>
      </w:r>
      <w:bookmarkEnd w:id="120"/>
      <w:bookmarkEnd w:id="121"/>
    </w:p>
    <w:p w14:paraId="5BA8C7FA">
      <w:pPr>
        <w:numPr>
          <w:ilvl w:val="0"/>
          <w:numId w:val="75"/>
        </w:numPr>
        <w:ind w:left="0" w:leftChars="0" w:firstLine="0" w:firstLineChars="0"/>
        <w:outlineLvl w:val="1"/>
        <w:rPr>
          <w:rFonts w:hint="eastAsia" w:ascii="宋体" w:hAnsi="宋体" w:eastAsia="宋体" w:cs="宋体"/>
          <w:b/>
          <w:sz w:val="28"/>
          <w:szCs w:val="28"/>
        </w:rPr>
      </w:pPr>
      <w:r>
        <w:rPr>
          <w:rFonts w:hint="eastAsia" w:ascii="宋体" w:hAnsi="宋体" w:eastAsia="宋体" w:cs="宋体"/>
          <w:b/>
          <w:sz w:val="28"/>
          <w:szCs w:val="28"/>
        </w:rPr>
        <w:t xml:space="preserve"> </w:t>
      </w:r>
      <w:bookmarkStart w:id="122" w:name="_Toc25335"/>
      <w:bookmarkEnd w:id="122"/>
    </w:p>
    <w:p w14:paraId="0D175F29">
      <w:pPr>
        <w:spacing w:beforeLines="100" w:line="360" w:lineRule="auto"/>
        <w:ind w:right="-108"/>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2025年台州市海洋观测站点日常运行维护项目</w:t>
      </w:r>
    </w:p>
    <w:p w14:paraId="066AD41F">
      <w:pPr>
        <w:spacing w:beforeLines="100" w:line="360" w:lineRule="auto"/>
        <w:ind w:right="-108"/>
        <w:jc w:val="center"/>
        <w:outlineLvl w:val="1"/>
        <w:rPr>
          <w:rFonts w:hint="eastAsia" w:ascii="宋体" w:hAnsi="宋体" w:eastAsia="宋体" w:cs="宋体"/>
          <w:sz w:val="36"/>
          <w:szCs w:val="36"/>
        </w:rPr>
      </w:pPr>
      <w:bookmarkStart w:id="123" w:name="_Toc1733"/>
      <w:r>
        <w:rPr>
          <w:rFonts w:hint="eastAsia" w:ascii="宋体" w:hAnsi="宋体" w:eastAsia="宋体" w:cs="宋体"/>
          <w:sz w:val="36"/>
          <w:szCs w:val="36"/>
        </w:rPr>
        <w:t>项目编号：</w:t>
      </w:r>
      <w:r>
        <w:rPr>
          <w:rFonts w:hint="eastAsia" w:ascii="宋体" w:hAnsi="宋体" w:cs="宋体"/>
          <w:sz w:val="36"/>
          <w:szCs w:val="36"/>
          <w:lang w:eastAsia="zh-CN"/>
        </w:rPr>
        <w:t>TZYY-2506-002号</w:t>
      </w:r>
      <w:bookmarkEnd w:id="123"/>
    </w:p>
    <w:p w14:paraId="6AA4EDD9">
      <w:pPr>
        <w:autoSpaceDE w:val="0"/>
        <w:autoSpaceDN w:val="0"/>
        <w:adjustRightInd w:val="0"/>
        <w:spacing w:line="360" w:lineRule="auto"/>
        <w:jc w:val="center"/>
        <w:outlineLvl w:val="9"/>
        <w:rPr>
          <w:rFonts w:hint="eastAsia" w:ascii="宋体" w:hAnsi="宋体" w:eastAsia="宋体" w:cs="宋体"/>
          <w:sz w:val="84"/>
          <w:szCs w:val="84"/>
          <w:lang w:val="zh-CN"/>
        </w:rPr>
      </w:pPr>
    </w:p>
    <w:p w14:paraId="5F2C42E7">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投</w:t>
      </w:r>
    </w:p>
    <w:p w14:paraId="6D4A4D91">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标</w:t>
      </w:r>
    </w:p>
    <w:p w14:paraId="0A617648">
      <w:pPr>
        <w:autoSpaceDE w:val="0"/>
        <w:autoSpaceDN w:val="0"/>
        <w:adjustRightInd w:val="0"/>
        <w:spacing w:line="360" w:lineRule="auto"/>
        <w:jc w:val="center"/>
        <w:outlineLvl w:val="9"/>
        <w:rPr>
          <w:rFonts w:hint="eastAsia" w:ascii="宋体" w:hAnsi="宋体" w:eastAsia="宋体" w:cs="宋体"/>
          <w:sz w:val="84"/>
          <w:szCs w:val="84"/>
        </w:rPr>
      </w:pPr>
      <w:r>
        <w:rPr>
          <w:rFonts w:hint="eastAsia" w:ascii="宋体" w:hAnsi="宋体" w:eastAsia="宋体" w:cs="宋体"/>
          <w:sz w:val="84"/>
          <w:szCs w:val="84"/>
          <w:lang w:val="zh-CN"/>
        </w:rPr>
        <w:t>文</w:t>
      </w:r>
    </w:p>
    <w:p w14:paraId="03EF4422">
      <w:pPr>
        <w:spacing w:after="100" w:afterAutospacing="1" w:line="360" w:lineRule="auto"/>
        <w:ind w:right="-108"/>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件</w:t>
      </w:r>
    </w:p>
    <w:p w14:paraId="79606097">
      <w:pPr>
        <w:spacing w:after="100" w:afterAutospacing="1" w:line="360" w:lineRule="auto"/>
        <w:ind w:right="-108"/>
        <w:jc w:val="center"/>
        <w:outlineLvl w:val="9"/>
        <w:rPr>
          <w:rFonts w:hint="eastAsia" w:ascii="宋体" w:hAnsi="宋体" w:eastAsia="宋体" w:cs="宋体"/>
          <w:b/>
          <w:spacing w:val="40"/>
          <w:sz w:val="28"/>
          <w:szCs w:val="28"/>
        </w:rPr>
      </w:pPr>
      <w:r>
        <w:rPr>
          <w:rFonts w:hint="eastAsia" w:ascii="宋体" w:hAnsi="宋体" w:eastAsia="宋体" w:cs="宋体"/>
          <w:sz w:val="28"/>
          <w:szCs w:val="28"/>
          <w:lang w:val="zh-CN"/>
        </w:rPr>
        <w:t>（</w:t>
      </w:r>
      <w:r>
        <w:rPr>
          <w:rFonts w:hint="eastAsia" w:ascii="宋体" w:hAnsi="宋体" w:eastAsia="宋体" w:cs="宋体"/>
          <w:b/>
          <w:spacing w:val="40"/>
          <w:sz w:val="28"/>
          <w:szCs w:val="28"/>
        </w:rPr>
        <w:t>资格证明文件）</w:t>
      </w:r>
    </w:p>
    <w:p w14:paraId="6A53B437">
      <w:pPr>
        <w:spacing w:line="360" w:lineRule="auto"/>
        <w:ind w:right="532" w:firstLine="720" w:firstLineChars="200"/>
        <w:outlineLvl w:val="9"/>
        <w:rPr>
          <w:rFonts w:hint="eastAsia" w:ascii="宋体" w:hAnsi="宋体" w:eastAsia="宋体" w:cs="宋体"/>
          <w:sz w:val="36"/>
          <w:szCs w:val="36"/>
        </w:rPr>
      </w:pPr>
      <w:r>
        <w:rPr>
          <w:rFonts w:hint="eastAsia" w:ascii="宋体" w:hAnsi="宋体" w:cs="宋体"/>
          <w:sz w:val="36"/>
          <w:szCs w:val="36"/>
          <w:lang w:eastAsia="zh-CN"/>
        </w:rPr>
        <w:t>供</w:t>
      </w:r>
      <w:r>
        <w:rPr>
          <w:rFonts w:hint="eastAsia" w:ascii="宋体" w:hAnsi="宋体" w:cs="宋体"/>
          <w:sz w:val="36"/>
          <w:szCs w:val="36"/>
          <w:lang w:val="en-US" w:eastAsia="zh-CN"/>
        </w:rPr>
        <w:t xml:space="preserve"> </w:t>
      </w:r>
      <w:r>
        <w:rPr>
          <w:rFonts w:hint="eastAsia" w:ascii="宋体" w:hAnsi="宋体" w:cs="宋体"/>
          <w:sz w:val="36"/>
          <w:szCs w:val="36"/>
          <w:lang w:eastAsia="zh-CN"/>
        </w:rPr>
        <w:t>应</w:t>
      </w:r>
      <w:r>
        <w:rPr>
          <w:rFonts w:hint="eastAsia" w:ascii="宋体" w:hAnsi="宋体" w:cs="宋体"/>
          <w:sz w:val="36"/>
          <w:szCs w:val="36"/>
          <w:lang w:val="en-US" w:eastAsia="zh-CN"/>
        </w:rPr>
        <w:t xml:space="preserve"> </w:t>
      </w:r>
      <w:r>
        <w:rPr>
          <w:rFonts w:hint="eastAsia" w:ascii="宋体" w:hAnsi="宋体" w:cs="宋体"/>
          <w:sz w:val="36"/>
          <w:szCs w:val="36"/>
          <w:lang w:eastAsia="zh-CN"/>
        </w:rPr>
        <w:t>商</w:t>
      </w:r>
      <w:r>
        <w:rPr>
          <w:rFonts w:hint="eastAsia" w:ascii="宋体" w:hAnsi="宋体" w:eastAsia="宋体" w:cs="宋体"/>
          <w:sz w:val="36"/>
          <w:szCs w:val="36"/>
        </w:rPr>
        <w:t>：</w:t>
      </w:r>
    </w:p>
    <w:p w14:paraId="4F97869B">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14:paraId="482B9831">
      <w:pPr>
        <w:snapToGrid w:val="0"/>
        <w:spacing w:before="50" w:after="50" w:line="360" w:lineRule="auto"/>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1B86FCF5">
      <w:pPr>
        <w:numPr>
          <w:ilvl w:val="0"/>
          <w:numId w:val="75"/>
        </w:numPr>
        <w:ind w:left="0" w:leftChars="0" w:firstLine="0" w:firstLineChars="0"/>
        <w:outlineLvl w:val="1"/>
        <w:rPr>
          <w:rFonts w:hint="eastAsia" w:ascii="宋体" w:hAnsi="宋体" w:eastAsia="宋体" w:cs="宋体"/>
          <w:b/>
          <w:sz w:val="28"/>
          <w:szCs w:val="28"/>
        </w:rPr>
      </w:pPr>
      <w:bookmarkStart w:id="124" w:name="_Toc25434"/>
      <w:bookmarkEnd w:id="124"/>
    </w:p>
    <w:p w14:paraId="2D550856">
      <w:pPr>
        <w:snapToGrid w:val="0"/>
        <w:spacing w:before="50" w:after="50" w:line="360" w:lineRule="auto"/>
        <w:outlineLvl w:val="9"/>
        <w:rPr>
          <w:rFonts w:hint="eastAsia" w:ascii="宋体" w:hAnsi="宋体" w:eastAsia="宋体" w:cs="宋体"/>
          <w:b/>
          <w:sz w:val="36"/>
          <w:szCs w:val="36"/>
        </w:rPr>
      </w:pPr>
    </w:p>
    <w:p w14:paraId="2BEA6EE2">
      <w:pPr>
        <w:snapToGrid w:val="0"/>
        <w:spacing w:before="50" w:after="50" w:line="360" w:lineRule="auto"/>
        <w:outlineLvl w:val="9"/>
        <w:rPr>
          <w:rFonts w:hint="eastAsia" w:ascii="宋体" w:hAnsi="宋体" w:eastAsia="宋体" w:cs="宋体"/>
          <w:b/>
          <w:sz w:val="36"/>
          <w:szCs w:val="36"/>
        </w:rPr>
      </w:pPr>
    </w:p>
    <w:p w14:paraId="5F605CDA">
      <w:pPr>
        <w:snapToGrid w:val="0"/>
        <w:spacing w:before="50" w:after="50" w:line="360" w:lineRule="auto"/>
        <w:jc w:val="center"/>
        <w:outlineLvl w:val="1"/>
        <w:rPr>
          <w:rFonts w:hint="eastAsia" w:ascii="宋体" w:hAnsi="宋体" w:eastAsia="宋体" w:cs="宋体"/>
          <w:b/>
          <w:bCs/>
          <w:sz w:val="36"/>
          <w:szCs w:val="36"/>
          <w:lang w:eastAsia="zh-CN"/>
        </w:rPr>
      </w:pPr>
      <w:bookmarkStart w:id="125" w:name="_Toc24697"/>
      <w:bookmarkStart w:id="126" w:name="_Toc7021"/>
      <w:r>
        <w:rPr>
          <w:rFonts w:hint="eastAsia" w:ascii="宋体" w:hAnsi="宋体" w:eastAsia="宋体" w:cs="宋体"/>
          <w:b/>
          <w:bCs/>
          <w:sz w:val="36"/>
          <w:szCs w:val="36"/>
        </w:rPr>
        <w:t>资格证明文件目录</w:t>
      </w:r>
      <w:bookmarkEnd w:id="125"/>
      <w:bookmarkEnd w:id="126"/>
    </w:p>
    <w:p w14:paraId="52280C05">
      <w:pPr>
        <w:numPr>
          <w:ilvl w:val="0"/>
          <w:numId w:val="76"/>
        </w:numPr>
        <w:bidi w:val="0"/>
        <w:spacing w:line="360" w:lineRule="auto"/>
        <w:ind w:left="425" w:leftChars="0" w:hanging="425" w:firstLineChars="0"/>
        <w:rPr>
          <w:rFonts w:hint="eastAsia"/>
        </w:rPr>
      </w:pPr>
      <w:r>
        <w:rPr>
          <w:rFonts w:hint="eastAsia"/>
        </w:rPr>
        <w:t>投标声明书</w:t>
      </w:r>
      <w:r>
        <w:rPr>
          <w:rFonts w:hint="eastAsia"/>
          <w:lang w:eastAsia="zh-CN"/>
        </w:rPr>
        <w:t>（</w:t>
      </w:r>
      <w:r>
        <w:rPr>
          <w:rFonts w:hint="eastAsia"/>
          <w:lang w:val="en-US" w:eastAsia="zh-CN"/>
        </w:rPr>
        <w:t>见附件</w:t>
      </w:r>
      <w:r>
        <w:rPr>
          <w:rFonts w:hint="eastAsia"/>
          <w:lang w:eastAsia="zh-CN"/>
        </w:rPr>
        <w:t>）</w:t>
      </w:r>
      <w:r>
        <w:rPr>
          <w:rFonts w:hint="eastAsia"/>
        </w:rPr>
        <w:t>；</w:t>
      </w:r>
    </w:p>
    <w:p w14:paraId="22531154">
      <w:pPr>
        <w:numPr>
          <w:ilvl w:val="0"/>
          <w:numId w:val="76"/>
        </w:numPr>
        <w:bidi w:val="0"/>
        <w:spacing w:line="360" w:lineRule="auto"/>
        <w:ind w:left="425" w:leftChars="0" w:hanging="425" w:firstLineChars="0"/>
        <w:rPr>
          <w:rFonts w:hint="eastAsia"/>
        </w:rPr>
      </w:pPr>
      <w:r>
        <w:rPr>
          <w:rFonts w:hint="eastAsia"/>
        </w:rPr>
        <w:t>授权委托书（</w:t>
      </w:r>
      <w:r>
        <w:rPr>
          <w:rFonts w:hint="eastAsia"/>
          <w:lang w:val="en-US" w:eastAsia="zh-CN"/>
        </w:rPr>
        <w:t>见附件；</w:t>
      </w:r>
      <w:r>
        <w:rPr>
          <w:rFonts w:hint="eastAsia"/>
          <w:lang w:eastAsia="zh-CN"/>
        </w:rPr>
        <w:t>负责人</w:t>
      </w:r>
      <w:r>
        <w:rPr>
          <w:rFonts w:hint="eastAsia"/>
        </w:rPr>
        <w:t>亲自办理投标事宜的，则无需提交</w:t>
      </w:r>
      <w:r>
        <w:rPr>
          <w:rFonts w:hint="eastAsia"/>
          <w:lang w:eastAsia="zh-CN"/>
        </w:rPr>
        <w:t>）</w:t>
      </w:r>
      <w:r>
        <w:rPr>
          <w:rFonts w:hint="eastAsia"/>
        </w:rPr>
        <w:t>；</w:t>
      </w:r>
    </w:p>
    <w:p w14:paraId="7169E9E1">
      <w:pPr>
        <w:numPr>
          <w:ilvl w:val="0"/>
          <w:numId w:val="76"/>
        </w:numPr>
        <w:bidi w:val="0"/>
        <w:spacing w:line="360" w:lineRule="auto"/>
        <w:ind w:left="425" w:leftChars="0" w:hanging="425" w:firstLineChars="0"/>
        <w:rPr>
          <w:rFonts w:hint="eastAsia"/>
        </w:rPr>
      </w:pPr>
      <w:r>
        <w:rPr>
          <w:rFonts w:hint="eastAsia"/>
        </w:rPr>
        <w:t>法人或者其他组织的营业执照等证明文件，自然人的身份证明；</w:t>
      </w:r>
    </w:p>
    <w:p w14:paraId="6EC8B0C9">
      <w:pPr>
        <w:numPr>
          <w:ilvl w:val="0"/>
          <w:numId w:val="76"/>
        </w:numPr>
        <w:bidi w:val="0"/>
        <w:spacing w:line="360" w:lineRule="auto"/>
        <w:ind w:left="425" w:leftChars="0" w:hanging="425" w:firstLineChars="0"/>
        <w:rPr>
          <w:rFonts w:hint="eastAsia"/>
        </w:rPr>
      </w:pPr>
      <w:r>
        <w:rPr>
          <w:rFonts w:hint="eastAsia"/>
        </w:rPr>
        <w:t>符合参与政府采购活动的资格条件、具备良好的商业信誉和健全的财务会计制度并且没有税收缴纳、社会保障等方面的失信记录的承诺函；</w:t>
      </w:r>
    </w:p>
    <w:p w14:paraId="6B59B8A5">
      <w:pPr>
        <w:numPr>
          <w:ilvl w:val="0"/>
          <w:numId w:val="76"/>
        </w:numPr>
        <w:bidi w:val="0"/>
        <w:spacing w:line="360" w:lineRule="auto"/>
        <w:ind w:left="425" w:leftChars="0" w:hanging="425" w:firstLineChars="0"/>
        <w:rPr>
          <w:rFonts w:hint="eastAsia"/>
          <w:lang w:eastAsia="zh-CN"/>
        </w:rPr>
      </w:pPr>
      <w:r>
        <w:rPr>
          <w:rFonts w:hint="eastAsia"/>
        </w:rPr>
        <w:t>具备履行合同所必需的设备和专业技术能力的承诺函；</w:t>
      </w:r>
    </w:p>
    <w:p w14:paraId="46E9371C">
      <w:pPr>
        <w:numPr>
          <w:ilvl w:val="0"/>
          <w:numId w:val="76"/>
        </w:numPr>
        <w:bidi w:val="0"/>
        <w:spacing w:line="360" w:lineRule="auto"/>
        <w:ind w:left="425" w:leftChars="0" w:hanging="425" w:firstLineChars="0"/>
        <w:rPr>
          <w:rFonts w:hint="eastAsia"/>
          <w:lang w:eastAsia="zh-CN"/>
        </w:rPr>
      </w:pPr>
      <w:r>
        <w:rPr>
          <w:rFonts w:hint="eastAsia"/>
        </w:rPr>
        <w:t>以及需要说明的其他资料</w:t>
      </w:r>
      <w:r>
        <w:rPr>
          <w:rFonts w:hint="eastAsia"/>
          <w:lang w:val="en-US" w:eastAsia="zh-CN"/>
        </w:rPr>
        <w:t>。</w:t>
      </w:r>
    </w:p>
    <w:p w14:paraId="39C68E0D">
      <w:pPr>
        <w:spacing w:line="360" w:lineRule="auto"/>
        <w:outlineLvl w:val="9"/>
        <w:rPr>
          <w:rFonts w:hint="eastAsia" w:ascii="宋体" w:hAnsi="宋体" w:eastAsia="宋体" w:cs="宋体"/>
          <w:b/>
          <w:sz w:val="28"/>
        </w:rPr>
      </w:pPr>
    </w:p>
    <w:p w14:paraId="4BC07103">
      <w:pPr>
        <w:spacing w:line="360" w:lineRule="auto"/>
        <w:ind w:left="420"/>
        <w:outlineLvl w:val="9"/>
        <w:rPr>
          <w:rFonts w:hint="eastAsia" w:ascii="宋体" w:hAnsi="宋体" w:eastAsia="宋体" w:cs="宋体"/>
          <w:b/>
          <w:sz w:val="28"/>
        </w:rPr>
      </w:pPr>
    </w:p>
    <w:p w14:paraId="1FCB3640">
      <w:pPr>
        <w:spacing w:line="360" w:lineRule="auto"/>
        <w:ind w:left="420"/>
        <w:outlineLvl w:val="9"/>
        <w:rPr>
          <w:rFonts w:hint="eastAsia" w:ascii="宋体" w:hAnsi="宋体" w:eastAsia="宋体" w:cs="宋体"/>
          <w:b/>
          <w:sz w:val="28"/>
        </w:rPr>
      </w:pPr>
    </w:p>
    <w:p w14:paraId="70E277C7">
      <w:pPr>
        <w:spacing w:line="360" w:lineRule="auto"/>
        <w:ind w:left="420"/>
        <w:outlineLvl w:val="9"/>
        <w:rPr>
          <w:rFonts w:hint="eastAsia" w:ascii="宋体" w:hAnsi="宋体" w:eastAsia="宋体" w:cs="宋体"/>
          <w:b/>
          <w:sz w:val="28"/>
        </w:rPr>
      </w:pPr>
    </w:p>
    <w:p w14:paraId="30E37BB0">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4855E6C6">
      <w:pPr>
        <w:numPr>
          <w:ilvl w:val="0"/>
          <w:numId w:val="75"/>
        </w:numPr>
        <w:ind w:left="0" w:leftChars="0" w:firstLine="0" w:firstLineChars="0"/>
        <w:outlineLvl w:val="1"/>
        <w:rPr>
          <w:rFonts w:hint="eastAsia" w:ascii="宋体" w:hAnsi="宋体" w:eastAsia="宋体" w:cs="宋体"/>
          <w:b/>
          <w:sz w:val="28"/>
          <w:szCs w:val="28"/>
          <w:lang w:eastAsia="zh-CN"/>
        </w:rPr>
      </w:pPr>
      <w:bookmarkStart w:id="127" w:name="_Toc32302"/>
      <w:bookmarkEnd w:id="127"/>
    </w:p>
    <w:p w14:paraId="343242F9">
      <w:pPr>
        <w:adjustRightInd w:val="0"/>
        <w:snapToGrid w:val="0"/>
        <w:spacing w:line="360" w:lineRule="auto"/>
        <w:ind w:right="480"/>
        <w:jc w:val="center"/>
        <w:outlineLvl w:val="1"/>
        <w:rPr>
          <w:rFonts w:hint="eastAsia" w:ascii="宋体" w:hAnsi="宋体" w:eastAsia="宋体" w:cs="宋体"/>
          <w:b/>
          <w:kern w:val="0"/>
          <w:sz w:val="32"/>
          <w:szCs w:val="32"/>
          <w:lang w:val="zh-CN"/>
        </w:rPr>
      </w:pPr>
      <w:bookmarkStart w:id="128" w:name="_Toc6064"/>
      <w:bookmarkStart w:id="129" w:name="_Toc10551"/>
      <w:r>
        <w:rPr>
          <w:rFonts w:hint="eastAsia" w:ascii="宋体" w:hAnsi="宋体" w:eastAsia="宋体" w:cs="宋体"/>
          <w:b/>
          <w:kern w:val="0"/>
          <w:sz w:val="32"/>
          <w:szCs w:val="32"/>
          <w:lang w:val="zh-CN"/>
        </w:rPr>
        <w:t>投标声明书</w:t>
      </w:r>
      <w:bookmarkEnd w:id="128"/>
      <w:bookmarkEnd w:id="129"/>
    </w:p>
    <w:p w14:paraId="12755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rPr>
      </w:pPr>
      <w:r>
        <w:rPr>
          <w:rFonts w:hint="eastAsia" w:ascii="宋体" w:hAnsi="宋体" w:cs="宋体"/>
          <w:kern w:val="0"/>
          <w:sz w:val="21"/>
          <w:szCs w:val="21"/>
          <w:lang w:eastAsia="zh-CN"/>
        </w:rPr>
        <w:t>台州市永阳科技有限公司</w:t>
      </w:r>
      <w:r>
        <w:rPr>
          <w:rFonts w:hint="eastAsia" w:ascii="宋体" w:hAnsi="宋体" w:eastAsia="宋体" w:cs="宋体"/>
          <w:color w:val="auto"/>
          <w:kern w:val="0"/>
          <w:sz w:val="21"/>
          <w:szCs w:val="21"/>
        </w:rPr>
        <w:t>：</w:t>
      </w:r>
    </w:p>
    <w:p w14:paraId="65C924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我公司自愿参加贵方组织的</w:t>
      </w:r>
      <w:r>
        <w:rPr>
          <w:rFonts w:hint="eastAsia" w:ascii="宋体" w:hAnsi="宋体" w:cs="宋体"/>
          <w:color w:val="auto"/>
          <w:kern w:val="0"/>
          <w:sz w:val="21"/>
          <w:szCs w:val="21"/>
          <w:u w:val="single"/>
          <w:lang w:eastAsia="zh-CN"/>
        </w:rPr>
        <w:t>2025年台州市海洋观测站点日常运行维护项目</w:t>
      </w:r>
      <w:r>
        <w:rPr>
          <w:rFonts w:hint="eastAsia" w:ascii="宋体" w:hAnsi="宋体" w:eastAsia="宋体" w:cs="宋体"/>
          <w:kern w:val="0"/>
          <w:sz w:val="21"/>
          <w:szCs w:val="21"/>
        </w:rPr>
        <w:t>（编号为</w:t>
      </w:r>
      <w:r>
        <w:rPr>
          <w:rFonts w:hint="eastAsia" w:ascii="宋体" w:hAnsi="宋体" w:cs="宋体"/>
          <w:kern w:val="0"/>
          <w:sz w:val="21"/>
          <w:szCs w:val="21"/>
          <w:lang w:eastAsia="zh-CN"/>
        </w:rPr>
        <w:t>TZYY-2506-002号</w:t>
      </w:r>
      <w:r>
        <w:rPr>
          <w:rFonts w:hint="eastAsia" w:ascii="宋体" w:hAnsi="宋体" w:eastAsia="宋体" w:cs="宋体"/>
          <w:kern w:val="0"/>
          <w:sz w:val="21"/>
          <w:szCs w:val="21"/>
        </w:rPr>
        <w:t>）的投标，为此，我公司就本次投标有关事项郑重声明如下：</w:t>
      </w:r>
    </w:p>
    <w:p w14:paraId="78E77D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b w:val="0"/>
          <w:bCs w:val="0"/>
          <w:color w:val="000000"/>
          <w:sz w:val="21"/>
          <w:szCs w:val="21"/>
        </w:rPr>
        <w:t>我公</w:t>
      </w:r>
      <w:r>
        <w:rPr>
          <w:rFonts w:hint="eastAsia" w:ascii="宋体" w:hAnsi="宋体" w:eastAsia="宋体" w:cs="宋体"/>
          <w:color w:val="000000"/>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99754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我公司在参与投标前已详细审查了</w:t>
      </w:r>
      <w:r>
        <w:rPr>
          <w:rFonts w:hint="eastAsia" w:ascii="宋体" w:hAnsi="宋体" w:cs="宋体"/>
          <w:kern w:val="0"/>
          <w:sz w:val="21"/>
          <w:szCs w:val="21"/>
          <w:lang w:eastAsia="zh-CN"/>
        </w:rPr>
        <w:t>采购文件</w:t>
      </w:r>
      <w:r>
        <w:rPr>
          <w:rFonts w:hint="eastAsia" w:ascii="宋体" w:hAnsi="宋体" w:eastAsia="宋体" w:cs="宋体"/>
          <w:kern w:val="0"/>
          <w:sz w:val="21"/>
          <w:szCs w:val="21"/>
        </w:rPr>
        <w:t>和所有相关资料，我方完全明白并认为此</w:t>
      </w:r>
      <w:r>
        <w:rPr>
          <w:rFonts w:hint="eastAsia" w:ascii="宋体" w:hAnsi="宋体" w:cs="宋体"/>
          <w:kern w:val="0"/>
          <w:sz w:val="21"/>
          <w:szCs w:val="21"/>
          <w:lang w:eastAsia="zh-CN"/>
        </w:rPr>
        <w:t>采购文件</w:t>
      </w:r>
      <w:r>
        <w:rPr>
          <w:rFonts w:hint="eastAsia" w:ascii="宋体" w:hAnsi="宋体" w:eastAsia="宋体" w:cs="宋体"/>
          <w:kern w:val="0"/>
          <w:sz w:val="21"/>
          <w:szCs w:val="21"/>
        </w:rPr>
        <w:t>没有倾向性，也没有存在排斥潜在投标人的内容，我方同意</w:t>
      </w:r>
      <w:r>
        <w:rPr>
          <w:rFonts w:hint="eastAsia" w:ascii="宋体" w:hAnsi="宋体" w:cs="宋体"/>
          <w:kern w:val="0"/>
          <w:sz w:val="21"/>
          <w:szCs w:val="21"/>
          <w:lang w:eastAsia="zh-CN"/>
        </w:rPr>
        <w:t>采购文件</w:t>
      </w:r>
      <w:r>
        <w:rPr>
          <w:rFonts w:hint="eastAsia" w:ascii="宋体" w:hAnsi="宋体" w:eastAsia="宋体" w:cs="宋体"/>
          <w:kern w:val="0"/>
          <w:sz w:val="21"/>
          <w:szCs w:val="21"/>
        </w:rPr>
        <w:t>的相关条款，放弃对</w:t>
      </w:r>
      <w:r>
        <w:rPr>
          <w:rFonts w:hint="eastAsia" w:ascii="宋体" w:hAnsi="宋体" w:cs="宋体"/>
          <w:kern w:val="0"/>
          <w:sz w:val="21"/>
          <w:szCs w:val="21"/>
          <w:lang w:eastAsia="zh-CN"/>
        </w:rPr>
        <w:t>采购文件</w:t>
      </w:r>
      <w:r>
        <w:rPr>
          <w:rFonts w:hint="eastAsia" w:ascii="宋体" w:hAnsi="宋体" w:eastAsia="宋体" w:cs="宋体"/>
          <w:kern w:val="0"/>
          <w:sz w:val="21"/>
          <w:szCs w:val="21"/>
        </w:rPr>
        <w:t>提出误解和质疑的一切权利。</w:t>
      </w:r>
    </w:p>
    <w:p w14:paraId="5CCACA17">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3、我</w:t>
      </w:r>
      <w:r>
        <w:rPr>
          <w:rFonts w:hint="eastAsia" w:ascii="宋体" w:hAnsi="宋体" w:eastAsia="宋体" w:cs="宋体"/>
          <w:kern w:val="0"/>
          <w:sz w:val="21"/>
          <w:szCs w:val="21"/>
          <w:lang w:val="zh-CN"/>
        </w:rPr>
        <w:t>公司</w:t>
      </w:r>
      <w:r>
        <w:rPr>
          <w:rFonts w:hint="eastAsia" w:ascii="宋体" w:hAnsi="宋体" w:eastAsia="宋体" w:cs="宋体"/>
          <w:sz w:val="21"/>
          <w:szCs w:val="21"/>
        </w:rPr>
        <w:t>不是为</w:t>
      </w:r>
      <w:r>
        <w:rPr>
          <w:rFonts w:hint="eastAsia" w:ascii="宋体" w:hAnsi="宋体" w:cs="宋体"/>
          <w:sz w:val="21"/>
          <w:szCs w:val="21"/>
          <w:lang w:val="en-US" w:eastAsia="zh-CN"/>
        </w:rPr>
        <w:t>本</w:t>
      </w:r>
      <w:r>
        <w:rPr>
          <w:rFonts w:hint="eastAsia" w:ascii="宋体" w:hAnsi="宋体" w:eastAsia="宋体" w:cs="宋体"/>
          <w:sz w:val="21"/>
          <w:szCs w:val="21"/>
        </w:rPr>
        <w:t>项目提供整体设计、规范编制或者项目管理、监理、检测等服务</w:t>
      </w:r>
      <w:r>
        <w:rPr>
          <w:rFonts w:hint="eastAsia" w:ascii="宋体" w:hAnsi="宋体" w:cs="宋体"/>
          <w:sz w:val="21"/>
          <w:szCs w:val="21"/>
          <w:lang w:val="en-US" w:eastAsia="zh-CN"/>
        </w:rPr>
        <w:t>的单位</w:t>
      </w:r>
      <w:r>
        <w:rPr>
          <w:rFonts w:hint="eastAsia" w:ascii="宋体" w:hAnsi="宋体" w:eastAsia="宋体" w:cs="宋体"/>
          <w:sz w:val="21"/>
          <w:szCs w:val="21"/>
        </w:rPr>
        <w:t>。</w:t>
      </w:r>
    </w:p>
    <w:p w14:paraId="023A2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lang w:val="af-ZA"/>
        </w:rPr>
      </w:pPr>
      <w:r>
        <w:rPr>
          <w:rFonts w:hint="eastAsia" w:ascii="宋体" w:hAnsi="宋体" w:eastAsia="宋体" w:cs="宋体"/>
          <w:sz w:val="21"/>
          <w:szCs w:val="21"/>
        </w:rPr>
        <w:t>4、</w:t>
      </w:r>
      <w:r>
        <w:rPr>
          <w:rFonts w:hint="eastAsia" w:ascii="宋体" w:hAnsi="宋体" w:eastAsia="宋体" w:cs="宋体"/>
          <w:kern w:val="0"/>
          <w:sz w:val="21"/>
          <w:szCs w:val="21"/>
        </w:rPr>
        <w:t>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rPr>
        <w:t>保证，</w:t>
      </w:r>
      <w:r>
        <w:rPr>
          <w:rFonts w:hint="eastAsia" w:ascii="宋体" w:hAnsi="宋体" w:eastAsia="宋体" w:cs="宋体"/>
          <w:kern w:val="0"/>
          <w:sz w:val="21"/>
          <w:szCs w:val="21"/>
          <w:lang w:val="af-ZA"/>
        </w:rPr>
        <w:t>采购人在中华人民共和国境内使用</w:t>
      </w:r>
      <w:r>
        <w:rPr>
          <w:rFonts w:hint="eastAsia" w:ascii="宋体" w:hAnsi="宋体" w:eastAsia="宋体" w:cs="宋体"/>
          <w:kern w:val="0"/>
          <w:sz w:val="21"/>
          <w:szCs w:val="21"/>
        </w:rPr>
        <w:t>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lang w:val="af-ZA"/>
        </w:rPr>
        <w:t>投标货物、资料、技术、服务或其任何一部分时，享有不受限制的无偿使用权，如有第三方向采购人提出侵犯其专利权、商标权或</w:t>
      </w:r>
      <w:r>
        <w:rPr>
          <w:rFonts w:hint="eastAsia" w:ascii="宋体" w:hAnsi="宋体" w:cs="宋体"/>
          <w:kern w:val="0"/>
          <w:sz w:val="21"/>
          <w:szCs w:val="21"/>
          <w:lang w:val="af-ZA" w:eastAsia="zh-CN"/>
        </w:rPr>
        <w:t>其他</w:t>
      </w:r>
      <w:r>
        <w:rPr>
          <w:rFonts w:hint="eastAsia" w:ascii="宋体" w:hAnsi="宋体" w:eastAsia="宋体" w:cs="宋体"/>
          <w:kern w:val="0"/>
          <w:sz w:val="21"/>
          <w:szCs w:val="21"/>
          <w:lang w:val="af-ZA"/>
        </w:rPr>
        <w:t>知识产权的主张，该责任由我方承担。我方的投标报价已包含所有应向所有权人支付的专利权、商标权或</w:t>
      </w:r>
      <w:r>
        <w:rPr>
          <w:rFonts w:hint="eastAsia" w:ascii="宋体" w:hAnsi="宋体" w:cs="宋体"/>
          <w:kern w:val="0"/>
          <w:sz w:val="21"/>
          <w:szCs w:val="21"/>
          <w:lang w:val="af-ZA" w:eastAsia="zh-CN"/>
        </w:rPr>
        <w:t>其他</w:t>
      </w:r>
      <w:r>
        <w:rPr>
          <w:rFonts w:hint="eastAsia" w:ascii="宋体" w:hAnsi="宋体" w:eastAsia="宋体" w:cs="宋体"/>
          <w:kern w:val="0"/>
          <w:sz w:val="21"/>
          <w:szCs w:val="21"/>
          <w:lang w:val="af-ZA"/>
        </w:rPr>
        <w:t>知识产权的一切相关费用。</w:t>
      </w:r>
    </w:p>
    <w:p w14:paraId="682E2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af-ZA"/>
        </w:rPr>
        <w:t>5、我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lang w:val="af-ZA"/>
        </w:rPr>
        <w:t>严格履行政府采购合同，</w:t>
      </w:r>
      <w:r>
        <w:rPr>
          <w:rFonts w:hint="eastAsia" w:ascii="宋体" w:hAnsi="宋体" w:cs="宋体"/>
          <w:kern w:val="0"/>
          <w:szCs w:val="21"/>
          <w:lang w:val="af-ZA"/>
        </w:rPr>
        <w:t>除在响应文件中明确拒绝的内容外，均接受采购文件的全部要求，</w:t>
      </w:r>
      <w:r>
        <w:rPr>
          <w:rFonts w:hint="eastAsia" w:ascii="宋体" w:hAnsi="宋体" w:eastAsia="宋体" w:cs="宋体"/>
          <w:kern w:val="0"/>
          <w:sz w:val="21"/>
          <w:szCs w:val="21"/>
          <w:lang w:val="af-ZA"/>
        </w:rPr>
        <w:t>不降低合同约定的产品质量和服务，不擅自变更、中止、终止合同，或拒绝履行合同义务；</w:t>
      </w:r>
    </w:p>
    <w:p w14:paraId="700EE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6、以上事项如有虚假或隐瞒，我</w:t>
      </w:r>
      <w:r>
        <w:rPr>
          <w:rFonts w:hint="eastAsia" w:ascii="宋体" w:hAnsi="宋体" w:eastAsia="宋体" w:cs="宋体"/>
          <w:kern w:val="0"/>
          <w:sz w:val="21"/>
          <w:szCs w:val="21"/>
          <w:lang w:val="zh-CN"/>
        </w:rPr>
        <w:t>公司</w:t>
      </w:r>
      <w:r>
        <w:rPr>
          <w:rFonts w:hint="eastAsia" w:ascii="宋体" w:hAnsi="宋体" w:eastAsia="宋体" w:cs="宋体"/>
          <w:sz w:val="21"/>
          <w:szCs w:val="21"/>
        </w:rPr>
        <w:t>愿意承担一切后果，并不再寻求任何旨在减轻或免除法律责任的辩解。</w:t>
      </w:r>
    </w:p>
    <w:p w14:paraId="280E1026">
      <w:pPr>
        <w:adjustRightInd w:val="0"/>
        <w:snapToGrid w:val="0"/>
        <w:spacing w:line="360" w:lineRule="auto"/>
        <w:ind w:firstLine="480"/>
        <w:outlineLvl w:val="9"/>
        <w:rPr>
          <w:rFonts w:hint="eastAsia" w:ascii="宋体" w:hAnsi="宋体" w:eastAsia="宋体" w:cs="宋体"/>
          <w:kern w:val="0"/>
          <w:sz w:val="21"/>
          <w:szCs w:val="21"/>
        </w:rPr>
      </w:pPr>
    </w:p>
    <w:p w14:paraId="6FA57E5B">
      <w:pPr>
        <w:tabs>
          <w:tab w:val="left" w:pos="4860"/>
        </w:tabs>
        <w:spacing w:line="588" w:lineRule="exact"/>
        <w:ind w:right="1560" w:firstLine="504" w:firstLineChars="200"/>
        <w:rPr>
          <w:rFonts w:hint="eastAsia" w:ascii="宋体" w:hAnsi="宋体" w:cs="宋体"/>
          <w:color w:val="FF0000"/>
          <w:spacing w:val="6"/>
          <w:sz w:val="24"/>
          <w:lang w:val="zh-CN"/>
        </w:rPr>
      </w:pPr>
      <w:r>
        <w:rPr>
          <w:rFonts w:hint="eastAsia" w:ascii="宋体" w:hAnsi="宋体" w:cs="宋体"/>
          <w:color w:val="FF0000"/>
          <w:spacing w:val="6"/>
          <w:sz w:val="24"/>
          <w:lang w:val="zh-CN"/>
        </w:rPr>
        <w:t>供应商（CA签章）：</w:t>
      </w:r>
    </w:p>
    <w:p w14:paraId="2CE60528">
      <w:pPr>
        <w:tabs>
          <w:tab w:val="left" w:pos="4860"/>
        </w:tabs>
        <w:spacing w:line="588" w:lineRule="exact"/>
        <w:ind w:right="1560" w:firstLine="504" w:firstLineChars="200"/>
        <w:rPr>
          <w:rFonts w:hint="eastAsia" w:ascii="宋体" w:hAnsi="宋体" w:cs="宋体"/>
          <w:color w:val="FF0000"/>
          <w:spacing w:val="6"/>
          <w:sz w:val="24"/>
          <w:lang w:val="zh-CN"/>
        </w:rPr>
      </w:pPr>
      <w:r>
        <w:rPr>
          <w:rFonts w:hint="eastAsia" w:ascii="宋体" w:hAnsi="宋体" w:cs="宋体"/>
          <w:color w:val="FF0000"/>
          <w:spacing w:val="6"/>
          <w:sz w:val="24"/>
          <w:lang w:val="zh-CN"/>
        </w:rPr>
        <w:t>日期：2025年</w:t>
      </w:r>
      <w:r>
        <w:rPr>
          <w:rFonts w:hint="eastAsia" w:ascii="宋体" w:hAnsi="宋体" w:eastAsia="宋体" w:cs="宋体"/>
          <w:color w:val="FF0000"/>
          <w:spacing w:val="6"/>
          <w:sz w:val="24"/>
          <w:lang w:val="zh-CN"/>
        </w:rPr>
        <w:t>××月××日</w:t>
      </w:r>
    </w:p>
    <w:p w14:paraId="73A006C1">
      <w:pPr>
        <w:adjustRightInd w:val="0"/>
        <w:snapToGrid w:val="0"/>
        <w:spacing w:line="360" w:lineRule="auto"/>
        <w:ind w:right="480"/>
        <w:outlineLvl w:val="9"/>
        <w:rPr>
          <w:rFonts w:hint="eastAsia" w:ascii="宋体" w:hAnsi="宋体" w:eastAsia="宋体" w:cs="宋体"/>
          <w:b/>
          <w:sz w:val="28"/>
        </w:rPr>
      </w:pPr>
    </w:p>
    <w:p w14:paraId="68246262">
      <w:pPr>
        <w:adjustRightInd w:val="0"/>
        <w:snapToGrid w:val="0"/>
        <w:spacing w:line="360" w:lineRule="auto"/>
        <w:ind w:right="480"/>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25D34593">
      <w:pPr>
        <w:numPr>
          <w:ilvl w:val="0"/>
          <w:numId w:val="75"/>
        </w:numPr>
        <w:ind w:left="0" w:leftChars="0" w:firstLine="0" w:firstLineChars="0"/>
        <w:outlineLvl w:val="1"/>
        <w:rPr>
          <w:rFonts w:hint="eastAsia" w:ascii="宋体" w:hAnsi="宋体" w:eastAsia="宋体" w:cs="宋体"/>
          <w:b/>
          <w:sz w:val="28"/>
          <w:szCs w:val="28"/>
          <w:lang w:eastAsia="zh-CN"/>
        </w:rPr>
      </w:pPr>
      <w:bookmarkStart w:id="130" w:name="_Toc7625"/>
      <w:bookmarkEnd w:id="130"/>
    </w:p>
    <w:p w14:paraId="5DF4D7A3">
      <w:pPr>
        <w:spacing w:line="360" w:lineRule="auto"/>
        <w:ind w:firstLine="321" w:firstLineChars="100"/>
        <w:jc w:val="center"/>
        <w:outlineLvl w:val="1"/>
        <w:rPr>
          <w:rFonts w:hint="eastAsia" w:ascii="宋体" w:hAnsi="宋体" w:eastAsia="宋体" w:cs="宋体"/>
          <w:b/>
          <w:sz w:val="32"/>
          <w:szCs w:val="32"/>
          <w:u w:val="single"/>
        </w:rPr>
      </w:pPr>
      <w:bookmarkStart w:id="131" w:name="_Toc31246"/>
      <w:bookmarkStart w:id="132" w:name="_Toc3023"/>
      <w:r>
        <w:rPr>
          <w:rFonts w:hint="eastAsia" w:ascii="宋体" w:hAnsi="宋体" w:eastAsia="宋体" w:cs="宋体"/>
          <w:b/>
          <w:color w:val="000000"/>
          <w:sz w:val="32"/>
          <w:szCs w:val="32"/>
        </w:rPr>
        <w:t>授权委托书</w:t>
      </w:r>
      <w:bookmarkEnd w:id="131"/>
      <w:bookmarkEnd w:id="132"/>
    </w:p>
    <w:p w14:paraId="773301F7">
      <w:pPr>
        <w:pStyle w:val="13"/>
        <w:spacing w:line="500" w:lineRule="exact"/>
        <w:outlineLvl w:val="9"/>
        <w:rPr>
          <w:rFonts w:hint="eastAsia" w:ascii="宋体" w:hAnsi="宋体" w:eastAsia="宋体" w:cs="宋体"/>
          <w:b/>
          <w:color w:val="auto"/>
          <w:sz w:val="24"/>
        </w:rPr>
      </w:pPr>
      <w:r>
        <w:rPr>
          <w:rFonts w:hint="eastAsia" w:hAnsi="宋体" w:cs="宋体"/>
          <w:kern w:val="0"/>
          <w:sz w:val="24"/>
          <w:lang w:eastAsia="zh-CN"/>
        </w:rPr>
        <w:t>台州市永阳科技有限公司</w:t>
      </w:r>
      <w:r>
        <w:rPr>
          <w:rFonts w:hint="eastAsia" w:ascii="宋体" w:hAnsi="宋体" w:eastAsia="宋体" w:cs="宋体"/>
          <w:b/>
          <w:color w:val="auto"/>
          <w:sz w:val="24"/>
        </w:rPr>
        <w:t>：</w:t>
      </w:r>
    </w:p>
    <w:p w14:paraId="22F4CD57">
      <w:pPr>
        <w:pStyle w:val="13"/>
        <w:spacing w:line="500" w:lineRule="exact"/>
        <w:ind w:left="240" w:hanging="240" w:hangingChars="100"/>
        <w:outlineLvl w:val="9"/>
        <w:rPr>
          <w:rFonts w:hint="eastAsia" w:ascii="宋体" w:hAnsi="宋体" w:eastAsia="宋体" w:cs="宋体"/>
          <w:sz w:val="24"/>
        </w:rPr>
      </w:pPr>
      <w:r>
        <w:rPr>
          <w:rFonts w:hint="eastAsia" w:ascii="宋体" w:hAnsi="宋体" w:eastAsia="宋体" w:cs="宋体"/>
          <w:color w:val="auto"/>
          <w:sz w:val="24"/>
        </w:rPr>
        <w:t xml:space="preserve">    </w:t>
      </w:r>
      <w:r>
        <w:rPr>
          <w:rFonts w:hint="eastAsia" w:hAnsi="宋体" w:cs="宋体"/>
          <w:color w:val="auto"/>
          <w:sz w:val="24"/>
          <w:u w:val="none"/>
          <w:lang w:val="en-US" w:eastAsia="zh-CN"/>
        </w:rPr>
        <w:t>现</w:t>
      </w:r>
      <w:r>
        <w:rPr>
          <w:rFonts w:hint="eastAsia" w:ascii="宋体" w:hAnsi="宋体" w:eastAsia="宋体" w:cs="宋体"/>
          <w:sz w:val="24"/>
          <w:u w:val="none"/>
        </w:rPr>
        <w:t>授权</w:t>
      </w:r>
      <w:r>
        <w:rPr>
          <w:rFonts w:hint="eastAsia" w:ascii="宋体" w:hAnsi="宋体" w:eastAsia="宋体" w:cs="宋体"/>
          <w:sz w:val="24"/>
          <w:u w:val="single"/>
        </w:rPr>
        <w:t xml:space="preserve">  </w:t>
      </w:r>
      <w:r>
        <w:rPr>
          <w:rFonts w:hint="eastAsia" w:ascii="宋体" w:hAnsi="宋体" w:eastAsia="宋体" w:cs="宋体"/>
          <w:color w:val="FF0000"/>
          <w:sz w:val="24"/>
          <w:u w:val="single"/>
        </w:rPr>
        <w:t xml:space="preserve"> （全权代表姓名）</w:t>
      </w:r>
      <w:r>
        <w:rPr>
          <w:rFonts w:hint="eastAsia" w:ascii="宋体" w:hAnsi="宋体" w:eastAsia="宋体" w:cs="宋体"/>
          <w:sz w:val="24"/>
          <w:u w:val="single"/>
        </w:rPr>
        <w:t xml:space="preserve"> </w:t>
      </w:r>
      <w:r>
        <w:rPr>
          <w:rFonts w:hint="eastAsia" w:ascii="宋体" w:hAnsi="宋体" w:eastAsia="宋体" w:cs="宋体"/>
          <w:sz w:val="24"/>
        </w:rPr>
        <w:t>为全权代表，参加</w:t>
      </w:r>
      <w:r>
        <w:rPr>
          <w:rFonts w:hint="eastAsia" w:hAnsi="宋体" w:cs="宋体"/>
          <w:sz w:val="24"/>
          <w:lang w:eastAsia="zh-CN"/>
        </w:rPr>
        <w:t>贵单位组织的</w:t>
      </w:r>
      <w:r>
        <w:rPr>
          <w:rFonts w:hint="eastAsia" w:hAnsi="宋体" w:cs="宋体"/>
          <w:sz w:val="24"/>
          <w:u w:val="single"/>
          <w:lang w:eastAsia="zh-CN"/>
        </w:rPr>
        <w:t>2025年台州市海洋观测站点日常运行维护项目</w:t>
      </w:r>
      <w:r>
        <w:rPr>
          <w:rFonts w:hint="eastAsia" w:hAnsi="宋体" w:cs="宋体"/>
          <w:sz w:val="24"/>
          <w:lang w:eastAsia="zh-CN"/>
        </w:rPr>
        <w:t>（项目编号：TZYY-2506-002号）</w:t>
      </w:r>
      <w:r>
        <w:rPr>
          <w:rFonts w:hint="eastAsia" w:ascii="宋体" w:hAnsi="宋体" w:eastAsia="宋体" w:cs="宋体"/>
          <w:sz w:val="24"/>
        </w:rPr>
        <w:t>的采购活动，并代表我方全权办理针对上述项目的投标、开标、评标、签约等具体事务和签署相关文件。我方对全权代表的</w:t>
      </w:r>
      <w:r>
        <w:rPr>
          <w:rFonts w:hint="eastAsia" w:ascii="宋体" w:hAnsi="宋体" w:eastAsia="宋体" w:cs="宋体"/>
          <w:sz w:val="24"/>
          <w:lang w:eastAsia="zh-CN"/>
        </w:rPr>
        <w:t>签字</w:t>
      </w:r>
      <w:r>
        <w:rPr>
          <w:rFonts w:hint="eastAsia" w:ascii="宋体" w:hAnsi="宋体" w:eastAsia="宋体" w:cs="宋体"/>
          <w:sz w:val="24"/>
        </w:rPr>
        <w:t>事项负全部责任。</w:t>
      </w:r>
    </w:p>
    <w:p w14:paraId="426DA604">
      <w:pPr>
        <w:pStyle w:val="13"/>
        <w:spacing w:line="500" w:lineRule="exact"/>
        <w:ind w:left="139" w:leftChars="66" w:firstLine="480" w:firstLineChars="200"/>
        <w:outlineLvl w:val="9"/>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在撤销授权的书面通知以前，本授权书一直有效。全权代表在授权委托书有效期内签署的所有文件不因授权的撤销而失效。</w:t>
      </w:r>
    </w:p>
    <w:p w14:paraId="773B5535">
      <w:pPr>
        <w:pStyle w:val="13"/>
        <w:spacing w:line="500" w:lineRule="exact"/>
        <w:ind w:left="139" w:leftChars="66" w:firstLine="480" w:firstLineChars="200"/>
        <w:outlineLvl w:val="9"/>
        <w:rPr>
          <w:rFonts w:hint="eastAsia" w:ascii="宋体" w:hAnsi="宋体" w:eastAsia="宋体" w:cs="宋体"/>
          <w:sz w:val="24"/>
        </w:rPr>
      </w:pPr>
      <w:r>
        <w:rPr>
          <w:rFonts w:hint="eastAsia" w:ascii="宋体" w:hAnsi="宋体" w:eastAsia="宋体" w:cs="宋体"/>
          <w:sz w:val="24"/>
        </w:rPr>
        <w:t>全权代表无转委托权，特此委托。</w:t>
      </w:r>
    </w:p>
    <w:p w14:paraId="0991E1E8">
      <w:pPr>
        <w:spacing w:line="360" w:lineRule="auto"/>
        <w:outlineLvl w:val="9"/>
        <w:rPr>
          <w:rFonts w:hint="eastAsia" w:ascii="宋体" w:hAnsi="宋体" w:eastAsia="宋体" w:cs="宋体"/>
          <w:sz w:val="24"/>
        </w:rPr>
      </w:pPr>
    </w:p>
    <w:p w14:paraId="13DAB832">
      <w:pPr>
        <w:spacing w:line="360" w:lineRule="auto"/>
        <w:outlineLvl w:val="9"/>
        <w:rPr>
          <w:rFonts w:hint="eastAsia" w:ascii="宋体" w:hAnsi="宋体" w:eastAsia="宋体" w:cs="宋体"/>
          <w:color w:val="FF0000"/>
          <w:sz w:val="24"/>
        </w:rPr>
      </w:pPr>
    </w:p>
    <w:p w14:paraId="082C318C">
      <w:pPr>
        <w:tabs>
          <w:tab w:val="left" w:pos="4860"/>
        </w:tabs>
        <w:spacing w:line="588" w:lineRule="exact"/>
        <w:ind w:right="1560" w:firstLine="504" w:firstLineChars="200"/>
        <w:rPr>
          <w:rFonts w:hint="eastAsia" w:ascii="宋体" w:hAnsi="宋体" w:cs="宋体"/>
          <w:color w:val="FF0000"/>
          <w:spacing w:val="6"/>
          <w:sz w:val="24"/>
        </w:rPr>
      </w:pPr>
      <w:r>
        <w:rPr>
          <w:rFonts w:hint="eastAsia" w:ascii="宋体" w:hAnsi="宋体" w:cs="宋体"/>
          <w:color w:val="FF0000"/>
          <w:spacing w:val="6"/>
          <w:sz w:val="24"/>
        </w:rPr>
        <w:t>供应商（CA签章）：</w:t>
      </w:r>
    </w:p>
    <w:p w14:paraId="4F215E44">
      <w:pPr>
        <w:tabs>
          <w:tab w:val="left" w:pos="4860"/>
        </w:tabs>
        <w:spacing w:line="588" w:lineRule="exact"/>
        <w:ind w:right="1560" w:firstLine="504" w:firstLineChars="200"/>
        <w:rPr>
          <w:rFonts w:hint="default" w:ascii="宋体" w:hAnsi="宋体" w:cs="宋体"/>
          <w:color w:val="FF0000"/>
          <w:spacing w:val="6"/>
          <w:sz w:val="24"/>
          <w:lang w:val="en-US" w:eastAsia="zh-CN"/>
        </w:rPr>
      </w:pPr>
      <w:r>
        <w:rPr>
          <w:rFonts w:hint="eastAsia" w:ascii="宋体" w:hAnsi="宋体" w:cs="宋体"/>
          <w:color w:val="FF0000"/>
          <w:spacing w:val="6"/>
          <w:sz w:val="24"/>
        </w:rPr>
        <w:t>日期：</w:t>
      </w:r>
      <w:r>
        <w:rPr>
          <w:rFonts w:hint="eastAsia" w:ascii="宋体" w:hAnsi="宋体" w:cs="宋体"/>
          <w:color w:val="FF0000"/>
          <w:spacing w:val="6"/>
          <w:sz w:val="24"/>
          <w:lang w:val="en-US" w:eastAsia="zh-CN"/>
        </w:rPr>
        <w:t>2025年××月××日</w:t>
      </w:r>
    </w:p>
    <w:p w14:paraId="2914232D">
      <w:pPr>
        <w:spacing w:line="360" w:lineRule="auto"/>
        <w:outlineLvl w:val="9"/>
        <w:rPr>
          <w:rFonts w:hint="eastAsia" w:ascii="宋体" w:hAnsi="宋体" w:eastAsia="宋体" w:cs="宋体"/>
          <w:sz w:val="24"/>
        </w:rPr>
      </w:pPr>
    </w:p>
    <w:p w14:paraId="3543C8C4">
      <w:pPr>
        <w:spacing w:line="360" w:lineRule="auto"/>
        <w:outlineLvl w:val="9"/>
        <w:rPr>
          <w:rFonts w:hint="eastAsia" w:ascii="宋体" w:hAnsi="宋体" w:eastAsia="宋体" w:cs="宋体"/>
          <w:b/>
          <w:sz w:val="24"/>
        </w:rPr>
      </w:pPr>
      <w:r>
        <w:rPr>
          <w:rFonts w:hint="eastAsia" w:ascii="宋体" w:hAnsi="宋体" w:eastAsia="宋体" w:cs="宋体"/>
          <w:b/>
          <w:sz w:val="24"/>
        </w:rPr>
        <w:t>附：</w:t>
      </w:r>
    </w:p>
    <w:tbl>
      <w:tblPr>
        <w:tblStyle w:val="21"/>
        <w:tblpPr w:leftFromText="180" w:rightFromText="180" w:vertAnchor="text" w:horzAnchor="page" w:tblpX="1929" w:tblpY="1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7D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AFC4D1A">
            <w:pPr>
              <w:spacing w:line="360" w:lineRule="auto"/>
              <w:outlineLvl w:val="9"/>
              <w:rPr>
                <w:rFonts w:hint="eastAsia" w:ascii="宋体" w:hAnsi="宋体" w:eastAsia="宋体" w:cs="宋体"/>
                <w:b/>
                <w:sz w:val="24"/>
              </w:rPr>
            </w:pPr>
          </w:p>
          <w:p w14:paraId="65AA38BA">
            <w:pPr>
              <w:spacing w:line="360" w:lineRule="auto"/>
              <w:ind w:firstLine="361" w:firstLineChars="150"/>
              <w:outlineLvl w:val="9"/>
              <w:rPr>
                <w:rFonts w:hint="eastAsia" w:ascii="宋体" w:hAnsi="宋体" w:eastAsia="宋体" w:cs="宋体"/>
                <w:b/>
                <w:sz w:val="24"/>
                <w:lang w:eastAsia="zh-CN"/>
              </w:rPr>
            </w:pPr>
            <w:r>
              <w:rPr>
                <w:rFonts w:hint="eastAsia" w:ascii="宋体" w:hAnsi="宋体" w:cs="宋体"/>
                <w:b/>
                <w:sz w:val="24"/>
                <w:lang w:val="en-US" w:eastAsia="zh-CN"/>
              </w:rPr>
              <w:t>负责人</w:t>
            </w:r>
            <w:r>
              <w:rPr>
                <w:rFonts w:hint="eastAsia" w:ascii="宋体" w:hAnsi="宋体" w:eastAsia="宋体" w:cs="宋体"/>
                <w:b/>
                <w:sz w:val="24"/>
              </w:rPr>
              <w:t>身份证</w:t>
            </w:r>
          </w:p>
        </w:tc>
      </w:tr>
    </w:tbl>
    <w:p w14:paraId="7872AE08">
      <w:pPr>
        <w:spacing w:line="360" w:lineRule="auto"/>
        <w:outlineLvl w:val="9"/>
        <w:rPr>
          <w:rFonts w:hint="eastAsia" w:ascii="宋体" w:hAnsi="宋体" w:eastAsia="宋体" w:cs="宋体"/>
          <w:sz w:val="24"/>
        </w:rPr>
      </w:pPr>
      <w:r>
        <w:rPr>
          <w:rFonts w:hint="eastAsia" w:ascii="宋体" w:hAnsi="宋体" w:eastAsia="宋体" w:cs="宋体"/>
          <w:sz w:val="24"/>
        </w:rPr>
        <w:t xml:space="preserve">                                 </w:t>
      </w:r>
    </w:p>
    <w:p w14:paraId="5F057EAD">
      <w:pPr>
        <w:spacing w:line="360" w:lineRule="auto"/>
        <w:outlineLvl w:val="9"/>
        <w:rPr>
          <w:rFonts w:hint="eastAsia" w:ascii="宋体" w:hAnsi="宋体" w:eastAsia="宋体" w:cs="宋体"/>
          <w:sz w:val="24"/>
        </w:rPr>
      </w:pPr>
      <w:r>
        <w:rPr>
          <w:rFonts w:hint="eastAsia" w:ascii="宋体" w:hAnsi="宋体" w:eastAsia="宋体" w:cs="宋体"/>
          <w:sz w:val="24"/>
        </w:rPr>
        <w:t xml:space="preserve">       </w:t>
      </w:r>
    </w:p>
    <w:tbl>
      <w:tblPr>
        <w:tblStyle w:val="21"/>
        <w:tblpPr w:leftFromText="180" w:rightFromText="180" w:vertAnchor="text" w:horzAnchor="page" w:tblpX="1914" w:tblpY="179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852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55223F9">
            <w:pPr>
              <w:spacing w:line="360" w:lineRule="auto"/>
              <w:outlineLvl w:val="9"/>
              <w:rPr>
                <w:rFonts w:hint="eastAsia" w:ascii="宋体" w:hAnsi="宋体" w:eastAsia="宋体" w:cs="宋体"/>
                <w:b/>
                <w:sz w:val="24"/>
              </w:rPr>
            </w:pPr>
          </w:p>
          <w:p w14:paraId="0A8D5266">
            <w:pPr>
              <w:spacing w:line="360" w:lineRule="auto"/>
              <w:ind w:firstLine="361" w:firstLineChars="150"/>
              <w:outlineLvl w:val="9"/>
              <w:rPr>
                <w:rFonts w:hint="eastAsia" w:ascii="宋体" w:hAnsi="宋体" w:eastAsia="宋体" w:cs="宋体"/>
                <w:b/>
                <w:sz w:val="24"/>
                <w:lang w:eastAsia="zh-CN"/>
              </w:rPr>
            </w:pPr>
            <w:r>
              <w:rPr>
                <w:rFonts w:hint="eastAsia" w:ascii="宋体" w:hAnsi="宋体" w:eastAsia="宋体" w:cs="宋体"/>
                <w:b/>
                <w:sz w:val="24"/>
              </w:rPr>
              <w:t>全权代表身份证</w:t>
            </w:r>
          </w:p>
        </w:tc>
      </w:tr>
    </w:tbl>
    <w:p w14:paraId="6888A532">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13BD9FC9">
      <w:pPr>
        <w:numPr>
          <w:ilvl w:val="0"/>
          <w:numId w:val="75"/>
        </w:numPr>
        <w:ind w:left="0" w:leftChars="0" w:firstLine="0" w:firstLineChars="0"/>
        <w:outlineLvl w:val="1"/>
        <w:rPr>
          <w:rFonts w:hint="eastAsia" w:ascii="宋体" w:hAnsi="宋体" w:eastAsia="宋体" w:cs="宋体"/>
          <w:b/>
          <w:sz w:val="28"/>
          <w:szCs w:val="28"/>
          <w:lang w:val="en-US" w:eastAsia="zh-CN"/>
        </w:rPr>
      </w:pPr>
      <w:bookmarkStart w:id="133" w:name="_Toc6206"/>
      <w:bookmarkEnd w:id="133"/>
    </w:p>
    <w:p w14:paraId="4341014E">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承诺函</w:t>
      </w:r>
    </w:p>
    <w:p w14:paraId="757C21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32"/>
          <w:lang w:val="en-US" w:eastAsia="zh-CN"/>
        </w:rPr>
      </w:pPr>
      <w:r>
        <w:rPr>
          <w:rFonts w:hint="eastAsia"/>
          <w:b/>
          <w:bCs/>
          <w:sz w:val="24"/>
          <w:szCs w:val="32"/>
          <w:lang w:val="en-US" w:eastAsia="zh-CN"/>
        </w:rPr>
        <w:t>我单位承诺：</w:t>
      </w:r>
      <w:r>
        <w:rPr>
          <w:rFonts w:hint="default"/>
          <w:sz w:val="24"/>
          <w:szCs w:val="32"/>
          <w:lang w:val="en-US" w:eastAsia="zh-CN"/>
        </w:rPr>
        <w:t>符合参与政府采购活动的资格条件、具备良好的商业信誉和健全的财务会计制度并且没有税收缴纳、社会保障等方面的失信记录</w:t>
      </w:r>
      <w:r>
        <w:rPr>
          <w:rFonts w:hint="eastAsia"/>
          <w:sz w:val="24"/>
          <w:szCs w:val="32"/>
          <w:lang w:val="en-US" w:eastAsia="zh-CN"/>
        </w:rPr>
        <w:t>，且</w:t>
      </w:r>
      <w:r>
        <w:rPr>
          <w:rFonts w:hint="default"/>
          <w:sz w:val="24"/>
          <w:szCs w:val="32"/>
          <w:lang w:val="en-US" w:eastAsia="zh-CN"/>
        </w:rPr>
        <w:t>具备履行合同所必需的设备和专业技术能力</w:t>
      </w:r>
      <w:r>
        <w:rPr>
          <w:rFonts w:hint="eastAsia"/>
          <w:sz w:val="24"/>
          <w:szCs w:val="32"/>
          <w:lang w:val="en-US" w:eastAsia="zh-CN"/>
        </w:rPr>
        <w:t>。</w:t>
      </w:r>
    </w:p>
    <w:p w14:paraId="1F455E82">
      <w:pPr>
        <w:tabs>
          <w:tab w:val="left" w:pos="4860"/>
        </w:tabs>
        <w:spacing w:line="588" w:lineRule="exact"/>
        <w:ind w:right="1560" w:firstLine="504" w:firstLineChars="200"/>
        <w:rPr>
          <w:rFonts w:hint="eastAsia" w:ascii="宋体" w:hAnsi="宋体" w:cs="宋体"/>
          <w:color w:val="FF0000"/>
          <w:spacing w:val="6"/>
          <w:sz w:val="24"/>
        </w:rPr>
      </w:pPr>
    </w:p>
    <w:p w14:paraId="70E75133">
      <w:pPr>
        <w:tabs>
          <w:tab w:val="left" w:pos="4860"/>
        </w:tabs>
        <w:spacing w:line="588" w:lineRule="exact"/>
        <w:ind w:right="1560" w:firstLine="504" w:firstLineChars="200"/>
        <w:rPr>
          <w:rFonts w:hint="eastAsia" w:ascii="宋体" w:hAnsi="宋体" w:cs="宋体"/>
          <w:color w:val="FF0000"/>
          <w:spacing w:val="6"/>
          <w:sz w:val="24"/>
        </w:rPr>
      </w:pPr>
      <w:r>
        <w:rPr>
          <w:rFonts w:hint="eastAsia" w:ascii="宋体" w:hAnsi="宋体" w:cs="宋体"/>
          <w:color w:val="FF0000"/>
          <w:spacing w:val="6"/>
          <w:sz w:val="24"/>
        </w:rPr>
        <w:t>供应商（CA签章）：</w:t>
      </w:r>
    </w:p>
    <w:p w14:paraId="7C849AFA">
      <w:pPr>
        <w:tabs>
          <w:tab w:val="left" w:pos="4860"/>
        </w:tabs>
        <w:spacing w:line="588" w:lineRule="exact"/>
        <w:ind w:right="1560" w:firstLine="504" w:firstLineChars="200"/>
        <w:rPr>
          <w:rFonts w:hint="eastAsia" w:ascii="宋体" w:hAnsi="宋体" w:cs="宋体"/>
          <w:color w:val="FF0000"/>
          <w:spacing w:val="6"/>
          <w:sz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FF0000"/>
          <w:spacing w:val="6"/>
          <w:sz w:val="24"/>
        </w:rPr>
        <w:t>日期：</w:t>
      </w:r>
      <w:r>
        <w:rPr>
          <w:rFonts w:hint="eastAsia" w:ascii="宋体" w:hAnsi="宋体" w:cs="宋体"/>
          <w:color w:val="FF0000"/>
          <w:spacing w:val="6"/>
          <w:sz w:val="24"/>
          <w:lang w:eastAsia="zh-CN"/>
        </w:rPr>
        <w:t>2025年</w:t>
      </w:r>
      <w:r>
        <w:rPr>
          <w:rFonts w:hint="eastAsia" w:ascii="宋体" w:hAnsi="宋体" w:cs="宋体"/>
          <w:color w:val="FF0000"/>
          <w:spacing w:val="6"/>
          <w:sz w:val="24"/>
        </w:rPr>
        <w:t>××月××日</w:t>
      </w:r>
    </w:p>
    <w:p w14:paraId="33109FF0">
      <w:pPr>
        <w:numPr>
          <w:ilvl w:val="0"/>
          <w:numId w:val="75"/>
        </w:numPr>
        <w:ind w:left="0" w:leftChars="0" w:firstLine="0" w:firstLineChars="0"/>
        <w:outlineLvl w:val="1"/>
        <w:rPr>
          <w:rFonts w:hint="eastAsia" w:ascii="宋体" w:hAnsi="宋体" w:eastAsia="宋体" w:cs="宋体"/>
          <w:b/>
          <w:sz w:val="28"/>
          <w:szCs w:val="28"/>
          <w:lang w:eastAsia="zh-CN"/>
        </w:rPr>
      </w:pPr>
      <w:bookmarkStart w:id="134" w:name="_Toc14412"/>
      <w:bookmarkEnd w:id="134"/>
    </w:p>
    <w:p w14:paraId="0893ADA9">
      <w:pPr>
        <w:spacing w:line="360" w:lineRule="auto"/>
        <w:ind w:right="-110"/>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2025年台州市海洋观测站点日常运行维护项目</w:t>
      </w:r>
    </w:p>
    <w:p w14:paraId="7AD68CEB">
      <w:pPr>
        <w:spacing w:beforeLines="100" w:line="360" w:lineRule="auto"/>
        <w:ind w:right="-108"/>
        <w:jc w:val="center"/>
        <w:outlineLvl w:val="1"/>
        <w:rPr>
          <w:rFonts w:hint="eastAsia" w:ascii="宋体" w:hAnsi="宋体" w:eastAsia="宋体" w:cs="宋体"/>
          <w:sz w:val="36"/>
          <w:szCs w:val="36"/>
        </w:rPr>
      </w:pPr>
      <w:bookmarkStart w:id="135" w:name="_Toc11920"/>
      <w:bookmarkStart w:id="136" w:name="_Toc23475"/>
      <w:r>
        <w:rPr>
          <w:rFonts w:hint="eastAsia" w:ascii="宋体" w:hAnsi="宋体" w:eastAsia="宋体" w:cs="宋体"/>
          <w:sz w:val="36"/>
          <w:szCs w:val="36"/>
        </w:rPr>
        <w:t>项目编号：</w:t>
      </w:r>
      <w:r>
        <w:rPr>
          <w:rFonts w:hint="eastAsia" w:ascii="宋体" w:hAnsi="宋体" w:cs="宋体"/>
          <w:sz w:val="36"/>
          <w:szCs w:val="36"/>
          <w:lang w:eastAsia="zh-CN"/>
        </w:rPr>
        <w:t>TZYY-2506-002号</w:t>
      </w:r>
      <w:bookmarkEnd w:id="135"/>
      <w:bookmarkEnd w:id="136"/>
    </w:p>
    <w:p w14:paraId="73D5FDB3">
      <w:pPr>
        <w:autoSpaceDE w:val="0"/>
        <w:autoSpaceDN w:val="0"/>
        <w:adjustRightInd w:val="0"/>
        <w:spacing w:line="360" w:lineRule="auto"/>
        <w:jc w:val="center"/>
        <w:outlineLvl w:val="9"/>
        <w:rPr>
          <w:rFonts w:hint="eastAsia" w:ascii="宋体" w:hAnsi="宋体" w:eastAsia="宋体" w:cs="宋体"/>
          <w:sz w:val="84"/>
          <w:szCs w:val="84"/>
          <w:lang w:val="zh-CN"/>
        </w:rPr>
      </w:pPr>
    </w:p>
    <w:p w14:paraId="7E8500F5">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投</w:t>
      </w:r>
    </w:p>
    <w:p w14:paraId="02D0611C">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标</w:t>
      </w:r>
    </w:p>
    <w:p w14:paraId="6B880C36">
      <w:pPr>
        <w:autoSpaceDE w:val="0"/>
        <w:autoSpaceDN w:val="0"/>
        <w:adjustRightInd w:val="0"/>
        <w:spacing w:line="360" w:lineRule="auto"/>
        <w:jc w:val="center"/>
        <w:outlineLvl w:val="9"/>
        <w:rPr>
          <w:rFonts w:hint="eastAsia" w:ascii="宋体" w:hAnsi="宋体" w:eastAsia="宋体" w:cs="宋体"/>
          <w:sz w:val="84"/>
          <w:szCs w:val="84"/>
        </w:rPr>
      </w:pPr>
      <w:r>
        <w:rPr>
          <w:rFonts w:hint="eastAsia" w:ascii="宋体" w:hAnsi="宋体" w:eastAsia="宋体" w:cs="宋体"/>
          <w:sz w:val="84"/>
          <w:szCs w:val="84"/>
          <w:lang w:val="zh-CN"/>
        </w:rPr>
        <w:t>文</w:t>
      </w:r>
    </w:p>
    <w:p w14:paraId="400A4AD3">
      <w:pPr>
        <w:spacing w:after="100" w:afterAutospacing="1" w:line="360" w:lineRule="auto"/>
        <w:ind w:right="-108"/>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件</w:t>
      </w:r>
    </w:p>
    <w:p w14:paraId="73978D50">
      <w:pPr>
        <w:spacing w:after="100" w:afterAutospacing="1" w:line="360" w:lineRule="auto"/>
        <w:ind w:right="-108"/>
        <w:jc w:val="center"/>
        <w:outlineLvl w:val="9"/>
        <w:rPr>
          <w:rFonts w:hint="eastAsia" w:ascii="宋体" w:hAnsi="宋体" w:eastAsia="宋体" w:cs="宋体"/>
          <w:b/>
          <w:spacing w:val="40"/>
          <w:sz w:val="28"/>
          <w:szCs w:val="28"/>
        </w:rPr>
      </w:pPr>
      <w:r>
        <w:rPr>
          <w:rFonts w:hint="eastAsia" w:ascii="宋体" w:hAnsi="宋体" w:eastAsia="宋体" w:cs="宋体"/>
          <w:color w:val="000000"/>
          <w:sz w:val="28"/>
          <w:szCs w:val="28"/>
          <w:lang w:val="zh-CN"/>
        </w:rPr>
        <w:t>（</w:t>
      </w:r>
      <w:r>
        <w:rPr>
          <w:rFonts w:hint="eastAsia" w:ascii="宋体" w:hAnsi="宋体" w:eastAsia="宋体" w:cs="宋体"/>
          <w:bCs/>
          <w:color w:val="000000"/>
          <w:sz w:val="24"/>
          <w:lang w:val="zh-CN"/>
        </w:rPr>
        <w:t>商务与技术文件</w:t>
      </w:r>
      <w:r>
        <w:rPr>
          <w:rFonts w:hint="eastAsia" w:ascii="宋体" w:hAnsi="宋体" w:eastAsia="宋体" w:cs="宋体"/>
          <w:b/>
          <w:spacing w:val="40"/>
          <w:sz w:val="28"/>
          <w:szCs w:val="28"/>
        </w:rPr>
        <w:t>）</w:t>
      </w:r>
    </w:p>
    <w:p w14:paraId="4551683B">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供</w:t>
      </w:r>
      <w:r>
        <w:rPr>
          <w:rFonts w:hint="eastAsia" w:ascii="宋体" w:hAnsi="宋体" w:cs="宋体"/>
          <w:sz w:val="36"/>
          <w:szCs w:val="36"/>
          <w:lang w:val="en-US" w:eastAsia="zh-CN"/>
        </w:rPr>
        <w:t xml:space="preserve"> </w:t>
      </w:r>
      <w:r>
        <w:rPr>
          <w:rFonts w:hint="eastAsia" w:ascii="宋体" w:hAnsi="宋体" w:eastAsia="宋体" w:cs="宋体"/>
          <w:sz w:val="36"/>
          <w:szCs w:val="36"/>
        </w:rPr>
        <w:t>应</w:t>
      </w:r>
      <w:r>
        <w:rPr>
          <w:rFonts w:hint="eastAsia" w:ascii="宋体" w:hAnsi="宋体" w:cs="宋体"/>
          <w:sz w:val="36"/>
          <w:szCs w:val="36"/>
          <w:lang w:val="en-US" w:eastAsia="zh-CN"/>
        </w:rPr>
        <w:t xml:space="preserve"> </w:t>
      </w:r>
      <w:r>
        <w:rPr>
          <w:rFonts w:hint="eastAsia" w:ascii="宋体" w:hAnsi="宋体" w:eastAsia="宋体" w:cs="宋体"/>
          <w:sz w:val="36"/>
          <w:szCs w:val="36"/>
        </w:rPr>
        <w:t>商：</w:t>
      </w:r>
    </w:p>
    <w:p w14:paraId="3FB09B24">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14:paraId="476A2216">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0CFDE239">
      <w:pPr>
        <w:numPr>
          <w:ilvl w:val="0"/>
          <w:numId w:val="75"/>
        </w:numPr>
        <w:ind w:left="0" w:leftChars="0" w:firstLine="0" w:firstLineChars="0"/>
        <w:outlineLvl w:val="1"/>
        <w:rPr>
          <w:rFonts w:hint="eastAsia" w:ascii="宋体" w:hAnsi="宋体" w:eastAsia="宋体" w:cs="宋体"/>
          <w:b/>
          <w:sz w:val="28"/>
          <w:szCs w:val="28"/>
          <w:lang w:val="en-US" w:eastAsia="zh-CN"/>
        </w:rPr>
      </w:pPr>
      <w:bookmarkStart w:id="137" w:name="_Toc12375"/>
      <w:bookmarkEnd w:id="137"/>
    </w:p>
    <w:p w14:paraId="47C75EA0">
      <w:pPr>
        <w:snapToGrid w:val="0"/>
        <w:spacing w:before="50" w:after="50" w:line="360" w:lineRule="auto"/>
        <w:jc w:val="center"/>
        <w:outlineLvl w:val="1"/>
        <w:rPr>
          <w:rFonts w:hint="eastAsia" w:ascii="宋体" w:hAnsi="宋体" w:cs="宋体"/>
          <w:sz w:val="36"/>
          <w:szCs w:val="36"/>
          <w:lang w:val="en-US" w:eastAsia="zh-CN"/>
        </w:rPr>
      </w:pPr>
      <w:bookmarkStart w:id="138" w:name="_Toc26413"/>
      <w:bookmarkStart w:id="139" w:name="_Toc22738"/>
      <w:r>
        <w:rPr>
          <w:rFonts w:hint="eastAsia" w:ascii="宋体" w:hAnsi="宋体" w:cs="宋体"/>
          <w:sz w:val="36"/>
          <w:szCs w:val="36"/>
          <w:lang w:val="en-US" w:eastAsia="zh-CN"/>
        </w:rPr>
        <w:t>目 录</w:t>
      </w:r>
      <w:bookmarkEnd w:id="138"/>
      <w:bookmarkEnd w:id="139"/>
    </w:p>
    <w:p w14:paraId="462A8CCF">
      <w:pPr>
        <w:numPr>
          <w:ilvl w:val="0"/>
          <w:numId w:val="77"/>
        </w:numPr>
        <w:bidi w:val="0"/>
        <w:spacing w:line="360" w:lineRule="auto"/>
      </w:pPr>
      <w:r>
        <w:rPr>
          <w:rFonts w:hint="eastAsia"/>
          <w:lang w:eastAsia="zh-CN"/>
        </w:rPr>
        <w:t>需求</w:t>
      </w:r>
      <w:r>
        <w:rPr>
          <w:rFonts w:hint="eastAsia"/>
        </w:rPr>
        <w:t>响应表</w:t>
      </w:r>
      <w:r>
        <w:rPr>
          <w:rFonts w:hint="eastAsia"/>
          <w:lang w:eastAsia="zh-CN"/>
        </w:rPr>
        <w:t>（</w:t>
      </w:r>
      <w:r>
        <w:rPr>
          <w:rFonts w:hint="eastAsia"/>
          <w:lang w:val="en-US" w:eastAsia="zh-CN"/>
        </w:rPr>
        <w:t>见附件</w:t>
      </w:r>
      <w:r>
        <w:rPr>
          <w:rFonts w:hint="eastAsia"/>
          <w:lang w:eastAsia="zh-CN"/>
        </w:rPr>
        <w:t>）</w:t>
      </w:r>
      <w:r>
        <w:rPr>
          <w:rFonts w:hint="eastAsia"/>
        </w:rPr>
        <w:t>；</w:t>
      </w:r>
    </w:p>
    <w:p w14:paraId="283E21C0">
      <w:pPr>
        <w:numPr>
          <w:ilvl w:val="0"/>
          <w:numId w:val="77"/>
        </w:numPr>
        <w:bidi w:val="0"/>
        <w:spacing w:line="360" w:lineRule="auto"/>
        <w:rPr>
          <w:rFonts w:hint="eastAsia"/>
          <w:lang w:val="en-US" w:eastAsia="zh-CN"/>
        </w:rPr>
      </w:pPr>
      <w:r>
        <w:rPr>
          <w:rFonts w:hint="eastAsia"/>
        </w:rPr>
        <w:t>其余内容根据评标办法自拟</w:t>
      </w:r>
      <w:r>
        <w:rPr>
          <w:rFonts w:hint="eastAsia"/>
          <w:lang w:eastAsia="zh-CN"/>
        </w:rPr>
        <w:t>。</w:t>
      </w:r>
    </w:p>
    <w:p w14:paraId="6EFDCEAA">
      <w:pPr>
        <w:rPr>
          <w:rFonts w:hint="eastAsia" w:ascii="宋体" w:hAnsi="宋体" w:cs="宋体"/>
          <w:sz w:val="36"/>
          <w:szCs w:val="36"/>
          <w:lang w:val="en-US" w:eastAsia="zh-CN"/>
        </w:rPr>
      </w:pPr>
      <w:bookmarkStart w:id="140" w:name="_Toc17240"/>
      <w:bookmarkStart w:id="141" w:name="_Toc5427"/>
      <w:r>
        <w:rPr>
          <w:rFonts w:hint="eastAsia" w:ascii="宋体" w:hAnsi="宋体" w:cs="宋体"/>
          <w:sz w:val="36"/>
          <w:szCs w:val="36"/>
          <w:lang w:val="en-US" w:eastAsia="zh-CN"/>
        </w:rPr>
        <w:br w:type="page"/>
      </w:r>
    </w:p>
    <w:p w14:paraId="258E489F">
      <w:pPr>
        <w:spacing w:line="360" w:lineRule="auto"/>
        <w:ind w:right="532" w:firstLine="720" w:firstLineChars="200"/>
        <w:jc w:val="center"/>
        <w:outlineLvl w:val="1"/>
        <w:rPr>
          <w:rFonts w:hint="eastAsia" w:ascii="宋体" w:hAnsi="宋体" w:cs="宋体"/>
          <w:sz w:val="36"/>
          <w:szCs w:val="36"/>
          <w:lang w:val="en-US" w:eastAsia="zh-CN"/>
        </w:rPr>
      </w:pPr>
      <w:r>
        <w:rPr>
          <w:rFonts w:hint="eastAsia" w:ascii="宋体" w:hAnsi="宋体" w:cs="宋体"/>
          <w:sz w:val="36"/>
          <w:szCs w:val="36"/>
          <w:lang w:val="en-US" w:eastAsia="zh-CN"/>
        </w:rPr>
        <w:t>供应商自评表</w:t>
      </w:r>
      <w:bookmarkEnd w:id="140"/>
      <w:bookmarkEnd w:id="14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14:paraId="4499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9" w:type="dxa"/>
            <w:vAlign w:val="center"/>
          </w:tcPr>
          <w:p w14:paraId="0B8427E4">
            <w:pPr>
              <w:bidi w:val="0"/>
              <w:jc w:val="center"/>
              <w:rPr>
                <w:rFonts w:hint="eastAsia"/>
                <w:b/>
                <w:bCs/>
                <w:lang w:val="en-US" w:eastAsia="zh-CN"/>
              </w:rPr>
            </w:pPr>
            <w:r>
              <w:rPr>
                <w:rFonts w:hint="eastAsia"/>
                <w:b/>
                <w:bCs/>
                <w:lang w:val="en-US" w:eastAsia="zh-CN"/>
              </w:rPr>
              <w:t>评分细项</w:t>
            </w:r>
          </w:p>
        </w:tc>
        <w:tc>
          <w:tcPr>
            <w:tcW w:w="2840" w:type="dxa"/>
            <w:vAlign w:val="center"/>
          </w:tcPr>
          <w:p w14:paraId="678F9455">
            <w:pPr>
              <w:bidi w:val="0"/>
              <w:jc w:val="center"/>
              <w:rPr>
                <w:rFonts w:hint="eastAsia"/>
                <w:b/>
                <w:bCs/>
                <w:lang w:val="en-US" w:eastAsia="zh-CN"/>
              </w:rPr>
            </w:pPr>
            <w:r>
              <w:rPr>
                <w:rFonts w:hint="eastAsia"/>
                <w:b/>
                <w:bCs/>
                <w:lang w:val="en-US" w:eastAsia="zh-CN"/>
              </w:rPr>
              <w:t>对应页码</w:t>
            </w:r>
          </w:p>
        </w:tc>
        <w:tc>
          <w:tcPr>
            <w:tcW w:w="2840" w:type="dxa"/>
            <w:vAlign w:val="center"/>
          </w:tcPr>
          <w:p w14:paraId="1545264A">
            <w:pPr>
              <w:bidi w:val="0"/>
              <w:jc w:val="center"/>
              <w:rPr>
                <w:rFonts w:hint="eastAsia"/>
                <w:b/>
                <w:bCs/>
                <w:lang w:val="en-US" w:eastAsia="zh-CN"/>
              </w:rPr>
            </w:pPr>
            <w:r>
              <w:rPr>
                <w:rFonts w:hint="eastAsia"/>
                <w:b/>
                <w:bCs/>
                <w:lang w:val="en-US" w:eastAsia="zh-CN"/>
              </w:rPr>
              <w:t>自评分</w:t>
            </w:r>
          </w:p>
        </w:tc>
      </w:tr>
      <w:tr w14:paraId="73E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39" w:type="dxa"/>
            <w:shd w:val="clear" w:color="auto" w:fill="FFFFFF"/>
            <w:vAlign w:val="center"/>
          </w:tcPr>
          <w:p w14:paraId="3FD4CA49">
            <w:pPr>
              <w:bidi w:val="0"/>
              <w:jc w:val="center"/>
              <w:rPr>
                <w:rFonts w:hint="default" w:ascii="Times New Roman" w:hAnsi="Times New Roman" w:eastAsia="宋体" w:cs="Times New Roman"/>
                <w:color w:val="auto"/>
                <w:kern w:val="2"/>
                <w:sz w:val="21"/>
                <w:szCs w:val="24"/>
                <w:lang w:val="en-US" w:eastAsia="zh-CN" w:bidi="ar-SA"/>
              </w:rPr>
            </w:pPr>
            <w:r>
              <w:rPr>
                <w:rFonts w:hint="default"/>
                <w:color w:val="auto"/>
                <w:lang w:val="en-US"/>
              </w:rPr>
              <w:t>重点难点分析及解决方案</w:t>
            </w:r>
          </w:p>
        </w:tc>
        <w:tc>
          <w:tcPr>
            <w:tcW w:w="2840" w:type="dxa"/>
            <w:vAlign w:val="center"/>
          </w:tcPr>
          <w:p w14:paraId="1B8655CB">
            <w:pPr>
              <w:bidi w:val="0"/>
              <w:jc w:val="center"/>
              <w:rPr>
                <w:rFonts w:hint="eastAsia"/>
                <w:lang w:val="en-US" w:eastAsia="zh-CN"/>
              </w:rPr>
            </w:pPr>
          </w:p>
        </w:tc>
        <w:tc>
          <w:tcPr>
            <w:tcW w:w="2840" w:type="dxa"/>
            <w:vAlign w:val="center"/>
          </w:tcPr>
          <w:p w14:paraId="29A7B6A4">
            <w:pPr>
              <w:bidi w:val="0"/>
              <w:jc w:val="center"/>
              <w:rPr>
                <w:rFonts w:hint="default"/>
                <w:lang w:val="en-US" w:eastAsia="zh-CN"/>
              </w:rPr>
            </w:pPr>
            <w:r>
              <w:rPr>
                <w:rFonts w:hint="eastAsia"/>
                <w:lang w:val="en-US" w:eastAsia="zh-CN"/>
              </w:rPr>
              <w:t>无需自评</w:t>
            </w:r>
          </w:p>
        </w:tc>
      </w:tr>
      <w:tr w14:paraId="6A96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9" w:type="dxa"/>
            <w:shd w:val="clear" w:color="auto" w:fill="FFFFFF"/>
            <w:vAlign w:val="center"/>
          </w:tcPr>
          <w:p w14:paraId="65608AC3">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海洋自动观测站的日常运行维护与保养方案</w:t>
            </w:r>
          </w:p>
        </w:tc>
        <w:tc>
          <w:tcPr>
            <w:tcW w:w="2840" w:type="dxa"/>
            <w:vAlign w:val="center"/>
          </w:tcPr>
          <w:p w14:paraId="57B4487D">
            <w:pPr>
              <w:bidi w:val="0"/>
              <w:jc w:val="center"/>
              <w:rPr>
                <w:rFonts w:hint="eastAsia"/>
                <w:lang w:val="en-US" w:eastAsia="zh-CN"/>
              </w:rPr>
            </w:pPr>
          </w:p>
        </w:tc>
        <w:tc>
          <w:tcPr>
            <w:tcW w:w="2840" w:type="dxa"/>
            <w:vAlign w:val="center"/>
          </w:tcPr>
          <w:p w14:paraId="544DE2D0">
            <w:pPr>
              <w:bidi w:val="0"/>
              <w:jc w:val="center"/>
              <w:rPr>
                <w:rFonts w:hint="eastAsia"/>
                <w:lang w:val="en-US" w:eastAsia="zh-CN"/>
              </w:rPr>
            </w:pPr>
            <w:r>
              <w:rPr>
                <w:rFonts w:hint="eastAsia"/>
                <w:lang w:val="en-US" w:eastAsia="zh-CN"/>
              </w:rPr>
              <w:t>无需自评</w:t>
            </w:r>
          </w:p>
        </w:tc>
      </w:tr>
      <w:tr w14:paraId="6A36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9" w:type="dxa"/>
            <w:shd w:val="clear" w:color="auto" w:fill="FFFFFF"/>
            <w:vAlign w:val="center"/>
          </w:tcPr>
          <w:p w14:paraId="13CB463B">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X波段雷达站的日常维护与保养</w:t>
            </w:r>
            <w:r>
              <w:rPr>
                <w:rFonts w:hint="eastAsia"/>
                <w:color w:val="auto"/>
                <w:lang w:val="en-US" w:eastAsia="zh-CN"/>
              </w:rPr>
              <w:t>方案</w:t>
            </w:r>
          </w:p>
        </w:tc>
        <w:tc>
          <w:tcPr>
            <w:tcW w:w="2840" w:type="dxa"/>
            <w:vAlign w:val="center"/>
          </w:tcPr>
          <w:p w14:paraId="3C8CDA27">
            <w:pPr>
              <w:bidi w:val="0"/>
              <w:jc w:val="center"/>
              <w:rPr>
                <w:rFonts w:hint="eastAsia"/>
                <w:lang w:val="en-US" w:eastAsia="zh-CN"/>
              </w:rPr>
            </w:pPr>
          </w:p>
        </w:tc>
        <w:tc>
          <w:tcPr>
            <w:tcW w:w="2840" w:type="dxa"/>
            <w:vAlign w:val="center"/>
          </w:tcPr>
          <w:p w14:paraId="53BED398">
            <w:pPr>
              <w:bidi w:val="0"/>
              <w:jc w:val="center"/>
              <w:rPr>
                <w:rFonts w:hint="eastAsia"/>
                <w:lang w:val="en-US" w:eastAsia="zh-CN"/>
              </w:rPr>
            </w:pPr>
            <w:r>
              <w:rPr>
                <w:rFonts w:hint="eastAsia"/>
                <w:lang w:val="en-US" w:eastAsia="zh-CN"/>
              </w:rPr>
              <w:t>无需自评</w:t>
            </w:r>
          </w:p>
        </w:tc>
      </w:tr>
      <w:tr w14:paraId="296B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9" w:type="dxa"/>
            <w:shd w:val="clear" w:color="auto" w:fill="FFFFFF"/>
            <w:vAlign w:val="center"/>
          </w:tcPr>
          <w:p w14:paraId="6E7A282D">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3米海上波浪浮标的日常运行维护与保养</w:t>
            </w:r>
            <w:r>
              <w:rPr>
                <w:rFonts w:hint="eastAsia"/>
                <w:color w:val="auto"/>
                <w:lang w:val="en-US" w:eastAsia="zh-CN"/>
              </w:rPr>
              <w:t>方案</w:t>
            </w:r>
          </w:p>
        </w:tc>
        <w:tc>
          <w:tcPr>
            <w:tcW w:w="2840" w:type="dxa"/>
            <w:vAlign w:val="center"/>
          </w:tcPr>
          <w:p w14:paraId="73E8AB9C">
            <w:pPr>
              <w:bidi w:val="0"/>
              <w:jc w:val="center"/>
              <w:rPr>
                <w:rFonts w:hint="eastAsia"/>
                <w:lang w:val="en-US" w:eastAsia="zh-CN"/>
              </w:rPr>
            </w:pPr>
          </w:p>
        </w:tc>
        <w:tc>
          <w:tcPr>
            <w:tcW w:w="2840" w:type="dxa"/>
            <w:vAlign w:val="center"/>
          </w:tcPr>
          <w:p w14:paraId="4CA0FC6A">
            <w:pPr>
              <w:bidi w:val="0"/>
              <w:jc w:val="center"/>
              <w:rPr>
                <w:rFonts w:hint="eastAsia"/>
                <w:lang w:val="en-US" w:eastAsia="zh-CN"/>
              </w:rPr>
            </w:pPr>
            <w:r>
              <w:rPr>
                <w:rFonts w:hint="eastAsia"/>
                <w:lang w:val="en-US" w:eastAsia="zh-CN"/>
              </w:rPr>
              <w:t>无需自评</w:t>
            </w:r>
          </w:p>
        </w:tc>
      </w:tr>
      <w:tr w14:paraId="472C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839" w:type="dxa"/>
            <w:shd w:val="clear" w:color="auto" w:fill="FFFFFF"/>
            <w:vAlign w:val="center"/>
          </w:tcPr>
          <w:p w14:paraId="7893F1F5">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简易潮位观测点的</w:t>
            </w:r>
            <w:r>
              <w:rPr>
                <w:rFonts w:hint="eastAsia"/>
                <w:color w:val="auto"/>
                <w:lang w:val="en-US" w:eastAsia="zh-CN"/>
              </w:rPr>
              <w:t>日常</w:t>
            </w:r>
            <w:r>
              <w:rPr>
                <w:rFonts w:hint="eastAsia"/>
                <w:color w:val="auto"/>
              </w:rPr>
              <w:t>运行维护与保养</w:t>
            </w:r>
            <w:r>
              <w:rPr>
                <w:rFonts w:hint="eastAsia"/>
                <w:color w:val="auto"/>
                <w:lang w:val="en-US" w:eastAsia="zh-CN"/>
              </w:rPr>
              <w:t>方案</w:t>
            </w:r>
          </w:p>
        </w:tc>
        <w:tc>
          <w:tcPr>
            <w:tcW w:w="2840" w:type="dxa"/>
            <w:vAlign w:val="center"/>
          </w:tcPr>
          <w:p w14:paraId="4CCC78E6">
            <w:pPr>
              <w:bidi w:val="0"/>
              <w:jc w:val="center"/>
              <w:rPr>
                <w:rFonts w:hint="eastAsia"/>
                <w:lang w:val="en-US" w:eastAsia="zh-CN"/>
              </w:rPr>
            </w:pPr>
          </w:p>
        </w:tc>
        <w:tc>
          <w:tcPr>
            <w:tcW w:w="2840" w:type="dxa"/>
            <w:vAlign w:val="center"/>
          </w:tcPr>
          <w:p w14:paraId="7BE38359">
            <w:pPr>
              <w:bidi w:val="0"/>
              <w:jc w:val="center"/>
              <w:rPr>
                <w:rFonts w:hint="eastAsia"/>
                <w:lang w:val="en-US" w:eastAsia="zh-CN"/>
              </w:rPr>
            </w:pPr>
            <w:r>
              <w:rPr>
                <w:rFonts w:hint="eastAsia"/>
                <w:lang w:val="en-US" w:eastAsia="zh-CN"/>
              </w:rPr>
              <w:t>无需自评</w:t>
            </w:r>
          </w:p>
        </w:tc>
      </w:tr>
      <w:tr w14:paraId="3391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839" w:type="dxa"/>
            <w:shd w:val="clear" w:color="auto" w:fill="FFFFFF"/>
            <w:vAlign w:val="center"/>
          </w:tcPr>
          <w:p w14:paraId="6DBB2EE5">
            <w:pPr>
              <w:bidi w:val="0"/>
              <w:jc w:val="center"/>
              <w:rPr>
                <w:rFonts w:hint="eastAsia" w:ascii="Times New Roman" w:hAnsi="Times New Roman" w:eastAsia="宋体" w:cs="Times New Roman"/>
                <w:strike w:val="0"/>
                <w:dstrike w:val="0"/>
                <w:color w:val="auto"/>
                <w:kern w:val="2"/>
                <w:sz w:val="21"/>
                <w:szCs w:val="24"/>
                <w:lang w:val="en-US" w:eastAsia="zh-CN" w:bidi="ar-SA"/>
              </w:rPr>
            </w:pPr>
            <w:r>
              <w:rPr>
                <w:rFonts w:hint="eastAsia"/>
                <w:strike w:val="0"/>
                <w:dstrike w:val="0"/>
                <w:color w:val="auto"/>
              </w:rPr>
              <w:t>简易</w:t>
            </w:r>
            <w:r>
              <w:rPr>
                <w:rFonts w:hint="eastAsia"/>
                <w:strike w:val="0"/>
                <w:dstrike w:val="0"/>
                <w:color w:val="auto"/>
                <w:lang w:val="en-US" w:eastAsia="zh-CN"/>
              </w:rPr>
              <w:t>气象</w:t>
            </w:r>
            <w:r>
              <w:rPr>
                <w:rFonts w:hint="eastAsia"/>
                <w:strike w:val="0"/>
                <w:dstrike w:val="0"/>
                <w:color w:val="auto"/>
              </w:rPr>
              <w:t>观测点的日常运行维护与保养</w:t>
            </w:r>
            <w:r>
              <w:rPr>
                <w:rFonts w:hint="eastAsia"/>
                <w:strike w:val="0"/>
                <w:dstrike w:val="0"/>
                <w:color w:val="auto"/>
                <w:lang w:val="en-US" w:eastAsia="zh-CN"/>
              </w:rPr>
              <w:t>方案</w:t>
            </w:r>
          </w:p>
        </w:tc>
        <w:tc>
          <w:tcPr>
            <w:tcW w:w="2840" w:type="dxa"/>
            <w:vAlign w:val="center"/>
          </w:tcPr>
          <w:p w14:paraId="522B2309">
            <w:pPr>
              <w:bidi w:val="0"/>
              <w:jc w:val="center"/>
              <w:rPr>
                <w:rFonts w:hint="eastAsia"/>
                <w:lang w:val="en-US" w:eastAsia="zh-CN"/>
              </w:rPr>
            </w:pPr>
          </w:p>
        </w:tc>
        <w:tc>
          <w:tcPr>
            <w:tcW w:w="2840" w:type="dxa"/>
            <w:vAlign w:val="center"/>
          </w:tcPr>
          <w:p w14:paraId="6DC51EA1">
            <w:pPr>
              <w:bidi w:val="0"/>
              <w:jc w:val="center"/>
              <w:rPr>
                <w:rFonts w:hint="eastAsia"/>
                <w:lang w:val="en-US" w:eastAsia="zh-CN"/>
              </w:rPr>
            </w:pPr>
            <w:r>
              <w:rPr>
                <w:rFonts w:hint="eastAsia"/>
                <w:lang w:val="en-US" w:eastAsia="zh-CN"/>
              </w:rPr>
              <w:t>无需自评</w:t>
            </w:r>
          </w:p>
        </w:tc>
      </w:tr>
      <w:tr w14:paraId="28E2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2AFFF6CE">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服务</w:t>
            </w:r>
            <w:r>
              <w:rPr>
                <w:rFonts w:hint="default"/>
                <w:color w:val="auto"/>
                <w:lang w:val="en-US"/>
              </w:rPr>
              <w:t>质量保证措施</w:t>
            </w:r>
          </w:p>
        </w:tc>
        <w:tc>
          <w:tcPr>
            <w:tcW w:w="0" w:type="auto"/>
            <w:vAlign w:val="center"/>
          </w:tcPr>
          <w:p w14:paraId="782983C3">
            <w:pPr>
              <w:bidi w:val="0"/>
              <w:jc w:val="center"/>
              <w:rPr>
                <w:rFonts w:hint="eastAsia"/>
                <w:lang w:val="en-US" w:eastAsia="zh-CN"/>
              </w:rPr>
            </w:pPr>
          </w:p>
        </w:tc>
        <w:tc>
          <w:tcPr>
            <w:tcW w:w="0" w:type="auto"/>
            <w:vAlign w:val="center"/>
          </w:tcPr>
          <w:p w14:paraId="10BF9909">
            <w:pPr>
              <w:bidi w:val="0"/>
              <w:jc w:val="center"/>
              <w:rPr>
                <w:rFonts w:hint="eastAsia"/>
                <w:lang w:val="en-US" w:eastAsia="zh-CN"/>
              </w:rPr>
            </w:pPr>
            <w:r>
              <w:rPr>
                <w:rFonts w:hint="eastAsia"/>
                <w:lang w:val="en-US" w:eastAsia="zh-CN"/>
              </w:rPr>
              <w:t>无需自评</w:t>
            </w:r>
          </w:p>
        </w:tc>
      </w:tr>
      <w:tr w14:paraId="5EAA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35A9F834">
            <w:pPr>
              <w:bidi w:val="0"/>
              <w:jc w:val="center"/>
              <w:rPr>
                <w:rFonts w:hint="eastAsia" w:ascii="Times New Roman" w:hAnsi="Times New Roman" w:eastAsia="宋体" w:cs="Times New Roman"/>
                <w:color w:val="auto"/>
                <w:kern w:val="2"/>
                <w:sz w:val="21"/>
                <w:szCs w:val="24"/>
                <w:lang w:val="en-US" w:eastAsia="zh-CN" w:bidi="ar-SA"/>
              </w:rPr>
            </w:pPr>
            <w:r>
              <w:rPr>
                <w:rFonts w:hint="default"/>
                <w:color w:val="auto"/>
                <w:lang w:val="en-US"/>
              </w:rPr>
              <w:t>应急预案</w:t>
            </w:r>
          </w:p>
        </w:tc>
        <w:tc>
          <w:tcPr>
            <w:tcW w:w="0" w:type="auto"/>
            <w:vAlign w:val="center"/>
          </w:tcPr>
          <w:p w14:paraId="7AF616E7">
            <w:pPr>
              <w:bidi w:val="0"/>
              <w:jc w:val="center"/>
              <w:rPr>
                <w:rFonts w:hint="eastAsia"/>
                <w:lang w:val="en-US" w:eastAsia="zh-CN"/>
              </w:rPr>
            </w:pPr>
          </w:p>
        </w:tc>
        <w:tc>
          <w:tcPr>
            <w:tcW w:w="0" w:type="auto"/>
            <w:vAlign w:val="center"/>
          </w:tcPr>
          <w:p w14:paraId="1D3AFB9D">
            <w:pPr>
              <w:bidi w:val="0"/>
              <w:jc w:val="center"/>
              <w:rPr>
                <w:rFonts w:hint="eastAsia"/>
                <w:lang w:val="en-US" w:eastAsia="zh-CN"/>
              </w:rPr>
            </w:pPr>
            <w:r>
              <w:rPr>
                <w:rFonts w:hint="eastAsia"/>
                <w:lang w:val="en-US" w:eastAsia="zh-CN"/>
              </w:rPr>
              <w:t>无需自评</w:t>
            </w:r>
          </w:p>
        </w:tc>
      </w:tr>
      <w:tr w14:paraId="2B0F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04093CD3">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项目</w:t>
            </w:r>
            <w:r>
              <w:rPr>
                <w:rFonts w:hint="eastAsia"/>
                <w:color w:val="auto"/>
                <w:lang w:val="en-US" w:eastAsia="zh-CN"/>
              </w:rPr>
              <w:t>团队</w:t>
            </w:r>
          </w:p>
        </w:tc>
        <w:tc>
          <w:tcPr>
            <w:tcW w:w="0" w:type="auto"/>
            <w:vAlign w:val="center"/>
          </w:tcPr>
          <w:p w14:paraId="2471431C">
            <w:pPr>
              <w:bidi w:val="0"/>
              <w:jc w:val="center"/>
              <w:rPr>
                <w:rFonts w:hint="eastAsia"/>
                <w:lang w:val="en-US" w:eastAsia="zh-CN"/>
              </w:rPr>
            </w:pPr>
          </w:p>
        </w:tc>
        <w:tc>
          <w:tcPr>
            <w:tcW w:w="0" w:type="auto"/>
            <w:vAlign w:val="center"/>
          </w:tcPr>
          <w:p w14:paraId="4D45CB77">
            <w:pPr>
              <w:bidi w:val="0"/>
              <w:jc w:val="center"/>
              <w:rPr>
                <w:rFonts w:hint="eastAsia"/>
                <w:lang w:val="en-US" w:eastAsia="zh-CN"/>
              </w:rPr>
            </w:pPr>
          </w:p>
        </w:tc>
      </w:tr>
      <w:tr w14:paraId="57A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vAlign w:val="center"/>
          </w:tcPr>
          <w:p w14:paraId="570A31B9">
            <w:pPr>
              <w:bidi w:val="0"/>
              <w:jc w:val="center"/>
              <w:rPr>
                <w:rFonts w:hint="eastAsia"/>
                <w:lang w:val="en-US" w:eastAsia="zh-CN"/>
              </w:rPr>
            </w:pPr>
            <w:r>
              <w:rPr>
                <w:rFonts w:hint="eastAsia"/>
                <w:color w:val="auto"/>
              </w:rPr>
              <w:t>实力</w:t>
            </w:r>
          </w:p>
        </w:tc>
        <w:tc>
          <w:tcPr>
            <w:tcW w:w="0" w:type="auto"/>
            <w:vAlign w:val="center"/>
          </w:tcPr>
          <w:p w14:paraId="048E37FD">
            <w:pPr>
              <w:bidi w:val="0"/>
              <w:jc w:val="center"/>
              <w:rPr>
                <w:rFonts w:hint="eastAsia"/>
                <w:lang w:val="en-US" w:eastAsia="zh-CN"/>
              </w:rPr>
            </w:pPr>
          </w:p>
        </w:tc>
        <w:tc>
          <w:tcPr>
            <w:tcW w:w="0" w:type="auto"/>
            <w:vAlign w:val="center"/>
          </w:tcPr>
          <w:p w14:paraId="0B7D4132">
            <w:pPr>
              <w:bidi w:val="0"/>
              <w:jc w:val="center"/>
              <w:rPr>
                <w:rFonts w:hint="eastAsia"/>
                <w:lang w:val="en-US" w:eastAsia="zh-CN"/>
              </w:rPr>
            </w:pPr>
          </w:p>
        </w:tc>
      </w:tr>
      <w:tr w14:paraId="6CD1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shd w:val="clear" w:color="auto" w:fill="FFFFFF"/>
            <w:vAlign w:val="center"/>
          </w:tcPr>
          <w:p w14:paraId="0AEBD128">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业绩</w:t>
            </w:r>
          </w:p>
        </w:tc>
        <w:tc>
          <w:tcPr>
            <w:tcW w:w="0" w:type="auto"/>
            <w:vAlign w:val="center"/>
          </w:tcPr>
          <w:p w14:paraId="1A12E7D4">
            <w:pPr>
              <w:bidi w:val="0"/>
              <w:jc w:val="center"/>
              <w:rPr>
                <w:rFonts w:hint="eastAsia"/>
                <w:lang w:val="en-US" w:eastAsia="zh-CN"/>
              </w:rPr>
            </w:pPr>
          </w:p>
        </w:tc>
        <w:tc>
          <w:tcPr>
            <w:tcW w:w="0" w:type="auto"/>
            <w:vAlign w:val="center"/>
          </w:tcPr>
          <w:p w14:paraId="7242A1E3">
            <w:pPr>
              <w:bidi w:val="0"/>
              <w:jc w:val="center"/>
              <w:rPr>
                <w:rFonts w:hint="eastAsia"/>
                <w:lang w:val="en-US" w:eastAsia="zh-CN"/>
              </w:rPr>
            </w:pPr>
          </w:p>
        </w:tc>
      </w:tr>
    </w:tbl>
    <w:p w14:paraId="4682A7F5">
      <w:pPr>
        <w:pStyle w:val="12"/>
        <w:outlineLvl w:val="9"/>
        <w:rPr>
          <w:rFonts w:hint="eastAsia"/>
          <w:lang w:val="en-US" w:eastAsia="zh-CN"/>
        </w:rPr>
      </w:pPr>
      <w:r>
        <w:rPr>
          <w:rFonts w:hint="eastAsia" w:ascii="宋体" w:hAnsi="宋体" w:cs="宋体"/>
          <w:kern w:val="0"/>
          <w:sz w:val="24"/>
          <w:lang w:val="en-US" w:eastAsia="zh-CN"/>
        </w:rPr>
        <w:t>注：本表格自愿提供。</w:t>
      </w:r>
    </w:p>
    <w:p w14:paraId="6F2BB574">
      <w:pPr>
        <w:snapToGrid w:val="0"/>
        <w:spacing w:before="50" w:after="50" w:line="360" w:lineRule="auto"/>
        <w:outlineLvl w:val="9"/>
        <w:rPr>
          <w:rFonts w:hint="eastAsia" w:ascii="宋体" w:hAnsi="宋体" w:eastAsia="宋体" w:cs="宋体"/>
          <w:b/>
          <w:sz w:val="36"/>
          <w:szCs w:val="36"/>
        </w:rPr>
      </w:pPr>
    </w:p>
    <w:p w14:paraId="274C59BF">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5FDC9F3B">
      <w:pPr>
        <w:numPr>
          <w:ilvl w:val="0"/>
          <w:numId w:val="75"/>
        </w:numPr>
        <w:ind w:left="0" w:leftChars="0" w:firstLine="0" w:firstLineChars="0"/>
        <w:outlineLvl w:val="1"/>
        <w:rPr>
          <w:rFonts w:hint="eastAsia" w:ascii="宋体" w:hAnsi="宋体" w:eastAsia="宋体" w:cs="宋体"/>
          <w:b/>
          <w:sz w:val="28"/>
          <w:szCs w:val="28"/>
          <w:lang w:eastAsia="zh-CN"/>
        </w:rPr>
      </w:pPr>
      <w:bookmarkStart w:id="142" w:name="_Toc19776"/>
      <w:bookmarkEnd w:id="142"/>
    </w:p>
    <w:p w14:paraId="75EAFBEA">
      <w:pPr>
        <w:spacing w:line="360" w:lineRule="auto"/>
        <w:ind w:left="549" w:hanging="549" w:hangingChars="171"/>
        <w:jc w:val="center"/>
        <w:outlineLvl w:val="1"/>
        <w:rPr>
          <w:rFonts w:hint="eastAsia" w:ascii="宋体" w:hAnsi="宋体" w:eastAsia="宋体" w:cs="宋体"/>
          <w:b/>
          <w:sz w:val="18"/>
          <w:szCs w:val="18"/>
        </w:rPr>
      </w:pPr>
      <w:bookmarkStart w:id="143" w:name="_Toc6980"/>
      <w:bookmarkStart w:id="144" w:name="_Toc7557"/>
      <w:r>
        <w:rPr>
          <w:rFonts w:hint="eastAsia" w:ascii="宋体" w:hAnsi="宋体" w:eastAsia="宋体" w:cs="宋体"/>
          <w:b/>
          <w:sz w:val="32"/>
          <w:szCs w:val="32"/>
        </w:rPr>
        <w:t>需求响应表</w:t>
      </w:r>
      <w:bookmarkEnd w:id="143"/>
      <w:bookmarkEnd w:id="144"/>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146"/>
        <w:gridCol w:w="1122"/>
        <w:gridCol w:w="1292"/>
      </w:tblGrid>
      <w:tr w14:paraId="19EF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21F8CA0">
            <w:pPr>
              <w:bidi w:val="0"/>
              <w:jc w:val="center"/>
              <w:rPr>
                <w:rFonts w:hint="eastAsia"/>
                <w:b/>
                <w:bCs/>
              </w:rPr>
            </w:pPr>
            <w:r>
              <w:rPr>
                <w:rFonts w:hint="eastAsia"/>
                <w:b/>
                <w:bCs/>
              </w:rPr>
              <w:t>序号</w:t>
            </w:r>
          </w:p>
        </w:tc>
        <w:tc>
          <w:tcPr>
            <w:tcW w:w="5146" w:type="dxa"/>
            <w:vAlign w:val="center"/>
          </w:tcPr>
          <w:p w14:paraId="72DA038C">
            <w:pPr>
              <w:bidi w:val="0"/>
              <w:jc w:val="center"/>
              <w:rPr>
                <w:rFonts w:hint="eastAsia"/>
                <w:b/>
                <w:bCs/>
              </w:rPr>
            </w:pPr>
            <w:r>
              <w:rPr>
                <w:rFonts w:hint="eastAsia"/>
                <w:b/>
                <w:bCs/>
              </w:rPr>
              <w:t>招标需求</w:t>
            </w:r>
          </w:p>
        </w:tc>
        <w:tc>
          <w:tcPr>
            <w:tcW w:w="1122" w:type="dxa"/>
            <w:vAlign w:val="center"/>
          </w:tcPr>
          <w:p w14:paraId="356E17C3">
            <w:pPr>
              <w:bidi w:val="0"/>
              <w:jc w:val="center"/>
              <w:rPr>
                <w:rFonts w:hint="default"/>
                <w:b/>
                <w:bCs/>
                <w:lang w:val="en-US" w:eastAsia="zh-CN"/>
              </w:rPr>
            </w:pPr>
            <w:r>
              <w:rPr>
                <w:rFonts w:hint="eastAsia"/>
                <w:b/>
                <w:bCs/>
                <w:lang w:val="en-US" w:eastAsia="zh-CN"/>
              </w:rPr>
              <w:t>投标文件具体内容</w:t>
            </w:r>
          </w:p>
        </w:tc>
        <w:tc>
          <w:tcPr>
            <w:tcW w:w="1292" w:type="dxa"/>
            <w:vAlign w:val="center"/>
          </w:tcPr>
          <w:p w14:paraId="59D01049">
            <w:pPr>
              <w:bidi w:val="0"/>
              <w:jc w:val="center"/>
              <w:rPr>
                <w:rFonts w:hint="default"/>
                <w:b/>
                <w:bCs/>
                <w:lang w:val="en-US"/>
              </w:rPr>
            </w:pPr>
            <w:r>
              <w:rPr>
                <w:rFonts w:hint="eastAsia"/>
                <w:b/>
                <w:bCs/>
                <w:lang w:val="en-US" w:eastAsia="zh-CN"/>
              </w:rPr>
              <w:t>响应/偏离</w:t>
            </w:r>
          </w:p>
        </w:tc>
      </w:tr>
      <w:tr w14:paraId="08E9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0FEC6B2">
            <w:pPr>
              <w:widowControl/>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5146" w:type="dxa"/>
            <w:vAlign w:val="center"/>
          </w:tcPr>
          <w:p w14:paraId="26B40163">
            <w:pPr>
              <w:widowControl/>
              <w:spacing w:line="312" w:lineRule="auto"/>
              <w:jc w:val="left"/>
              <w:rPr>
                <w:rFonts w:hint="eastAsia" w:ascii="宋体" w:hAnsi="宋体" w:eastAsia="宋体" w:cs="宋体"/>
                <w:sz w:val="24"/>
              </w:rPr>
            </w:pPr>
            <w:r>
              <w:rPr>
                <w:rFonts w:hint="eastAsia" w:ascii="宋体" w:hAnsi="宋体" w:eastAsia="宋体" w:cs="宋体"/>
                <w:b/>
                <w:bCs/>
                <w:kern w:val="0"/>
                <w:sz w:val="21"/>
                <w:szCs w:val="21"/>
                <w:highlight w:val="none"/>
              </w:rPr>
              <w:t>▲</w:t>
            </w:r>
            <w:r>
              <w:rPr>
                <w:rFonts w:hint="eastAsia" w:ascii="宋体" w:hAnsi="宋体" w:cs="宋体"/>
                <w:b/>
                <w:bCs/>
                <w:kern w:val="0"/>
                <w:sz w:val="21"/>
                <w:szCs w:val="21"/>
                <w:highlight w:val="none"/>
                <w:lang w:val="en-US" w:eastAsia="zh-CN"/>
              </w:rPr>
              <w:t>服务期：一年</w:t>
            </w:r>
          </w:p>
        </w:tc>
        <w:tc>
          <w:tcPr>
            <w:tcW w:w="1122" w:type="dxa"/>
            <w:vAlign w:val="center"/>
          </w:tcPr>
          <w:p w14:paraId="4362C070">
            <w:pPr>
              <w:outlineLvl w:val="9"/>
              <w:rPr>
                <w:rFonts w:hint="eastAsia" w:ascii="宋体" w:hAnsi="宋体" w:eastAsia="宋体" w:cs="宋体"/>
                <w:sz w:val="24"/>
              </w:rPr>
            </w:pPr>
          </w:p>
        </w:tc>
        <w:tc>
          <w:tcPr>
            <w:tcW w:w="1292" w:type="dxa"/>
            <w:vAlign w:val="center"/>
          </w:tcPr>
          <w:p w14:paraId="1E7135DF">
            <w:pPr>
              <w:outlineLvl w:val="9"/>
              <w:rPr>
                <w:rFonts w:hint="eastAsia" w:ascii="宋体" w:hAnsi="宋体" w:eastAsia="宋体" w:cs="宋体"/>
                <w:sz w:val="24"/>
              </w:rPr>
            </w:pPr>
          </w:p>
        </w:tc>
      </w:tr>
      <w:tr w14:paraId="7965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906A197">
            <w:pPr>
              <w:widowControl/>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5146" w:type="dxa"/>
            <w:vAlign w:val="center"/>
          </w:tcPr>
          <w:p w14:paraId="3B839E75">
            <w:pPr>
              <w:widowControl/>
              <w:spacing w:line="312" w:lineRule="auto"/>
              <w:jc w:val="left"/>
              <w:rPr>
                <w:rFonts w:hint="eastAsia" w:ascii="宋体" w:hAnsi="宋体" w:cs="宋体"/>
                <w:b/>
                <w:bCs/>
                <w:kern w:val="0"/>
                <w:sz w:val="21"/>
                <w:szCs w:val="21"/>
                <w:highlight w:val="none"/>
                <w:lang w:eastAsia="zh-CN"/>
              </w:rPr>
            </w:pPr>
            <w:r>
              <w:rPr>
                <w:rFonts w:hint="eastAsia" w:ascii="宋体" w:hAnsi="宋体" w:eastAsia="宋体" w:cs="宋体"/>
                <w:b/>
                <w:bCs/>
                <w:kern w:val="0"/>
                <w:sz w:val="21"/>
                <w:szCs w:val="21"/>
                <w:highlight w:val="none"/>
              </w:rPr>
              <w:t>▲付款条件</w:t>
            </w:r>
            <w:r>
              <w:rPr>
                <w:rFonts w:hint="eastAsia" w:ascii="宋体" w:hAnsi="宋体" w:cs="宋体"/>
                <w:b/>
                <w:bCs/>
                <w:kern w:val="0"/>
                <w:sz w:val="21"/>
                <w:szCs w:val="21"/>
                <w:highlight w:val="none"/>
                <w:lang w:eastAsia="zh-CN"/>
              </w:rPr>
              <w:t>：</w:t>
            </w:r>
          </w:p>
          <w:p w14:paraId="7A2FADE5">
            <w:pPr>
              <w:widowControl/>
              <w:spacing w:line="312" w:lineRule="auto"/>
              <w:jc w:val="left"/>
              <w:rPr>
                <w:rFonts w:hint="eastAsia" w:ascii="宋体" w:hAnsi="宋体" w:eastAsia="宋体" w:cs="宋体"/>
                <w:b/>
                <w:bCs/>
                <w:color w:val="auto"/>
                <w:sz w:val="21"/>
                <w:szCs w:val="21"/>
              </w:rPr>
            </w:pPr>
            <w:r>
              <w:rPr>
                <w:rFonts w:hint="eastAsia" w:ascii="宋体" w:hAnsi="宋体" w:cs="宋体"/>
                <w:b/>
                <w:bCs/>
                <w:sz w:val="21"/>
                <w:szCs w:val="21"/>
                <w:lang w:eastAsia="zh-CN"/>
              </w:rPr>
              <w:t>合同生效后，</w:t>
            </w:r>
            <w:r>
              <w:rPr>
                <w:rFonts w:hint="eastAsia" w:ascii="宋体" w:hAnsi="宋体" w:cs="宋体"/>
                <w:b/>
                <w:bCs/>
                <w:sz w:val="21"/>
                <w:szCs w:val="21"/>
                <w:lang w:val="en-US" w:eastAsia="zh-CN"/>
              </w:rPr>
              <w:t>自收到发票后</w:t>
            </w:r>
            <w:r>
              <w:rPr>
                <w:rFonts w:hint="eastAsia" w:ascii="宋体" w:hAnsi="宋体" w:eastAsia="宋体" w:cs="宋体"/>
                <w:b/>
                <w:bCs/>
                <w:sz w:val="21"/>
                <w:szCs w:val="21"/>
                <w:lang w:val="en-US" w:eastAsia="zh-CN"/>
              </w:rPr>
              <w:t>7个工作日内支付合同金额的50%作为预付</w:t>
            </w:r>
            <w:r>
              <w:rPr>
                <w:rFonts w:hint="eastAsia" w:ascii="宋体" w:hAnsi="宋体" w:eastAsia="宋体" w:cs="宋体"/>
                <w:b/>
                <w:bCs/>
                <w:color w:val="auto"/>
                <w:sz w:val="21"/>
                <w:szCs w:val="21"/>
                <w:lang w:val="en-US" w:eastAsia="zh-CN"/>
              </w:rPr>
              <w:t>款；</w:t>
            </w:r>
            <w:r>
              <w:rPr>
                <w:rFonts w:hint="eastAsia" w:ascii="宋体" w:hAnsi="宋体" w:cs="宋体"/>
                <w:b/>
                <w:bCs/>
                <w:color w:val="auto"/>
                <w:sz w:val="21"/>
                <w:szCs w:val="21"/>
                <w:lang w:val="en-US" w:eastAsia="zh-CN"/>
              </w:rPr>
              <w:t>2025年12月1日前支付合同金额的30%</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维护期满并通过验收后，自收到发票后10个工作日内支付余款</w:t>
            </w:r>
            <w:r>
              <w:rPr>
                <w:rFonts w:hint="eastAsia" w:ascii="宋体" w:hAnsi="宋体" w:eastAsia="宋体" w:cs="宋体"/>
                <w:b/>
                <w:bCs/>
                <w:color w:val="auto"/>
                <w:sz w:val="21"/>
                <w:szCs w:val="21"/>
              </w:rPr>
              <w:t>。</w:t>
            </w:r>
          </w:p>
          <w:p w14:paraId="4D4CF4E2">
            <w:pPr>
              <w:widowControl/>
              <w:spacing w:line="312" w:lineRule="auto"/>
              <w:jc w:val="left"/>
              <w:rPr>
                <w:rFonts w:hint="eastAsia" w:ascii="宋体" w:hAnsi="宋体" w:eastAsia="宋体" w:cs="宋体"/>
                <w:sz w:val="24"/>
              </w:rPr>
            </w:pPr>
            <w:r>
              <w:rPr>
                <w:rFonts w:hint="eastAsia" w:ascii="宋体" w:hAnsi="宋体" w:cs="宋体"/>
                <w:b/>
                <w:bCs/>
                <w:color w:val="auto"/>
                <w:sz w:val="21"/>
                <w:szCs w:val="21"/>
                <w:lang w:val="en-US" w:eastAsia="zh-CN"/>
              </w:rPr>
              <w:t>每次付款供应商均需</w:t>
            </w:r>
            <w:r>
              <w:rPr>
                <w:rFonts w:hint="eastAsia" w:ascii="宋体" w:hAnsi="宋体" w:eastAsia="宋体" w:cs="宋体"/>
                <w:b/>
                <w:bCs/>
                <w:color w:val="auto"/>
                <w:sz w:val="21"/>
                <w:szCs w:val="21"/>
              </w:rPr>
              <w:t>提供等额的正式发票</w:t>
            </w:r>
            <w:r>
              <w:rPr>
                <w:rFonts w:hint="eastAsia" w:ascii="宋体" w:hAnsi="宋体" w:cs="宋体"/>
                <w:b/>
                <w:bCs/>
                <w:color w:val="auto"/>
                <w:sz w:val="21"/>
                <w:szCs w:val="21"/>
                <w:lang w:eastAsia="zh-CN"/>
              </w:rPr>
              <w:t>。</w:t>
            </w:r>
          </w:p>
        </w:tc>
        <w:tc>
          <w:tcPr>
            <w:tcW w:w="1122" w:type="dxa"/>
            <w:vAlign w:val="center"/>
          </w:tcPr>
          <w:p w14:paraId="2DC1D609">
            <w:pPr>
              <w:outlineLvl w:val="9"/>
              <w:rPr>
                <w:rFonts w:hint="eastAsia" w:ascii="宋体" w:hAnsi="宋体" w:eastAsia="宋体" w:cs="宋体"/>
                <w:sz w:val="24"/>
              </w:rPr>
            </w:pPr>
          </w:p>
        </w:tc>
        <w:tc>
          <w:tcPr>
            <w:tcW w:w="1292" w:type="dxa"/>
            <w:vAlign w:val="center"/>
          </w:tcPr>
          <w:p w14:paraId="437BD4A1">
            <w:pPr>
              <w:outlineLvl w:val="9"/>
              <w:rPr>
                <w:rFonts w:hint="eastAsia" w:ascii="宋体" w:hAnsi="宋体" w:eastAsia="宋体" w:cs="宋体"/>
                <w:sz w:val="24"/>
              </w:rPr>
            </w:pPr>
          </w:p>
        </w:tc>
      </w:tr>
    </w:tbl>
    <w:p w14:paraId="7A305D18">
      <w:pPr>
        <w:spacing w:line="360" w:lineRule="auto"/>
        <w:outlineLvl w:val="9"/>
        <w:rPr>
          <w:rFonts w:hint="default" w:ascii="宋体" w:hAnsi="宋体" w:eastAsia="宋体" w:cs="宋体"/>
          <w:color w:val="FF0000"/>
          <w:sz w:val="24"/>
          <w:lang w:val="en-US" w:eastAsia="zh-CN"/>
        </w:rPr>
      </w:pPr>
      <w:r>
        <w:rPr>
          <w:rFonts w:hint="eastAsia" w:ascii="宋体" w:hAnsi="宋体" w:cs="宋体"/>
          <w:color w:val="FF0000"/>
          <w:sz w:val="24"/>
          <w:lang w:val="en-US" w:eastAsia="zh-CN"/>
        </w:rPr>
        <w:t>注：以上任意一项未响应的，均按响应无效处理。</w:t>
      </w:r>
    </w:p>
    <w:p w14:paraId="6881E8C0">
      <w:pPr>
        <w:spacing w:line="360" w:lineRule="auto"/>
        <w:ind w:left="420"/>
        <w:outlineLvl w:val="9"/>
        <w:rPr>
          <w:rFonts w:hint="eastAsia" w:ascii="宋体" w:hAnsi="宋体" w:eastAsia="宋体" w:cs="宋体"/>
          <w:color w:val="FF0000"/>
          <w:sz w:val="24"/>
          <w:u w:val="single"/>
        </w:rPr>
      </w:pPr>
      <w:r>
        <w:rPr>
          <w:rFonts w:hint="eastAsia" w:ascii="宋体" w:hAnsi="宋体" w:eastAsia="宋体" w:cs="宋体"/>
          <w:color w:val="FF0000"/>
          <w:spacing w:val="6"/>
          <w:sz w:val="24"/>
        </w:rPr>
        <w:t>供应商（</w:t>
      </w:r>
      <w:r>
        <w:rPr>
          <w:rFonts w:hint="eastAsia" w:ascii="宋体" w:hAnsi="宋体" w:cs="宋体"/>
          <w:color w:val="FF0000"/>
          <w:spacing w:val="6"/>
          <w:sz w:val="24"/>
          <w:lang w:val="en-US" w:eastAsia="zh-CN"/>
        </w:rPr>
        <w:t>CA签章</w:t>
      </w:r>
      <w:r>
        <w:rPr>
          <w:rFonts w:hint="eastAsia" w:ascii="宋体" w:hAnsi="宋体" w:eastAsia="宋体" w:cs="宋体"/>
          <w:color w:val="FF0000"/>
          <w:spacing w:val="6"/>
          <w:sz w:val="24"/>
        </w:rPr>
        <w:t>）</w:t>
      </w:r>
      <w:r>
        <w:rPr>
          <w:rFonts w:hint="eastAsia" w:ascii="宋体" w:hAnsi="宋体" w:eastAsia="宋体" w:cs="宋体"/>
          <w:color w:val="FF0000"/>
          <w:sz w:val="24"/>
        </w:rPr>
        <w:t>：</w:t>
      </w:r>
    </w:p>
    <w:p w14:paraId="3F096FBE">
      <w:pPr>
        <w:spacing w:line="360" w:lineRule="auto"/>
        <w:ind w:firstLine="435"/>
        <w:outlineLvl w:val="9"/>
        <w:rPr>
          <w:rFonts w:hint="eastAsia" w:ascii="宋体" w:hAnsi="宋体" w:eastAsia="宋体" w:cs="宋体"/>
          <w:color w:val="FF0000"/>
          <w:sz w:val="24"/>
          <w:u w:val="single"/>
          <w:lang w:eastAsia="zh-CN"/>
        </w:rPr>
      </w:pPr>
      <w:r>
        <w:rPr>
          <w:rFonts w:hint="eastAsia" w:ascii="宋体" w:hAnsi="宋体" w:eastAsia="宋体" w:cs="宋体"/>
          <w:color w:val="FF0000"/>
          <w:sz w:val="24"/>
        </w:rPr>
        <w:t>日期：</w:t>
      </w:r>
      <w:r>
        <w:rPr>
          <w:rFonts w:hint="eastAsia" w:ascii="宋体" w:hAnsi="宋体" w:cs="宋体"/>
          <w:color w:val="FF0000"/>
          <w:sz w:val="24"/>
          <w:lang w:val="en-US" w:eastAsia="zh-CN"/>
        </w:rPr>
        <w:t>2025年</w:t>
      </w:r>
      <w:r>
        <w:rPr>
          <w:rFonts w:hint="eastAsia" w:ascii="宋体" w:hAnsi="宋体" w:cs="宋体"/>
          <w:color w:val="FF0000"/>
          <w:sz w:val="24"/>
          <w:lang w:eastAsia="zh-CN"/>
        </w:rPr>
        <w:t>××月××日</w:t>
      </w:r>
    </w:p>
    <w:p w14:paraId="3A08341A">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261F7F45">
      <w:pPr>
        <w:numPr>
          <w:ilvl w:val="0"/>
          <w:numId w:val="75"/>
        </w:numPr>
        <w:ind w:left="0" w:leftChars="0" w:firstLine="0" w:firstLineChars="0"/>
        <w:outlineLvl w:val="1"/>
        <w:rPr>
          <w:rFonts w:hint="default" w:ascii="宋体" w:hAnsi="宋体" w:eastAsia="宋体" w:cs="宋体"/>
          <w:b/>
          <w:sz w:val="28"/>
          <w:szCs w:val="28"/>
          <w:lang w:val="en-US" w:eastAsia="zh-CN"/>
        </w:rPr>
      </w:pPr>
      <w:bookmarkStart w:id="145" w:name="_Toc27156"/>
      <w:bookmarkEnd w:id="145"/>
    </w:p>
    <w:p w14:paraId="2D16997E">
      <w:pPr>
        <w:spacing w:line="360" w:lineRule="auto"/>
        <w:ind w:right="-110"/>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2025年台州市海洋观测站点日常运行维护项目</w:t>
      </w:r>
    </w:p>
    <w:p w14:paraId="4338D117">
      <w:pPr>
        <w:spacing w:beforeLines="100" w:line="360" w:lineRule="auto"/>
        <w:ind w:right="-108"/>
        <w:jc w:val="center"/>
        <w:outlineLvl w:val="9"/>
        <w:rPr>
          <w:rFonts w:hint="eastAsia" w:ascii="宋体" w:hAnsi="宋体" w:eastAsia="宋体" w:cs="宋体"/>
          <w:sz w:val="36"/>
          <w:szCs w:val="36"/>
        </w:rPr>
      </w:pPr>
      <w:r>
        <w:rPr>
          <w:rFonts w:hint="eastAsia" w:ascii="宋体" w:hAnsi="宋体" w:eastAsia="宋体" w:cs="宋体"/>
          <w:sz w:val="36"/>
          <w:szCs w:val="36"/>
        </w:rPr>
        <w:t>项目编号：</w:t>
      </w:r>
      <w:r>
        <w:rPr>
          <w:rFonts w:hint="eastAsia" w:ascii="宋体" w:hAnsi="宋体" w:cs="宋体"/>
          <w:sz w:val="36"/>
          <w:szCs w:val="36"/>
          <w:lang w:eastAsia="zh-CN"/>
        </w:rPr>
        <w:t>TZYY-2506-002号</w:t>
      </w:r>
    </w:p>
    <w:p w14:paraId="30D6888B">
      <w:pPr>
        <w:spacing w:after="100" w:afterAutospacing="1" w:line="360" w:lineRule="auto"/>
        <w:ind w:right="-108"/>
        <w:jc w:val="center"/>
        <w:outlineLvl w:val="9"/>
        <w:rPr>
          <w:rFonts w:hint="eastAsia" w:ascii="宋体" w:hAnsi="宋体" w:eastAsia="宋体" w:cs="宋体"/>
          <w:b/>
          <w:spacing w:val="40"/>
          <w:sz w:val="84"/>
          <w:szCs w:val="84"/>
        </w:rPr>
      </w:pPr>
    </w:p>
    <w:p w14:paraId="6120F81D">
      <w:pPr>
        <w:spacing w:after="100" w:afterAutospacing="1" w:line="360" w:lineRule="auto"/>
        <w:ind w:right="-108"/>
        <w:jc w:val="center"/>
        <w:outlineLvl w:val="0"/>
        <w:rPr>
          <w:rFonts w:hint="eastAsia" w:ascii="宋体" w:hAnsi="宋体" w:eastAsia="宋体" w:cs="宋体"/>
          <w:b/>
          <w:spacing w:val="40"/>
          <w:sz w:val="84"/>
          <w:szCs w:val="84"/>
        </w:rPr>
      </w:pPr>
      <w:bookmarkStart w:id="146" w:name="_Toc31174"/>
      <w:bookmarkStart w:id="147" w:name="_Toc22905"/>
      <w:r>
        <w:rPr>
          <w:rFonts w:hint="eastAsia" w:ascii="宋体" w:hAnsi="宋体" w:eastAsia="宋体" w:cs="宋体"/>
          <w:b/>
          <w:spacing w:val="40"/>
          <w:sz w:val="84"/>
          <w:szCs w:val="84"/>
        </w:rPr>
        <w:t>报</w:t>
      </w:r>
      <w:bookmarkEnd w:id="146"/>
      <w:bookmarkEnd w:id="147"/>
    </w:p>
    <w:p w14:paraId="66C40D78">
      <w:pPr>
        <w:spacing w:after="100" w:afterAutospacing="1" w:line="360" w:lineRule="auto"/>
        <w:ind w:right="-108"/>
        <w:jc w:val="center"/>
        <w:outlineLvl w:val="0"/>
        <w:rPr>
          <w:rFonts w:hint="eastAsia" w:ascii="宋体" w:hAnsi="宋体" w:eastAsia="宋体" w:cs="宋体"/>
          <w:b/>
          <w:spacing w:val="40"/>
          <w:sz w:val="84"/>
          <w:szCs w:val="84"/>
        </w:rPr>
      </w:pPr>
      <w:bookmarkStart w:id="148" w:name="_Toc23411"/>
      <w:bookmarkStart w:id="149" w:name="_Toc2007"/>
      <w:r>
        <w:rPr>
          <w:rFonts w:hint="eastAsia" w:ascii="宋体" w:hAnsi="宋体" w:eastAsia="宋体" w:cs="宋体"/>
          <w:b/>
          <w:spacing w:val="40"/>
          <w:sz w:val="84"/>
          <w:szCs w:val="84"/>
        </w:rPr>
        <w:t>价</w:t>
      </w:r>
      <w:bookmarkEnd w:id="148"/>
      <w:bookmarkEnd w:id="149"/>
    </w:p>
    <w:p w14:paraId="5E97CD2D">
      <w:pPr>
        <w:spacing w:after="100" w:afterAutospacing="1" w:line="360" w:lineRule="auto"/>
        <w:ind w:right="-108"/>
        <w:jc w:val="center"/>
        <w:outlineLvl w:val="0"/>
        <w:rPr>
          <w:rFonts w:hint="eastAsia" w:ascii="宋体" w:hAnsi="宋体" w:eastAsia="宋体" w:cs="宋体"/>
          <w:b/>
          <w:spacing w:val="40"/>
          <w:sz w:val="84"/>
          <w:szCs w:val="84"/>
        </w:rPr>
      </w:pPr>
      <w:bookmarkStart w:id="150" w:name="_Toc3668"/>
      <w:bookmarkStart w:id="151" w:name="_Toc18951"/>
      <w:r>
        <w:rPr>
          <w:rFonts w:hint="eastAsia" w:ascii="宋体" w:hAnsi="宋体" w:eastAsia="宋体" w:cs="宋体"/>
          <w:b/>
          <w:spacing w:val="40"/>
          <w:sz w:val="84"/>
          <w:szCs w:val="84"/>
        </w:rPr>
        <w:t>文</w:t>
      </w:r>
      <w:bookmarkEnd w:id="150"/>
      <w:bookmarkEnd w:id="151"/>
    </w:p>
    <w:p w14:paraId="3F131327">
      <w:pPr>
        <w:spacing w:after="100" w:afterAutospacing="1" w:line="360" w:lineRule="auto"/>
        <w:ind w:right="-108"/>
        <w:jc w:val="center"/>
        <w:outlineLvl w:val="0"/>
        <w:rPr>
          <w:rFonts w:hint="eastAsia" w:ascii="宋体" w:hAnsi="宋体" w:eastAsia="宋体" w:cs="宋体"/>
          <w:b/>
          <w:spacing w:val="40"/>
          <w:sz w:val="84"/>
          <w:szCs w:val="84"/>
        </w:rPr>
      </w:pPr>
      <w:bookmarkStart w:id="152" w:name="_Toc31168"/>
      <w:bookmarkStart w:id="153" w:name="_Toc30514"/>
      <w:r>
        <w:rPr>
          <w:rFonts w:hint="eastAsia" w:ascii="宋体" w:hAnsi="宋体" w:eastAsia="宋体" w:cs="宋体"/>
          <w:b/>
          <w:spacing w:val="40"/>
          <w:sz w:val="84"/>
          <w:szCs w:val="84"/>
        </w:rPr>
        <w:t>件</w:t>
      </w:r>
      <w:bookmarkEnd w:id="152"/>
      <w:bookmarkEnd w:id="153"/>
    </w:p>
    <w:p w14:paraId="0E67E464">
      <w:pPr>
        <w:spacing w:line="360" w:lineRule="auto"/>
        <w:ind w:right="532"/>
        <w:jc w:val="center"/>
        <w:outlineLvl w:val="9"/>
        <w:rPr>
          <w:rFonts w:hint="eastAsia" w:ascii="宋体" w:hAnsi="宋体" w:eastAsia="宋体" w:cs="宋体"/>
          <w:sz w:val="36"/>
          <w:szCs w:val="36"/>
        </w:rPr>
      </w:pPr>
    </w:p>
    <w:p w14:paraId="05DB2BDD">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供</w:t>
      </w:r>
      <w:r>
        <w:rPr>
          <w:rFonts w:hint="eastAsia" w:ascii="宋体" w:hAnsi="宋体" w:cs="宋体"/>
          <w:sz w:val="36"/>
          <w:szCs w:val="36"/>
          <w:lang w:val="en-US" w:eastAsia="zh-CN"/>
        </w:rPr>
        <w:t xml:space="preserve"> </w:t>
      </w:r>
      <w:r>
        <w:rPr>
          <w:rFonts w:hint="eastAsia" w:ascii="宋体" w:hAnsi="宋体" w:eastAsia="宋体" w:cs="宋体"/>
          <w:sz w:val="36"/>
          <w:szCs w:val="36"/>
        </w:rPr>
        <w:t>应</w:t>
      </w:r>
      <w:r>
        <w:rPr>
          <w:rFonts w:hint="eastAsia" w:ascii="宋体" w:hAnsi="宋体" w:cs="宋体"/>
          <w:sz w:val="36"/>
          <w:szCs w:val="36"/>
          <w:lang w:val="en-US" w:eastAsia="zh-CN"/>
        </w:rPr>
        <w:t xml:space="preserve"> </w:t>
      </w:r>
      <w:r>
        <w:rPr>
          <w:rFonts w:hint="eastAsia" w:ascii="宋体" w:hAnsi="宋体" w:eastAsia="宋体" w:cs="宋体"/>
          <w:sz w:val="36"/>
          <w:szCs w:val="36"/>
        </w:rPr>
        <w:t>商：</w:t>
      </w:r>
    </w:p>
    <w:p w14:paraId="0E52C214">
      <w:pPr>
        <w:spacing w:line="360" w:lineRule="auto"/>
        <w:ind w:right="-108"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14:paraId="7D198182">
      <w:pPr>
        <w:spacing w:line="360" w:lineRule="auto"/>
        <w:ind w:right="-108"/>
        <w:jc w:val="both"/>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00E089BC">
      <w:pPr>
        <w:numPr>
          <w:ilvl w:val="0"/>
          <w:numId w:val="75"/>
        </w:numPr>
        <w:ind w:left="0" w:leftChars="0" w:firstLine="0" w:firstLineChars="0"/>
        <w:outlineLvl w:val="1"/>
        <w:rPr>
          <w:rFonts w:hint="default" w:ascii="宋体" w:hAnsi="宋体" w:eastAsia="宋体" w:cs="宋体"/>
          <w:b/>
          <w:sz w:val="28"/>
          <w:szCs w:val="28"/>
          <w:lang w:val="en-US" w:eastAsia="zh-CN"/>
        </w:rPr>
      </w:pPr>
      <w:bookmarkStart w:id="154" w:name="_Toc16812"/>
      <w:bookmarkEnd w:id="154"/>
    </w:p>
    <w:p w14:paraId="013E3B7B">
      <w:pPr>
        <w:spacing w:line="360" w:lineRule="auto"/>
        <w:ind w:right="-108"/>
        <w:jc w:val="center"/>
        <w:outlineLvl w:val="1"/>
        <w:rPr>
          <w:rFonts w:hint="eastAsia" w:ascii="宋体" w:hAnsi="宋体" w:eastAsia="宋体" w:cs="宋体"/>
          <w:b/>
          <w:sz w:val="32"/>
          <w:szCs w:val="32"/>
        </w:rPr>
      </w:pPr>
      <w:bookmarkStart w:id="155" w:name="_Toc18438"/>
      <w:bookmarkStart w:id="156" w:name="_Toc30271"/>
      <w:r>
        <w:rPr>
          <w:rFonts w:hint="eastAsia" w:ascii="宋体" w:hAnsi="宋体" w:eastAsia="宋体" w:cs="宋体"/>
          <w:b/>
          <w:sz w:val="32"/>
          <w:szCs w:val="32"/>
        </w:rPr>
        <w:t>报价文件目录</w:t>
      </w:r>
      <w:bookmarkEnd w:id="155"/>
      <w:bookmarkEnd w:id="156"/>
    </w:p>
    <w:p w14:paraId="5DB33A5D">
      <w:pPr>
        <w:spacing w:line="360" w:lineRule="auto"/>
        <w:outlineLvl w:val="9"/>
        <w:rPr>
          <w:rFonts w:hint="eastAsia" w:ascii="宋体" w:hAnsi="宋体" w:eastAsia="宋体" w:cs="宋体"/>
          <w:sz w:val="24"/>
        </w:rPr>
      </w:pPr>
    </w:p>
    <w:p w14:paraId="5BEE58E4">
      <w:pPr>
        <w:numPr>
          <w:ilvl w:val="0"/>
          <w:numId w:val="78"/>
        </w:numPr>
        <w:bidi w:val="0"/>
        <w:spacing w:line="360" w:lineRule="auto"/>
        <w:rPr>
          <w:rFonts w:hint="eastAsia"/>
        </w:rPr>
      </w:pPr>
      <w:bookmarkStart w:id="157" w:name="_Toc17411"/>
      <w:r>
        <w:rPr>
          <w:rFonts w:hint="eastAsia"/>
        </w:rPr>
        <w:t>开标一览表（见附件）；</w:t>
      </w:r>
      <w:bookmarkEnd w:id="157"/>
    </w:p>
    <w:p w14:paraId="0369EE0A">
      <w:pPr>
        <w:numPr>
          <w:ilvl w:val="0"/>
          <w:numId w:val="78"/>
        </w:numPr>
        <w:bidi w:val="0"/>
        <w:spacing w:line="360" w:lineRule="auto"/>
        <w:rPr>
          <w:rFonts w:hint="eastAsia"/>
          <w:lang w:val="en-US" w:eastAsia="zh-CN"/>
        </w:rPr>
      </w:pPr>
      <w:bookmarkStart w:id="158" w:name="_Toc15490"/>
      <w:r>
        <w:rPr>
          <w:rFonts w:hint="eastAsia"/>
          <w:lang w:val="en-US" w:eastAsia="zh-CN"/>
        </w:rPr>
        <w:t>残疾人福利性单位声明函（视情提供，见附件）；</w:t>
      </w:r>
      <w:bookmarkEnd w:id="158"/>
    </w:p>
    <w:p w14:paraId="2C5DA2AB">
      <w:pPr>
        <w:numPr>
          <w:ilvl w:val="0"/>
          <w:numId w:val="78"/>
        </w:numPr>
        <w:bidi w:val="0"/>
        <w:spacing w:line="360" w:lineRule="auto"/>
        <w:rPr>
          <w:rFonts w:hint="eastAsia"/>
          <w:lang w:eastAsia="zh-CN"/>
        </w:rPr>
      </w:pPr>
      <w:bookmarkStart w:id="159" w:name="_Toc10955"/>
      <w:r>
        <w:rPr>
          <w:rFonts w:hint="eastAsia"/>
          <w:lang w:val="en-US" w:eastAsia="zh-CN"/>
        </w:rPr>
        <w:t>中小企业声明函（视情提供，见附件）；</w:t>
      </w:r>
      <w:bookmarkEnd w:id="159"/>
      <w:bookmarkStart w:id="160" w:name="_Toc21720"/>
    </w:p>
    <w:p w14:paraId="020CE427">
      <w:pPr>
        <w:numPr>
          <w:ilvl w:val="0"/>
          <w:numId w:val="78"/>
        </w:numPr>
        <w:bidi w:val="0"/>
        <w:spacing w:line="360" w:lineRule="auto"/>
        <w:rPr>
          <w:rFonts w:hint="eastAsia"/>
          <w:lang w:eastAsia="zh-CN"/>
        </w:rPr>
      </w:pPr>
      <w:r>
        <w:rPr>
          <w:rFonts w:hint="eastAsia"/>
        </w:rPr>
        <w:t>针对报价投标人认为其他需要说明的</w:t>
      </w:r>
      <w:r>
        <w:rPr>
          <w:rFonts w:hint="eastAsia"/>
          <w:lang w:eastAsia="zh-CN"/>
        </w:rPr>
        <w:t>。</w:t>
      </w:r>
      <w:bookmarkEnd w:id="160"/>
    </w:p>
    <w:p w14:paraId="35A21A6F">
      <w:pPr>
        <w:spacing w:line="360" w:lineRule="auto"/>
        <w:ind w:left="480"/>
        <w:outlineLvl w:val="9"/>
        <w:rPr>
          <w:rFonts w:hint="eastAsia" w:ascii="宋体" w:hAnsi="宋体" w:eastAsia="宋体" w:cs="宋体"/>
          <w:b/>
          <w:sz w:val="28"/>
        </w:rPr>
      </w:pPr>
    </w:p>
    <w:p w14:paraId="79C500D6">
      <w:pPr>
        <w:spacing w:line="360" w:lineRule="auto"/>
        <w:ind w:left="480"/>
        <w:outlineLvl w:val="9"/>
        <w:rPr>
          <w:rFonts w:hint="eastAsia" w:ascii="宋体" w:hAnsi="宋体" w:eastAsia="宋体" w:cs="宋体"/>
          <w:b/>
          <w:sz w:val="28"/>
        </w:rPr>
      </w:pPr>
    </w:p>
    <w:p w14:paraId="449E3313">
      <w:pPr>
        <w:spacing w:line="360" w:lineRule="auto"/>
        <w:ind w:left="480"/>
        <w:outlineLvl w:val="9"/>
        <w:rPr>
          <w:rFonts w:hint="eastAsia" w:ascii="宋体" w:hAnsi="宋体" w:eastAsia="宋体" w:cs="宋体"/>
          <w:b/>
          <w:sz w:val="28"/>
        </w:rPr>
      </w:pPr>
    </w:p>
    <w:p w14:paraId="04A927BE">
      <w:pPr>
        <w:spacing w:line="360" w:lineRule="auto"/>
        <w:ind w:left="480"/>
        <w:outlineLvl w:val="9"/>
        <w:rPr>
          <w:rFonts w:hint="eastAsia" w:ascii="宋体" w:hAnsi="宋体" w:eastAsia="宋体" w:cs="宋体"/>
          <w:b/>
          <w:sz w:val="28"/>
        </w:rPr>
      </w:pPr>
    </w:p>
    <w:p w14:paraId="728D5700">
      <w:pPr>
        <w:spacing w:line="360" w:lineRule="auto"/>
        <w:ind w:left="480"/>
        <w:outlineLvl w:val="9"/>
        <w:rPr>
          <w:rFonts w:hint="eastAsia" w:ascii="宋体" w:hAnsi="宋体" w:eastAsia="宋体" w:cs="宋体"/>
          <w:b/>
          <w:sz w:val="28"/>
        </w:rPr>
      </w:pPr>
    </w:p>
    <w:p w14:paraId="2280BBFD">
      <w:pPr>
        <w:spacing w:line="360" w:lineRule="auto"/>
        <w:ind w:left="480"/>
        <w:outlineLvl w:val="9"/>
        <w:rPr>
          <w:rFonts w:hint="eastAsia" w:ascii="宋体" w:hAnsi="宋体" w:eastAsia="宋体" w:cs="宋体"/>
          <w:b/>
          <w:sz w:val="28"/>
        </w:rPr>
      </w:pPr>
    </w:p>
    <w:p w14:paraId="2709EB4E">
      <w:pPr>
        <w:spacing w:line="360" w:lineRule="auto"/>
        <w:ind w:left="480"/>
        <w:outlineLvl w:val="9"/>
        <w:rPr>
          <w:rFonts w:hint="eastAsia" w:ascii="宋体" w:hAnsi="宋体" w:eastAsia="宋体" w:cs="宋体"/>
          <w:b/>
          <w:sz w:val="28"/>
        </w:rPr>
      </w:pPr>
    </w:p>
    <w:p w14:paraId="2F039803">
      <w:pPr>
        <w:spacing w:line="360" w:lineRule="auto"/>
        <w:ind w:left="480"/>
        <w:outlineLvl w:val="9"/>
        <w:rPr>
          <w:rFonts w:hint="eastAsia" w:ascii="宋体" w:hAnsi="宋体" w:eastAsia="宋体" w:cs="宋体"/>
          <w:b/>
          <w:sz w:val="28"/>
        </w:rPr>
      </w:pPr>
    </w:p>
    <w:p w14:paraId="5CD812D8">
      <w:pPr>
        <w:spacing w:line="360" w:lineRule="auto"/>
        <w:ind w:left="480"/>
        <w:outlineLvl w:val="9"/>
        <w:rPr>
          <w:rFonts w:hint="eastAsia" w:ascii="宋体" w:hAnsi="宋体" w:eastAsia="宋体" w:cs="宋体"/>
          <w:b/>
          <w:sz w:val="28"/>
        </w:rPr>
      </w:pPr>
    </w:p>
    <w:p w14:paraId="7E5984E8">
      <w:pPr>
        <w:spacing w:line="360" w:lineRule="auto"/>
        <w:ind w:left="480"/>
        <w:outlineLvl w:val="9"/>
        <w:rPr>
          <w:rFonts w:hint="eastAsia" w:ascii="宋体" w:hAnsi="宋体" w:eastAsia="宋体" w:cs="宋体"/>
          <w:b/>
          <w:sz w:val="28"/>
        </w:rPr>
      </w:pPr>
    </w:p>
    <w:p w14:paraId="6B9BD05F">
      <w:pPr>
        <w:spacing w:line="360" w:lineRule="auto"/>
        <w:ind w:left="480"/>
        <w:outlineLvl w:val="9"/>
        <w:rPr>
          <w:rFonts w:hint="eastAsia" w:ascii="宋体" w:hAnsi="宋体" w:eastAsia="宋体" w:cs="宋体"/>
          <w:b/>
          <w:sz w:val="28"/>
        </w:rPr>
      </w:pPr>
    </w:p>
    <w:p w14:paraId="2903C549">
      <w:pPr>
        <w:spacing w:line="360" w:lineRule="auto"/>
        <w:ind w:left="480"/>
        <w:outlineLvl w:val="9"/>
        <w:rPr>
          <w:rFonts w:hint="eastAsia" w:ascii="宋体" w:hAnsi="宋体" w:eastAsia="宋体" w:cs="宋体"/>
          <w:b/>
          <w:sz w:val="28"/>
        </w:rPr>
      </w:pPr>
    </w:p>
    <w:p w14:paraId="4A46B4F4">
      <w:pPr>
        <w:spacing w:line="360" w:lineRule="auto"/>
        <w:ind w:left="480"/>
        <w:outlineLvl w:val="9"/>
        <w:rPr>
          <w:rFonts w:hint="eastAsia" w:ascii="宋体" w:hAnsi="宋体" w:eastAsia="宋体" w:cs="宋体"/>
          <w:b/>
          <w:sz w:val="28"/>
        </w:rPr>
      </w:pPr>
    </w:p>
    <w:p w14:paraId="7E408EFF">
      <w:pPr>
        <w:spacing w:line="360" w:lineRule="auto"/>
        <w:ind w:left="480"/>
        <w:outlineLvl w:val="9"/>
        <w:rPr>
          <w:rFonts w:hint="eastAsia" w:ascii="宋体" w:hAnsi="宋体" w:eastAsia="宋体" w:cs="宋体"/>
          <w:b/>
          <w:sz w:val="28"/>
        </w:rPr>
      </w:pPr>
    </w:p>
    <w:p w14:paraId="7425FCFA">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20D18FAC">
      <w:pPr>
        <w:numPr>
          <w:ilvl w:val="0"/>
          <w:numId w:val="75"/>
        </w:numPr>
        <w:ind w:left="0" w:leftChars="0" w:firstLine="0" w:firstLineChars="0"/>
        <w:outlineLvl w:val="1"/>
        <w:rPr>
          <w:rFonts w:hint="default" w:ascii="宋体" w:hAnsi="宋体" w:eastAsia="宋体" w:cs="宋体"/>
          <w:b/>
          <w:sz w:val="28"/>
          <w:szCs w:val="28"/>
          <w:lang w:val="en-US" w:eastAsia="zh-CN"/>
        </w:rPr>
      </w:pPr>
      <w:bookmarkStart w:id="161" w:name="_Toc16046"/>
      <w:bookmarkEnd w:id="161"/>
    </w:p>
    <w:p w14:paraId="75313EC9">
      <w:pPr>
        <w:pStyle w:val="43"/>
        <w:spacing w:line="360" w:lineRule="auto"/>
        <w:ind w:right="480"/>
        <w:jc w:val="center"/>
        <w:outlineLvl w:val="1"/>
        <w:rPr>
          <w:rFonts w:hint="eastAsia" w:ascii="宋体" w:hAnsi="宋体" w:eastAsia="宋体" w:cs="宋体"/>
          <w:b/>
          <w:sz w:val="32"/>
          <w:szCs w:val="32"/>
        </w:rPr>
      </w:pPr>
      <w:bookmarkStart w:id="162" w:name="_Toc1449"/>
      <w:bookmarkStart w:id="163" w:name="_Toc3162"/>
      <w:r>
        <w:rPr>
          <w:rFonts w:hint="eastAsia" w:ascii="宋体" w:hAnsi="宋体" w:eastAsia="宋体" w:cs="宋体"/>
          <w:b/>
          <w:sz w:val="32"/>
          <w:szCs w:val="32"/>
        </w:rPr>
        <w:t>开标一览表</w:t>
      </w:r>
      <w:bookmarkEnd w:id="162"/>
      <w:bookmarkEnd w:id="163"/>
    </w:p>
    <w:p w14:paraId="599F6AB1">
      <w:pPr>
        <w:pStyle w:val="43"/>
        <w:spacing w:line="360" w:lineRule="auto"/>
        <w:ind w:right="480"/>
        <w:jc w:val="right"/>
        <w:outlineLvl w:val="9"/>
        <w:rPr>
          <w:rFonts w:hint="eastAsia" w:ascii="宋体" w:hAnsi="宋体" w:eastAsia="宋体" w:cs="宋体"/>
          <w:color w:val="000000"/>
          <w:sz w:val="24"/>
        </w:rPr>
      </w:pPr>
      <w:r>
        <w:rPr>
          <w:rFonts w:hint="eastAsia" w:ascii="宋体" w:hAnsi="宋体" w:eastAsia="宋体" w:cs="宋体"/>
          <w:sz w:val="24"/>
        </w:rPr>
        <w:t>[货币单位：人民币元]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389AA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3A12FAB">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投标总报价</w:t>
            </w:r>
            <w:r>
              <w:rPr>
                <w:rFonts w:hint="eastAsia" w:ascii="宋体" w:hAnsi="宋体" w:cs="宋体"/>
                <w:color w:val="000000"/>
                <w:sz w:val="24"/>
                <w:lang w:eastAsia="zh-CN"/>
              </w:rPr>
              <w:t>（</w:t>
            </w:r>
            <w:r>
              <w:rPr>
                <w:rFonts w:hint="eastAsia" w:ascii="宋体" w:hAnsi="宋体" w:eastAsia="宋体" w:cs="宋体"/>
                <w:color w:val="000000"/>
                <w:sz w:val="24"/>
              </w:rPr>
              <w:t>元</w:t>
            </w:r>
            <w:r>
              <w:rPr>
                <w:rFonts w:hint="eastAsia" w:ascii="宋体" w:hAnsi="宋体" w:cs="宋体"/>
                <w:color w:val="000000"/>
                <w:sz w:val="24"/>
                <w:lang w:eastAsia="zh-CN"/>
              </w:rPr>
              <w:t>）</w:t>
            </w:r>
          </w:p>
        </w:tc>
        <w:tc>
          <w:tcPr>
            <w:tcW w:w="1349" w:type="dxa"/>
            <w:tcBorders>
              <w:top w:val="single" w:color="auto" w:sz="12" w:space="0"/>
              <w:left w:val="single" w:color="auto" w:sz="4" w:space="0"/>
              <w:bottom w:val="single" w:color="auto" w:sz="4" w:space="0"/>
              <w:right w:val="single" w:color="auto" w:sz="4" w:space="0"/>
            </w:tcBorders>
            <w:vAlign w:val="center"/>
          </w:tcPr>
          <w:p w14:paraId="441F5061">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F904CED">
            <w:pPr>
              <w:autoSpaceDE w:val="0"/>
              <w:autoSpaceDN w:val="0"/>
              <w:spacing w:line="450" w:lineRule="exact"/>
              <w:jc w:val="center"/>
              <w:textAlignment w:val="bottom"/>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保留整数</w:t>
            </w:r>
          </w:p>
        </w:tc>
      </w:tr>
      <w:tr w14:paraId="6585AD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20A4949">
            <w:pPr>
              <w:outlineLvl w:val="9"/>
              <w:rPr>
                <w:rFonts w:hint="eastAsia" w:ascii="宋体" w:hAnsi="宋体" w:eastAsia="宋体" w:cs="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42144FA7">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1AF0523">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cs="宋体"/>
                <w:color w:val="000000"/>
                <w:sz w:val="24"/>
                <w:lang w:val="en-US" w:eastAsia="zh-CN"/>
              </w:rPr>
              <w:t>保留整数</w:t>
            </w:r>
          </w:p>
        </w:tc>
      </w:tr>
    </w:tbl>
    <w:p w14:paraId="3B92EBEE">
      <w:pPr>
        <w:spacing w:line="360" w:lineRule="auto"/>
        <w:ind w:left="480"/>
        <w:outlineLvl w:val="9"/>
        <w:rPr>
          <w:rFonts w:hint="eastAsia" w:ascii="宋体" w:hAnsi="宋体" w:eastAsia="宋体" w:cs="宋体"/>
          <w:b/>
          <w:sz w:val="30"/>
        </w:rPr>
      </w:pPr>
    </w:p>
    <w:p w14:paraId="4D88E98B">
      <w:pPr>
        <w:spacing w:line="360" w:lineRule="auto"/>
        <w:outlineLvl w:val="9"/>
        <w:rPr>
          <w:rFonts w:hint="eastAsia" w:ascii="宋体" w:hAnsi="宋体" w:eastAsia="宋体" w:cs="宋体"/>
          <w:sz w:val="24"/>
        </w:rPr>
      </w:pPr>
      <w:r>
        <w:rPr>
          <w:rFonts w:hint="eastAsia" w:ascii="宋体" w:hAnsi="宋体" w:eastAsia="宋体" w:cs="宋体"/>
          <w:b/>
          <w:szCs w:val="21"/>
        </w:rPr>
        <w:t>填报要求：</w:t>
      </w:r>
    </w:p>
    <w:p w14:paraId="23AD6C99">
      <w:pPr>
        <w:pStyle w:val="6"/>
        <w:numPr>
          <w:ilvl w:val="0"/>
          <w:numId w:val="79"/>
        </w:numPr>
        <w:spacing w:line="360" w:lineRule="auto"/>
        <w:ind w:left="0" w:leftChars="0" w:firstLine="420" w:firstLineChars="200"/>
        <w:outlineLvl w:val="9"/>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总报价：有关本项目实施所需的所有费用（含税费）均计入报价。</w:t>
      </w:r>
    </w:p>
    <w:p w14:paraId="051B9C54">
      <w:pPr>
        <w:numPr>
          <w:ilvl w:val="0"/>
          <w:numId w:val="79"/>
        </w:numPr>
        <w:spacing w:line="360" w:lineRule="auto"/>
        <w:ind w:left="0" w:leftChars="0" w:firstLine="420" w:firstLineChars="200"/>
        <w:outlineLvl w:val="9"/>
        <w:rPr>
          <w:rFonts w:hint="eastAsia" w:ascii="宋体" w:hAnsi="宋体" w:eastAsia="宋体" w:cs="宋体"/>
          <w:kern w:val="0"/>
          <w:szCs w:val="21"/>
        </w:rPr>
      </w:pPr>
      <w:r>
        <w:rPr>
          <w:rFonts w:hint="eastAsia" w:ascii="宋体" w:hAnsi="宋体" w:eastAsia="宋体" w:cs="宋体"/>
          <w:kern w:val="0"/>
          <w:szCs w:val="21"/>
        </w:rPr>
        <w:t>报价一经涂改，应在涂改处加盖单位公章，或者由</w:t>
      </w:r>
      <w:r>
        <w:rPr>
          <w:rFonts w:hint="eastAsia" w:ascii="宋体" w:hAnsi="宋体" w:cs="宋体"/>
          <w:kern w:val="0"/>
          <w:szCs w:val="21"/>
          <w:lang w:eastAsia="zh-CN"/>
        </w:rPr>
        <w:t>负责人</w:t>
      </w:r>
      <w:r>
        <w:rPr>
          <w:rFonts w:hint="eastAsia" w:ascii="宋体" w:hAnsi="宋体" w:eastAsia="宋体" w:cs="宋体"/>
          <w:kern w:val="0"/>
          <w:szCs w:val="21"/>
        </w:rPr>
        <w:t>或全权代表</w:t>
      </w:r>
      <w:r>
        <w:rPr>
          <w:rFonts w:hint="eastAsia" w:ascii="宋体" w:hAnsi="宋体" w:cs="宋体"/>
          <w:kern w:val="0"/>
          <w:szCs w:val="21"/>
          <w:lang w:eastAsia="zh-CN"/>
        </w:rPr>
        <w:t>签字或签章</w:t>
      </w:r>
      <w:r>
        <w:rPr>
          <w:rFonts w:hint="eastAsia" w:ascii="宋体" w:hAnsi="宋体" w:eastAsia="宋体" w:cs="宋体"/>
          <w:kern w:val="0"/>
          <w:szCs w:val="21"/>
        </w:rPr>
        <w:t>，否则其投标作无效标处理。</w:t>
      </w:r>
    </w:p>
    <w:p w14:paraId="31FFCA67">
      <w:pPr>
        <w:pStyle w:val="6"/>
        <w:numPr>
          <w:ilvl w:val="0"/>
          <w:numId w:val="79"/>
        </w:numPr>
        <w:spacing w:line="360" w:lineRule="auto"/>
        <w:ind w:left="0" w:leftChars="0" w:firstLine="422" w:firstLineChars="200"/>
        <w:rPr>
          <w:rFonts w:hint="default" w:eastAsia="宋体"/>
          <w:b/>
          <w:bCs/>
          <w:lang w:val="en-US" w:eastAsia="zh-CN"/>
        </w:rPr>
      </w:pP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报价未保留整数</w:t>
      </w:r>
      <w:r>
        <w:rPr>
          <w:rFonts w:hint="eastAsia" w:ascii="宋体" w:hAnsi="宋体" w:cs="宋体"/>
          <w:b/>
          <w:bCs/>
          <w:color w:val="000000"/>
          <w:sz w:val="21"/>
          <w:szCs w:val="21"/>
          <w:lang w:eastAsia="zh-CN"/>
        </w:rPr>
        <w:t>的</w:t>
      </w:r>
      <w:r>
        <w:rPr>
          <w:rFonts w:hint="eastAsia" w:ascii="宋体" w:hAnsi="宋体" w:cs="宋体"/>
          <w:b/>
          <w:bCs/>
          <w:kern w:val="0"/>
          <w:szCs w:val="21"/>
          <w:lang w:val="en-US" w:eastAsia="zh-CN"/>
        </w:rPr>
        <w:t>，采用四舍五入计取并由投标人书面澄清。未按要求进行书面澄清的，作无效标处理。供应商不得随意删除和改动上述内容。</w:t>
      </w:r>
    </w:p>
    <w:p w14:paraId="6BF8BB73">
      <w:pPr>
        <w:spacing w:line="360" w:lineRule="auto"/>
        <w:ind w:left="420"/>
        <w:outlineLvl w:val="9"/>
        <w:rPr>
          <w:rFonts w:hint="eastAsia" w:ascii="宋体" w:hAnsi="宋体" w:eastAsia="宋体" w:cs="宋体"/>
          <w:sz w:val="24"/>
        </w:rPr>
      </w:pPr>
    </w:p>
    <w:p w14:paraId="2F553BA1">
      <w:pPr>
        <w:spacing w:line="360" w:lineRule="auto"/>
        <w:ind w:left="420"/>
        <w:outlineLvl w:val="9"/>
        <w:rPr>
          <w:rFonts w:hint="eastAsia" w:ascii="宋体" w:hAnsi="宋体" w:eastAsia="宋体" w:cs="宋体"/>
          <w:sz w:val="24"/>
        </w:rPr>
      </w:pPr>
    </w:p>
    <w:p w14:paraId="40D70C6A">
      <w:pPr>
        <w:spacing w:line="360" w:lineRule="auto"/>
        <w:outlineLvl w:val="9"/>
        <w:rPr>
          <w:rFonts w:hint="eastAsia" w:ascii="宋体" w:hAnsi="宋体" w:eastAsia="宋体" w:cs="宋体"/>
          <w:sz w:val="24"/>
        </w:rPr>
      </w:pPr>
    </w:p>
    <w:p w14:paraId="479B892D">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w:t>
      </w:r>
      <w:r>
        <w:rPr>
          <w:rFonts w:hint="eastAsia" w:ascii="宋体" w:hAnsi="宋体" w:eastAsia="宋体" w:cs="宋体"/>
          <w:color w:val="FF0000"/>
          <w:spacing w:val="6"/>
          <w:sz w:val="24"/>
          <w:lang w:val="en-US" w:eastAsia="zh-CN"/>
        </w:rPr>
        <w:t>CA签章</w:t>
      </w:r>
      <w:r>
        <w:rPr>
          <w:rFonts w:hint="eastAsia" w:ascii="宋体" w:hAnsi="宋体" w:eastAsia="宋体" w:cs="宋体"/>
          <w:color w:val="FF0000"/>
          <w:spacing w:val="6"/>
          <w:sz w:val="24"/>
        </w:rPr>
        <w:t>）：</w:t>
      </w:r>
    </w:p>
    <w:p w14:paraId="106B9FEC">
      <w:pPr>
        <w:spacing w:line="360" w:lineRule="auto"/>
        <w:ind w:left="420"/>
        <w:outlineLvl w:val="9"/>
        <w:rPr>
          <w:rFonts w:hint="eastAsia" w:ascii="宋体" w:hAnsi="宋体" w:eastAsia="宋体" w:cs="宋体"/>
          <w:color w:val="FF0000"/>
          <w:spacing w:val="6"/>
          <w:sz w:val="24"/>
          <w:lang w:eastAsia="zh-CN"/>
        </w:rPr>
      </w:pPr>
      <w:r>
        <w:rPr>
          <w:rFonts w:hint="eastAsia" w:ascii="宋体" w:hAnsi="宋体" w:eastAsia="宋体" w:cs="宋体"/>
          <w:color w:val="FF0000"/>
          <w:spacing w:val="6"/>
          <w:sz w:val="24"/>
        </w:rPr>
        <w:t>日期：</w:t>
      </w:r>
      <w:r>
        <w:rPr>
          <w:rFonts w:hint="eastAsia" w:ascii="宋体" w:hAnsi="宋体" w:cs="宋体"/>
          <w:color w:val="FF0000"/>
          <w:spacing w:val="6"/>
          <w:sz w:val="24"/>
          <w:lang w:eastAsia="zh-CN"/>
        </w:rPr>
        <w:t>2025年</w:t>
      </w:r>
      <w:r>
        <w:rPr>
          <w:rFonts w:hint="eastAsia" w:ascii="宋体" w:hAnsi="宋体" w:eastAsia="宋体" w:cs="宋体"/>
          <w:color w:val="FF0000"/>
          <w:spacing w:val="6"/>
          <w:sz w:val="24"/>
          <w:lang w:eastAsia="zh-CN"/>
        </w:rPr>
        <w:t>××月××日</w:t>
      </w:r>
    </w:p>
    <w:p w14:paraId="36CFD6D6">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7EF14C45">
      <w:pPr>
        <w:numPr>
          <w:ilvl w:val="0"/>
          <w:numId w:val="75"/>
        </w:numPr>
        <w:ind w:left="0" w:leftChars="0" w:firstLine="0" w:firstLineChars="0"/>
        <w:outlineLvl w:val="1"/>
        <w:rPr>
          <w:rFonts w:hint="default" w:ascii="宋体" w:hAnsi="宋体" w:eastAsia="宋体" w:cs="宋体"/>
          <w:b/>
          <w:sz w:val="28"/>
          <w:szCs w:val="28"/>
          <w:lang w:val="en-US" w:eastAsia="zh-CN"/>
        </w:rPr>
      </w:pPr>
      <w:bookmarkStart w:id="164" w:name="_Toc25116"/>
      <w:bookmarkEnd w:id="164"/>
    </w:p>
    <w:p w14:paraId="0CF5932A">
      <w:pPr>
        <w:numPr>
          <w:ilvl w:val="0"/>
          <w:numId w:val="0"/>
        </w:numPr>
        <w:bidi w:val="0"/>
        <w:ind w:leftChars="0"/>
        <w:jc w:val="center"/>
        <w:outlineLvl w:val="1"/>
        <w:rPr>
          <w:rFonts w:hint="eastAsia" w:ascii="宋体" w:hAnsi="宋体" w:eastAsia="宋体" w:cs="宋体"/>
          <w:b/>
          <w:kern w:val="2"/>
          <w:sz w:val="32"/>
          <w:szCs w:val="32"/>
          <w:lang w:val="en-GB" w:eastAsia="zh-CN" w:bidi="ar-SA"/>
        </w:rPr>
      </w:pPr>
      <w:bookmarkStart w:id="165" w:name="_Toc10922"/>
      <w:bookmarkEnd w:id="165"/>
      <w:bookmarkStart w:id="166" w:name="_Toc18275"/>
      <w:bookmarkStart w:id="167" w:name="_Toc11149"/>
      <w:r>
        <w:rPr>
          <w:rFonts w:hint="eastAsia" w:ascii="宋体" w:hAnsi="宋体" w:cs="宋体"/>
          <w:b/>
          <w:kern w:val="2"/>
          <w:sz w:val="32"/>
          <w:szCs w:val="32"/>
          <w:lang w:val="en-US" w:eastAsia="zh-CN" w:bidi="ar-SA"/>
        </w:rPr>
        <w:t>中小企业声明函</w:t>
      </w:r>
      <w:bookmarkEnd w:id="166"/>
      <w:bookmarkEnd w:id="167"/>
    </w:p>
    <w:p w14:paraId="3BB08CD4">
      <w:pPr>
        <w:spacing w:line="360" w:lineRule="auto"/>
        <w:outlineLvl w:val="9"/>
        <w:rPr>
          <w:rFonts w:hint="eastAsia" w:ascii="宋体" w:hAnsi="宋体" w:eastAsia="宋体" w:cs="宋体"/>
          <w:sz w:val="24"/>
          <w:szCs w:val="24"/>
        </w:rPr>
      </w:pPr>
    </w:p>
    <w:p w14:paraId="0A9DD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cs="宋体"/>
          <w:b/>
          <w:bCs/>
          <w:color w:val="auto"/>
          <w:sz w:val="24"/>
          <w:szCs w:val="24"/>
          <w:u w:val="single"/>
          <w:lang w:eastAsia="zh-CN"/>
        </w:rPr>
        <w:t>台州市自然资源和规划局</w:t>
      </w:r>
      <w:r>
        <w:rPr>
          <w:rFonts w:hint="eastAsia" w:ascii="宋体" w:hAnsi="宋体" w:eastAsia="宋体" w:cs="宋体"/>
          <w:sz w:val="24"/>
          <w:szCs w:val="24"/>
        </w:rPr>
        <w:t>的</w:t>
      </w:r>
      <w:r>
        <w:rPr>
          <w:rFonts w:hint="eastAsia" w:ascii="宋体" w:hAnsi="宋体" w:cs="宋体"/>
          <w:b/>
          <w:bCs/>
          <w:color w:val="auto"/>
          <w:sz w:val="24"/>
          <w:szCs w:val="24"/>
          <w:u w:val="single"/>
          <w:lang w:eastAsia="zh-CN"/>
        </w:rPr>
        <w:t>2025年台州市海洋观测站点日常运行维护项目</w:t>
      </w:r>
      <w:r>
        <w:rPr>
          <w:rFonts w:hint="eastAsia" w:ascii="宋体" w:hAnsi="宋体" w:eastAsia="宋体" w:cs="宋体"/>
          <w:sz w:val="24"/>
          <w:szCs w:val="24"/>
        </w:rPr>
        <w:t>采购活动，</w:t>
      </w:r>
      <w:r>
        <w:rPr>
          <w:rFonts w:hint="eastAsia" w:ascii="宋体" w:hAnsi="宋体" w:eastAsia="宋体" w:cs="宋体"/>
          <w:color w:val="auto"/>
          <w:sz w:val="24"/>
          <w:szCs w:val="24"/>
        </w:rPr>
        <w:t>服务全部由符合政策要求的</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rPr>
        <w:t>企业承接。相关企业（含联合体中的</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rPr>
        <w:t>企业、</w:t>
      </w:r>
      <w:r>
        <w:rPr>
          <w:rFonts w:hint="eastAsia" w:ascii="宋体" w:hAnsi="宋体" w:eastAsia="宋体" w:cs="宋体"/>
          <w:sz w:val="24"/>
          <w:szCs w:val="24"/>
        </w:rPr>
        <w:t>签订分包意向协议的</w:t>
      </w:r>
      <w:r>
        <w:rPr>
          <w:rFonts w:hint="eastAsia" w:ascii="宋体" w:hAnsi="宋体" w:cs="宋体"/>
          <w:sz w:val="24"/>
          <w:szCs w:val="24"/>
          <w:lang w:val="en-US" w:eastAsia="zh-CN"/>
        </w:rPr>
        <w:t>小微</w:t>
      </w:r>
      <w:r>
        <w:rPr>
          <w:rFonts w:hint="eastAsia" w:ascii="宋体" w:hAnsi="宋体" w:eastAsia="宋体" w:cs="宋体"/>
          <w:sz w:val="24"/>
          <w:szCs w:val="24"/>
        </w:rPr>
        <w:t>企业）的具体情况如下：</w:t>
      </w:r>
    </w:p>
    <w:p w14:paraId="45744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color w:val="auto"/>
          <w:sz w:val="24"/>
          <w:szCs w:val="24"/>
          <w:u w:val="single"/>
          <w:lang w:eastAsia="zh-CN"/>
        </w:rPr>
        <w:t>2025年台州市海洋观测站点日常运行维护项目</w:t>
      </w:r>
      <w:r>
        <w:rPr>
          <w:rFonts w:hint="eastAsia" w:ascii="宋体" w:hAnsi="宋体" w:eastAsia="宋体" w:cs="宋体"/>
          <w:sz w:val="24"/>
          <w:szCs w:val="24"/>
        </w:rPr>
        <w:t>，属于</w:t>
      </w:r>
      <w:r>
        <w:rPr>
          <w:rFonts w:hint="eastAsia" w:ascii="宋体" w:hAnsi="宋体" w:eastAsia="宋体" w:cs="宋体"/>
          <w:color w:val="auto"/>
          <w:sz w:val="24"/>
          <w:szCs w:val="24"/>
          <w:u w:val="single"/>
        </w:rPr>
        <w:t>其他未列明行业</w:t>
      </w:r>
      <w:r>
        <w:rPr>
          <w:rFonts w:hint="eastAsia" w:ascii="宋体" w:hAnsi="宋体" w:eastAsia="宋体" w:cs="宋体"/>
          <w:sz w:val="24"/>
          <w:szCs w:val="24"/>
        </w:rPr>
        <w:t>；承建（承接）企业为</w:t>
      </w:r>
      <w:r>
        <w:rPr>
          <w:rFonts w:hint="eastAsia" w:ascii="宋体" w:hAnsi="宋体" w:eastAsia="宋体" w:cs="宋体"/>
          <w:color w:val="FF0000"/>
          <w:sz w:val="24"/>
          <w:szCs w:val="24"/>
        </w:rPr>
        <w:t>（</w:t>
      </w:r>
      <w:r>
        <w:rPr>
          <w:rFonts w:hint="eastAsia" w:ascii="宋体" w:hAnsi="宋体" w:eastAsia="宋体" w:cs="宋体"/>
          <w:color w:val="00B050"/>
          <w:sz w:val="24"/>
          <w:szCs w:val="24"/>
        </w:rPr>
        <w:t>企业名称</w:t>
      </w:r>
      <w:r>
        <w:rPr>
          <w:rFonts w:hint="eastAsia" w:ascii="宋体" w:hAnsi="宋体" w:eastAsia="宋体" w:cs="宋体"/>
          <w:color w:val="FF0000"/>
          <w:sz w:val="24"/>
          <w:szCs w:val="24"/>
        </w:rPr>
        <w:t>）</w:t>
      </w:r>
      <w:r>
        <w:rPr>
          <w:rFonts w:hint="eastAsia" w:ascii="宋体" w:hAnsi="宋体" w:eastAsia="宋体" w:cs="宋体"/>
          <w:sz w:val="24"/>
          <w:szCs w:val="24"/>
        </w:rPr>
        <w:t>，从业人员</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人，营业收入为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万元，资产总额为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万元，属于</w:t>
      </w:r>
      <w:r>
        <w:rPr>
          <w:rFonts w:hint="eastAsia" w:ascii="宋体" w:hAnsi="宋体" w:eastAsia="宋体" w:cs="宋体"/>
          <w:color w:val="FF0000"/>
          <w:sz w:val="24"/>
          <w:szCs w:val="24"/>
        </w:rPr>
        <w:t>（</w:t>
      </w:r>
      <w:r>
        <w:rPr>
          <w:rFonts w:hint="eastAsia" w:ascii="宋体" w:hAnsi="宋体" w:eastAsia="宋体" w:cs="宋体"/>
          <w:color w:val="00B050"/>
          <w:sz w:val="24"/>
          <w:szCs w:val="24"/>
        </w:rPr>
        <w:t>小型企业、微型企业</w:t>
      </w:r>
      <w:r>
        <w:rPr>
          <w:rFonts w:hint="eastAsia" w:ascii="宋体" w:hAnsi="宋体" w:eastAsia="宋体" w:cs="宋体"/>
          <w:color w:val="FF0000"/>
          <w:sz w:val="24"/>
          <w:szCs w:val="24"/>
        </w:rPr>
        <w:t>）</w:t>
      </w:r>
      <w:r>
        <w:rPr>
          <w:rFonts w:hint="eastAsia" w:ascii="宋体" w:hAnsi="宋体" w:eastAsia="宋体" w:cs="宋体"/>
          <w:sz w:val="24"/>
          <w:szCs w:val="24"/>
        </w:rPr>
        <w:t>；</w:t>
      </w:r>
    </w:p>
    <w:p w14:paraId="1825B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14:paraId="6C32CD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15D3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7E0D6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rPr>
        <w:t>▲</w:t>
      </w:r>
      <w:r>
        <w:rPr>
          <w:rFonts w:hint="eastAsia" w:ascii="宋体" w:hAnsi="宋体" w:eastAsia="宋体" w:cs="宋体"/>
          <w:b/>
          <w:bCs/>
          <w:sz w:val="24"/>
          <w:szCs w:val="24"/>
        </w:rPr>
        <w:t>《中小企业声明函》填写行业错误或者未填写行业的</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投标无效。</w:t>
      </w:r>
    </w:p>
    <w:p w14:paraId="5E900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5D86F4B8">
      <w:pPr>
        <w:spacing w:line="360" w:lineRule="auto"/>
        <w:jc w:val="right"/>
        <w:outlineLvl w:val="9"/>
        <w:rPr>
          <w:rFonts w:hint="eastAsia" w:ascii="宋体" w:hAnsi="宋体" w:eastAsia="宋体" w:cs="宋体"/>
          <w:sz w:val="24"/>
          <w:szCs w:val="24"/>
        </w:rPr>
      </w:pPr>
    </w:p>
    <w:p w14:paraId="7FA75C56">
      <w:pPr>
        <w:spacing w:line="360" w:lineRule="auto"/>
        <w:ind w:left="420"/>
        <w:outlineLvl w:val="9"/>
        <w:rPr>
          <w:rFonts w:hint="eastAsia" w:ascii="宋体" w:hAnsi="宋体" w:eastAsia="宋体" w:cs="宋体"/>
          <w:color w:val="FF0000"/>
          <w:spacing w:val="6"/>
          <w:sz w:val="24"/>
        </w:rPr>
      </w:pPr>
      <w:r>
        <w:rPr>
          <w:rFonts w:hint="eastAsia" w:ascii="宋体" w:hAnsi="宋体" w:cs="宋体"/>
          <w:color w:val="FF0000"/>
          <w:spacing w:val="6"/>
          <w:sz w:val="24"/>
          <w:lang w:eastAsia="zh-CN"/>
        </w:rPr>
        <w:t>供应商（CA签章）</w:t>
      </w:r>
      <w:r>
        <w:rPr>
          <w:rFonts w:hint="eastAsia" w:ascii="宋体" w:hAnsi="宋体" w:eastAsia="宋体" w:cs="宋体"/>
          <w:color w:val="FF0000"/>
          <w:spacing w:val="6"/>
          <w:sz w:val="24"/>
        </w:rPr>
        <w:t>：</w:t>
      </w:r>
    </w:p>
    <w:p w14:paraId="67197A41">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日期：</w:t>
      </w:r>
      <w:r>
        <w:rPr>
          <w:rFonts w:hint="eastAsia" w:ascii="宋体" w:hAnsi="宋体" w:cs="宋体"/>
          <w:color w:val="FF0000"/>
          <w:spacing w:val="6"/>
          <w:sz w:val="24"/>
          <w:lang w:val="en-US" w:eastAsia="zh-CN"/>
        </w:rPr>
        <w:t>2025年</w:t>
      </w:r>
      <w:r>
        <w:rPr>
          <w:rFonts w:hint="eastAsia" w:ascii="宋体" w:hAnsi="宋体" w:eastAsia="宋体" w:cs="宋体"/>
          <w:color w:val="FF0000"/>
          <w:spacing w:val="6"/>
          <w:sz w:val="24"/>
        </w:rPr>
        <w:t>××月××日</w:t>
      </w:r>
    </w:p>
    <w:p w14:paraId="7E82D15A">
      <w:pPr>
        <w:spacing w:line="360" w:lineRule="auto"/>
        <w:outlineLvl w:val="9"/>
        <w:rPr>
          <w:rFonts w:hint="eastAsia" w:ascii="宋体" w:hAnsi="宋体" w:eastAsia="宋体" w:cs="宋体"/>
          <w:sz w:val="24"/>
          <w:szCs w:val="24"/>
        </w:rPr>
      </w:pPr>
    </w:p>
    <w:p w14:paraId="7C79686E">
      <w:pPr>
        <w:spacing w:line="360" w:lineRule="auto"/>
        <w:outlineLvl w:val="9"/>
        <w:rPr>
          <w:rFonts w:hint="eastAsia" w:ascii="宋体" w:hAnsi="宋体" w:eastAsia="宋体" w:cs="宋体"/>
          <w:sz w:val="24"/>
          <w:szCs w:val="24"/>
        </w:rPr>
      </w:pPr>
    </w:p>
    <w:p w14:paraId="46071E14">
      <w:pPr>
        <w:pStyle w:val="6"/>
        <w:jc w:val="left"/>
        <w:outlineLvl w:val="9"/>
        <w:rPr>
          <w:rFonts w:hint="eastAsia" w:eastAsia="宋体"/>
          <w:lang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从业人员、营业收入、资产总额填报上一年度数据，无上一年度数据的新成立企业可不填报</w:t>
      </w:r>
      <w:r>
        <w:rPr>
          <w:rFonts w:hint="eastAsia" w:ascii="宋体" w:hAnsi="宋体" w:cs="宋体"/>
          <w:sz w:val="24"/>
          <w:szCs w:val="24"/>
          <w:lang w:eastAsia="zh-CN"/>
        </w:rPr>
        <w:t>。</w:t>
      </w:r>
    </w:p>
    <w:p w14:paraId="2D4D51C3">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7361A67F">
      <w:pPr>
        <w:numPr>
          <w:ilvl w:val="0"/>
          <w:numId w:val="75"/>
        </w:numPr>
        <w:ind w:left="0" w:leftChars="0" w:firstLine="0" w:firstLineChars="0"/>
        <w:outlineLvl w:val="1"/>
        <w:rPr>
          <w:rFonts w:hint="eastAsia" w:ascii="宋体" w:hAnsi="宋体" w:eastAsia="宋体" w:cs="宋体"/>
          <w:b/>
          <w:sz w:val="28"/>
          <w:szCs w:val="28"/>
          <w:lang w:eastAsia="zh-CN"/>
        </w:rPr>
      </w:pPr>
      <w:bookmarkStart w:id="168" w:name="_Toc11549"/>
      <w:bookmarkEnd w:id="168"/>
    </w:p>
    <w:p w14:paraId="5E8FEC30">
      <w:pPr>
        <w:pStyle w:val="13"/>
        <w:spacing w:line="360" w:lineRule="auto"/>
        <w:jc w:val="center"/>
        <w:outlineLvl w:val="1"/>
        <w:rPr>
          <w:rFonts w:hint="eastAsia" w:ascii="宋体" w:hAnsi="宋体" w:eastAsia="宋体" w:cs="宋体"/>
          <w:b/>
          <w:sz w:val="32"/>
          <w:szCs w:val="32"/>
          <w:lang w:val="en-GB" w:eastAsia="zh-CN"/>
        </w:rPr>
      </w:pPr>
      <w:bookmarkStart w:id="169" w:name="_Toc18195"/>
      <w:bookmarkStart w:id="170" w:name="_Toc31682"/>
      <w:r>
        <w:rPr>
          <w:rFonts w:hint="eastAsia" w:ascii="宋体" w:hAnsi="宋体" w:eastAsia="宋体" w:cs="宋体"/>
          <w:b/>
          <w:sz w:val="32"/>
          <w:szCs w:val="32"/>
          <w:lang w:val="en-GB"/>
        </w:rPr>
        <w:t>残疾人福利性单位声明函</w:t>
      </w:r>
      <w:bookmarkEnd w:id="169"/>
      <w:bookmarkEnd w:id="170"/>
    </w:p>
    <w:p w14:paraId="2AEB1621">
      <w:pPr>
        <w:spacing w:line="588" w:lineRule="exact"/>
        <w:ind w:firstLine="504" w:firstLineChars="200"/>
        <w:outlineLvl w:val="9"/>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cs="宋体"/>
          <w:spacing w:val="6"/>
          <w:sz w:val="24"/>
          <w:lang w:eastAsia="zh-CN"/>
        </w:rPr>
        <w:t>〔2017〕141号</w:t>
      </w:r>
      <w:r>
        <w:rPr>
          <w:rFonts w:hint="eastAsia" w:ascii="宋体" w:hAnsi="宋体" w:eastAsia="宋体" w:cs="宋体"/>
          <w:spacing w:val="6"/>
          <w:sz w:val="24"/>
        </w:rPr>
        <w:t>）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3BA0FEC">
      <w:pPr>
        <w:spacing w:line="588" w:lineRule="exact"/>
        <w:ind w:firstLine="504" w:firstLineChars="200"/>
        <w:outlineLvl w:val="9"/>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14:paraId="0AE3E0C6">
      <w:pPr>
        <w:tabs>
          <w:tab w:val="left" w:pos="4860"/>
        </w:tabs>
        <w:spacing w:line="588" w:lineRule="exact"/>
        <w:ind w:right="1560" w:firstLine="504" w:firstLineChars="200"/>
        <w:jc w:val="center"/>
        <w:outlineLvl w:val="9"/>
        <w:rPr>
          <w:rFonts w:hint="eastAsia" w:ascii="宋体" w:hAnsi="宋体" w:eastAsia="宋体" w:cs="宋体"/>
          <w:spacing w:val="6"/>
          <w:sz w:val="24"/>
        </w:rPr>
      </w:pPr>
    </w:p>
    <w:p w14:paraId="0216F0EA">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w:t>
      </w:r>
      <w:r>
        <w:rPr>
          <w:rFonts w:hint="eastAsia" w:ascii="宋体" w:hAnsi="宋体" w:eastAsia="宋体" w:cs="宋体"/>
          <w:color w:val="FF0000"/>
          <w:spacing w:val="6"/>
          <w:sz w:val="24"/>
          <w:lang w:val="en-US" w:eastAsia="zh-CN"/>
        </w:rPr>
        <w:t>CA签章</w:t>
      </w:r>
      <w:r>
        <w:rPr>
          <w:rFonts w:hint="eastAsia" w:ascii="宋体" w:hAnsi="宋体" w:eastAsia="宋体" w:cs="宋体"/>
          <w:color w:val="FF0000"/>
          <w:spacing w:val="6"/>
          <w:sz w:val="24"/>
        </w:rPr>
        <w:t>）：</w:t>
      </w:r>
    </w:p>
    <w:p w14:paraId="225348E7">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日期：</w:t>
      </w:r>
      <w:r>
        <w:rPr>
          <w:rFonts w:hint="eastAsia" w:ascii="宋体" w:hAnsi="宋体" w:cs="宋体"/>
          <w:color w:val="FF0000"/>
          <w:spacing w:val="6"/>
          <w:sz w:val="24"/>
          <w:lang w:val="en-US" w:eastAsia="zh-CN"/>
        </w:rPr>
        <w:t>2025年</w:t>
      </w:r>
      <w:r>
        <w:rPr>
          <w:rFonts w:hint="eastAsia" w:ascii="宋体" w:hAnsi="宋体" w:eastAsia="宋体" w:cs="宋体"/>
          <w:color w:val="FF0000"/>
          <w:spacing w:val="6"/>
          <w:sz w:val="24"/>
        </w:rPr>
        <w:t>××月××日</w:t>
      </w:r>
    </w:p>
    <w:p w14:paraId="35A7DABF">
      <w:pPr>
        <w:rPr>
          <w:rFonts w:hint="eastAsia" w:ascii="宋体" w:hAnsi="宋体" w:eastAsia="宋体" w:cs="宋体"/>
          <w:b/>
          <w:sz w:val="28"/>
          <w:szCs w:val="28"/>
        </w:rPr>
      </w:pPr>
      <w:r>
        <w:rPr>
          <w:rFonts w:hint="eastAsia" w:ascii="宋体" w:hAnsi="宋体" w:eastAsia="宋体" w:cs="宋体"/>
          <w:b/>
          <w:sz w:val="28"/>
          <w:szCs w:val="28"/>
        </w:rPr>
        <w:br w:type="page"/>
      </w:r>
    </w:p>
    <w:p w14:paraId="46A6F7A3">
      <w:pPr>
        <w:numPr>
          <w:ilvl w:val="0"/>
          <w:numId w:val="75"/>
        </w:numPr>
        <w:ind w:left="0" w:leftChars="0" w:firstLine="0" w:firstLineChars="0"/>
        <w:outlineLvl w:val="1"/>
        <w:rPr>
          <w:rFonts w:hint="eastAsia" w:ascii="宋体" w:hAnsi="宋体" w:eastAsia="宋体" w:cs="宋体"/>
          <w:b/>
          <w:sz w:val="28"/>
          <w:szCs w:val="28"/>
          <w:lang w:val="en-GB" w:eastAsia="zh-CN"/>
        </w:rPr>
        <w:sectPr>
          <w:headerReference r:id="rId6" w:type="default"/>
          <w:pgSz w:w="11906" w:h="16838"/>
          <w:pgMar w:top="1440" w:right="1803" w:bottom="1440" w:left="1803" w:header="851" w:footer="992" w:gutter="0"/>
          <w:pgNumType w:fmt="decimal"/>
          <w:cols w:space="0" w:num="1"/>
          <w:rtlGutter w:val="0"/>
          <w:docGrid w:type="lines" w:linePitch="319" w:charSpace="0"/>
        </w:sectPr>
      </w:pPr>
      <w:bookmarkStart w:id="171" w:name="_Toc14408"/>
    </w:p>
    <w:bookmarkEnd w:id="171"/>
    <w:tbl>
      <w:tblPr>
        <w:tblStyle w:val="21"/>
        <w:tblW w:w="5000" w:type="pct"/>
        <w:jc w:val="center"/>
        <w:tblLayout w:type="fixed"/>
        <w:tblCellMar>
          <w:top w:w="0" w:type="dxa"/>
          <w:left w:w="108" w:type="dxa"/>
          <w:bottom w:w="0" w:type="dxa"/>
          <w:right w:w="108" w:type="dxa"/>
        </w:tblCellMar>
      </w:tblPr>
      <w:tblGrid>
        <w:gridCol w:w="1904"/>
        <w:gridCol w:w="1022"/>
        <w:gridCol w:w="1022"/>
        <w:gridCol w:w="1022"/>
        <w:gridCol w:w="1022"/>
        <w:gridCol w:w="1022"/>
        <w:gridCol w:w="1022"/>
        <w:gridCol w:w="1022"/>
        <w:gridCol w:w="1022"/>
        <w:gridCol w:w="1022"/>
        <w:gridCol w:w="1022"/>
        <w:gridCol w:w="1022"/>
        <w:gridCol w:w="1029"/>
      </w:tblGrid>
      <w:tr w14:paraId="44A9B5F9">
        <w:tblPrEx>
          <w:tblCellMar>
            <w:top w:w="0" w:type="dxa"/>
            <w:left w:w="108" w:type="dxa"/>
            <w:bottom w:w="0" w:type="dxa"/>
            <w:right w:w="108" w:type="dxa"/>
          </w:tblCellMar>
        </w:tblPrEx>
        <w:trPr>
          <w:trHeight w:val="468" w:hRule="atLeast"/>
          <w:jc w:val="center"/>
        </w:trPr>
        <w:tc>
          <w:tcPr>
            <w:tcW w:w="14174" w:type="dxa"/>
            <w:gridSpan w:val="13"/>
            <w:tcBorders>
              <w:top w:val="nil"/>
              <w:left w:val="nil"/>
              <w:bottom w:val="nil"/>
              <w:right w:val="nil"/>
            </w:tcBorders>
            <w:vAlign w:val="bottom"/>
          </w:tcPr>
          <w:p w14:paraId="6671E1B4">
            <w:pPr>
              <w:widowControl/>
              <w:jc w:val="center"/>
              <w:rPr>
                <w:rFonts w:ascii="宋体" w:hAnsi="宋体" w:cs="宋体"/>
                <w:b/>
                <w:bCs/>
                <w:kern w:val="0"/>
                <w:sz w:val="18"/>
                <w:szCs w:val="18"/>
              </w:rPr>
            </w:pPr>
            <w:r>
              <w:rPr>
                <w:rFonts w:hint="eastAsia" w:ascii="宋体" w:hAnsi="宋体" w:cs="宋体"/>
                <w:b/>
                <w:bCs/>
                <w:kern w:val="0"/>
                <w:sz w:val="18"/>
                <w:szCs w:val="18"/>
                <w:lang w:val="en-US" w:eastAsia="zh-CN"/>
              </w:rPr>
              <w:t>大</w:t>
            </w:r>
            <w:r>
              <w:rPr>
                <w:rFonts w:hint="eastAsia" w:ascii="宋体" w:hAnsi="宋体" w:cs="宋体"/>
                <w:b/>
                <w:bCs/>
                <w:kern w:val="0"/>
                <w:sz w:val="18"/>
                <w:szCs w:val="18"/>
              </w:rPr>
              <w:t>中小微行业划型标准规定（根据工信部联企业〔</w:t>
            </w:r>
            <w:r>
              <w:rPr>
                <w:rFonts w:ascii="宋体" w:hAnsi="宋体" w:cs="宋体"/>
                <w:b/>
                <w:bCs/>
                <w:kern w:val="0"/>
                <w:sz w:val="18"/>
                <w:szCs w:val="18"/>
              </w:rPr>
              <w:t>2011</w:t>
            </w:r>
            <w:r>
              <w:rPr>
                <w:rFonts w:hint="eastAsia" w:ascii="宋体" w:hAnsi="宋体" w:cs="宋体"/>
                <w:b/>
                <w:bCs/>
                <w:kern w:val="0"/>
                <w:sz w:val="18"/>
                <w:szCs w:val="18"/>
              </w:rPr>
              <w:t>〕</w:t>
            </w:r>
            <w:r>
              <w:rPr>
                <w:rFonts w:ascii="宋体" w:hAnsi="宋体" w:cs="宋体"/>
                <w:b/>
                <w:bCs/>
                <w:kern w:val="0"/>
                <w:sz w:val="18"/>
                <w:szCs w:val="18"/>
              </w:rPr>
              <w:t>300</w:t>
            </w:r>
            <w:r>
              <w:rPr>
                <w:rFonts w:hint="eastAsia" w:ascii="宋体" w:hAnsi="宋体" w:cs="宋体"/>
                <w:b/>
                <w:bCs/>
                <w:kern w:val="0"/>
                <w:sz w:val="18"/>
                <w:szCs w:val="18"/>
              </w:rPr>
              <w:t>号制定）</w:t>
            </w:r>
          </w:p>
        </w:tc>
      </w:tr>
      <w:tr w14:paraId="38C15270">
        <w:tblPrEx>
          <w:tblCellMar>
            <w:top w:w="0" w:type="dxa"/>
            <w:left w:w="108" w:type="dxa"/>
            <w:bottom w:w="0" w:type="dxa"/>
            <w:right w:w="108" w:type="dxa"/>
          </w:tblCellMar>
        </w:tblPrEx>
        <w:trPr>
          <w:trHeight w:val="397" w:hRule="atLeast"/>
          <w:jc w:val="center"/>
        </w:trPr>
        <w:tc>
          <w:tcPr>
            <w:tcW w:w="1904" w:type="dxa"/>
            <w:vMerge w:val="restart"/>
            <w:tcBorders>
              <w:top w:val="single" w:color="auto" w:sz="8" w:space="0"/>
              <w:left w:val="single" w:color="auto" w:sz="8" w:space="0"/>
              <w:right w:val="single" w:color="auto" w:sz="8" w:space="0"/>
            </w:tcBorders>
            <w:vAlign w:val="center"/>
          </w:tcPr>
          <w:p w14:paraId="7F680405">
            <w:pPr>
              <w:widowControl/>
              <w:jc w:val="center"/>
              <w:rPr>
                <w:rFonts w:ascii="宋体" w:hAnsi="宋体" w:cs="宋体"/>
                <w:b/>
                <w:bCs/>
                <w:kern w:val="0"/>
                <w:sz w:val="18"/>
                <w:szCs w:val="18"/>
              </w:rPr>
            </w:pPr>
            <w:r>
              <w:rPr>
                <w:rFonts w:hint="eastAsia" w:ascii="宋体" w:hAnsi="宋体" w:cs="宋体"/>
                <w:b/>
                <w:bCs/>
                <w:kern w:val="0"/>
                <w:sz w:val="18"/>
                <w:szCs w:val="18"/>
              </w:rPr>
              <w:t>行业</w:t>
            </w:r>
          </w:p>
        </w:tc>
        <w:tc>
          <w:tcPr>
            <w:tcW w:w="3066" w:type="dxa"/>
            <w:gridSpan w:val="3"/>
            <w:tcBorders>
              <w:top w:val="single" w:color="auto" w:sz="8" w:space="0"/>
              <w:left w:val="single" w:color="auto" w:sz="8" w:space="0"/>
              <w:bottom w:val="single" w:color="000000" w:sz="4" w:space="0"/>
              <w:right w:val="single" w:color="000000" w:sz="8" w:space="0"/>
            </w:tcBorders>
            <w:vAlign w:val="center"/>
          </w:tcPr>
          <w:p w14:paraId="750E0012">
            <w:pPr>
              <w:widowControl/>
              <w:jc w:val="center"/>
              <w:rPr>
                <w:rFonts w:ascii="宋体" w:hAnsi="宋体" w:cs="宋体"/>
                <w:b/>
                <w:bCs/>
                <w:kern w:val="0"/>
                <w:sz w:val="18"/>
                <w:szCs w:val="18"/>
              </w:rPr>
            </w:pPr>
            <w:r>
              <w:rPr>
                <w:rFonts w:hint="eastAsia" w:ascii="宋体" w:hAnsi="宋体" w:cs="宋体"/>
                <w:b/>
                <w:bCs/>
                <w:kern w:val="0"/>
                <w:sz w:val="18"/>
                <w:szCs w:val="18"/>
                <w:lang w:val="en-US" w:eastAsia="zh-CN"/>
              </w:rPr>
              <w:t>大</w:t>
            </w:r>
            <w:r>
              <w:rPr>
                <w:rFonts w:hint="eastAsia" w:ascii="宋体" w:hAnsi="宋体" w:cs="宋体"/>
                <w:b/>
                <w:bCs/>
                <w:kern w:val="0"/>
                <w:sz w:val="18"/>
                <w:szCs w:val="18"/>
              </w:rPr>
              <w:t>型（两个指标</w:t>
            </w:r>
            <w:r>
              <w:rPr>
                <w:rFonts w:hint="eastAsia" w:ascii="宋体" w:hAnsi="宋体" w:cs="宋体"/>
                <w:b/>
                <w:bCs/>
                <w:kern w:val="0"/>
                <w:sz w:val="18"/>
                <w:szCs w:val="18"/>
                <w:lang w:val="en-US" w:eastAsia="zh-CN"/>
              </w:rPr>
              <w:t>的</w:t>
            </w:r>
            <w:r>
              <w:rPr>
                <w:rFonts w:hint="eastAsia" w:ascii="宋体" w:hAnsi="宋体" w:cs="宋体"/>
                <w:b/>
                <w:bCs/>
                <w:kern w:val="0"/>
                <w:sz w:val="18"/>
                <w:szCs w:val="18"/>
              </w:rPr>
              <w:t>同时满足）</w:t>
            </w:r>
          </w:p>
        </w:tc>
        <w:tc>
          <w:tcPr>
            <w:tcW w:w="3066" w:type="dxa"/>
            <w:gridSpan w:val="3"/>
            <w:tcBorders>
              <w:top w:val="single" w:color="auto" w:sz="8" w:space="0"/>
              <w:left w:val="nil"/>
              <w:bottom w:val="single" w:color="auto" w:sz="4" w:space="0"/>
              <w:right w:val="single" w:color="000000" w:sz="8" w:space="0"/>
            </w:tcBorders>
            <w:vAlign w:val="center"/>
          </w:tcPr>
          <w:p w14:paraId="62C45864">
            <w:pPr>
              <w:widowControl/>
              <w:jc w:val="center"/>
              <w:rPr>
                <w:rFonts w:hint="eastAsia" w:ascii="宋体" w:hAnsi="宋体" w:cs="宋体"/>
                <w:b/>
                <w:bCs/>
                <w:kern w:val="0"/>
                <w:sz w:val="18"/>
                <w:szCs w:val="18"/>
              </w:rPr>
            </w:pPr>
            <w:r>
              <w:rPr>
                <w:rFonts w:hint="eastAsia" w:ascii="宋体" w:hAnsi="宋体" w:cs="宋体"/>
                <w:b/>
                <w:bCs/>
                <w:kern w:val="0"/>
                <w:sz w:val="18"/>
                <w:szCs w:val="18"/>
              </w:rPr>
              <w:t>中型（两个指标</w:t>
            </w:r>
            <w:r>
              <w:rPr>
                <w:rFonts w:hint="eastAsia" w:ascii="宋体" w:hAnsi="宋体" w:cs="宋体"/>
                <w:b/>
                <w:bCs/>
                <w:kern w:val="0"/>
                <w:sz w:val="18"/>
                <w:szCs w:val="18"/>
                <w:lang w:val="en-US" w:eastAsia="zh-CN"/>
              </w:rPr>
              <w:t>的</w:t>
            </w:r>
            <w:r>
              <w:rPr>
                <w:rFonts w:hint="eastAsia" w:ascii="宋体" w:hAnsi="宋体" w:cs="宋体"/>
                <w:b/>
                <w:bCs/>
                <w:kern w:val="0"/>
                <w:sz w:val="18"/>
                <w:szCs w:val="18"/>
              </w:rPr>
              <w:t>同时满足）</w:t>
            </w:r>
          </w:p>
        </w:tc>
        <w:tc>
          <w:tcPr>
            <w:tcW w:w="3066" w:type="dxa"/>
            <w:gridSpan w:val="3"/>
            <w:tcBorders>
              <w:top w:val="single" w:color="auto" w:sz="8" w:space="0"/>
              <w:left w:val="nil"/>
              <w:bottom w:val="single" w:color="auto" w:sz="4" w:space="0"/>
              <w:right w:val="single" w:color="000000" w:sz="8" w:space="0"/>
            </w:tcBorders>
            <w:vAlign w:val="center"/>
          </w:tcPr>
          <w:p w14:paraId="3341808E">
            <w:pPr>
              <w:widowControl/>
              <w:jc w:val="center"/>
              <w:rPr>
                <w:rFonts w:ascii="宋体" w:hAnsi="宋体" w:cs="宋体"/>
                <w:b/>
                <w:bCs/>
                <w:kern w:val="0"/>
                <w:sz w:val="18"/>
                <w:szCs w:val="18"/>
              </w:rPr>
            </w:pPr>
            <w:r>
              <w:rPr>
                <w:rFonts w:hint="eastAsia" w:ascii="宋体" w:hAnsi="宋体" w:cs="宋体"/>
                <w:b/>
                <w:bCs/>
                <w:kern w:val="0"/>
                <w:sz w:val="18"/>
                <w:szCs w:val="18"/>
              </w:rPr>
              <w:t>小型（两个指标</w:t>
            </w:r>
            <w:r>
              <w:rPr>
                <w:rFonts w:hint="eastAsia" w:ascii="宋体" w:hAnsi="宋体" w:cs="宋体"/>
                <w:b/>
                <w:bCs/>
                <w:kern w:val="0"/>
                <w:sz w:val="18"/>
                <w:szCs w:val="18"/>
                <w:lang w:val="en-US" w:eastAsia="zh-CN"/>
              </w:rPr>
              <w:t>的</w:t>
            </w:r>
            <w:r>
              <w:rPr>
                <w:rFonts w:hint="eastAsia" w:ascii="宋体" w:hAnsi="宋体" w:cs="宋体"/>
                <w:b/>
                <w:bCs/>
                <w:kern w:val="0"/>
                <w:sz w:val="18"/>
                <w:szCs w:val="18"/>
              </w:rPr>
              <w:t>同时满足）</w:t>
            </w:r>
          </w:p>
        </w:tc>
        <w:tc>
          <w:tcPr>
            <w:tcW w:w="3072" w:type="dxa"/>
            <w:gridSpan w:val="3"/>
            <w:tcBorders>
              <w:top w:val="single" w:color="auto" w:sz="8" w:space="0"/>
              <w:left w:val="nil"/>
              <w:bottom w:val="single" w:color="auto" w:sz="4" w:space="0"/>
              <w:right w:val="single" w:color="000000" w:sz="8" w:space="0"/>
            </w:tcBorders>
            <w:vAlign w:val="center"/>
          </w:tcPr>
          <w:p w14:paraId="77676040">
            <w:pPr>
              <w:widowControl/>
              <w:jc w:val="center"/>
              <w:rPr>
                <w:rFonts w:ascii="宋体" w:hAnsi="宋体" w:cs="宋体"/>
                <w:b/>
                <w:bCs/>
                <w:kern w:val="0"/>
                <w:sz w:val="18"/>
                <w:szCs w:val="18"/>
              </w:rPr>
            </w:pPr>
            <w:r>
              <w:rPr>
                <w:rFonts w:hint="eastAsia" w:ascii="宋体" w:hAnsi="宋体" w:cs="宋体"/>
                <w:b/>
                <w:bCs/>
                <w:kern w:val="0"/>
                <w:sz w:val="18"/>
                <w:szCs w:val="18"/>
              </w:rPr>
              <w:t>微型（两个指标</w:t>
            </w:r>
            <w:r>
              <w:rPr>
                <w:rFonts w:hint="eastAsia" w:ascii="宋体" w:hAnsi="宋体" w:cs="宋体"/>
                <w:b/>
                <w:bCs/>
                <w:kern w:val="0"/>
                <w:sz w:val="18"/>
                <w:szCs w:val="18"/>
                <w:lang w:val="en-US" w:eastAsia="zh-CN"/>
              </w:rPr>
              <w:t>的</w:t>
            </w:r>
            <w:r>
              <w:rPr>
                <w:rFonts w:hint="eastAsia" w:ascii="宋体" w:hAnsi="宋体" w:cs="宋体"/>
                <w:b/>
                <w:bCs/>
                <w:kern w:val="0"/>
                <w:sz w:val="18"/>
                <w:szCs w:val="18"/>
              </w:rPr>
              <w:t>满足其中之一）</w:t>
            </w:r>
          </w:p>
        </w:tc>
      </w:tr>
      <w:tr w14:paraId="5FBBF887">
        <w:tblPrEx>
          <w:tblCellMar>
            <w:top w:w="0" w:type="dxa"/>
            <w:left w:w="108" w:type="dxa"/>
            <w:bottom w:w="0" w:type="dxa"/>
            <w:right w:w="108" w:type="dxa"/>
          </w:tblCellMar>
        </w:tblPrEx>
        <w:trPr>
          <w:trHeight w:val="475" w:hRule="atLeast"/>
          <w:jc w:val="center"/>
        </w:trPr>
        <w:tc>
          <w:tcPr>
            <w:tcW w:w="1904" w:type="dxa"/>
            <w:vMerge w:val="continue"/>
            <w:tcBorders>
              <w:left w:val="single" w:color="auto" w:sz="8" w:space="0"/>
              <w:bottom w:val="single" w:color="000000" w:sz="4" w:space="0"/>
              <w:right w:val="single" w:color="auto" w:sz="8" w:space="0"/>
            </w:tcBorders>
            <w:vAlign w:val="center"/>
          </w:tcPr>
          <w:p w14:paraId="1286A482">
            <w:pPr>
              <w:widowControl/>
              <w:jc w:val="left"/>
              <w:rPr>
                <w:rFonts w:ascii="宋体" w:hAnsi="宋体" w:cs="宋体"/>
                <w:b/>
                <w:bCs/>
                <w:kern w:val="0"/>
                <w:sz w:val="16"/>
                <w:szCs w:val="16"/>
              </w:rPr>
            </w:pPr>
          </w:p>
        </w:tc>
        <w:tc>
          <w:tcPr>
            <w:tcW w:w="1022" w:type="dxa"/>
            <w:tcBorders>
              <w:top w:val="single" w:color="auto" w:sz="8" w:space="0"/>
              <w:left w:val="single" w:color="auto" w:sz="8" w:space="0"/>
              <w:bottom w:val="single" w:color="000000" w:sz="4" w:space="0"/>
              <w:right w:val="single" w:color="auto" w:sz="8" w:space="0"/>
            </w:tcBorders>
            <w:vAlign w:val="bottom"/>
          </w:tcPr>
          <w:p w14:paraId="26FFF38F">
            <w:pPr>
              <w:widowControl/>
              <w:jc w:val="center"/>
              <w:rPr>
                <w:rFonts w:ascii="宋体" w:hAnsi="宋体" w:cs="宋体"/>
                <w:b/>
                <w:bCs/>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1022" w:type="dxa"/>
            <w:tcBorders>
              <w:top w:val="single" w:color="auto" w:sz="8" w:space="0"/>
              <w:left w:val="single" w:color="auto" w:sz="8" w:space="0"/>
              <w:bottom w:val="single" w:color="000000" w:sz="4" w:space="0"/>
              <w:right w:val="single" w:color="auto" w:sz="8" w:space="0"/>
            </w:tcBorders>
            <w:vAlign w:val="bottom"/>
          </w:tcPr>
          <w:p w14:paraId="16792557">
            <w:pPr>
              <w:widowControl/>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p>
          <w:p w14:paraId="1FE791E2">
            <w:pPr>
              <w:widowControl/>
              <w:jc w:val="center"/>
              <w:rPr>
                <w:rFonts w:ascii="宋体" w:hAnsi="宋体" w:cs="宋体"/>
                <w:b/>
                <w:bCs/>
                <w:kern w:val="0"/>
                <w:sz w:val="16"/>
                <w:szCs w:val="16"/>
              </w:rPr>
            </w:pPr>
            <w:r>
              <w:rPr>
                <w:rFonts w:hint="eastAsia" w:ascii="宋体" w:hAnsi="宋体" w:cs="宋体"/>
                <w:kern w:val="0"/>
                <w:sz w:val="16"/>
                <w:szCs w:val="16"/>
              </w:rPr>
              <w:t>（万元）</w:t>
            </w:r>
          </w:p>
        </w:tc>
        <w:tc>
          <w:tcPr>
            <w:tcW w:w="1022" w:type="dxa"/>
            <w:tcBorders>
              <w:top w:val="single" w:color="auto" w:sz="8" w:space="0"/>
              <w:left w:val="single" w:color="auto" w:sz="8" w:space="0"/>
              <w:bottom w:val="single" w:color="000000" w:sz="4" w:space="0"/>
              <w:right w:val="single" w:color="auto" w:sz="8" w:space="0"/>
            </w:tcBorders>
            <w:vAlign w:val="bottom"/>
          </w:tcPr>
          <w:p w14:paraId="70469F01">
            <w:pPr>
              <w:widowControl/>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p>
          <w:p w14:paraId="43C86A1F">
            <w:pPr>
              <w:widowControl/>
              <w:jc w:val="center"/>
              <w:rPr>
                <w:rFonts w:ascii="宋体" w:hAnsi="宋体" w:cs="宋体"/>
                <w:b/>
                <w:bCs/>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4" w:space="0"/>
            </w:tcBorders>
            <w:vAlign w:val="bottom"/>
          </w:tcPr>
          <w:p w14:paraId="50577961">
            <w:pPr>
              <w:widowControl/>
              <w:jc w:val="center"/>
              <w:rPr>
                <w:rFonts w:ascii="宋体" w:hAnsi="宋体" w:cs="宋体"/>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1022" w:type="dxa"/>
            <w:tcBorders>
              <w:top w:val="nil"/>
              <w:left w:val="nil"/>
              <w:bottom w:val="single" w:color="auto" w:sz="4" w:space="0"/>
              <w:right w:val="single" w:color="auto" w:sz="4" w:space="0"/>
            </w:tcBorders>
            <w:vAlign w:val="bottom"/>
          </w:tcPr>
          <w:p w14:paraId="4B65FC83">
            <w:pPr>
              <w:widowControl/>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p>
          <w:p w14:paraId="64336458">
            <w:pPr>
              <w:widowControl/>
              <w:jc w:val="center"/>
              <w:rPr>
                <w:rFonts w:ascii="宋体" w:hAnsi="宋体" w:cs="宋体"/>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8" w:space="0"/>
            </w:tcBorders>
            <w:vAlign w:val="bottom"/>
          </w:tcPr>
          <w:p w14:paraId="6FF21934">
            <w:pPr>
              <w:widowControl/>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p>
          <w:p w14:paraId="72EBFABA">
            <w:pPr>
              <w:widowControl/>
              <w:jc w:val="center"/>
              <w:rPr>
                <w:rFonts w:ascii="宋体" w:hAnsi="宋体" w:cs="宋体"/>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4" w:space="0"/>
            </w:tcBorders>
            <w:vAlign w:val="bottom"/>
          </w:tcPr>
          <w:p w14:paraId="1F50E031">
            <w:pPr>
              <w:widowControl/>
              <w:jc w:val="center"/>
              <w:rPr>
                <w:rFonts w:ascii="宋体" w:hAnsi="宋体" w:cs="宋体"/>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1022" w:type="dxa"/>
            <w:tcBorders>
              <w:top w:val="nil"/>
              <w:left w:val="nil"/>
              <w:bottom w:val="single" w:color="auto" w:sz="4" w:space="0"/>
              <w:right w:val="single" w:color="auto" w:sz="4" w:space="0"/>
            </w:tcBorders>
            <w:vAlign w:val="bottom"/>
          </w:tcPr>
          <w:p w14:paraId="196508C9">
            <w:pPr>
              <w:widowControl/>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p>
          <w:p w14:paraId="09EF0294">
            <w:pPr>
              <w:widowControl/>
              <w:jc w:val="center"/>
              <w:rPr>
                <w:rFonts w:ascii="宋体" w:hAnsi="宋体" w:cs="宋体"/>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8" w:space="0"/>
            </w:tcBorders>
            <w:vAlign w:val="bottom"/>
          </w:tcPr>
          <w:p w14:paraId="7CE076A4">
            <w:pPr>
              <w:widowControl/>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p>
          <w:p w14:paraId="4BF4CD19">
            <w:pPr>
              <w:widowControl/>
              <w:jc w:val="center"/>
              <w:rPr>
                <w:rFonts w:ascii="宋体" w:hAnsi="宋体" w:cs="宋体"/>
                <w:kern w:val="0"/>
                <w:sz w:val="16"/>
                <w:szCs w:val="16"/>
              </w:rPr>
            </w:pPr>
            <w:r>
              <w:rPr>
                <w:rFonts w:hint="eastAsia" w:ascii="宋体" w:hAnsi="宋体" w:cs="宋体"/>
                <w:kern w:val="0"/>
                <w:sz w:val="16"/>
                <w:szCs w:val="16"/>
              </w:rPr>
              <w:t>（万元）</w:t>
            </w:r>
          </w:p>
        </w:tc>
        <w:tc>
          <w:tcPr>
            <w:tcW w:w="1022" w:type="dxa"/>
            <w:tcBorders>
              <w:top w:val="nil"/>
              <w:left w:val="nil"/>
              <w:bottom w:val="single" w:color="auto" w:sz="4" w:space="0"/>
              <w:right w:val="single" w:color="auto" w:sz="4" w:space="0"/>
            </w:tcBorders>
            <w:vAlign w:val="bottom"/>
          </w:tcPr>
          <w:p w14:paraId="4E0AAD61">
            <w:pPr>
              <w:widowControl/>
              <w:jc w:val="center"/>
              <w:rPr>
                <w:rFonts w:ascii="宋体" w:hAnsi="宋体" w:cs="宋体"/>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1022" w:type="dxa"/>
            <w:tcBorders>
              <w:top w:val="nil"/>
              <w:left w:val="nil"/>
              <w:bottom w:val="single" w:color="auto" w:sz="4" w:space="0"/>
              <w:right w:val="single" w:color="auto" w:sz="4" w:space="0"/>
            </w:tcBorders>
            <w:vAlign w:val="bottom"/>
          </w:tcPr>
          <w:p w14:paraId="5453C760">
            <w:pPr>
              <w:widowControl/>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r>
              <w:rPr>
                <w:rFonts w:hint="eastAsia" w:ascii="宋体" w:hAnsi="宋体" w:cs="宋体"/>
                <w:kern w:val="0"/>
                <w:sz w:val="16"/>
                <w:szCs w:val="16"/>
              </w:rPr>
              <w:t>（万元）</w:t>
            </w:r>
          </w:p>
        </w:tc>
        <w:tc>
          <w:tcPr>
            <w:tcW w:w="1028" w:type="dxa"/>
            <w:tcBorders>
              <w:top w:val="nil"/>
              <w:left w:val="nil"/>
              <w:bottom w:val="single" w:color="auto" w:sz="4" w:space="0"/>
              <w:right w:val="single" w:color="auto" w:sz="8" w:space="0"/>
            </w:tcBorders>
            <w:vAlign w:val="bottom"/>
          </w:tcPr>
          <w:p w14:paraId="5581762B">
            <w:pPr>
              <w:widowControl/>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r>
              <w:rPr>
                <w:rFonts w:hint="eastAsia" w:ascii="宋体" w:hAnsi="宋体" w:cs="宋体"/>
                <w:kern w:val="0"/>
                <w:sz w:val="16"/>
                <w:szCs w:val="16"/>
              </w:rPr>
              <w:t>（万元）</w:t>
            </w:r>
          </w:p>
        </w:tc>
      </w:tr>
      <w:tr w14:paraId="07C7B560">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23105F85">
            <w:pPr>
              <w:widowControl/>
              <w:jc w:val="center"/>
              <w:rPr>
                <w:rFonts w:ascii="宋体" w:hAnsi="宋体" w:cs="宋体"/>
                <w:kern w:val="0"/>
                <w:sz w:val="16"/>
                <w:szCs w:val="16"/>
              </w:rPr>
            </w:pPr>
            <w:r>
              <w:rPr>
                <w:rFonts w:hint="eastAsia" w:ascii="宋体" w:hAnsi="宋体" w:cs="宋体"/>
                <w:kern w:val="0"/>
                <w:sz w:val="16"/>
                <w:szCs w:val="16"/>
              </w:rPr>
              <w:t>农林牧渔业</w:t>
            </w:r>
          </w:p>
        </w:tc>
        <w:tc>
          <w:tcPr>
            <w:tcW w:w="1022" w:type="dxa"/>
            <w:tcBorders>
              <w:top w:val="nil"/>
              <w:left w:val="single" w:color="auto" w:sz="8" w:space="0"/>
              <w:bottom w:val="single" w:color="auto" w:sz="4" w:space="0"/>
              <w:right w:val="single" w:color="auto" w:sz="8" w:space="0"/>
            </w:tcBorders>
            <w:vAlign w:val="center"/>
          </w:tcPr>
          <w:p w14:paraId="474992F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single" w:color="auto" w:sz="8" w:space="0"/>
              <w:bottom w:val="single" w:color="auto" w:sz="4" w:space="0"/>
              <w:right w:val="single" w:color="auto" w:sz="8" w:space="0"/>
            </w:tcBorders>
            <w:vAlign w:val="center"/>
          </w:tcPr>
          <w:p w14:paraId="6B1989FC">
            <w:pPr>
              <w:widowControl/>
              <w:jc w:val="center"/>
              <w:rPr>
                <w:rFonts w:hint="eastAsia" w:ascii="宋体" w:hAnsi="宋体" w:eastAsia="宋体" w:cs="宋体"/>
                <w:b w:val="0"/>
                <w:bCs w:val="0"/>
                <w:color w:val="000000" w:themeColor="text1"/>
                <w:kern w:val="0"/>
                <w:sz w:val="16"/>
                <w:szCs w:val="16"/>
                <w:highlight w:val="none"/>
                <w:lang w:val="en-US" w:eastAsia="zh-CN"/>
              </w:rPr>
            </w:pPr>
            <w:r>
              <w:rPr>
                <w:rFonts w:hint="eastAsia" w:ascii="宋体" w:hAnsi="宋体" w:eastAsia="宋体" w:cs="宋体"/>
                <w:b w:val="0"/>
                <w:bCs w:val="0"/>
                <w:color w:val="000000" w:themeColor="text1"/>
                <w:kern w:val="0"/>
                <w:sz w:val="16"/>
                <w:szCs w:val="16"/>
                <w:highlight w:val="none"/>
                <w:lang w:val="en-US" w:eastAsia="zh-CN"/>
              </w:rPr>
              <w:t>Y≥20000</w:t>
            </w:r>
          </w:p>
        </w:tc>
        <w:tc>
          <w:tcPr>
            <w:tcW w:w="1022" w:type="dxa"/>
            <w:tcBorders>
              <w:top w:val="nil"/>
              <w:left w:val="single" w:color="auto" w:sz="8" w:space="0"/>
              <w:bottom w:val="single" w:color="auto" w:sz="4" w:space="0"/>
              <w:right w:val="single" w:color="auto" w:sz="8" w:space="0"/>
            </w:tcBorders>
            <w:vAlign w:val="center"/>
          </w:tcPr>
          <w:p w14:paraId="056CFE79">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4FAD6F0">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DBD692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≥5</w:t>
            </w:r>
            <w:r>
              <w:rPr>
                <w:rFonts w:hint="eastAsia" w:ascii="宋体" w:hAnsi="宋体" w:eastAsia="宋体" w:cs="宋体"/>
                <w:b w:val="0"/>
                <w:bCs w:val="0"/>
                <w:color w:val="000000" w:themeColor="text1"/>
                <w:kern w:val="0"/>
                <w:sz w:val="16"/>
                <w:szCs w:val="16"/>
                <w:highlight w:val="none"/>
              </w:rPr>
              <w:t>00</w:t>
            </w:r>
          </w:p>
        </w:tc>
        <w:tc>
          <w:tcPr>
            <w:tcW w:w="1022" w:type="dxa"/>
            <w:tcBorders>
              <w:top w:val="nil"/>
              <w:left w:val="nil"/>
              <w:bottom w:val="single" w:color="auto" w:sz="4" w:space="0"/>
              <w:right w:val="single" w:color="auto" w:sz="8" w:space="0"/>
            </w:tcBorders>
            <w:vAlign w:val="center"/>
          </w:tcPr>
          <w:p w14:paraId="3227811E">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6A7AF8A">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FD9C976">
            <w:pPr>
              <w:widowControl/>
              <w:jc w:val="center"/>
              <w:rPr>
                <w:rFonts w:hint="eastAsia"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≥50</w:t>
            </w:r>
          </w:p>
        </w:tc>
        <w:tc>
          <w:tcPr>
            <w:tcW w:w="1022" w:type="dxa"/>
            <w:tcBorders>
              <w:top w:val="nil"/>
              <w:left w:val="nil"/>
              <w:bottom w:val="single" w:color="auto" w:sz="4" w:space="0"/>
              <w:right w:val="single" w:color="auto" w:sz="8" w:space="0"/>
            </w:tcBorders>
            <w:vAlign w:val="center"/>
          </w:tcPr>
          <w:p w14:paraId="7AA0C0D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19F389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337915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Y＜50</w:t>
            </w:r>
          </w:p>
        </w:tc>
        <w:tc>
          <w:tcPr>
            <w:tcW w:w="1028" w:type="dxa"/>
            <w:tcBorders>
              <w:top w:val="nil"/>
              <w:left w:val="nil"/>
              <w:bottom w:val="single" w:color="auto" w:sz="4" w:space="0"/>
              <w:right w:val="single" w:color="auto" w:sz="8" w:space="0"/>
            </w:tcBorders>
            <w:vAlign w:val="center"/>
          </w:tcPr>
          <w:p w14:paraId="03018A8B">
            <w:pPr>
              <w:widowControl/>
              <w:jc w:val="center"/>
              <w:rPr>
                <w:rFonts w:hint="eastAsia" w:ascii="宋体" w:hAnsi="宋体" w:eastAsia="宋体" w:cs="宋体"/>
                <w:b w:val="0"/>
                <w:bCs w:val="0"/>
                <w:color w:val="000000" w:themeColor="text1"/>
                <w:kern w:val="0"/>
                <w:sz w:val="16"/>
                <w:szCs w:val="16"/>
                <w:highlight w:val="none"/>
              </w:rPr>
            </w:pPr>
          </w:p>
        </w:tc>
      </w:tr>
      <w:tr w14:paraId="5D04CA46">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7DFED580">
            <w:pPr>
              <w:widowControl/>
              <w:jc w:val="center"/>
              <w:rPr>
                <w:rFonts w:ascii="宋体" w:hAnsi="宋体" w:cs="宋体"/>
                <w:kern w:val="0"/>
                <w:sz w:val="16"/>
                <w:szCs w:val="16"/>
              </w:rPr>
            </w:pPr>
            <w:r>
              <w:rPr>
                <w:rFonts w:hint="eastAsia" w:ascii="宋体" w:hAnsi="宋体" w:cs="宋体"/>
                <w:kern w:val="0"/>
                <w:sz w:val="16"/>
                <w:szCs w:val="16"/>
              </w:rPr>
              <w:t>工业</w:t>
            </w:r>
          </w:p>
        </w:tc>
        <w:tc>
          <w:tcPr>
            <w:tcW w:w="1022" w:type="dxa"/>
            <w:tcBorders>
              <w:top w:val="nil"/>
              <w:left w:val="single" w:color="auto" w:sz="8" w:space="0"/>
              <w:bottom w:val="single" w:color="auto" w:sz="4" w:space="0"/>
              <w:right w:val="single" w:color="auto" w:sz="8" w:space="0"/>
            </w:tcBorders>
            <w:vAlign w:val="center"/>
          </w:tcPr>
          <w:p w14:paraId="51AAF593">
            <w:pPr>
              <w:widowControl/>
              <w:jc w:val="center"/>
              <w:rPr>
                <w:rFonts w:hint="eastAsia" w:ascii="宋体" w:hAnsi="宋体" w:eastAsia="宋体" w:cs="宋体"/>
                <w:b w:val="0"/>
                <w:bCs w:val="0"/>
                <w:color w:val="000000" w:themeColor="text1"/>
                <w:kern w:val="0"/>
                <w:sz w:val="16"/>
                <w:szCs w:val="16"/>
                <w:highlight w:val="none"/>
                <w:lang w:val="en-US" w:eastAsia="zh-CN"/>
              </w:rPr>
            </w:pPr>
            <w:r>
              <w:rPr>
                <w:rFonts w:hint="eastAsia" w:ascii="宋体" w:hAnsi="宋体" w:eastAsia="宋体" w:cs="宋体"/>
                <w:b w:val="0"/>
                <w:bCs w:val="0"/>
                <w:color w:val="000000" w:themeColor="text1"/>
                <w:kern w:val="0"/>
                <w:sz w:val="16"/>
                <w:szCs w:val="16"/>
                <w:highlight w:val="none"/>
                <w:lang w:val="en-US" w:eastAsia="zh-CN"/>
              </w:rPr>
              <w:t>X≥1000</w:t>
            </w:r>
          </w:p>
        </w:tc>
        <w:tc>
          <w:tcPr>
            <w:tcW w:w="1022" w:type="dxa"/>
            <w:tcBorders>
              <w:top w:val="nil"/>
              <w:left w:val="single" w:color="auto" w:sz="8" w:space="0"/>
              <w:bottom w:val="single" w:color="auto" w:sz="4" w:space="0"/>
              <w:right w:val="single" w:color="auto" w:sz="8" w:space="0"/>
            </w:tcBorders>
            <w:vAlign w:val="center"/>
          </w:tcPr>
          <w:p w14:paraId="7A0D392A">
            <w:pPr>
              <w:widowControl/>
              <w:jc w:val="center"/>
              <w:rPr>
                <w:rFonts w:hint="eastAsia"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Y≥40000</w:t>
            </w:r>
          </w:p>
        </w:tc>
        <w:tc>
          <w:tcPr>
            <w:tcW w:w="1022" w:type="dxa"/>
            <w:tcBorders>
              <w:top w:val="nil"/>
              <w:left w:val="single" w:color="auto" w:sz="8" w:space="0"/>
              <w:bottom w:val="single" w:color="auto" w:sz="4" w:space="0"/>
              <w:right w:val="single" w:color="auto" w:sz="8" w:space="0"/>
            </w:tcBorders>
            <w:vAlign w:val="center"/>
          </w:tcPr>
          <w:p w14:paraId="5CA0A986">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E7E3181">
            <w:pPr>
              <w:widowControl/>
              <w:jc w:val="center"/>
              <w:rPr>
                <w:rFonts w:hint="eastAsia"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≥300</w:t>
            </w:r>
          </w:p>
        </w:tc>
        <w:tc>
          <w:tcPr>
            <w:tcW w:w="1022" w:type="dxa"/>
            <w:tcBorders>
              <w:top w:val="nil"/>
              <w:left w:val="nil"/>
              <w:bottom w:val="single" w:color="auto" w:sz="4" w:space="0"/>
              <w:right w:val="single" w:color="auto" w:sz="4" w:space="0"/>
            </w:tcBorders>
            <w:vAlign w:val="center"/>
          </w:tcPr>
          <w:p w14:paraId="7AA69FC8">
            <w:pPr>
              <w:widowControl/>
              <w:jc w:val="center"/>
              <w:rPr>
                <w:rFonts w:hint="eastAsia"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≥2000</w:t>
            </w:r>
          </w:p>
        </w:tc>
        <w:tc>
          <w:tcPr>
            <w:tcW w:w="1022" w:type="dxa"/>
            <w:tcBorders>
              <w:top w:val="nil"/>
              <w:left w:val="nil"/>
              <w:bottom w:val="single" w:color="auto" w:sz="4" w:space="0"/>
              <w:right w:val="single" w:color="auto" w:sz="8" w:space="0"/>
            </w:tcBorders>
            <w:vAlign w:val="center"/>
          </w:tcPr>
          <w:p w14:paraId="53A04CA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DE72D5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66FE198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8" w:space="0"/>
            </w:tcBorders>
            <w:vAlign w:val="center"/>
          </w:tcPr>
          <w:p w14:paraId="72724C3B">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028ACF71">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X＜20</w:t>
            </w:r>
          </w:p>
        </w:tc>
        <w:tc>
          <w:tcPr>
            <w:tcW w:w="1022" w:type="dxa"/>
            <w:tcBorders>
              <w:top w:val="nil"/>
              <w:left w:val="nil"/>
              <w:bottom w:val="single" w:color="auto" w:sz="4" w:space="0"/>
              <w:right w:val="single" w:color="auto" w:sz="4" w:space="0"/>
            </w:tcBorders>
            <w:vAlign w:val="center"/>
          </w:tcPr>
          <w:p w14:paraId="52AFA0C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Y＜300</w:t>
            </w:r>
          </w:p>
        </w:tc>
        <w:tc>
          <w:tcPr>
            <w:tcW w:w="1028" w:type="dxa"/>
            <w:tcBorders>
              <w:top w:val="nil"/>
              <w:left w:val="nil"/>
              <w:bottom w:val="single" w:color="auto" w:sz="4" w:space="0"/>
              <w:right w:val="single" w:color="auto" w:sz="8" w:space="0"/>
            </w:tcBorders>
            <w:vAlign w:val="center"/>
          </w:tcPr>
          <w:p w14:paraId="739E7167">
            <w:pPr>
              <w:widowControl/>
              <w:jc w:val="center"/>
              <w:rPr>
                <w:rFonts w:hint="eastAsia" w:ascii="宋体" w:hAnsi="宋体" w:eastAsia="宋体" w:cs="宋体"/>
                <w:b w:val="0"/>
                <w:bCs w:val="0"/>
                <w:color w:val="000000" w:themeColor="text1"/>
                <w:kern w:val="0"/>
                <w:sz w:val="16"/>
                <w:szCs w:val="16"/>
                <w:highlight w:val="none"/>
              </w:rPr>
            </w:pPr>
          </w:p>
        </w:tc>
      </w:tr>
      <w:tr w14:paraId="41C41C04">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7DF68200">
            <w:pPr>
              <w:widowControl/>
              <w:jc w:val="center"/>
              <w:rPr>
                <w:rFonts w:ascii="宋体" w:hAnsi="宋体" w:cs="宋体"/>
                <w:kern w:val="0"/>
                <w:sz w:val="16"/>
                <w:szCs w:val="16"/>
              </w:rPr>
            </w:pPr>
            <w:r>
              <w:rPr>
                <w:rFonts w:hint="eastAsia" w:ascii="宋体" w:hAnsi="宋体" w:cs="宋体"/>
                <w:kern w:val="0"/>
                <w:sz w:val="16"/>
                <w:szCs w:val="16"/>
              </w:rPr>
              <w:t>建筑业</w:t>
            </w:r>
          </w:p>
        </w:tc>
        <w:tc>
          <w:tcPr>
            <w:tcW w:w="1022" w:type="dxa"/>
            <w:tcBorders>
              <w:top w:val="nil"/>
              <w:left w:val="single" w:color="auto" w:sz="8" w:space="0"/>
              <w:bottom w:val="single" w:color="auto" w:sz="4" w:space="0"/>
              <w:right w:val="single" w:color="auto" w:sz="8" w:space="0"/>
            </w:tcBorders>
            <w:vAlign w:val="center"/>
          </w:tcPr>
          <w:p w14:paraId="5316D7E5">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single" w:color="auto" w:sz="8" w:space="0"/>
              <w:bottom w:val="single" w:color="auto" w:sz="4" w:space="0"/>
              <w:right w:val="single" w:color="auto" w:sz="8" w:space="0"/>
            </w:tcBorders>
            <w:vAlign w:val="center"/>
          </w:tcPr>
          <w:p w14:paraId="4B18EFB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8000</w:t>
            </w:r>
          </w:p>
        </w:tc>
        <w:tc>
          <w:tcPr>
            <w:tcW w:w="1022" w:type="dxa"/>
            <w:tcBorders>
              <w:top w:val="nil"/>
              <w:left w:val="single" w:color="auto" w:sz="8" w:space="0"/>
              <w:bottom w:val="single" w:color="auto" w:sz="4" w:space="0"/>
              <w:right w:val="single" w:color="auto" w:sz="8" w:space="0"/>
            </w:tcBorders>
            <w:vAlign w:val="center"/>
          </w:tcPr>
          <w:p w14:paraId="6548BF40">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80000</w:t>
            </w:r>
          </w:p>
        </w:tc>
        <w:tc>
          <w:tcPr>
            <w:tcW w:w="1022" w:type="dxa"/>
            <w:tcBorders>
              <w:top w:val="nil"/>
              <w:left w:val="nil"/>
              <w:bottom w:val="single" w:color="auto" w:sz="4" w:space="0"/>
              <w:right w:val="single" w:color="auto" w:sz="4" w:space="0"/>
            </w:tcBorders>
            <w:vAlign w:val="center"/>
          </w:tcPr>
          <w:p w14:paraId="295BF0DC">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76522F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6000</w:t>
            </w:r>
          </w:p>
        </w:tc>
        <w:tc>
          <w:tcPr>
            <w:tcW w:w="1022" w:type="dxa"/>
            <w:tcBorders>
              <w:top w:val="nil"/>
              <w:left w:val="nil"/>
              <w:bottom w:val="single" w:color="auto" w:sz="4" w:space="0"/>
              <w:right w:val="single" w:color="auto" w:sz="8" w:space="0"/>
            </w:tcBorders>
            <w:vAlign w:val="center"/>
          </w:tcPr>
          <w:p w14:paraId="0128608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5000</w:t>
            </w:r>
          </w:p>
        </w:tc>
        <w:tc>
          <w:tcPr>
            <w:tcW w:w="1022" w:type="dxa"/>
            <w:tcBorders>
              <w:top w:val="nil"/>
              <w:left w:val="nil"/>
              <w:bottom w:val="single" w:color="auto" w:sz="4" w:space="0"/>
              <w:right w:val="single" w:color="auto" w:sz="4" w:space="0"/>
            </w:tcBorders>
            <w:vAlign w:val="center"/>
          </w:tcPr>
          <w:p w14:paraId="6FCEF1F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D9E310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8" w:space="0"/>
            </w:tcBorders>
            <w:vAlign w:val="center"/>
          </w:tcPr>
          <w:p w14:paraId="4DE6B5B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4" w:space="0"/>
            </w:tcBorders>
            <w:vAlign w:val="center"/>
          </w:tcPr>
          <w:p w14:paraId="09EBC93A">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1EEBD06">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Y＜300</w:t>
            </w:r>
          </w:p>
        </w:tc>
        <w:tc>
          <w:tcPr>
            <w:tcW w:w="1028" w:type="dxa"/>
            <w:tcBorders>
              <w:top w:val="nil"/>
              <w:left w:val="nil"/>
              <w:bottom w:val="single" w:color="auto" w:sz="4" w:space="0"/>
              <w:right w:val="single" w:color="auto" w:sz="8" w:space="0"/>
            </w:tcBorders>
            <w:vAlign w:val="center"/>
          </w:tcPr>
          <w:p w14:paraId="10D5A0B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Z＜300</w:t>
            </w:r>
          </w:p>
        </w:tc>
      </w:tr>
      <w:tr w14:paraId="03DF36A5">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33B20D0F">
            <w:pPr>
              <w:widowControl/>
              <w:jc w:val="center"/>
              <w:rPr>
                <w:rFonts w:ascii="宋体" w:hAnsi="宋体" w:cs="宋体"/>
                <w:kern w:val="0"/>
                <w:sz w:val="16"/>
                <w:szCs w:val="16"/>
              </w:rPr>
            </w:pPr>
            <w:r>
              <w:rPr>
                <w:rFonts w:hint="eastAsia" w:ascii="宋体" w:hAnsi="宋体" w:cs="宋体"/>
                <w:kern w:val="0"/>
                <w:sz w:val="16"/>
                <w:szCs w:val="16"/>
              </w:rPr>
              <w:t>批发业</w:t>
            </w:r>
          </w:p>
        </w:tc>
        <w:tc>
          <w:tcPr>
            <w:tcW w:w="1022" w:type="dxa"/>
            <w:tcBorders>
              <w:top w:val="nil"/>
              <w:left w:val="single" w:color="auto" w:sz="8" w:space="0"/>
              <w:bottom w:val="single" w:color="auto" w:sz="4" w:space="0"/>
              <w:right w:val="single" w:color="auto" w:sz="8" w:space="0"/>
            </w:tcBorders>
            <w:vAlign w:val="center"/>
          </w:tcPr>
          <w:p w14:paraId="74A25BA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200</w:t>
            </w:r>
          </w:p>
        </w:tc>
        <w:tc>
          <w:tcPr>
            <w:tcW w:w="1022" w:type="dxa"/>
            <w:tcBorders>
              <w:top w:val="nil"/>
              <w:left w:val="single" w:color="auto" w:sz="8" w:space="0"/>
              <w:bottom w:val="single" w:color="auto" w:sz="4" w:space="0"/>
              <w:right w:val="single" w:color="auto" w:sz="8" w:space="0"/>
            </w:tcBorders>
            <w:vAlign w:val="center"/>
          </w:tcPr>
          <w:p w14:paraId="089CAF10">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40000</w:t>
            </w:r>
          </w:p>
        </w:tc>
        <w:tc>
          <w:tcPr>
            <w:tcW w:w="1022" w:type="dxa"/>
            <w:tcBorders>
              <w:top w:val="nil"/>
              <w:left w:val="single" w:color="auto" w:sz="8" w:space="0"/>
              <w:bottom w:val="single" w:color="auto" w:sz="4" w:space="0"/>
              <w:right w:val="single" w:color="auto" w:sz="8" w:space="0"/>
            </w:tcBorders>
            <w:vAlign w:val="center"/>
          </w:tcPr>
          <w:p w14:paraId="2F8B747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FE96EE4">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1FE356D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5000</w:t>
            </w:r>
          </w:p>
        </w:tc>
        <w:tc>
          <w:tcPr>
            <w:tcW w:w="1022" w:type="dxa"/>
            <w:tcBorders>
              <w:top w:val="nil"/>
              <w:left w:val="nil"/>
              <w:bottom w:val="single" w:color="auto" w:sz="4" w:space="0"/>
              <w:right w:val="single" w:color="auto" w:sz="8" w:space="0"/>
            </w:tcBorders>
            <w:vAlign w:val="center"/>
          </w:tcPr>
          <w:p w14:paraId="34C9F92B">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966F24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w:t>
            </w:r>
          </w:p>
        </w:tc>
        <w:tc>
          <w:tcPr>
            <w:tcW w:w="1022" w:type="dxa"/>
            <w:tcBorders>
              <w:top w:val="nil"/>
              <w:left w:val="nil"/>
              <w:bottom w:val="single" w:color="auto" w:sz="4" w:space="0"/>
              <w:right w:val="single" w:color="auto" w:sz="4" w:space="0"/>
            </w:tcBorders>
            <w:vAlign w:val="center"/>
          </w:tcPr>
          <w:p w14:paraId="78BD2C4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4324B55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3D8D0D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X＜5</w:t>
            </w:r>
          </w:p>
        </w:tc>
        <w:tc>
          <w:tcPr>
            <w:tcW w:w="1022" w:type="dxa"/>
            <w:tcBorders>
              <w:top w:val="nil"/>
              <w:left w:val="nil"/>
              <w:bottom w:val="single" w:color="auto" w:sz="4" w:space="0"/>
              <w:right w:val="single" w:color="auto" w:sz="4" w:space="0"/>
            </w:tcBorders>
            <w:vAlign w:val="center"/>
          </w:tcPr>
          <w:p w14:paraId="35FDEB4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Y＜1000</w:t>
            </w:r>
          </w:p>
        </w:tc>
        <w:tc>
          <w:tcPr>
            <w:tcW w:w="1028" w:type="dxa"/>
            <w:tcBorders>
              <w:top w:val="nil"/>
              <w:left w:val="nil"/>
              <w:bottom w:val="single" w:color="auto" w:sz="4" w:space="0"/>
              <w:right w:val="single" w:color="auto" w:sz="8" w:space="0"/>
            </w:tcBorders>
            <w:vAlign w:val="center"/>
          </w:tcPr>
          <w:p w14:paraId="648555FD">
            <w:pPr>
              <w:widowControl/>
              <w:jc w:val="center"/>
              <w:rPr>
                <w:rFonts w:hint="eastAsia" w:ascii="宋体" w:hAnsi="宋体" w:eastAsia="宋体" w:cs="宋体"/>
                <w:b w:val="0"/>
                <w:bCs w:val="0"/>
                <w:color w:val="000000" w:themeColor="text1"/>
                <w:kern w:val="0"/>
                <w:sz w:val="16"/>
                <w:szCs w:val="16"/>
                <w:highlight w:val="none"/>
              </w:rPr>
            </w:pPr>
          </w:p>
        </w:tc>
      </w:tr>
      <w:tr w14:paraId="10CA8C0A">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75849CB4">
            <w:pPr>
              <w:widowControl/>
              <w:jc w:val="center"/>
              <w:rPr>
                <w:rFonts w:ascii="宋体" w:hAnsi="宋体" w:cs="宋体"/>
                <w:kern w:val="0"/>
                <w:sz w:val="16"/>
                <w:szCs w:val="16"/>
              </w:rPr>
            </w:pPr>
            <w:r>
              <w:rPr>
                <w:rFonts w:hint="eastAsia" w:ascii="宋体" w:hAnsi="宋体" w:cs="宋体"/>
                <w:kern w:val="0"/>
                <w:sz w:val="16"/>
                <w:szCs w:val="16"/>
              </w:rPr>
              <w:t>零售业</w:t>
            </w:r>
          </w:p>
        </w:tc>
        <w:tc>
          <w:tcPr>
            <w:tcW w:w="1022" w:type="dxa"/>
            <w:tcBorders>
              <w:top w:val="nil"/>
              <w:left w:val="single" w:color="auto" w:sz="8" w:space="0"/>
              <w:bottom w:val="single" w:color="auto" w:sz="4" w:space="0"/>
              <w:right w:val="single" w:color="auto" w:sz="8" w:space="0"/>
            </w:tcBorders>
            <w:vAlign w:val="center"/>
          </w:tcPr>
          <w:p w14:paraId="58BD642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300</w:t>
            </w:r>
          </w:p>
        </w:tc>
        <w:tc>
          <w:tcPr>
            <w:tcW w:w="1022" w:type="dxa"/>
            <w:tcBorders>
              <w:top w:val="nil"/>
              <w:left w:val="single" w:color="auto" w:sz="8" w:space="0"/>
              <w:bottom w:val="single" w:color="auto" w:sz="4" w:space="0"/>
              <w:right w:val="single" w:color="auto" w:sz="8" w:space="0"/>
            </w:tcBorders>
            <w:vAlign w:val="center"/>
          </w:tcPr>
          <w:p w14:paraId="30392BDE">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20000</w:t>
            </w:r>
          </w:p>
        </w:tc>
        <w:tc>
          <w:tcPr>
            <w:tcW w:w="1022" w:type="dxa"/>
            <w:tcBorders>
              <w:top w:val="nil"/>
              <w:left w:val="single" w:color="auto" w:sz="8" w:space="0"/>
              <w:bottom w:val="single" w:color="auto" w:sz="4" w:space="0"/>
              <w:right w:val="single" w:color="auto" w:sz="8" w:space="0"/>
            </w:tcBorders>
            <w:vAlign w:val="center"/>
          </w:tcPr>
          <w:p w14:paraId="24A3792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6777B5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w:t>
            </w:r>
          </w:p>
        </w:tc>
        <w:tc>
          <w:tcPr>
            <w:tcW w:w="1022" w:type="dxa"/>
            <w:tcBorders>
              <w:top w:val="nil"/>
              <w:left w:val="nil"/>
              <w:bottom w:val="single" w:color="auto" w:sz="4" w:space="0"/>
              <w:right w:val="single" w:color="auto" w:sz="4" w:space="0"/>
            </w:tcBorders>
            <w:vAlign w:val="center"/>
          </w:tcPr>
          <w:p w14:paraId="30066C94">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w:t>
            </w:r>
          </w:p>
        </w:tc>
        <w:tc>
          <w:tcPr>
            <w:tcW w:w="1022" w:type="dxa"/>
            <w:tcBorders>
              <w:top w:val="nil"/>
              <w:left w:val="nil"/>
              <w:bottom w:val="single" w:color="auto" w:sz="4" w:space="0"/>
              <w:right w:val="single" w:color="auto" w:sz="8" w:space="0"/>
            </w:tcBorders>
            <w:vAlign w:val="center"/>
          </w:tcPr>
          <w:p w14:paraId="20CFB12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C4CE13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15BB5C9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7ADCB74E">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02BFC6A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5CDD71E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23159513">
            <w:pPr>
              <w:widowControl/>
              <w:jc w:val="center"/>
              <w:rPr>
                <w:rFonts w:hint="eastAsia" w:ascii="宋体" w:hAnsi="宋体" w:eastAsia="宋体" w:cs="宋体"/>
                <w:b w:val="0"/>
                <w:bCs w:val="0"/>
                <w:color w:val="000000" w:themeColor="text1"/>
                <w:kern w:val="0"/>
                <w:sz w:val="16"/>
                <w:szCs w:val="16"/>
                <w:highlight w:val="none"/>
              </w:rPr>
            </w:pPr>
          </w:p>
        </w:tc>
      </w:tr>
      <w:tr w14:paraId="16CF04FA">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4D9F3900">
            <w:pPr>
              <w:widowControl/>
              <w:jc w:val="center"/>
              <w:rPr>
                <w:rFonts w:ascii="宋体" w:hAnsi="宋体" w:cs="宋体"/>
                <w:color w:val="000000" w:themeColor="text1"/>
                <w:kern w:val="0"/>
                <w:sz w:val="16"/>
                <w:szCs w:val="16"/>
              </w:rPr>
            </w:pPr>
            <w:r>
              <w:rPr>
                <w:rFonts w:hint="eastAsia" w:ascii="宋体" w:hAnsi="宋体" w:cs="宋体"/>
                <w:color w:val="000000" w:themeColor="text1"/>
                <w:kern w:val="0"/>
                <w:sz w:val="16"/>
                <w:szCs w:val="16"/>
              </w:rPr>
              <w:t>交通运输业</w:t>
            </w:r>
          </w:p>
        </w:tc>
        <w:tc>
          <w:tcPr>
            <w:tcW w:w="1022" w:type="dxa"/>
            <w:tcBorders>
              <w:top w:val="nil"/>
              <w:left w:val="single" w:color="auto" w:sz="8" w:space="0"/>
              <w:bottom w:val="single" w:color="auto" w:sz="4" w:space="0"/>
              <w:right w:val="single" w:color="auto" w:sz="8" w:space="0"/>
            </w:tcBorders>
            <w:vAlign w:val="center"/>
          </w:tcPr>
          <w:p w14:paraId="20A97937">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1000</w:t>
            </w:r>
          </w:p>
        </w:tc>
        <w:tc>
          <w:tcPr>
            <w:tcW w:w="1022" w:type="dxa"/>
            <w:tcBorders>
              <w:top w:val="nil"/>
              <w:left w:val="single" w:color="auto" w:sz="8" w:space="0"/>
              <w:bottom w:val="single" w:color="auto" w:sz="4" w:space="0"/>
              <w:right w:val="single" w:color="auto" w:sz="8" w:space="0"/>
            </w:tcBorders>
            <w:vAlign w:val="center"/>
          </w:tcPr>
          <w:p w14:paraId="0531F3C0">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30000</w:t>
            </w:r>
          </w:p>
        </w:tc>
        <w:tc>
          <w:tcPr>
            <w:tcW w:w="1022" w:type="dxa"/>
            <w:tcBorders>
              <w:top w:val="nil"/>
              <w:left w:val="single" w:color="auto" w:sz="8" w:space="0"/>
              <w:bottom w:val="single" w:color="auto" w:sz="4" w:space="0"/>
              <w:right w:val="single" w:color="auto" w:sz="8" w:space="0"/>
            </w:tcBorders>
            <w:vAlign w:val="center"/>
          </w:tcPr>
          <w:p w14:paraId="0648507C">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8534890">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4" w:space="0"/>
            </w:tcBorders>
            <w:vAlign w:val="center"/>
          </w:tcPr>
          <w:p w14:paraId="082210E4">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3000</w:t>
            </w:r>
          </w:p>
        </w:tc>
        <w:tc>
          <w:tcPr>
            <w:tcW w:w="1022" w:type="dxa"/>
            <w:tcBorders>
              <w:top w:val="nil"/>
              <w:left w:val="nil"/>
              <w:bottom w:val="single" w:color="auto" w:sz="4" w:space="0"/>
              <w:right w:val="single" w:color="auto" w:sz="8" w:space="0"/>
            </w:tcBorders>
            <w:vAlign w:val="center"/>
          </w:tcPr>
          <w:p w14:paraId="358E4D46">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3490AC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3A83293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w:t>
            </w:r>
          </w:p>
        </w:tc>
        <w:tc>
          <w:tcPr>
            <w:tcW w:w="1022" w:type="dxa"/>
            <w:tcBorders>
              <w:top w:val="nil"/>
              <w:left w:val="nil"/>
              <w:bottom w:val="single" w:color="auto" w:sz="4" w:space="0"/>
              <w:right w:val="single" w:color="auto" w:sz="8" w:space="0"/>
            </w:tcBorders>
            <w:vAlign w:val="center"/>
          </w:tcPr>
          <w:p w14:paraId="57E3068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1F95B2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X＜20</w:t>
            </w:r>
          </w:p>
        </w:tc>
        <w:tc>
          <w:tcPr>
            <w:tcW w:w="1022" w:type="dxa"/>
            <w:tcBorders>
              <w:top w:val="nil"/>
              <w:left w:val="nil"/>
              <w:bottom w:val="single" w:color="auto" w:sz="4" w:space="0"/>
              <w:right w:val="single" w:color="auto" w:sz="4" w:space="0"/>
            </w:tcBorders>
            <w:vAlign w:val="center"/>
          </w:tcPr>
          <w:p w14:paraId="15423C3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V＜200</w:t>
            </w:r>
          </w:p>
        </w:tc>
        <w:tc>
          <w:tcPr>
            <w:tcW w:w="1028" w:type="dxa"/>
            <w:tcBorders>
              <w:top w:val="nil"/>
              <w:left w:val="nil"/>
              <w:bottom w:val="single" w:color="auto" w:sz="4" w:space="0"/>
              <w:right w:val="single" w:color="auto" w:sz="8" w:space="0"/>
            </w:tcBorders>
            <w:vAlign w:val="center"/>
          </w:tcPr>
          <w:p w14:paraId="0028BA52">
            <w:pPr>
              <w:widowControl/>
              <w:jc w:val="center"/>
              <w:rPr>
                <w:rFonts w:hint="eastAsia" w:ascii="宋体" w:hAnsi="宋体" w:eastAsia="宋体" w:cs="宋体"/>
                <w:b w:val="0"/>
                <w:bCs w:val="0"/>
                <w:color w:val="000000" w:themeColor="text1"/>
                <w:kern w:val="0"/>
                <w:sz w:val="16"/>
                <w:szCs w:val="16"/>
                <w:highlight w:val="none"/>
              </w:rPr>
            </w:pPr>
          </w:p>
        </w:tc>
      </w:tr>
      <w:tr w14:paraId="50D9FB6C">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06B7C25C">
            <w:pPr>
              <w:widowControl/>
              <w:jc w:val="center"/>
              <w:rPr>
                <w:rFonts w:ascii="宋体" w:hAnsi="宋体" w:cs="宋体"/>
                <w:kern w:val="0"/>
                <w:sz w:val="16"/>
                <w:szCs w:val="16"/>
              </w:rPr>
            </w:pPr>
            <w:r>
              <w:rPr>
                <w:rFonts w:hint="eastAsia" w:ascii="宋体" w:hAnsi="宋体" w:cs="宋体"/>
                <w:kern w:val="0"/>
                <w:sz w:val="16"/>
                <w:szCs w:val="16"/>
              </w:rPr>
              <w:t>仓储业</w:t>
            </w:r>
          </w:p>
        </w:tc>
        <w:tc>
          <w:tcPr>
            <w:tcW w:w="1022" w:type="dxa"/>
            <w:tcBorders>
              <w:top w:val="nil"/>
              <w:left w:val="single" w:color="auto" w:sz="8" w:space="0"/>
              <w:bottom w:val="single" w:color="auto" w:sz="4" w:space="0"/>
              <w:right w:val="single" w:color="auto" w:sz="8" w:space="0"/>
            </w:tcBorders>
            <w:vAlign w:val="center"/>
          </w:tcPr>
          <w:p w14:paraId="0E415ACC">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200</w:t>
            </w:r>
          </w:p>
        </w:tc>
        <w:tc>
          <w:tcPr>
            <w:tcW w:w="1022" w:type="dxa"/>
            <w:tcBorders>
              <w:top w:val="nil"/>
              <w:left w:val="single" w:color="auto" w:sz="8" w:space="0"/>
              <w:bottom w:val="single" w:color="auto" w:sz="4" w:space="0"/>
              <w:right w:val="single" w:color="auto" w:sz="8" w:space="0"/>
            </w:tcBorders>
            <w:vAlign w:val="center"/>
          </w:tcPr>
          <w:p w14:paraId="1CB312C5">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30000</w:t>
            </w:r>
          </w:p>
        </w:tc>
        <w:tc>
          <w:tcPr>
            <w:tcW w:w="1022" w:type="dxa"/>
            <w:tcBorders>
              <w:top w:val="nil"/>
              <w:left w:val="single" w:color="auto" w:sz="8" w:space="0"/>
              <w:bottom w:val="single" w:color="auto" w:sz="4" w:space="0"/>
              <w:right w:val="single" w:color="auto" w:sz="8" w:space="0"/>
            </w:tcBorders>
            <w:vAlign w:val="center"/>
          </w:tcPr>
          <w:p w14:paraId="17EFCD7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AE8F98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7B973EB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6E26D62D">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3FE1DC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667C509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3CB27C81">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AB9D25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X＜20</w:t>
            </w:r>
          </w:p>
        </w:tc>
        <w:tc>
          <w:tcPr>
            <w:tcW w:w="1022" w:type="dxa"/>
            <w:tcBorders>
              <w:top w:val="nil"/>
              <w:left w:val="nil"/>
              <w:bottom w:val="single" w:color="auto" w:sz="4" w:space="0"/>
              <w:right w:val="single" w:color="auto" w:sz="4" w:space="0"/>
            </w:tcBorders>
            <w:vAlign w:val="center"/>
          </w:tcPr>
          <w:p w14:paraId="62C8B620">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03F06734">
            <w:pPr>
              <w:widowControl/>
              <w:jc w:val="center"/>
              <w:rPr>
                <w:rFonts w:hint="eastAsia" w:ascii="宋体" w:hAnsi="宋体" w:eastAsia="宋体" w:cs="宋体"/>
                <w:b w:val="0"/>
                <w:bCs w:val="0"/>
                <w:color w:val="000000" w:themeColor="text1"/>
                <w:kern w:val="0"/>
                <w:sz w:val="16"/>
                <w:szCs w:val="16"/>
                <w:highlight w:val="none"/>
              </w:rPr>
            </w:pPr>
          </w:p>
        </w:tc>
      </w:tr>
      <w:tr w14:paraId="4F9290CE">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06DEA8D3">
            <w:pPr>
              <w:widowControl/>
              <w:jc w:val="center"/>
              <w:rPr>
                <w:rFonts w:ascii="宋体" w:hAnsi="宋体" w:cs="宋体"/>
                <w:kern w:val="0"/>
                <w:sz w:val="16"/>
                <w:szCs w:val="16"/>
              </w:rPr>
            </w:pPr>
            <w:r>
              <w:rPr>
                <w:rFonts w:hint="eastAsia" w:ascii="宋体" w:hAnsi="宋体" w:cs="宋体"/>
                <w:kern w:val="0"/>
                <w:sz w:val="16"/>
                <w:szCs w:val="16"/>
              </w:rPr>
              <w:t>邮政业</w:t>
            </w:r>
          </w:p>
        </w:tc>
        <w:tc>
          <w:tcPr>
            <w:tcW w:w="1022" w:type="dxa"/>
            <w:tcBorders>
              <w:top w:val="nil"/>
              <w:left w:val="single" w:color="auto" w:sz="8" w:space="0"/>
              <w:bottom w:val="single" w:color="auto" w:sz="4" w:space="0"/>
              <w:right w:val="single" w:color="auto" w:sz="8" w:space="0"/>
            </w:tcBorders>
            <w:vAlign w:val="center"/>
          </w:tcPr>
          <w:p w14:paraId="4E8A8C9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1000</w:t>
            </w:r>
          </w:p>
        </w:tc>
        <w:tc>
          <w:tcPr>
            <w:tcW w:w="1022" w:type="dxa"/>
            <w:tcBorders>
              <w:top w:val="nil"/>
              <w:left w:val="single" w:color="auto" w:sz="8" w:space="0"/>
              <w:bottom w:val="single" w:color="auto" w:sz="4" w:space="0"/>
              <w:right w:val="single" w:color="auto" w:sz="8" w:space="0"/>
            </w:tcBorders>
            <w:vAlign w:val="center"/>
          </w:tcPr>
          <w:p w14:paraId="7A0985B2">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30000</w:t>
            </w:r>
          </w:p>
        </w:tc>
        <w:tc>
          <w:tcPr>
            <w:tcW w:w="1022" w:type="dxa"/>
            <w:tcBorders>
              <w:top w:val="nil"/>
              <w:left w:val="single" w:color="auto" w:sz="8" w:space="0"/>
              <w:bottom w:val="single" w:color="auto" w:sz="4" w:space="0"/>
              <w:right w:val="single" w:color="auto" w:sz="8" w:space="0"/>
            </w:tcBorders>
            <w:vAlign w:val="center"/>
          </w:tcPr>
          <w:p w14:paraId="4CBB68D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509344B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4" w:space="0"/>
            </w:tcBorders>
            <w:vAlign w:val="center"/>
          </w:tcPr>
          <w:p w14:paraId="18D5400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2000</w:t>
            </w:r>
          </w:p>
        </w:tc>
        <w:tc>
          <w:tcPr>
            <w:tcW w:w="1022" w:type="dxa"/>
            <w:tcBorders>
              <w:top w:val="nil"/>
              <w:left w:val="nil"/>
              <w:bottom w:val="single" w:color="auto" w:sz="4" w:space="0"/>
              <w:right w:val="single" w:color="auto" w:sz="8" w:space="0"/>
            </w:tcBorders>
            <w:vAlign w:val="center"/>
          </w:tcPr>
          <w:p w14:paraId="2BBEBFA8">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397625B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w:t>
            </w:r>
          </w:p>
        </w:tc>
        <w:tc>
          <w:tcPr>
            <w:tcW w:w="1022" w:type="dxa"/>
            <w:tcBorders>
              <w:top w:val="nil"/>
              <w:left w:val="nil"/>
              <w:bottom w:val="single" w:color="auto" w:sz="4" w:space="0"/>
              <w:right w:val="single" w:color="auto" w:sz="4" w:space="0"/>
            </w:tcBorders>
            <w:vAlign w:val="center"/>
          </w:tcPr>
          <w:p w14:paraId="13946FB4">
            <w:pPr>
              <w:widowControl/>
              <w:jc w:val="center"/>
              <w:rPr>
                <w:rFonts w:hint="eastAsia" w:ascii="宋体" w:hAnsi="宋体" w:eastAsia="宋体" w:cs="宋体"/>
                <w:b w:val="0"/>
                <w:bCs w:val="0"/>
                <w:color w:val="000000" w:themeColor="text1"/>
                <w:kern w:val="0"/>
                <w:sz w:val="16"/>
                <w:szCs w:val="16"/>
                <w:highlight w:val="none"/>
                <w:lang w:val="en-US" w:eastAsia="zh-CN"/>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5CA0A31C">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70C073C">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X＜20</w:t>
            </w:r>
          </w:p>
        </w:tc>
        <w:tc>
          <w:tcPr>
            <w:tcW w:w="1022" w:type="dxa"/>
            <w:tcBorders>
              <w:top w:val="nil"/>
              <w:left w:val="nil"/>
              <w:bottom w:val="single" w:color="auto" w:sz="4" w:space="0"/>
              <w:right w:val="single" w:color="auto" w:sz="4" w:space="0"/>
            </w:tcBorders>
            <w:vAlign w:val="center"/>
          </w:tcPr>
          <w:p w14:paraId="2BE6952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3F952085">
            <w:pPr>
              <w:widowControl/>
              <w:jc w:val="center"/>
              <w:rPr>
                <w:rFonts w:hint="eastAsia" w:ascii="宋体" w:hAnsi="宋体" w:eastAsia="宋体" w:cs="宋体"/>
                <w:b w:val="0"/>
                <w:bCs w:val="0"/>
                <w:color w:val="000000" w:themeColor="text1"/>
                <w:kern w:val="0"/>
                <w:sz w:val="16"/>
                <w:szCs w:val="16"/>
                <w:highlight w:val="none"/>
              </w:rPr>
            </w:pPr>
          </w:p>
        </w:tc>
      </w:tr>
      <w:tr w14:paraId="592C6E6B">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32E43707">
            <w:pPr>
              <w:widowControl/>
              <w:jc w:val="center"/>
              <w:rPr>
                <w:rFonts w:ascii="宋体" w:hAnsi="宋体" w:cs="宋体"/>
                <w:kern w:val="0"/>
                <w:sz w:val="16"/>
                <w:szCs w:val="16"/>
              </w:rPr>
            </w:pPr>
            <w:r>
              <w:rPr>
                <w:rFonts w:hint="eastAsia" w:ascii="宋体" w:hAnsi="宋体" w:cs="宋体"/>
                <w:kern w:val="0"/>
                <w:sz w:val="16"/>
                <w:szCs w:val="16"/>
              </w:rPr>
              <w:t>住宿业</w:t>
            </w:r>
          </w:p>
        </w:tc>
        <w:tc>
          <w:tcPr>
            <w:tcW w:w="1022" w:type="dxa"/>
            <w:tcBorders>
              <w:top w:val="nil"/>
              <w:left w:val="single" w:color="auto" w:sz="8" w:space="0"/>
              <w:bottom w:val="single" w:color="auto" w:sz="4" w:space="0"/>
              <w:right w:val="single" w:color="auto" w:sz="8" w:space="0"/>
            </w:tcBorders>
            <w:vAlign w:val="center"/>
          </w:tcPr>
          <w:p w14:paraId="2F174366">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300</w:t>
            </w:r>
          </w:p>
        </w:tc>
        <w:tc>
          <w:tcPr>
            <w:tcW w:w="1022" w:type="dxa"/>
            <w:tcBorders>
              <w:top w:val="nil"/>
              <w:left w:val="single" w:color="auto" w:sz="8" w:space="0"/>
              <w:bottom w:val="single" w:color="auto" w:sz="4" w:space="0"/>
              <w:right w:val="single" w:color="auto" w:sz="8" w:space="0"/>
            </w:tcBorders>
            <w:vAlign w:val="center"/>
          </w:tcPr>
          <w:p w14:paraId="582BCB81">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10000</w:t>
            </w:r>
          </w:p>
        </w:tc>
        <w:tc>
          <w:tcPr>
            <w:tcW w:w="1022" w:type="dxa"/>
            <w:tcBorders>
              <w:top w:val="nil"/>
              <w:left w:val="single" w:color="auto" w:sz="8" w:space="0"/>
              <w:bottom w:val="single" w:color="auto" w:sz="4" w:space="0"/>
              <w:right w:val="single" w:color="auto" w:sz="8" w:space="0"/>
            </w:tcBorders>
            <w:vAlign w:val="center"/>
          </w:tcPr>
          <w:p w14:paraId="491848F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389F750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1CB5EAC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2000</w:t>
            </w:r>
          </w:p>
        </w:tc>
        <w:tc>
          <w:tcPr>
            <w:tcW w:w="1022" w:type="dxa"/>
            <w:tcBorders>
              <w:top w:val="nil"/>
              <w:left w:val="nil"/>
              <w:bottom w:val="single" w:color="auto" w:sz="4" w:space="0"/>
              <w:right w:val="single" w:color="auto" w:sz="8" w:space="0"/>
            </w:tcBorders>
            <w:vAlign w:val="center"/>
          </w:tcPr>
          <w:p w14:paraId="2D9274F9">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0FA0DEF6">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77C284D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18CA3EC0">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FEECA1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5BAD73C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680273F2">
            <w:pPr>
              <w:widowControl/>
              <w:jc w:val="center"/>
              <w:rPr>
                <w:rFonts w:hint="eastAsia" w:ascii="宋体" w:hAnsi="宋体" w:eastAsia="宋体" w:cs="宋体"/>
                <w:b w:val="0"/>
                <w:bCs w:val="0"/>
                <w:color w:val="000000" w:themeColor="text1"/>
                <w:kern w:val="0"/>
                <w:sz w:val="16"/>
                <w:szCs w:val="16"/>
                <w:highlight w:val="none"/>
              </w:rPr>
            </w:pPr>
          </w:p>
        </w:tc>
      </w:tr>
      <w:tr w14:paraId="3833CADC">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767398E7">
            <w:pPr>
              <w:widowControl/>
              <w:jc w:val="center"/>
              <w:rPr>
                <w:rFonts w:ascii="宋体" w:hAnsi="宋体" w:cs="宋体"/>
                <w:kern w:val="0"/>
                <w:sz w:val="16"/>
                <w:szCs w:val="16"/>
              </w:rPr>
            </w:pPr>
            <w:r>
              <w:rPr>
                <w:rFonts w:hint="eastAsia" w:ascii="宋体" w:hAnsi="宋体" w:cs="宋体"/>
                <w:kern w:val="0"/>
                <w:sz w:val="16"/>
                <w:szCs w:val="16"/>
              </w:rPr>
              <w:t>餐饮业</w:t>
            </w:r>
          </w:p>
        </w:tc>
        <w:tc>
          <w:tcPr>
            <w:tcW w:w="1022" w:type="dxa"/>
            <w:tcBorders>
              <w:top w:val="nil"/>
              <w:left w:val="single" w:color="auto" w:sz="8" w:space="0"/>
              <w:bottom w:val="single" w:color="auto" w:sz="4" w:space="0"/>
              <w:right w:val="single" w:color="auto" w:sz="8" w:space="0"/>
            </w:tcBorders>
            <w:vAlign w:val="center"/>
          </w:tcPr>
          <w:p w14:paraId="24E5E042">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300</w:t>
            </w:r>
          </w:p>
        </w:tc>
        <w:tc>
          <w:tcPr>
            <w:tcW w:w="1022" w:type="dxa"/>
            <w:tcBorders>
              <w:top w:val="nil"/>
              <w:left w:val="single" w:color="auto" w:sz="8" w:space="0"/>
              <w:bottom w:val="single" w:color="auto" w:sz="4" w:space="0"/>
              <w:right w:val="single" w:color="auto" w:sz="8" w:space="0"/>
            </w:tcBorders>
            <w:vAlign w:val="center"/>
          </w:tcPr>
          <w:p w14:paraId="1E13A64C">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10000</w:t>
            </w:r>
          </w:p>
        </w:tc>
        <w:tc>
          <w:tcPr>
            <w:tcW w:w="1022" w:type="dxa"/>
            <w:tcBorders>
              <w:top w:val="nil"/>
              <w:left w:val="single" w:color="auto" w:sz="8" w:space="0"/>
              <w:bottom w:val="single" w:color="auto" w:sz="4" w:space="0"/>
              <w:right w:val="single" w:color="auto" w:sz="8" w:space="0"/>
            </w:tcBorders>
            <w:vAlign w:val="center"/>
          </w:tcPr>
          <w:p w14:paraId="53208AD6">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7B99E4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0EBBB30C">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2000</w:t>
            </w:r>
          </w:p>
        </w:tc>
        <w:tc>
          <w:tcPr>
            <w:tcW w:w="1022" w:type="dxa"/>
            <w:tcBorders>
              <w:top w:val="nil"/>
              <w:left w:val="nil"/>
              <w:bottom w:val="single" w:color="auto" w:sz="4" w:space="0"/>
              <w:right w:val="single" w:color="auto" w:sz="8" w:space="0"/>
            </w:tcBorders>
            <w:vAlign w:val="center"/>
          </w:tcPr>
          <w:p w14:paraId="0345AA2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222F4941">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30F4877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3F46E7D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21F3E6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2A3A219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V＜100</w:t>
            </w:r>
          </w:p>
        </w:tc>
        <w:tc>
          <w:tcPr>
            <w:tcW w:w="1028" w:type="dxa"/>
            <w:tcBorders>
              <w:top w:val="nil"/>
              <w:left w:val="nil"/>
              <w:bottom w:val="single" w:color="auto" w:sz="4" w:space="0"/>
              <w:right w:val="single" w:color="auto" w:sz="8" w:space="0"/>
            </w:tcBorders>
            <w:vAlign w:val="center"/>
          </w:tcPr>
          <w:p w14:paraId="4C862680">
            <w:pPr>
              <w:widowControl/>
              <w:jc w:val="center"/>
              <w:rPr>
                <w:rFonts w:hint="eastAsia" w:ascii="宋体" w:hAnsi="宋体" w:eastAsia="宋体" w:cs="宋体"/>
                <w:b w:val="0"/>
                <w:bCs w:val="0"/>
                <w:color w:val="000000" w:themeColor="text1"/>
                <w:kern w:val="0"/>
                <w:sz w:val="16"/>
                <w:szCs w:val="16"/>
                <w:highlight w:val="none"/>
              </w:rPr>
            </w:pPr>
          </w:p>
        </w:tc>
      </w:tr>
      <w:tr w14:paraId="069C099E">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346E3BDD">
            <w:pPr>
              <w:widowControl/>
              <w:jc w:val="center"/>
              <w:rPr>
                <w:rFonts w:ascii="宋体" w:hAnsi="宋体" w:cs="宋体"/>
                <w:kern w:val="0"/>
                <w:sz w:val="16"/>
                <w:szCs w:val="16"/>
              </w:rPr>
            </w:pPr>
            <w:r>
              <w:rPr>
                <w:rFonts w:hint="eastAsia" w:ascii="宋体" w:hAnsi="宋体" w:cs="宋体"/>
                <w:kern w:val="0"/>
                <w:sz w:val="16"/>
                <w:szCs w:val="16"/>
              </w:rPr>
              <w:t>信息传输业</w:t>
            </w:r>
          </w:p>
        </w:tc>
        <w:tc>
          <w:tcPr>
            <w:tcW w:w="1022" w:type="dxa"/>
            <w:tcBorders>
              <w:top w:val="nil"/>
              <w:left w:val="single" w:color="auto" w:sz="8" w:space="0"/>
              <w:bottom w:val="single" w:color="auto" w:sz="4" w:space="0"/>
              <w:right w:val="single" w:color="auto" w:sz="8" w:space="0"/>
            </w:tcBorders>
            <w:vAlign w:val="center"/>
          </w:tcPr>
          <w:p w14:paraId="6A85731F">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2000</w:t>
            </w:r>
          </w:p>
        </w:tc>
        <w:tc>
          <w:tcPr>
            <w:tcW w:w="1022" w:type="dxa"/>
            <w:tcBorders>
              <w:top w:val="nil"/>
              <w:left w:val="single" w:color="auto" w:sz="8" w:space="0"/>
              <w:bottom w:val="single" w:color="auto" w:sz="4" w:space="0"/>
              <w:right w:val="single" w:color="auto" w:sz="8" w:space="0"/>
            </w:tcBorders>
            <w:vAlign w:val="center"/>
          </w:tcPr>
          <w:p w14:paraId="3F35EC2D">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100000</w:t>
            </w:r>
          </w:p>
        </w:tc>
        <w:tc>
          <w:tcPr>
            <w:tcW w:w="1022" w:type="dxa"/>
            <w:tcBorders>
              <w:top w:val="nil"/>
              <w:left w:val="single" w:color="auto" w:sz="8" w:space="0"/>
              <w:bottom w:val="single" w:color="auto" w:sz="4" w:space="0"/>
              <w:right w:val="single" w:color="auto" w:sz="8" w:space="0"/>
            </w:tcBorders>
            <w:vAlign w:val="center"/>
          </w:tcPr>
          <w:p w14:paraId="198FD2B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584F9AD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283AD7A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5DF656EA">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7EBF7053">
            <w:pPr>
              <w:widowControl/>
              <w:jc w:val="center"/>
              <w:rPr>
                <w:rFonts w:hint="eastAsia" w:ascii="宋体" w:hAnsi="宋体" w:eastAsia="宋体" w:cs="宋体"/>
                <w:b w:val="0"/>
                <w:bCs w:val="0"/>
                <w:color w:val="000000" w:themeColor="text1"/>
                <w:kern w:val="0"/>
                <w:sz w:val="16"/>
                <w:szCs w:val="16"/>
                <w:highlight w:val="none"/>
                <w:lang w:val="en-US" w:eastAsia="zh-CN"/>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05D5C44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07667C9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31DD5E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6DF56B7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55FED8E7">
            <w:pPr>
              <w:widowControl/>
              <w:jc w:val="center"/>
              <w:rPr>
                <w:rFonts w:hint="eastAsia" w:ascii="宋体" w:hAnsi="宋体" w:eastAsia="宋体" w:cs="宋体"/>
                <w:b w:val="0"/>
                <w:bCs w:val="0"/>
                <w:color w:val="000000" w:themeColor="text1"/>
                <w:kern w:val="0"/>
                <w:sz w:val="16"/>
                <w:szCs w:val="16"/>
                <w:highlight w:val="none"/>
              </w:rPr>
            </w:pPr>
          </w:p>
        </w:tc>
      </w:tr>
      <w:tr w14:paraId="17DFF5BE">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41A2E9E3">
            <w:pPr>
              <w:widowControl/>
              <w:jc w:val="center"/>
              <w:rPr>
                <w:rFonts w:ascii="宋体" w:hAnsi="宋体" w:cs="宋体"/>
                <w:kern w:val="0"/>
                <w:sz w:val="16"/>
                <w:szCs w:val="16"/>
              </w:rPr>
            </w:pPr>
            <w:r>
              <w:rPr>
                <w:rFonts w:hint="eastAsia" w:ascii="宋体" w:hAnsi="宋体" w:cs="宋体"/>
                <w:kern w:val="0"/>
                <w:sz w:val="16"/>
                <w:szCs w:val="16"/>
              </w:rPr>
              <w:t>软件和信息技术服务业</w:t>
            </w:r>
          </w:p>
        </w:tc>
        <w:tc>
          <w:tcPr>
            <w:tcW w:w="1022" w:type="dxa"/>
            <w:tcBorders>
              <w:top w:val="nil"/>
              <w:left w:val="single" w:color="auto" w:sz="8" w:space="0"/>
              <w:bottom w:val="single" w:color="auto" w:sz="4" w:space="0"/>
              <w:right w:val="single" w:color="auto" w:sz="8" w:space="0"/>
            </w:tcBorders>
            <w:vAlign w:val="center"/>
          </w:tcPr>
          <w:p w14:paraId="316B36DF">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X≥</w:t>
            </w:r>
            <w:r>
              <w:rPr>
                <w:rFonts w:hint="eastAsia" w:ascii="宋体" w:hAnsi="宋体" w:cs="宋体"/>
                <w:b w:val="0"/>
                <w:bCs w:val="0"/>
                <w:color w:val="000000" w:themeColor="text1"/>
                <w:kern w:val="0"/>
                <w:sz w:val="16"/>
                <w:szCs w:val="16"/>
                <w:highlight w:val="none"/>
                <w:lang w:val="en-US" w:eastAsia="zh-CN"/>
              </w:rPr>
              <w:t>300</w:t>
            </w:r>
          </w:p>
        </w:tc>
        <w:tc>
          <w:tcPr>
            <w:tcW w:w="1022" w:type="dxa"/>
            <w:tcBorders>
              <w:top w:val="nil"/>
              <w:left w:val="single" w:color="auto" w:sz="8" w:space="0"/>
              <w:bottom w:val="single" w:color="auto" w:sz="4" w:space="0"/>
              <w:right w:val="single" w:color="auto" w:sz="8" w:space="0"/>
            </w:tcBorders>
            <w:vAlign w:val="center"/>
          </w:tcPr>
          <w:p w14:paraId="3D194252">
            <w:pPr>
              <w:widowControl/>
              <w:jc w:val="center"/>
              <w:rPr>
                <w:rFonts w:hint="default" w:ascii="宋体" w:hAnsi="宋体" w:eastAsia="宋体" w:cs="宋体"/>
                <w:b w:val="0"/>
                <w:bCs w:val="0"/>
                <w:color w:val="000000" w:themeColor="text1"/>
                <w:kern w:val="0"/>
                <w:sz w:val="16"/>
                <w:szCs w:val="16"/>
                <w:highlight w:val="none"/>
                <w:lang w:val="en-US"/>
              </w:rPr>
            </w:pPr>
            <w:r>
              <w:rPr>
                <w:rFonts w:hint="eastAsia" w:ascii="宋体" w:hAnsi="宋体" w:eastAsia="宋体" w:cs="宋体"/>
                <w:b w:val="0"/>
                <w:bCs w:val="0"/>
                <w:color w:val="000000" w:themeColor="text1"/>
                <w:kern w:val="0"/>
                <w:sz w:val="16"/>
                <w:szCs w:val="16"/>
                <w:highlight w:val="none"/>
                <w:lang w:val="en-US" w:eastAsia="zh-CN"/>
              </w:rPr>
              <w:t>Y≥</w:t>
            </w:r>
            <w:r>
              <w:rPr>
                <w:rFonts w:hint="eastAsia" w:ascii="宋体" w:hAnsi="宋体" w:cs="宋体"/>
                <w:b w:val="0"/>
                <w:bCs w:val="0"/>
                <w:color w:val="000000" w:themeColor="text1"/>
                <w:kern w:val="0"/>
                <w:sz w:val="16"/>
                <w:szCs w:val="16"/>
                <w:highlight w:val="none"/>
                <w:lang w:val="en-US" w:eastAsia="zh-CN"/>
              </w:rPr>
              <w:t>10000</w:t>
            </w:r>
          </w:p>
        </w:tc>
        <w:tc>
          <w:tcPr>
            <w:tcW w:w="1022" w:type="dxa"/>
            <w:tcBorders>
              <w:top w:val="nil"/>
              <w:left w:val="single" w:color="auto" w:sz="8" w:space="0"/>
              <w:bottom w:val="single" w:color="auto" w:sz="4" w:space="0"/>
              <w:right w:val="single" w:color="auto" w:sz="8" w:space="0"/>
            </w:tcBorders>
            <w:vAlign w:val="center"/>
          </w:tcPr>
          <w:p w14:paraId="1C57B8C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C6288E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42BCFEA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56E3ED8F">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6DFB19E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2249896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w:t>
            </w:r>
          </w:p>
        </w:tc>
        <w:tc>
          <w:tcPr>
            <w:tcW w:w="1022" w:type="dxa"/>
            <w:tcBorders>
              <w:top w:val="nil"/>
              <w:left w:val="nil"/>
              <w:bottom w:val="single" w:color="auto" w:sz="4" w:space="0"/>
              <w:right w:val="single" w:color="auto" w:sz="8" w:space="0"/>
            </w:tcBorders>
            <w:vAlign w:val="center"/>
          </w:tcPr>
          <w:p w14:paraId="338DB5C9">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C7C7F2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5758E23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Y＜50</w:t>
            </w:r>
          </w:p>
        </w:tc>
        <w:tc>
          <w:tcPr>
            <w:tcW w:w="1028" w:type="dxa"/>
            <w:tcBorders>
              <w:top w:val="nil"/>
              <w:left w:val="nil"/>
              <w:bottom w:val="single" w:color="auto" w:sz="4" w:space="0"/>
              <w:right w:val="single" w:color="auto" w:sz="8" w:space="0"/>
            </w:tcBorders>
            <w:vAlign w:val="center"/>
          </w:tcPr>
          <w:p w14:paraId="095E4E7A">
            <w:pPr>
              <w:widowControl/>
              <w:jc w:val="center"/>
              <w:rPr>
                <w:rFonts w:hint="eastAsia" w:ascii="宋体" w:hAnsi="宋体" w:eastAsia="宋体" w:cs="宋体"/>
                <w:b w:val="0"/>
                <w:bCs w:val="0"/>
                <w:color w:val="000000" w:themeColor="text1"/>
                <w:kern w:val="0"/>
                <w:sz w:val="16"/>
                <w:szCs w:val="16"/>
                <w:highlight w:val="none"/>
              </w:rPr>
            </w:pPr>
          </w:p>
        </w:tc>
      </w:tr>
      <w:tr w14:paraId="3886883E">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4F5A7C40">
            <w:pPr>
              <w:widowControl/>
              <w:jc w:val="center"/>
              <w:rPr>
                <w:rFonts w:ascii="宋体" w:hAnsi="宋体" w:cs="宋体"/>
                <w:kern w:val="0"/>
                <w:sz w:val="16"/>
                <w:szCs w:val="16"/>
              </w:rPr>
            </w:pPr>
            <w:r>
              <w:rPr>
                <w:rFonts w:hint="eastAsia" w:ascii="宋体" w:hAnsi="宋体" w:cs="宋体"/>
                <w:kern w:val="0"/>
                <w:sz w:val="16"/>
                <w:szCs w:val="16"/>
              </w:rPr>
              <w:t>房地产开发经营</w:t>
            </w:r>
          </w:p>
        </w:tc>
        <w:tc>
          <w:tcPr>
            <w:tcW w:w="1022" w:type="dxa"/>
            <w:tcBorders>
              <w:top w:val="nil"/>
              <w:left w:val="single" w:color="auto" w:sz="8" w:space="0"/>
              <w:bottom w:val="single" w:color="auto" w:sz="4" w:space="0"/>
              <w:right w:val="single" w:color="auto" w:sz="8" w:space="0"/>
            </w:tcBorders>
            <w:vAlign w:val="center"/>
          </w:tcPr>
          <w:p w14:paraId="66F7ACAE">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single" w:color="auto" w:sz="8" w:space="0"/>
              <w:bottom w:val="single" w:color="auto" w:sz="4" w:space="0"/>
              <w:right w:val="single" w:color="auto" w:sz="8" w:space="0"/>
            </w:tcBorders>
            <w:vAlign w:val="center"/>
          </w:tcPr>
          <w:p w14:paraId="7020A1D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200</w:t>
            </w:r>
            <w:r>
              <w:rPr>
                <w:rFonts w:hint="eastAsia" w:ascii="宋体" w:hAnsi="宋体" w:eastAsia="宋体" w:cs="宋体"/>
                <w:b w:val="0"/>
                <w:bCs w:val="0"/>
                <w:color w:val="000000" w:themeColor="text1"/>
                <w:kern w:val="0"/>
                <w:sz w:val="16"/>
                <w:szCs w:val="16"/>
                <w:highlight w:val="none"/>
              </w:rPr>
              <w:t>000</w:t>
            </w:r>
          </w:p>
        </w:tc>
        <w:tc>
          <w:tcPr>
            <w:tcW w:w="1022" w:type="dxa"/>
            <w:tcBorders>
              <w:top w:val="nil"/>
              <w:left w:val="single" w:color="auto" w:sz="8" w:space="0"/>
              <w:bottom w:val="single" w:color="auto" w:sz="4" w:space="0"/>
              <w:right w:val="single" w:color="auto" w:sz="8" w:space="0"/>
            </w:tcBorders>
            <w:vAlign w:val="center"/>
          </w:tcPr>
          <w:p w14:paraId="35009A4E">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10</w:t>
            </w:r>
            <w:r>
              <w:rPr>
                <w:rFonts w:hint="eastAsia" w:ascii="宋体" w:hAnsi="宋体" w:eastAsia="宋体" w:cs="宋体"/>
                <w:b w:val="0"/>
                <w:bCs w:val="0"/>
                <w:color w:val="000000" w:themeColor="text1"/>
                <w:kern w:val="0"/>
                <w:sz w:val="16"/>
                <w:szCs w:val="16"/>
                <w:highlight w:val="none"/>
              </w:rPr>
              <w:t>000</w:t>
            </w:r>
          </w:p>
        </w:tc>
        <w:tc>
          <w:tcPr>
            <w:tcW w:w="1022" w:type="dxa"/>
            <w:tcBorders>
              <w:top w:val="nil"/>
              <w:left w:val="nil"/>
              <w:bottom w:val="single" w:color="auto" w:sz="4" w:space="0"/>
              <w:right w:val="single" w:color="auto" w:sz="4" w:space="0"/>
            </w:tcBorders>
            <w:vAlign w:val="center"/>
          </w:tcPr>
          <w:p w14:paraId="716D0E44">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12F874D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139009E1">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5000</w:t>
            </w:r>
          </w:p>
        </w:tc>
        <w:tc>
          <w:tcPr>
            <w:tcW w:w="1022" w:type="dxa"/>
            <w:tcBorders>
              <w:top w:val="nil"/>
              <w:left w:val="nil"/>
              <w:bottom w:val="single" w:color="auto" w:sz="4" w:space="0"/>
              <w:right w:val="single" w:color="auto" w:sz="4" w:space="0"/>
            </w:tcBorders>
            <w:vAlign w:val="center"/>
          </w:tcPr>
          <w:p w14:paraId="60063D20">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0EE29A9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8" w:space="0"/>
            </w:tcBorders>
            <w:vAlign w:val="center"/>
          </w:tcPr>
          <w:p w14:paraId="0E6687EF">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2000</w:t>
            </w:r>
          </w:p>
        </w:tc>
        <w:tc>
          <w:tcPr>
            <w:tcW w:w="1022" w:type="dxa"/>
            <w:tcBorders>
              <w:top w:val="nil"/>
              <w:left w:val="nil"/>
              <w:bottom w:val="single" w:color="auto" w:sz="4" w:space="0"/>
              <w:right w:val="single" w:color="auto" w:sz="4" w:space="0"/>
            </w:tcBorders>
            <w:vAlign w:val="center"/>
          </w:tcPr>
          <w:p w14:paraId="2CC98EAE">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34852D7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Y＜100</w:t>
            </w:r>
          </w:p>
        </w:tc>
        <w:tc>
          <w:tcPr>
            <w:tcW w:w="1028" w:type="dxa"/>
            <w:tcBorders>
              <w:top w:val="nil"/>
              <w:left w:val="nil"/>
              <w:bottom w:val="single" w:color="auto" w:sz="4" w:space="0"/>
              <w:right w:val="single" w:color="auto" w:sz="8" w:space="0"/>
            </w:tcBorders>
            <w:vAlign w:val="center"/>
          </w:tcPr>
          <w:p w14:paraId="34453459">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Z＜2000</w:t>
            </w:r>
          </w:p>
        </w:tc>
      </w:tr>
      <w:tr w14:paraId="6C03F870">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486AF1DE">
            <w:pPr>
              <w:widowControl/>
              <w:jc w:val="center"/>
              <w:rPr>
                <w:rFonts w:ascii="宋体" w:hAnsi="宋体" w:cs="宋体"/>
                <w:kern w:val="0"/>
                <w:sz w:val="16"/>
                <w:szCs w:val="16"/>
              </w:rPr>
            </w:pPr>
            <w:r>
              <w:rPr>
                <w:rFonts w:hint="eastAsia" w:ascii="宋体" w:hAnsi="宋体" w:cs="宋体"/>
                <w:kern w:val="0"/>
                <w:sz w:val="16"/>
                <w:szCs w:val="16"/>
              </w:rPr>
              <w:t>物业管理</w:t>
            </w:r>
          </w:p>
        </w:tc>
        <w:tc>
          <w:tcPr>
            <w:tcW w:w="1022" w:type="dxa"/>
            <w:tcBorders>
              <w:top w:val="nil"/>
              <w:left w:val="single" w:color="auto" w:sz="8" w:space="0"/>
              <w:bottom w:val="single" w:color="auto" w:sz="4" w:space="0"/>
              <w:right w:val="single" w:color="auto" w:sz="8" w:space="0"/>
            </w:tcBorders>
            <w:vAlign w:val="center"/>
          </w:tcPr>
          <w:p w14:paraId="4D56102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10</w:t>
            </w:r>
            <w:r>
              <w:rPr>
                <w:rFonts w:hint="eastAsia" w:ascii="宋体" w:hAnsi="宋体" w:eastAsia="宋体" w:cs="宋体"/>
                <w:b w:val="0"/>
                <w:bCs w:val="0"/>
                <w:color w:val="000000" w:themeColor="text1"/>
                <w:kern w:val="0"/>
                <w:sz w:val="16"/>
                <w:szCs w:val="16"/>
                <w:highlight w:val="none"/>
              </w:rPr>
              <w:t>00</w:t>
            </w:r>
          </w:p>
        </w:tc>
        <w:tc>
          <w:tcPr>
            <w:tcW w:w="1022" w:type="dxa"/>
            <w:tcBorders>
              <w:top w:val="nil"/>
              <w:left w:val="single" w:color="auto" w:sz="8" w:space="0"/>
              <w:bottom w:val="single" w:color="auto" w:sz="4" w:space="0"/>
              <w:right w:val="single" w:color="auto" w:sz="8" w:space="0"/>
            </w:tcBorders>
            <w:vAlign w:val="center"/>
          </w:tcPr>
          <w:p w14:paraId="5948C44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5</w:t>
            </w:r>
            <w:r>
              <w:rPr>
                <w:rFonts w:hint="eastAsia" w:ascii="宋体" w:hAnsi="宋体" w:eastAsia="宋体" w:cs="宋体"/>
                <w:b w:val="0"/>
                <w:bCs w:val="0"/>
                <w:color w:val="000000" w:themeColor="text1"/>
                <w:kern w:val="0"/>
                <w:sz w:val="16"/>
                <w:szCs w:val="16"/>
                <w:highlight w:val="none"/>
              </w:rPr>
              <w:t>000</w:t>
            </w:r>
          </w:p>
        </w:tc>
        <w:tc>
          <w:tcPr>
            <w:tcW w:w="1022" w:type="dxa"/>
            <w:tcBorders>
              <w:top w:val="nil"/>
              <w:left w:val="single" w:color="auto" w:sz="8" w:space="0"/>
              <w:bottom w:val="single" w:color="auto" w:sz="4" w:space="0"/>
              <w:right w:val="single" w:color="auto" w:sz="8" w:space="0"/>
            </w:tcBorders>
            <w:vAlign w:val="center"/>
          </w:tcPr>
          <w:p w14:paraId="4FB34586">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58D2AD2B">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300</w:t>
            </w:r>
          </w:p>
        </w:tc>
        <w:tc>
          <w:tcPr>
            <w:tcW w:w="1022" w:type="dxa"/>
            <w:tcBorders>
              <w:top w:val="nil"/>
              <w:left w:val="nil"/>
              <w:bottom w:val="single" w:color="auto" w:sz="4" w:space="0"/>
              <w:right w:val="single" w:color="auto" w:sz="4" w:space="0"/>
            </w:tcBorders>
            <w:vAlign w:val="center"/>
          </w:tcPr>
          <w:p w14:paraId="292B0FB2">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1000</w:t>
            </w:r>
          </w:p>
        </w:tc>
        <w:tc>
          <w:tcPr>
            <w:tcW w:w="1022" w:type="dxa"/>
            <w:tcBorders>
              <w:top w:val="nil"/>
              <w:left w:val="nil"/>
              <w:bottom w:val="single" w:color="auto" w:sz="4" w:space="0"/>
              <w:right w:val="single" w:color="auto" w:sz="8" w:space="0"/>
            </w:tcBorders>
            <w:vAlign w:val="center"/>
          </w:tcPr>
          <w:p w14:paraId="70D18EC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C7F100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7D840D77">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500</w:t>
            </w:r>
          </w:p>
        </w:tc>
        <w:tc>
          <w:tcPr>
            <w:tcW w:w="1022" w:type="dxa"/>
            <w:tcBorders>
              <w:top w:val="nil"/>
              <w:left w:val="nil"/>
              <w:bottom w:val="single" w:color="auto" w:sz="4" w:space="0"/>
              <w:right w:val="single" w:color="auto" w:sz="8" w:space="0"/>
            </w:tcBorders>
            <w:vAlign w:val="center"/>
          </w:tcPr>
          <w:p w14:paraId="330B19C5">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4" w:space="0"/>
            </w:tcBorders>
            <w:vAlign w:val="center"/>
          </w:tcPr>
          <w:p w14:paraId="4043BCF1">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X＜100</w:t>
            </w:r>
          </w:p>
        </w:tc>
        <w:tc>
          <w:tcPr>
            <w:tcW w:w="1022" w:type="dxa"/>
            <w:tcBorders>
              <w:top w:val="nil"/>
              <w:left w:val="nil"/>
              <w:bottom w:val="single" w:color="auto" w:sz="4" w:space="0"/>
              <w:right w:val="single" w:color="auto" w:sz="4" w:space="0"/>
            </w:tcBorders>
            <w:vAlign w:val="center"/>
          </w:tcPr>
          <w:p w14:paraId="59985F5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Y＜500</w:t>
            </w:r>
          </w:p>
        </w:tc>
        <w:tc>
          <w:tcPr>
            <w:tcW w:w="1028" w:type="dxa"/>
            <w:tcBorders>
              <w:top w:val="nil"/>
              <w:left w:val="nil"/>
              <w:bottom w:val="single" w:color="auto" w:sz="4" w:space="0"/>
              <w:right w:val="single" w:color="auto" w:sz="8" w:space="0"/>
            </w:tcBorders>
            <w:vAlign w:val="center"/>
          </w:tcPr>
          <w:p w14:paraId="2E410D2F">
            <w:pPr>
              <w:widowControl/>
              <w:jc w:val="center"/>
              <w:rPr>
                <w:rFonts w:hint="eastAsia" w:ascii="宋体" w:hAnsi="宋体" w:eastAsia="宋体" w:cs="宋体"/>
                <w:b w:val="0"/>
                <w:bCs w:val="0"/>
                <w:color w:val="000000" w:themeColor="text1"/>
                <w:kern w:val="0"/>
                <w:sz w:val="16"/>
                <w:szCs w:val="16"/>
                <w:highlight w:val="none"/>
              </w:rPr>
            </w:pPr>
          </w:p>
        </w:tc>
      </w:tr>
      <w:tr w14:paraId="6101DEF1">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4" w:space="0"/>
              <w:right w:val="single" w:color="auto" w:sz="8" w:space="0"/>
            </w:tcBorders>
            <w:vAlign w:val="bottom"/>
          </w:tcPr>
          <w:p w14:paraId="0DD5ACD9">
            <w:pPr>
              <w:widowControl/>
              <w:jc w:val="center"/>
              <w:rPr>
                <w:rFonts w:ascii="宋体" w:hAnsi="宋体" w:cs="宋体"/>
                <w:kern w:val="0"/>
                <w:sz w:val="16"/>
                <w:szCs w:val="16"/>
              </w:rPr>
            </w:pPr>
            <w:r>
              <w:rPr>
                <w:rFonts w:hint="eastAsia" w:ascii="宋体" w:hAnsi="宋体" w:cs="宋体"/>
                <w:kern w:val="0"/>
                <w:sz w:val="16"/>
                <w:szCs w:val="16"/>
              </w:rPr>
              <w:t>租赁和商务服务业</w:t>
            </w:r>
          </w:p>
        </w:tc>
        <w:tc>
          <w:tcPr>
            <w:tcW w:w="1022" w:type="dxa"/>
            <w:tcBorders>
              <w:top w:val="nil"/>
              <w:left w:val="single" w:color="auto" w:sz="8" w:space="0"/>
              <w:bottom w:val="single" w:color="auto" w:sz="4" w:space="0"/>
              <w:right w:val="single" w:color="auto" w:sz="8" w:space="0"/>
            </w:tcBorders>
            <w:vAlign w:val="center"/>
          </w:tcPr>
          <w:p w14:paraId="306A5135">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3</w:t>
            </w:r>
            <w:r>
              <w:rPr>
                <w:rFonts w:hint="eastAsia" w:ascii="宋体" w:hAnsi="宋体" w:eastAsia="宋体" w:cs="宋体"/>
                <w:b w:val="0"/>
                <w:bCs w:val="0"/>
                <w:color w:val="000000" w:themeColor="text1"/>
                <w:kern w:val="0"/>
                <w:sz w:val="16"/>
                <w:szCs w:val="16"/>
                <w:highlight w:val="none"/>
              </w:rPr>
              <w:t>00</w:t>
            </w:r>
          </w:p>
        </w:tc>
        <w:tc>
          <w:tcPr>
            <w:tcW w:w="1022" w:type="dxa"/>
            <w:tcBorders>
              <w:top w:val="nil"/>
              <w:left w:val="single" w:color="auto" w:sz="8" w:space="0"/>
              <w:bottom w:val="single" w:color="auto" w:sz="4" w:space="0"/>
              <w:right w:val="single" w:color="auto" w:sz="8" w:space="0"/>
            </w:tcBorders>
            <w:vAlign w:val="center"/>
          </w:tcPr>
          <w:p w14:paraId="4656AC45">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single" w:color="auto" w:sz="8" w:space="0"/>
              <w:bottom w:val="single" w:color="auto" w:sz="4" w:space="0"/>
              <w:right w:val="single" w:color="auto" w:sz="8" w:space="0"/>
            </w:tcBorders>
            <w:vAlign w:val="center"/>
          </w:tcPr>
          <w:p w14:paraId="58BBEFDD">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120</w:t>
            </w:r>
            <w:r>
              <w:rPr>
                <w:rFonts w:hint="eastAsia" w:ascii="宋体" w:hAnsi="宋体" w:eastAsia="宋体" w:cs="宋体"/>
                <w:b w:val="0"/>
                <w:bCs w:val="0"/>
                <w:color w:val="000000" w:themeColor="text1"/>
                <w:kern w:val="0"/>
                <w:sz w:val="16"/>
                <w:szCs w:val="16"/>
                <w:highlight w:val="none"/>
              </w:rPr>
              <w:t>000</w:t>
            </w:r>
          </w:p>
        </w:tc>
        <w:tc>
          <w:tcPr>
            <w:tcW w:w="1022" w:type="dxa"/>
            <w:tcBorders>
              <w:top w:val="nil"/>
              <w:left w:val="nil"/>
              <w:bottom w:val="single" w:color="auto" w:sz="4" w:space="0"/>
              <w:right w:val="single" w:color="auto" w:sz="4" w:space="0"/>
            </w:tcBorders>
            <w:vAlign w:val="center"/>
          </w:tcPr>
          <w:p w14:paraId="7EAB3B3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6B29EF22">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8" w:space="0"/>
            </w:tcBorders>
            <w:vAlign w:val="center"/>
          </w:tcPr>
          <w:p w14:paraId="0EA262E0">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8000</w:t>
            </w:r>
          </w:p>
        </w:tc>
        <w:tc>
          <w:tcPr>
            <w:tcW w:w="1022" w:type="dxa"/>
            <w:tcBorders>
              <w:top w:val="nil"/>
              <w:left w:val="nil"/>
              <w:bottom w:val="single" w:color="auto" w:sz="4" w:space="0"/>
              <w:right w:val="single" w:color="auto" w:sz="4" w:space="0"/>
            </w:tcBorders>
            <w:vAlign w:val="center"/>
          </w:tcPr>
          <w:p w14:paraId="6DD977B8">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w:t>
            </w:r>
          </w:p>
        </w:tc>
        <w:tc>
          <w:tcPr>
            <w:tcW w:w="1022" w:type="dxa"/>
            <w:tcBorders>
              <w:top w:val="nil"/>
              <w:left w:val="nil"/>
              <w:bottom w:val="single" w:color="auto" w:sz="4" w:space="0"/>
              <w:right w:val="single" w:color="auto" w:sz="4" w:space="0"/>
            </w:tcBorders>
            <w:vAlign w:val="center"/>
          </w:tcPr>
          <w:p w14:paraId="074EBB47">
            <w:pPr>
              <w:widowControl/>
              <w:jc w:val="center"/>
              <w:rPr>
                <w:rFonts w:hint="eastAsia" w:ascii="宋体" w:hAnsi="宋体" w:eastAsia="宋体" w:cs="宋体"/>
                <w:b w:val="0"/>
                <w:bCs w:val="0"/>
                <w:color w:val="000000" w:themeColor="text1"/>
                <w:kern w:val="0"/>
                <w:sz w:val="16"/>
                <w:szCs w:val="16"/>
                <w:highlight w:val="none"/>
              </w:rPr>
            </w:pPr>
          </w:p>
        </w:tc>
        <w:tc>
          <w:tcPr>
            <w:tcW w:w="1022" w:type="dxa"/>
            <w:tcBorders>
              <w:top w:val="nil"/>
              <w:left w:val="nil"/>
              <w:bottom w:val="single" w:color="auto" w:sz="4" w:space="0"/>
              <w:right w:val="single" w:color="auto" w:sz="8" w:space="0"/>
            </w:tcBorders>
            <w:vAlign w:val="center"/>
          </w:tcPr>
          <w:p w14:paraId="43A6D2C3">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eastAsia="宋体" w:cs="宋体"/>
                <w:b w:val="0"/>
                <w:bCs w:val="0"/>
                <w:color w:val="000000" w:themeColor="text1"/>
                <w:kern w:val="0"/>
                <w:sz w:val="16"/>
                <w:szCs w:val="16"/>
                <w:highlight w:val="none"/>
              </w:rPr>
              <w:t>100</w:t>
            </w:r>
          </w:p>
        </w:tc>
        <w:tc>
          <w:tcPr>
            <w:tcW w:w="1022" w:type="dxa"/>
            <w:tcBorders>
              <w:top w:val="nil"/>
              <w:left w:val="nil"/>
              <w:bottom w:val="single" w:color="auto" w:sz="4" w:space="0"/>
              <w:right w:val="single" w:color="auto" w:sz="4" w:space="0"/>
            </w:tcBorders>
            <w:vAlign w:val="center"/>
          </w:tcPr>
          <w:p w14:paraId="28F2E0A0">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X＜10</w:t>
            </w:r>
          </w:p>
        </w:tc>
        <w:tc>
          <w:tcPr>
            <w:tcW w:w="1022" w:type="dxa"/>
            <w:tcBorders>
              <w:top w:val="nil"/>
              <w:left w:val="nil"/>
              <w:bottom w:val="single" w:color="auto" w:sz="4" w:space="0"/>
              <w:right w:val="single" w:color="auto" w:sz="4" w:space="0"/>
            </w:tcBorders>
            <w:vAlign w:val="center"/>
          </w:tcPr>
          <w:p w14:paraId="75F25D8E">
            <w:pPr>
              <w:widowControl/>
              <w:jc w:val="center"/>
              <w:rPr>
                <w:rFonts w:hint="eastAsia" w:ascii="宋体" w:hAnsi="宋体" w:eastAsia="宋体" w:cs="宋体"/>
                <w:b w:val="0"/>
                <w:bCs w:val="0"/>
                <w:color w:val="000000" w:themeColor="text1"/>
                <w:kern w:val="0"/>
                <w:sz w:val="16"/>
                <w:szCs w:val="16"/>
                <w:highlight w:val="none"/>
              </w:rPr>
            </w:pPr>
          </w:p>
        </w:tc>
        <w:tc>
          <w:tcPr>
            <w:tcW w:w="1028" w:type="dxa"/>
            <w:tcBorders>
              <w:top w:val="nil"/>
              <w:left w:val="nil"/>
              <w:bottom w:val="single" w:color="auto" w:sz="4" w:space="0"/>
              <w:right w:val="single" w:color="auto" w:sz="8" w:space="0"/>
            </w:tcBorders>
            <w:vAlign w:val="center"/>
          </w:tcPr>
          <w:p w14:paraId="72AAC51A">
            <w:pPr>
              <w:widowControl/>
              <w:jc w:val="center"/>
              <w:rPr>
                <w:rFonts w:hint="eastAsia" w:ascii="宋体" w:hAnsi="宋体" w:eastAsia="宋体" w:cs="宋体"/>
                <w:b w:val="0"/>
                <w:bCs w:val="0"/>
                <w:color w:val="000000" w:themeColor="text1"/>
                <w:kern w:val="0"/>
                <w:sz w:val="16"/>
                <w:szCs w:val="16"/>
                <w:highlight w:val="none"/>
              </w:rPr>
            </w:pPr>
            <w:r>
              <w:rPr>
                <w:rFonts w:hint="eastAsia" w:ascii="宋体" w:hAnsi="宋体" w:eastAsia="宋体" w:cs="宋体"/>
                <w:b w:val="0"/>
                <w:bCs w:val="0"/>
                <w:color w:val="000000" w:themeColor="text1"/>
                <w:kern w:val="0"/>
                <w:sz w:val="16"/>
                <w:szCs w:val="16"/>
                <w:highlight w:val="none"/>
              </w:rPr>
              <w:t>Z＜100</w:t>
            </w:r>
          </w:p>
        </w:tc>
      </w:tr>
      <w:tr w14:paraId="05539761">
        <w:tblPrEx>
          <w:tblCellMar>
            <w:top w:w="0" w:type="dxa"/>
            <w:left w:w="108" w:type="dxa"/>
            <w:bottom w:w="0" w:type="dxa"/>
            <w:right w:w="108" w:type="dxa"/>
          </w:tblCellMar>
        </w:tblPrEx>
        <w:trPr>
          <w:trHeight w:val="369" w:hRule="atLeast"/>
          <w:jc w:val="center"/>
        </w:trPr>
        <w:tc>
          <w:tcPr>
            <w:tcW w:w="1904" w:type="dxa"/>
            <w:tcBorders>
              <w:top w:val="nil"/>
              <w:left w:val="single" w:color="auto" w:sz="8" w:space="0"/>
              <w:bottom w:val="single" w:color="auto" w:sz="8" w:space="0"/>
              <w:right w:val="single" w:color="auto" w:sz="8" w:space="0"/>
            </w:tcBorders>
            <w:vAlign w:val="bottom"/>
          </w:tcPr>
          <w:p w14:paraId="07BAA006">
            <w:pPr>
              <w:widowControl/>
              <w:jc w:val="center"/>
              <w:rPr>
                <w:rFonts w:ascii="宋体" w:hAnsi="宋体" w:cs="宋体"/>
                <w:kern w:val="0"/>
                <w:sz w:val="16"/>
                <w:szCs w:val="16"/>
              </w:rPr>
            </w:pPr>
            <w:r>
              <w:rPr>
                <w:rFonts w:hint="eastAsia" w:ascii="宋体" w:hAnsi="宋体" w:cs="宋体"/>
                <w:kern w:val="0"/>
                <w:sz w:val="16"/>
                <w:szCs w:val="16"/>
              </w:rPr>
              <w:t>其他未列明行业</w:t>
            </w:r>
          </w:p>
        </w:tc>
        <w:tc>
          <w:tcPr>
            <w:tcW w:w="1022" w:type="dxa"/>
            <w:tcBorders>
              <w:top w:val="nil"/>
              <w:left w:val="single" w:color="auto" w:sz="8" w:space="0"/>
              <w:bottom w:val="single" w:color="auto" w:sz="8" w:space="0"/>
              <w:right w:val="single" w:color="auto" w:sz="8" w:space="0"/>
            </w:tcBorders>
            <w:vAlign w:val="center"/>
          </w:tcPr>
          <w:p w14:paraId="265C9F17">
            <w:pPr>
              <w:widowControl/>
              <w:jc w:val="center"/>
              <w:rPr>
                <w:rFonts w:hint="eastAsia" w:ascii="宋体" w:hAnsi="宋体" w:eastAsia="宋体" w:cs="宋体"/>
                <w:b w:val="0"/>
                <w:bCs w:val="0"/>
                <w:color w:val="000000" w:themeColor="text1"/>
                <w:kern w:val="0"/>
                <w:sz w:val="16"/>
                <w:szCs w:val="16"/>
              </w:rPr>
            </w:pPr>
            <w:r>
              <w:rPr>
                <w:rFonts w:hint="eastAsia" w:ascii="宋体" w:hAnsi="宋体" w:eastAsia="宋体" w:cs="宋体"/>
                <w:b w:val="0"/>
                <w:bCs w:val="0"/>
                <w:color w:val="000000" w:themeColor="text1"/>
                <w:kern w:val="0"/>
                <w:sz w:val="16"/>
                <w:szCs w:val="16"/>
                <w:highlight w:val="none"/>
              </w:rPr>
              <w:t>X</w:t>
            </w:r>
            <w:r>
              <w:rPr>
                <w:rFonts w:hint="eastAsia" w:ascii="宋体" w:hAnsi="宋体" w:eastAsia="宋体" w:cs="宋体"/>
                <w:b w:val="0"/>
                <w:bCs w:val="0"/>
                <w:color w:val="000000" w:themeColor="text1"/>
                <w:kern w:val="0"/>
                <w:sz w:val="16"/>
                <w:szCs w:val="16"/>
                <w:highlight w:val="none"/>
                <w:lang w:val="en-US" w:eastAsia="zh-CN"/>
              </w:rPr>
              <w:t>≥</w:t>
            </w:r>
            <w:r>
              <w:rPr>
                <w:rFonts w:hint="eastAsia" w:ascii="宋体" w:hAnsi="宋体" w:cs="宋体"/>
                <w:b w:val="0"/>
                <w:bCs w:val="0"/>
                <w:color w:val="000000" w:themeColor="text1"/>
                <w:kern w:val="0"/>
                <w:sz w:val="16"/>
                <w:szCs w:val="16"/>
                <w:highlight w:val="none"/>
                <w:lang w:val="en-US" w:eastAsia="zh-CN"/>
              </w:rPr>
              <w:t>3</w:t>
            </w:r>
            <w:r>
              <w:rPr>
                <w:rFonts w:hint="eastAsia" w:ascii="宋体" w:hAnsi="宋体" w:eastAsia="宋体" w:cs="宋体"/>
                <w:b w:val="0"/>
                <w:bCs w:val="0"/>
                <w:color w:val="000000" w:themeColor="text1"/>
                <w:kern w:val="0"/>
                <w:sz w:val="16"/>
                <w:szCs w:val="16"/>
                <w:highlight w:val="none"/>
              </w:rPr>
              <w:t>00</w:t>
            </w:r>
          </w:p>
        </w:tc>
        <w:tc>
          <w:tcPr>
            <w:tcW w:w="1022" w:type="dxa"/>
            <w:tcBorders>
              <w:top w:val="nil"/>
              <w:left w:val="single" w:color="auto" w:sz="8" w:space="0"/>
              <w:bottom w:val="single" w:color="auto" w:sz="8" w:space="0"/>
              <w:right w:val="single" w:color="auto" w:sz="8" w:space="0"/>
            </w:tcBorders>
            <w:vAlign w:val="center"/>
          </w:tcPr>
          <w:p w14:paraId="33D656CA">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single" w:color="auto" w:sz="8" w:space="0"/>
              <w:bottom w:val="single" w:color="auto" w:sz="8" w:space="0"/>
              <w:right w:val="single" w:color="auto" w:sz="8" w:space="0"/>
            </w:tcBorders>
            <w:vAlign w:val="center"/>
          </w:tcPr>
          <w:p w14:paraId="17A1827B">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4" w:space="0"/>
            </w:tcBorders>
            <w:vAlign w:val="center"/>
          </w:tcPr>
          <w:p w14:paraId="7449BA01">
            <w:pPr>
              <w:widowControl/>
              <w:jc w:val="center"/>
              <w:rPr>
                <w:rFonts w:hint="eastAsia" w:ascii="宋体" w:hAnsi="宋体" w:eastAsia="宋体" w:cs="宋体"/>
                <w:b w:val="0"/>
                <w:bCs w:val="0"/>
                <w:color w:val="000000" w:themeColor="text1"/>
                <w:kern w:val="0"/>
                <w:sz w:val="16"/>
                <w:szCs w:val="16"/>
              </w:rPr>
            </w:pPr>
            <w:r>
              <w:rPr>
                <w:rFonts w:hint="eastAsia" w:ascii="宋体" w:hAnsi="宋体" w:eastAsia="宋体" w:cs="宋体"/>
                <w:b w:val="0"/>
                <w:bCs w:val="0"/>
                <w:color w:val="000000" w:themeColor="text1"/>
                <w:kern w:val="0"/>
                <w:sz w:val="16"/>
                <w:szCs w:val="16"/>
              </w:rPr>
              <w:t>X＜300</w:t>
            </w:r>
          </w:p>
        </w:tc>
        <w:tc>
          <w:tcPr>
            <w:tcW w:w="1022" w:type="dxa"/>
            <w:tcBorders>
              <w:top w:val="nil"/>
              <w:left w:val="nil"/>
              <w:bottom w:val="single" w:color="auto" w:sz="8" w:space="0"/>
              <w:right w:val="single" w:color="auto" w:sz="4" w:space="0"/>
            </w:tcBorders>
            <w:vAlign w:val="center"/>
          </w:tcPr>
          <w:p w14:paraId="6DC33C00">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8" w:space="0"/>
            </w:tcBorders>
            <w:vAlign w:val="center"/>
          </w:tcPr>
          <w:p w14:paraId="5E9B7698">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4" w:space="0"/>
            </w:tcBorders>
            <w:vAlign w:val="center"/>
          </w:tcPr>
          <w:p w14:paraId="320E0914">
            <w:pPr>
              <w:widowControl/>
              <w:jc w:val="center"/>
              <w:rPr>
                <w:rFonts w:hint="eastAsia" w:ascii="宋体" w:hAnsi="宋体" w:eastAsia="宋体" w:cs="宋体"/>
                <w:b w:val="0"/>
                <w:bCs w:val="0"/>
                <w:color w:val="000000" w:themeColor="text1"/>
                <w:kern w:val="0"/>
                <w:sz w:val="16"/>
                <w:szCs w:val="16"/>
              </w:rPr>
            </w:pPr>
            <w:r>
              <w:rPr>
                <w:rFonts w:hint="eastAsia" w:ascii="宋体" w:hAnsi="宋体" w:eastAsia="宋体" w:cs="宋体"/>
                <w:b w:val="0"/>
                <w:bCs w:val="0"/>
                <w:color w:val="000000" w:themeColor="text1"/>
                <w:kern w:val="0"/>
                <w:sz w:val="16"/>
                <w:szCs w:val="16"/>
              </w:rPr>
              <w:t>X＜</w:t>
            </w:r>
            <w:r>
              <w:rPr>
                <w:rFonts w:hint="eastAsia" w:ascii="宋体" w:hAnsi="宋体" w:eastAsia="宋体" w:cs="宋体"/>
                <w:b w:val="0"/>
                <w:bCs w:val="0"/>
                <w:color w:val="000000" w:themeColor="text1"/>
                <w:kern w:val="0"/>
                <w:sz w:val="16"/>
                <w:szCs w:val="16"/>
                <w:lang w:val="en-US" w:eastAsia="zh-CN"/>
              </w:rPr>
              <w:t>1</w:t>
            </w:r>
            <w:r>
              <w:rPr>
                <w:rFonts w:hint="eastAsia" w:ascii="宋体" w:hAnsi="宋体" w:eastAsia="宋体" w:cs="宋体"/>
                <w:b w:val="0"/>
                <w:bCs w:val="0"/>
                <w:color w:val="000000" w:themeColor="text1"/>
                <w:kern w:val="0"/>
                <w:sz w:val="16"/>
                <w:szCs w:val="16"/>
              </w:rPr>
              <w:t>00</w:t>
            </w:r>
          </w:p>
        </w:tc>
        <w:tc>
          <w:tcPr>
            <w:tcW w:w="1022" w:type="dxa"/>
            <w:tcBorders>
              <w:top w:val="nil"/>
              <w:left w:val="nil"/>
              <w:bottom w:val="single" w:color="auto" w:sz="8" w:space="0"/>
              <w:right w:val="single" w:color="auto" w:sz="4" w:space="0"/>
            </w:tcBorders>
            <w:vAlign w:val="center"/>
          </w:tcPr>
          <w:p w14:paraId="3B650509">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8" w:space="0"/>
            </w:tcBorders>
            <w:vAlign w:val="center"/>
          </w:tcPr>
          <w:p w14:paraId="726F598A">
            <w:pPr>
              <w:widowControl/>
              <w:jc w:val="center"/>
              <w:rPr>
                <w:rFonts w:hint="eastAsia" w:ascii="宋体" w:hAnsi="宋体" w:eastAsia="宋体" w:cs="宋体"/>
                <w:b w:val="0"/>
                <w:bCs w:val="0"/>
                <w:color w:val="000000" w:themeColor="text1"/>
                <w:kern w:val="0"/>
                <w:sz w:val="16"/>
                <w:szCs w:val="16"/>
              </w:rPr>
            </w:pPr>
          </w:p>
        </w:tc>
        <w:tc>
          <w:tcPr>
            <w:tcW w:w="1022" w:type="dxa"/>
            <w:tcBorders>
              <w:top w:val="nil"/>
              <w:left w:val="nil"/>
              <w:bottom w:val="single" w:color="auto" w:sz="8" w:space="0"/>
              <w:right w:val="single" w:color="auto" w:sz="4" w:space="0"/>
            </w:tcBorders>
            <w:vAlign w:val="center"/>
          </w:tcPr>
          <w:p w14:paraId="567BE6CA">
            <w:pPr>
              <w:widowControl/>
              <w:jc w:val="center"/>
              <w:rPr>
                <w:rFonts w:hint="eastAsia" w:ascii="宋体" w:hAnsi="宋体" w:eastAsia="宋体" w:cs="宋体"/>
                <w:b w:val="0"/>
                <w:bCs w:val="0"/>
                <w:color w:val="000000" w:themeColor="text1"/>
                <w:kern w:val="0"/>
                <w:sz w:val="16"/>
                <w:szCs w:val="16"/>
              </w:rPr>
            </w:pPr>
            <w:r>
              <w:rPr>
                <w:rFonts w:hint="eastAsia" w:ascii="宋体" w:hAnsi="宋体" w:eastAsia="宋体" w:cs="宋体"/>
                <w:b w:val="0"/>
                <w:bCs w:val="0"/>
                <w:color w:val="000000" w:themeColor="text1"/>
                <w:kern w:val="0"/>
                <w:sz w:val="16"/>
                <w:szCs w:val="16"/>
              </w:rPr>
              <w:t>X＜10</w:t>
            </w:r>
          </w:p>
        </w:tc>
        <w:tc>
          <w:tcPr>
            <w:tcW w:w="1022" w:type="dxa"/>
            <w:tcBorders>
              <w:top w:val="nil"/>
              <w:left w:val="nil"/>
              <w:bottom w:val="single" w:color="auto" w:sz="8" w:space="0"/>
              <w:right w:val="single" w:color="auto" w:sz="4" w:space="0"/>
            </w:tcBorders>
            <w:vAlign w:val="center"/>
          </w:tcPr>
          <w:p w14:paraId="0FD1A178">
            <w:pPr>
              <w:widowControl/>
              <w:jc w:val="center"/>
              <w:rPr>
                <w:rFonts w:hint="eastAsia" w:ascii="宋体" w:hAnsi="宋体" w:eastAsia="宋体" w:cs="宋体"/>
                <w:b w:val="0"/>
                <w:bCs w:val="0"/>
                <w:color w:val="000000" w:themeColor="text1"/>
                <w:kern w:val="0"/>
                <w:sz w:val="16"/>
                <w:szCs w:val="16"/>
              </w:rPr>
            </w:pPr>
          </w:p>
        </w:tc>
        <w:tc>
          <w:tcPr>
            <w:tcW w:w="1028" w:type="dxa"/>
            <w:tcBorders>
              <w:top w:val="nil"/>
              <w:left w:val="nil"/>
              <w:bottom w:val="single" w:color="auto" w:sz="8" w:space="0"/>
              <w:right w:val="single" w:color="auto" w:sz="8" w:space="0"/>
            </w:tcBorders>
            <w:vAlign w:val="center"/>
          </w:tcPr>
          <w:p w14:paraId="76FB6AAB">
            <w:pPr>
              <w:widowControl/>
              <w:jc w:val="center"/>
              <w:rPr>
                <w:rFonts w:hint="eastAsia" w:ascii="宋体" w:hAnsi="宋体" w:eastAsia="宋体" w:cs="宋体"/>
                <w:b w:val="0"/>
                <w:bCs w:val="0"/>
                <w:color w:val="000000" w:themeColor="text1"/>
                <w:kern w:val="0"/>
                <w:sz w:val="16"/>
                <w:szCs w:val="16"/>
              </w:rPr>
            </w:pPr>
          </w:p>
        </w:tc>
      </w:tr>
    </w:tbl>
    <w:p w14:paraId="28A8A8EA">
      <w:pPr>
        <w:pStyle w:val="27"/>
        <w:rPr>
          <w:rFonts w:hint="eastAsia"/>
          <w:lang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8DE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33DD">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0F07E1">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60F07E1">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E165">
    <w:pPr>
      <w:pStyle w:val="17"/>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3949">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7E221"/>
    <w:multiLevelType w:val="singleLevel"/>
    <w:tmpl w:val="8297E221"/>
    <w:lvl w:ilvl="0" w:tentative="0">
      <w:start w:val="1"/>
      <w:numFmt w:val="decimalEnclosedCircleChinese"/>
      <w:suff w:val="nothing"/>
      <w:lvlText w:val="%1　"/>
      <w:lvlJc w:val="left"/>
      <w:pPr>
        <w:ind w:left="0" w:firstLine="400"/>
      </w:pPr>
      <w:rPr>
        <w:rFonts w:hint="eastAsia"/>
      </w:rPr>
    </w:lvl>
  </w:abstractNum>
  <w:abstractNum w:abstractNumId="1">
    <w:nsid w:val="866CE93B"/>
    <w:multiLevelType w:val="multilevel"/>
    <w:tmpl w:val="866CE93B"/>
    <w:lvl w:ilvl="0" w:tentative="0">
      <w:start w:val="1"/>
      <w:numFmt w:val="decimal"/>
      <w:suff w:val="nothing"/>
      <w:lvlText w:val="%1"/>
      <w:lvlJc w:val="center"/>
      <w:pPr>
        <w:tabs>
          <w:tab w:val="left" w:pos="0"/>
        </w:tabs>
        <w:ind w:left="0" w:leftChars="0" w:firstLine="0" w:firstLineChars="0"/>
      </w:pPr>
      <w:rPr>
        <w:rFonts w:hint="default"/>
      </w:rPr>
    </w:lvl>
    <w:lvl w:ilvl="1" w:tentative="0">
      <w:start w:val="1"/>
      <w:numFmt w:val="decimal"/>
      <w:lvlText w:val="(%2)"/>
      <w:lvlJc w:val="center"/>
      <w:pPr>
        <w:tabs>
          <w:tab w:val="left" w:pos="840"/>
        </w:tabs>
        <w:ind w:left="840" w:leftChars="0" w:hanging="420" w:firstLineChars="0"/>
      </w:pPr>
      <w:rPr>
        <w:rFonts w:hint="default"/>
      </w:rPr>
    </w:lvl>
    <w:lvl w:ilvl="2" w:tentative="0">
      <w:start w:val="1"/>
      <w:numFmt w:val="decimalEnclosedCircleChinese"/>
      <w:lvlText w:val="%3"/>
      <w:lvlJc w:val="center"/>
      <w:pPr>
        <w:tabs>
          <w:tab w:val="left" w:pos="1260"/>
        </w:tabs>
        <w:ind w:left="1260" w:leftChars="0" w:hanging="420" w:firstLineChars="0"/>
      </w:pPr>
      <w:rPr>
        <w:rFonts w:hint="default"/>
      </w:rPr>
    </w:lvl>
    <w:lvl w:ilvl="3" w:tentative="0">
      <w:start w:val="1"/>
      <w:numFmt w:val="decimal"/>
      <w:lvlText w:val="%4)"/>
      <w:lvlJc w:val="center"/>
      <w:pPr>
        <w:tabs>
          <w:tab w:val="left" w:pos="1680"/>
        </w:tabs>
        <w:ind w:left="1680" w:leftChars="0" w:hanging="420" w:firstLineChars="0"/>
      </w:pPr>
      <w:rPr>
        <w:rFonts w:hint="default"/>
      </w:rPr>
    </w:lvl>
    <w:lvl w:ilvl="4" w:tentative="0">
      <w:start w:val="1"/>
      <w:numFmt w:val="lowerLetter"/>
      <w:lvlText w:val="%5."/>
      <w:lvlJc w:val="center"/>
      <w:pPr>
        <w:tabs>
          <w:tab w:val="left" w:pos="2100"/>
        </w:tabs>
        <w:ind w:left="2100" w:leftChars="0" w:hanging="420" w:firstLineChars="0"/>
      </w:pPr>
      <w:rPr>
        <w:rFonts w:hint="default"/>
      </w:rPr>
    </w:lvl>
    <w:lvl w:ilvl="5" w:tentative="0">
      <w:start w:val="1"/>
      <w:numFmt w:val="lowerLetter"/>
      <w:lvlText w:val="%6)"/>
      <w:lvlJc w:val="center"/>
      <w:pPr>
        <w:tabs>
          <w:tab w:val="left" w:pos="2520"/>
        </w:tabs>
        <w:ind w:left="2520" w:leftChars="0" w:hanging="420" w:firstLineChars="0"/>
      </w:pPr>
      <w:rPr>
        <w:rFonts w:hint="default"/>
      </w:rPr>
    </w:lvl>
    <w:lvl w:ilvl="6" w:tentative="0">
      <w:start w:val="1"/>
      <w:numFmt w:val="lowerRoman"/>
      <w:lvlText w:val="%7."/>
      <w:lvlJc w:val="center"/>
      <w:pPr>
        <w:tabs>
          <w:tab w:val="left" w:pos="2940"/>
        </w:tabs>
        <w:ind w:left="2940" w:leftChars="0" w:hanging="420" w:firstLineChars="0"/>
      </w:pPr>
      <w:rPr>
        <w:rFonts w:hint="default"/>
      </w:rPr>
    </w:lvl>
    <w:lvl w:ilvl="7" w:tentative="0">
      <w:start w:val="1"/>
      <w:numFmt w:val="lowerRoman"/>
      <w:lvlText w:val="%8)"/>
      <w:lvlJc w:val="center"/>
      <w:pPr>
        <w:tabs>
          <w:tab w:val="left" w:pos="3360"/>
        </w:tabs>
        <w:ind w:left="3360" w:leftChars="0" w:hanging="420" w:firstLineChars="0"/>
      </w:pPr>
      <w:rPr>
        <w:rFonts w:hint="default"/>
      </w:rPr>
    </w:lvl>
    <w:lvl w:ilvl="8" w:tentative="0">
      <w:start w:val="1"/>
      <w:numFmt w:val="lowerLetter"/>
      <w:lvlText w:val="%9."/>
      <w:lvlJc w:val="center"/>
      <w:pPr>
        <w:tabs>
          <w:tab w:val="left" w:pos="3780"/>
        </w:tabs>
        <w:ind w:left="3780" w:leftChars="0" w:hanging="420" w:firstLineChars="0"/>
      </w:pPr>
      <w:rPr>
        <w:rFonts w:hint="default"/>
      </w:rPr>
    </w:lvl>
  </w:abstractNum>
  <w:abstractNum w:abstractNumId="2">
    <w:nsid w:val="86F7AE58"/>
    <w:multiLevelType w:val="singleLevel"/>
    <w:tmpl w:val="86F7AE58"/>
    <w:lvl w:ilvl="0" w:tentative="0">
      <w:start w:val="1"/>
      <w:numFmt w:val="decimal"/>
      <w:suff w:val="nothing"/>
      <w:lvlText w:val="%1．"/>
      <w:lvlJc w:val="left"/>
      <w:pPr>
        <w:ind w:left="0" w:firstLine="400"/>
      </w:pPr>
      <w:rPr>
        <w:rFonts w:hint="default"/>
      </w:rPr>
    </w:lvl>
  </w:abstractNum>
  <w:abstractNum w:abstractNumId="3">
    <w:nsid w:val="8B1DF1AA"/>
    <w:multiLevelType w:val="singleLevel"/>
    <w:tmpl w:val="8B1DF1AA"/>
    <w:lvl w:ilvl="0" w:tentative="0">
      <w:start w:val="1"/>
      <w:numFmt w:val="decimal"/>
      <w:suff w:val="nothing"/>
      <w:lvlText w:val="%1．"/>
      <w:lvlJc w:val="left"/>
      <w:pPr>
        <w:ind w:left="0" w:firstLine="400"/>
      </w:pPr>
      <w:rPr>
        <w:rFonts w:hint="default"/>
      </w:rPr>
    </w:lvl>
  </w:abstractNum>
  <w:abstractNum w:abstractNumId="4">
    <w:nsid w:val="8F63D6A0"/>
    <w:multiLevelType w:val="singleLevel"/>
    <w:tmpl w:val="8F63D6A0"/>
    <w:lvl w:ilvl="0" w:tentative="0">
      <w:start w:val="1"/>
      <w:numFmt w:val="decimal"/>
      <w:suff w:val="nothing"/>
      <w:lvlText w:val="%1．"/>
      <w:lvlJc w:val="left"/>
      <w:pPr>
        <w:ind w:left="0" w:firstLine="400"/>
      </w:pPr>
      <w:rPr>
        <w:rFonts w:hint="default"/>
      </w:rPr>
    </w:lvl>
  </w:abstractNum>
  <w:abstractNum w:abstractNumId="5">
    <w:nsid w:val="926094A0"/>
    <w:multiLevelType w:val="singleLevel"/>
    <w:tmpl w:val="926094A0"/>
    <w:lvl w:ilvl="0" w:tentative="0">
      <w:start w:val="1"/>
      <w:numFmt w:val="decimal"/>
      <w:suff w:val="nothing"/>
      <w:lvlText w:val="%1．"/>
      <w:lvlJc w:val="left"/>
      <w:pPr>
        <w:ind w:left="0" w:firstLine="400"/>
      </w:pPr>
      <w:rPr>
        <w:rFonts w:hint="default"/>
      </w:rPr>
    </w:lvl>
  </w:abstractNum>
  <w:abstractNum w:abstractNumId="6">
    <w:nsid w:val="947ABE16"/>
    <w:multiLevelType w:val="singleLevel"/>
    <w:tmpl w:val="947ABE16"/>
    <w:lvl w:ilvl="0" w:tentative="0">
      <w:start w:val="1"/>
      <w:numFmt w:val="decimal"/>
      <w:suff w:val="nothing"/>
      <w:lvlText w:val="%1．"/>
      <w:lvlJc w:val="left"/>
      <w:pPr>
        <w:ind w:left="0" w:firstLine="400"/>
      </w:pPr>
      <w:rPr>
        <w:rFonts w:hint="default"/>
      </w:rPr>
    </w:lvl>
  </w:abstractNum>
  <w:abstractNum w:abstractNumId="7">
    <w:nsid w:val="966986F9"/>
    <w:multiLevelType w:val="singleLevel"/>
    <w:tmpl w:val="966986F9"/>
    <w:lvl w:ilvl="0" w:tentative="0">
      <w:start w:val="1"/>
      <w:numFmt w:val="decimal"/>
      <w:suff w:val="nothing"/>
      <w:lvlText w:val="%1．"/>
      <w:lvlJc w:val="left"/>
      <w:pPr>
        <w:ind w:left="150" w:firstLine="400"/>
      </w:pPr>
      <w:rPr>
        <w:rFonts w:hint="default"/>
      </w:rPr>
    </w:lvl>
  </w:abstractNum>
  <w:abstractNum w:abstractNumId="8">
    <w:nsid w:val="98495C47"/>
    <w:multiLevelType w:val="singleLevel"/>
    <w:tmpl w:val="98495C47"/>
    <w:lvl w:ilvl="0" w:tentative="0">
      <w:start w:val="1"/>
      <w:numFmt w:val="decimal"/>
      <w:suff w:val="nothing"/>
      <w:lvlText w:val="%1．"/>
      <w:lvlJc w:val="left"/>
      <w:pPr>
        <w:ind w:left="0" w:firstLine="400"/>
      </w:pPr>
      <w:rPr>
        <w:rFonts w:hint="default"/>
      </w:rPr>
    </w:lvl>
  </w:abstractNum>
  <w:abstractNum w:abstractNumId="9">
    <w:nsid w:val="98DCBE8D"/>
    <w:multiLevelType w:val="singleLevel"/>
    <w:tmpl w:val="98DCBE8D"/>
    <w:lvl w:ilvl="0" w:tentative="0">
      <w:start w:val="1"/>
      <w:numFmt w:val="chineseCounting"/>
      <w:suff w:val="nothing"/>
      <w:lvlText w:val="（%1）"/>
      <w:lvlJc w:val="left"/>
      <w:pPr>
        <w:ind w:left="0" w:firstLine="420"/>
      </w:pPr>
      <w:rPr>
        <w:rFonts w:hint="eastAsia"/>
      </w:rPr>
    </w:lvl>
  </w:abstractNum>
  <w:abstractNum w:abstractNumId="10">
    <w:nsid w:val="98DFF132"/>
    <w:multiLevelType w:val="singleLevel"/>
    <w:tmpl w:val="98DFF132"/>
    <w:lvl w:ilvl="0" w:tentative="0">
      <w:start w:val="1"/>
      <w:numFmt w:val="decimalEnclosedCircleChinese"/>
      <w:suff w:val="nothing"/>
      <w:lvlText w:val="%1　"/>
      <w:lvlJc w:val="left"/>
      <w:pPr>
        <w:ind w:left="0" w:firstLine="400"/>
      </w:pPr>
      <w:rPr>
        <w:rFonts w:hint="eastAsia"/>
      </w:rPr>
    </w:lvl>
  </w:abstractNum>
  <w:abstractNum w:abstractNumId="11">
    <w:nsid w:val="9A04134F"/>
    <w:multiLevelType w:val="singleLevel"/>
    <w:tmpl w:val="9A04134F"/>
    <w:lvl w:ilvl="0" w:tentative="0">
      <w:start w:val="1"/>
      <w:numFmt w:val="chineseCounting"/>
      <w:suff w:val="nothing"/>
      <w:lvlText w:val="（%1）"/>
      <w:lvlJc w:val="left"/>
      <w:pPr>
        <w:ind w:left="0" w:firstLine="420"/>
      </w:pPr>
      <w:rPr>
        <w:rFonts w:hint="eastAsia"/>
      </w:rPr>
    </w:lvl>
  </w:abstractNum>
  <w:abstractNum w:abstractNumId="12">
    <w:nsid w:val="9CE62824"/>
    <w:multiLevelType w:val="singleLevel"/>
    <w:tmpl w:val="9CE62824"/>
    <w:lvl w:ilvl="0" w:tentative="0">
      <w:start w:val="1"/>
      <w:numFmt w:val="chineseCounting"/>
      <w:suff w:val="nothing"/>
      <w:lvlText w:val="%1、"/>
      <w:lvlJc w:val="left"/>
      <w:pPr>
        <w:ind w:left="0" w:firstLine="420"/>
      </w:pPr>
      <w:rPr>
        <w:rFonts w:hint="eastAsia"/>
      </w:rPr>
    </w:lvl>
  </w:abstractNum>
  <w:abstractNum w:abstractNumId="13">
    <w:nsid w:val="A2DC1FE6"/>
    <w:multiLevelType w:val="singleLevel"/>
    <w:tmpl w:val="A2DC1FE6"/>
    <w:lvl w:ilvl="0" w:tentative="0">
      <w:start w:val="1"/>
      <w:numFmt w:val="decimalEnclosedCircleChinese"/>
      <w:suff w:val="nothing"/>
      <w:lvlText w:val="%1　"/>
      <w:lvlJc w:val="left"/>
      <w:pPr>
        <w:ind w:left="0" w:firstLine="400"/>
      </w:pPr>
      <w:rPr>
        <w:rFonts w:hint="eastAsia"/>
      </w:rPr>
    </w:lvl>
  </w:abstractNum>
  <w:abstractNum w:abstractNumId="14">
    <w:nsid w:val="A45C30EC"/>
    <w:multiLevelType w:val="singleLevel"/>
    <w:tmpl w:val="A45C30EC"/>
    <w:lvl w:ilvl="0" w:tentative="0">
      <w:start w:val="1"/>
      <w:numFmt w:val="decimal"/>
      <w:lvlText w:val="%1)"/>
      <w:lvlJc w:val="left"/>
      <w:pPr>
        <w:ind w:left="425" w:hanging="425"/>
      </w:pPr>
      <w:rPr>
        <w:rFonts w:hint="default"/>
      </w:rPr>
    </w:lvl>
  </w:abstractNum>
  <w:abstractNum w:abstractNumId="15">
    <w:nsid w:val="A85676AA"/>
    <w:multiLevelType w:val="singleLevel"/>
    <w:tmpl w:val="A85676AA"/>
    <w:lvl w:ilvl="0" w:tentative="0">
      <w:start w:val="1"/>
      <w:numFmt w:val="decimal"/>
      <w:suff w:val="nothing"/>
      <w:lvlText w:val="(%1)"/>
      <w:lvlJc w:val="left"/>
      <w:pPr>
        <w:ind w:left="454" w:leftChars="0" w:hanging="454" w:firstLineChars="0"/>
      </w:pPr>
      <w:rPr>
        <w:rFonts w:hint="default"/>
      </w:rPr>
    </w:lvl>
  </w:abstractNum>
  <w:abstractNum w:abstractNumId="16">
    <w:nsid w:val="AC45D83F"/>
    <w:multiLevelType w:val="singleLevel"/>
    <w:tmpl w:val="AC45D83F"/>
    <w:lvl w:ilvl="0" w:tentative="0">
      <w:start w:val="1"/>
      <w:numFmt w:val="decimal"/>
      <w:suff w:val="nothing"/>
      <w:lvlText w:val="%1．"/>
      <w:lvlJc w:val="left"/>
      <w:pPr>
        <w:ind w:left="0" w:firstLine="400"/>
      </w:pPr>
      <w:rPr>
        <w:rFonts w:hint="default"/>
      </w:rPr>
    </w:lvl>
  </w:abstractNum>
  <w:abstractNum w:abstractNumId="17">
    <w:nsid w:val="B39FC326"/>
    <w:multiLevelType w:val="singleLevel"/>
    <w:tmpl w:val="B39FC326"/>
    <w:lvl w:ilvl="0" w:tentative="0">
      <w:start w:val="1"/>
      <w:numFmt w:val="chineseCounting"/>
      <w:suff w:val="nothing"/>
      <w:lvlText w:val="（%1）"/>
      <w:lvlJc w:val="left"/>
      <w:pPr>
        <w:ind w:left="0" w:firstLine="420"/>
      </w:pPr>
      <w:rPr>
        <w:rFonts w:hint="eastAsia"/>
      </w:rPr>
    </w:lvl>
  </w:abstractNum>
  <w:abstractNum w:abstractNumId="18">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19">
    <w:nsid w:val="B50A35D3"/>
    <w:multiLevelType w:val="singleLevel"/>
    <w:tmpl w:val="B50A35D3"/>
    <w:lvl w:ilvl="0" w:tentative="0">
      <w:start w:val="1"/>
      <w:numFmt w:val="chineseCounting"/>
      <w:suff w:val="nothing"/>
      <w:lvlText w:val="（%1）"/>
      <w:lvlJc w:val="left"/>
      <w:pPr>
        <w:ind w:left="0" w:firstLine="420"/>
      </w:pPr>
      <w:rPr>
        <w:rFonts w:hint="eastAsia"/>
      </w:rPr>
    </w:lvl>
  </w:abstractNum>
  <w:abstractNum w:abstractNumId="20">
    <w:nsid w:val="B55BD6DE"/>
    <w:multiLevelType w:val="singleLevel"/>
    <w:tmpl w:val="B55BD6DE"/>
    <w:lvl w:ilvl="0" w:tentative="0">
      <w:start w:val="1"/>
      <w:numFmt w:val="decimalEnclosedCircleChinese"/>
      <w:suff w:val="nothing"/>
      <w:lvlText w:val="%1　"/>
      <w:lvlJc w:val="left"/>
      <w:pPr>
        <w:ind w:left="0" w:firstLine="400"/>
      </w:pPr>
      <w:rPr>
        <w:rFonts w:hint="eastAsia"/>
      </w:rPr>
    </w:lvl>
  </w:abstractNum>
  <w:abstractNum w:abstractNumId="21">
    <w:nsid w:val="BE2B0829"/>
    <w:multiLevelType w:val="singleLevel"/>
    <w:tmpl w:val="BE2B0829"/>
    <w:lvl w:ilvl="0" w:tentative="0">
      <w:start w:val="1"/>
      <w:numFmt w:val="decimal"/>
      <w:lvlText w:val="%1."/>
      <w:lvlJc w:val="left"/>
      <w:pPr>
        <w:ind w:left="425" w:hanging="425"/>
      </w:pPr>
      <w:rPr>
        <w:rFonts w:hint="default"/>
      </w:rPr>
    </w:lvl>
  </w:abstractNum>
  <w:abstractNum w:abstractNumId="22">
    <w:nsid w:val="BFE80EE7"/>
    <w:multiLevelType w:val="singleLevel"/>
    <w:tmpl w:val="BFE80EE7"/>
    <w:lvl w:ilvl="0" w:tentative="0">
      <w:start w:val="1"/>
      <w:numFmt w:val="chineseCounting"/>
      <w:suff w:val="nothing"/>
      <w:lvlText w:val="（%1）"/>
      <w:lvlJc w:val="left"/>
      <w:pPr>
        <w:ind w:left="0" w:firstLine="420"/>
      </w:pPr>
      <w:rPr>
        <w:rFonts w:hint="eastAsia"/>
      </w:rPr>
    </w:lvl>
  </w:abstractNum>
  <w:abstractNum w:abstractNumId="23">
    <w:nsid w:val="C7D637FE"/>
    <w:multiLevelType w:val="singleLevel"/>
    <w:tmpl w:val="C7D637FE"/>
    <w:lvl w:ilvl="0" w:tentative="0">
      <w:start w:val="1"/>
      <w:numFmt w:val="decimalEnclosedCircleChinese"/>
      <w:suff w:val="nothing"/>
      <w:lvlText w:val="%1　"/>
      <w:lvlJc w:val="left"/>
      <w:pPr>
        <w:ind w:left="0" w:firstLine="400"/>
      </w:pPr>
      <w:rPr>
        <w:rFonts w:hint="eastAsia"/>
      </w:rPr>
    </w:lvl>
  </w:abstractNum>
  <w:abstractNum w:abstractNumId="24">
    <w:nsid w:val="C81E0C96"/>
    <w:multiLevelType w:val="singleLevel"/>
    <w:tmpl w:val="C81E0C96"/>
    <w:lvl w:ilvl="0" w:tentative="0">
      <w:start w:val="1"/>
      <w:numFmt w:val="decimal"/>
      <w:suff w:val="nothing"/>
      <w:lvlText w:val="%1．"/>
      <w:lvlJc w:val="left"/>
      <w:pPr>
        <w:ind w:left="0" w:firstLine="400"/>
      </w:pPr>
      <w:rPr>
        <w:rFonts w:hint="default"/>
      </w:rPr>
    </w:lvl>
  </w:abstractNum>
  <w:abstractNum w:abstractNumId="25">
    <w:nsid w:val="CA7146F8"/>
    <w:multiLevelType w:val="singleLevel"/>
    <w:tmpl w:val="CA7146F8"/>
    <w:lvl w:ilvl="0" w:tentative="0">
      <w:start w:val="1"/>
      <w:numFmt w:val="decimal"/>
      <w:lvlText w:val="%1)"/>
      <w:lvlJc w:val="left"/>
      <w:pPr>
        <w:ind w:left="425" w:hanging="425"/>
      </w:pPr>
      <w:rPr>
        <w:rFonts w:hint="default"/>
      </w:rPr>
    </w:lvl>
  </w:abstractNum>
  <w:abstractNum w:abstractNumId="26">
    <w:nsid w:val="CD25E1A3"/>
    <w:multiLevelType w:val="singleLevel"/>
    <w:tmpl w:val="CD25E1A3"/>
    <w:lvl w:ilvl="0" w:tentative="0">
      <w:start w:val="1"/>
      <w:numFmt w:val="decimal"/>
      <w:suff w:val="nothing"/>
      <w:lvlText w:val="%1．"/>
      <w:lvlJc w:val="left"/>
      <w:pPr>
        <w:ind w:left="0" w:firstLine="400"/>
      </w:pPr>
      <w:rPr>
        <w:rFonts w:hint="default"/>
      </w:rPr>
    </w:lvl>
  </w:abstractNum>
  <w:abstractNum w:abstractNumId="27">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28">
    <w:nsid w:val="D45B03FC"/>
    <w:multiLevelType w:val="singleLevel"/>
    <w:tmpl w:val="D45B03FC"/>
    <w:lvl w:ilvl="0" w:tentative="0">
      <w:start w:val="1"/>
      <w:numFmt w:val="chineseCounting"/>
      <w:suff w:val="nothing"/>
      <w:lvlText w:val="（%1）"/>
      <w:lvlJc w:val="left"/>
      <w:pPr>
        <w:ind w:left="0" w:firstLine="420"/>
      </w:pPr>
      <w:rPr>
        <w:rFonts w:hint="eastAsia"/>
      </w:rPr>
    </w:lvl>
  </w:abstractNum>
  <w:abstractNum w:abstractNumId="29">
    <w:nsid w:val="D6FDDC6C"/>
    <w:multiLevelType w:val="singleLevel"/>
    <w:tmpl w:val="D6FDDC6C"/>
    <w:lvl w:ilvl="0" w:tentative="0">
      <w:start w:val="1"/>
      <w:numFmt w:val="decimal"/>
      <w:suff w:val="nothing"/>
      <w:lvlText w:val="%1．"/>
      <w:lvlJc w:val="left"/>
      <w:pPr>
        <w:ind w:left="0" w:firstLine="400"/>
      </w:pPr>
      <w:rPr>
        <w:rFonts w:hint="default"/>
      </w:rPr>
    </w:lvl>
  </w:abstractNum>
  <w:abstractNum w:abstractNumId="30">
    <w:nsid w:val="D8A918F0"/>
    <w:multiLevelType w:val="singleLevel"/>
    <w:tmpl w:val="D8A918F0"/>
    <w:lvl w:ilvl="0" w:tentative="0">
      <w:start w:val="1"/>
      <w:numFmt w:val="decimal"/>
      <w:suff w:val="nothing"/>
      <w:lvlText w:val="%1．"/>
      <w:lvlJc w:val="left"/>
      <w:pPr>
        <w:ind w:left="0" w:firstLine="400"/>
      </w:pPr>
      <w:rPr>
        <w:rFonts w:hint="default"/>
      </w:rPr>
    </w:lvl>
  </w:abstractNum>
  <w:abstractNum w:abstractNumId="31">
    <w:nsid w:val="DA5E0A0D"/>
    <w:multiLevelType w:val="singleLevel"/>
    <w:tmpl w:val="DA5E0A0D"/>
    <w:lvl w:ilvl="0" w:tentative="0">
      <w:start w:val="1"/>
      <w:numFmt w:val="decimal"/>
      <w:suff w:val="nothing"/>
      <w:lvlText w:val="%1．"/>
      <w:lvlJc w:val="left"/>
      <w:pPr>
        <w:ind w:left="0" w:firstLine="400"/>
      </w:pPr>
      <w:rPr>
        <w:rFonts w:hint="default"/>
      </w:rPr>
    </w:lvl>
  </w:abstractNum>
  <w:abstractNum w:abstractNumId="32">
    <w:nsid w:val="DB1C0AD1"/>
    <w:multiLevelType w:val="singleLevel"/>
    <w:tmpl w:val="DB1C0AD1"/>
    <w:lvl w:ilvl="0" w:tentative="0">
      <w:start w:val="1"/>
      <w:numFmt w:val="decimal"/>
      <w:suff w:val="nothing"/>
      <w:lvlText w:val="%1．"/>
      <w:lvlJc w:val="left"/>
      <w:pPr>
        <w:ind w:left="0" w:firstLine="400"/>
      </w:pPr>
      <w:rPr>
        <w:rFonts w:hint="default"/>
      </w:rPr>
    </w:lvl>
  </w:abstractNum>
  <w:abstractNum w:abstractNumId="33">
    <w:nsid w:val="DC91894B"/>
    <w:multiLevelType w:val="singleLevel"/>
    <w:tmpl w:val="DC91894B"/>
    <w:lvl w:ilvl="0" w:tentative="0">
      <w:start w:val="1"/>
      <w:numFmt w:val="decimal"/>
      <w:suff w:val="nothing"/>
      <w:lvlText w:val="%1．"/>
      <w:lvlJc w:val="left"/>
      <w:pPr>
        <w:ind w:left="0" w:firstLine="400"/>
      </w:pPr>
      <w:rPr>
        <w:rFonts w:hint="default"/>
      </w:rPr>
    </w:lvl>
  </w:abstractNum>
  <w:abstractNum w:abstractNumId="34">
    <w:nsid w:val="DDF5E855"/>
    <w:multiLevelType w:val="singleLevel"/>
    <w:tmpl w:val="DDF5E855"/>
    <w:lvl w:ilvl="0" w:tentative="0">
      <w:start w:val="1"/>
      <w:numFmt w:val="decimal"/>
      <w:suff w:val="nothing"/>
      <w:lvlText w:val="%1．"/>
      <w:lvlJc w:val="left"/>
      <w:pPr>
        <w:ind w:left="0" w:firstLine="400"/>
      </w:pPr>
      <w:rPr>
        <w:rFonts w:hint="default"/>
      </w:rPr>
    </w:lvl>
  </w:abstractNum>
  <w:abstractNum w:abstractNumId="35">
    <w:nsid w:val="DEBDCEB8"/>
    <w:multiLevelType w:val="singleLevel"/>
    <w:tmpl w:val="DEBDCEB8"/>
    <w:lvl w:ilvl="0" w:tentative="0">
      <w:start w:val="1"/>
      <w:numFmt w:val="decimal"/>
      <w:lvlText w:val="%1."/>
      <w:lvlJc w:val="left"/>
      <w:pPr>
        <w:ind w:left="425" w:hanging="425"/>
      </w:pPr>
      <w:rPr>
        <w:rFonts w:hint="default"/>
      </w:rPr>
    </w:lvl>
  </w:abstractNum>
  <w:abstractNum w:abstractNumId="36">
    <w:nsid w:val="DF6E63F1"/>
    <w:multiLevelType w:val="singleLevel"/>
    <w:tmpl w:val="DF6E63F1"/>
    <w:lvl w:ilvl="0" w:tentative="0">
      <w:start w:val="1"/>
      <w:numFmt w:val="decimal"/>
      <w:suff w:val="nothing"/>
      <w:lvlText w:val="%1．"/>
      <w:lvlJc w:val="left"/>
      <w:pPr>
        <w:ind w:left="0" w:firstLine="400"/>
      </w:pPr>
      <w:rPr>
        <w:rFonts w:hint="default"/>
      </w:rPr>
    </w:lvl>
  </w:abstractNum>
  <w:abstractNum w:abstractNumId="37">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38">
    <w:nsid w:val="E7EFB590"/>
    <w:multiLevelType w:val="singleLevel"/>
    <w:tmpl w:val="E7EFB590"/>
    <w:lvl w:ilvl="0" w:tentative="0">
      <w:start w:val="1"/>
      <w:numFmt w:val="decimal"/>
      <w:suff w:val="nothing"/>
      <w:lvlText w:val="%1．"/>
      <w:lvlJc w:val="left"/>
      <w:pPr>
        <w:ind w:left="0" w:firstLine="400"/>
      </w:pPr>
      <w:rPr>
        <w:rFonts w:hint="default"/>
      </w:rPr>
    </w:lvl>
  </w:abstractNum>
  <w:abstractNum w:abstractNumId="39">
    <w:nsid w:val="E80FFC20"/>
    <w:multiLevelType w:val="singleLevel"/>
    <w:tmpl w:val="E80FFC20"/>
    <w:lvl w:ilvl="0" w:tentative="0">
      <w:start w:val="1"/>
      <w:numFmt w:val="decimal"/>
      <w:suff w:val="nothing"/>
      <w:lvlText w:val="%1．"/>
      <w:lvlJc w:val="left"/>
      <w:pPr>
        <w:ind w:left="0" w:firstLine="400"/>
      </w:pPr>
      <w:rPr>
        <w:rFonts w:hint="default"/>
      </w:rPr>
    </w:lvl>
  </w:abstractNum>
  <w:abstractNum w:abstractNumId="40">
    <w:nsid w:val="E84F2699"/>
    <w:multiLevelType w:val="singleLevel"/>
    <w:tmpl w:val="E84F2699"/>
    <w:lvl w:ilvl="0" w:tentative="0">
      <w:start w:val="1"/>
      <w:numFmt w:val="chineseCounting"/>
      <w:suff w:val="nothing"/>
      <w:lvlText w:val="（%1）"/>
      <w:lvlJc w:val="left"/>
      <w:pPr>
        <w:ind w:left="0" w:firstLine="420"/>
      </w:pPr>
      <w:rPr>
        <w:rFonts w:hint="eastAsia"/>
      </w:rPr>
    </w:lvl>
  </w:abstractNum>
  <w:abstractNum w:abstractNumId="41">
    <w:nsid w:val="EA5C6C44"/>
    <w:multiLevelType w:val="singleLevel"/>
    <w:tmpl w:val="EA5C6C44"/>
    <w:lvl w:ilvl="0" w:tentative="0">
      <w:start w:val="1"/>
      <w:numFmt w:val="decimalEnclosedCircleChinese"/>
      <w:suff w:val="nothing"/>
      <w:lvlText w:val="%1　"/>
      <w:lvlJc w:val="left"/>
      <w:pPr>
        <w:ind w:left="0" w:firstLine="400"/>
      </w:pPr>
      <w:rPr>
        <w:rFonts w:hint="eastAsia"/>
      </w:rPr>
    </w:lvl>
  </w:abstractNum>
  <w:abstractNum w:abstractNumId="42">
    <w:nsid w:val="F0F1F2C0"/>
    <w:multiLevelType w:val="singleLevel"/>
    <w:tmpl w:val="F0F1F2C0"/>
    <w:lvl w:ilvl="0" w:tentative="0">
      <w:start w:val="1"/>
      <w:numFmt w:val="decimal"/>
      <w:suff w:val="nothing"/>
      <w:lvlText w:val="%1．"/>
      <w:lvlJc w:val="left"/>
      <w:pPr>
        <w:ind w:left="0" w:firstLine="400"/>
      </w:pPr>
      <w:rPr>
        <w:rFonts w:hint="default"/>
      </w:rPr>
    </w:lvl>
  </w:abstractNum>
  <w:abstractNum w:abstractNumId="43">
    <w:nsid w:val="F63D5986"/>
    <w:multiLevelType w:val="singleLevel"/>
    <w:tmpl w:val="F63D5986"/>
    <w:lvl w:ilvl="0" w:tentative="0">
      <w:start w:val="1"/>
      <w:numFmt w:val="decimal"/>
      <w:lvlText w:val="%1)"/>
      <w:lvlJc w:val="left"/>
      <w:pPr>
        <w:ind w:left="425" w:hanging="425"/>
      </w:pPr>
      <w:rPr>
        <w:rFonts w:hint="default"/>
      </w:rPr>
    </w:lvl>
  </w:abstractNum>
  <w:abstractNum w:abstractNumId="44">
    <w:nsid w:val="0000000C"/>
    <w:multiLevelType w:val="singleLevel"/>
    <w:tmpl w:val="0000000C"/>
    <w:lvl w:ilvl="0" w:tentative="0">
      <w:start w:val="1"/>
      <w:numFmt w:val="decimal"/>
      <w:pStyle w:val="9"/>
      <w:lvlText w:val="%1."/>
      <w:lvlJc w:val="left"/>
      <w:pPr>
        <w:tabs>
          <w:tab w:val="left" w:pos="360"/>
        </w:tabs>
        <w:ind w:left="360" w:hanging="360"/>
      </w:pPr>
    </w:lvl>
  </w:abstractNum>
  <w:abstractNum w:abstractNumId="45">
    <w:nsid w:val="00000010"/>
    <w:multiLevelType w:val="singleLevel"/>
    <w:tmpl w:val="00000010"/>
    <w:lvl w:ilvl="0" w:tentative="0">
      <w:start w:val="1"/>
      <w:numFmt w:val="chineseCounting"/>
      <w:suff w:val="nothing"/>
      <w:lvlText w:val="%1、"/>
      <w:lvlJc w:val="left"/>
      <w:pPr>
        <w:ind w:left="0" w:firstLine="0"/>
      </w:pPr>
      <w:rPr>
        <w:rFonts w:hint="eastAsia"/>
      </w:rPr>
    </w:lvl>
  </w:abstractNum>
  <w:abstractNum w:abstractNumId="46">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47">
    <w:nsid w:val="00000030"/>
    <w:multiLevelType w:val="singleLevel"/>
    <w:tmpl w:val="00000030"/>
    <w:lvl w:ilvl="0" w:tentative="0">
      <w:start w:val="2"/>
      <w:numFmt w:val="chineseCounting"/>
      <w:suff w:val="space"/>
      <w:lvlText w:val="第%1章"/>
      <w:lvlJc w:val="left"/>
      <w:rPr>
        <w:rFonts w:hint="eastAsia"/>
      </w:rPr>
    </w:lvl>
  </w:abstractNum>
  <w:abstractNum w:abstractNumId="48">
    <w:nsid w:val="00000031"/>
    <w:multiLevelType w:val="singleLevel"/>
    <w:tmpl w:val="00000031"/>
    <w:lvl w:ilvl="0" w:tentative="0">
      <w:start w:val="1"/>
      <w:numFmt w:val="japaneseCounting"/>
      <w:lvlText w:val="%1、"/>
      <w:lvlJc w:val="left"/>
      <w:pPr>
        <w:tabs>
          <w:tab w:val="left" w:pos="960"/>
        </w:tabs>
        <w:ind w:left="960" w:hanging="600"/>
      </w:pPr>
      <w:rPr>
        <w:rFonts w:hint="eastAsia"/>
      </w:rPr>
    </w:lvl>
  </w:abstractNum>
  <w:abstractNum w:abstractNumId="49">
    <w:nsid w:val="028B5550"/>
    <w:multiLevelType w:val="singleLevel"/>
    <w:tmpl w:val="028B5550"/>
    <w:lvl w:ilvl="0" w:tentative="0">
      <w:start w:val="1"/>
      <w:numFmt w:val="decimalEnclosedCircleChinese"/>
      <w:suff w:val="nothing"/>
      <w:lvlText w:val="%1　"/>
      <w:lvlJc w:val="left"/>
      <w:pPr>
        <w:ind w:left="0" w:firstLine="400"/>
      </w:pPr>
      <w:rPr>
        <w:rFonts w:hint="eastAsia"/>
      </w:rPr>
    </w:lvl>
  </w:abstractNum>
  <w:abstractNum w:abstractNumId="50">
    <w:nsid w:val="079E05C0"/>
    <w:multiLevelType w:val="singleLevel"/>
    <w:tmpl w:val="079E05C0"/>
    <w:lvl w:ilvl="0" w:tentative="0">
      <w:start w:val="1"/>
      <w:numFmt w:val="decimal"/>
      <w:suff w:val="nothing"/>
      <w:lvlText w:val="%1．"/>
      <w:lvlJc w:val="left"/>
      <w:pPr>
        <w:ind w:left="0" w:firstLine="400"/>
      </w:pPr>
      <w:rPr>
        <w:rFonts w:hint="default"/>
      </w:rPr>
    </w:lvl>
  </w:abstractNum>
  <w:abstractNum w:abstractNumId="51">
    <w:nsid w:val="0C187051"/>
    <w:multiLevelType w:val="singleLevel"/>
    <w:tmpl w:val="0C187051"/>
    <w:lvl w:ilvl="0" w:tentative="0">
      <w:start w:val="1"/>
      <w:numFmt w:val="decimal"/>
      <w:suff w:val="nothing"/>
      <w:lvlText w:val="%1．"/>
      <w:lvlJc w:val="left"/>
      <w:pPr>
        <w:ind w:left="0" w:firstLine="400"/>
      </w:pPr>
      <w:rPr>
        <w:rFonts w:hint="default"/>
      </w:rPr>
    </w:lvl>
  </w:abstractNum>
  <w:abstractNum w:abstractNumId="52">
    <w:nsid w:val="1299FDC8"/>
    <w:multiLevelType w:val="singleLevel"/>
    <w:tmpl w:val="1299FDC8"/>
    <w:lvl w:ilvl="0" w:tentative="0">
      <w:start w:val="1"/>
      <w:numFmt w:val="decimal"/>
      <w:suff w:val="nothing"/>
      <w:lvlText w:val="%1．"/>
      <w:lvlJc w:val="left"/>
      <w:pPr>
        <w:ind w:left="0" w:firstLine="400"/>
      </w:pPr>
      <w:rPr>
        <w:rFonts w:hint="default"/>
      </w:rPr>
    </w:lvl>
  </w:abstractNum>
  <w:abstractNum w:abstractNumId="53">
    <w:nsid w:val="143DFE88"/>
    <w:multiLevelType w:val="singleLevel"/>
    <w:tmpl w:val="143DFE88"/>
    <w:lvl w:ilvl="0" w:tentative="0">
      <w:start w:val="1"/>
      <w:numFmt w:val="decimalEnclosedCircleChinese"/>
      <w:suff w:val="nothing"/>
      <w:lvlText w:val="%1　"/>
      <w:lvlJc w:val="left"/>
      <w:pPr>
        <w:ind w:left="0" w:firstLine="400"/>
      </w:pPr>
      <w:rPr>
        <w:rFonts w:hint="eastAsia"/>
      </w:rPr>
    </w:lvl>
  </w:abstractNum>
  <w:abstractNum w:abstractNumId="54">
    <w:nsid w:val="14C55956"/>
    <w:multiLevelType w:val="singleLevel"/>
    <w:tmpl w:val="14C55956"/>
    <w:lvl w:ilvl="0" w:tentative="0">
      <w:start w:val="1"/>
      <w:numFmt w:val="chineseCounting"/>
      <w:suff w:val="nothing"/>
      <w:lvlText w:val="附件%1"/>
      <w:lvlJc w:val="left"/>
      <w:pPr>
        <w:tabs>
          <w:tab w:val="left" w:pos="0"/>
        </w:tabs>
      </w:pPr>
      <w:rPr>
        <w:rFonts w:hint="eastAsia" w:ascii="宋体" w:hAnsi="宋体" w:eastAsia="宋体" w:cs="宋体"/>
        <w:bCs/>
        <w:color w:val="000000" w:themeColor="text1"/>
        <w:sz w:val="28"/>
      </w:rPr>
    </w:lvl>
  </w:abstractNum>
  <w:abstractNum w:abstractNumId="55">
    <w:nsid w:val="15F7E4EC"/>
    <w:multiLevelType w:val="singleLevel"/>
    <w:tmpl w:val="15F7E4EC"/>
    <w:lvl w:ilvl="0" w:tentative="0">
      <w:start w:val="1"/>
      <w:numFmt w:val="chineseCounting"/>
      <w:suff w:val="nothing"/>
      <w:lvlText w:val="（%1）"/>
      <w:lvlJc w:val="left"/>
      <w:pPr>
        <w:ind w:left="0" w:firstLine="420"/>
      </w:pPr>
      <w:rPr>
        <w:rFonts w:hint="eastAsia"/>
      </w:rPr>
    </w:lvl>
  </w:abstractNum>
  <w:abstractNum w:abstractNumId="56">
    <w:nsid w:val="1964CFE3"/>
    <w:multiLevelType w:val="singleLevel"/>
    <w:tmpl w:val="1964CFE3"/>
    <w:lvl w:ilvl="0" w:tentative="0">
      <w:start w:val="1"/>
      <w:numFmt w:val="decimal"/>
      <w:suff w:val="nothing"/>
      <w:lvlText w:val="%1．"/>
      <w:lvlJc w:val="left"/>
      <w:pPr>
        <w:ind w:left="0" w:firstLine="400"/>
      </w:pPr>
      <w:rPr>
        <w:rFonts w:hint="default"/>
      </w:rPr>
    </w:lvl>
  </w:abstractNum>
  <w:abstractNum w:abstractNumId="57">
    <w:nsid w:val="196ADDEC"/>
    <w:multiLevelType w:val="singleLevel"/>
    <w:tmpl w:val="196ADDEC"/>
    <w:lvl w:ilvl="0" w:tentative="0">
      <w:start w:val="1"/>
      <w:numFmt w:val="decimal"/>
      <w:suff w:val="nothing"/>
      <w:lvlText w:val="%1．"/>
      <w:lvlJc w:val="left"/>
      <w:pPr>
        <w:ind w:left="0" w:firstLine="400"/>
      </w:pPr>
      <w:rPr>
        <w:rFonts w:hint="default"/>
      </w:rPr>
    </w:lvl>
  </w:abstractNum>
  <w:abstractNum w:abstractNumId="58">
    <w:nsid w:val="283BF254"/>
    <w:multiLevelType w:val="singleLevel"/>
    <w:tmpl w:val="283BF254"/>
    <w:lvl w:ilvl="0" w:tentative="0">
      <w:start w:val="1"/>
      <w:numFmt w:val="decimal"/>
      <w:suff w:val="nothing"/>
      <w:lvlText w:val="%1．"/>
      <w:lvlJc w:val="left"/>
      <w:pPr>
        <w:ind w:left="0" w:firstLine="400"/>
      </w:pPr>
      <w:rPr>
        <w:rFonts w:hint="default"/>
      </w:rPr>
    </w:lvl>
  </w:abstractNum>
  <w:abstractNum w:abstractNumId="59">
    <w:nsid w:val="29990185"/>
    <w:multiLevelType w:val="singleLevel"/>
    <w:tmpl w:val="29990185"/>
    <w:lvl w:ilvl="0" w:tentative="0">
      <w:start w:val="1"/>
      <w:numFmt w:val="decimal"/>
      <w:suff w:val="nothing"/>
      <w:lvlText w:val="%1．"/>
      <w:lvlJc w:val="left"/>
      <w:pPr>
        <w:ind w:left="0" w:firstLine="400"/>
      </w:pPr>
      <w:rPr>
        <w:rFonts w:hint="default"/>
      </w:rPr>
    </w:lvl>
  </w:abstractNum>
  <w:abstractNum w:abstractNumId="60">
    <w:nsid w:val="3128C229"/>
    <w:multiLevelType w:val="singleLevel"/>
    <w:tmpl w:val="3128C229"/>
    <w:lvl w:ilvl="0" w:tentative="0">
      <w:start w:val="1"/>
      <w:numFmt w:val="chineseCounting"/>
      <w:suff w:val="nothing"/>
      <w:lvlText w:val="（%1）"/>
      <w:lvlJc w:val="left"/>
      <w:pPr>
        <w:ind w:left="0" w:firstLine="420"/>
      </w:pPr>
      <w:rPr>
        <w:rFonts w:hint="eastAsia"/>
      </w:rPr>
    </w:lvl>
  </w:abstractNum>
  <w:abstractNum w:abstractNumId="61">
    <w:nsid w:val="3153F23C"/>
    <w:multiLevelType w:val="singleLevel"/>
    <w:tmpl w:val="3153F23C"/>
    <w:lvl w:ilvl="0" w:tentative="0">
      <w:start w:val="1"/>
      <w:numFmt w:val="chineseCounting"/>
      <w:suff w:val="nothing"/>
      <w:lvlText w:val="（%1）"/>
      <w:lvlJc w:val="left"/>
      <w:pPr>
        <w:ind w:left="0" w:firstLine="420"/>
      </w:pPr>
      <w:rPr>
        <w:rFonts w:hint="eastAsia"/>
      </w:rPr>
    </w:lvl>
  </w:abstractNum>
  <w:abstractNum w:abstractNumId="62">
    <w:nsid w:val="32B037BF"/>
    <w:multiLevelType w:val="singleLevel"/>
    <w:tmpl w:val="32B037BF"/>
    <w:lvl w:ilvl="0" w:tentative="0">
      <w:start w:val="1"/>
      <w:numFmt w:val="chineseCounting"/>
      <w:suff w:val="nothing"/>
      <w:lvlText w:val="%1、"/>
      <w:lvlJc w:val="left"/>
      <w:pPr>
        <w:ind w:left="0" w:firstLine="420"/>
      </w:pPr>
      <w:rPr>
        <w:rFonts w:hint="eastAsia"/>
      </w:rPr>
    </w:lvl>
  </w:abstractNum>
  <w:abstractNum w:abstractNumId="63">
    <w:nsid w:val="3437163E"/>
    <w:multiLevelType w:val="singleLevel"/>
    <w:tmpl w:val="3437163E"/>
    <w:lvl w:ilvl="0" w:tentative="0">
      <w:start w:val="1"/>
      <w:numFmt w:val="decimal"/>
      <w:suff w:val="nothing"/>
      <w:lvlText w:val="%1．"/>
      <w:lvlJc w:val="left"/>
      <w:pPr>
        <w:ind w:left="0" w:firstLine="400"/>
      </w:pPr>
      <w:rPr>
        <w:rFonts w:hint="default"/>
      </w:rPr>
    </w:lvl>
  </w:abstractNum>
  <w:abstractNum w:abstractNumId="64">
    <w:nsid w:val="393D92DC"/>
    <w:multiLevelType w:val="singleLevel"/>
    <w:tmpl w:val="393D92DC"/>
    <w:lvl w:ilvl="0" w:tentative="0">
      <w:start w:val="1"/>
      <w:numFmt w:val="decimal"/>
      <w:suff w:val="nothing"/>
      <w:lvlText w:val="%1．"/>
      <w:lvlJc w:val="left"/>
      <w:pPr>
        <w:ind w:left="0" w:firstLine="400"/>
      </w:pPr>
      <w:rPr>
        <w:rFonts w:hint="default"/>
      </w:rPr>
    </w:lvl>
  </w:abstractNum>
  <w:abstractNum w:abstractNumId="65">
    <w:nsid w:val="40BF08A7"/>
    <w:multiLevelType w:val="singleLevel"/>
    <w:tmpl w:val="40BF08A7"/>
    <w:lvl w:ilvl="0" w:tentative="0">
      <w:start w:val="1"/>
      <w:numFmt w:val="chineseCounting"/>
      <w:suff w:val="nothing"/>
      <w:lvlText w:val="（%1）"/>
      <w:lvlJc w:val="left"/>
      <w:pPr>
        <w:ind w:left="0" w:firstLine="420"/>
      </w:pPr>
      <w:rPr>
        <w:rFonts w:hint="eastAsia"/>
      </w:rPr>
    </w:lvl>
  </w:abstractNum>
  <w:abstractNum w:abstractNumId="66">
    <w:nsid w:val="4114C2D3"/>
    <w:multiLevelType w:val="singleLevel"/>
    <w:tmpl w:val="4114C2D3"/>
    <w:lvl w:ilvl="0" w:tentative="0">
      <w:start w:val="1"/>
      <w:numFmt w:val="decimalEnclosedCircleChinese"/>
      <w:suff w:val="nothing"/>
      <w:lvlText w:val="%1　"/>
      <w:lvlJc w:val="left"/>
      <w:pPr>
        <w:ind w:left="0" w:firstLine="400"/>
      </w:pPr>
      <w:rPr>
        <w:rFonts w:hint="eastAsia"/>
      </w:rPr>
    </w:lvl>
  </w:abstractNum>
  <w:abstractNum w:abstractNumId="67">
    <w:nsid w:val="41FD3376"/>
    <w:multiLevelType w:val="singleLevel"/>
    <w:tmpl w:val="41FD3376"/>
    <w:lvl w:ilvl="0" w:tentative="0">
      <w:start w:val="1"/>
      <w:numFmt w:val="decimal"/>
      <w:lvlText w:val="%1."/>
      <w:lvlJc w:val="left"/>
      <w:pPr>
        <w:ind w:left="425" w:hanging="425"/>
      </w:pPr>
      <w:rPr>
        <w:rFonts w:hint="default"/>
      </w:rPr>
    </w:lvl>
  </w:abstractNum>
  <w:abstractNum w:abstractNumId="68">
    <w:nsid w:val="4FE708C0"/>
    <w:multiLevelType w:val="singleLevel"/>
    <w:tmpl w:val="4FE708C0"/>
    <w:lvl w:ilvl="0" w:tentative="0">
      <w:start w:val="1"/>
      <w:numFmt w:val="decimal"/>
      <w:lvlText w:val="%1."/>
      <w:lvlJc w:val="left"/>
      <w:pPr>
        <w:ind w:left="425" w:hanging="425"/>
      </w:pPr>
      <w:rPr>
        <w:rFonts w:hint="default"/>
      </w:rPr>
    </w:lvl>
  </w:abstractNum>
  <w:abstractNum w:abstractNumId="69">
    <w:nsid w:val="509333B4"/>
    <w:multiLevelType w:val="singleLevel"/>
    <w:tmpl w:val="509333B4"/>
    <w:lvl w:ilvl="0" w:tentative="0">
      <w:start w:val="1"/>
      <w:numFmt w:val="decimalEnclosedCircleChinese"/>
      <w:suff w:val="nothing"/>
      <w:lvlText w:val="%1　"/>
      <w:lvlJc w:val="left"/>
      <w:pPr>
        <w:ind w:left="0" w:firstLine="400"/>
      </w:pPr>
      <w:rPr>
        <w:rFonts w:hint="eastAsia"/>
      </w:rPr>
    </w:lvl>
  </w:abstractNum>
  <w:abstractNum w:abstractNumId="70">
    <w:nsid w:val="5229B699"/>
    <w:multiLevelType w:val="singleLevel"/>
    <w:tmpl w:val="5229B699"/>
    <w:lvl w:ilvl="0" w:tentative="0">
      <w:start w:val="1"/>
      <w:numFmt w:val="decimal"/>
      <w:suff w:val="nothing"/>
      <w:lvlText w:val="%1．"/>
      <w:lvlJc w:val="left"/>
      <w:pPr>
        <w:ind w:left="0" w:firstLine="400"/>
      </w:pPr>
      <w:rPr>
        <w:rFonts w:hint="default"/>
      </w:rPr>
    </w:lvl>
  </w:abstractNum>
  <w:abstractNum w:abstractNumId="71">
    <w:nsid w:val="605E5468"/>
    <w:multiLevelType w:val="singleLevel"/>
    <w:tmpl w:val="605E5468"/>
    <w:lvl w:ilvl="0" w:tentative="0">
      <w:start w:val="1"/>
      <w:numFmt w:val="chineseCounting"/>
      <w:suff w:val="nothing"/>
      <w:lvlText w:val="（%1）"/>
      <w:lvlJc w:val="left"/>
      <w:pPr>
        <w:ind w:left="0" w:firstLine="420"/>
      </w:pPr>
      <w:rPr>
        <w:rFonts w:hint="eastAsia"/>
      </w:rPr>
    </w:lvl>
  </w:abstractNum>
  <w:abstractNum w:abstractNumId="72">
    <w:nsid w:val="64A76110"/>
    <w:multiLevelType w:val="singleLevel"/>
    <w:tmpl w:val="64A76110"/>
    <w:lvl w:ilvl="0" w:tentative="0">
      <w:start w:val="1"/>
      <w:numFmt w:val="chineseCounting"/>
      <w:suff w:val="nothing"/>
      <w:lvlText w:val="%1、"/>
      <w:lvlJc w:val="left"/>
      <w:pPr>
        <w:ind w:left="0" w:firstLine="420"/>
      </w:pPr>
      <w:rPr>
        <w:rFonts w:hint="eastAsia"/>
      </w:rPr>
    </w:lvl>
  </w:abstractNum>
  <w:abstractNum w:abstractNumId="73">
    <w:nsid w:val="65EC88FE"/>
    <w:multiLevelType w:val="singleLevel"/>
    <w:tmpl w:val="65EC88FE"/>
    <w:lvl w:ilvl="0" w:tentative="0">
      <w:start w:val="1"/>
      <w:numFmt w:val="decimal"/>
      <w:suff w:val="nothing"/>
      <w:lvlText w:val="%1．"/>
      <w:lvlJc w:val="left"/>
      <w:pPr>
        <w:ind w:left="0" w:firstLine="400"/>
      </w:pPr>
      <w:rPr>
        <w:rFonts w:hint="default"/>
      </w:rPr>
    </w:lvl>
  </w:abstractNum>
  <w:abstractNum w:abstractNumId="74">
    <w:nsid w:val="6D6B986C"/>
    <w:multiLevelType w:val="singleLevel"/>
    <w:tmpl w:val="6D6B986C"/>
    <w:lvl w:ilvl="0" w:tentative="0">
      <w:start w:val="1"/>
      <w:numFmt w:val="decimal"/>
      <w:suff w:val="nothing"/>
      <w:lvlText w:val="%1．"/>
      <w:lvlJc w:val="left"/>
      <w:pPr>
        <w:ind w:left="0" w:firstLine="400"/>
      </w:pPr>
      <w:rPr>
        <w:rFonts w:hint="default"/>
      </w:rPr>
    </w:lvl>
  </w:abstractNum>
  <w:abstractNum w:abstractNumId="75">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76">
    <w:nsid w:val="6E4F7646"/>
    <w:multiLevelType w:val="singleLevel"/>
    <w:tmpl w:val="6E4F7646"/>
    <w:lvl w:ilvl="0" w:tentative="0">
      <w:start w:val="1"/>
      <w:numFmt w:val="decimal"/>
      <w:lvlText w:val="%1."/>
      <w:lvlJc w:val="left"/>
      <w:pPr>
        <w:tabs>
          <w:tab w:val="left" w:pos="312"/>
        </w:tabs>
      </w:pPr>
    </w:lvl>
  </w:abstractNum>
  <w:abstractNum w:abstractNumId="77">
    <w:nsid w:val="754995FC"/>
    <w:multiLevelType w:val="singleLevel"/>
    <w:tmpl w:val="754995FC"/>
    <w:lvl w:ilvl="0" w:tentative="0">
      <w:start w:val="1"/>
      <w:numFmt w:val="decimal"/>
      <w:suff w:val="nothing"/>
      <w:lvlText w:val="%1．"/>
      <w:lvlJc w:val="left"/>
      <w:pPr>
        <w:ind w:left="0" w:firstLine="400"/>
      </w:pPr>
      <w:rPr>
        <w:rFonts w:hint="default"/>
      </w:rPr>
    </w:lvl>
  </w:abstractNum>
  <w:abstractNum w:abstractNumId="78">
    <w:nsid w:val="7D844F70"/>
    <w:multiLevelType w:val="singleLevel"/>
    <w:tmpl w:val="7D844F70"/>
    <w:lvl w:ilvl="0" w:tentative="0">
      <w:start w:val="1"/>
      <w:numFmt w:val="chineseCounting"/>
      <w:suff w:val="nothing"/>
      <w:lvlText w:val="（%1）"/>
      <w:lvlJc w:val="left"/>
      <w:pPr>
        <w:ind w:left="0" w:firstLine="420"/>
      </w:pPr>
      <w:rPr>
        <w:rFonts w:hint="eastAsia"/>
      </w:rPr>
    </w:lvl>
  </w:abstractNum>
  <w:num w:numId="1">
    <w:abstractNumId w:val="44"/>
  </w:num>
  <w:num w:numId="2">
    <w:abstractNumId w:val="67"/>
  </w:num>
  <w:num w:numId="3">
    <w:abstractNumId w:val="48"/>
  </w:num>
  <w:num w:numId="4">
    <w:abstractNumId w:val="45"/>
  </w:num>
  <w:num w:numId="5">
    <w:abstractNumId w:val="39"/>
  </w:num>
  <w:num w:numId="6">
    <w:abstractNumId w:val="70"/>
  </w:num>
  <w:num w:numId="7">
    <w:abstractNumId w:val="14"/>
  </w:num>
  <w:num w:numId="8">
    <w:abstractNumId w:val="37"/>
  </w:num>
  <w:num w:numId="9">
    <w:abstractNumId w:val="77"/>
  </w:num>
  <w:num w:numId="10">
    <w:abstractNumId w:val="47"/>
  </w:num>
  <w:num w:numId="11">
    <w:abstractNumId w:val="72"/>
  </w:num>
  <w:num w:numId="12">
    <w:abstractNumId w:val="1"/>
  </w:num>
  <w:num w:numId="13">
    <w:abstractNumId w:val="10"/>
  </w:num>
  <w:num w:numId="14">
    <w:abstractNumId w:val="66"/>
  </w:num>
  <w:num w:numId="15">
    <w:abstractNumId w:val="53"/>
  </w:num>
  <w:num w:numId="16">
    <w:abstractNumId w:val="17"/>
  </w:num>
  <w:num w:numId="17">
    <w:abstractNumId w:val="50"/>
  </w:num>
  <w:num w:numId="18">
    <w:abstractNumId w:val="16"/>
  </w:num>
  <w:num w:numId="19">
    <w:abstractNumId w:val="29"/>
  </w:num>
  <w:num w:numId="20">
    <w:abstractNumId w:val="7"/>
  </w:num>
  <w:num w:numId="21">
    <w:abstractNumId w:val="58"/>
  </w:num>
  <w:num w:numId="22">
    <w:abstractNumId w:val="6"/>
  </w:num>
  <w:num w:numId="23">
    <w:abstractNumId w:val="9"/>
  </w:num>
  <w:num w:numId="24">
    <w:abstractNumId w:val="56"/>
  </w:num>
  <w:num w:numId="25">
    <w:abstractNumId w:val="41"/>
  </w:num>
  <w:num w:numId="26">
    <w:abstractNumId w:val="13"/>
  </w:num>
  <w:num w:numId="27">
    <w:abstractNumId w:val="23"/>
  </w:num>
  <w:num w:numId="28">
    <w:abstractNumId w:val="34"/>
  </w:num>
  <w:num w:numId="29">
    <w:abstractNumId w:val="26"/>
  </w:num>
  <w:num w:numId="30">
    <w:abstractNumId w:val="28"/>
  </w:num>
  <w:num w:numId="31">
    <w:abstractNumId w:val="42"/>
  </w:num>
  <w:num w:numId="32">
    <w:abstractNumId w:val="49"/>
  </w:num>
  <w:num w:numId="33">
    <w:abstractNumId w:val="61"/>
  </w:num>
  <w:num w:numId="34">
    <w:abstractNumId w:val="65"/>
  </w:num>
  <w:num w:numId="35">
    <w:abstractNumId w:val="24"/>
  </w:num>
  <w:num w:numId="36">
    <w:abstractNumId w:val="63"/>
  </w:num>
  <w:num w:numId="37">
    <w:abstractNumId w:val="19"/>
  </w:num>
  <w:num w:numId="38">
    <w:abstractNumId w:val="8"/>
  </w:num>
  <w:num w:numId="39">
    <w:abstractNumId w:val="20"/>
  </w:num>
  <w:num w:numId="40">
    <w:abstractNumId w:val="62"/>
  </w:num>
  <w:num w:numId="41">
    <w:abstractNumId w:val="55"/>
  </w:num>
  <w:num w:numId="42">
    <w:abstractNumId w:val="11"/>
  </w:num>
  <w:num w:numId="43">
    <w:abstractNumId w:val="73"/>
  </w:num>
  <w:num w:numId="44">
    <w:abstractNumId w:val="3"/>
  </w:num>
  <w:num w:numId="45">
    <w:abstractNumId w:val="40"/>
  </w:num>
  <w:num w:numId="46">
    <w:abstractNumId w:val="2"/>
  </w:num>
  <w:num w:numId="47">
    <w:abstractNumId w:val="78"/>
  </w:num>
  <w:num w:numId="48">
    <w:abstractNumId w:val="71"/>
  </w:num>
  <w:num w:numId="49">
    <w:abstractNumId w:val="52"/>
  </w:num>
  <w:num w:numId="50">
    <w:abstractNumId w:val="0"/>
  </w:num>
  <w:num w:numId="51">
    <w:abstractNumId w:val="60"/>
  </w:num>
  <w:num w:numId="52">
    <w:abstractNumId w:val="57"/>
  </w:num>
  <w:num w:numId="53">
    <w:abstractNumId w:val="43"/>
  </w:num>
  <w:num w:numId="54">
    <w:abstractNumId w:val="25"/>
  </w:num>
  <w:num w:numId="55">
    <w:abstractNumId w:val="15"/>
  </w:num>
  <w:num w:numId="56">
    <w:abstractNumId w:val="69"/>
  </w:num>
  <w:num w:numId="57">
    <w:abstractNumId w:val="12"/>
  </w:num>
  <w:num w:numId="58">
    <w:abstractNumId w:val="22"/>
  </w:num>
  <w:num w:numId="59">
    <w:abstractNumId w:val="30"/>
  </w:num>
  <w:num w:numId="60">
    <w:abstractNumId w:val="33"/>
  </w:num>
  <w:num w:numId="61">
    <w:abstractNumId w:val="59"/>
  </w:num>
  <w:num w:numId="62">
    <w:abstractNumId w:val="4"/>
  </w:num>
  <w:num w:numId="63">
    <w:abstractNumId w:val="5"/>
  </w:num>
  <w:num w:numId="64">
    <w:abstractNumId w:val="64"/>
  </w:num>
  <w:num w:numId="65">
    <w:abstractNumId w:val="46"/>
  </w:num>
  <w:num w:numId="66">
    <w:abstractNumId w:val="27"/>
  </w:num>
  <w:num w:numId="67">
    <w:abstractNumId w:val="32"/>
  </w:num>
  <w:num w:numId="68">
    <w:abstractNumId w:val="36"/>
  </w:num>
  <w:num w:numId="69">
    <w:abstractNumId w:val="51"/>
  </w:num>
  <w:num w:numId="70">
    <w:abstractNumId w:val="76"/>
  </w:num>
  <w:num w:numId="71">
    <w:abstractNumId w:val="18"/>
  </w:num>
  <w:num w:numId="72">
    <w:abstractNumId w:val="31"/>
  </w:num>
  <w:num w:numId="73">
    <w:abstractNumId w:val="38"/>
  </w:num>
  <w:num w:numId="74">
    <w:abstractNumId w:val="75"/>
  </w:num>
  <w:num w:numId="75">
    <w:abstractNumId w:val="54"/>
  </w:num>
  <w:num w:numId="76">
    <w:abstractNumId w:val="35"/>
  </w:num>
  <w:num w:numId="77">
    <w:abstractNumId w:val="68"/>
  </w:num>
  <w:num w:numId="78">
    <w:abstractNumId w:val="21"/>
  </w:num>
  <w:num w:numId="79">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215104"/>
    <w:rsid w:val="00680A79"/>
    <w:rsid w:val="008C3E1F"/>
    <w:rsid w:val="01654E41"/>
    <w:rsid w:val="016F5B6D"/>
    <w:rsid w:val="019C6F9D"/>
    <w:rsid w:val="01BE3D88"/>
    <w:rsid w:val="020C08FE"/>
    <w:rsid w:val="023D010D"/>
    <w:rsid w:val="02446584"/>
    <w:rsid w:val="024A2E45"/>
    <w:rsid w:val="02E66FA5"/>
    <w:rsid w:val="03326D53"/>
    <w:rsid w:val="04192157"/>
    <w:rsid w:val="042E228F"/>
    <w:rsid w:val="04360114"/>
    <w:rsid w:val="04503CFB"/>
    <w:rsid w:val="047611E7"/>
    <w:rsid w:val="04971B0C"/>
    <w:rsid w:val="049E6A93"/>
    <w:rsid w:val="04C6174A"/>
    <w:rsid w:val="06367251"/>
    <w:rsid w:val="064B5346"/>
    <w:rsid w:val="06983CE7"/>
    <w:rsid w:val="06AA1BED"/>
    <w:rsid w:val="06C63C79"/>
    <w:rsid w:val="06ED5C80"/>
    <w:rsid w:val="07061E28"/>
    <w:rsid w:val="07372051"/>
    <w:rsid w:val="081B727D"/>
    <w:rsid w:val="08596186"/>
    <w:rsid w:val="08B06B4D"/>
    <w:rsid w:val="092F09A0"/>
    <w:rsid w:val="09C36167"/>
    <w:rsid w:val="0A2D37C9"/>
    <w:rsid w:val="0AD8516C"/>
    <w:rsid w:val="0B1A4D8C"/>
    <w:rsid w:val="0B3130D6"/>
    <w:rsid w:val="0B3425C0"/>
    <w:rsid w:val="0BCB6272"/>
    <w:rsid w:val="0BE01CD9"/>
    <w:rsid w:val="0C137ABD"/>
    <w:rsid w:val="0CA01579"/>
    <w:rsid w:val="0CA4416E"/>
    <w:rsid w:val="0D6E47F0"/>
    <w:rsid w:val="0DA472CF"/>
    <w:rsid w:val="0DC3019B"/>
    <w:rsid w:val="0E2D7140"/>
    <w:rsid w:val="0E4D58E6"/>
    <w:rsid w:val="0E663582"/>
    <w:rsid w:val="0F3D395A"/>
    <w:rsid w:val="0F452020"/>
    <w:rsid w:val="0F5F3446"/>
    <w:rsid w:val="0F7641D1"/>
    <w:rsid w:val="0FE1569A"/>
    <w:rsid w:val="10157234"/>
    <w:rsid w:val="102A2753"/>
    <w:rsid w:val="10A52B50"/>
    <w:rsid w:val="10AF65F6"/>
    <w:rsid w:val="115846BA"/>
    <w:rsid w:val="11C77177"/>
    <w:rsid w:val="12BC7011"/>
    <w:rsid w:val="12EC6E55"/>
    <w:rsid w:val="136A34B1"/>
    <w:rsid w:val="137F52AC"/>
    <w:rsid w:val="13BE53EC"/>
    <w:rsid w:val="15126A08"/>
    <w:rsid w:val="158A6B11"/>
    <w:rsid w:val="15AB27A9"/>
    <w:rsid w:val="15B56419"/>
    <w:rsid w:val="15C73308"/>
    <w:rsid w:val="1645159B"/>
    <w:rsid w:val="164755B0"/>
    <w:rsid w:val="16C6145B"/>
    <w:rsid w:val="184546E9"/>
    <w:rsid w:val="184E0465"/>
    <w:rsid w:val="18A6457A"/>
    <w:rsid w:val="18D314AE"/>
    <w:rsid w:val="19EA426A"/>
    <w:rsid w:val="1A783F6D"/>
    <w:rsid w:val="1AA84C2C"/>
    <w:rsid w:val="1BB6133F"/>
    <w:rsid w:val="1BBF5275"/>
    <w:rsid w:val="1BE16A97"/>
    <w:rsid w:val="1BFD1D4C"/>
    <w:rsid w:val="1C2952D4"/>
    <w:rsid w:val="1C3F01B1"/>
    <w:rsid w:val="1C7B0D67"/>
    <w:rsid w:val="1D2062AC"/>
    <w:rsid w:val="1D334A92"/>
    <w:rsid w:val="1DB01B60"/>
    <w:rsid w:val="1E135AEA"/>
    <w:rsid w:val="1E9B2198"/>
    <w:rsid w:val="1FE86C2C"/>
    <w:rsid w:val="1FF73572"/>
    <w:rsid w:val="21026779"/>
    <w:rsid w:val="21F61A9F"/>
    <w:rsid w:val="225B6695"/>
    <w:rsid w:val="226A4ED5"/>
    <w:rsid w:val="23183E34"/>
    <w:rsid w:val="236105FB"/>
    <w:rsid w:val="239A4E1D"/>
    <w:rsid w:val="24BF3896"/>
    <w:rsid w:val="24EE15D0"/>
    <w:rsid w:val="24F136E8"/>
    <w:rsid w:val="250462D5"/>
    <w:rsid w:val="25EC1A07"/>
    <w:rsid w:val="26393074"/>
    <w:rsid w:val="268042A0"/>
    <w:rsid w:val="2692217A"/>
    <w:rsid w:val="2730787D"/>
    <w:rsid w:val="27367269"/>
    <w:rsid w:val="27683956"/>
    <w:rsid w:val="278D05AD"/>
    <w:rsid w:val="27C1146B"/>
    <w:rsid w:val="27FE0F0D"/>
    <w:rsid w:val="28630435"/>
    <w:rsid w:val="2866065B"/>
    <w:rsid w:val="28E2329E"/>
    <w:rsid w:val="290B019B"/>
    <w:rsid w:val="29A403B8"/>
    <w:rsid w:val="29A87A79"/>
    <w:rsid w:val="2A094379"/>
    <w:rsid w:val="2A9C7F7D"/>
    <w:rsid w:val="2AFC27CE"/>
    <w:rsid w:val="2B435127"/>
    <w:rsid w:val="2B487ADA"/>
    <w:rsid w:val="2BCF578B"/>
    <w:rsid w:val="2C5E473C"/>
    <w:rsid w:val="2CDA45C9"/>
    <w:rsid w:val="2DF00E26"/>
    <w:rsid w:val="2E0B21C5"/>
    <w:rsid w:val="2E15511C"/>
    <w:rsid w:val="2E2D4F92"/>
    <w:rsid w:val="2E623421"/>
    <w:rsid w:val="2EC87156"/>
    <w:rsid w:val="2EDC42AC"/>
    <w:rsid w:val="2EF12B2D"/>
    <w:rsid w:val="2EFD16A9"/>
    <w:rsid w:val="2F025E38"/>
    <w:rsid w:val="2F167969"/>
    <w:rsid w:val="2FA056A8"/>
    <w:rsid w:val="30431F77"/>
    <w:rsid w:val="30A22782"/>
    <w:rsid w:val="31B4026A"/>
    <w:rsid w:val="31F2633E"/>
    <w:rsid w:val="32251431"/>
    <w:rsid w:val="32547E53"/>
    <w:rsid w:val="32EE2C7A"/>
    <w:rsid w:val="3313518E"/>
    <w:rsid w:val="33654E11"/>
    <w:rsid w:val="338A5133"/>
    <w:rsid w:val="33962412"/>
    <w:rsid w:val="33DE436C"/>
    <w:rsid w:val="344F11F8"/>
    <w:rsid w:val="34CB4AD2"/>
    <w:rsid w:val="35064C8D"/>
    <w:rsid w:val="354B36A8"/>
    <w:rsid w:val="35576893"/>
    <w:rsid w:val="359B4769"/>
    <w:rsid w:val="35B67BBD"/>
    <w:rsid w:val="372C3001"/>
    <w:rsid w:val="37366BA7"/>
    <w:rsid w:val="37443E7E"/>
    <w:rsid w:val="37963C65"/>
    <w:rsid w:val="37BF2A42"/>
    <w:rsid w:val="388947D4"/>
    <w:rsid w:val="38C50D7C"/>
    <w:rsid w:val="38D43E3C"/>
    <w:rsid w:val="38DE4E5E"/>
    <w:rsid w:val="3944315E"/>
    <w:rsid w:val="3A880606"/>
    <w:rsid w:val="3AF7024E"/>
    <w:rsid w:val="3B056BCC"/>
    <w:rsid w:val="3BE57BDE"/>
    <w:rsid w:val="3BEC3A1F"/>
    <w:rsid w:val="3C4622FC"/>
    <w:rsid w:val="3D535FD6"/>
    <w:rsid w:val="3DB00F3A"/>
    <w:rsid w:val="3E3A74F2"/>
    <w:rsid w:val="3ED51BCA"/>
    <w:rsid w:val="3EDF34BA"/>
    <w:rsid w:val="3EE621E7"/>
    <w:rsid w:val="3F177543"/>
    <w:rsid w:val="3F425A32"/>
    <w:rsid w:val="3FC458D6"/>
    <w:rsid w:val="402E2589"/>
    <w:rsid w:val="41AA0B03"/>
    <w:rsid w:val="41F85AAD"/>
    <w:rsid w:val="42CE341F"/>
    <w:rsid w:val="42E1244C"/>
    <w:rsid w:val="430A4E65"/>
    <w:rsid w:val="431558F8"/>
    <w:rsid w:val="435F3D0B"/>
    <w:rsid w:val="437F1009"/>
    <w:rsid w:val="43C27714"/>
    <w:rsid w:val="44284403"/>
    <w:rsid w:val="45C116F3"/>
    <w:rsid w:val="46562A61"/>
    <w:rsid w:val="466435C2"/>
    <w:rsid w:val="467B2FAD"/>
    <w:rsid w:val="46CC694B"/>
    <w:rsid w:val="46FE57E9"/>
    <w:rsid w:val="473E7746"/>
    <w:rsid w:val="47400534"/>
    <w:rsid w:val="47462CC7"/>
    <w:rsid w:val="474653BD"/>
    <w:rsid w:val="47513C63"/>
    <w:rsid w:val="47546092"/>
    <w:rsid w:val="475951C0"/>
    <w:rsid w:val="477D2799"/>
    <w:rsid w:val="47D81673"/>
    <w:rsid w:val="48E66148"/>
    <w:rsid w:val="490D6439"/>
    <w:rsid w:val="49907DE4"/>
    <w:rsid w:val="49F23FE6"/>
    <w:rsid w:val="4A0E1D14"/>
    <w:rsid w:val="4A612244"/>
    <w:rsid w:val="4ADB4694"/>
    <w:rsid w:val="4B1C017D"/>
    <w:rsid w:val="4B591FAD"/>
    <w:rsid w:val="4B7E4123"/>
    <w:rsid w:val="4B817806"/>
    <w:rsid w:val="4BC06CFF"/>
    <w:rsid w:val="4BDD5D59"/>
    <w:rsid w:val="4C13534A"/>
    <w:rsid w:val="4C1357C8"/>
    <w:rsid w:val="4C2B5850"/>
    <w:rsid w:val="4CF423DD"/>
    <w:rsid w:val="4D521F3E"/>
    <w:rsid w:val="4D577AA4"/>
    <w:rsid w:val="4D612E66"/>
    <w:rsid w:val="4D6A4522"/>
    <w:rsid w:val="4DEF3162"/>
    <w:rsid w:val="4DFF55D9"/>
    <w:rsid w:val="4E992277"/>
    <w:rsid w:val="4F0B6E47"/>
    <w:rsid w:val="4F164C1C"/>
    <w:rsid w:val="4F852598"/>
    <w:rsid w:val="4F87180E"/>
    <w:rsid w:val="4F8B1361"/>
    <w:rsid w:val="4F92046E"/>
    <w:rsid w:val="510D2AA8"/>
    <w:rsid w:val="511C1E2E"/>
    <w:rsid w:val="513B6DDC"/>
    <w:rsid w:val="514F4968"/>
    <w:rsid w:val="52167619"/>
    <w:rsid w:val="52914CCA"/>
    <w:rsid w:val="52DB3974"/>
    <w:rsid w:val="53061AB9"/>
    <w:rsid w:val="532812A2"/>
    <w:rsid w:val="53BF5466"/>
    <w:rsid w:val="544B453F"/>
    <w:rsid w:val="547779F8"/>
    <w:rsid w:val="54CF4EB9"/>
    <w:rsid w:val="550C3202"/>
    <w:rsid w:val="55E232D9"/>
    <w:rsid w:val="567809C3"/>
    <w:rsid w:val="568765E3"/>
    <w:rsid w:val="56C1777C"/>
    <w:rsid w:val="56EC3EC4"/>
    <w:rsid w:val="572C04CA"/>
    <w:rsid w:val="57900BB3"/>
    <w:rsid w:val="57964810"/>
    <w:rsid w:val="57AE6548"/>
    <w:rsid w:val="57B50356"/>
    <w:rsid w:val="582E581E"/>
    <w:rsid w:val="58502F77"/>
    <w:rsid w:val="58627BD5"/>
    <w:rsid w:val="588D5E94"/>
    <w:rsid w:val="590C1D9B"/>
    <w:rsid w:val="59923CB2"/>
    <w:rsid w:val="59AA667A"/>
    <w:rsid w:val="59C230A9"/>
    <w:rsid w:val="5A02678F"/>
    <w:rsid w:val="5A173428"/>
    <w:rsid w:val="5B10406B"/>
    <w:rsid w:val="5B605979"/>
    <w:rsid w:val="5B883EB2"/>
    <w:rsid w:val="5B9B0226"/>
    <w:rsid w:val="5BA9775A"/>
    <w:rsid w:val="5BBA4F8E"/>
    <w:rsid w:val="5BC02206"/>
    <w:rsid w:val="5C0504C0"/>
    <w:rsid w:val="5C130D0E"/>
    <w:rsid w:val="5C3E2B17"/>
    <w:rsid w:val="5C4927E0"/>
    <w:rsid w:val="5C7A5C7D"/>
    <w:rsid w:val="5CB810D4"/>
    <w:rsid w:val="5CFF4FB1"/>
    <w:rsid w:val="5D4A1CCF"/>
    <w:rsid w:val="5DD137FA"/>
    <w:rsid w:val="5E0E1CC8"/>
    <w:rsid w:val="5E201DA2"/>
    <w:rsid w:val="5E8F322C"/>
    <w:rsid w:val="5F864151"/>
    <w:rsid w:val="5FB15E48"/>
    <w:rsid w:val="5FC627A0"/>
    <w:rsid w:val="60040B4D"/>
    <w:rsid w:val="609D7F30"/>
    <w:rsid w:val="624B366E"/>
    <w:rsid w:val="627633DD"/>
    <w:rsid w:val="631040BD"/>
    <w:rsid w:val="63C37668"/>
    <w:rsid w:val="63E93D3D"/>
    <w:rsid w:val="64394ADB"/>
    <w:rsid w:val="64C2082C"/>
    <w:rsid w:val="64F85956"/>
    <w:rsid w:val="65805D4D"/>
    <w:rsid w:val="65D469A6"/>
    <w:rsid w:val="662F7FB1"/>
    <w:rsid w:val="66354EC1"/>
    <w:rsid w:val="66500877"/>
    <w:rsid w:val="666C2F5C"/>
    <w:rsid w:val="66797617"/>
    <w:rsid w:val="667A75CF"/>
    <w:rsid w:val="66AE668B"/>
    <w:rsid w:val="67AA1B91"/>
    <w:rsid w:val="67D31EFE"/>
    <w:rsid w:val="67F65ED4"/>
    <w:rsid w:val="68147868"/>
    <w:rsid w:val="685A617B"/>
    <w:rsid w:val="68772688"/>
    <w:rsid w:val="68AE2D2F"/>
    <w:rsid w:val="691B4798"/>
    <w:rsid w:val="697B30FD"/>
    <w:rsid w:val="6A0B3CC5"/>
    <w:rsid w:val="6A444A11"/>
    <w:rsid w:val="6AEB4746"/>
    <w:rsid w:val="6B1E6B41"/>
    <w:rsid w:val="6B416772"/>
    <w:rsid w:val="6BE04DCD"/>
    <w:rsid w:val="6BFA6D45"/>
    <w:rsid w:val="6C6A6379"/>
    <w:rsid w:val="6CB67F6D"/>
    <w:rsid w:val="6CDB6233"/>
    <w:rsid w:val="6CE37E8F"/>
    <w:rsid w:val="6DA377BB"/>
    <w:rsid w:val="6DD24D07"/>
    <w:rsid w:val="6DE97322"/>
    <w:rsid w:val="6E3F04A7"/>
    <w:rsid w:val="6E42081F"/>
    <w:rsid w:val="6E5D2415"/>
    <w:rsid w:val="6E672D77"/>
    <w:rsid w:val="6FCE1FFE"/>
    <w:rsid w:val="70AF71B4"/>
    <w:rsid w:val="713A2B43"/>
    <w:rsid w:val="714B1770"/>
    <w:rsid w:val="71AD53FB"/>
    <w:rsid w:val="71BF4806"/>
    <w:rsid w:val="71C1345D"/>
    <w:rsid w:val="73605D0D"/>
    <w:rsid w:val="739F3F95"/>
    <w:rsid w:val="73C70595"/>
    <w:rsid w:val="73DD49A4"/>
    <w:rsid w:val="73F4574F"/>
    <w:rsid w:val="7408388B"/>
    <w:rsid w:val="74167B5C"/>
    <w:rsid w:val="74A447DD"/>
    <w:rsid w:val="74EA36EE"/>
    <w:rsid w:val="751E665A"/>
    <w:rsid w:val="757726B5"/>
    <w:rsid w:val="76021450"/>
    <w:rsid w:val="767F677F"/>
    <w:rsid w:val="76BB5F4F"/>
    <w:rsid w:val="76CE1F2E"/>
    <w:rsid w:val="77570E8F"/>
    <w:rsid w:val="77CD3B72"/>
    <w:rsid w:val="78C66203"/>
    <w:rsid w:val="78DA40D2"/>
    <w:rsid w:val="78FF6743"/>
    <w:rsid w:val="79682DE5"/>
    <w:rsid w:val="79897ACA"/>
    <w:rsid w:val="79C05D96"/>
    <w:rsid w:val="7A0467F6"/>
    <w:rsid w:val="7A4078C7"/>
    <w:rsid w:val="7A8A63B5"/>
    <w:rsid w:val="7ADA38DA"/>
    <w:rsid w:val="7AFC4116"/>
    <w:rsid w:val="7B6B4EFA"/>
    <w:rsid w:val="7C8B50A8"/>
    <w:rsid w:val="7CFB3C80"/>
    <w:rsid w:val="7D335671"/>
    <w:rsid w:val="7D8C4CD8"/>
    <w:rsid w:val="7E01432D"/>
    <w:rsid w:val="7E0B255F"/>
    <w:rsid w:val="7E203F4B"/>
    <w:rsid w:val="7E641F7F"/>
    <w:rsid w:val="7E7B7D23"/>
    <w:rsid w:val="7FFC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6"/>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qFormat/>
    <w:uiPriority w:val="1"/>
  </w:style>
  <w:style w:type="table" w:default="1" w:styleId="21">
    <w:name w:val="Normal Table"/>
    <w:autoRedefine/>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firstLine="420"/>
    </w:pPr>
    <w:rPr>
      <w:sz w:val="21"/>
      <w:szCs w:val="24"/>
    </w:rPr>
  </w:style>
  <w:style w:type="paragraph" w:styleId="3">
    <w:name w:val="Body Text Indent"/>
    <w:basedOn w:val="1"/>
    <w:link w:val="49"/>
    <w:autoRedefine/>
    <w:qFormat/>
    <w:uiPriority w:val="0"/>
    <w:pPr>
      <w:spacing w:after="120"/>
      <w:ind w:left="420" w:leftChars="200"/>
    </w:pPr>
  </w:style>
  <w:style w:type="paragraph" w:styleId="6">
    <w:name w:val="Normal Indent"/>
    <w:basedOn w:val="1"/>
    <w:autoRedefine/>
    <w:qFormat/>
    <w:uiPriority w:val="0"/>
    <w:pPr>
      <w:ind w:firstLine="420"/>
    </w:pPr>
    <w:rPr>
      <w:szCs w:val="20"/>
    </w:rPr>
  </w:style>
  <w:style w:type="paragraph" w:styleId="9">
    <w:name w:val="List Number"/>
    <w:basedOn w:val="1"/>
    <w:autoRedefine/>
    <w:qFormat/>
    <w:uiPriority w:val="0"/>
    <w:pPr>
      <w:numPr>
        <w:ilvl w:val="0"/>
        <w:numId w:val="1"/>
      </w:numPr>
    </w:pPr>
  </w:style>
  <w:style w:type="paragraph" w:styleId="10">
    <w:name w:val="annotation text"/>
    <w:basedOn w:val="1"/>
    <w:link w:val="46"/>
    <w:autoRedefine/>
    <w:qFormat/>
    <w:uiPriority w:val="0"/>
    <w:pPr>
      <w:jc w:val="left"/>
    </w:pPr>
  </w:style>
  <w:style w:type="paragraph" w:styleId="11">
    <w:name w:val="Body Text"/>
    <w:basedOn w:val="1"/>
    <w:next w:val="12"/>
    <w:autoRedefine/>
    <w:qFormat/>
    <w:uiPriority w:val="0"/>
    <w:pPr>
      <w:spacing w:line="360" w:lineRule="exact"/>
    </w:pPr>
    <w:rPr>
      <w:sz w:val="24"/>
    </w:rPr>
  </w:style>
  <w:style w:type="paragraph" w:styleId="12">
    <w:name w:val="Body Text First Indent"/>
    <w:basedOn w:val="11"/>
    <w:next w:val="1"/>
    <w:autoRedefine/>
    <w:qFormat/>
    <w:uiPriority w:val="0"/>
    <w:pPr>
      <w:tabs>
        <w:tab w:val="left" w:pos="574"/>
      </w:tabs>
      <w:ind w:firstLine="420" w:firstLineChars="100"/>
    </w:pPr>
  </w:style>
  <w:style w:type="paragraph" w:styleId="13">
    <w:name w:val="Plain Text"/>
    <w:basedOn w:val="1"/>
    <w:next w:val="14"/>
    <w:autoRedefine/>
    <w:qFormat/>
    <w:uiPriority w:val="0"/>
    <w:rPr>
      <w:rFonts w:ascii="宋体" w:hAnsi="Courier New" w:cs="宋体"/>
    </w:rPr>
  </w:style>
  <w:style w:type="paragraph" w:styleId="14">
    <w:name w:val="Date"/>
    <w:basedOn w:val="1"/>
    <w:next w:val="1"/>
    <w:autoRedefine/>
    <w:qFormat/>
    <w:uiPriority w:val="0"/>
    <w:pPr>
      <w:ind w:left="2500" w:leftChars="2500"/>
    </w:pPr>
    <w:rPr>
      <w:rFonts w:ascii="Calibri" w:hAnsi="Calibri" w:eastAsia="楷体_GB2312" w:cs="宋体"/>
      <w:sz w:val="32"/>
      <w:szCs w:val="22"/>
    </w:rPr>
  </w:style>
  <w:style w:type="paragraph" w:styleId="15">
    <w:name w:val="Balloon Text"/>
    <w:basedOn w:val="1"/>
    <w:link w:val="48"/>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4"/>
    <w:basedOn w:val="1"/>
    <w:next w:val="1"/>
    <w:autoRedefine/>
    <w:qFormat/>
    <w:uiPriority w:val="0"/>
    <w:pPr>
      <w:ind w:left="630"/>
      <w:jc w:val="left"/>
    </w:pPr>
    <w:rPr>
      <w:sz w:val="18"/>
      <w:szCs w:val="18"/>
    </w:r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10"/>
    <w:next w:val="10"/>
    <w:link w:val="47"/>
    <w:autoRedefine/>
    <w:qFormat/>
    <w:uiPriority w:val="0"/>
    <w:rPr>
      <w:b/>
      <w:bCs/>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8">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29">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autoRedefine/>
    <w:qFormat/>
    <w:uiPriority w:val="34"/>
    <w:pPr>
      <w:ind w:firstLine="420" w:firstLineChars="200"/>
    </w:pPr>
    <w:rPr>
      <w:rFonts w:ascii="Calibri" w:hAnsi="Calibri"/>
      <w:szCs w:val="22"/>
    </w:rPr>
  </w:style>
  <w:style w:type="paragraph" w:customStyle="1" w:styleId="32">
    <w:name w:val="列出段落1"/>
    <w:basedOn w:val="1"/>
    <w:autoRedefine/>
    <w:qFormat/>
    <w:uiPriority w:val="0"/>
    <w:pPr>
      <w:ind w:firstLine="420" w:firstLineChars="200"/>
    </w:pPr>
    <w:rPr>
      <w:rFonts w:ascii="Calibri" w:hAnsi="Calibri"/>
      <w:kern w:val="0"/>
      <w:szCs w:val="20"/>
    </w:rPr>
  </w:style>
  <w:style w:type="paragraph" w:customStyle="1" w:styleId="33">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3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autoRedefine/>
    <w:qFormat/>
    <w:uiPriority w:val="0"/>
    <w:rPr>
      <w:rFonts w:ascii="Times New Roman" w:hAnsi="Times New Roman" w:eastAsia="宋体" w:cs="Times New Roman"/>
      <w:sz w:val="21"/>
      <w:szCs w:val="22"/>
      <w:lang w:val="en-US" w:eastAsia="zh-CN" w:bidi="ar-SA"/>
    </w:rPr>
  </w:style>
  <w:style w:type="paragraph" w:customStyle="1" w:styleId="3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autoRedefine/>
    <w:qFormat/>
    <w:uiPriority w:val="0"/>
    <w:pPr>
      <w:widowControl/>
      <w:jc w:val="left"/>
    </w:pPr>
    <w:rPr>
      <w:rFonts w:ascii="宋体" w:hAnsi="Courier New" w:eastAsia="宋体" w:cs="宋体"/>
      <w:szCs w:val="21"/>
    </w:rPr>
  </w:style>
  <w:style w:type="paragraph" w:customStyle="1" w:styleId="41">
    <w:name w:val="纯文本_0_1"/>
    <w:basedOn w:val="1"/>
    <w:autoRedefine/>
    <w:qFormat/>
    <w:uiPriority w:val="0"/>
    <w:pPr>
      <w:widowControl/>
      <w:jc w:val="left"/>
    </w:pPr>
    <w:rPr>
      <w:rFonts w:ascii="宋体" w:hAnsi="Courier New" w:eastAsia="宋体" w:cs="宋体"/>
      <w:szCs w:val="21"/>
    </w:rPr>
  </w:style>
  <w:style w:type="paragraph" w:customStyle="1" w:styleId="4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批注文字 Char"/>
    <w:basedOn w:val="23"/>
    <w:link w:val="10"/>
    <w:autoRedefine/>
    <w:qFormat/>
    <w:uiPriority w:val="0"/>
    <w:rPr>
      <w:rFonts w:ascii="Times New Roman" w:hAnsi="Times New Roman" w:eastAsia="宋体" w:cs="Times New Roman"/>
      <w:kern w:val="2"/>
      <w:sz w:val="21"/>
      <w:szCs w:val="24"/>
    </w:rPr>
  </w:style>
  <w:style w:type="character" w:customStyle="1" w:styleId="47">
    <w:name w:val="批注主题 Char"/>
    <w:basedOn w:val="46"/>
    <w:link w:val="20"/>
    <w:autoRedefine/>
    <w:qFormat/>
    <w:uiPriority w:val="0"/>
    <w:rPr>
      <w:b/>
      <w:bCs/>
    </w:rPr>
  </w:style>
  <w:style w:type="character" w:customStyle="1" w:styleId="48">
    <w:name w:val="批注框文本 Char"/>
    <w:basedOn w:val="23"/>
    <w:link w:val="15"/>
    <w:autoRedefine/>
    <w:qFormat/>
    <w:uiPriority w:val="0"/>
    <w:rPr>
      <w:rFonts w:ascii="Times New Roman" w:hAnsi="Times New Roman" w:eastAsia="宋体" w:cs="Times New Roman"/>
      <w:kern w:val="2"/>
      <w:sz w:val="18"/>
      <w:szCs w:val="18"/>
    </w:rPr>
  </w:style>
  <w:style w:type="character" w:customStyle="1" w:styleId="49">
    <w:name w:val="正文文本缩进 Char"/>
    <w:basedOn w:val="23"/>
    <w:link w:val="3"/>
    <w:autoRedefine/>
    <w:qFormat/>
    <w:uiPriority w:val="0"/>
    <w:rPr>
      <w:kern w:val="2"/>
      <w:sz w:val="21"/>
      <w:szCs w:val="24"/>
    </w:rPr>
  </w:style>
  <w:style w:type="paragraph" w:customStyle="1" w:styleId="5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_Style 2"/>
    <w:basedOn w:val="1"/>
    <w:autoRedefine/>
    <w:qFormat/>
    <w:uiPriority w:val="99"/>
    <w:pPr>
      <w:adjustRightInd w:val="0"/>
      <w:snapToGrid w:val="0"/>
    </w:pPr>
    <w:rPr>
      <w:rFonts w:ascii="Tahoma" w:hAnsi="Tahoma" w:eastAsia="微软雅黑" w:cs="Tahoma"/>
      <w:sz w:val="22"/>
      <w:szCs w:val="22"/>
    </w:rPr>
  </w:style>
  <w:style w:type="paragraph" w:customStyle="1" w:styleId="52">
    <w:name w:val="Table Paragraph"/>
    <w:basedOn w:val="1"/>
    <w:autoRedefine/>
    <w:qFormat/>
    <w:uiPriority w:val="1"/>
    <w:rPr>
      <w:rFonts w:ascii="Noto Sans Mono CJK JP Regular" w:hAnsi="Noto Sans Mono CJK JP Regular" w:eastAsia="Noto Sans Mono CJK JP Regular" w:cs="Noto Sans Mono CJK JP Regular"/>
    </w:rPr>
  </w:style>
  <w:style w:type="paragraph" w:customStyle="1" w:styleId="53">
    <w:name w:val="纯文本1"/>
    <w:basedOn w:val="54"/>
    <w:autoRedefine/>
    <w:qFormat/>
    <w:uiPriority w:val="99"/>
    <w:pPr>
      <w:widowControl/>
      <w:jc w:val="left"/>
    </w:pPr>
    <w:rPr>
      <w:rFonts w:ascii="宋体" w:hAnsi="Courier New" w:cs="宋体"/>
    </w:rPr>
  </w:style>
  <w:style w:type="paragraph" w:customStyle="1" w:styleId="54">
    <w:name w:val="正文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55">
    <w:name w:val="正文首行缩进 21"/>
    <w:basedOn w:val="56"/>
    <w:autoRedefine/>
    <w:qFormat/>
    <w:uiPriority w:val="0"/>
    <w:pPr>
      <w:ind w:firstLine="420"/>
    </w:pPr>
    <w:rPr>
      <w:rFonts w:cs="宋体"/>
    </w:rPr>
  </w:style>
  <w:style w:type="paragraph" w:customStyle="1" w:styleId="56">
    <w:name w:val="正文文本缩进1"/>
    <w:basedOn w:val="1"/>
    <w:next w:val="1"/>
    <w:autoRedefine/>
    <w:qFormat/>
    <w:uiPriority w:val="0"/>
    <w:pPr>
      <w:spacing w:after="120"/>
      <w:ind w:left="420" w:leftChars="200"/>
    </w:pPr>
    <w:rPr>
      <w:color w:val="000000"/>
      <w:szCs w:val="21"/>
    </w:rPr>
  </w:style>
  <w:style w:type="character" w:customStyle="1" w:styleId="57">
    <w:name w:val="NormalCharacter"/>
    <w:autoRedefine/>
    <w:qFormat/>
    <w:uiPriority w:val="0"/>
    <w:rPr>
      <w:rFonts w:hint="default" w:ascii="Calibri" w:hAnsi="Calibri" w:cs="Calibri"/>
      <w:kern w:val="2"/>
      <w:sz w:val="21"/>
      <w:szCs w:val="24"/>
      <w:lang w:val="en-US" w:eastAsia="zh-CN" w:bidi="ar-SA"/>
    </w:rPr>
  </w:style>
  <w:style w:type="paragraph" w:customStyle="1" w:styleId="58">
    <w:name w:val="WPSOffice手动目录 1"/>
    <w:autoRedefine/>
    <w:qFormat/>
    <w:uiPriority w:val="0"/>
    <w:pPr>
      <w:ind w:leftChars="0"/>
    </w:pPr>
    <w:rPr>
      <w:rFonts w:ascii="Times New Roman" w:hAnsi="Times New Roman" w:eastAsia="宋体" w:cs="Times New Roman"/>
      <w:sz w:val="20"/>
      <w:szCs w:val="20"/>
    </w:rPr>
  </w:style>
  <w:style w:type="paragraph" w:customStyle="1" w:styleId="5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20489</Words>
  <Characters>21223</Characters>
  <Paragraphs>1735</Paragraphs>
  <TotalTime>8</TotalTime>
  <ScaleCrop>false</ScaleCrop>
  <LinksUpToDate>false</LinksUpToDate>
  <CharactersWithSpaces>21488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周</cp:lastModifiedBy>
  <cp:lastPrinted>2020-03-06T05:47:00Z</cp:lastPrinted>
  <dcterms:modified xsi:type="dcterms:W3CDTF">2025-07-14T12:55:52Z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03106B7F1302448BBA7394249372482E_13</vt:lpwstr>
  </property>
  <property fmtid="{D5CDD505-2E9C-101B-9397-08002B2CF9AE}" pid="4" name="KSOTemplateDocerSaveRecord">
    <vt:lpwstr>eyJoZGlkIjoiMzEwNTM5NzYwMDRjMzkwZTVkZjY2ODkwMGIxNGU0OTUiLCJ1c2VySWQiOiI0ODUxNTczMzAifQ==</vt:lpwstr>
  </property>
</Properties>
</file>