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cs="宋体"/>
          <w:b/>
          <w:bCs/>
          <w:kern w:val="0"/>
          <w:sz w:val="48"/>
          <w:szCs w:val="48"/>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ascii="宋体" w:cs="宋体"/>
          <w:b/>
          <w:bCs/>
          <w:kern w:val="0"/>
          <w:sz w:val="52"/>
          <w:szCs w:val="52"/>
          <w:highlight w:val="none"/>
        </w:rPr>
      </w:pPr>
      <w:r>
        <w:rPr>
          <w:rFonts w:hint="eastAsia" w:ascii="宋体" w:cs="宋体"/>
          <w:b/>
          <w:bCs/>
          <w:kern w:val="0"/>
          <w:sz w:val="44"/>
          <w:szCs w:val="44"/>
          <w:highlight w:val="none"/>
          <w:lang w:val="en-US" w:eastAsia="zh-CN"/>
        </w:rPr>
        <w:t xml:space="preserve">  </w:t>
      </w:r>
      <w:r>
        <w:rPr>
          <w:rFonts w:hint="eastAsia" w:ascii="宋体" w:cs="宋体"/>
          <w:b/>
          <w:bCs/>
          <w:kern w:val="0"/>
          <w:sz w:val="44"/>
          <w:szCs w:val="44"/>
          <w:highlight w:val="none"/>
          <w:lang w:eastAsia="zh-CN"/>
        </w:rPr>
        <w:t>温岭市2024年度控制性详细规划编制采购</w:t>
      </w: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88" w:rightChars="0" w:firstLine="0" w:firstLineChars="0"/>
        <w:jc w:val="center"/>
        <w:rPr>
          <w:rFonts w:ascii="宋体" w:cs="宋体"/>
          <w:b/>
          <w:bCs/>
          <w:kern w:val="0"/>
          <w:sz w:val="52"/>
          <w:szCs w:val="52"/>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sz w:val="36"/>
          <w:highlight w:val="none"/>
        </w:rPr>
        <w:t>（线上电子招投标）</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val="0"/>
          <w:bCs w:val="0"/>
          <w:kern w:val="0"/>
          <w:sz w:val="28"/>
          <w:szCs w:val="28"/>
          <w:highlight w:val="none"/>
          <w:lang w:eastAsia="zh-CN"/>
        </w:rPr>
      </w:pPr>
      <w:r>
        <w:rPr>
          <w:rFonts w:hint="eastAsia" w:ascii="宋体" w:cs="宋体"/>
          <w:b w:val="0"/>
          <w:bCs w:val="0"/>
          <w:kern w:val="0"/>
          <w:sz w:val="28"/>
          <w:szCs w:val="28"/>
          <w:highlight w:val="none"/>
          <w:lang w:val="en-US" w:eastAsia="zh-CN"/>
        </w:rPr>
        <w:t xml:space="preserve">  </w:t>
      </w:r>
      <w:r>
        <w:rPr>
          <w:rFonts w:hint="eastAsia" w:ascii="宋体" w:cs="宋体"/>
          <w:b w:val="0"/>
          <w:bCs w:val="0"/>
          <w:kern w:val="0"/>
          <w:sz w:val="28"/>
          <w:szCs w:val="28"/>
          <w:highlight w:val="none"/>
          <w:lang w:eastAsia="zh-CN"/>
        </w:rPr>
        <w:t>项目编号：JJWL24031982</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pPr>
        <w:shd w:val="clear"/>
        <w:autoSpaceDE w:val="0"/>
        <w:autoSpaceDN w:val="0"/>
        <w:adjustRightInd w:val="0"/>
        <w:spacing w:line="360" w:lineRule="auto"/>
        <w:rPr>
          <w:rFonts w:ascii="宋体"/>
          <w:b/>
          <w:bCs/>
          <w:kern w:val="0"/>
          <w:sz w:val="52"/>
          <w:szCs w:val="52"/>
          <w:highlight w:val="none"/>
        </w:rPr>
      </w:pPr>
    </w:p>
    <w:p>
      <w:pPr>
        <w:shd w:val="clear"/>
        <w:autoSpaceDE w:val="0"/>
        <w:autoSpaceDN w:val="0"/>
        <w:adjustRightInd w:val="0"/>
        <w:spacing w:line="360" w:lineRule="auto"/>
        <w:rPr>
          <w:rFonts w:ascii="宋体"/>
          <w:b/>
          <w:bCs/>
          <w:kern w:val="0"/>
          <w:sz w:val="52"/>
          <w:szCs w:val="52"/>
          <w:highlight w:val="none"/>
        </w:rPr>
      </w:pPr>
    </w:p>
    <w:p>
      <w:pPr>
        <w:shd w:val="clear"/>
        <w:autoSpaceDE w:val="0"/>
        <w:autoSpaceDN w:val="0"/>
        <w:adjustRightInd w:val="0"/>
        <w:spacing w:line="360" w:lineRule="auto"/>
        <w:jc w:val="left"/>
        <w:rPr>
          <w:rFonts w:ascii="宋体"/>
          <w:kern w:val="0"/>
          <w:sz w:val="32"/>
          <w:szCs w:val="32"/>
          <w:highlight w:val="none"/>
        </w:rPr>
      </w:pPr>
    </w:p>
    <w:tbl>
      <w:tblPr>
        <w:tblStyle w:val="22"/>
        <w:tblW w:w="0" w:type="auto"/>
        <w:tblInd w:w="918" w:type="dxa"/>
        <w:tblLayout w:type="fixed"/>
        <w:tblCellMar>
          <w:top w:w="0" w:type="dxa"/>
          <w:left w:w="108" w:type="dxa"/>
          <w:bottom w:w="0" w:type="dxa"/>
          <w:right w:w="108" w:type="dxa"/>
        </w:tblCellMar>
      </w:tblPr>
      <w:tblGrid>
        <w:gridCol w:w="2340"/>
        <w:gridCol w:w="4500"/>
      </w:tblGrid>
      <w:tr>
        <w:tblPrEx>
          <w:tblCellMar>
            <w:top w:w="0" w:type="dxa"/>
            <w:left w:w="108" w:type="dxa"/>
            <w:bottom w:w="0" w:type="dxa"/>
            <w:right w:w="108" w:type="dxa"/>
          </w:tblCellMar>
        </w:tblPrEx>
        <w:tc>
          <w:tcPr>
            <w:tcW w:w="2340" w:type="dxa"/>
          </w:tcPr>
          <w:p>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lang w:bidi="ar"/>
              </w:rPr>
              <w:t>采购人：</w:t>
            </w:r>
          </w:p>
        </w:tc>
        <w:tc>
          <w:tcPr>
            <w:tcW w:w="4500" w:type="dxa"/>
          </w:tcPr>
          <w:p>
            <w:pPr>
              <w:widowControl/>
              <w:shd w:val="clear"/>
              <w:snapToGrid w:val="0"/>
              <w:spacing w:line="500" w:lineRule="exact"/>
              <w:rPr>
                <w:rFonts w:ascii="宋体" w:hAnsi="宋体" w:cs="宋体"/>
                <w:sz w:val="32"/>
                <w:szCs w:val="32"/>
                <w:highlight w:val="none"/>
              </w:rPr>
            </w:pPr>
            <w:r>
              <w:rPr>
                <w:rFonts w:hint="eastAsia" w:ascii="宋体" w:hAnsi="宋体" w:cs="宋体"/>
                <w:kern w:val="0"/>
                <w:sz w:val="32"/>
                <w:szCs w:val="32"/>
                <w:highlight w:val="none"/>
                <w:lang w:eastAsia="zh-CN" w:bidi="ar"/>
              </w:rPr>
              <w:t>温岭市自然资源和规划局</w:t>
            </w:r>
            <w:r>
              <w:rPr>
                <w:rFonts w:hint="eastAsia" w:ascii="宋体" w:hAnsi="宋体" w:cs="宋体"/>
                <w:kern w:val="0"/>
                <w:sz w:val="32"/>
                <w:szCs w:val="32"/>
                <w:highlight w:val="none"/>
                <w:lang w:bidi="ar"/>
              </w:rPr>
              <w:t xml:space="preserve">           </w:t>
            </w:r>
          </w:p>
        </w:tc>
      </w:tr>
      <w:tr>
        <w:tblPrEx>
          <w:tblCellMar>
            <w:top w:w="0" w:type="dxa"/>
            <w:left w:w="108" w:type="dxa"/>
            <w:bottom w:w="0" w:type="dxa"/>
            <w:right w:w="108" w:type="dxa"/>
          </w:tblCellMar>
        </w:tblPrEx>
        <w:trPr>
          <w:trHeight w:val="516" w:hRule="atLeast"/>
        </w:trPr>
        <w:tc>
          <w:tcPr>
            <w:tcW w:w="2340" w:type="dxa"/>
          </w:tcPr>
          <w:p>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lang w:bidi="ar"/>
              </w:rPr>
              <w:t>采购代理机构：</w:t>
            </w:r>
          </w:p>
        </w:tc>
        <w:tc>
          <w:tcPr>
            <w:tcW w:w="4500" w:type="dxa"/>
          </w:tcPr>
          <w:p>
            <w:pPr>
              <w:widowControl/>
              <w:shd w:val="clear"/>
              <w:snapToGrid w:val="0"/>
              <w:spacing w:line="500" w:lineRule="exact"/>
              <w:rPr>
                <w:rFonts w:ascii="宋体" w:hAnsi="宋体" w:cs="宋体"/>
                <w:b/>
                <w:sz w:val="32"/>
                <w:szCs w:val="32"/>
                <w:highlight w:val="none"/>
              </w:rPr>
            </w:pPr>
            <w:r>
              <w:rPr>
                <w:rFonts w:hint="eastAsia" w:ascii="宋体" w:hAnsi="宋体" w:cs="宋体"/>
                <w:kern w:val="0"/>
                <w:sz w:val="32"/>
                <w:szCs w:val="32"/>
                <w:highlight w:val="none"/>
                <w:lang w:bidi="ar"/>
              </w:rPr>
              <w:t>建经投资咨询有限公司</w:t>
            </w:r>
          </w:p>
        </w:tc>
      </w:tr>
      <w:tr>
        <w:tblPrEx>
          <w:tblCellMar>
            <w:top w:w="0" w:type="dxa"/>
            <w:left w:w="108" w:type="dxa"/>
            <w:bottom w:w="0" w:type="dxa"/>
            <w:right w:w="108" w:type="dxa"/>
          </w:tblCellMar>
        </w:tblPrEx>
        <w:tc>
          <w:tcPr>
            <w:tcW w:w="2340" w:type="dxa"/>
          </w:tcPr>
          <w:p>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lang w:bidi="ar"/>
              </w:rPr>
              <w:t>备案单位：</w:t>
            </w:r>
          </w:p>
        </w:tc>
        <w:tc>
          <w:tcPr>
            <w:tcW w:w="4500" w:type="dxa"/>
          </w:tcPr>
          <w:p>
            <w:pPr>
              <w:widowControl/>
              <w:shd w:val="clear"/>
              <w:snapToGrid w:val="0"/>
              <w:spacing w:line="500" w:lineRule="exact"/>
              <w:rPr>
                <w:rFonts w:ascii="宋体" w:hAnsi="宋体" w:cs="宋体"/>
                <w:sz w:val="32"/>
                <w:szCs w:val="32"/>
                <w:highlight w:val="none"/>
              </w:rPr>
            </w:pPr>
            <w:r>
              <w:rPr>
                <w:rFonts w:hint="eastAsia" w:ascii="宋体" w:hAnsi="宋体" w:cs="宋体"/>
                <w:kern w:val="0"/>
                <w:sz w:val="32"/>
                <w:szCs w:val="32"/>
                <w:highlight w:val="none"/>
                <w:lang w:bidi="ar"/>
              </w:rPr>
              <w:t>温岭市财政局政府采购监管科</w:t>
            </w:r>
          </w:p>
        </w:tc>
      </w:tr>
      <w:tr>
        <w:tblPrEx>
          <w:tblCellMar>
            <w:top w:w="0" w:type="dxa"/>
            <w:left w:w="108" w:type="dxa"/>
            <w:bottom w:w="0" w:type="dxa"/>
            <w:right w:w="108" w:type="dxa"/>
          </w:tblCellMar>
        </w:tblPrEx>
        <w:trPr>
          <w:trHeight w:val="716" w:hRule="atLeast"/>
        </w:trPr>
        <w:tc>
          <w:tcPr>
            <w:tcW w:w="6840" w:type="dxa"/>
            <w:gridSpan w:val="2"/>
          </w:tcPr>
          <w:p>
            <w:pPr>
              <w:widowControl/>
              <w:shd w:val="clear"/>
              <w:snapToGrid w:val="0"/>
              <w:spacing w:before="156" w:beforeLines="50" w:line="500" w:lineRule="exact"/>
              <w:jc w:val="center"/>
              <w:rPr>
                <w:rFonts w:ascii="宋体" w:hAnsi="宋体" w:cs="宋体"/>
                <w:spacing w:val="24"/>
                <w:sz w:val="32"/>
                <w:szCs w:val="32"/>
                <w:highlight w:val="none"/>
              </w:rPr>
            </w:pPr>
            <w:r>
              <w:rPr>
                <w:rFonts w:hint="eastAsia" w:ascii="宋体" w:hAnsi="宋体" w:cs="宋体"/>
                <w:spacing w:val="24"/>
                <w:kern w:val="0"/>
                <w:sz w:val="32"/>
                <w:szCs w:val="32"/>
                <w:highlight w:val="none"/>
                <w:lang w:bidi="ar"/>
              </w:rPr>
              <w:t>二○二</w:t>
            </w:r>
            <w:r>
              <w:rPr>
                <w:rFonts w:hint="eastAsia" w:ascii="宋体" w:hAnsi="宋体" w:cs="宋体"/>
                <w:spacing w:val="24"/>
                <w:kern w:val="0"/>
                <w:sz w:val="32"/>
                <w:szCs w:val="32"/>
                <w:highlight w:val="none"/>
                <w:lang w:eastAsia="zh-CN" w:bidi="ar"/>
              </w:rPr>
              <w:t>四</w:t>
            </w:r>
            <w:r>
              <w:rPr>
                <w:rFonts w:hint="eastAsia" w:ascii="宋体" w:hAnsi="宋体" w:cs="宋体"/>
                <w:spacing w:val="24"/>
                <w:kern w:val="0"/>
                <w:sz w:val="32"/>
                <w:szCs w:val="32"/>
                <w:highlight w:val="none"/>
                <w:lang w:bidi="ar"/>
              </w:rPr>
              <w:t>年</w:t>
            </w:r>
            <w:r>
              <w:rPr>
                <w:rFonts w:hint="eastAsia" w:ascii="宋体" w:hAnsi="宋体" w:cs="宋体"/>
                <w:spacing w:val="24"/>
                <w:kern w:val="0"/>
                <w:sz w:val="32"/>
                <w:szCs w:val="32"/>
                <w:highlight w:val="none"/>
                <w:lang w:val="en-US" w:eastAsia="zh-CN" w:bidi="ar"/>
              </w:rPr>
              <w:t>五</w:t>
            </w:r>
            <w:r>
              <w:rPr>
                <w:rFonts w:hint="eastAsia" w:ascii="宋体" w:hAnsi="宋体" w:cs="宋体"/>
                <w:spacing w:val="24"/>
                <w:kern w:val="0"/>
                <w:sz w:val="32"/>
                <w:szCs w:val="32"/>
                <w:highlight w:val="none"/>
                <w:lang w:bidi="ar"/>
              </w:rPr>
              <w:t>月</w:t>
            </w:r>
          </w:p>
        </w:tc>
      </w:tr>
    </w:tbl>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highlight w:val="none"/>
        </w:rPr>
      </w:pPr>
    </w:p>
    <w:p>
      <w:pPr>
        <w:shd w:val="clear"/>
        <w:jc w:val="center"/>
        <w:rPr>
          <w:rFonts w:ascii="宋体" w:hAnsi="宋体" w:cs="宋体"/>
          <w:b/>
          <w:bCs/>
          <w:sz w:val="48"/>
          <w:szCs w:val="48"/>
          <w:highlight w:val="none"/>
        </w:rPr>
        <w:sectPr>
          <w:headerReference r:id="rId3" w:type="default"/>
          <w:footerReference r:id="rId4" w:type="default"/>
          <w:pgSz w:w="11906" w:h="16838"/>
          <w:pgMar w:top="1588" w:right="1797" w:bottom="1304"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shd w:val="clear"/>
        <w:jc w:val="center"/>
        <w:rPr>
          <w:rFonts w:ascii="宋体"/>
          <w:b/>
          <w:bCs/>
          <w:sz w:val="48"/>
          <w:szCs w:val="48"/>
          <w:highlight w:val="none"/>
        </w:rPr>
      </w:pPr>
      <w:r>
        <w:rPr>
          <w:rFonts w:hint="eastAsia" w:ascii="宋体" w:hAnsi="宋体" w:cs="宋体"/>
          <w:b/>
          <w:bCs/>
          <w:sz w:val="48"/>
          <w:szCs w:val="48"/>
          <w:highlight w:val="none"/>
        </w:rPr>
        <w:t>目</w:t>
      </w:r>
      <w:r>
        <w:rPr>
          <w:rFonts w:ascii="宋体" w:hAnsi="宋体" w:cs="宋体"/>
          <w:b/>
          <w:bCs/>
          <w:sz w:val="48"/>
          <w:szCs w:val="48"/>
          <w:highlight w:val="none"/>
        </w:rPr>
        <w:t xml:space="preserve">    </w:t>
      </w:r>
      <w:r>
        <w:rPr>
          <w:rFonts w:hint="eastAsia" w:ascii="宋体" w:hAnsi="宋体" w:cs="宋体"/>
          <w:b/>
          <w:bCs/>
          <w:sz w:val="48"/>
          <w:szCs w:val="48"/>
          <w:highlight w:val="none"/>
        </w:rPr>
        <w:t>录</w:t>
      </w:r>
    </w:p>
    <w:p>
      <w:pPr>
        <w:pStyle w:val="72"/>
        <w:shd w:val="clear"/>
        <w:tabs>
          <w:tab w:val="right" w:leader="dot" w:pos="8620"/>
        </w:tabs>
        <w:rPr>
          <w:highlight w:val="none"/>
        </w:rPr>
      </w:pPr>
      <w:r>
        <w:rPr>
          <w:highlight w:val="none"/>
        </w:rPr>
        <w:fldChar w:fldCharType="begin"/>
      </w:r>
      <w:r>
        <w:rPr>
          <w:highlight w:val="none"/>
        </w:rPr>
        <w:instrText xml:space="preserve">TOC \o "1-1" \h \u </w:instrText>
      </w:r>
      <w:r>
        <w:rPr>
          <w:highlight w:val="none"/>
        </w:rPr>
        <w:fldChar w:fldCharType="separate"/>
      </w:r>
    </w:p>
    <w:p>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"_Toc17405" </w:instrText>
      </w:r>
      <w:r>
        <w:rPr>
          <w:highlight w:val="none"/>
        </w:rPr>
        <w:fldChar w:fldCharType="separate"/>
      </w:r>
      <w:r>
        <w:rPr>
          <w:rFonts w:hint="eastAsia" w:ascii="宋体" w:hAnsi="宋体" w:cs="宋体"/>
          <w:kern w:val="2"/>
          <w:sz w:val="28"/>
          <w:szCs w:val="28"/>
          <w:highlight w:val="none"/>
        </w:rPr>
        <w:t>第一章 招标公告</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_Toc17405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- 3 -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"_Toc8031" </w:instrText>
      </w:r>
      <w:r>
        <w:rPr>
          <w:highlight w:val="none"/>
        </w:rPr>
        <w:fldChar w:fldCharType="separate"/>
      </w:r>
      <w:r>
        <w:rPr>
          <w:rFonts w:hint="eastAsia" w:ascii="宋体" w:hAnsi="宋体" w:cs="宋体"/>
          <w:kern w:val="2"/>
          <w:sz w:val="28"/>
          <w:szCs w:val="28"/>
          <w:highlight w:val="none"/>
        </w:rPr>
        <w:t>第二章 投标人须知</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_Toc8031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- 8 -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"_Toc3217" </w:instrText>
      </w:r>
      <w:r>
        <w:rPr>
          <w:highlight w:val="none"/>
        </w:rPr>
        <w:fldChar w:fldCharType="separate"/>
      </w:r>
      <w:r>
        <w:rPr>
          <w:rFonts w:hint="eastAsia" w:ascii="宋体" w:hAnsi="宋体" w:cs="宋体"/>
          <w:kern w:val="2"/>
          <w:sz w:val="28"/>
          <w:szCs w:val="28"/>
          <w:highlight w:val="none"/>
        </w:rPr>
        <w:t>第三章 评标办法及评分标准</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_Toc3217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- 25 -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"_Toc5903" </w:instrText>
      </w:r>
      <w:r>
        <w:rPr>
          <w:highlight w:val="none"/>
        </w:rPr>
        <w:fldChar w:fldCharType="separate"/>
      </w:r>
      <w:r>
        <w:rPr>
          <w:rFonts w:hint="eastAsia" w:ascii="宋体" w:hAnsi="宋体" w:cs="宋体"/>
          <w:kern w:val="2"/>
          <w:sz w:val="28"/>
          <w:szCs w:val="28"/>
          <w:highlight w:val="none"/>
        </w:rPr>
        <w:t>第四章 采购需求</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_Toc5903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- 26 -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pPr>
        <w:pStyle w:val="72"/>
        <w:shd w:val="clear"/>
        <w:tabs>
          <w:tab w:val="right" w:leader="dot" w:pos="8620"/>
        </w:tabs>
        <w:rPr>
          <w:rFonts w:ascii="宋体" w:hAnsi="宋体" w:cs="宋体"/>
          <w:kern w:val="2"/>
          <w:sz w:val="28"/>
          <w:szCs w:val="28"/>
          <w:highlight w:val="none"/>
        </w:rPr>
      </w:pPr>
      <w:r>
        <w:rPr>
          <w:highlight w:val="none"/>
        </w:rPr>
        <w:fldChar w:fldCharType="begin"/>
      </w:r>
      <w:r>
        <w:rPr>
          <w:highlight w:val="none"/>
        </w:rPr>
        <w:instrText xml:space="preserve"> HYPERLINK \l "_Toc29793" </w:instrText>
      </w:r>
      <w:r>
        <w:rPr>
          <w:highlight w:val="none"/>
        </w:rPr>
        <w:fldChar w:fldCharType="separate"/>
      </w:r>
      <w:r>
        <w:rPr>
          <w:rFonts w:hint="eastAsia" w:ascii="宋体" w:hAnsi="宋体" w:cs="宋体"/>
          <w:kern w:val="2"/>
          <w:sz w:val="28"/>
          <w:szCs w:val="28"/>
          <w:highlight w:val="none"/>
        </w:rPr>
        <w:t>第五章 合同文本</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_Toc29793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- 28 -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pPr>
        <w:pStyle w:val="72"/>
        <w:shd w:val="clear"/>
        <w:tabs>
          <w:tab w:val="right" w:leader="dot" w:pos="8620"/>
        </w:tabs>
        <w:rPr>
          <w:highlight w:val="none"/>
        </w:rPr>
      </w:pPr>
      <w:r>
        <w:rPr>
          <w:highlight w:val="none"/>
        </w:rPr>
        <w:fldChar w:fldCharType="begin"/>
      </w:r>
      <w:r>
        <w:rPr>
          <w:highlight w:val="none"/>
        </w:rPr>
        <w:instrText xml:space="preserve"> HYPERLINK \l "_Toc19701" </w:instrText>
      </w:r>
      <w:r>
        <w:rPr>
          <w:highlight w:val="none"/>
        </w:rPr>
        <w:fldChar w:fldCharType="separate"/>
      </w:r>
      <w:r>
        <w:rPr>
          <w:rFonts w:hint="eastAsia" w:ascii="宋体" w:hAnsi="宋体" w:cs="宋体"/>
          <w:kern w:val="2"/>
          <w:sz w:val="28"/>
          <w:szCs w:val="28"/>
          <w:highlight w:val="none"/>
        </w:rPr>
        <w:t>第六章 投标文件格式附件</w:t>
      </w:r>
      <w:r>
        <w:rPr>
          <w:rFonts w:hint="eastAsia" w:ascii="宋体" w:hAnsi="宋体" w:cs="宋体"/>
          <w:kern w:val="2"/>
          <w:sz w:val="28"/>
          <w:szCs w:val="28"/>
          <w:highlight w:val="none"/>
        </w:rPr>
        <w:tab/>
      </w:r>
      <w:r>
        <w:rPr>
          <w:rFonts w:hint="eastAsia" w:ascii="宋体" w:hAnsi="宋体" w:cs="宋体"/>
          <w:kern w:val="2"/>
          <w:sz w:val="28"/>
          <w:szCs w:val="28"/>
          <w:highlight w:val="none"/>
        </w:rPr>
        <w:fldChar w:fldCharType="begin"/>
      </w:r>
      <w:r>
        <w:rPr>
          <w:rFonts w:hint="eastAsia" w:ascii="宋体" w:hAnsi="宋体" w:cs="宋体"/>
          <w:kern w:val="2"/>
          <w:sz w:val="28"/>
          <w:szCs w:val="28"/>
          <w:highlight w:val="none"/>
        </w:rPr>
        <w:instrText xml:space="preserve"> PAGEREF _Toc19701 </w:instrText>
      </w:r>
      <w:r>
        <w:rPr>
          <w:rFonts w:hint="eastAsia" w:ascii="宋体" w:hAnsi="宋体" w:cs="宋体"/>
          <w:kern w:val="2"/>
          <w:sz w:val="28"/>
          <w:szCs w:val="28"/>
          <w:highlight w:val="none"/>
        </w:rPr>
        <w:fldChar w:fldCharType="separate"/>
      </w:r>
      <w:r>
        <w:rPr>
          <w:rFonts w:hint="eastAsia" w:ascii="宋体" w:hAnsi="宋体" w:cs="宋体"/>
          <w:kern w:val="2"/>
          <w:sz w:val="28"/>
          <w:szCs w:val="28"/>
          <w:highlight w:val="none"/>
        </w:rPr>
        <w:t>- 59 -</w:t>
      </w:r>
      <w:r>
        <w:rPr>
          <w:rFonts w:hint="eastAsia" w:ascii="宋体" w:hAnsi="宋体" w:cs="宋体"/>
          <w:kern w:val="2"/>
          <w:sz w:val="28"/>
          <w:szCs w:val="28"/>
          <w:highlight w:val="none"/>
        </w:rPr>
        <w:fldChar w:fldCharType="end"/>
      </w:r>
      <w:r>
        <w:rPr>
          <w:rFonts w:hint="eastAsia" w:ascii="宋体" w:hAnsi="宋体" w:cs="宋体"/>
          <w:kern w:val="2"/>
          <w:sz w:val="28"/>
          <w:szCs w:val="28"/>
          <w:highlight w:val="none"/>
        </w:rPr>
        <w:fldChar w:fldCharType="end"/>
      </w:r>
    </w:p>
    <w:p>
      <w:pPr>
        <w:pStyle w:val="72"/>
        <w:shd w:val="clear"/>
        <w:tabs>
          <w:tab w:val="right" w:leader="dot" w:pos="8620"/>
        </w:tabs>
        <w:rPr>
          <w:highlight w:val="none"/>
        </w:rPr>
      </w:pPr>
    </w:p>
    <w:p>
      <w:pPr>
        <w:shd w:val="clear"/>
        <w:tabs>
          <w:tab w:val="left" w:pos="1168"/>
        </w:tabs>
        <w:spacing w:line="360" w:lineRule="auto"/>
        <w:ind w:left="568"/>
        <w:outlineLvl w:val="0"/>
        <w:rPr>
          <w:rFonts w:ascii="宋体" w:cs="宋体"/>
          <w:sz w:val="28"/>
          <w:szCs w:val="28"/>
          <w:highlight w:val="none"/>
        </w:rPr>
      </w:pPr>
      <w:r>
        <w:rPr>
          <w:highlight w:val="none"/>
        </w:rPr>
        <w:fldChar w:fldCharType="end"/>
      </w: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shd w:val="clear"/>
        <w:spacing w:line="360" w:lineRule="auto"/>
        <w:rPr>
          <w:highlight w:val="none"/>
        </w:rPr>
      </w:pPr>
    </w:p>
    <w:p>
      <w:pPr>
        <w:widowControl/>
        <w:shd w:val="clear"/>
        <w:jc w:val="center"/>
        <w:outlineLvl w:val="0"/>
        <w:rPr>
          <w:rFonts w:ascii="宋体" w:cs="宋体"/>
          <w:kern w:val="0"/>
          <w:sz w:val="24"/>
          <w:szCs w:val="24"/>
          <w:highlight w:val="none"/>
        </w:rPr>
      </w:pPr>
      <w:r>
        <w:rPr>
          <w:rFonts w:ascii="宋体" w:cs="宋体"/>
          <w:b/>
          <w:bCs/>
          <w:kern w:val="0"/>
          <w:sz w:val="36"/>
          <w:szCs w:val="36"/>
          <w:highlight w:val="none"/>
        </w:rPr>
        <w:br w:type="page"/>
      </w:r>
      <w:bookmarkStart w:id="0" w:name="_Toc17405"/>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p>
    <w:tbl>
      <w:tblPr>
        <w:tblStyle w:val="23"/>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pPr>
              <w:shd w:val="clea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项目概况</w:t>
            </w:r>
          </w:p>
          <w:p>
            <w:pPr>
              <w:pStyle w:val="29"/>
              <w:shd w:val="clear"/>
              <w:snapToGrid w:val="0"/>
              <w:ind w:firstLine="480" w:firstLineChars="200"/>
              <w:rPr>
                <w:highlight w:val="none"/>
                <w:lang w:val="en-US"/>
              </w:rPr>
            </w:pPr>
            <w:r>
              <w:rPr>
                <w:rFonts w:hint="eastAsia" w:cs="宋体"/>
                <w:szCs w:val="24"/>
                <w:highlight w:val="none"/>
                <w:lang w:val="en-US" w:eastAsia="zh-CN"/>
              </w:rPr>
              <w:t>温岭市2024年度控制性详细规划编制采购</w:t>
            </w:r>
            <w:r>
              <w:rPr>
                <w:rFonts w:hint="eastAsia" w:cs="宋体"/>
                <w:szCs w:val="24"/>
                <w:highlight w:val="none"/>
                <w:lang w:val="en-US"/>
              </w:rPr>
              <w:t>招标项目的潜在投标人应在浙江政府采购网本项目公告附件获取（下载）招标文件，并于</w:t>
            </w:r>
            <w:r>
              <w:rPr>
                <w:rFonts w:hint="eastAsia" w:cs="宋体"/>
                <w:szCs w:val="24"/>
                <w:highlight w:val="none"/>
                <w:lang w:val="en-US" w:eastAsia="zh-CN"/>
              </w:rPr>
              <w:t>2024年6月4日14:00</w:t>
            </w:r>
            <w:r>
              <w:rPr>
                <w:rFonts w:hint="eastAsia" w:cs="宋体"/>
                <w:szCs w:val="24"/>
                <w:highlight w:val="none"/>
                <w:lang w:val="en-US"/>
              </w:rPr>
              <w:t xml:space="preserve">（北京时间）前递交（上传）投标文件。    </w:t>
            </w:r>
          </w:p>
        </w:tc>
      </w:tr>
    </w:tbl>
    <w:p>
      <w:pPr>
        <w:shd w:val="clea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一、项目基本情况           </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JJWL24031982</w:t>
      </w:r>
      <w:r>
        <w:rPr>
          <w:rFonts w:hint="eastAsia" w:ascii="宋体" w:hAnsi="宋体" w:cs="宋体"/>
          <w:sz w:val="24"/>
          <w:szCs w:val="24"/>
          <w:highlight w:val="none"/>
        </w:rPr>
        <w:t> </w:t>
      </w:r>
    </w:p>
    <w:p>
      <w:pPr>
        <w:shd w:val="clear"/>
        <w:snapToGrid w:val="0"/>
        <w:spacing w:line="44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温岭市2024年度控制性详细规划编制采购</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4"/>
          <w:highlight w:val="none"/>
          <w:lang w:eastAsia="zh-CN"/>
        </w:rPr>
        <w:t>1800000</w:t>
      </w:r>
      <w:r>
        <w:rPr>
          <w:rFonts w:hint="eastAsia" w:ascii="宋体" w:hAnsi="宋体" w:cs="宋体"/>
          <w:sz w:val="24"/>
          <w:szCs w:val="24"/>
          <w:highlight w:val="none"/>
        </w:rPr>
        <w:t>  </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最高限价（元）：</w:t>
      </w:r>
      <w:r>
        <w:rPr>
          <w:rFonts w:hint="eastAsia" w:ascii="宋体" w:hAnsi="宋体" w:cs="宋体"/>
          <w:sz w:val="24"/>
          <w:szCs w:val="24"/>
          <w:highlight w:val="none"/>
          <w:lang w:eastAsia="zh-CN"/>
        </w:rPr>
        <w:t>详见第四章采购需求</w:t>
      </w:r>
      <w:r>
        <w:rPr>
          <w:rFonts w:hint="eastAsia" w:ascii="宋体" w:hAnsi="宋体" w:cs="宋体"/>
          <w:sz w:val="24"/>
          <w:szCs w:val="24"/>
          <w:highlight w:val="none"/>
        </w:rPr>
        <w:t> </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采购需求：/</w:t>
      </w:r>
    </w:p>
    <w:p>
      <w:pPr>
        <w:shd w:val="clear"/>
        <w:tabs>
          <w:tab w:val="left" w:pos="0"/>
        </w:tabs>
        <w:snapToGrid w:val="0"/>
        <w:spacing w:line="440" w:lineRule="exact"/>
        <w:ind w:left="479" w:leftChars="228"/>
        <w:rPr>
          <w:rFonts w:hint="eastAsia" w:ascii="宋体" w:hAnsi="宋体" w:cs="宋体"/>
          <w:sz w:val="24"/>
          <w:szCs w:val="24"/>
          <w:highlight w:val="none"/>
        </w:rPr>
      </w:pPr>
      <w:r>
        <w:rPr>
          <w:rFonts w:hint="eastAsia" w:ascii="宋体" w:hAnsi="宋体" w:cs="宋体"/>
          <w:sz w:val="24"/>
          <w:szCs w:val="24"/>
          <w:highlight w:val="none"/>
        </w:rPr>
        <w:t>标项一</w:t>
      </w:r>
      <w:r>
        <w:rPr>
          <w:rFonts w:hint="eastAsia" w:ascii="宋体" w:hAnsi="宋体" w:cs="宋体"/>
          <w:sz w:val="24"/>
          <w:szCs w:val="24"/>
          <w:highlight w:val="none"/>
          <w:lang w:eastAsia="zh-CN"/>
        </w:rPr>
        <w:t>：</w:t>
      </w:r>
      <w:r>
        <w:rPr>
          <w:rFonts w:hint="eastAsia" w:ascii="宋体" w:hAnsi="宋体" w:cs="宋体"/>
          <w:sz w:val="24"/>
          <w:szCs w:val="24"/>
          <w:highlight w:val="none"/>
        </w:rPr>
        <w:br w:type="textWrapping"/>
      </w:r>
      <w:r>
        <w:rPr>
          <w:rFonts w:hint="eastAsia" w:ascii="宋体" w:hAnsi="宋体" w:cs="宋体"/>
          <w:sz w:val="24"/>
          <w:szCs w:val="24"/>
          <w:highlight w:val="none"/>
        </w:rPr>
        <w:t>标项名称</w:t>
      </w:r>
      <w:r>
        <w:rPr>
          <w:rFonts w:hint="eastAsia" w:ascii="宋体" w:hAnsi="宋体" w:cs="宋体"/>
          <w:sz w:val="24"/>
          <w:szCs w:val="24"/>
          <w:highlight w:val="none"/>
          <w:lang w:eastAsia="zh-CN"/>
        </w:rPr>
        <w:t>：</w:t>
      </w:r>
      <w:r>
        <w:rPr>
          <w:rFonts w:hint="eastAsia" w:ascii="宋体" w:hAnsi="宋体" w:cs="宋体"/>
          <w:sz w:val="24"/>
          <w:szCs w:val="24"/>
          <w:highlight w:val="none"/>
        </w:rPr>
        <w:t> </w:t>
      </w:r>
      <w:r>
        <w:rPr>
          <w:rFonts w:hint="eastAsia" w:ascii="宋体" w:hAnsi="宋体" w:cs="宋体"/>
          <w:sz w:val="24"/>
          <w:szCs w:val="24"/>
          <w:highlight w:val="none"/>
          <w:lang w:eastAsia="zh-CN"/>
        </w:rPr>
        <w:t>温岭市2024年度控制性详细规划编制采购</w:t>
      </w:r>
      <w:r>
        <w:rPr>
          <w:rFonts w:hint="eastAsia" w:ascii="宋体" w:hAnsi="宋体" w:cs="宋体"/>
          <w:sz w:val="24"/>
          <w:szCs w:val="24"/>
          <w:highlight w:val="none"/>
        </w:rPr>
        <w:t> </w:t>
      </w:r>
      <w:r>
        <w:rPr>
          <w:rFonts w:hint="eastAsia" w:ascii="宋体" w:hAnsi="宋体" w:cs="宋体"/>
          <w:sz w:val="24"/>
          <w:szCs w:val="24"/>
          <w:highlight w:val="none"/>
        </w:rPr>
        <w:br w:type="textWrapping"/>
      </w:r>
      <w:r>
        <w:rPr>
          <w:rFonts w:hint="eastAsia" w:ascii="宋体" w:hAnsi="宋体" w:cs="宋体"/>
          <w:sz w:val="24"/>
          <w:szCs w:val="24"/>
          <w:highlight w:val="none"/>
        </w:rPr>
        <w:t>数量</w:t>
      </w:r>
      <w:r>
        <w:rPr>
          <w:rFonts w:hint="eastAsia" w:ascii="宋体" w:hAnsi="宋体" w:cs="宋体"/>
          <w:sz w:val="24"/>
          <w:szCs w:val="24"/>
          <w:highlight w:val="none"/>
          <w:lang w:eastAsia="zh-CN"/>
        </w:rPr>
        <w:t>：</w:t>
      </w:r>
      <w:r>
        <w:rPr>
          <w:rFonts w:hint="eastAsia" w:ascii="宋体" w:hAnsi="宋体" w:cs="宋体"/>
          <w:sz w:val="24"/>
          <w:szCs w:val="24"/>
          <w:highlight w:val="none"/>
        </w:rPr>
        <w:t> 1  </w:t>
      </w:r>
      <w:r>
        <w:rPr>
          <w:rFonts w:hint="eastAsia" w:ascii="宋体" w:hAnsi="宋体" w:cs="宋体"/>
          <w:sz w:val="24"/>
          <w:szCs w:val="24"/>
          <w:highlight w:val="none"/>
        </w:rPr>
        <w:br w:type="textWrapping"/>
      </w:r>
      <w:r>
        <w:rPr>
          <w:rFonts w:hint="eastAsia" w:ascii="宋体" w:hAnsi="宋体" w:cs="宋体"/>
          <w:sz w:val="24"/>
          <w:szCs w:val="24"/>
          <w:highlight w:val="none"/>
        </w:rPr>
        <w:t>预算金额（元）</w:t>
      </w:r>
      <w:r>
        <w:rPr>
          <w:rFonts w:hint="eastAsia" w:ascii="宋体" w:hAnsi="宋体" w:cs="宋体"/>
          <w:sz w:val="24"/>
          <w:szCs w:val="24"/>
          <w:highlight w:val="none"/>
          <w:lang w:eastAsia="zh-CN"/>
        </w:rPr>
        <w:t>：1800000</w:t>
      </w:r>
      <w:r>
        <w:rPr>
          <w:rFonts w:hint="eastAsia" w:ascii="宋体" w:hAnsi="宋体" w:cs="宋体"/>
          <w:sz w:val="24"/>
          <w:szCs w:val="24"/>
          <w:highlight w:val="none"/>
        </w:rPr>
        <w:t> </w:t>
      </w:r>
    </w:p>
    <w:p>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简要规格描述或项目基本概况介绍、用途：根据温岭市总体规划要求，为了保护和传承城市历史和文化，提高城市品质，增强城市活力，满足温岭市空间布局和片区规划控制等要求，对市区近期需要规划建设和规划管控的地块进行相关研究</w:t>
      </w:r>
      <w:r>
        <w:rPr>
          <w:rFonts w:hint="eastAsia" w:ascii="宋体" w:hAnsi="宋体" w:cs="宋体"/>
          <w:sz w:val="24"/>
          <w:szCs w:val="24"/>
          <w:highlight w:val="none"/>
          <w:lang w:val="en-US" w:eastAsia="zh-CN"/>
        </w:rPr>
        <w:t>。详见第四章采购需求</w:t>
      </w:r>
      <w:r>
        <w:rPr>
          <w:rFonts w:hint="eastAsia" w:ascii="宋体" w:hAnsi="宋体" w:cs="宋体"/>
          <w:sz w:val="24"/>
          <w:szCs w:val="24"/>
          <w:highlight w:val="none"/>
        </w:rPr>
        <w:t>。  </w:t>
      </w:r>
    </w:p>
    <w:p>
      <w:pPr>
        <w:shd w:val="clea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合同履约期限：</w:t>
      </w:r>
      <w:r>
        <w:rPr>
          <w:rFonts w:hint="eastAsia" w:ascii="宋体" w:hAnsi="宋体" w:cs="宋体"/>
          <w:sz w:val="24"/>
          <w:szCs w:val="24"/>
          <w:highlight w:val="none"/>
          <w:lang w:val="en-US" w:eastAsia="zh-CN"/>
        </w:rPr>
        <w:t>合同生效后一年内，</w:t>
      </w:r>
      <w:r>
        <w:rPr>
          <w:rFonts w:hint="eastAsia" w:ascii="宋体" w:hAnsi="宋体" w:cs="宋体"/>
          <w:sz w:val="24"/>
          <w:szCs w:val="24"/>
          <w:highlight w:val="none"/>
        </w:rPr>
        <w:t>对规划方案的修改、完善及后续服务工作需延续至</w:t>
      </w:r>
      <w:r>
        <w:rPr>
          <w:rFonts w:hint="eastAsia" w:ascii="宋体" w:hAnsi="宋体" w:cs="宋体"/>
          <w:sz w:val="24"/>
          <w:szCs w:val="24"/>
          <w:highlight w:val="none"/>
          <w:lang w:val="en-US" w:eastAsia="zh-CN"/>
        </w:rPr>
        <w:t>成果入库</w:t>
      </w:r>
      <w:r>
        <w:rPr>
          <w:rFonts w:hint="eastAsia" w:ascii="宋体" w:hAnsi="宋体" w:cs="宋体"/>
          <w:sz w:val="24"/>
          <w:szCs w:val="24"/>
          <w:highlight w:val="none"/>
        </w:rPr>
        <w:t>为止。</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本项目不接受联合体投标。</w:t>
      </w:r>
    </w:p>
    <w:p>
      <w:pPr>
        <w:shd w:val="clea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二、申请人的资格要求</w:t>
      </w:r>
    </w:p>
    <w:p>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一）符合《中华人民共和国政府采购法》第二十二条规定的投标人资格条件。截止投标截止时间前（北京时间），投标人未被“信用中国”（www.creditchina.gov.cn）、“中国政府采购网”（www.ccgp.gov.cn）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（二）本项目的特定资格要求：</w:t>
      </w:r>
      <w:r>
        <w:rPr>
          <w:rFonts w:hint="eastAsia" w:ascii="宋体" w:hAnsi="宋体" w:cs="宋体"/>
          <w:sz w:val="24"/>
          <w:szCs w:val="24"/>
          <w:highlight w:val="none"/>
          <w:u w:val="single"/>
        </w:rPr>
        <w:t>投标人须具备城乡规划编制</w:t>
      </w:r>
      <w:r>
        <w:rPr>
          <w:rFonts w:hint="eastAsia" w:ascii="宋体" w:hAnsi="宋体" w:cs="宋体"/>
          <w:sz w:val="24"/>
          <w:szCs w:val="24"/>
          <w:highlight w:val="none"/>
          <w:u w:val="single"/>
          <w:lang w:eastAsia="zh-CN"/>
        </w:rPr>
        <w:t>乙</w:t>
      </w:r>
      <w:r>
        <w:rPr>
          <w:rFonts w:hint="eastAsia" w:ascii="宋体" w:hAnsi="宋体" w:cs="宋体"/>
          <w:sz w:val="24"/>
          <w:szCs w:val="24"/>
          <w:highlight w:val="none"/>
          <w:u w:val="single"/>
        </w:rPr>
        <w:t>级</w:t>
      </w:r>
      <w:r>
        <w:rPr>
          <w:rFonts w:hint="eastAsia" w:ascii="宋体" w:hAnsi="宋体" w:cs="宋体"/>
          <w:sz w:val="24"/>
          <w:szCs w:val="24"/>
          <w:highlight w:val="none"/>
          <w:u w:val="single"/>
          <w:lang w:eastAsia="zh-CN"/>
        </w:rPr>
        <w:t>及以上</w:t>
      </w:r>
      <w:r>
        <w:rPr>
          <w:rFonts w:hint="eastAsia" w:ascii="宋体" w:hAnsi="宋体" w:cs="宋体"/>
          <w:sz w:val="24"/>
          <w:szCs w:val="24"/>
          <w:highlight w:val="none"/>
          <w:u w:val="single"/>
        </w:rPr>
        <w:t>资质</w:t>
      </w:r>
      <w:r>
        <w:rPr>
          <w:rFonts w:hint="eastAsia" w:ascii="宋体" w:hAnsi="宋体" w:cs="宋体"/>
          <w:sz w:val="24"/>
          <w:szCs w:val="24"/>
          <w:highlight w:val="none"/>
        </w:rPr>
        <w:t>。</w:t>
      </w:r>
    </w:p>
    <w:p>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color w:val="FF0000"/>
          <w:kern w:val="0"/>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三</w:t>
      </w:r>
      <w:r>
        <w:rPr>
          <w:rFonts w:hint="eastAsia" w:ascii="宋体" w:hAnsi="宋体" w:cs="宋体"/>
          <w:sz w:val="24"/>
          <w:szCs w:val="24"/>
          <w:highlight w:val="none"/>
        </w:rPr>
        <w:t>）</w:t>
      </w:r>
      <w:r>
        <w:rPr>
          <w:rFonts w:hint="eastAsia" w:ascii="宋体" w:hAnsi="宋体" w:cs="宋体"/>
          <w:b/>
          <w:bCs/>
          <w:color w:val="FF0000"/>
          <w:kern w:val="0"/>
          <w:sz w:val="24"/>
          <w:szCs w:val="24"/>
          <w:highlight w:val="none"/>
        </w:rPr>
        <w:t>落实政府采购政策需满足的资格要求：本项目按照《政府采购促进中小企业发展管理办法》【财库（2020）46号】第七条规定：专门面向中小企业采购；</w:t>
      </w:r>
    </w:p>
    <w:p>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）为采购项目提供整体设计、规范编制或者项目管理、监理、检测等服务的供应商，不得再参加该采购项目的其他采购活动。</w:t>
      </w:r>
    </w:p>
    <w:p>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六</w:t>
      </w:r>
      <w:r>
        <w:rPr>
          <w:rFonts w:hint="eastAsia" w:ascii="宋体" w:hAnsi="宋体" w:cs="宋体"/>
          <w:sz w:val="24"/>
          <w:szCs w:val="24"/>
          <w:highlight w:val="none"/>
        </w:rPr>
        <w:t>）公益一类事业单位不属于政府购买服务的承接主体，不得参与承接政府购买服务。</w:t>
      </w:r>
    </w:p>
    <w:p>
      <w:pPr>
        <w:shd w:val="clea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 xml:space="preserve">三、获取招标文件 </w:t>
      </w:r>
    </w:p>
    <w:p>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（一）获取时间：/至</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6月4日</w:t>
      </w:r>
      <w:r>
        <w:rPr>
          <w:rFonts w:hint="eastAsia" w:ascii="宋体" w:hAnsi="宋体" w:cs="宋体"/>
          <w:sz w:val="24"/>
          <w:szCs w:val="24"/>
          <w:highlight w:val="none"/>
        </w:rPr>
        <w:t>，每天上午00:00至12:00，下午12:00至23:59（北京时间，线上获取法定节假日均可）</w:t>
      </w:r>
    </w:p>
    <w:p>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（二）获取地址：浙江政府采购网本项目公告附件</w:t>
      </w:r>
    </w:p>
    <w:p>
      <w:pPr>
        <w:shd w:val="clea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、尚未注册浙江政府采购网正式供应商的应先进行注册申请，注册流程详见“浙江政府采购网</w:t>
      </w:r>
      <w:r>
        <w:rPr>
          <w:rFonts w:ascii="宋体" w:hAnsi="宋体" w:cs="宋体"/>
          <w:sz w:val="24"/>
          <w:szCs w:val="24"/>
          <w:highlight w:val="none"/>
        </w:rPr>
        <w:t>—</w:t>
      </w:r>
      <w:r>
        <w:rPr>
          <w:rFonts w:hint="eastAsia" w:ascii="宋体" w:hAnsi="宋体" w:cs="宋体"/>
          <w:sz w:val="24"/>
          <w:szCs w:val="24"/>
          <w:highlight w:val="none"/>
        </w:rPr>
        <w:t>网上办事指南</w:t>
      </w:r>
      <w:r>
        <w:rPr>
          <w:rFonts w:ascii="宋体" w:hAnsi="宋体" w:cs="宋体"/>
          <w:sz w:val="24"/>
          <w:szCs w:val="24"/>
          <w:highlight w:val="none"/>
        </w:rPr>
        <w:t>—</w:t>
      </w:r>
      <w:r>
        <w:rPr>
          <w:rFonts w:hint="eastAsia" w:ascii="宋体" w:hAnsi="宋体" w:cs="宋体"/>
          <w:sz w:val="24"/>
          <w:szCs w:val="24"/>
          <w:highlight w:val="none"/>
        </w:rPr>
        <w:t>供应商注册申请”，注册申请免费。</w:t>
      </w:r>
    </w:p>
    <w:p>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、供应商注册成功后，登录“政采云”平台进入“项目采购”应用模块，点击菜单的“申请获取招标文件”，填写获取招标文件的申请信息。点击“下载招标文件”即可获取招标文件。</w:t>
      </w:r>
    </w:p>
    <w:p>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pPr>
        <w:shd w:val="clea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、采购代理机构将拒绝接受非通过以上方式获取招标文件的供应商投标文件。</w:t>
      </w:r>
    </w:p>
    <w:p>
      <w:pPr>
        <w:pStyle w:val="29"/>
        <w:shd w:val="clear"/>
        <w:snapToGrid w:val="0"/>
        <w:ind w:firstLine="480" w:firstLineChars="200"/>
        <w:rPr>
          <w:highlight w:val="none"/>
        </w:rPr>
      </w:pPr>
      <w:r>
        <w:rPr>
          <w:rFonts w:hint="eastAsia"/>
          <w:highlight w:val="none"/>
        </w:rPr>
        <w:t>（</w:t>
      </w:r>
      <w:r>
        <w:rPr>
          <w:rFonts w:hint="eastAsia"/>
          <w:highlight w:val="none"/>
          <w:lang w:val="en-US"/>
        </w:rPr>
        <w:t>四</w:t>
      </w:r>
      <w:r>
        <w:rPr>
          <w:rFonts w:hint="eastAsia"/>
          <w:highlight w:val="none"/>
        </w:rPr>
        <w:t>）</w:t>
      </w:r>
      <w:r>
        <w:rPr>
          <w:highlight w:val="none"/>
        </w:rPr>
        <w:t>售价（元）：</w:t>
      </w:r>
      <w:r>
        <w:rPr>
          <w:rFonts w:hint="eastAsia"/>
          <w:highlight w:val="none"/>
        </w:rPr>
        <w:t>0 </w:t>
      </w:r>
    </w:p>
    <w:p>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6月4日14</w:t>
      </w:r>
      <w:r>
        <w:rPr>
          <w:rFonts w:hint="eastAsia" w:ascii="宋体" w:hAnsi="宋体" w:cs="宋体"/>
          <w:sz w:val="24"/>
          <w:szCs w:val="24"/>
          <w:highlight w:val="none"/>
          <w:lang w:eastAsia="zh-CN"/>
        </w:rPr>
        <w:t xml:space="preserve">：00 </w:t>
      </w:r>
      <w:r>
        <w:rPr>
          <w:rFonts w:hint="eastAsia" w:ascii="宋体" w:hAnsi="宋体" w:cs="宋体"/>
          <w:sz w:val="24"/>
          <w:szCs w:val="24"/>
          <w:highlight w:val="none"/>
        </w:rPr>
        <w:t>（北京时间）</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投标地点（网址）：“政府采购云平台”线上上传 </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6月4日14</w:t>
      </w:r>
      <w:r>
        <w:rPr>
          <w:rFonts w:hint="eastAsia" w:ascii="宋体" w:hAnsi="宋体" w:cs="宋体"/>
          <w:sz w:val="24"/>
          <w:szCs w:val="24"/>
          <w:highlight w:val="none"/>
          <w:lang w:eastAsia="zh-CN"/>
        </w:rPr>
        <w:t>：00</w:t>
      </w:r>
      <w:r>
        <w:rPr>
          <w:rFonts w:hint="eastAsia" w:ascii="宋体" w:hAnsi="宋体" w:cs="宋体"/>
          <w:sz w:val="24"/>
          <w:szCs w:val="24"/>
          <w:highlight w:val="none"/>
        </w:rPr>
        <w:t>（北京时间） </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开标地点（网址）：“政府采购云平台”线上开标</w:t>
      </w:r>
    </w:p>
    <w:p>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 </w:t>
      </w:r>
      <w:bookmarkStart w:id="28" w:name="_GoBack"/>
      <w:bookmarkEnd w:id="28"/>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自本公告发布之日起5个工作日。</w:t>
      </w:r>
    </w:p>
    <w:p>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、其他补充事宜：</w:t>
      </w:r>
      <w:r>
        <w:rPr>
          <w:rFonts w:ascii="宋体" w:hAnsi="宋体" w:cs="宋体"/>
          <w:b/>
          <w:bCs/>
          <w:sz w:val="24"/>
          <w:szCs w:val="24"/>
          <w:highlight w:val="none"/>
        </w:rPr>
        <w:t xml:space="preserve"> </w:t>
      </w:r>
    </w:p>
    <w:p>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lang w:eastAsia="zh-CN"/>
        </w:rPr>
        <w:t>、</w:t>
      </w:r>
      <w:r>
        <w:rPr>
          <w:rFonts w:hint="eastAsia" w:ascii="宋体" w:hAnsi="宋体" w:cs="宋体"/>
          <w:sz w:val="24"/>
          <w:szCs w:val="24"/>
          <w:highlight w:val="none"/>
        </w:rPr>
        <w:t>《浙江省财政厅关于进一步发挥政府采购政策功能全力推动经济稳进提质的通知》（浙财采监（2022）3号）、《浙江省财政厅关于进一步促进政府采购公平竞争打造最优营商环境的通知》（浙财采监（</w:t>
      </w:r>
      <w:r>
        <w:rPr>
          <w:rFonts w:hint="eastAsia" w:ascii="宋体" w:hAnsi="宋体" w:cs="宋体"/>
          <w:sz w:val="24"/>
          <w:szCs w:val="24"/>
          <w:highlight w:val="none"/>
          <w:lang w:eastAsia="zh-CN"/>
        </w:rPr>
        <w:t>2022</w:t>
      </w:r>
      <w:r>
        <w:rPr>
          <w:rFonts w:hint="eastAsia" w:ascii="宋体" w:hAnsi="宋体" w:cs="宋体"/>
          <w:sz w:val="24"/>
          <w:szCs w:val="24"/>
          <w:highlight w:val="none"/>
        </w:rPr>
        <w:t>）22号）已分别于2022年1月29日和2022年2月1日开始实施，此前有关规定与上述文件内容不一致的，按上述文件要求执行。</w:t>
      </w:r>
    </w:p>
    <w:p>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根据《浙江省财政厅关于进一步促进政府采购公平竞争打造最优营商环境的通知》（浙财采监（</w:t>
      </w:r>
      <w:r>
        <w:rPr>
          <w:rFonts w:hint="eastAsia" w:ascii="宋体" w:hAnsi="宋体" w:cs="宋体"/>
          <w:sz w:val="24"/>
          <w:szCs w:val="24"/>
          <w:highlight w:val="none"/>
          <w:lang w:eastAsia="zh-CN"/>
        </w:rPr>
        <w:t>2022</w:t>
      </w:r>
      <w:r>
        <w:rPr>
          <w:rFonts w:hint="eastAsia" w:ascii="宋体" w:hAnsi="宋体" w:cs="宋体"/>
          <w:sz w:val="24"/>
          <w:szCs w:val="24"/>
          <w:highlight w:val="none"/>
        </w:rPr>
        <w:t>）22号）文件关于“健全行政裁决机制”要求，鼓励供应商在线提起询问，路径为：政采云</w:t>
      </w:r>
      <w:r>
        <w:rPr>
          <w:rFonts w:hint="eastAsia" w:ascii="宋体" w:hAnsi="宋体" w:cs="宋体"/>
          <w:sz w:val="24"/>
          <w:szCs w:val="24"/>
          <w:highlight w:val="none"/>
          <w:lang w:eastAsia="zh-CN"/>
        </w:rPr>
        <w:t>－</w:t>
      </w:r>
      <w:r>
        <w:rPr>
          <w:rFonts w:hint="eastAsia" w:ascii="宋体" w:hAnsi="宋体" w:cs="宋体"/>
          <w:sz w:val="24"/>
          <w:szCs w:val="24"/>
          <w:highlight w:val="none"/>
        </w:rPr>
        <w:t>项目采购</w:t>
      </w:r>
      <w:r>
        <w:rPr>
          <w:rFonts w:hint="eastAsia" w:ascii="宋体" w:hAnsi="宋体" w:cs="宋体"/>
          <w:sz w:val="24"/>
          <w:szCs w:val="24"/>
          <w:highlight w:val="none"/>
          <w:lang w:eastAsia="zh-CN"/>
        </w:rPr>
        <w:t>－</w:t>
      </w:r>
      <w:r>
        <w:rPr>
          <w:rFonts w:hint="eastAsia" w:ascii="宋体" w:hAnsi="宋体" w:cs="宋体"/>
          <w:sz w:val="24"/>
          <w:szCs w:val="24"/>
          <w:highlight w:val="none"/>
        </w:rPr>
        <w:t>询问质疑投诉</w:t>
      </w:r>
      <w:r>
        <w:rPr>
          <w:rFonts w:hint="eastAsia" w:ascii="宋体" w:hAnsi="宋体" w:cs="宋体"/>
          <w:sz w:val="24"/>
          <w:szCs w:val="24"/>
          <w:highlight w:val="none"/>
          <w:lang w:eastAsia="zh-CN"/>
        </w:rPr>
        <w:t>－</w:t>
      </w:r>
      <w:r>
        <w:rPr>
          <w:rFonts w:hint="eastAsia" w:ascii="宋体" w:hAnsi="宋体" w:cs="宋体"/>
          <w:sz w:val="24"/>
          <w:szCs w:val="24"/>
          <w:highlight w:val="none"/>
        </w:rPr>
        <w:t>询问列表</w:t>
      </w:r>
      <w:r>
        <w:rPr>
          <w:rFonts w:hint="eastAsia" w:ascii="宋体" w:hAnsi="宋体" w:cs="宋体"/>
          <w:sz w:val="24"/>
          <w:szCs w:val="24"/>
          <w:highlight w:val="none"/>
          <w:lang w:eastAsia="zh-CN"/>
        </w:rPr>
        <w:t>：</w:t>
      </w:r>
      <w:r>
        <w:rPr>
          <w:rFonts w:hint="eastAsia" w:ascii="宋体" w:hAnsi="宋体" w:cs="宋体"/>
          <w:sz w:val="24"/>
          <w:szCs w:val="24"/>
          <w:highlight w:val="none"/>
        </w:rPr>
        <w:t>鼓励供应商在线提起质疑，路径为：政采云</w:t>
      </w:r>
      <w:r>
        <w:rPr>
          <w:rFonts w:hint="eastAsia" w:ascii="宋体" w:hAnsi="宋体" w:cs="宋体"/>
          <w:sz w:val="24"/>
          <w:szCs w:val="24"/>
          <w:highlight w:val="none"/>
          <w:lang w:eastAsia="zh-CN"/>
        </w:rPr>
        <w:t>－</w:t>
      </w:r>
      <w:r>
        <w:rPr>
          <w:rFonts w:hint="eastAsia" w:ascii="宋体" w:hAnsi="宋体" w:cs="宋体"/>
          <w:sz w:val="24"/>
          <w:szCs w:val="24"/>
          <w:highlight w:val="none"/>
        </w:rPr>
        <w:t>项目采购</w:t>
      </w:r>
      <w:r>
        <w:rPr>
          <w:rFonts w:hint="eastAsia" w:ascii="宋体" w:hAnsi="宋体" w:cs="宋体"/>
          <w:sz w:val="24"/>
          <w:szCs w:val="24"/>
          <w:highlight w:val="none"/>
          <w:lang w:eastAsia="zh-CN"/>
        </w:rPr>
        <w:t>－</w:t>
      </w:r>
      <w:r>
        <w:rPr>
          <w:rFonts w:hint="eastAsia" w:ascii="宋体" w:hAnsi="宋体" w:cs="宋体"/>
          <w:sz w:val="24"/>
          <w:szCs w:val="24"/>
          <w:highlight w:val="none"/>
        </w:rPr>
        <w:t>询问质疑投诉</w:t>
      </w:r>
      <w:r>
        <w:rPr>
          <w:rFonts w:hint="eastAsia" w:ascii="宋体" w:hAnsi="宋体" w:cs="宋体"/>
          <w:sz w:val="24"/>
          <w:szCs w:val="24"/>
          <w:highlight w:val="none"/>
          <w:lang w:eastAsia="zh-CN"/>
        </w:rPr>
        <w:t>－</w:t>
      </w:r>
      <w:r>
        <w:rPr>
          <w:rFonts w:hint="eastAsia" w:ascii="宋体" w:hAnsi="宋体" w:cs="宋体"/>
          <w:sz w:val="24"/>
          <w:szCs w:val="24"/>
          <w:highlight w:val="none"/>
        </w:rPr>
        <w:t>质疑列表。质疑供应商对在线质疑答复不满意的，可在线提起投诉，路径为：浙江政府服务网</w:t>
      </w:r>
      <w:r>
        <w:rPr>
          <w:rFonts w:hint="eastAsia" w:ascii="宋体" w:hAnsi="宋体" w:cs="宋体"/>
          <w:sz w:val="24"/>
          <w:szCs w:val="24"/>
          <w:highlight w:val="none"/>
          <w:lang w:eastAsia="zh-CN"/>
        </w:rPr>
        <w:t>－</w:t>
      </w:r>
      <w:r>
        <w:rPr>
          <w:rFonts w:hint="eastAsia" w:ascii="宋体" w:hAnsi="宋体" w:cs="宋体"/>
          <w:sz w:val="24"/>
          <w:szCs w:val="24"/>
          <w:highlight w:val="none"/>
        </w:rPr>
        <w:t>政府采购投诉处理</w:t>
      </w:r>
      <w:r>
        <w:rPr>
          <w:rFonts w:hint="eastAsia" w:ascii="宋体" w:hAnsi="宋体" w:cs="宋体"/>
          <w:sz w:val="24"/>
          <w:szCs w:val="24"/>
          <w:highlight w:val="none"/>
          <w:lang w:eastAsia="zh-CN"/>
        </w:rPr>
        <w:t>－</w:t>
      </w:r>
      <w:r>
        <w:rPr>
          <w:rFonts w:hint="eastAsia" w:ascii="宋体" w:hAnsi="宋体" w:cs="宋体"/>
          <w:sz w:val="24"/>
          <w:szCs w:val="24"/>
          <w:highlight w:val="none"/>
        </w:rPr>
        <w:t>在线办理。</w:t>
      </w:r>
    </w:p>
    <w:p>
      <w:pPr>
        <w:keepNext w:val="0"/>
        <w:keepLines w:val="0"/>
        <w:pageBreakBefore w:val="0"/>
        <w:shd w:val="clear"/>
        <w:kinsoku/>
        <w:wordWrap/>
        <w:overflowPunct/>
        <w:topLinePunct w:val="0"/>
        <w:bidi w:val="0"/>
        <w:snapToGrid w:val="0"/>
        <w:spacing w:line="324" w:lineRule="auto"/>
        <w:ind w:firstLine="480" w:firstLineChars="200"/>
        <w:rPr>
          <w:rFonts w:ascii="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shd w:val="clear"/>
        <w:kinsoku/>
        <w:wordWrap/>
        <w:overflowPunct/>
        <w:topLinePunct w:val="0"/>
        <w:bidi w:val="0"/>
        <w:snapToGrid w:val="0"/>
        <w:spacing w:line="324" w:lineRule="auto"/>
        <w:ind w:firstLine="482" w:firstLineChars="200"/>
        <w:rPr>
          <w:rStyle w:val="27"/>
          <w:rFonts w:hint="eastAsia" w:ascii="宋体" w:hAnsi="宋体" w:cs="宋体"/>
          <w:color w:val="auto"/>
          <w:sz w:val="22"/>
          <w:szCs w:val="22"/>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、公告发布媒体：</w:t>
      </w:r>
      <w:r>
        <w:rPr>
          <w:rFonts w:hint="eastAsia" w:ascii="宋体" w:hAnsi="宋体" w:cs="宋体"/>
          <w:sz w:val="24"/>
          <w:szCs w:val="24"/>
          <w:highlight w:val="none"/>
        </w:rPr>
        <w:t>浙江省政府采购网</w:t>
      </w:r>
      <w:r>
        <w:rPr>
          <w:rFonts w:hint="eastAsia" w:ascii="宋体" w:hAnsi="宋体" w:cs="宋体"/>
          <w:sz w:val="22"/>
          <w:szCs w:val="22"/>
          <w:highlight w:val="none"/>
        </w:rPr>
        <w:t>（</w:t>
      </w:r>
      <w:r>
        <w:rPr>
          <w:rFonts w:ascii="宋体" w:hAnsi="宋体" w:cs="宋体"/>
          <w:sz w:val="22"/>
          <w:szCs w:val="22"/>
          <w:highlight w:val="none"/>
        </w:rPr>
        <w:t xml:space="preserve">http:// </w:t>
      </w:r>
      <w:r>
        <w:rPr>
          <w:highlight w:val="none"/>
        </w:rPr>
        <w:fldChar w:fldCharType="begin"/>
      </w:r>
      <w:r>
        <w:rPr>
          <w:highlight w:val="none"/>
        </w:rPr>
        <w:instrText xml:space="preserve"> HYPERLINK "http://www.zjzfcg.gov.cn）和温岭市公共资源交易中心网（http:/new.wl.gov.cn/col/col1402172/index.html）。" </w:instrText>
      </w:r>
      <w:r>
        <w:rPr>
          <w:highlight w:val="none"/>
        </w:rPr>
        <w:fldChar w:fldCharType="separate"/>
      </w:r>
      <w:r>
        <w:rPr>
          <w:rStyle w:val="27"/>
          <w:rFonts w:ascii="宋体" w:hAnsi="宋体" w:cs="宋体"/>
          <w:color w:val="auto"/>
          <w:sz w:val="22"/>
          <w:szCs w:val="22"/>
          <w:highlight w:val="none"/>
        </w:rPr>
        <w:t>www.zjzfcg.gov.cn</w:t>
      </w:r>
      <w:r>
        <w:rPr>
          <w:rStyle w:val="27"/>
          <w:rFonts w:hint="eastAsia" w:ascii="宋体" w:hAnsi="宋体" w:cs="宋体"/>
          <w:color w:val="auto"/>
          <w:sz w:val="22"/>
          <w:szCs w:val="22"/>
          <w:highlight w:val="none"/>
        </w:rPr>
        <w:t>）和温岭市公共资源交易中心网（</w:t>
      </w:r>
      <w:r>
        <w:rPr>
          <w:rStyle w:val="27"/>
          <w:rFonts w:ascii="宋体" w:hAnsi="宋体" w:cs="宋体"/>
          <w:color w:val="auto"/>
          <w:sz w:val="22"/>
          <w:szCs w:val="22"/>
          <w:highlight w:val="none"/>
        </w:rPr>
        <w:t>http://new.wl.gov.cn/col/col1402172/index.html</w:t>
      </w:r>
      <w:r>
        <w:rPr>
          <w:rStyle w:val="27"/>
          <w:rFonts w:hint="eastAsia" w:ascii="宋体" w:hAnsi="宋体" w:cs="宋体"/>
          <w:color w:val="auto"/>
          <w:sz w:val="22"/>
          <w:szCs w:val="22"/>
          <w:highlight w:val="none"/>
        </w:rPr>
        <w:t>）。</w:t>
      </w:r>
      <w:r>
        <w:rPr>
          <w:rStyle w:val="27"/>
          <w:rFonts w:hint="eastAsia" w:ascii="宋体" w:hAnsi="宋体" w:cs="宋体"/>
          <w:color w:val="auto"/>
          <w:sz w:val="22"/>
          <w:szCs w:val="22"/>
          <w:highlight w:val="none"/>
        </w:rPr>
        <w:fldChar w:fldCharType="end"/>
      </w:r>
    </w:p>
    <w:p>
      <w:pPr>
        <w:pStyle w:val="9"/>
        <w:shd w:val="clea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投标保证金</w:t>
      </w:r>
    </w:p>
    <w:p>
      <w:pPr>
        <w:pStyle w:val="9"/>
        <w:shd w:val="clea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本项目不收取投标保证金。</w:t>
      </w:r>
    </w:p>
    <w:p>
      <w:pPr>
        <w:keepNext w:val="0"/>
        <w:keepLines w:val="0"/>
        <w:pageBreakBefore w:val="0"/>
        <w:widowControl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、在线投标响应（电子投标）相关说明：</w:t>
      </w:r>
    </w:p>
    <w:p>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驱动及政采云电子交易客户端的下载）：本项目通过政企采购云平台实行线上电子招投标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各潜在供应商应在投标截止时间前注册成为浙江省政府采购网（政府采购云平台）正式供应商，并完成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）电子加密投标文件：应按政府采购云平台项目采购</w:t>
      </w:r>
      <w:r>
        <w:rPr>
          <w:rFonts w:hint="eastAsia" w:ascii="宋体" w:hAnsi="宋体" w:cs="宋体"/>
          <w:sz w:val="24"/>
          <w:szCs w:val="24"/>
          <w:highlight w:val="none"/>
          <w:lang w:eastAsia="zh-CN"/>
        </w:rPr>
        <w:t>－</w:t>
      </w:r>
      <w:r>
        <w:rPr>
          <w:rFonts w:hint="eastAsia" w:ascii="宋体" w:hAnsi="宋体" w:cs="宋体"/>
          <w:sz w:val="24"/>
          <w:szCs w:val="24"/>
          <w:highlight w:val="none"/>
        </w:rPr>
        <w:t>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highlight w:val="none"/>
        </w:rPr>
        <w:fldChar w:fldCharType="begin"/>
      </w:r>
      <w:r>
        <w:rPr>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highlight w:val="none"/>
        </w:rPr>
        <w:fldChar w:fldCharType="separate"/>
      </w:r>
      <w:r>
        <w:rPr>
          <w:rFonts w:hint="eastAsia" w:ascii="宋体" w:hAnsi="宋体" w:cs="宋体"/>
          <w:sz w:val="24"/>
          <w:szCs w:val="24"/>
          <w:highlight w:val="none"/>
        </w:rPr>
        <w:t>投标截止时间前以压缩文件形式加密发送至采购代理机构邮箱</w:t>
      </w:r>
      <w:r>
        <w:rPr>
          <w:rFonts w:hint="eastAsia" w:ascii="宋体" w:hAnsi="宋体" w:cs="宋体"/>
          <w:sz w:val="24"/>
          <w:szCs w:val="24"/>
          <w:highlight w:val="none"/>
        </w:rPr>
        <w:fldChar w:fldCharType="end"/>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61692137@qq.com</w:t>
      </w:r>
      <w:r>
        <w:rPr>
          <w:rFonts w:hint="eastAsia" w:ascii="宋体" w:hAnsi="宋体" w:cs="宋体"/>
          <w:sz w:val="24"/>
          <w:szCs w:val="24"/>
          <w:highlight w:val="none"/>
        </w:rPr>
        <w:t>）。</w:t>
      </w:r>
    </w:p>
    <w:p>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锁，并打开“政采云电子交易客户端”软件，进行在线等候解密，解密时间为投标截止时间（或开标时间）开始后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pPr>
        <w:pStyle w:val="21"/>
        <w:shd w:val="clear"/>
        <w:ind w:left="0" w:leftChars="0" w:firstLine="482" w:firstLineChars="200"/>
        <w:rPr>
          <w:highlight w:val="none"/>
        </w:rPr>
      </w:pPr>
      <w:r>
        <w:rPr>
          <w:rFonts w:hint="eastAsia" w:ascii="宋体" w:hAnsi="宋体" w:cs="宋体"/>
          <w:b/>
          <w:bCs/>
          <w:color w:val="FF0000"/>
          <w:sz w:val="24"/>
          <w:szCs w:val="24"/>
          <w:highlight w:val="none"/>
        </w:rPr>
        <w:t>注：本次招标采用电子招投标，实行网上投标（非现场方式实施）。投标文件应当通过“政采云电子交易客户端”上传，在项目开、评标活动过程中，投标人需保持联系渠道畅通。</w:t>
      </w:r>
    </w:p>
    <w:p>
      <w:pPr>
        <w:shd w:val="clea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lang w:eastAsia="zh-CN"/>
        </w:rPr>
        <w:t>八</w:t>
      </w:r>
      <w:r>
        <w:rPr>
          <w:rFonts w:hint="eastAsia" w:ascii="宋体" w:hAnsi="宋体" w:cs="宋体"/>
          <w:b/>
          <w:bCs/>
          <w:sz w:val="24"/>
          <w:szCs w:val="24"/>
          <w:highlight w:val="none"/>
        </w:rPr>
        <w:t>、对本次采购提出询问、质疑、投诉，请按以下方式联系</w:t>
      </w:r>
    </w:p>
    <w:p>
      <w:pPr>
        <w:shd w:val="clear"/>
        <w:snapToGrid w:val="0"/>
        <w:spacing w:line="440" w:lineRule="exact"/>
        <w:ind w:firstLine="602" w:firstLineChars="250"/>
        <w:rPr>
          <w:rFonts w:ascii="宋体" w:cs="宋体"/>
          <w:b/>
          <w:bCs/>
          <w:sz w:val="24"/>
          <w:szCs w:val="24"/>
          <w:highlight w:val="none"/>
        </w:rPr>
      </w:pPr>
      <w:r>
        <w:rPr>
          <w:rFonts w:hint="eastAsia" w:ascii="宋体" w:cs="宋体"/>
          <w:b/>
          <w:bCs/>
          <w:sz w:val="24"/>
          <w:szCs w:val="24"/>
          <w:highlight w:val="none"/>
        </w:rPr>
        <w:t>1.采购人信息</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w:t>
      </w:r>
      <w:r>
        <w:rPr>
          <w:rFonts w:hint="eastAsia" w:ascii="宋体" w:cs="宋体"/>
          <w:sz w:val="24"/>
          <w:szCs w:val="24"/>
          <w:highlight w:val="none"/>
          <w:lang w:eastAsia="zh-CN"/>
        </w:rPr>
        <w:t>温岭市自然资源和规划局</w:t>
      </w:r>
      <w:r>
        <w:rPr>
          <w:rFonts w:hint="eastAsia" w:ascii="宋体" w:cs="宋体"/>
          <w:sz w:val="24"/>
          <w:szCs w:val="24"/>
          <w:highlight w:val="none"/>
        </w:rPr>
        <w:t>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 温岭市太平街道东门北路235号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highlight w:val="none"/>
          <w:lang w:val="en-US" w:eastAsia="zh-CN"/>
        </w:rPr>
        <w:t>胡女士</w:t>
      </w:r>
      <w:r>
        <w:rPr>
          <w:rFonts w:hint="eastAsia" w:ascii="宋体" w:cs="宋体"/>
          <w:sz w:val="24"/>
          <w:szCs w:val="24"/>
          <w:highlight w:val="none"/>
        </w:rPr>
        <w:t>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w:t>
      </w:r>
      <w:r>
        <w:rPr>
          <w:rFonts w:hint="eastAsia" w:ascii="宋体" w:cs="宋体"/>
          <w:color w:val="auto"/>
          <w:sz w:val="24"/>
          <w:szCs w:val="24"/>
          <w:highlight w:val="none"/>
        </w:rPr>
        <w:t>0576-89933731</w:t>
      </w:r>
    </w:p>
    <w:p>
      <w:pPr>
        <w:shd w:val="clear"/>
        <w:snapToGrid w:val="0"/>
        <w:spacing w:line="440" w:lineRule="exact"/>
        <w:ind w:firstLine="602" w:firstLineChars="250"/>
        <w:rPr>
          <w:rFonts w:ascii="宋体" w:cs="宋体"/>
          <w:sz w:val="24"/>
          <w:szCs w:val="24"/>
          <w:highlight w:val="none"/>
        </w:rPr>
      </w:pPr>
      <w:r>
        <w:rPr>
          <w:rFonts w:hint="eastAsia" w:ascii="宋体" w:cs="宋体"/>
          <w:b/>
          <w:bCs/>
          <w:sz w:val="24"/>
          <w:szCs w:val="24"/>
          <w:highlight w:val="none"/>
        </w:rPr>
        <w:t>2.采购代理机构信息 </w:t>
      </w:r>
      <w:r>
        <w:rPr>
          <w:rFonts w:hint="eastAsia" w:ascii="宋体" w:cs="宋体"/>
          <w:sz w:val="24"/>
          <w:szCs w:val="24"/>
          <w:highlight w:val="none"/>
        </w:rPr>
        <w:t>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称：建经投资咨询有限公司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址：浙江省温岭市万昌路服务业大厦8楼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传    真：0576-86087802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项目联系人（询问）：陈冠茜、</w:t>
      </w:r>
      <w:r>
        <w:rPr>
          <w:rFonts w:hint="eastAsia" w:ascii="宋体" w:cs="宋体"/>
          <w:sz w:val="24"/>
          <w:szCs w:val="24"/>
          <w:highlight w:val="none"/>
          <w:lang w:eastAsia="zh-CN"/>
        </w:rPr>
        <w:t>韩金伊</w:t>
      </w:r>
      <w:r>
        <w:rPr>
          <w:rFonts w:hint="eastAsia" w:ascii="宋体" w:cs="宋体"/>
          <w:sz w:val="24"/>
          <w:szCs w:val="24"/>
          <w:highlight w:val="none"/>
        </w:rPr>
        <w:t>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项目联系方式（询问）：0576-817610</w:t>
      </w:r>
      <w:r>
        <w:rPr>
          <w:rFonts w:hint="eastAsia" w:ascii="宋体" w:cs="宋体"/>
          <w:sz w:val="24"/>
          <w:szCs w:val="24"/>
          <w:highlight w:val="none"/>
          <w:lang w:val="en-US" w:eastAsia="zh-CN"/>
        </w:rPr>
        <w:t>88/0576-81761086</w:t>
      </w:r>
      <w:r>
        <w:rPr>
          <w:rFonts w:hint="eastAsia" w:ascii="宋体" w:cs="宋体"/>
          <w:sz w:val="24"/>
          <w:szCs w:val="24"/>
          <w:highlight w:val="none"/>
        </w:rPr>
        <w:t>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质疑联系人：吕玉平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质疑联系方式：0576-81761099 　　　　　　     </w:t>
      </w:r>
    </w:p>
    <w:p>
      <w:pPr>
        <w:shd w:val="clear"/>
        <w:snapToGrid w:val="0"/>
        <w:spacing w:line="440" w:lineRule="exact"/>
        <w:ind w:firstLine="602" w:firstLineChars="250"/>
        <w:rPr>
          <w:rFonts w:ascii="宋体" w:cs="宋体"/>
          <w:sz w:val="24"/>
          <w:szCs w:val="24"/>
          <w:highlight w:val="none"/>
        </w:rPr>
      </w:pPr>
      <w:r>
        <w:rPr>
          <w:rFonts w:hint="eastAsia" w:ascii="宋体" w:cs="宋体"/>
          <w:b/>
          <w:bCs/>
          <w:sz w:val="24"/>
          <w:szCs w:val="24"/>
          <w:highlight w:val="none"/>
        </w:rPr>
        <w:t>3.同级政府采购监督管理部门</w:t>
      </w:r>
      <w:r>
        <w:rPr>
          <w:rFonts w:hint="eastAsia" w:ascii="宋体" w:cs="宋体"/>
          <w:sz w:val="24"/>
          <w:szCs w:val="24"/>
          <w:highlight w:val="none"/>
        </w:rPr>
        <w:t>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称：温岭市财政局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址：浙江省温岭市太平街道中华路29号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联系人 ：温岭市财政局政府采购监管科             </w:t>
      </w:r>
    </w:p>
    <w:p>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监督投诉电话：0576-86086511</w:t>
      </w:r>
    </w:p>
    <w:p>
      <w:pPr>
        <w:shd w:val="clea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1" w:name="_Toc8031"/>
      <w:r>
        <w:rPr>
          <w:rFonts w:hint="eastAsia" w:ascii="宋体" w:hAnsi="宋体" w:cs="宋体"/>
          <w:b/>
          <w:bCs/>
          <w:kern w:val="0"/>
          <w:sz w:val="36"/>
          <w:szCs w:val="36"/>
          <w:highlight w:val="none"/>
        </w:rPr>
        <w:t>第二章 投标人须知</w:t>
      </w:r>
      <w:bookmarkEnd w:id="1"/>
    </w:p>
    <w:p>
      <w:pPr>
        <w:shd w:val="clear"/>
        <w:spacing w:line="360" w:lineRule="auto"/>
        <w:jc w:val="center"/>
        <w:rPr>
          <w:rFonts w:ascii="宋体" w:cs="宋体"/>
          <w:b/>
          <w:bCs/>
          <w:sz w:val="28"/>
          <w:szCs w:val="28"/>
          <w:highlight w:val="none"/>
        </w:rPr>
      </w:pPr>
      <w:r>
        <w:rPr>
          <w:rFonts w:hint="eastAsia" w:ascii="宋体" w:hAnsi="宋体" w:cs="宋体"/>
          <w:b/>
          <w:bCs/>
          <w:sz w:val="28"/>
          <w:szCs w:val="28"/>
          <w:highlight w:val="none"/>
        </w:rPr>
        <w:t>前附表</w:t>
      </w:r>
    </w:p>
    <w:tbl>
      <w:tblPr>
        <w:tblStyle w:val="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1663"/>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2202" w:type="dxa"/>
            <w:tcBorders>
              <w:tl2br w:val="nil"/>
              <w:tr2bl w:val="nil"/>
            </w:tcBorders>
            <w:vAlign w:val="center"/>
          </w:tcPr>
          <w:p>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122" w:type="dxa"/>
            <w:gridSpan w:val="2"/>
            <w:tcBorders>
              <w:tl2br w:val="nil"/>
              <w:tr2bl w:val="nil"/>
            </w:tcBorders>
            <w:vAlign w:val="center"/>
          </w:tcPr>
          <w:p>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122" w:type="dxa"/>
            <w:gridSpan w:val="2"/>
            <w:tcBorders>
              <w:tl2br w:val="nil"/>
              <w:tr2bl w:val="nil"/>
            </w:tcBorders>
            <w:vAlign w:val="center"/>
          </w:tcPr>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 xml:space="preserve">项目名称：温岭市2024年度控制性详细规划编制采购项目编号：JJWL24031982 </w:t>
            </w:r>
          </w:p>
          <w:p>
            <w:pPr>
              <w:pStyle w:val="17"/>
              <w:shd w:val="clear"/>
              <w:tabs>
                <w:tab w:val="left" w:pos="6930"/>
              </w:tabs>
              <w:spacing w:before="0" w:beforeAutospacing="0" w:after="0" w:afterAutospacing="0" w:line="360" w:lineRule="exact"/>
              <w:rPr>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122" w:type="dxa"/>
            <w:gridSpan w:val="2"/>
            <w:tcBorders>
              <w:tl2br w:val="nil"/>
              <w:tr2bl w:val="nil"/>
            </w:tcBorders>
            <w:vAlign w:val="center"/>
          </w:tcPr>
          <w:p>
            <w:pPr>
              <w:shd w:val="clear"/>
              <w:spacing w:line="360" w:lineRule="exact"/>
              <w:rPr>
                <w:rFonts w:ascii="宋体" w:cs="宋体"/>
                <w:sz w:val="24"/>
                <w:szCs w:val="24"/>
                <w:highlight w:val="none"/>
              </w:rPr>
            </w:pPr>
            <w:r>
              <w:rPr>
                <w:rFonts w:hint="eastAsia" w:ascii="宋体" w:hAnsi="宋体" w:cs="宋体"/>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3</w:t>
            </w:r>
          </w:p>
        </w:tc>
        <w:tc>
          <w:tcPr>
            <w:tcW w:w="2202" w:type="dxa"/>
            <w:tcBorders>
              <w:tl2br w:val="nil"/>
              <w:tr2bl w:val="nil"/>
            </w:tcBorders>
            <w:vAlign w:val="center"/>
          </w:tcPr>
          <w:p>
            <w:pPr>
              <w:pStyle w:val="17"/>
              <w:shd w:val="clear"/>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pPr>
              <w:pStyle w:val="17"/>
              <w:shd w:val="clear"/>
              <w:tabs>
                <w:tab w:val="left" w:pos="6930"/>
              </w:tabs>
              <w:spacing w:before="0" w:beforeAutospacing="0" w:after="0" w:afterAutospacing="0" w:line="360" w:lineRule="exact"/>
              <w:rPr>
                <w:highlight w:val="none"/>
              </w:rPr>
            </w:pPr>
          </w:p>
        </w:tc>
        <w:tc>
          <w:tcPr>
            <w:tcW w:w="6122" w:type="dxa"/>
            <w:gridSpan w:val="2"/>
            <w:tcBorders>
              <w:tl2br w:val="nil"/>
              <w:tr2bl w:val="nil"/>
            </w:tcBorders>
            <w:vAlign w:val="center"/>
          </w:tcPr>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1.投标文件的形式：电子投标文件（包括“电子加密投标文件”和“备份投标文件”，在投标文件编制完成后同时生成）；</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1）“电子加密投标文件”是指通过“政采云电子交易客户端”完成投标文件编制后生成并加密的数据电文形式的投标文件。</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2.投标文件由资格证明文件、商务技术文件、报价文件组成；</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3.电子加密投标文件制作：应按政府采购云平台供应商项目采购－电子招投标操作指南（网址：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kern w:val="2"/>
                <w:sz w:val="22"/>
                <w:szCs w:val="22"/>
                <w:highlight w:val="none"/>
                <w:lang w:val="zh-CN"/>
              </w:rPr>
              <w:t>https://help.zcy.gov.cn/web/site_2/2018/12-28/2573.html）及本招标文件要求制作</w:t>
            </w:r>
            <w:r>
              <w:rPr>
                <w:rFonts w:hint="eastAsia"/>
                <w:kern w:val="2"/>
                <w:sz w:val="22"/>
                <w:szCs w:val="22"/>
                <w:highlight w:val="none"/>
                <w:lang w:val="zh-CN"/>
              </w:rPr>
              <w:fldChar w:fldCharType="end"/>
            </w:r>
            <w:r>
              <w:rPr>
                <w:rFonts w:hint="eastAsia"/>
                <w:kern w:val="2"/>
                <w:sz w:val="22"/>
                <w:szCs w:val="22"/>
                <w:highlight w:val="none"/>
                <w:lang w:val="zh-CN"/>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2202" w:type="dxa"/>
            <w:tcBorders>
              <w:tl2br w:val="nil"/>
              <w:tr2bl w:val="nil"/>
            </w:tcBorders>
            <w:vAlign w:val="center"/>
          </w:tcPr>
          <w:p>
            <w:pPr>
              <w:shd w:val="clear"/>
              <w:snapToGrid w:val="0"/>
              <w:spacing w:line="360" w:lineRule="exact"/>
              <w:jc w:val="center"/>
              <w:rPr>
                <w:rFonts w:ascii="宋体" w:hAnsi="宋体" w:cs="宋体"/>
                <w:highlight w:val="none"/>
              </w:rPr>
            </w:pPr>
            <w:r>
              <w:rPr>
                <w:rFonts w:hint="eastAsia" w:ascii="宋体" w:hAnsi="宋体" w:cs="宋体"/>
                <w:sz w:val="24"/>
                <w:szCs w:val="24"/>
                <w:highlight w:val="none"/>
              </w:rPr>
              <w:t>投标文件递交截止时间（开标时间）及地点</w:t>
            </w:r>
          </w:p>
        </w:tc>
        <w:tc>
          <w:tcPr>
            <w:tcW w:w="6122" w:type="dxa"/>
            <w:gridSpan w:val="2"/>
            <w:tcBorders>
              <w:tl2br w:val="nil"/>
              <w:tr2bl w:val="nil"/>
            </w:tcBorders>
            <w:vAlign w:val="center"/>
          </w:tcPr>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1.“电子加密投标文件”递交：投标人应于提交投标文件截止时间前将“电子加密投标文件”上传至“政府采购云平台”，逾期未上传的，视为撤回投标文件。</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fldChar w:fldCharType="begin"/>
            </w:r>
            <w:r>
              <w:rPr>
                <w:rFonts w:hint="eastAsia"/>
                <w:kern w:val="2"/>
                <w:sz w:val="22"/>
                <w:szCs w:val="22"/>
                <w:highlight w:val="none"/>
                <w:lang w:val="zh-CN"/>
              </w:rPr>
              <w:instrText xml:space="preserve"> HYPERLINK "mailto:2.备份投标文件在开标时间后15分钟内以电子邮件形式递交至采购代理机构邮箱（103874679@qq.com）。" </w:instrText>
            </w:r>
            <w:r>
              <w:rPr>
                <w:rFonts w:hint="eastAsia"/>
                <w:kern w:val="2"/>
                <w:sz w:val="22"/>
                <w:szCs w:val="22"/>
                <w:highlight w:val="none"/>
                <w:lang w:val="zh-CN"/>
              </w:rPr>
              <w:fldChar w:fldCharType="separate"/>
            </w:r>
            <w:r>
              <w:rPr>
                <w:rFonts w:hint="eastAsia"/>
                <w:kern w:val="2"/>
                <w:sz w:val="22"/>
                <w:szCs w:val="22"/>
                <w:highlight w:val="none"/>
                <w:lang w:val="zh-CN"/>
              </w:rPr>
              <w:t>2.“备份投标文件”递交：</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1）</w:t>
            </w:r>
            <w:r>
              <w:rPr>
                <w:rFonts w:hint="eastAsia"/>
                <w:kern w:val="2"/>
                <w:sz w:val="22"/>
                <w:szCs w:val="22"/>
                <w:highlight w:val="none"/>
                <w:lang w:val="zh-CN"/>
              </w:rPr>
              <w:t>投标人在“政府采购云平台”完成“电子加密投标文件”的上传递交后，还可以（以电子邮件的形式）在投标截止时间前发送</w:t>
            </w:r>
            <w:r>
              <w:rPr>
                <w:rFonts w:hint="eastAsia"/>
                <w:b/>
                <w:bCs/>
                <w:color w:val="FF0000"/>
                <w:kern w:val="2"/>
                <w:sz w:val="22"/>
                <w:szCs w:val="22"/>
                <w:highlight w:val="none"/>
                <w:lang w:val="zh-CN"/>
              </w:rPr>
              <w:t>加密压缩文件</w:t>
            </w:r>
            <w:r>
              <w:rPr>
                <w:rFonts w:hint="eastAsia"/>
                <w:kern w:val="2"/>
                <w:sz w:val="22"/>
                <w:szCs w:val="22"/>
                <w:highlight w:val="none"/>
                <w:lang w:val="zh-CN"/>
              </w:rPr>
              <w:t>的“备份投标文件”（一份）；</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2）</w:t>
            </w:r>
            <w:r>
              <w:rPr>
                <w:rFonts w:hint="eastAsia"/>
                <w:kern w:val="2"/>
                <w:sz w:val="22"/>
                <w:szCs w:val="22"/>
                <w:highlight w:val="none"/>
                <w:lang w:val="zh-CN"/>
              </w:rPr>
              <w:t>“备份投标文件”以压缩文件形式加密发送至采购代理机构邮箱，压缩文件命名为：投标项目编号和投标单位简称。接到在线解密通知后</w:t>
            </w:r>
            <w:r>
              <w:rPr>
                <w:rFonts w:hint="eastAsia"/>
                <w:kern w:val="2"/>
                <w:sz w:val="22"/>
                <w:szCs w:val="22"/>
                <w:highlight w:val="none"/>
              </w:rPr>
              <w:t>30分钟</w:t>
            </w:r>
            <w:r>
              <w:rPr>
                <w:rFonts w:hint="eastAsia"/>
                <w:kern w:val="2"/>
                <w:sz w:val="22"/>
                <w:szCs w:val="22"/>
                <w:highlight w:val="none"/>
                <w:lang w:val="zh-CN"/>
              </w:rPr>
              <w:t>内发送压缩文件密码至采购代理机构邮箱（邮箱号码：</w:t>
            </w:r>
            <w:r>
              <w:rPr>
                <w:rFonts w:hint="eastAsia"/>
                <w:kern w:val="2"/>
                <w:sz w:val="22"/>
                <w:szCs w:val="22"/>
                <w:highlight w:val="none"/>
              </w:rPr>
              <w:t>61692137</w:t>
            </w:r>
            <w:r>
              <w:rPr>
                <w:rFonts w:hint="eastAsia"/>
                <w:kern w:val="2"/>
                <w:sz w:val="22"/>
                <w:szCs w:val="22"/>
                <w:highlight w:val="none"/>
                <w:lang w:val="zh-CN"/>
              </w:rPr>
              <w:t>@qq.com）。</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3.</w:t>
            </w:r>
            <w:r>
              <w:rPr>
                <w:rFonts w:hint="eastAsia"/>
                <w:kern w:val="2"/>
                <w:sz w:val="22"/>
                <w:szCs w:val="22"/>
                <w:highlight w:val="none"/>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17"/>
              <w:shd w:val="clear"/>
              <w:tabs>
                <w:tab w:val="left" w:pos="6930"/>
              </w:tabs>
              <w:spacing w:before="0" w:beforeAutospacing="0" w:after="0" w:afterAutospacing="0" w:line="360" w:lineRule="exact"/>
              <w:rPr>
                <w:kern w:val="2"/>
                <w:sz w:val="22"/>
                <w:szCs w:val="22"/>
                <w:highlight w:val="none"/>
              </w:rPr>
            </w:pPr>
            <w:r>
              <w:rPr>
                <w:rFonts w:hint="eastAsia"/>
                <w:kern w:val="2"/>
                <w:sz w:val="22"/>
                <w:szCs w:val="22"/>
                <w:highlight w:val="none"/>
                <w:lang w:val="zh-CN"/>
              </w:rPr>
              <w:fldChar w:fldCharType="end"/>
            </w:r>
            <w:r>
              <w:rPr>
                <w:rFonts w:hint="eastAsia"/>
                <w:kern w:val="2"/>
                <w:sz w:val="22"/>
                <w:szCs w:val="22"/>
                <w:highlight w:val="none"/>
              </w:rPr>
              <w:t>4</w:t>
            </w:r>
            <w:r>
              <w:rPr>
                <w:rFonts w:hint="eastAsia"/>
                <w:kern w:val="2"/>
                <w:sz w:val="22"/>
                <w:szCs w:val="22"/>
                <w:highlight w:val="none"/>
                <w:lang w:val="zh-CN"/>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2202" w:type="dxa"/>
            <w:tcBorders>
              <w:tl2br w:val="nil"/>
              <w:tr2bl w:val="nil"/>
            </w:tcBorders>
            <w:vAlign w:val="center"/>
          </w:tcPr>
          <w:p>
            <w:pPr>
              <w:pStyle w:val="17"/>
              <w:shd w:val="clear"/>
              <w:tabs>
                <w:tab w:val="left" w:pos="6930"/>
              </w:tabs>
              <w:spacing w:before="0" w:beforeAutospacing="0" w:after="0" w:afterAutospacing="0" w:line="360" w:lineRule="exact"/>
              <w:jc w:val="center"/>
              <w:rPr>
                <w:kern w:val="2"/>
                <w:sz w:val="21"/>
                <w:szCs w:val="21"/>
                <w:highlight w:val="none"/>
              </w:rPr>
            </w:pPr>
            <w:r>
              <w:rPr>
                <w:rFonts w:hint="eastAsia"/>
                <w:kern w:val="2"/>
                <w:highlight w:val="none"/>
              </w:rPr>
              <w:t>投标文件的修改（补充）和撤回</w:t>
            </w:r>
          </w:p>
        </w:tc>
        <w:tc>
          <w:tcPr>
            <w:tcW w:w="6122" w:type="dxa"/>
            <w:gridSpan w:val="2"/>
            <w:tcBorders>
              <w:tl2br w:val="nil"/>
              <w:tr2bl w:val="nil"/>
            </w:tcBorders>
            <w:vAlign w:val="center"/>
          </w:tcPr>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1.修改（补充）和撤回：</w:t>
            </w:r>
          </w:p>
          <w:p>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1）</w:t>
            </w:r>
            <w:r>
              <w:rPr>
                <w:rFonts w:hint="eastAsia"/>
                <w:kern w:val="2"/>
                <w:sz w:val="22"/>
                <w:szCs w:val="22"/>
                <w:highlight w:val="none"/>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pPr>
              <w:pStyle w:val="17"/>
              <w:shd w:val="clear"/>
              <w:tabs>
                <w:tab w:val="left" w:pos="6930"/>
              </w:tabs>
              <w:spacing w:before="0" w:beforeAutospacing="0" w:after="0" w:afterAutospacing="0" w:line="360" w:lineRule="exact"/>
              <w:rPr>
                <w:b/>
                <w:szCs w:val="21"/>
                <w:highlight w:val="none"/>
              </w:rPr>
            </w:pPr>
            <w:r>
              <w:rPr>
                <w:rFonts w:hint="eastAsia"/>
                <w:kern w:val="2"/>
                <w:sz w:val="22"/>
                <w:szCs w:val="22"/>
                <w:highlight w:val="none"/>
              </w:rPr>
              <w:t>2）</w:t>
            </w:r>
            <w:r>
              <w:rPr>
                <w:rFonts w:hint="eastAsia"/>
                <w:kern w:val="2"/>
                <w:sz w:val="22"/>
                <w:szCs w:val="22"/>
                <w:highlight w:val="none"/>
                <w:lang w:val="zh-CN"/>
              </w:rPr>
              <w:t>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2202" w:type="dxa"/>
            <w:tcBorders>
              <w:tl2br w:val="nil"/>
              <w:tr2bl w:val="nil"/>
            </w:tcBorders>
            <w:vAlign w:val="center"/>
          </w:tcPr>
          <w:p>
            <w:pPr>
              <w:shd w:val="clea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投标文件、流</w:t>
            </w:r>
          </w:p>
          <w:p>
            <w:pPr>
              <w:shd w:val="clea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程文件签章</w:t>
            </w:r>
          </w:p>
        </w:tc>
        <w:tc>
          <w:tcPr>
            <w:tcW w:w="6122" w:type="dxa"/>
            <w:gridSpan w:val="2"/>
            <w:tcBorders>
              <w:tl2br w:val="nil"/>
              <w:tr2bl w:val="nil"/>
            </w:tcBorders>
            <w:vAlign w:val="center"/>
          </w:tcPr>
          <w:p>
            <w:pPr>
              <w:pStyle w:val="17"/>
              <w:shd w:val="clear"/>
              <w:tabs>
                <w:tab w:val="left" w:pos="6930"/>
              </w:tabs>
              <w:spacing w:before="0" w:beforeAutospacing="0" w:after="0" w:afterAutospacing="0" w:line="360" w:lineRule="exact"/>
              <w:rPr>
                <w:kern w:val="2"/>
                <w:sz w:val="22"/>
                <w:szCs w:val="22"/>
                <w:highlight w:val="none"/>
              </w:rPr>
            </w:pPr>
            <w:r>
              <w:rPr>
                <w:rFonts w:hint="eastAsia"/>
                <w:kern w:val="2"/>
                <w:sz w:val="22"/>
                <w:szCs w:val="22"/>
                <w:highlight w:val="none"/>
                <w:lang w:val="zh-CN"/>
              </w:rPr>
              <w:t>电子投标文件必须有电子签章；开标后，相关信息记录确认、澄清说明、回复等内容，电子签章，或者签章后上传相关文件，均认可；政采云系统平台有新的操作流程的，按其规定。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投标报价</w:t>
            </w:r>
          </w:p>
        </w:tc>
        <w:tc>
          <w:tcPr>
            <w:tcW w:w="6122" w:type="dxa"/>
            <w:gridSpan w:val="2"/>
            <w:tcBorders>
              <w:tl2br w:val="nil"/>
              <w:tr2bl w:val="nil"/>
            </w:tcBorders>
            <w:vAlign w:val="center"/>
          </w:tcPr>
          <w:p>
            <w:pPr>
              <w:numPr>
                <w:ilvl w:val="0"/>
                <w:numId w:val="2"/>
              </w:numPr>
              <w:shd w:val="clear"/>
              <w:spacing w:line="360" w:lineRule="exact"/>
              <w:rPr>
                <w:rFonts w:ascii="宋体" w:cs="宋体"/>
                <w:sz w:val="22"/>
                <w:szCs w:val="22"/>
                <w:highlight w:val="none"/>
              </w:rPr>
            </w:pPr>
            <w:r>
              <w:rPr>
                <w:rFonts w:hint="eastAsia" w:ascii="宋体" w:hAnsi="宋体" w:cs="宋体"/>
                <w:sz w:val="22"/>
                <w:szCs w:val="22"/>
                <w:highlight w:val="none"/>
              </w:rPr>
              <w:t>本项目投标应以人民币报价</w:t>
            </w:r>
            <w:r>
              <w:rPr>
                <w:rFonts w:hint="eastAsia" w:ascii="宋体" w:hAnsi="宋体" w:cs="宋体"/>
                <w:sz w:val="22"/>
                <w:szCs w:val="22"/>
                <w:highlight w:val="none"/>
                <w:lang w:eastAsia="zh-CN"/>
              </w:rPr>
              <w:t>，投标报价应是招标文件所确定的招标范围内全部工作内容的价格表现，其应包括规划成果各项内容（要求达到国家有关规范规定及采购人的要求）、前期工作、后续服务等全部费用（含税金、调研报告、方案和成果评审（</w:t>
            </w:r>
            <w:r>
              <w:rPr>
                <w:rFonts w:hint="eastAsia" w:ascii="宋体" w:hAnsi="宋体" w:cs="宋体"/>
                <w:b/>
                <w:bCs/>
                <w:sz w:val="22"/>
                <w:szCs w:val="22"/>
                <w:highlight w:val="none"/>
                <w:lang w:eastAsia="zh-CN"/>
              </w:rPr>
              <w:t>含评审专家费用</w:t>
            </w:r>
            <w:r>
              <w:rPr>
                <w:rFonts w:hint="eastAsia" w:ascii="宋体" w:hAnsi="宋体" w:cs="宋体"/>
                <w:sz w:val="22"/>
                <w:szCs w:val="22"/>
                <w:highlight w:val="none"/>
                <w:lang w:eastAsia="zh-CN"/>
              </w:rPr>
              <w:t>）、审查、汇报的制作、印刷、邮寄、差旅、等所有费用）</w:t>
            </w:r>
            <w:r>
              <w:rPr>
                <w:rFonts w:hint="eastAsia" w:ascii="宋体" w:hAnsi="宋体" w:cs="宋体"/>
                <w:sz w:val="22"/>
                <w:szCs w:val="22"/>
                <w:highlight w:val="none"/>
              </w:rPr>
              <w:t>；</w:t>
            </w:r>
          </w:p>
          <w:p>
            <w:pPr>
              <w:numPr>
                <w:ilvl w:val="0"/>
                <w:numId w:val="2"/>
              </w:numPr>
              <w:shd w:val="clear"/>
              <w:spacing w:line="360" w:lineRule="exact"/>
              <w:rPr>
                <w:rFonts w:ascii="宋体" w:cs="宋体"/>
                <w:sz w:val="24"/>
                <w:szCs w:val="24"/>
                <w:highlight w:val="none"/>
              </w:rPr>
            </w:pPr>
            <w:r>
              <w:rPr>
                <w:rFonts w:hint="eastAsia" w:ascii="宋体" w:hAnsi="宋体" w:cs="宋体"/>
                <w:sz w:val="22"/>
                <w:szCs w:val="22"/>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122" w:type="dxa"/>
            <w:gridSpan w:val="2"/>
            <w:tcBorders>
              <w:tl2br w:val="nil"/>
              <w:tr2bl w:val="nil"/>
            </w:tcBorders>
            <w:vAlign w:val="center"/>
          </w:tcPr>
          <w:p>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组织（详细内容）</w:t>
            </w:r>
          </w:p>
          <w:p>
            <w:pPr>
              <w:shd w:val="clea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122" w:type="dxa"/>
            <w:gridSpan w:val="2"/>
            <w:tcBorders>
              <w:tl2br w:val="nil"/>
              <w:tr2bl w:val="nil"/>
            </w:tcBorders>
            <w:vAlign w:val="center"/>
          </w:tcPr>
          <w:p>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提供，具体详见招标文件，中标人提供的样品将由采购人保管、封存并作为履约验收的参考</w:t>
            </w:r>
          </w:p>
          <w:p>
            <w:pPr>
              <w:shd w:val="clea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10</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演示</w:t>
            </w:r>
          </w:p>
        </w:tc>
        <w:tc>
          <w:tcPr>
            <w:tcW w:w="6122" w:type="dxa"/>
            <w:gridSpan w:val="2"/>
            <w:tcBorders>
              <w:tl2br w:val="nil"/>
              <w:tr2bl w:val="nil"/>
            </w:tcBorders>
            <w:vAlign w:val="center"/>
          </w:tcPr>
          <w:p>
            <w:pPr>
              <w:shd w:val="clear"/>
              <w:spacing w:line="360" w:lineRule="exact"/>
              <w:rPr>
                <w:rFonts w:ascii="宋体" w:cs="宋体"/>
                <w:sz w:val="22"/>
                <w:szCs w:val="22"/>
                <w:highlight w:val="none"/>
              </w:rPr>
            </w:pPr>
            <w:r>
              <w:rPr>
                <w:rFonts w:hint="eastAsia" w:ascii="宋体" w:hAnsi="宋体" w:cs="宋体"/>
                <w:sz w:val="22"/>
                <w:szCs w:val="22"/>
                <w:highlight w:val="none"/>
              </w:rPr>
              <w:t>□要求：</w:t>
            </w:r>
            <w:r>
              <w:rPr>
                <w:rFonts w:hint="eastAsia" w:ascii="宋体" w:hAnsi="宋体" w:cs="宋体"/>
                <w:sz w:val="22"/>
                <w:szCs w:val="22"/>
                <w:highlight w:val="none"/>
                <w:lang w:val="en-US" w:eastAsia="zh-CN"/>
              </w:rPr>
              <w:t>详见采购文件</w:t>
            </w:r>
            <w:r>
              <w:rPr>
                <w:rFonts w:hint="eastAsia" w:ascii="宋体" w:hAnsi="宋体" w:cs="宋体"/>
                <w:sz w:val="22"/>
                <w:szCs w:val="22"/>
                <w:highlight w:val="none"/>
              </w:rPr>
              <w:t>。</w:t>
            </w:r>
          </w:p>
          <w:p>
            <w:pPr>
              <w:shd w:val="clear"/>
              <w:spacing w:line="360" w:lineRule="exact"/>
              <w:rPr>
                <w:rFonts w:ascii="宋体" w:cs="宋体"/>
                <w:sz w:val="24"/>
                <w:szCs w:val="24"/>
                <w:highlight w:val="none"/>
              </w:rPr>
            </w:pPr>
            <w:r>
              <w:rPr>
                <w:rFonts w:hint="eastAsia" w:ascii="宋体" w:hAnsi="宋体" w:cs="宋体"/>
                <w:sz w:val="22"/>
                <w:szCs w:val="22"/>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11</w:t>
            </w:r>
          </w:p>
        </w:tc>
        <w:tc>
          <w:tcPr>
            <w:tcW w:w="2202"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评标办法</w:t>
            </w:r>
          </w:p>
        </w:tc>
        <w:tc>
          <w:tcPr>
            <w:tcW w:w="6122" w:type="dxa"/>
            <w:gridSpan w:val="2"/>
            <w:tcBorders>
              <w:tl2br w:val="nil"/>
              <w:tr2bl w:val="nil"/>
            </w:tcBorders>
            <w:vAlign w:val="center"/>
          </w:tcPr>
          <w:p>
            <w:pPr>
              <w:shd w:val="clear"/>
              <w:spacing w:line="360" w:lineRule="exact"/>
              <w:rPr>
                <w:rFonts w:ascii="宋体" w:hAnsi="宋体" w:cs="宋体"/>
                <w:sz w:val="22"/>
                <w:szCs w:val="22"/>
                <w:highlight w:val="none"/>
              </w:rPr>
            </w:pPr>
            <w:r>
              <w:rPr>
                <w:rFonts w:hint="eastAsia" w:ascii="宋体" w:hAnsi="宋体" w:cs="宋体"/>
                <w:sz w:val="22"/>
                <w:szCs w:val="22"/>
                <w:highlight w:val="none"/>
              </w:rPr>
              <w:t>☑ 综合评分法</w:t>
            </w:r>
          </w:p>
          <w:p>
            <w:pPr>
              <w:shd w:val="clear"/>
              <w:spacing w:line="360" w:lineRule="exact"/>
              <w:rPr>
                <w:rFonts w:ascii="宋体" w:hAnsi="宋体" w:cs="宋体"/>
                <w:sz w:val="22"/>
                <w:szCs w:val="22"/>
                <w:highlight w:val="none"/>
              </w:rPr>
            </w:pPr>
            <w:r>
              <w:rPr>
                <w:rFonts w:hint="eastAsia" w:ascii="宋体" w:hAnsi="宋体" w:cs="宋体"/>
                <w:sz w:val="22"/>
                <w:szCs w:val="22"/>
                <w:highlight w:val="none"/>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12</w:t>
            </w:r>
          </w:p>
        </w:tc>
        <w:tc>
          <w:tcPr>
            <w:tcW w:w="2202"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是否进口</w:t>
            </w:r>
          </w:p>
        </w:tc>
        <w:tc>
          <w:tcPr>
            <w:tcW w:w="6122" w:type="dxa"/>
            <w:gridSpan w:val="2"/>
            <w:tcBorders>
              <w:tl2br w:val="nil"/>
              <w:tr2bl w:val="nil"/>
            </w:tcBorders>
            <w:vAlign w:val="center"/>
          </w:tcPr>
          <w:p>
            <w:pPr>
              <w:shd w:val="clear"/>
              <w:spacing w:line="360" w:lineRule="exact"/>
              <w:rPr>
                <w:rFonts w:ascii="宋体" w:hAnsi="宋体" w:cs="宋体"/>
                <w:sz w:val="22"/>
                <w:szCs w:val="22"/>
                <w:highlight w:val="none"/>
              </w:rPr>
            </w:pPr>
            <w:r>
              <w:rPr>
                <w:rFonts w:hint="eastAsia" w:ascii="宋体" w:hAnsi="宋体" w:cs="宋体"/>
                <w:sz w:val="22"/>
                <w:szCs w:val="22"/>
                <w:highlight w:val="none"/>
              </w:rPr>
              <w:t>□ 允许进口</w:t>
            </w:r>
          </w:p>
          <w:p>
            <w:pPr>
              <w:shd w:val="clear"/>
              <w:spacing w:line="360" w:lineRule="exact"/>
              <w:rPr>
                <w:rFonts w:ascii="宋体" w:hAnsi="宋体" w:cs="宋体"/>
                <w:sz w:val="22"/>
                <w:szCs w:val="22"/>
                <w:highlight w:val="none"/>
              </w:rPr>
            </w:pPr>
            <w:r>
              <w:rPr>
                <w:rFonts w:hint="eastAsia" w:ascii="宋体" w:hAnsi="宋体" w:cs="宋体"/>
                <w:sz w:val="22"/>
                <w:szCs w:val="22"/>
                <w:highlight w:val="none"/>
              </w:rPr>
              <w:t>☑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13</w:t>
            </w:r>
          </w:p>
        </w:tc>
        <w:tc>
          <w:tcPr>
            <w:tcW w:w="2202"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节能产品</w:t>
            </w:r>
          </w:p>
        </w:tc>
        <w:tc>
          <w:tcPr>
            <w:tcW w:w="1663" w:type="dxa"/>
            <w:tcBorders>
              <w:right w:val="single" w:color="000000" w:sz="4" w:space="0"/>
              <w:tl2br w:val="nil"/>
              <w:tr2bl w:val="nil"/>
            </w:tcBorders>
            <w:vAlign w:val="center"/>
          </w:tcPr>
          <w:p>
            <w:pPr>
              <w:shd w:val="clear"/>
              <w:spacing w:line="360" w:lineRule="exact"/>
              <w:rPr>
                <w:rFonts w:ascii="宋体" w:hAnsi="宋体" w:cs="宋体"/>
                <w:sz w:val="22"/>
                <w:szCs w:val="22"/>
                <w:highlight w:val="none"/>
              </w:rPr>
            </w:pPr>
            <w:r>
              <w:rPr>
                <w:rFonts w:hint="eastAsia" w:ascii="宋体" w:hAnsi="宋体" w:cs="宋体"/>
                <w:sz w:val="22"/>
                <w:szCs w:val="22"/>
                <w:highlight w:val="none"/>
              </w:rPr>
              <w:t>□ 强制采购节能产品</w:t>
            </w:r>
          </w:p>
          <w:p>
            <w:pPr>
              <w:shd w:val="clear"/>
              <w:spacing w:line="360" w:lineRule="exact"/>
              <w:rPr>
                <w:rFonts w:ascii="宋体" w:hAnsi="宋体" w:cs="宋体"/>
                <w:sz w:val="22"/>
                <w:szCs w:val="22"/>
                <w:highlight w:val="none"/>
              </w:rPr>
            </w:pPr>
            <w:r>
              <w:rPr>
                <w:rFonts w:hint="eastAsia" w:ascii="宋体" w:hAnsi="宋体" w:cs="宋体"/>
                <w:sz w:val="22"/>
                <w:szCs w:val="22"/>
                <w:highlight w:val="none"/>
              </w:rPr>
              <w:t>□ 优先采购节能产品</w:t>
            </w:r>
          </w:p>
          <w:p>
            <w:pPr>
              <w:shd w:val="clear"/>
              <w:spacing w:line="360" w:lineRule="exact"/>
              <w:rPr>
                <w:rFonts w:ascii="宋体" w:hAnsi="宋体" w:cs="宋体"/>
                <w:sz w:val="22"/>
                <w:szCs w:val="22"/>
                <w:highlight w:val="none"/>
              </w:rPr>
            </w:pPr>
            <w:r>
              <w:rPr>
                <w:rFonts w:hint="eastAsia" w:ascii="宋体" w:hAnsi="宋体" w:cs="宋体"/>
                <w:sz w:val="22"/>
                <w:szCs w:val="22"/>
                <w:highlight w:val="none"/>
              </w:rPr>
              <w:t>☑ 不适用</w:t>
            </w:r>
          </w:p>
        </w:tc>
        <w:tc>
          <w:tcPr>
            <w:tcW w:w="4459" w:type="dxa"/>
            <w:vMerge w:val="restart"/>
            <w:tcBorders>
              <w:left w:val="single" w:color="000000" w:sz="4" w:space="0"/>
              <w:tl2br w:val="nil"/>
              <w:tr2bl w:val="nil"/>
            </w:tcBorders>
            <w:vAlign w:val="center"/>
          </w:tcPr>
          <w:p>
            <w:pPr>
              <w:shd w:val="clear"/>
              <w:spacing w:line="360" w:lineRule="exact"/>
              <w:rPr>
                <w:rFonts w:ascii="宋体" w:hAnsi="宋体" w:cs="宋体"/>
                <w:sz w:val="22"/>
                <w:szCs w:val="22"/>
                <w:highlight w:val="none"/>
              </w:rPr>
            </w:pPr>
            <w:r>
              <w:rPr>
                <w:rFonts w:hint="eastAsia" w:ascii="宋体" w:hAnsi="宋体" w:cs="宋体"/>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14</w:t>
            </w:r>
          </w:p>
        </w:tc>
        <w:tc>
          <w:tcPr>
            <w:tcW w:w="2202"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环境标志产品</w:t>
            </w:r>
          </w:p>
        </w:tc>
        <w:tc>
          <w:tcPr>
            <w:tcW w:w="1663" w:type="dxa"/>
            <w:tcBorders>
              <w:right w:val="single" w:color="000000" w:sz="4" w:space="0"/>
              <w:tl2br w:val="nil"/>
              <w:tr2bl w:val="nil"/>
            </w:tcBorders>
            <w:vAlign w:val="center"/>
          </w:tcPr>
          <w:p>
            <w:pPr>
              <w:shd w:val="clear"/>
              <w:spacing w:line="360" w:lineRule="exact"/>
              <w:rPr>
                <w:rFonts w:ascii="宋体" w:hAnsi="宋体" w:cs="宋体"/>
                <w:sz w:val="22"/>
                <w:szCs w:val="22"/>
                <w:highlight w:val="none"/>
              </w:rPr>
            </w:pPr>
            <w:r>
              <w:rPr>
                <w:rFonts w:hint="eastAsia" w:ascii="宋体" w:hAnsi="宋体" w:cs="宋体"/>
                <w:sz w:val="22"/>
                <w:szCs w:val="22"/>
                <w:highlight w:val="none"/>
              </w:rPr>
              <w:t>□ 优先采购环境标志产品</w:t>
            </w:r>
          </w:p>
          <w:p>
            <w:pPr>
              <w:shd w:val="clear"/>
              <w:spacing w:line="360" w:lineRule="exact"/>
              <w:rPr>
                <w:rFonts w:ascii="宋体" w:hAnsi="宋体" w:cs="宋体"/>
                <w:sz w:val="22"/>
                <w:szCs w:val="22"/>
                <w:highlight w:val="none"/>
              </w:rPr>
            </w:pPr>
            <w:r>
              <w:rPr>
                <w:rFonts w:hint="eastAsia" w:ascii="宋体" w:hAnsi="宋体" w:cs="宋体"/>
                <w:sz w:val="22"/>
                <w:szCs w:val="22"/>
                <w:highlight w:val="none"/>
              </w:rPr>
              <w:t>☑ 不适用</w:t>
            </w:r>
          </w:p>
        </w:tc>
        <w:tc>
          <w:tcPr>
            <w:tcW w:w="4459" w:type="dxa"/>
            <w:vMerge w:val="continue"/>
            <w:tcBorders>
              <w:left w:val="single" w:color="000000" w:sz="4" w:space="0"/>
              <w:tl2br w:val="nil"/>
              <w:tr2bl w:val="nil"/>
            </w:tcBorders>
            <w:vAlign w:val="center"/>
          </w:tcPr>
          <w:p>
            <w:pPr>
              <w:shd w:val="clear"/>
              <w:spacing w:line="360" w:lineRule="exact"/>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5</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促进</w:t>
            </w:r>
            <w:r>
              <w:rPr>
                <w:rFonts w:hint="eastAsia" w:ascii="宋体" w:hAnsi="宋体" w:cs="宋体"/>
                <w:sz w:val="24"/>
                <w:szCs w:val="24"/>
                <w:highlight w:val="none"/>
                <w:lang w:eastAsia="zh-CN"/>
              </w:rPr>
              <w:t>中小</w:t>
            </w:r>
            <w:r>
              <w:rPr>
                <w:rFonts w:hint="eastAsia" w:ascii="宋体" w:hAnsi="宋体" w:cs="宋体"/>
                <w:sz w:val="24"/>
                <w:szCs w:val="24"/>
                <w:highlight w:val="none"/>
              </w:rPr>
              <w:t>企业发展</w:t>
            </w:r>
          </w:p>
        </w:tc>
        <w:tc>
          <w:tcPr>
            <w:tcW w:w="6122" w:type="dxa"/>
            <w:gridSpan w:val="2"/>
            <w:tcBorders>
              <w:tl2br w:val="nil"/>
              <w:tr2bl w:val="nil"/>
            </w:tcBorders>
            <w:vAlign w:val="center"/>
          </w:tcPr>
          <w:p>
            <w:pPr>
              <w:shd w:val="clear"/>
              <w:spacing w:line="360" w:lineRule="exact"/>
              <w:rPr>
                <w:rFonts w:ascii="宋体" w:cs="宋体"/>
                <w:sz w:val="22"/>
                <w:szCs w:val="22"/>
                <w:highlight w:val="none"/>
              </w:rPr>
            </w:pPr>
            <w:r>
              <w:rPr>
                <w:rFonts w:hint="eastAsia" w:ascii="宋体" w:hAnsi="宋体" w:cs="宋体"/>
                <w:sz w:val="22"/>
                <w:szCs w:val="22"/>
                <w:highlight w:val="none"/>
              </w:rPr>
              <w:t>本项目执行促进中小企业发展政策，监狱企业、残疾人福利性单位视同小型、微型企业。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6</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122" w:type="dxa"/>
            <w:gridSpan w:val="2"/>
            <w:tcBorders>
              <w:tl2br w:val="nil"/>
              <w:tr2bl w:val="nil"/>
            </w:tcBorders>
            <w:vAlign w:val="center"/>
          </w:tcPr>
          <w:p>
            <w:pPr>
              <w:shd w:val="clear"/>
              <w:rPr>
                <w:rFonts w:ascii="宋体" w:hAnsi="宋体" w:cs="宋体"/>
                <w:sz w:val="22"/>
                <w:szCs w:val="22"/>
                <w:highlight w:val="none"/>
              </w:rPr>
            </w:pPr>
            <w:r>
              <w:rPr>
                <w:rFonts w:hint="eastAsia" w:ascii="宋体" w:hAnsi="宋体" w:cs="宋体"/>
                <w:sz w:val="22"/>
                <w:szCs w:val="22"/>
                <w:highlight w:val="none"/>
              </w:rPr>
              <w:t>采购人与中标人应当在《中标通知书》发出之日起30日内签订政府采购合同。同时，采购代理机构对合同内容进行审查，如发现与采购结果和投标承诺内容不一致的，应予以纠正。中标人拖延、拒签合同的</w:t>
            </w:r>
            <w:r>
              <w:rPr>
                <w:rFonts w:hint="eastAsia" w:ascii="宋体" w:hAnsi="宋体" w:cs="宋体"/>
                <w:sz w:val="22"/>
                <w:szCs w:val="22"/>
                <w:highlight w:val="none"/>
                <w:lang w:eastAsia="zh-CN"/>
              </w:rPr>
              <w:t>，</w:t>
            </w:r>
            <w:r>
              <w:rPr>
                <w:rFonts w:hint="eastAsia" w:ascii="宋体" w:hAnsi="宋体" w:cs="宋体"/>
                <w:sz w:val="22"/>
                <w:szCs w:val="22"/>
                <w:highlight w:val="none"/>
              </w:rPr>
              <w:t>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7</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供应商注册事项</w:t>
            </w:r>
          </w:p>
        </w:tc>
        <w:tc>
          <w:tcPr>
            <w:tcW w:w="6122" w:type="dxa"/>
            <w:gridSpan w:val="2"/>
            <w:tcBorders>
              <w:tl2br w:val="nil"/>
              <w:tr2bl w:val="nil"/>
            </w:tcBorders>
            <w:vAlign w:val="center"/>
          </w:tcPr>
          <w:p>
            <w:pPr>
              <w:pStyle w:val="13"/>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8</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履约保证金</w:t>
            </w:r>
          </w:p>
        </w:tc>
        <w:tc>
          <w:tcPr>
            <w:tcW w:w="6122" w:type="dxa"/>
            <w:gridSpan w:val="2"/>
            <w:tcBorders>
              <w:tl2br w:val="nil"/>
              <w:tr2bl w:val="nil"/>
            </w:tcBorders>
            <w:vAlign w:val="center"/>
          </w:tcPr>
          <w:p>
            <w:pPr>
              <w:pStyle w:val="13"/>
              <w:shd w:val="clear"/>
              <w:spacing w:line="240" w:lineRule="auto"/>
              <w:ind w:left="0" w:leftChars="0"/>
              <w:rPr>
                <w:rFonts w:ascii="宋体" w:hAnsi="宋体" w:eastAsia="宋体" w:cs="宋体"/>
                <w:sz w:val="22"/>
                <w:szCs w:val="22"/>
                <w:highlight w:val="none"/>
              </w:rPr>
            </w:pPr>
            <w:r>
              <w:rPr>
                <w:rFonts w:hint="eastAsia" w:ascii="宋体" w:hAnsi="宋体" w:eastAsia="宋体" w:cs="宋体"/>
                <w:sz w:val="22"/>
                <w:szCs w:val="22"/>
                <w:highlight w:val="none"/>
              </w:rPr>
              <w:t>1.金额：</w:t>
            </w:r>
            <w:r>
              <w:rPr>
                <w:rFonts w:hint="eastAsia" w:ascii="宋体" w:hAnsi="宋体" w:eastAsia="宋体" w:cs="宋体"/>
                <w:sz w:val="22"/>
                <w:szCs w:val="22"/>
                <w:highlight w:val="none"/>
                <w:lang w:eastAsia="zh-CN"/>
              </w:rPr>
              <w:t>壹万捌仟元</w:t>
            </w:r>
            <w:r>
              <w:rPr>
                <w:rFonts w:hint="eastAsia" w:ascii="宋体" w:hAnsi="宋体" w:eastAsia="宋体" w:cs="宋体"/>
                <w:sz w:val="22"/>
                <w:szCs w:val="22"/>
                <w:highlight w:val="none"/>
              </w:rPr>
              <w:t>；</w:t>
            </w:r>
          </w:p>
          <w:p>
            <w:pPr>
              <w:pStyle w:val="13"/>
              <w:shd w:val="clear"/>
              <w:spacing w:line="240" w:lineRule="auto"/>
              <w:ind w:left="0" w:leftChars="0"/>
              <w:rPr>
                <w:rFonts w:ascii="宋体" w:hAnsi="宋体" w:eastAsia="宋体" w:cs="宋体"/>
                <w:sz w:val="22"/>
                <w:szCs w:val="22"/>
                <w:highlight w:val="none"/>
              </w:rPr>
            </w:pPr>
            <w:r>
              <w:rPr>
                <w:rFonts w:hint="eastAsia" w:ascii="宋体" w:hAnsi="宋体" w:eastAsia="宋体" w:cs="宋体"/>
                <w:sz w:val="22"/>
                <w:szCs w:val="22"/>
                <w:highlight w:val="none"/>
              </w:rPr>
              <w:t>2.收取方式：</w:t>
            </w:r>
            <w:r>
              <w:rPr>
                <w:rFonts w:hint="eastAsia" w:ascii="宋体" w:hAnsi="宋体" w:eastAsia="宋体" w:cs="宋体"/>
                <w:sz w:val="22"/>
                <w:szCs w:val="22"/>
                <w:highlight w:val="none"/>
                <w:lang w:eastAsia="zh-CN"/>
              </w:rPr>
              <w:t>银行保函、保险公司保单形式；</w:t>
            </w:r>
          </w:p>
          <w:p>
            <w:pPr>
              <w:pStyle w:val="13"/>
              <w:shd w:val="clear"/>
              <w:spacing w:line="240" w:lineRule="auto"/>
              <w:ind w:left="0" w:left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w:t>
            </w:r>
            <w:r>
              <w:rPr>
                <w:rFonts w:hint="eastAsia" w:ascii="宋体" w:hAnsi="宋体" w:eastAsia="宋体" w:cs="宋体"/>
                <w:sz w:val="22"/>
                <w:szCs w:val="22"/>
                <w:highlight w:val="none"/>
                <w:lang w:eastAsia="zh-CN"/>
              </w:rPr>
              <w:t>退还（或解除）方式：</w:t>
            </w:r>
            <w:r>
              <w:rPr>
                <w:rFonts w:hint="eastAsia" w:ascii="宋体" w:hAnsi="宋体" w:eastAsia="宋体" w:cs="宋体"/>
                <w:sz w:val="22"/>
                <w:szCs w:val="22"/>
                <w:highlight w:val="none"/>
              </w:rPr>
              <w:t>在合同履行到期且无异议情况下</w:t>
            </w: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日内自动解除</w:t>
            </w:r>
            <w:r>
              <w:rPr>
                <w:rFonts w:hint="eastAsia" w:ascii="宋体" w:hAnsi="宋体" w:eastAsia="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9</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122" w:type="dxa"/>
            <w:gridSpan w:val="2"/>
            <w:tcBorders>
              <w:tl2br w:val="nil"/>
              <w:tr2bl w:val="nil"/>
            </w:tcBorders>
            <w:vAlign w:val="center"/>
          </w:tcPr>
          <w:p>
            <w:pPr>
              <w:shd w:val="clear"/>
              <w:rPr>
                <w:rFonts w:hint="eastAsia" w:ascii="宋体" w:hAnsi="宋体" w:cs="宋体"/>
                <w:sz w:val="22"/>
                <w:szCs w:val="22"/>
                <w:highlight w:val="none"/>
              </w:rPr>
            </w:pPr>
            <w:r>
              <w:rPr>
                <w:rFonts w:hint="eastAsia" w:ascii="宋体" w:hAnsi="宋体" w:cs="宋体"/>
                <w:sz w:val="22"/>
                <w:szCs w:val="22"/>
                <w:highlight w:val="none"/>
              </w:rPr>
              <w:t>1.金额：本项目采购代理服务费</w:t>
            </w:r>
            <w:r>
              <w:rPr>
                <w:rFonts w:hint="eastAsia" w:ascii="宋体" w:hAnsi="宋体" w:cs="宋体"/>
                <w:sz w:val="22"/>
                <w:szCs w:val="22"/>
                <w:highlight w:val="none"/>
                <w:lang w:eastAsia="zh-CN"/>
              </w:rPr>
              <w:t>参照发改价格</w:t>
            </w:r>
            <w:r>
              <w:rPr>
                <w:rFonts w:hint="eastAsia" w:ascii="宋体" w:hAnsi="宋体" w:cs="宋体"/>
                <w:sz w:val="22"/>
                <w:szCs w:val="22"/>
                <w:highlight w:val="none"/>
              </w:rPr>
              <w:t>〔2011〕534号文的收费标准服务类的80%计取（因项目没有合同总额，计算代理费时按预算价计取），不足捌仟元按捌仟元收取；</w:t>
            </w:r>
          </w:p>
          <w:p>
            <w:pPr>
              <w:shd w:val="clear"/>
              <w:rPr>
                <w:rFonts w:ascii="宋体" w:hAnsi="宋体" w:cs="宋体"/>
                <w:sz w:val="22"/>
                <w:szCs w:val="22"/>
                <w:highlight w:val="none"/>
              </w:rPr>
            </w:pPr>
            <w:r>
              <w:rPr>
                <w:rFonts w:hint="eastAsia" w:ascii="宋体" w:hAnsi="宋体" w:cs="宋体"/>
                <w:sz w:val="22"/>
                <w:szCs w:val="22"/>
                <w:highlight w:val="none"/>
              </w:rPr>
              <w:t>2.收取方式：由代理机构向中标单位收取，中标单位在收到中标通知书后 5 个工作日内支付至招标代理机构处。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20</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现场组织实施</w:t>
            </w:r>
          </w:p>
        </w:tc>
        <w:tc>
          <w:tcPr>
            <w:tcW w:w="6122" w:type="dxa"/>
            <w:gridSpan w:val="2"/>
            <w:tcBorders>
              <w:tl2br w:val="nil"/>
              <w:tr2bl w:val="nil"/>
            </w:tcBorders>
            <w:vAlign w:val="center"/>
          </w:tcPr>
          <w:p>
            <w:pPr>
              <w:pStyle w:val="13"/>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1</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解释权</w:t>
            </w:r>
          </w:p>
        </w:tc>
        <w:tc>
          <w:tcPr>
            <w:tcW w:w="6122" w:type="dxa"/>
            <w:gridSpan w:val="2"/>
            <w:tcBorders>
              <w:tl2br w:val="nil"/>
              <w:tr2bl w:val="nil"/>
            </w:tcBorders>
            <w:vAlign w:val="center"/>
          </w:tcPr>
          <w:p>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2</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其他说明</w:t>
            </w:r>
          </w:p>
        </w:tc>
        <w:tc>
          <w:tcPr>
            <w:tcW w:w="6122" w:type="dxa"/>
            <w:gridSpan w:val="2"/>
            <w:tcBorders>
              <w:tl2br w:val="nil"/>
              <w:tr2bl w:val="nil"/>
            </w:tcBorders>
            <w:vAlign w:val="center"/>
          </w:tcPr>
          <w:p>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3</w:t>
            </w:r>
          </w:p>
        </w:tc>
        <w:tc>
          <w:tcPr>
            <w:tcW w:w="2202" w:type="dxa"/>
            <w:tcBorders>
              <w:tl2br w:val="nil"/>
              <w:tr2bl w:val="nil"/>
            </w:tcBorders>
            <w:vAlign w:val="center"/>
          </w:tcPr>
          <w:p>
            <w:pPr>
              <w:shd w:val="clear"/>
              <w:spacing w:line="360" w:lineRule="exact"/>
              <w:jc w:val="center"/>
              <w:rPr>
                <w:rFonts w:ascii="宋体" w:cs="宋体"/>
                <w:sz w:val="24"/>
                <w:szCs w:val="24"/>
                <w:highlight w:val="none"/>
              </w:rPr>
            </w:pPr>
            <w:r>
              <w:rPr>
                <w:rFonts w:hint="eastAsia" w:ascii="宋体" w:hAnsi="宋体" w:cs="宋体"/>
                <w:sz w:val="24"/>
                <w:szCs w:val="24"/>
                <w:highlight w:val="none"/>
              </w:rPr>
              <w:t>注意事项</w:t>
            </w:r>
          </w:p>
        </w:tc>
        <w:tc>
          <w:tcPr>
            <w:tcW w:w="6122" w:type="dxa"/>
            <w:gridSpan w:val="2"/>
            <w:tcBorders>
              <w:tl2br w:val="nil"/>
              <w:tr2bl w:val="nil"/>
            </w:tcBorders>
            <w:vAlign w:val="center"/>
          </w:tcPr>
          <w:p>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应严格遵循实事求是、诚信投标的原则</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如有偏离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应如实填写响应偏离。</w:t>
            </w:r>
          </w:p>
          <w:p>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请投标人在获取招标文件后</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在采购文件的质疑有效期内及时书面提出。</w:t>
            </w:r>
          </w:p>
          <w:p>
            <w:pPr>
              <w:pStyle w:val="13"/>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采购结果公告期间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投标人不得通过非正当途径获取法律法规规定评标委员会</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包括其他相关人员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应当保密的相关内容。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pPr>
              <w:shd w:val="clea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2202" w:type="dxa"/>
            <w:tcBorders>
              <w:tl2br w:val="nil"/>
              <w:tr2bl w:val="nil"/>
            </w:tcBorders>
            <w:vAlign w:val="center"/>
          </w:tcPr>
          <w:p>
            <w:pPr>
              <w:shd w:val="clear"/>
              <w:spacing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项目类型</w:t>
            </w:r>
          </w:p>
        </w:tc>
        <w:tc>
          <w:tcPr>
            <w:tcW w:w="6122" w:type="dxa"/>
            <w:gridSpan w:val="2"/>
            <w:tcBorders>
              <w:tl2br w:val="nil"/>
              <w:tr2bl w:val="nil"/>
            </w:tcBorders>
            <w:vAlign w:val="center"/>
          </w:tcPr>
          <w:p>
            <w:pPr>
              <w:pStyle w:val="13"/>
              <w:shd w:val="clear"/>
              <w:spacing w:line="360" w:lineRule="exact"/>
              <w:ind w:left="0" w:leftChars="0"/>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pPr>
              <w:shd w:val="clea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w:t>
            </w:r>
          </w:p>
        </w:tc>
        <w:tc>
          <w:tcPr>
            <w:tcW w:w="2202" w:type="dxa"/>
            <w:tcBorders>
              <w:tl2br w:val="nil"/>
              <w:tr2bl w:val="nil"/>
            </w:tcBorders>
            <w:vAlign w:val="center"/>
          </w:tcPr>
          <w:p>
            <w:pPr>
              <w:shd w:val="clear"/>
              <w:spacing w:line="36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本项目标的所属</w:t>
            </w:r>
          </w:p>
          <w:p>
            <w:pPr>
              <w:shd w:val="clear"/>
              <w:spacing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行业</w:t>
            </w:r>
          </w:p>
        </w:tc>
        <w:tc>
          <w:tcPr>
            <w:tcW w:w="6122" w:type="dxa"/>
            <w:gridSpan w:val="2"/>
            <w:tcBorders>
              <w:tl2br w:val="nil"/>
              <w:tr2bl w:val="nil"/>
            </w:tcBorders>
            <w:vAlign w:val="center"/>
          </w:tcPr>
          <w:p>
            <w:pPr>
              <w:shd w:val="clear"/>
              <w:spacing w:line="360" w:lineRule="exact"/>
              <w:ind w:left="0" w:leftChars="0"/>
              <w:jc w:val="left"/>
              <w:rPr>
                <w:rFonts w:hint="eastAsia" w:ascii="宋体" w:hAnsi="宋体" w:eastAsia="宋体" w:cs="宋体"/>
                <w:sz w:val="22"/>
                <w:szCs w:val="22"/>
                <w:highlight w:val="none"/>
                <w:u w:val="none"/>
                <w:lang w:eastAsia="zh-CN"/>
              </w:rPr>
            </w:pPr>
            <w:r>
              <w:rPr>
                <w:rFonts w:hint="eastAsia" w:ascii="宋体" w:hAnsi="宋体" w:eastAsia="宋体" w:cs="宋体"/>
                <w:kern w:val="2"/>
                <w:sz w:val="22"/>
                <w:szCs w:val="22"/>
                <w:highlight w:val="none"/>
                <w:lang w:val="en-US" w:eastAsia="zh-CN" w:bidi="ar-SA"/>
              </w:rPr>
              <w:t>其他未列明行业（科学研究和技术服务业）</w:t>
            </w:r>
          </w:p>
        </w:tc>
      </w:tr>
    </w:tbl>
    <w:p>
      <w:pPr>
        <w:pStyle w:val="12"/>
        <w:shd w:val="clear"/>
        <w:snapToGrid w:val="0"/>
        <w:spacing w:line="440" w:lineRule="exact"/>
        <w:jc w:val="center"/>
        <w:rPr>
          <w:rFonts w:hAnsi="宋体" w:cs="Times New Roman"/>
          <w:b/>
          <w:bCs/>
          <w:sz w:val="28"/>
          <w:szCs w:val="28"/>
          <w:highlight w:val="none"/>
        </w:rPr>
      </w:pPr>
      <w:r>
        <w:rPr>
          <w:rFonts w:hint="eastAsia" w:hAnsi="宋体"/>
          <w:b/>
          <w:bCs/>
          <w:sz w:val="28"/>
          <w:szCs w:val="28"/>
          <w:highlight w:val="none"/>
        </w:rPr>
        <w:br w:type="page"/>
      </w:r>
      <w:r>
        <w:rPr>
          <w:rFonts w:hint="eastAsia" w:hAnsi="宋体"/>
          <w:b/>
          <w:bCs/>
          <w:sz w:val="28"/>
          <w:szCs w:val="28"/>
          <w:highlight w:val="none"/>
        </w:rPr>
        <w:t>一、总则</w:t>
      </w:r>
    </w:p>
    <w:p>
      <w:pPr>
        <w:shd w:val="clea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pPr>
        <w:shd w:val="clea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pPr>
        <w:shd w:val="clea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、采购代理机构：是指组织本次招标的机构，即建经投资咨询有限公司。</w:t>
      </w:r>
    </w:p>
    <w:p>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、采购人：是指</w:t>
      </w:r>
      <w:r>
        <w:rPr>
          <w:rFonts w:hint="eastAsia" w:ascii="宋体" w:hAnsi="宋体" w:cs="宋体"/>
          <w:sz w:val="24"/>
          <w:szCs w:val="24"/>
          <w:highlight w:val="none"/>
          <w:lang w:eastAsia="zh-CN"/>
        </w:rPr>
        <w:t>温岭市自然资源和规划局</w:t>
      </w:r>
      <w:r>
        <w:rPr>
          <w:rFonts w:hint="eastAsia" w:ascii="宋体" w:hAnsi="宋体" w:cs="宋体"/>
          <w:sz w:val="24"/>
          <w:szCs w:val="24"/>
          <w:highlight w:val="none"/>
        </w:rPr>
        <w:t>。</w:t>
      </w:r>
    </w:p>
    <w:p>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、投标人：是指参加本政府采购项目投标的供应商。</w:t>
      </w:r>
    </w:p>
    <w:p>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、服务：是指除货物和工程以外的其他政府采购对象，包括各类专业服务、信息网络开发服务、金融保险服务、运输服务，以及维修与维护服务等。</w:t>
      </w:r>
    </w:p>
    <w:p>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pPr>
        <w:shd w:val="clea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pPr>
        <w:shd w:val="clear"/>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1、不论投标结果如何，投标人均应自行承担所有与投标有关的全部费用（招标文件有相关规定除外）。</w:t>
      </w:r>
    </w:p>
    <w:p>
      <w:pPr>
        <w:shd w:val="clear"/>
        <w:snapToGrid w:val="0"/>
        <w:spacing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2、招标代理服务费</w:t>
      </w:r>
      <w:r>
        <w:rPr>
          <w:rFonts w:hint="eastAsia" w:ascii="宋体" w:hAnsi="宋体" w:cs="宋体"/>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val="0"/>
        <w:spacing w:line="440" w:lineRule="exact"/>
        <w:ind w:firstLine="482" w:firstLineChars="200"/>
        <w:jc w:val="left"/>
        <w:textAlignment w:val="auto"/>
        <w:rPr>
          <w:rFonts w:hint="eastAsia" w:hAnsi="宋体" w:cs="仿宋_GB2312"/>
          <w:b/>
          <w:bCs/>
          <w:color w:val="auto"/>
          <w:sz w:val="24"/>
          <w:highlight w:val="none"/>
          <w:u w:val="single"/>
        </w:rPr>
      </w:pPr>
      <w:r>
        <w:rPr>
          <w:rFonts w:hint="eastAsia" w:hAnsi="宋体" w:cs="仿宋_GB2312"/>
          <w:b/>
          <w:bCs/>
          <w:color w:val="auto"/>
          <w:sz w:val="24"/>
          <w:highlight w:val="none"/>
          <w:u w:val="single"/>
        </w:rPr>
        <w:t>本项目采购代理服务费</w:t>
      </w:r>
      <w:r>
        <w:rPr>
          <w:rFonts w:hint="eastAsia" w:hAnsi="宋体" w:cs="仿宋_GB2312"/>
          <w:b/>
          <w:bCs/>
          <w:color w:val="auto"/>
          <w:sz w:val="24"/>
          <w:highlight w:val="none"/>
          <w:u w:val="single"/>
          <w:lang w:eastAsia="zh-CN"/>
        </w:rPr>
        <w:t>参照发改价格</w:t>
      </w:r>
      <w:r>
        <w:rPr>
          <w:rFonts w:hint="eastAsia" w:hAnsi="宋体" w:cs="仿宋_GB2312"/>
          <w:b/>
          <w:bCs/>
          <w:color w:val="auto"/>
          <w:sz w:val="24"/>
          <w:highlight w:val="none"/>
          <w:u w:val="single"/>
        </w:rPr>
        <w:t>〔2011〕534号文的收费标准服务类的80%计取（因项目没有合同总额，计算代理费时按预算价计取），不足捌仟元按捌仟元收取。</w:t>
      </w:r>
    </w:p>
    <w:p>
      <w:pPr>
        <w:shd w:val="clear"/>
        <w:jc w:val="center"/>
        <w:rPr>
          <w:rFonts w:hint="eastAsia" w:hAnsi="宋体" w:cs="仿宋_GB2312"/>
          <w:b/>
          <w:bCs/>
          <w:color w:val="auto"/>
          <w:sz w:val="24"/>
          <w:highlight w:val="none"/>
        </w:rPr>
      </w:pPr>
      <w:r>
        <w:rPr>
          <w:b/>
          <w:color w:val="auto"/>
          <w:sz w:val="22"/>
          <w:szCs w:val="22"/>
          <w:highlight w:val="none"/>
        </w:rPr>
        <mc:AlternateContent>
          <mc:Choice Requires="wps">
            <w:drawing>
              <wp:anchor distT="0" distB="0" distL="114300" distR="114300" simplePos="0" relativeHeight="251663360" behindDoc="0" locked="0" layoutInCell="0" allowOverlap="1">
                <wp:simplePos x="0" y="0"/>
                <wp:positionH relativeFrom="column">
                  <wp:posOffset>687070</wp:posOffset>
                </wp:positionH>
                <wp:positionV relativeFrom="paragraph">
                  <wp:posOffset>191770</wp:posOffset>
                </wp:positionV>
                <wp:extent cx="904875" cy="821690"/>
                <wp:effectExtent l="3175" t="3810" r="6350" b="12700"/>
                <wp:wrapNone/>
                <wp:docPr id="20" name="直接连接符 20"/>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4.1pt;margin-top:15.1pt;height:64.7pt;width:71.25pt;z-index:251663360;mso-width-relative:page;mso-height-relative:page;" filled="f" stroked="t"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&#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7dce9UAAAAKAQAADwAAAAAAAAABACAAAAAiAAAA&#10;ZHJzL2Rvd25yZXYueG1sUEsBAhQAFAAAAAgAh07iQFdMEScKAgAADAQAAA4AAAAAAAAAAQAgAAAA&#10;JAEAAGRycy9lMm9Eb2MueG1sUEsFBgAAAAAGAAYAWQEAAKAFAAAAAA==&#10;">
                <v:fill on="f" focussize="0,0"/>
                <v:stroke color="#000000" joinstyle="round"/>
                <v:imagedata o:title=""/>
                <o:lock v:ext="edit" aspectratio="f"/>
              </v:line>
            </w:pict>
          </mc:Fallback>
        </mc:AlternateContent>
      </w:r>
      <w:r>
        <w:rPr>
          <w:rFonts w:hint="eastAsia" w:hAnsi="宋体" w:cs="仿宋_GB2312"/>
          <w:b/>
          <w:bCs/>
          <w:color w:val="auto"/>
          <w:sz w:val="24"/>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noWrap w:val="0"/>
            <w:vAlign w:val="top"/>
          </w:tcPr>
          <w:p>
            <w:pPr>
              <w:shd w:val="clear"/>
              <w:ind w:firstLine="1546" w:firstLineChars="700"/>
              <w:rPr>
                <w:rFonts w:hint="eastAsia"/>
                <w:b/>
                <w:color w:val="auto"/>
                <w:sz w:val="22"/>
                <w:szCs w:val="22"/>
                <w:highlight w:val="none"/>
              </w:rPr>
            </w:pPr>
            <w:r>
              <w:rPr>
                <w:b/>
                <w:color w:val="auto"/>
                <w:sz w:val="22"/>
                <w:szCs w:val="22"/>
                <w:highlight w:val="none"/>
              </w:rPr>
              <mc:AlternateContent>
                <mc:Choice Requires="wps">
                  <w:drawing>
                    <wp:anchor distT="0" distB="0" distL="114300" distR="114300" simplePos="0" relativeHeight="251662336"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21" name="直接连接符 21"/>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6.65pt;margin-top:5.2pt;height:57.45pt;width:129.75pt;z-index:251662336;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n2rT1QAAAAoBAAAPAAAAAAAAAAEAIAAAACIA&#10;AABkcnMvZG93bnJldi54bWxQSwECFAAUAAAACACHTuJAPwbwVQwCAAANBAAADgAAAAAAAAABACAA&#10;AAAkAQAAZHJzL2Uyb0RvYy54bWxQSwUGAAAAAAYABgBZAQAAogUAAAAA&#10;">
                      <v:fill on="f" focussize="0,0"/>
                      <v:stroke color="#000000" joinstyle="round"/>
                      <v:imagedata o:title=""/>
                      <o:lock v:ext="edit" aspectratio="f"/>
                    </v:line>
                  </w:pict>
                </mc:Fallback>
              </mc:AlternateContent>
            </w:r>
            <w:r>
              <w:rPr>
                <w:b/>
                <w:color w:val="auto"/>
                <w:sz w:val="22"/>
                <w:szCs w:val="22"/>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epCTfc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dnw+ZwzB5Zu/Pbz&#10;j1+fvt79/ELr7fdvjDwk0xCwpuhrt47HHYZ1zJz3bbT5T2zYvkh7OEmr9okJOrx8fsGZuD+v/iSF&#10;iOm18pZlo+FGu8wYati9wUSFKPQ+JB8bx4aGv7yYZzig8Wvp2sm0gSig60oueqPljTYmZ2DsNtcm&#10;sh3kEShfpkO4f4XlIivAfowrrnE4egXylZMsHQJp4+hN8NyCVZIzo+gJZYsAoU6gzTmRVNq4nKDK&#10;gB55Zn1HRbO18fJAF7MNUXc96TIrPWcPDULp/ji0edIe7sl++FC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kdN+1QAAAAkBAAAPAAAAAAAAAAEAIAAAACIAAABkcnMvZG93bnJldi54bWxQSwEC&#10;FAAUAAAACACHTuJA5epCTfcBAADwAwAADgAAAAAAAAABACAAAAAkAQAAZHJzL2Uyb0RvYy54bWxQ&#10;SwUGAAAAAAYABgBZAQAAjQUAAAAA&#10;">
                      <v:fill on="f" focussize="0,0"/>
                      <v:stroke color="#000000" joinstyle="round"/>
                      <v:imagedata o:title=""/>
                      <o:lock v:ext="edit" aspectratio="f"/>
                    </v:line>
                  </w:pict>
                </mc:Fallback>
              </mc:AlternateContent>
            </w:r>
            <w:r>
              <w:rPr>
                <w:rFonts w:hint="eastAsia"/>
                <w:b/>
                <w:color w:val="auto"/>
                <w:sz w:val="22"/>
                <w:szCs w:val="22"/>
                <w:highlight w:val="none"/>
              </w:rPr>
              <w:t>服务</w:t>
            </w:r>
          </w:p>
          <w:p>
            <w:pPr>
              <w:shd w:val="clear"/>
              <w:ind w:firstLine="1104" w:firstLineChars="500"/>
              <w:rPr>
                <w:rFonts w:hint="eastAsia"/>
                <w:b/>
                <w:color w:val="auto"/>
                <w:sz w:val="22"/>
                <w:szCs w:val="22"/>
                <w:highlight w:val="none"/>
              </w:rPr>
            </w:pPr>
            <w:r>
              <w:rPr>
                <w:rFonts w:hint="eastAsia"/>
                <w:b/>
                <w:color w:val="auto"/>
                <w:sz w:val="22"/>
                <w:szCs w:val="22"/>
                <w:highlight w:val="none"/>
              </w:rPr>
              <w:t>费　　类型</w:t>
            </w:r>
          </w:p>
          <w:p>
            <w:pPr>
              <w:shd w:val="clear"/>
              <w:ind w:firstLine="1546" w:firstLineChars="700"/>
              <w:rPr>
                <w:rFonts w:hint="eastAsia"/>
                <w:b/>
                <w:color w:val="auto"/>
                <w:sz w:val="22"/>
                <w:szCs w:val="22"/>
                <w:highlight w:val="none"/>
              </w:rPr>
            </w:pPr>
            <w:r>
              <w:rPr>
                <w:rFonts w:hint="eastAsia"/>
                <w:b/>
                <w:color w:val="auto"/>
                <w:sz w:val="22"/>
                <w:szCs w:val="22"/>
                <w:highlight w:val="none"/>
              </w:rPr>
              <w:t>率</w:t>
            </w:r>
          </w:p>
          <w:p>
            <w:pPr>
              <w:shd w:val="clear"/>
              <w:rPr>
                <w:rFonts w:hint="eastAsia"/>
                <w:b/>
                <w:color w:val="auto"/>
                <w:sz w:val="22"/>
                <w:szCs w:val="22"/>
                <w:highlight w:val="none"/>
              </w:rPr>
            </w:pPr>
            <w:r>
              <w:rPr>
                <w:rFonts w:hint="eastAsia"/>
                <w:b/>
                <w:color w:val="auto"/>
                <w:sz w:val="22"/>
                <w:szCs w:val="22"/>
                <w:highlight w:val="none"/>
              </w:rPr>
              <w:t>中标金额（万元）</w:t>
            </w:r>
          </w:p>
        </w:tc>
        <w:tc>
          <w:tcPr>
            <w:tcW w:w="2067" w:type="dxa"/>
            <w:noWrap w:val="0"/>
            <w:vAlign w:val="center"/>
          </w:tcPr>
          <w:p>
            <w:pPr>
              <w:shd w:val="clear"/>
              <w:jc w:val="center"/>
              <w:rPr>
                <w:rFonts w:hint="eastAsia"/>
                <w:b/>
                <w:color w:val="auto"/>
                <w:sz w:val="22"/>
                <w:szCs w:val="22"/>
                <w:highlight w:val="none"/>
              </w:rPr>
            </w:pPr>
            <w:r>
              <w:rPr>
                <w:rFonts w:hint="eastAsia"/>
                <w:b/>
                <w:color w:val="auto"/>
                <w:sz w:val="22"/>
                <w:szCs w:val="22"/>
                <w:highlight w:val="none"/>
              </w:rPr>
              <w:t>货物招标</w:t>
            </w:r>
          </w:p>
        </w:tc>
        <w:tc>
          <w:tcPr>
            <w:tcW w:w="2067" w:type="dxa"/>
            <w:noWrap w:val="0"/>
            <w:vAlign w:val="center"/>
          </w:tcPr>
          <w:p>
            <w:pPr>
              <w:shd w:val="clear"/>
              <w:jc w:val="center"/>
              <w:rPr>
                <w:rFonts w:hint="eastAsia"/>
                <w:b/>
                <w:color w:val="auto"/>
                <w:sz w:val="22"/>
                <w:szCs w:val="22"/>
                <w:highlight w:val="none"/>
              </w:rPr>
            </w:pPr>
            <w:r>
              <w:rPr>
                <w:rFonts w:hint="eastAsia"/>
                <w:b/>
                <w:color w:val="auto"/>
                <w:sz w:val="22"/>
                <w:szCs w:val="22"/>
                <w:highlight w:val="none"/>
              </w:rPr>
              <w:t>服务招标</w:t>
            </w:r>
          </w:p>
        </w:tc>
        <w:tc>
          <w:tcPr>
            <w:tcW w:w="2067" w:type="dxa"/>
            <w:noWrap w:val="0"/>
            <w:vAlign w:val="center"/>
          </w:tcPr>
          <w:p>
            <w:pPr>
              <w:shd w:val="clear"/>
              <w:jc w:val="center"/>
              <w:rPr>
                <w:rFonts w:hint="eastAsia"/>
                <w:b/>
                <w:color w:val="auto"/>
                <w:sz w:val="22"/>
                <w:szCs w:val="22"/>
                <w:highlight w:val="none"/>
              </w:rPr>
            </w:pPr>
            <w:r>
              <w:rPr>
                <w:rFonts w:hint="eastAsia"/>
                <w:b/>
                <w:color w:val="auto"/>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100以下</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1.5%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1.5%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100-500</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1.1%</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0.8%</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500-1000</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0.8%</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0.45%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1000-5000</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0.25%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5000-10000</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0.25%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0.1%</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10000-100000</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0.05%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0.05%</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noWrap w:val="0"/>
            <w:vAlign w:val="top"/>
          </w:tcPr>
          <w:p>
            <w:pPr>
              <w:shd w:val="clear"/>
              <w:jc w:val="center"/>
              <w:rPr>
                <w:rFonts w:hint="eastAsia"/>
                <w:color w:val="auto"/>
                <w:sz w:val="22"/>
                <w:szCs w:val="22"/>
                <w:highlight w:val="none"/>
              </w:rPr>
            </w:pPr>
            <w:r>
              <w:rPr>
                <w:rFonts w:hint="eastAsia"/>
                <w:color w:val="auto"/>
                <w:sz w:val="22"/>
                <w:szCs w:val="22"/>
                <w:highlight w:val="none"/>
              </w:rPr>
              <w:t>100000以上</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0.01%</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0.01%</w:t>
            </w:r>
          </w:p>
        </w:tc>
        <w:tc>
          <w:tcPr>
            <w:tcW w:w="2067" w:type="dxa"/>
            <w:noWrap w:val="0"/>
            <w:vAlign w:val="top"/>
          </w:tcPr>
          <w:p>
            <w:pPr>
              <w:shd w:val="clear"/>
              <w:jc w:val="center"/>
              <w:rPr>
                <w:rFonts w:hint="eastAsia"/>
                <w:color w:val="auto"/>
                <w:sz w:val="22"/>
                <w:szCs w:val="22"/>
                <w:highlight w:val="none"/>
              </w:rPr>
            </w:pPr>
            <w:r>
              <w:rPr>
                <w:rFonts w:hint="eastAsia"/>
                <w:color w:val="auto"/>
                <w:sz w:val="22"/>
                <w:szCs w:val="22"/>
                <w:highlight w:val="none"/>
              </w:rPr>
              <w:t>0.01%</w:t>
            </w:r>
          </w:p>
        </w:tc>
      </w:tr>
    </w:tbl>
    <w:p>
      <w:pPr>
        <w:pStyle w:val="12"/>
        <w:shd w:val="clear"/>
        <w:snapToGrid w:val="0"/>
        <w:spacing w:line="440" w:lineRule="exact"/>
        <w:ind w:firstLine="241" w:firstLineChars="100"/>
        <w:rPr>
          <w:rFonts w:hAnsi="宋体" w:cs="Times New Roman"/>
          <w:b/>
          <w:bCs/>
          <w:sz w:val="24"/>
          <w:szCs w:val="24"/>
          <w:highlight w:val="none"/>
        </w:rPr>
      </w:pPr>
      <w:r>
        <w:rPr>
          <w:rFonts w:hint="eastAsia" w:hAnsi="宋体"/>
          <w:b/>
          <w:bCs/>
          <w:sz w:val="24"/>
          <w:szCs w:val="24"/>
          <w:highlight w:val="none"/>
        </w:rPr>
        <w:t>（四）特别说明</w:t>
      </w:r>
    </w:p>
    <w:p>
      <w:pPr>
        <w:pStyle w:val="12"/>
        <w:shd w:val="clear"/>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pPr>
        <w:shd w:val="clea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采购需求存在重大偏离、错误</w:t>
      </w:r>
      <w:r>
        <w:rPr>
          <w:rFonts w:hint="eastAsia" w:ascii="宋体" w:hAnsi="宋体" w:cs="宋体"/>
          <w:sz w:val="24"/>
          <w:szCs w:val="24"/>
          <w:highlight w:val="none"/>
          <w:lang w:eastAsia="zh-CN"/>
        </w:rPr>
        <w:t>，甚至</w:t>
      </w:r>
      <w:r>
        <w:rPr>
          <w:rFonts w:hint="eastAsia" w:ascii="宋体" w:hAnsi="宋体" w:cs="宋体"/>
          <w:sz w:val="24"/>
          <w:szCs w:val="24"/>
          <w:highlight w:val="none"/>
        </w:rPr>
        <w:t>造假的情况，应提供具体有效的证明材料。</w:t>
      </w:r>
    </w:p>
    <w:p>
      <w:pPr>
        <w:pStyle w:val="47"/>
        <w:shd w:val="clear"/>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hint="eastAsia" w:ascii="宋体" w:hAnsi="宋体" w:cs="宋体"/>
          <w:sz w:val="24"/>
          <w:szCs w:val="24"/>
          <w:highlight w:val="none"/>
          <w:lang w:eastAsia="zh-CN"/>
        </w:rPr>
        <w:t>，</w:t>
      </w:r>
      <w:r>
        <w:rPr>
          <w:rFonts w:hint="eastAsia" w:ascii="宋体" w:hAnsi="宋体" w:cs="宋体"/>
          <w:sz w:val="24"/>
          <w:szCs w:val="24"/>
          <w:highlight w:val="none"/>
        </w:rPr>
        <w:t>其投标无效，并报监管部门查处；中标后发现的</w:t>
      </w:r>
      <w:r>
        <w:rPr>
          <w:rFonts w:hint="eastAsia" w:ascii="宋体" w:hAnsi="宋体" w:cs="宋体"/>
          <w:sz w:val="24"/>
          <w:szCs w:val="24"/>
          <w:highlight w:val="none"/>
          <w:lang w:eastAsia="zh-CN"/>
        </w:rPr>
        <w:t>，</w:t>
      </w:r>
      <w:r>
        <w:rPr>
          <w:rFonts w:hint="eastAsia" w:ascii="宋体" w:hAnsi="宋体" w:cs="宋体"/>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w:t>
      </w:r>
      <w:r>
        <w:rPr>
          <w:rFonts w:hint="eastAsia" w:ascii="宋体" w:hAnsi="宋体" w:cs="宋体"/>
          <w:b w:val="0"/>
          <w:bCs w:val="0"/>
          <w:sz w:val="24"/>
          <w:szCs w:val="24"/>
          <w:highlight w:val="none"/>
          <w:lang w:eastAsia="zh-CN"/>
        </w:rPr>
        <w:t>样式</w:t>
      </w:r>
      <w:r>
        <w:rPr>
          <w:rFonts w:hint="eastAsia" w:ascii="宋体" w:hAnsi="宋体" w:cs="宋体"/>
          <w:b w:val="0"/>
          <w:bCs w:val="0"/>
          <w:sz w:val="24"/>
          <w:szCs w:val="24"/>
          <w:highlight w:val="none"/>
        </w:rPr>
        <w:t>可以根据项目差别做适当调整</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但应当保持表格样式基本形态不变。</w:t>
      </w:r>
    </w:p>
    <w:p>
      <w:pPr>
        <w:pStyle w:val="4"/>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但不得改变采购标的和资格条件。澄清或者修改应当在原公告发布媒体上发布澄清公告。澄清或者修改的内容为招标文件的组成部分。</w:t>
      </w:r>
    </w:p>
    <w:p>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tabs>
          <w:tab w:val="left" w:pos="1418"/>
        </w:tabs>
        <w:autoSpaceDE w:val="0"/>
        <w:autoSpaceDN w:val="0"/>
        <w:adjustRightInd w:val="0"/>
        <w:spacing w:line="440" w:lineRule="exact"/>
        <w:ind w:firstLine="562" w:firstLineChars="200"/>
        <w:jc w:val="center"/>
        <w:rPr>
          <w:rFonts w:ascii="宋体" w:cs="宋体"/>
          <w:b/>
          <w:bCs/>
          <w:sz w:val="28"/>
          <w:szCs w:val="28"/>
          <w:highlight w:val="none"/>
        </w:rPr>
      </w:pPr>
    </w:p>
    <w:p>
      <w:pPr>
        <w:shd w:val="clea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pPr>
        <w:shd w:val="clea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lang w:val="zh-CN"/>
        </w:rPr>
        <w:t>（一）投标文件的形式和效力：</w:t>
      </w:r>
    </w:p>
    <w:p>
      <w:pPr>
        <w:shd w:val="clea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lang w:val="zh-CN"/>
        </w:rPr>
        <w:t>1、投标文件的形式：</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电子投标文件（包括“电子加密投标文件”和“备份投标文件”，在投标文件编制完成后同时生成）；</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）“电子加密投标文件”是指通过“政采云电子交易客户端”完成投标文件编制后生成并加密的数据电文形式的投标文件。</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）“备份投标文件”是指与“电子加密投标文件”同时生成的数据电文形式的电子文件（备份标书），其他方式编制的“备份投标文件”视为无效“备份投标文件”。</w:t>
      </w:r>
    </w:p>
    <w:p>
      <w:pPr>
        <w:shd w:val="clea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rPr>
        <w:t>2、</w:t>
      </w:r>
      <w:r>
        <w:rPr>
          <w:rFonts w:hint="eastAsia" w:ascii="宋体" w:cs="宋体"/>
          <w:b/>
          <w:bCs/>
          <w:sz w:val="24"/>
          <w:szCs w:val="24"/>
          <w:highlight w:val="none"/>
          <w:lang w:val="zh-CN"/>
        </w:rPr>
        <w:t>投标文件的效力：</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）投标文件的启用，按先后顺位分别为“电子加密投标文件”“备份投标文件”。</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）通过“政府采购云平台”上传递交的“电子加密投标文件”已按时解密的，“备份投标文件”自动失效。</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）通过“政府采购云平台”上传递交的“电子加密投标文件”无法按时解密，投标供应商递交了“备份投标文件”的，以“备份投标文件”为依据；未提交“备份投标文件”的，视为无效投标。</w:t>
      </w:r>
    </w:p>
    <w:p>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zh-CN"/>
        </w:rPr>
        <w:t>）投标供应商仅递交“备份投标文件”，未递交“电子加密投标文件”的，视为无效投标。</w:t>
      </w:r>
    </w:p>
    <w:p>
      <w:pPr>
        <w:shd w:val="clear"/>
        <w:autoSpaceDE w:val="0"/>
        <w:autoSpaceDN w:val="0"/>
        <w:adjustRightInd w:val="0"/>
        <w:spacing w:line="440" w:lineRule="exact"/>
        <w:ind w:firstLine="482"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pPr>
        <w:shd w:val="clea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pPr>
        <w:keepNext w:val="0"/>
        <w:keepLines w:val="0"/>
        <w:pageBreakBefore w:val="0"/>
        <w:widowControl/>
        <w:numPr>
          <w:ilvl w:val="0"/>
          <w:numId w:val="0"/>
        </w:numPr>
        <w:shd w:val="clear"/>
        <w:kinsoku/>
        <w:wordWrap/>
        <w:overflowPunct/>
        <w:topLinePunct w:val="0"/>
        <w:autoSpaceDE/>
        <w:autoSpaceDN/>
        <w:bidi w:val="0"/>
        <w:adjustRightInd/>
        <w:spacing w:line="440" w:lineRule="exact"/>
        <w:jc w:val="left"/>
        <w:textAlignment w:val="auto"/>
        <w:rPr>
          <w:rFonts w:hint="eastAsia" w:ascii="宋体" w:hAnsi="宋体" w:cs="宋体"/>
          <w:b/>
          <w:bCs w:val="0"/>
          <w:color w:val="FF0000"/>
          <w:kern w:val="0"/>
          <w:sz w:val="24"/>
          <w:highlight w:val="none"/>
          <w:lang w:eastAsia="zh-CN"/>
        </w:rPr>
      </w:pPr>
      <w:r>
        <w:rPr>
          <w:rFonts w:hint="eastAsia" w:ascii="宋体" w:hAnsi="宋体" w:cs="宋体"/>
          <w:b/>
          <w:bCs/>
          <w:color w:val="FF0000"/>
          <w:sz w:val="24"/>
          <w:szCs w:val="24"/>
          <w:highlight w:val="none"/>
        </w:rPr>
        <w:t>▲</w:t>
      </w: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未</w:t>
      </w:r>
      <w:r>
        <w:rPr>
          <w:rFonts w:hint="eastAsia" w:ascii="宋体" w:hAnsi="宋体" w:cs="宋体"/>
          <w:b/>
          <w:bCs w:val="0"/>
          <w:color w:val="FF0000"/>
          <w:kern w:val="0"/>
          <w:sz w:val="24"/>
          <w:highlight w:val="none"/>
          <w:lang w:eastAsia="zh-CN"/>
        </w:rPr>
        <w:t>按要求</w:t>
      </w:r>
      <w:r>
        <w:rPr>
          <w:rFonts w:hint="eastAsia" w:ascii="宋体" w:hAnsi="宋体" w:cs="宋体"/>
          <w:b/>
          <w:bCs w:val="0"/>
          <w:color w:val="FF0000"/>
          <w:kern w:val="0"/>
          <w:sz w:val="24"/>
          <w:highlight w:val="none"/>
        </w:rPr>
        <w:t>提供下列</w:t>
      </w:r>
      <w:r>
        <w:rPr>
          <w:rFonts w:hint="eastAsia" w:ascii="宋体" w:hAnsi="宋体" w:cs="宋体"/>
          <w:b/>
          <w:bCs w:val="0"/>
          <w:color w:val="FF0000"/>
          <w:kern w:val="0"/>
          <w:sz w:val="24"/>
          <w:highlight w:val="none"/>
          <w:lang w:eastAsia="zh-CN"/>
        </w:rPr>
        <w:t>带“</w:t>
      </w:r>
      <w:r>
        <w:rPr>
          <w:rFonts w:hint="eastAsia" w:ascii="宋体" w:hAnsi="宋体" w:cs="宋体"/>
          <w:b/>
          <w:bCs/>
          <w:color w:val="FF0000"/>
          <w:sz w:val="24"/>
          <w:szCs w:val="24"/>
          <w:highlight w:val="none"/>
        </w:rPr>
        <w:t>▲</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材料的资格审查认定为无效</w:t>
      </w:r>
      <w:r>
        <w:rPr>
          <w:rFonts w:hint="eastAsia" w:ascii="宋体" w:hAnsi="宋体" w:cs="宋体"/>
          <w:b/>
          <w:bCs w:val="0"/>
          <w:color w:val="FF0000"/>
          <w:kern w:val="0"/>
          <w:sz w:val="24"/>
          <w:highlight w:val="none"/>
          <w:lang w:eastAsia="zh-CN"/>
        </w:rPr>
        <w:t>）</w:t>
      </w:r>
    </w:p>
    <w:tbl>
      <w:tblPr>
        <w:tblStyle w:val="22"/>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574" w:type="dxa"/>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5040" w:type="dxa"/>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hd w:val="clear"/>
              <w:snapToGrid w:val="0"/>
              <w:spacing w:line="340" w:lineRule="exact"/>
              <w:jc w:val="center"/>
              <w:rPr>
                <w:rFonts w:ascii="宋体" w:hAnsi="宋体" w:cs="宋体"/>
                <w:sz w:val="24"/>
                <w:szCs w:val="24"/>
                <w:highlight w:val="none"/>
              </w:rPr>
            </w:pPr>
            <w:r>
              <w:rPr>
                <w:rFonts w:hint="eastAsia" w:ascii="宋体" w:hAnsi="宋体" w:cs="宋体"/>
                <w:sz w:val="22"/>
                <w:szCs w:val="22"/>
                <w:highlight w:val="none"/>
              </w:rPr>
              <w:t>▲</w:t>
            </w:r>
            <w:r>
              <w:rPr>
                <w:rFonts w:ascii="宋体" w:hAnsi="宋体" w:cs="宋体"/>
                <w:sz w:val="24"/>
                <w:szCs w:val="24"/>
                <w:highlight w:val="none"/>
              </w:rPr>
              <w:t>1</w:t>
            </w:r>
          </w:p>
        </w:tc>
        <w:tc>
          <w:tcPr>
            <w:tcW w:w="3574" w:type="dxa"/>
            <w:vAlign w:val="center"/>
          </w:tcPr>
          <w:p>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投标声明书</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若</w:t>
            </w:r>
            <w:r>
              <w:rPr>
                <w:rFonts w:hint="eastAsia" w:ascii="宋体" w:hAnsi="宋体" w:cs="宋体"/>
                <w:color w:val="auto"/>
                <w:kern w:val="0"/>
                <w:sz w:val="24"/>
                <w:highlight w:val="none"/>
                <w:lang w:bidi="ar"/>
              </w:rPr>
              <w:t>没有重大违法记录</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请承诺</w:t>
            </w:r>
            <w:r>
              <w:rPr>
                <w:rFonts w:hint="eastAsia" w:ascii="宋体" w:hAnsi="宋体" w:cs="宋体"/>
                <w:color w:val="auto"/>
                <w:kern w:val="0"/>
                <w:sz w:val="24"/>
                <w:highlight w:val="none"/>
                <w:lang w:bidi="ar"/>
              </w:rPr>
              <w:t>）</w:t>
            </w:r>
          </w:p>
        </w:tc>
        <w:tc>
          <w:tcPr>
            <w:tcW w:w="5040" w:type="dxa"/>
            <w:vAlign w:val="center"/>
          </w:tcPr>
          <w:p>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7" w:type="dxa"/>
            <w:vAlign w:val="center"/>
          </w:tcPr>
          <w:p>
            <w:pPr>
              <w:widowControl/>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ascii="宋体" w:hAnsi="宋体" w:cs="宋体"/>
                <w:sz w:val="24"/>
                <w:szCs w:val="24"/>
                <w:highlight w:val="none"/>
              </w:rPr>
              <w:t>2</w:t>
            </w:r>
          </w:p>
        </w:tc>
        <w:tc>
          <w:tcPr>
            <w:tcW w:w="3574" w:type="dxa"/>
            <w:vAlign w:val="center"/>
          </w:tcPr>
          <w:p>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法定代表人身份证明书（或授权委托书）</w:t>
            </w:r>
          </w:p>
        </w:tc>
        <w:tc>
          <w:tcPr>
            <w:tcW w:w="5040" w:type="dxa"/>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如授权委托代理人的</w:t>
            </w:r>
            <w:r>
              <w:rPr>
                <w:rFonts w:hint="eastAsia" w:ascii="宋体" w:hAnsi="宋体" w:cs="宋体"/>
                <w:kern w:val="0"/>
                <w:sz w:val="24"/>
                <w:szCs w:val="24"/>
                <w:highlight w:val="none"/>
                <w:lang w:eastAsia="zh-CN"/>
              </w:rPr>
              <w:t>还</w:t>
            </w:r>
            <w:r>
              <w:rPr>
                <w:rFonts w:hint="eastAsia" w:ascii="宋体" w:hAnsi="宋体" w:cs="宋体"/>
                <w:kern w:val="0"/>
                <w:sz w:val="24"/>
                <w:szCs w:val="24"/>
                <w:highlight w:val="none"/>
              </w:rPr>
              <w:t>需提供授权委托书，格式附后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pPr>
              <w:widowControl/>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ascii="宋体" w:hAnsi="宋体" w:cs="宋体"/>
                <w:sz w:val="24"/>
                <w:szCs w:val="24"/>
                <w:highlight w:val="none"/>
              </w:rPr>
              <w:t>3</w:t>
            </w:r>
          </w:p>
        </w:tc>
        <w:tc>
          <w:tcPr>
            <w:tcW w:w="3574" w:type="dxa"/>
            <w:vAlign w:val="center"/>
          </w:tcPr>
          <w:p>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法人或者其他组织的营业执照等证明文件，自然人的身份证明</w:t>
            </w:r>
          </w:p>
        </w:tc>
        <w:tc>
          <w:tcPr>
            <w:tcW w:w="5040" w:type="dxa"/>
            <w:vAlign w:val="center"/>
          </w:tcPr>
          <w:p>
            <w:pPr>
              <w:widowControl/>
              <w:shd w:val="clear"/>
              <w:snapToGrid w:val="0"/>
              <w:spacing w:line="340" w:lineRule="exact"/>
              <w:rPr>
                <w:rFonts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pPr>
              <w:widowControl/>
              <w:shd w:val="clear"/>
              <w:snapToGrid w:val="0"/>
              <w:spacing w:line="34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hint="eastAsia" w:ascii="宋体" w:hAnsi="宋体" w:cs="宋体"/>
                <w:sz w:val="24"/>
                <w:szCs w:val="24"/>
                <w:highlight w:val="none"/>
                <w:lang w:val="en-US" w:eastAsia="zh-CN"/>
              </w:rPr>
              <w:t>4</w:t>
            </w:r>
          </w:p>
        </w:tc>
        <w:tc>
          <w:tcPr>
            <w:tcW w:w="3574" w:type="dxa"/>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城乡规划编制乙级及以上资质</w:t>
            </w:r>
            <w:r>
              <w:rPr>
                <w:rFonts w:hint="eastAsia" w:ascii="宋体" w:hAnsi="宋体" w:cs="宋体"/>
                <w:kern w:val="0"/>
                <w:sz w:val="24"/>
                <w:szCs w:val="24"/>
                <w:highlight w:val="none"/>
                <w:lang w:eastAsia="zh-CN"/>
              </w:rPr>
              <w:t>证书复印件或扫描件</w:t>
            </w:r>
          </w:p>
        </w:tc>
        <w:tc>
          <w:tcPr>
            <w:tcW w:w="5040" w:type="dxa"/>
            <w:vAlign w:val="center"/>
          </w:tcPr>
          <w:p>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hint="eastAsia" w:ascii="宋体" w:hAnsi="宋体" w:cs="宋体"/>
                <w:sz w:val="24"/>
                <w:szCs w:val="24"/>
                <w:highlight w:val="none"/>
                <w:lang w:val="en-US" w:eastAsia="zh-CN"/>
              </w:rPr>
              <w:t>5</w:t>
            </w:r>
          </w:p>
        </w:tc>
        <w:tc>
          <w:tcPr>
            <w:tcW w:w="3574" w:type="dxa"/>
            <w:vAlign w:val="center"/>
          </w:tcPr>
          <w:p>
            <w:pPr>
              <w:widowControl/>
              <w:shd w:val="clear"/>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投标人的《中小企业声明函（服务）》等</w:t>
            </w:r>
            <w:r>
              <w:rPr>
                <w:rFonts w:hint="eastAsia" w:ascii="宋体" w:hAnsi="宋体" w:cs="宋体"/>
                <w:kern w:val="0"/>
                <w:sz w:val="24"/>
                <w:szCs w:val="24"/>
                <w:highlight w:val="none"/>
                <w:lang w:val="zh-CN"/>
              </w:rPr>
              <w:t>相关证明材料</w:t>
            </w:r>
          </w:p>
        </w:tc>
        <w:tc>
          <w:tcPr>
            <w:tcW w:w="5040" w:type="dxa"/>
            <w:vAlign w:val="center"/>
          </w:tcPr>
          <w:p>
            <w:pPr>
              <w:widowControl/>
              <w:shd w:val="clear"/>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格式附后。</w:t>
            </w:r>
            <w:r>
              <w:rPr>
                <w:rFonts w:hint="eastAsia" w:ascii="宋体"/>
                <w:b/>
                <w:bCs/>
                <w:color w:val="FF0000"/>
                <w:sz w:val="24"/>
                <w:szCs w:val="24"/>
                <w:highlight w:val="none"/>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2"/>
                <w:szCs w:val="22"/>
                <w:highlight w:val="none"/>
              </w:rPr>
              <w:t>▲</w:t>
            </w:r>
            <w:r>
              <w:rPr>
                <w:rFonts w:hint="eastAsia" w:ascii="宋体" w:hAnsi="宋体" w:cs="宋体"/>
                <w:sz w:val="24"/>
                <w:szCs w:val="24"/>
                <w:highlight w:val="none"/>
                <w:lang w:val="en-US" w:eastAsia="zh-CN"/>
              </w:rPr>
              <w:t>6</w:t>
            </w:r>
          </w:p>
        </w:tc>
        <w:tc>
          <w:tcPr>
            <w:tcW w:w="3574" w:type="dxa"/>
            <w:vAlign w:val="center"/>
          </w:tcPr>
          <w:p>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具备履行合同所必需的设备和专业技术能力的证明材料</w:t>
            </w:r>
          </w:p>
        </w:tc>
        <w:tc>
          <w:tcPr>
            <w:tcW w:w="5040" w:type="dxa"/>
            <w:vAlign w:val="center"/>
          </w:tcPr>
          <w:p>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hd w:val="clear"/>
              <w:snapToGrid w:val="0"/>
              <w:spacing w:line="34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p>
        </w:tc>
        <w:tc>
          <w:tcPr>
            <w:tcW w:w="3574" w:type="dxa"/>
            <w:vAlign w:val="center"/>
          </w:tcPr>
          <w:p>
            <w:pPr>
              <w:widowControl/>
              <w:shd w:val="clear"/>
              <w:snapToGrid w:val="0"/>
              <w:spacing w:line="340" w:lineRule="exact"/>
              <w:rPr>
                <w:rFonts w:hint="eastAsia" w:ascii="宋体" w:hAnsi="Times New Roman" w:eastAsia="宋体" w:cs="宋体"/>
                <w:kern w:val="0"/>
                <w:sz w:val="24"/>
                <w:szCs w:val="24"/>
                <w:highlight w:val="none"/>
                <w:lang w:val="en-US" w:eastAsia="zh-CN" w:bidi="ar-SA"/>
              </w:rPr>
            </w:pPr>
            <w:r>
              <w:rPr>
                <w:rFonts w:hint="eastAsia" w:ascii="宋体" w:cs="宋体"/>
                <w:kern w:val="0"/>
                <w:sz w:val="24"/>
                <w:szCs w:val="24"/>
                <w:highlight w:val="none"/>
              </w:rPr>
              <w:t>投标人认为需要提供</w:t>
            </w:r>
            <w:r>
              <w:rPr>
                <w:rFonts w:hint="eastAsia" w:ascii="宋体" w:cs="宋体"/>
                <w:kern w:val="0"/>
                <w:sz w:val="24"/>
                <w:szCs w:val="24"/>
                <w:highlight w:val="none"/>
                <w:lang w:eastAsia="zh-CN"/>
              </w:rPr>
              <w:t>的其他文件</w:t>
            </w:r>
            <w:r>
              <w:rPr>
                <w:rFonts w:hint="eastAsia" w:ascii="宋体" w:cs="宋体"/>
                <w:kern w:val="0"/>
                <w:sz w:val="24"/>
                <w:szCs w:val="24"/>
                <w:highlight w:val="none"/>
              </w:rPr>
              <w:t>和资料</w:t>
            </w:r>
            <w:r>
              <w:rPr>
                <w:rFonts w:hint="eastAsia" w:ascii="宋体" w:cs="宋体"/>
                <w:kern w:val="0"/>
                <w:sz w:val="24"/>
                <w:szCs w:val="24"/>
                <w:highlight w:val="none"/>
                <w:lang w:eastAsia="zh-CN"/>
              </w:rPr>
              <w:t>（选择性提供）</w:t>
            </w:r>
          </w:p>
        </w:tc>
        <w:tc>
          <w:tcPr>
            <w:tcW w:w="5040" w:type="dxa"/>
            <w:vAlign w:val="center"/>
          </w:tcPr>
          <w:p>
            <w:pPr>
              <w:widowControl/>
              <w:shd w:val="clear"/>
              <w:snapToGrid w:val="0"/>
              <w:spacing w:line="340" w:lineRule="exact"/>
              <w:rPr>
                <w:rFonts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bl>
    <w:p>
      <w:pPr>
        <w:shd w:val="clear"/>
        <w:snapToGrid w:val="0"/>
        <w:spacing w:line="440" w:lineRule="exact"/>
        <w:ind w:firstLine="482" w:firstLineChars="200"/>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2"/>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2"/>
        <w:gridCol w:w="6021"/>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blHeader/>
        </w:trPr>
        <w:tc>
          <w:tcPr>
            <w:tcW w:w="822" w:type="dxa"/>
            <w:shd w:val="clear" w:color="auto" w:fill="auto"/>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6021" w:type="dxa"/>
            <w:shd w:val="clear" w:color="auto" w:fill="auto"/>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2636" w:type="dxa"/>
            <w:shd w:val="clear" w:color="auto" w:fill="auto"/>
            <w:vAlign w:val="center"/>
          </w:tcPr>
          <w:p>
            <w:pPr>
              <w:widowControl/>
              <w:shd w:val="clear"/>
              <w:snapToGrid w:val="0"/>
              <w:spacing w:line="340" w:lineRule="exact"/>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shd w:val="clear" w:color="auto" w:fill="auto"/>
            <w:vAlign w:val="center"/>
          </w:tcPr>
          <w:p>
            <w:pPr>
              <w:widowControl/>
              <w:shd w:val="clear"/>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6021" w:type="dxa"/>
            <w:shd w:val="clear" w:color="auto" w:fill="auto"/>
            <w:vAlign w:val="center"/>
          </w:tcPr>
          <w:p>
            <w:pPr>
              <w:widowControl/>
              <w:shd w:val="clear"/>
              <w:snapToGrid w:val="0"/>
              <w:spacing w:line="340" w:lineRule="exac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供应商自评表</w:t>
            </w:r>
          </w:p>
        </w:tc>
        <w:tc>
          <w:tcPr>
            <w:tcW w:w="2636" w:type="dxa"/>
            <w:shd w:val="clear" w:color="auto" w:fill="auto"/>
            <w:vAlign w:val="center"/>
          </w:tcPr>
          <w:p>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822" w:type="dxa"/>
            <w:shd w:val="clear" w:color="auto" w:fill="auto"/>
            <w:vAlign w:val="center"/>
          </w:tcPr>
          <w:p>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2</w:t>
            </w:r>
          </w:p>
        </w:tc>
        <w:tc>
          <w:tcPr>
            <w:tcW w:w="6021" w:type="dxa"/>
            <w:shd w:val="clear" w:color="auto" w:fill="auto"/>
            <w:vAlign w:val="center"/>
          </w:tcPr>
          <w:p>
            <w:pPr>
              <w:widowControl/>
              <w:shd w:val="clear"/>
              <w:snapToGrid w:val="0"/>
              <w:spacing w:line="340" w:lineRule="exact"/>
              <w:rPr>
                <w:rFonts w:ascii="宋体" w:hAnsi="宋体" w:eastAsia="宋体" w:cs="宋体"/>
                <w:kern w:val="0"/>
                <w:sz w:val="24"/>
                <w:szCs w:val="24"/>
                <w:highlight w:val="none"/>
                <w:lang w:val="en-US" w:eastAsia="zh-CN" w:bidi="ar-SA"/>
              </w:rPr>
            </w:pPr>
            <w:r>
              <w:rPr>
                <w:rFonts w:ascii="宋体" w:hAnsi="宋体" w:cs="宋体"/>
                <w:kern w:val="0"/>
                <w:sz w:val="24"/>
                <w:szCs w:val="24"/>
                <w:highlight w:val="none"/>
              </w:rPr>
              <w:t>投标人基本情况表</w:t>
            </w:r>
          </w:p>
        </w:tc>
        <w:tc>
          <w:tcPr>
            <w:tcW w:w="2636" w:type="dxa"/>
            <w:shd w:val="clear" w:color="auto" w:fill="auto"/>
            <w:vAlign w:val="center"/>
          </w:tcPr>
          <w:p>
            <w:pPr>
              <w:widowControl/>
              <w:shd w:val="clear"/>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shd w:val="clear" w:color="auto" w:fill="auto"/>
            <w:vAlign w:val="center"/>
          </w:tcPr>
          <w:p>
            <w:pPr>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cs="宋体"/>
                <w:sz w:val="24"/>
                <w:szCs w:val="24"/>
                <w:highlight w:val="none"/>
              </w:rPr>
              <w:t>3</w:t>
            </w:r>
          </w:p>
        </w:tc>
        <w:tc>
          <w:tcPr>
            <w:tcW w:w="6021" w:type="dxa"/>
            <w:shd w:val="clear" w:color="auto" w:fill="auto"/>
            <w:vAlign w:val="center"/>
          </w:tcPr>
          <w:p>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证书一览表</w:t>
            </w:r>
          </w:p>
        </w:tc>
        <w:tc>
          <w:tcPr>
            <w:tcW w:w="2636" w:type="dxa"/>
            <w:shd w:val="clear" w:color="auto" w:fill="auto"/>
            <w:vAlign w:val="center"/>
          </w:tcPr>
          <w:p>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822" w:type="dxa"/>
            <w:shd w:val="clear" w:color="auto" w:fill="auto"/>
            <w:vAlign w:val="center"/>
          </w:tcPr>
          <w:p>
            <w:pPr>
              <w:shd w:val="clear"/>
              <w:snapToGrid w:val="0"/>
              <w:spacing w:line="340" w:lineRule="exact"/>
              <w:jc w:val="center"/>
              <w:rPr>
                <w:rFonts w:ascii="宋体" w:hAnsi="宋体" w:eastAsia="宋体" w:cs="宋体"/>
                <w:kern w:val="2"/>
                <w:sz w:val="24"/>
                <w:szCs w:val="24"/>
                <w:highlight w:val="none"/>
                <w:lang w:val="en-US" w:eastAsia="zh-CN" w:bidi="ar-SA"/>
              </w:rPr>
            </w:pPr>
            <w:r>
              <w:rPr>
                <w:rFonts w:hint="eastAsia" w:ascii="宋体" w:cs="宋体"/>
                <w:sz w:val="24"/>
                <w:szCs w:val="24"/>
                <w:highlight w:val="none"/>
              </w:rPr>
              <w:t>4</w:t>
            </w:r>
          </w:p>
        </w:tc>
        <w:tc>
          <w:tcPr>
            <w:tcW w:w="6021" w:type="dxa"/>
            <w:shd w:val="clear" w:color="auto" w:fill="auto"/>
            <w:vAlign w:val="center"/>
          </w:tcPr>
          <w:p>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项目组成员一览表</w:t>
            </w:r>
          </w:p>
        </w:tc>
        <w:tc>
          <w:tcPr>
            <w:tcW w:w="2636" w:type="dxa"/>
            <w:shd w:val="clear" w:color="auto" w:fill="auto"/>
            <w:vAlign w:val="center"/>
          </w:tcPr>
          <w:p>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822" w:type="dxa"/>
            <w:shd w:val="clear" w:color="auto" w:fill="auto"/>
            <w:vAlign w:val="center"/>
          </w:tcPr>
          <w:p>
            <w:pPr>
              <w:shd w:val="clear"/>
              <w:snapToGrid w:val="0"/>
              <w:spacing w:line="340" w:lineRule="exact"/>
              <w:jc w:val="center"/>
              <w:rPr>
                <w:rFonts w:ascii="宋体" w:hAnsi="Times New Roman" w:eastAsia="宋体" w:cs="宋体"/>
                <w:kern w:val="2"/>
                <w:sz w:val="24"/>
                <w:szCs w:val="24"/>
                <w:highlight w:val="none"/>
                <w:lang w:val="en-US" w:eastAsia="zh-CN" w:bidi="ar-SA"/>
              </w:rPr>
            </w:pPr>
            <w:r>
              <w:rPr>
                <w:rFonts w:hint="eastAsia" w:ascii="宋体" w:cs="宋体"/>
                <w:sz w:val="24"/>
                <w:szCs w:val="24"/>
                <w:highlight w:val="none"/>
              </w:rPr>
              <w:t>5</w:t>
            </w:r>
          </w:p>
        </w:tc>
        <w:tc>
          <w:tcPr>
            <w:tcW w:w="6021" w:type="dxa"/>
            <w:shd w:val="clear" w:color="auto" w:fill="auto"/>
            <w:vAlign w:val="center"/>
          </w:tcPr>
          <w:p>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类似业绩一览表</w:t>
            </w:r>
          </w:p>
        </w:tc>
        <w:tc>
          <w:tcPr>
            <w:tcW w:w="2636" w:type="dxa"/>
            <w:shd w:val="clear" w:color="auto" w:fill="auto"/>
            <w:vAlign w:val="center"/>
          </w:tcPr>
          <w:p>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 w:hRule="atLeast"/>
        </w:trPr>
        <w:tc>
          <w:tcPr>
            <w:tcW w:w="822" w:type="dxa"/>
            <w:shd w:val="clear" w:color="auto" w:fill="auto"/>
            <w:vAlign w:val="center"/>
          </w:tcPr>
          <w:p>
            <w:pPr>
              <w:widowControl/>
              <w:shd w:val="clear"/>
              <w:snapToGrid w:val="0"/>
              <w:spacing w:line="340" w:lineRule="exact"/>
              <w:jc w:val="center"/>
              <w:rPr>
                <w:rFonts w:ascii="宋体" w:hAnsi="Times New Roman" w:eastAsia="宋体" w:cs="宋体"/>
                <w:kern w:val="2"/>
                <w:sz w:val="24"/>
                <w:szCs w:val="24"/>
                <w:highlight w:val="none"/>
                <w:lang w:val="en-US" w:eastAsia="zh-CN" w:bidi="ar-SA"/>
              </w:rPr>
            </w:pPr>
            <w:r>
              <w:rPr>
                <w:rFonts w:hint="eastAsia" w:ascii="宋体" w:hAnsi="宋体" w:cs="宋体"/>
                <w:sz w:val="24"/>
                <w:szCs w:val="24"/>
                <w:highlight w:val="none"/>
              </w:rPr>
              <w:t>6</w:t>
            </w:r>
          </w:p>
        </w:tc>
        <w:tc>
          <w:tcPr>
            <w:tcW w:w="6021" w:type="dxa"/>
            <w:shd w:val="clear" w:color="auto" w:fill="auto"/>
            <w:vAlign w:val="center"/>
          </w:tcPr>
          <w:p>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类似项目情况表</w:t>
            </w:r>
          </w:p>
        </w:tc>
        <w:tc>
          <w:tcPr>
            <w:tcW w:w="2636" w:type="dxa"/>
            <w:shd w:val="clear" w:color="auto" w:fill="auto"/>
            <w:vAlign w:val="center"/>
          </w:tcPr>
          <w:p>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ascii="宋体" w:hAnsi="Times New Roman" w:eastAsia="宋体" w:cs="宋体"/>
                <w:kern w:val="2"/>
                <w:sz w:val="24"/>
                <w:szCs w:val="24"/>
                <w:highlight w:val="none"/>
                <w:lang w:val="en-US" w:eastAsia="zh-CN" w:bidi="ar-SA"/>
              </w:rPr>
            </w:pPr>
            <w:r>
              <w:rPr>
                <w:rFonts w:hint="eastAsia" w:ascii="宋体" w:cs="宋体"/>
                <w:sz w:val="24"/>
                <w:szCs w:val="24"/>
                <w:highlight w:val="none"/>
              </w:rPr>
              <w:t>7</w:t>
            </w:r>
          </w:p>
        </w:tc>
        <w:tc>
          <w:tcPr>
            <w:tcW w:w="6021" w:type="dxa"/>
            <w:shd w:val="clear" w:color="auto" w:fill="auto"/>
            <w:vAlign w:val="center"/>
          </w:tcPr>
          <w:p>
            <w:pPr>
              <w:widowControl/>
              <w:shd w:val="clear"/>
              <w:snapToGrid w:val="0"/>
              <w:spacing w:line="34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技术、商务响应表</w:t>
            </w:r>
          </w:p>
        </w:tc>
        <w:tc>
          <w:tcPr>
            <w:tcW w:w="2636" w:type="dxa"/>
            <w:shd w:val="clear" w:color="auto" w:fill="auto"/>
            <w:vAlign w:val="center"/>
          </w:tcPr>
          <w:p>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eastAsia" w:ascii="宋体" w:eastAsia="宋体" w:cs="宋体"/>
                <w:sz w:val="24"/>
                <w:szCs w:val="24"/>
                <w:highlight w:val="none"/>
                <w:lang w:val="en-US" w:eastAsia="zh-CN"/>
              </w:rPr>
            </w:pPr>
            <w:r>
              <w:rPr>
                <w:rFonts w:hint="eastAsia" w:ascii="宋体" w:cs="宋体"/>
                <w:sz w:val="24"/>
                <w:szCs w:val="24"/>
                <w:highlight w:val="none"/>
                <w:lang w:val="en-US" w:eastAsia="zh-CN"/>
              </w:rPr>
              <w:t>8</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default"/>
                <w:sz w:val="24"/>
                <w:szCs w:val="22"/>
                <w:highlight w:val="none"/>
                <w:lang w:val="en-US" w:eastAsia="zh-CN"/>
              </w:rPr>
              <w:t>现状整体认识</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eastAsia" w:ascii="宋体" w:eastAsia="宋体" w:cs="宋体"/>
                <w:sz w:val="24"/>
                <w:szCs w:val="24"/>
                <w:highlight w:val="none"/>
                <w:lang w:val="en-US" w:eastAsia="zh-CN"/>
              </w:rPr>
            </w:pPr>
            <w:r>
              <w:rPr>
                <w:rFonts w:hint="eastAsia" w:ascii="宋体" w:cs="宋体"/>
                <w:sz w:val="24"/>
                <w:szCs w:val="24"/>
                <w:highlight w:val="none"/>
                <w:lang w:val="en-US" w:eastAsia="zh-CN"/>
              </w:rPr>
              <w:t>9</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工作内容、目的、任务</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10</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项目特色建议和意见</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11</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项目重难点分析</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12</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工作进度安排及各阶段详细工作计划</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13</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质量及项目实施保障措施</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shd w:val="clear" w:color="auto" w:fill="auto"/>
            <w:vAlign w:val="center"/>
          </w:tcPr>
          <w:p>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14</w:t>
            </w:r>
          </w:p>
        </w:tc>
        <w:tc>
          <w:tcPr>
            <w:tcW w:w="6021" w:type="dxa"/>
            <w:shd w:val="clear" w:color="auto" w:fill="auto"/>
            <w:vAlign w:val="center"/>
          </w:tcPr>
          <w:p>
            <w:pPr>
              <w:shd w:val="clear"/>
              <w:snapToGrid w:val="0"/>
              <w:jc w:val="both"/>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服务承诺</w:t>
            </w:r>
          </w:p>
        </w:tc>
        <w:tc>
          <w:tcPr>
            <w:tcW w:w="2636" w:type="dxa"/>
            <w:shd w:val="clear" w:color="auto" w:fill="auto"/>
            <w:vAlign w:val="center"/>
          </w:tcPr>
          <w:p>
            <w:pPr>
              <w:widowControl/>
              <w:shd w:val="clear"/>
              <w:snapToGrid w:val="0"/>
              <w:spacing w:line="340" w:lineRule="exact"/>
              <w:rPr>
                <w:rFonts w:hint="eastAsia" w:ascii="宋体" w:hAns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shd w:val="clear" w:color="auto" w:fill="auto"/>
            <w:vAlign w:val="center"/>
          </w:tcPr>
          <w:p>
            <w:pPr>
              <w:shd w:val="clea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15</w:t>
            </w:r>
          </w:p>
        </w:tc>
        <w:tc>
          <w:tcPr>
            <w:tcW w:w="6021" w:type="dxa"/>
            <w:shd w:val="clear" w:color="auto" w:fill="auto"/>
            <w:vAlign w:val="center"/>
          </w:tcPr>
          <w:p>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投标人认为需要提供的其他资料，包括可能影响投标人商务技术文件评分的各类证明材料</w:t>
            </w:r>
          </w:p>
        </w:tc>
        <w:tc>
          <w:tcPr>
            <w:tcW w:w="2636" w:type="dxa"/>
            <w:shd w:val="clear" w:color="auto" w:fill="auto"/>
            <w:vAlign w:val="center"/>
          </w:tcPr>
          <w:p>
            <w:pPr>
              <w:widowControl/>
              <w:shd w:val="clear"/>
              <w:snapToGrid w:val="0"/>
              <w:spacing w:line="340" w:lineRule="exact"/>
              <w:rPr>
                <w:rFonts w:ascii="宋体" w:hAnsi="宋体" w:cs="宋体"/>
                <w:sz w:val="24"/>
                <w:szCs w:val="24"/>
                <w:highlight w:val="none"/>
              </w:rPr>
            </w:pPr>
            <w:r>
              <w:rPr>
                <w:rFonts w:hint="eastAsia" w:ascii="宋体" w:hAnsi="宋体" w:cs="宋体"/>
                <w:kern w:val="0"/>
                <w:sz w:val="24"/>
                <w:szCs w:val="24"/>
                <w:highlight w:val="none"/>
              </w:rPr>
              <w:t>格式、内容自拟</w:t>
            </w:r>
          </w:p>
        </w:tc>
      </w:tr>
    </w:tbl>
    <w:p>
      <w:pPr>
        <w:shd w:val="clear"/>
        <w:autoSpaceDE w:val="0"/>
        <w:autoSpaceDN w:val="0"/>
        <w:adjustRightInd w:val="0"/>
        <w:spacing w:line="360" w:lineRule="auto"/>
        <w:ind w:left="426" w:firstLine="65" w:firstLineChars="27"/>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2"/>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2" w:type="dxa"/>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056" w:type="dxa"/>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542" w:type="dxa"/>
            <w:vAlign w:val="center"/>
          </w:tcPr>
          <w:p>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hd w:val="clear"/>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056" w:type="dxa"/>
            <w:vAlign w:val="center"/>
          </w:tcPr>
          <w:p>
            <w:pPr>
              <w:widowControl/>
              <w:shd w:val="clear"/>
              <w:snapToGrid w:val="0"/>
              <w:spacing w:line="340" w:lineRule="exact"/>
              <w:rPr>
                <w:rFonts w:ascii="宋体" w:cs="宋体"/>
                <w:kern w:val="0"/>
                <w:sz w:val="24"/>
                <w:szCs w:val="24"/>
                <w:highlight w:val="none"/>
              </w:rPr>
            </w:pPr>
            <w:r>
              <w:rPr>
                <w:rFonts w:hint="eastAsia" w:ascii="宋体" w:cs="宋体"/>
                <w:kern w:val="0"/>
                <w:sz w:val="24"/>
                <w:szCs w:val="24"/>
                <w:highlight w:val="none"/>
              </w:rPr>
              <w:t>投标函</w:t>
            </w:r>
          </w:p>
        </w:tc>
        <w:tc>
          <w:tcPr>
            <w:tcW w:w="4542" w:type="dxa"/>
            <w:vAlign w:val="center"/>
          </w:tcPr>
          <w:p>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hd w:val="clear"/>
              <w:snapToGrid w:val="0"/>
              <w:spacing w:line="340" w:lineRule="exact"/>
              <w:jc w:val="center"/>
              <w:rPr>
                <w:rFonts w:ascii="宋体" w:cs="宋体"/>
                <w:sz w:val="24"/>
                <w:szCs w:val="24"/>
                <w:highlight w:val="none"/>
              </w:rPr>
            </w:pPr>
            <w:r>
              <w:rPr>
                <w:rFonts w:hint="eastAsia" w:ascii="宋体" w:hAnsi="宋体" w:cs="宋体"/>
                <w:sz w:val="24"/>
                <w:szCs w:val="24"/>
                <w:highlight w:val="none"/>
              </w:rPr>
              <w:t>2</w:t>
            </w:r>
          </w:p>
        </w:tc>
        <w:tc>
          <w:tcPr>
            <w:tcW w:w="4056" w:type="dxa"/>
            <w:vAlign w:val="center"/>
          </w:tcPr>
          <w:p>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开标一览表</w:t>
            </w:r>
          </w:p>
        </w:tc>
        <w:tc>
          <w:tcPr>
            <w:tcW w:w="4542" w:type="dxa"/>
            <w:vAlign w:val="center"/>
          </w:tcPr>
          <w:p>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hd w:val="clear"/>
              <w:snapToGrid w:val="0"/>
              <w:spacing w:line="34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4056" w:type="dxa"/>
            <w:vAlign w:val="center"/>
          </w:tcPr>
          <w:p>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投标人认为需要提供</w:t>
            </w:r>
            <w:r>
              <w:rPr>
                <w:rFonts w:hint="eastAsia" w:ascii="宋体" w:hAnsi="宋体" w:cs="宋体"/>
                <w:kern w:val="0"/>
                <w:sz w:val="24"/>
                <w:szCs w:val="24"/>
                <w:highlight w:val="none"/>
                <w:lang w:eastAsia="zh-CN"/>
              </w:rPr>
              <w:t>的其他文件</w:t>
            </w:r>
            <w:r>
              <w:rPr>
                <w:rFonts w:hint="eastAsia" w:ascii="宋体" w:hAnsi="宋体" w:cs="宋体"/>
                <w:kern w:val="0"/>
                <w:sz w:val="24"/>
                <w:szCs w:val="24"/>
                <w:highlight w:val="none"/>
              </w:rPr>
              <w:t>和资料</w:t>
            </w:r>
          </w:p>
        </w:tc>
        <w:tc>
          <w:tcPr>
            <w:tcW w:w="4542" w:type="dxa"/>
            <w:vAlign w:val="center"/>
          </w:tcPr>
          <w:p>
            <w:pPr>
              <w:widowControl/>
              <w:shd w:val="clear"/>
              <w:snapToGrid w:val="0"/>
              <w:spacing w:line="340" w:lineRule="exact"/>
              <w:rPr>
                <w:rFonts w:ascii="宋体" w:cs="宋体"/>
                <w:sz w:val="24"/>
                <w:szCs w:val="24"/>
                <w:highlight w:val="none"/>
              </w:rPr>
            </w:pPr>
            <w:r>
              <w:rPr>
                <w:rFonts w:hint="eastAsia" w:ascii="宋体" w:hAnsi="宋体" w:cs="宋体"/>
                <w:sz w:val="24"/>
                <w:szCs w:val="24"/>
                <w:highlight w:val="none"/>
              </w:rPr>
              <w:t>自行提供</w:t>
            </w:r>
          </w:p>
        </w:tc>
      </w:tr>
    </w:tbl>
    <w:p>
      <w:pPr>
        <w:shd w:val="clea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pPr>
        <w:shd w:val="clear"/>
        <w:autoSpaceDE w:val="0"/>
        <w:autoSpaceDN w:val="0"/>
        <w:adjustRightInd w:val="0"/>
        <w:spacing w:line="440" w:lineRule="exact"/>
        <w:ind w:firstLine="482" w:firstLineChars="200"/>
        <w:rPr>
          <w:rFonts w:ascii="宋体" w:cs="宋体"/>
          <w:b/>
          <w:bCs/>
          <w:sz w:val="24"/>
          <w:szCs w:val="24"/>
          <w:highlight w:val="none"/>
        </w:rPr>
      </w:pPr>
      <w:bookmarkStart w:id="2"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）投标人应按照投标文件组成内容及项目采购需求制作投标文件，</w:t>
      </w:r>
      <w:r>
        <w:rPr>
          <w:rFonts w:hint="eastAsia" w:ascii="宋体" w:hAnsi="宋体" w:cs="宋体"/>
          <w:kern w:val="0"/>
          <w:sz w:val="24"/>
          <w:szCs w:val="24"/>
          <w:highlight w:val="none"/>
        </w:rPr>
        <w:t>不按招标文件要求制作投标文件的将视情处理，责任由投标人自行承担。</w:t>
      </w:r>
    </w:p>
    <w:p>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 xml:space="preserve">     </w:t>
      </w:r>
    </w:p>
    <w:p>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）投标人应在认真阅读招标文件所有内容的基础上，按照招标文件的要求编制完整的投标文件。投标文件应按照招标文件中规定的统一格式填写：（1）“电子加密投标文件”按政府采购云平台供应商项目采购</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电子招投标操作指南（网址：https://help.zcy.gov.cn/web/site_2/2018/12-28/2573.html）及本招标文件要求制作、关联定位、加密。</w:t>
      </w:r>
    </w:p>
    <w:p>
      <w:pPr>
        <w:shd w:val="clear"/>
        <w:autoSpaceDE w:val="0"/>
        <w:autoSpaceDN w:val="0"/>
        <w:adjustRightInd w:val="0"/>
        <w:spacing w:line="440" w:lineRule="exact"/>
        <w:ind w:firstLine="482" w:firstLineChars="200"/>
        <w:rPr>
          <w:rFonts w:ascii="宋体" w:hAnsi="宋体" w:cs="宋体"/>
          <w:b/>
          <w:bCs/>
          <w:sz w:val="24"/>
          <w:szCs w:val="24"/>
          <w:highlight w:val="none"/>
          <w:lang w:val="zh-CN"/>
        </w:rPr>
      </w:pPr>
      <w:r>
        <w:rPr>
          <w:rFonts w:hint="eastAsia" w:ascii="宋体" w:hAnsi="宋体" w:cs="宋体"/>
          <w:b/>
          <w:bCs/>
          <w:sz w:val="24"/>
          <w:szCs w:val="24"/>
          <w:highlight w:val="none"/>
        </w:rPr>
        <w:t>2、</w:t>
      </w:r>
      <w:r>
        <w:rPr>
          <w:rFonts w:hint="eastAsia" w:ascii="宋体" w:hAnsi="宋体" w:cs="宋体"/>
          <w:b/>
          <w:bCs/>
          <w:sz w:val="24"/>
          <w:szCs w:val="24"/>
          <w:highlight w:val="none"/>
          <w:lang w:val="zh-CN"/>
        </w:rPr>
        <w:t>投标文件的编制、签署、份数</w:t>
      </w:r>
    </w:p>
    <w:p>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）投标文件包括“资格证明文件”“商务技术文件”和“报价文件”三部分。投标人应按“政府采购云平台”供应商项目采购－电子招投标操作指南（网址：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kern w:val="0"/>
          <w:sz w:val="24"/>
          <w:szCs w:val="24"/>
          <w:highlight w:val="none"/>
          <w:lang w:val="zh-CN"/>
        </w:rPr>
        <w:t>https://help.zcy.gov.cn/web/site_2/2018/12-28/2573.html）及本招标文件要求制作</w:t>
      </w:r>
      <w:r>
        <w:rPr>
          <w:rFonts w:hint="eastAsia" w:ascii="宋体" w:hAnsi="宋体" w:cs="宋体"/>
          <w:kern w:val="0"/>
          <w:sz w:val="24"/>
          <w:szCs w:val="24"/>
          <w:highlight w:val="none"/>
          <w:lang w:val="zh-CN"/>
        </w:rPr>
        <w:fldChar w:fldCharType="end"/>
      </w:r>
      <w:r>
        <w:rPr>
          <w:rFonts w:hint="eastAsia" w:ascii="宋体" w:hAnsi="宋体" w:cs="宋体"/>
          <w:kern w:val="0"/>
          <w:sz w:val="24"/>
          <w:szCs w:val="24"/>
          <w:highlight w:val="none"/>
          <w:lang w:val="zh-CN"/>
        </w:rPr>
        <w:t>。</w:t>
      </w:r>
    </w:p>
    <w:p>
      <w:pPr>
        <w:shd w:val="clear"/>
        <w:autoSpaceDE w:val="0"/>
        <w:autoSpaceDN w:val="0"/>
        <w:adjustRightInd w:val="0"/>
        <w:spacing w:line="440" w:lineRule="exact"/>
        <w:ind w:firstLine="482" w:firstLineChars="200"/>
        <w:rPr>
          <w:rFonts w:ascii="宋体" w:hAnsi="宋体" w:cs="宋体"/>
          <w:b/>
          <w:bCs/>
          <w:color w:val="FF0000"/>
          <w:kern w:val="0"/>
          <w:sz w:val="24"/>
          <w:szCs w:val="24"/>
          <w:highlight w:val="none"/>
          <w:lang w:val="zh-CN"/>
        </w:rPr>
      </w:pPr>
      <w:r>
        <w:rPr>
          <w:rFonts w:hint="eastAsia" w:ascii="宋体" w:hAnsi="宋体" w:cs="宋体"/>
          <w:b/>
          <w:bCs/>
          <w:color w:val="FF0000"/>
          <w:kern w:val="0"/>
          <w:sz w:val="24"/>
          <w:szCs w:val="24"/>
          <w:highlight w:val="none"/>
        </w:rPr>
        <w:t>（2）</w:t>
      </w:r>
      <w:r>
        <w:rPr>
          <w:rFonts w:hint="eastAsia" w:ascii="宋体" w:hAnsi="宋体" w:cs="宋体"/>
          <w:b/>
          <w:bCs/>
          <w:color w:val="FF0000"/>
          <w:kern w:val="0"/>
          <w:sz w:val="24"/>
          <w:szCs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）份数：</w:t>
      </w:r>
    </w:p>
    <w:p>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3.1</w:t>
      </w:r>
      <w:r>
        <w:rPr>
          <w:rFonts w:hint="eastAsia" w:ascii="宋体" w:hAnsi="宋体" w:cs="宋体"/>
          <w:kern w:val="0"/>
          <w:sz w:val="24"/>
          <w:szCs w:val="24"/>
          <w:highlight w:val="none"/>
          <w:lang w:val="zh-CN"/>
        </w:rPr>
        <w:t>“电子加密投标文件”（后缀格式为.jmbs）：在线上传递交一份。</w:t>
      </w:r>
    </w:p>
    <w:p>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rPr>
        <w:t>61692137</w:t>
      </w:r>
      <w:r>
        <w:rPr>
          <w:rFonts w:hint="eastAsia" w:ascii="宋体" w:hAnsi="宋体" w:cs="宋体"/>
          <w:kern w:val="0"/>
          <w:sz w:val="24"/>
          <w:szCs w:val="24"/>
          <w:highlight w:val="none"/>
          <w:lang w:val="zh-CN"/>
        </w:rPr>
        <w:t>@qq.com，以接收方邮箱收件箱所显示时间为准。</w:t>
      </w:r>
    </w:p>
    <w:p>
      <w:pPr>
        <w:shd w:val="clea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pPr>
        <w:shd w:val="clea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pPr>
        <w:shd w:val="clea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（2）如有特殊情况，采购代理机构延长截止时间和开标时间，采购代理机构和投标人的权利和义务将受到新的截止时间和开标时间的约束。</w:t>
      </w:r>
    </w:p>
    <w:p>
      <w:pPr>
        <w:shd w:val="clea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pPr>
        <w:shd w:val="clea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（1）投标人在投标截止时间前可以补充、修改或撤回投标文件。补充或者修改投标文件的，应当先行撤回原文件，补充、修改后重新递交。投标截止时间前未完成递交的，视为撤回投标文件。</w:t>
      </w:r>
    </w:p>
    <w:p>
      <w:pPr>
        <w:shd w:val="clea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（2）投标截止时间后，投标人不得修改（补充）或撤回其投标文件。</w:t>
      </w:r>
    </w:p>
    <w:p>
      <w:pPr>
        <w:shd w:val="clear"/>
        <w:tabs>
          <w:tab w:val="left" w:pos="1898"/>
        </w:tabs>
        <w:autoSpaceDE w:val="0"/>
        <w:autoSpaceDN w:val="0"/>
        <w:adjustRightIn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5、电子加密投标文件的解密及异常情况处理</w:t>
      </w:r>
    </w:p>
    <w:p>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kern w:val="0"/>
          <w:sz w:val="24"/>
          <w:szCs w:val="24"/>
          <w:highlight w:val="none"/>
        </w:rPr>
        <w:t>30分钟</w:t>
      </w:r>
      <w:r>
        <w:rPr>
          <w:rFonts w:hint="eastAsia" w:ascii="宋体" w:hAnsi="宋体" w:cs="宋体"/>
          <w:kern w:val="0"/>
          <w:sz w:val="24"/>
          <w:szCs w:val="24"/>
          <w:highlight w:val="none"/>
          <w:lang w:val="zh-CN"/>
        </w:rPr>
        <w:t>内自行完成“电子加密投标文件”的在线解密。</w:t>
      </w:r>
    </w:p>
    <w:p>
      <w:pPr>
        <w:shd w:val="clea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shd w:val="clea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p>
      <w:pPr>
        <w:shd w:val="clea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pPr>
        <w:pStyle w:val="5"/>
        <w:numPr>
          <w:ilvl w:val="0"/>
          <w:numId w:val="0"/>
        </w:numPr>
        <w:shd w:val="clea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pPr>
        <w:pStyle w:val="5"/>
        <w:numPr>
          <w:ilvl w:val="0"/>
          <w:numId w:val="0"/>
        </w:numPr>
        <w:shd w:val="clear"/>
        <w:tabs>
          <w:tab w:val="left" w:pos="0"/>
          <w:tab w:val="clear" w:pos="1070"/>
        </w:tabs>
        <w:snapToGrid w:val="0"/>
        <w:spacing w:line="440" w:lineRule="exact"/>
        <w:ind w:firstLine="480" w:firstLineChars="200"/>
        <w:rPr>
          <w:rFonts w:ascii="宋体" w:hAns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pPr>
        <w:shd w:val="clear"/>
        <w:snapToGrid w:val="0"/>
        <w:spacing w:line="440" w:lineRule="exact"/>
        <w:ind w:firstLine="480" w:firstLineChars="200"/>
        <w:jc w:val="left"/>
        <w:outlineLvl w:val="0"/>
        <w:rPr>
          <w:rFonts w:ascii="宋体" w:cs="宋体"/>
          <w:b/>
          <w:bCs/>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2"/>
    </w:p>
    <w:p>
      <w:pPr>
        <w:shd w:val="clear"/>
        <w:snapToGrid w:val="0"/>
        <w:spacing w:line="440" w:lineRule="exact"/>
        <w:jc w:val="center"/>
        <w:rPr>
          <w:rFonts w:ascii="宋体" w:hAnsi="宋体" w:cs="宋体"/>
          <w:b/>
          <w:bCs/>
          <w:sz w:val="28"/>
          <w:szCs w:val="28"/>
          <w:highlight w:val="none"/>
        </w:rPr>
      </w:pPr>
    </w:p>
    <w:p>
      <w:pPr>
        <w:shd w:val="clea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pPr>
        <w:numPr>
          <w:ilvl w:val="0"/>
          <w:numId w:val="3"/>
        </w:numPr>
        <w:shd w:val="clear"/>
        <w:autoSpaceDE w:val="0"/>
        <w:autoSpaceDN w:val="0"/>
        <w:adjustRightIn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开标程序</w:t>
      </w:r>
    </w:p>
    <w:p>
      <w:pPr>
        <w:shd w:val="clear"/>
        <w:spacing w:line="360" w:lineRule="auto"/>
        <w:ind w:firstLine="422" w:firstLineChars="176"/>
        <w:rPr>
          <w:rFonts w:ascii="宋体" w:hAnsi="宋体" w:cs="Arial"/>
          <w:kern w:val="0"/>
          <w:sz w:val="24"/>
          <w:highlight w:val="none"/>
        </w:rPr>
      </w:pPr>
      <w:r>
        <w:rPr>
          <w:rFonts w:hint="eastAsia" w:ascii="宋体" w:hAnsi="宋体" w:cs="宋体"/>
          <w:sz w:val="24"/>
          <w:szCs w:val="24"/>
          <w:highlight w:val="none"/>
        </w:rPr>
        <w:t>1、</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参加在线</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，同时投标供应商因未在线参加开标而导致投标文件无法按时解密等一切后果由供应商自行承担。</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3、投标文件解密结束，供应商通过邮件形式将经授权代表签署的《政府采购活动现场确认声明书》（</w:t>
      </w:r>
      <w:r>
        <w:rPr>
          <w:rFonts w:hint="eastAsia" w:ascii="宋体" w:hAnsi="宋体" w:cs="宋体"/>
          <w:b/>
          <w:bCs/>
          <w:sz w:val="24"/>
          <w:szCs w:val="24"/>
          <w:highlight w:val="none"/>
        </w:rPr>
        <w:t>格式见招标文件最后一页内容</w:t>
      </w:r>
      <w:r>
        <w:rPr>
          <w:rFonts w:hint="eastAsia" w:ascii="宋体" w:hAnsi="宋体" w:cs="宋体"/>
          <w:sz w:val="24"/>
          <w:szCs w:val="24"/>
          <w:highlight w:val="none"/>
        </w:rPr>
        <w:t>）的扫描件或（图片）发至代理机构经办人邮箱（邮箱地址：61692137@qq.com）；</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highlight w:val="none"/>
          <w14:textFill>
            <w14:solidFill>
              <w14:schemeClr w14:val="tx1"/>
            </w14:solidFill>
          </w14:textFill>
        </w:rPr>
        <w:t>（不予确认的应说明理由，否则视为无异议）</w:t>
      </w:r>
      <w:r>
        <w:rPr>
          <w:rFonts w:hint="eastAsia" w:ascii="宋体" w:hAnsi="宋体" w:cs="宋体"/>
          <w:sz w:val="24"/>
          <w:szCs w:val="24"/>
          <w:highlight w:val="none"/>
        </w:rPr>
        <w:t>。资格审查未获通过的投标人，其商务技术文件及报价文件不进入评审。</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5、评标委员会对商务技术文件进行评审，评审内容包括符合性审查，技术、商务评估及比较等。符合性</w:t>
      </w:r>
      <w:r>
        <w:rPr>
          <w:rFonts w:hint="eastAsia" w:ascii="宋体" w:hAnsi="宋体" w:cs="宋体"/>
          <w:sz w:val="24"/>
          <w:szCs w:val="24"/>
          <w:highlight w:val="none"/>
          <w:lang w:eastAsia="zh-CN"/>
        </w:rPr>
        <w:t>及商务</w:t>
      </w:r>
      <w:r>
        <w:rPr>
          <w:rFonts w:hint="eastAsia" w:ascii="宋体" w:hAnsi="宋体" w:cs="宋体"/>
          <w:sz w:val="24"/>
          <w:szCs w:val="24"/>
          <w:highlight w:val="none"/>
        </w:rPr>
        <w:t>技术审查不通过的，通过“政府采购云平台”线上告知其原因并由投标人签章确认</w:t>
      </w:r>
      <w:r>
        <w:rPr>
          <w:rFonts w:hint="eastAsia" w:ascii="宋体" w:hAnsi="宋体" w:cs="宋体"/>
          <w:color w:val="000000" w:themeColor="text1"/>
          <w:sz w:val="24"/>
          <w:szCs w:val="24"/>
          <w:highlight w:val="none"/>
          <w14:textFill>
            <w14:solidFill>
              <w14:schemeClr w14:val="tx1"/>
            </w14:solidFill>
          </w14:textFill>
        </w:rPr>
        <w:t>（不予确认的应说明理由，否则视为无异议），</w:t>
      </w:r>
      <w:r>
        <w:rPr>
          <w:rFonts w:hint="eastAsia" w:ascii="宋体" w:hAnsi="宋体" w:cs="宋体"/>
          <w:sz w:val="24"/>
          <w:szCs w:val="24"/>
          <w:highlight w:val="none"/>
        </w:rPr>
        <w:t>其报价文件不再进入评审。</w:t>
      </w:r>
    </w:p>
    <w:p>
      <w:pPr>
        <w:shd w:val="clear"/>
        <w:spacing w:line="360" w:lineRule="auto"/>
        <w:ind w:firstLine="424" w:firstLineChars="177"/>
        <w:jc w:val="left"/>
        <w:rPr>
          <w:rFonts w:ascii="宋体" w:hAnsi="宋体" w:cs="Arial"/>
          <w:kern w:val="0"/>
          <w:sz w:val="24"/>
          <w:highlight w:val="none"/>
        </w:rPr>
      </w:pPr>
      <w:r>
        <w:rPr>
          <w:rFonts w:hint="eastAsia" w:ascii="宋体" w:hAnsi="宋体" w:cs="宋体"/>
          <w:sz w:val="24"/>
          <w:szCs w:val="24"/>
          <w:highlight w:val="none"/>
        </w:rPr>
        <w:t>6、</w:t>
      </w:r>
      <w:r>
        <w:rPr>
          <w:rFonts w:hint="eastAsia" w:ascii="宋体" w:hAnsi="宋体" w:cs="Arial"/>
          <w:kern w:val="0"/>
          <w:sz w:val="24"/>
          <w:highlight w:val="none"/>
        </w:rPr>
        <w:t>开启符合性审查、商务技术评审有效投标供应商的《报价文件》，通过“政府采购云平台”公布开标一览表有关内容，同时当场制作开标记录表，</w:t>
      </w:r>
      <w:r>
        <w:rPr>
          <w:rFonts w:hint="eastAsia" w:ascii="宋体" w:hAnsi="宋体" w:cs="Arial"/>
          <w:kern w:val="0"/>
          <w:sz w:val="24"/>
          <w:highlight w:val="none"/>
          <w:u w:val="single"/>
        </w:rPr>
        <w:t>供应商通过“政府采购云平台”</w:t>
      </w:r>
      <w:r>
        <w:rPr>
          <w:rFonts w:ascii="宋体" w:hAnsi="宋体" w:cs="Arial"/>
          <w:kern w:val="0"/>
          <w:sz w:val="24"/>
          <w:highlight w:val="none"/>
          <w:u w:val="single"/>
        </w:rPr>
        <w:t>签</w:t>
      </w:r>
      <w:r>
        <w:rPr>
          <w:rFonts w:hint="eastAsia" w:ascii="宋体" w:hAnsi="宋体" w:cs="Arial"/>
          <w:kern w:val="0"/>
          <w:sz w:val="24"/>
          <w:highlight w:val="none"/>
          <w:u w:val="single"/>
        </w:rPr>
        <w:t>章</w:t>
      </w:r>
      <w:r>
        <w:rPr>
          <w:rFonts w:ascii="宋体" w:hAnsi="宋体" w:cs="Arial"/>
          <w:kern w:val="0"/>
          <w:sz w:val="24"/>
          <w:highlight w:val="none"/>
          <w:u w:val="single"/>
        </w:rPr>
        <w:t>确认</w:t>
      </w:r>
      <w:r>
        <w:rPr>
          <w:rFonts w:ascii="宋体" w:hAnsi="宋体" w:cs="Arial"/>
          <w:kern w:val="0"/>
          <w:sz w:val="24"/>
          <w:highlight w:val="none"/>
        </w:rPr>
        <w:t>（不予确认的应说明理由，否则视为无异议）。</w:t>
      </w:r>
      <w:r>
        <w:rPr>
          <w:rFonts w:hint="eastAsia" w:ascii="宋体" w:hAnsi="宋体" w:cs="Arial"/>
          <w:kern w:val="0"/>
          <w:sz w:val="24"/>
          <w:highlight w:val="none"/>
        </w:rPr>
        <w:t>报价文件开启</w:t>
      </w:r>
      <w:r>
        <w:rPr>
          <w:rFonts w:ascii="宋体" w:hAnsi="宋体" w:cs="Arial"/>
          <w:kern w:val="0"/>
          <w:sz w:val="24"/>
          <w:highlight w:val="none"/>
        </w:rPr>
        <w:t>后，由评标委员会对报价的合理性、准确性等进行审查核实</w:t>
      </w:r>
      <w:r>
        <w:rPr>
          <w:rFonts w:hint="eastAsia" w:ascii="宋体" w:hAnsi="宋体" w:cs="Arial"/>
          <w:kern w:val="0"/>
          <w:sz w:val="24"/>
          <w:highlight w:val="none"/>
        </w:rPr>
        <w:t>。</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7、评审结束后，由评标委员会编写并签署评审报告，评审报告应当根据评标办法及评分标准推荐中标候选人；</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8、采购代理机构将通过“政府采购云平台”线上公布中标（成交）候选供应商名单并出具开标记录，由主持人、记录人、现场监督员当场签字确认；</w:t>
      </w:r>
    </w:p>
    <w:p>
      <w:pPr>
        <w:shd w:val="clea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9、开标会议结束。</w:t>
      </w:r>
    </w:p>
    <w:p>
      <w:pPr>
        <w:shd w:val="clear"/>
        <w:snapToGrid w:val="0"/>
        <w:spacing w:line="440" w:lineRule="exact"/>
        <w:ind w:firstLine="482" w:firstLineChars="200"/>
        <w:rPr>
          <w:rFonts w:ascii="宋体" w:hAnsi="宋体" w:cs="宋体"/>
          <w:b/>
          <w:bCs/>
          <w:color w:val="FF0000"/>
          <w:sz w:val="24"/>
          <w:szCs w:val="24"/>
          <w:highlight w:val="none"/>
        </w:rPr>
      </w:pPr>
      <w:r>
        <w:rPr>
          <w:rFonts w:hint="eastAsia" w:ascii="宋体" w:hAnsi="宋体" w:cs="宋体"/>
          <w:b/>
          <w:bCs/>
          <w:color w:val="FF0000"/>
          <w:sz w:val="24"/>
          <w:szCs w:val="24"/>
          <w:highlight w:val="none"/>
        </w:rPr>
        <w:t>特别说明：政府采购云平台如对电子化开标及评审程序有调整的，按调整后的程序操作。</w:t>
      </w:r>
    </w:p>
    <w:p>
      <w:pPr>
        <w:pStyle w:val="12"/>
        <w:shd w:val="clear"/>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1、采购人或采购代理机构负责组织本项目的评审工作，并依据《政府采购货物和服务招标投标管理办法（财政部第87号令）》第四十五条的相关规定履行职责。</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1、评标委员会由采购人或采购代理机构依法组建，成员包括采购人代表和评审专家，成员人数</w:t>
      </w:r>
      <w:r>
        <w:rPr>
          <w:rFonts w:ascii="宋体" w:hAnsi="宋体" w:cs="Arial"/>
          <w:kern w:val="0"/>
          <w:sz w:val="24"/>
          <w:highlight w:val="none"/>
        </w:rPr>
        <w:t>为</w:t>
      </w:r>
      <w:r>
        <w:rPr>
          <w:rFonts w:hint="eastAsia" w:ascii="宋体" w:hAnsi="宋体" w:cs="Arial"/>
          <w:kern w:val="0"/>
          <w:sz w:val="24"/>
          <w:highlight w:val="none"/>
        </w:rPr>
        <w:t>五</w:t>
      </w:r>
      <w:r>
        <w:rPr>
          <w:rFonts w:ascii="宋体" w:hAnsi="宋体" w:cs="Arial"/>
          <w:kern w:val="0"/>
          <w:sz w:val="24"/>
          <w:highlight w:val="none"/>
        </w:rPr>
        <w:t>人</w:t>
      </w:r>
      <w:r>
        <w:rPr>
          <w:rFonts w:hint="eastAsia" w:ascii="宋体" w:hAnsi="宋体" w:cs="Arial"/>
          <w:kern w:val="0"/>
          <w:sz w:val="24"/>
          <w:highlight w:val="none"/>
        </w:rPr>
        <w:t>或以上单数，其中评审专家不少于成员总数的三分之二。</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2、评标委员会成员名单在评审结果（采购结果）公告前保密。</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pPr>
        <w:shd w:val="clear"/>
        <w:spacing w:line="360" w:lineRule="auto"/>
        <w:ind w:firstLine="424" w:firstLineChars="176"/>
        <w:rPr>
          <w:rFonts w:ascii="宋体" w:hAnsi="宋体" w:cs="Arial"/>
          <w:b/>
          <w:kern w:val="0"/>
          <w:sz w:val="24"/>
          <w:highlight w:val="none"/>
        </w:rPr>
      </w:pPr>
      <w:r>
        <w:rPr>
          <w:rFonts w:hint="eastAsia" w:ascii="宋体" w:hAnsi="宋体" w:cs="Arial"/>
          <w:b/>
          <w:kern w:val="0"/>
          <w:sz w:val="24"/>
          <w:highlight w:val="none"/>
        </w:rPr>
        <w:t>1、评标委员会负责具体评审事务，并独立履行下列职责：</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（1）审查、评价投标文件是否符合招标文件的商务、技术等实质性要求；</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（2）要求投标人对投标文件有关事项作出澄清或者说明；</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（3）对投标文件进行比较和评价；</w:t>
      </w:r>
    </w:p>
    <w:p>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（4）确定中标候选人名单，以及根据采购人委托直接确定中标人。</w:t>
      </w:r>
    </w:p>
    <w:p>
      <w:pPr>
        <w:pStyle w:val="12"/>
        <w:shd w:val="clear"/>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（四）评标原则和评标办法</w:t>
      </w:r>
    </w:p>
    <w:p>
      <w:pPr>
        <w:pStyle w:val="12"/>
        <w:shd w:val="clear"/>
        <w:snapToGrid w:val="0"/>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rPr>
        <w:t>2、评审工作将依据招标文件、投标文件，具体评标内容及评分标准等详见《第三章：评标方法及评分标准》。</w:t>
      </w:r>
    </w:p>
    <w:p>
      <w:pPr>
        <w:pStyle w:val="12"/>
        <w:shd w:val="clear"/>
        <w:snapToGrid w:val="0"/>
        <w:spacing w:line="440" w:lineRule="exact"/>
        <w:ind w:firstLine="480" w:firstLineChars="200"/>
        <w:rPr>
          <w:rFonts w:hAnsi="宋体" w:cs="Times New Roman"/>
          <w:sz w:val="24"/>
          <w:szCs w:val="24"/>
          <w:highlight w:val="none"/>
        </w:rPr>
      </w:pPr>
      <w:r>
        <w:rPr>
          <w:rFonts w:hint="eastAsia" w:hAnsi="宋体"/>
          <w:sz w:val="24"/>
          <w:szCs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pPr>
        <w:shd w:val="clear"/>
        <w:spacing w:line="360" w:lineRule="auto"/>
        <w:ind w:firstLine="424" w:firstLineChars="177"/>
        <w:rPr>
          <w:rFonts w:ascii="宋体" w:hAnsi="宋体" w:cs="Arial"/>
          <w:bCs/>
          <w:sz w:val="24"/>
          <w:highlight w:val="none"/>
        </w:rPr>
      </w:pPr>
      <w:r>
        <w:rPr>
          <w:rFonts w:hint="eastAsia" w:ascii="宋体" w:hAnsi="宋体" w:cs="Arial"/>
          <w:bCs/>
          <w:sz w:val="24"/>
          <w:highlight w:val="none"/>
        </w:rPr>
        <w:t>1、评标委员会</w:t>
      </w:r>
      <w:r>
        <w:rPr>
          <w:rFonts w:ascii="宋体" w:hAnsi="宋体" w:cs="Arial"/>
          <w:bCs/>
          <w:sz w:val="24"/>
          <w:highlight w:val="none"/>
        </w:rPr>
        <w:t>成员对需要共同认定的事项存在争议的，按照少数服从多数的原则作出结论。持不同意见的</w:t>
      </w:r>
      <w:r>
        <w:rPr>
          <w:rFonts w:hint="eastAsia" w:ascii="宋体" w:hAnsi="宋体" w:cs="Arial"/>
          <w:bCs/>
          <w:sz w:val="24"/>
          <w:highlight w:val="none"/>
        </w:rPr>
        <w:t>评标委员会</w:t>
      </w:r>
      <w:r>
        <w:rPr>
          <w:rFonts w:ascii="宋体" w:hAnsi="宋体" w:cs="Arial"/>
          <w:bCs/>
          <w:sz w:val="24"/>
          <w:highlight w:val="none"/>
        </w:rPr>
        <w:t>成员应当在评</w:t>
      </w:r>
      <w:r>
        <w:rPr>
          <w:rFonts w:hint="eastAsia" w:ascii="宋体" w:hAnsi="宋体" w:cs="Arial"/>
          <w:bCs/>
          <w:sz w:val="24"/>
          <w:highlight w:val="none"/>
        </w:rPr>
        <w:t>审</w:t>
      </w:r>
      <w:r>
        <w:rPr>
          <w:rFonts w:ascii="宋体" w:hAnsi="宋体" w:cs="Arial"/>
          <w:bCs/>
          <w:sz w:val="24"/>
          <w:highlight w:val="none"/>
        </w:rPr>
        <w:t>报告上签署不同意见及理由，否则视为同意评</w:t>
      </w:r>
      <w:r>
        <w:rPr>
          <w:rFonts w:hint="eastAsia" w:ascii="宋体" w:hAnsi="宋体" w:cs="Arial"/>
          <w:bCs/>
          <w:sz w:val="24"/>
          <w:highlight w:val="none"/>
        </w:rPr>
        <w:t>审</w:t>
      </w:r>
      <w:r>
        <w:rPr>
          <w:rFonts w:ascii="宋体" w:hAnsi="宋体" w:cs="Arial"/>
          <w:bCs/>
          <w:sz w:val="24"/>
          <w:highlight w:val="none"/>
        </w:rPr>
        <w:t>报告。</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pPr>
        <w:shd w:val="clear"/>
        <w:spacing w:line="360" w:lineRule="auto"/>
        <w:ind w:firstLine="424" w:firstLineChars="177"/>
        <w:rPr>
          <w:rFonts w:ascii="宋体" w:hAnsi="宋体" w:cs="Arial"/>
          <w:kern w:val="0"/>
          <w:sz w:val="24"/>
          <w:highlight w:val="none"/>
        </w:rPr>
      </w:pPr>
      <w:r>
        <w:rPr>
          <w:rFonts w:hint="eastAsia" w:ascii="宋体" w:hAnsi="宋体" w:cs="Arial"/>
          <w:sz w:val="24"/>
          <w:highlight w:val="none"/>
        </w:rPr>
        <w:t>1、评标委员会成员</w:t>
      </w:r>
      <w:r>
        <w:rPr>
          <w:rFonts w:ascii="宋体" w:hAnsi="宋体" w:cs="Arial"/>
          <w:sz w:val="24"/>
          <w:highlight w:val="none"/>
        </w:rPr>
        <w:t>必须严格遵守保密规定，不得泄露评</w:t>
      </w:r>
      <w:r>
        <w:rPr>
          <w:rFonts w:hint="eastAsia" w:ascii="宋体" w:hAnsi="宋体" w:cs="Arial"/>
          <w:sz w:val="24"/>
          <w:highlight w:val="none"/>
        </w:rPr>
        <w:t>审</w:t>
      </w:r>
      <w:r>
        <w:rPr>
          <w:rFonts w:ascii="宋体" w:hAnsi="宋体" w:cs="Arial"/>
          <w:sz w:val="24"/>
          <w:highlight w:val="none"/>
        </w:rPr>
        <w:t>的有关情况</w:t>
      </w:r>
      <w:r>
        <w:rPr>
          <w:rFonts w:hint="eastAsia" w:ascii="宋体" w:hAnsi="宋体" w:cs="Arial"/>
          <w:kern w:val="0"/>
          <w:sz w:val="24"/>
          <w:highlight w:val="none"/>
        </w:rPr>
        <w:t>，</w:t>
      </w:r>
      <w:r>
        <w:rPr>
          <w:rFonts w:ascii="宋体" w:hAnsi="宋体" w:cs="Arial"/>
          <w:kern w:val="0"/>
          <w:sz w:val="24"/>
          <w:highlight w:val="none"/>
        </w:rPr>
        <w:t>任何单位和个人不得干扰、影响评标的正常进行</w:t>
      </w:r>
      <w:r>
        <w:rPr>
          <w:rFonts w:hint="eastAsia" w:ascii="宋体" w:hAnsi="宋体" w:cs="Arial"/>
          <w:kern w:val="0"/>
          <w:sz w:val="24"/>
          <w:highlight w:val="none"/>
        </w:rPr>
        <w:t>，</w:t>
      </w:r>
      <w:r>
        <w:rPr>
          <w:rFonts w:ascii="宋体" w:hAnsi="宋体" w:cs="Arial"/>
          <w:kern w:val="0"/>
          <w:sz w:val="24"/>
          <w:highlight w:val="none"/>
        </w:rPr>
        <w:t>评标委员会</w:t>
      </w:r>
      <w:r>
        <w:rPr>
          <w:rFonts w:hint="eastAsia" w:ascii="宋体" w:hAnsi="宋体" w:cs="Arial"/>
          <w:kern w:val="0"/>
          <w:sz w:val="24"/>
          <w:highlight w:val="none"/>
        </w:rPr>
        <w:t>成员</w:t>
      </w:r>
      <w:r>
        <w:rPr>
          <w:rFonts w:ascii="宋体" w:hAnsi="宋体" w:cs="Arial"/>
          <w:kern w:val="0"/>
          <w:sz w:val="24"/>
          <w:highlight w:val="none"/>
        </w:rPr>
        <w:t>不得私下与投标供应商接触</w:t>
      </w:r>
      <w:r>
        <w:rPr>
          <w:rFonts w:hint="eastAsia" w:ascii="宋体" w:hAnsi="宋体" w:cs="Arial"/>
          <w:kern w:val="0"/>
          <w:sz w:val="24"/>
          <w:highlight w:val="none"/>
        </w:rPr>
        <w:t>，不得出现浙江省政府采购活动现场组织管理办法中规定的其他禁止行为。</w:t>
      </w:r>
    </w:p>
    <w:p>
      <w:pPr>
        <w:pStyle w:val="4"/>
        <w:numPr>
          <w:ilvl w:val="2"/>
          <w:numId w:val="0"/>
        </w:numPr>
        <w:shd w:val="clear"/>
        <w:spacing w:before="0" w:after="0"/>
        <w:ind w:left="730" w:leftChars="185" w:hanging="342" w:hangingChars="142"/>
        <w:rPr>
          <w:rFonts w:ascii="宋体" w:hAnsi="宋体" w:cs="宋体"/>
          <w:sz w:val="24"/>
          <w:szCs w:val="24"/>
          <w:highlight w:val="none"/>
        </w:rPr>
      </w:pPr>
      <w:bookmarkStart w:id="3" w:name="_Toc24550043"/>
      <w:bookmarkStart w:id="4" w:name="_Toc33194395"/>
      <w:r>
        <w:rPr>
          <w:rFonts w:hint="eastAsia" w:ascii="宋体" w:hAnsi="宋体" w:cs="宋体"/>
          <w:sz w:val="24"/>
          <w:szCs w:val="24"/>
          <w:highlight w:val="none"/>
        </w:rPr>
        <w:t>（七）</w:t>
      </w:r>
      <w:bookmarkEnd w:id="3"/>
      <w:bookmarkStart w:id="5" w:name="_Toc24550044"/>
      <w:r>
        <w:rPr>
          <w:rFonts w:hint="eastAsia" w:ascii="宋体" w:hAnsi="宋体" w:cs="宋体"/>
          <w:sz w:val="24"/>
          <w:szCs w:val="24"/>
          <w:highlight w:val="none"/>
        </w:rPr>
        <w:t>评审流程及内容</w:t>
      </w:r>
      <w:bookmarkEnd w:id="4"/>
      <w:bookmarkEnd w:id="5"/>
    </w:p>
    <w:p>
      <w:pPr>
        <w:shd w:val="clear"/>
        <w:spacing w:line="360" w:lineRule="auto"/>
        <w:ind w:firstLine="424" w:firstLineChars="176"/>
        <w:rPr>
          <w:rFonts w:ascii="宋体" w:hAnsi="宋体"/>
          <w:sz w:val="24"/>
          <w:highlight w:val="none"/>
        </w:rPr>
      </w:pPr>
      <w:r>
        <w:rPr>
          <w:rFonts w:hint="eastAsia" w:ascii="宋体" w:hAnsi="宋体" w:cs="Arial"/>
          <w:b/>
          <w:kern w:val="0"/>
          <w:sz w:val="24"/>
          <w:highlight w:val="none"/>
        </w:rPr>
        <w:t>本项目具体的评审事务由评标委员会负责，评审流程及内容如下：</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sz w:val="24"/>
          <w:szCs w:val="24"/>
          <w:highlight w:val="none"/>
        </w:rPr>
        <w:t>1、评审前准备</w:t>
      </w:r>
    </w:p>
    <w:p>
      <w:pPr>
        <w:shd w:val="clear"/>
        <w:spacing w:line="360" w:lineRule="auto"/>
        <w:ind w:firstLine="240" w:firstLineChars="100"/>
        <w:rPr>
          <w:rFonts w:ascii="宋体" w:hAnsi="宋体" w:cs="Arial"/>
          <w:kern w:val="0"/>
          <w:sz w:val="24"/>
          <w:highlight w:val="none"/>
        </w:rPr>
      </w:pPr>
      <w:r>
        <w:rPr>
          <w:rFonts w:hint="eastAsia" w:ascii="宋体" w:hAnsi="宋体" w:cs="Arial"/>
          <w:kern w:val="0"/>
          <w:sz w:val="24"/>
          <w:highlight w:val="none"/>
        </w:rPr>
        <w:t>（1）由评审专家推选评审小组组长，采购人代表不得担任评审小组组长。</w:t>
      </w:r>
    </w:p>
    <w:p>
      <w:pPr>
        <w:shd w:val="clear"/>
        <w:spacing w:line="360" w:lineRule="auto"/>
        <w:ind w:firstLine="240" w:firstLineChars="100"/>
        <w:rPr>
          <w:rFonts w:ascii="宋体" w:hAnsi="宋体" w:cs="Arial"/>
          <w:b/>
          <w:kern w:val="0"/>
          <w:sz w:val="24"/>
          <w:highlight w:val="none"/>
        </w:rPr>
      </w:pPr>
      <w:r>
        <w:rPr>
          <w:rFonts w:hint="eastAsia" w:ascii="宋体" w:hAnsi="宋体" w:cs="Arial"/>
          <w:kern w:val="0"/>
          <w:sz w:val="24"/>
          <w:highlight w:val="none"/>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4"/>
        <w:numPr>
          <w:ilvl w:val="2"/>
          <w:numId w:val="0"/>
        </w:numPr>
        <w:shd w:val="clea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2、</w:t>
      </w:r>
      <w:r>
        <w:rPr>
          <w:rFonts w:hint="eastAsia" w:ascii="宋体" w:hAnsi="宋体"/>
          <w:sz w:val="24"/>
          <w:szCs w:val="24"/>
          <w:highlight w:val="none"/>
        </w:rPr>
        <w:t>投标文件的初步审查、符合性审查</w:t>
      </w:r>
    </w:p>
    <w:p>
      <w:pPr>
        <w:shd w:val="clear"/>
        <w:spacing w:line="360" w:lineRule="auto"/>
        <w:ind w:firstLine="426" w:firstLineChars="177"/>
        <w:rPr>
          <w:rFonts w:ascii="宋体" w:hAns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pPr>
        <w:shd w:val="clear"/>
        <w:spacing w:line="360" w:lineRule="auto"/>
        <w:ind w:firstLine="424" w:firstLineChars="177"/>
        <w:rPr>
          <w:rFonts w:ascii="宋体" w:hAnsi="宋体"/>
          <w:sz w:val="24"/>
          <w:highlight w:val="none"/>
        </w:rPr>
      </w:pPr>
      <w:r>
        <w:rPr>
          <w:rFonts w:hint="eastAsia" w:ascii="宋体" w:hAnsi="宋体"/>
          <w:sz w:val="24"/>
          <w:highlight w:val="none"/>
        </w:rPr>
        <w:t>（1）评标委员会</w:t>
      </w:r>
      <w:r>
        <w:rPr>
          <w:rFonts w:ascii="宋体" w:hAnsi="宋体"/>
          <w:sz w:val="24"/>
          <w:highlight w:val="none"/>
        </w:rPr>
        <w:t>首先</w:t>
      </w:r>
      <w:r>
        <w:rPr>
          <w:rFonts w:hint="eastAsia" w:ascii="宋体" w:hAnsi="宋体"/>
          <w:sz w:val="24"/>
          <w:highlight w:val="none"/>
        </w:rPr>
        <w:t>对所有通过资格审查的投标供应商的</w:t>
      </w:r>
      <w:r>
        <w:rPr>
          <w:rFonts w:ascii="宋体" w:hAnsi="宋体"/>
          <w:sz w:val="24"/>
          <w:highlight w:val="none"/>
        </w:rPr>
        <w:t>投标文件</w:t>
      </w:r>
      <w:r>
        <w:rPr>
          <w:rFonts w:hint="eastAsia" w:ascii="宋体" w:hAnsi="宋体"/>
          <w:sz w:val="24"/>
          <w:highlight w:val="none"/>
        </w:rPr>
        <w:t>进行符合性审查，审查每份投标文件</w:t>
      </w:r>
      <w:r>
        <w:rPr>
          <w:rFonts w:ascii="宋体" w:hAnsi="宋体"/>
          <w:sz w:val="24"/>
          <w:highlight w:val="none"/>
        </w:rPr>
        <w:t>是否实质上响应了招标文件的要求</w:t>
      </w:r>
      <w:r>
        <w:rPr>
          <w:rFonts w:hint="eastAsia" w:ascii="宋体" w:hAnsi="宋体"/>
          <w:sz w:val="24"/>
          <w:highlight w:val="none"/>
        </w:rPr>
        <w:t>（</w:t>
      </w:r>
      <w:r>
        <w:rPr>
          <w:rFonts w:ascii="宋体" w:hAnsi="宋体"/>
          <w:sz w:val="24"/>
          <w:highlight w:val="none"/>
        </w:rPr>
        <w:t>实质性响应的投标文件是指投标文件符合招标文件规定的实质性内容、条件和规定</w:t>
      </w:r>
      <w:r>
        <w:rPr>
          <w:rFonts w:hint="eastAsia" w:ascii="宋体" w:hAnsi="宋体"/>
          <w:sz w:val="24"/>
          <w:highlight w:val="none"/>
        </w:rPr>
        <w:t>）</w:t>
      </w:r>
      <w:r>
        <w:rPr>
          <w:rFonts w:ascii="宋体" w:hAnsi="宋体"/>
          <w:sz w:val="24"/>
          <w:highlight w:val="none"/>
        </w:rPr>
        <w:t>。</w:t>
      </w:r>
    </w:p>
    <w:p>
      <w:pPr>
        <w:pStyle w:val="4"/>
        <w:numPr>
          <w:ilvl w:val="0"/>
          <w:numId w:val="4"/>
        </w:numPr>
        <w:shd w:val="clear"/>
        <w:spacing w:before="0" w:after="0"/>
        <w:ind w:firstLine="482" w:firstLineChars="200"/>
        <w:rPr>
          <w:rFonts w:ascii="宋体" w:hAnsi="宋体"/>
          <w:sz w:val="24"/>
          <w:szCs w:val="24"/>
          <w:highlight w:val="none"/>
        </w:rPr>
      </w:pPr>
      <w:r>
        <w:rPr>
          <w:rFonts w:hint="eastAsia" w:ascii="宋体" w:hAnsi="宋体"/>
          <w:sz w:val="24"/>
          <w:szCs w:val="24"/>
          <w:highlight w:val="none"/>
        </w:rPr>
        <w:t>投标文件的澄清、说明或补正</w:t>
      </w:r>
    </w:p>
    <w:p>
      <w:pPr>
        <w:pStyle w:val="17"/>
        <w:shd w:val="clear"/>
        <w:spacing w:before="0" w:beforeAutospacing="0" w:after="0" w:afterAutospacing="0" w:line="440" w:lineRule="exact"/>
        <w:ind w:firstLine="420" w:firstLineChars="175"/>
        <w:jc w:val="both"/>
        <w:rPr>
          <w:highlight w:val="none"/>
        </w:rPr>
      </w:pPr>
      <w:r>
        <w:rPr>
          <w:rFonts w:hint="eastAsia"/>
          <w:highlight w:val="none"/>
        </w:rPr>
        <w:t>（1）对于投标文件中含义不明确、同类问题表述不一致或者有明显文字和计算错误的内容，评标委员会将</w:t>
      </w:r>
      <w:r>
        <w:rPr>
          <w:rFonts w:hint="eastAsia"/>
          <w:b/>
          <w:bCs/>
          <w:color w:val="FF0000"/>
          <w:highlight w:val="none"/>
        </w:rPr>
        <w:t>通过“政府采购云平台”线上</w:t>
      </w:r>
      <w:r>
        <w:rPr>
          <w:rFonts w:hint="eastAsia"/>
          <w:highlight w:val="none"/>
        </w:rPr>
        <w:t>要求投标供应商在规定的时间内作出必要的澄清、说明或者补正，投标供应商澄清、说明或补正时间为30分钟内，未在规定时间内澄清、说明或补正说明的，视为无异议。</w:t>
      </w:r>
    </w:p>
    <w:p>
      <w:pPr>
        <w:shd w:val="clear"/>
        <w:spacing w:line="360" w:lineRule="auto"/>
        <w:ind w:firstLine="420" w:firstLineChars="175"/>
        <w:rPr>
          <w:rFonts w:ascii="宋体" w:hAnsi="宋体" w:cs="Arial"/>
          <w:kern w:val="0"/>
          <w:sz w:val="24"/>
          <w:highlight w:val="none"/>
        </w:rPr>
      </w:pPr>
      <w:r>
        <w:rPr>
          <w:rFonts w:hint="eastAsia" w:ascii="宋体" w:hAnsi="宋体" w:cs="Arial"/>
          <w:kern w:val="0"/>
          <w:sz w:val="24"/>
          <w:highlight w:val="none"/>
        </w:rPr>
        <w:t>（2）</w:t>
      </w:r>
      <w:r>
        <w:rPr>
          <w:rFonts w:ascii="宋体" w:hAnsi="宋体" w:cs="Arial"/>
          <w:kern w:val="0"/>
          <w:sz w:val="24"/>
          <w:highlight w:val="none"/>
        </w:rPr>
        <w:t>投标供应商</w:t>
      </w:r>
      <w:r>
        <w:rPr>
          <w:rFonts w:hint="eastAsia" w:ascii="宋体" w:hAnsi="宋体" w:cs="Arial"/>
          <w:kern w:val="0"/>
          <w:sz w:val="24"/>
          <w:highlight w:val="none"/>
        </w:rPr>
        <w:t>的澄清、说明或者补正应当通过“政府采购云平台”线上书面提交，并加盖公章，或者由法定代表人或其授权的代表签字。</w:t>
      </w:r>
      <w:r>
        <w:rPr>
          <w:rFonts w:ascii="宋体" w:hAnsi="宋体" w:cs="Arial"/>
          <w:kern w:val="0"/>
          <w:sz w:val="24"/>
          <w:highlight w:val="none"/>
        </w:rPr>
        <w:t>投标供应商</w:t>
      </w:r>
      <w:r>
        <w:rPr>
          <w:rFonts w:hint="eastAsia" w:ascii="宋体" w:hAnsi="宋体" w:cs="Arial"/>
          <w:kern w:val="0"/>
          <w:sz w:val="24"/>
          <w:highlight w:val="none"/>
        </w:rPr>
        <w:t>的澄清、说明或者补正不得超出投标文件的范围或者改变投标文件的实质性内容。</w:t>
      </w:r>
    </w:p>
    <w:p>
      <w:pPr>
        <w:pStyle w:val="12"/>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（八）错误修正</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hd w:val="clear"/>
        <w:spacing w:before="0" w:beforeAutospacing="0" w:after="0" w:afterAutospacing="0" w:line="440" w:lineRule="exact"/>
        <w:ind w:firstLine="482" w:firstLineChars="200"/>
        <w:jc w:val="both"/>
        <w:rPr>
          <w:rFonts w:cs="Times New Roman"/>
          <w:b/>
          <w:bCs/>
          <w:highlight w:val="none"/>
        </w:rPr>
      </w:pPr>
      <w:r>
        <w:rPr>
          <w:rFonts w:hint="eastAsia"/>
          <w:b/>
          <w:bCs/>
          <w:highlight w:val="none"/>
        </w:rPr>
        <w:t>（九）投标人存在下列情况之一的，投标无效</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1、投标文件未按招标文件规定的要求提交的；</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2、电子加密投标文件解密失败且未按要求提交“备份投标文件”的；</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3、资格证明文件、商务技术文件、报价文件出现混传或在资格证明文件或商务技术文件中出现投标报价的；</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4、投标人没有提供合法、有效的“授权委托书”或“法定代表人身份证明书”的； </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5、投标文件的实质性内容未使用中文表述、意思表述不明确、前后矛盾或者使用计量单位不符合招标文件要求的；</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6、未实质性响应招标文件要求或者投标文件有采购人不能接受的附加条件的；</w:t>
      </w:r>
    </w:p>
    <w:p>
      <w:pPr>
        <w:shd w:val="clea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7、明显不符合招标文件要求的技术参数、质量标准，或者与招标文件中的技术指标、主要功能项目发生实质性偏离的；</w:t>
      </w:r>
    </w:p>
    <w:p>
      <w:pPr>
        <w:shd w:val="clear"/>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8、不具备招标文件中规定的资格要求的；</w:t>
      </w:r>
    </w:p>
    <w:p>
      <w:pPr>
        <w:pStyle w:val="17"/>
        <w:shd w:val="clear"/>
        <w:tabs>
          <w:tab w:val="left" w:pos="7380"/>
        </w:tabs>
        <w:adjustRightInd w:val="0"/>
        <w:snapToGrid w:val="0"/>
        <w:spacing w:before="0" w:beforeAutospacing="0" w:after="0" w:afterAutospacing="0" w:line="440" w:lineRule="exact"/>
        <w:ind w:firstLine="480" w:firstLineChars="200"/>
        <w:jc w:val="both"/>
        <w:rPr>
          <w:rFonts w:cs="Times New Roman"/>
          <w:highlight w:val="none"/>
        </w:rPr>
      </w:pPr>
      <w:r>
        <w:rPr>
          <w:rFonts w:hint="eastAsia"/>
          <w:highlight w:val="none"/>
        </w:rPr>
        <w:t>9、擅自调整开标一览表格式的；</w:t>
      </w:r>
      <w:r>
        <w:rPr>
          <w:rFonts w:cs="Times New Roman"/>
          <w:highlight w:val="none"/>
        </w:rPr>
        <w:tab/>
      </w:r>
    </w:p>
    <w:p>
      <w:pPr>
        <w:shd w:val="clear"/>
        <w:adjustRightInd w:val="0"/>
        <w:snapToGri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10、评标委员会认为投标人的报价明显低于其他通过符合性审</w:t>
      </w:r>
      <w:r>
        <w:rPr>
          <w:rFonts w:hint="eastAsia" w:ascii="宋体" w:hAnsi="宋体" w:cs="宋体"/>
          <w:kern w:val="0"/>
          <w:sz w:val="24"/>
          <w:szCs w:val="24"/>
          <w:highlight w:val="none"/>
          <w:lang w:eastAsia="zh-CN"/>
        </w:rPr>
        <w:t>查的</w:t>
      </w:r>
      <w:r>
        <w:rPr>
          <w:rFonts w:hint="eastAsia" w:ascii="宋体" w:hAnsi="宋体" w:cs="宋体"/>
          <w:kern w:val="0"/>
          <w:sz w:val="24"/>
          <w:szCs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hd w:val="clear"/>
        <w:spacing w:before="0" w:beforeAutospacing="0" w:after="0" w:afterAutospacing="0" w:line="440" w:lineRule="exact"/>
        <w:ind w:firstLine="480" w:firstLineChars="200"/>
        <w:jc w:val="both"/>
        <w:rPr>
          <w:highlight w:val="none"/>
        </w:rPr>
      </w:pPr>
      <w:r>
        <w:rPr>
          <w:rFonts w:hint="eastAsia"/>
          <w:highlight w:val="none"/>
        </w:rPr>
        <w:t>11、报价超过招标文件中规定的预算金额或最高限价；</w:t>
      </w:r>
    </w:p>
    <w:p>
      <w:pPr>
        <w:shd w:val="clea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12、投标文件提供虚假材料的；</w:t>
      </w:r>
    </w:p>
    <w:p>
      <w:pPr>
        <w:shd w:val="clea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13、投标人上传的电子加密投标文件解密成功的，电子加密投标文件中法定代表人电子章（或委托代理人签字）、投标人的单位电子公章盖章不齐全，不符合招标文件规定的；</w:t>
      </w:r>
    </w:p>
    <w:p>
      <w:pPr>
        <w:pStyle w:val="17"/>
        <w:shd w:val="clear"/>
        <w:spacing w:before="0" w:beforeAutospacing="0" w:after="0" w:afterAutospacing="0" w:line="440" w:lineRule="exact"/>
        <w:ind w:firstLine="480" w:firstLineChars="200"/>
        <w:jc w:val="both"/>
        <w:rPr>
          <w:highlight w:val="none"/>
        </w:rPr>
      </w:pPr>
      <w:r>
        <w:rPr>
          <w:rFonts w:hint="eastAsia"/>
          <w:highlight w:val="none"/>
        </w:rPr>
        <w:t>14、投标报价关键内容字迹模糊、无法辨认的或投标报价大写不符合国家有关</w:t>
      </w:r>
    </w:p>
    <w:p>
      <w:pPr>
        <w:pStyle w:val="17"/>
        <w:shd w:val="clear"/>
        <w:spacing w:before="0" w:beforeAutospacing="0" w:after="0" w:afterAutospacing="0" w:line="440" w:lineRule="exact"/>
        <w:jc w:val="both"/>
        <w:rPr>
          <w:highlight w:val="none"/>
        </w:rPr>
      </w:pPr>
      <w:r>
        <w:rPr>
          <w:rFonts w:hint="eastAsia"/>
          <w:highlight w:val="none"/>
        </w:rPr>
        <w:t>规定的；</w:t>
      </w:r>
    </w:p>
    <w:p>
      <w:pPr>
        <w:pStyle w:val="17"/>
        <w:shd w:val="clear"/>
        <w:spacing w:before="0" w:beforeAutospacing="0" w:after="0" w:afterAutospacing="0" w:line="440" w:lineRule="exact"/>
        <w:ind w:firstLine="480" w:firstLineChars="200"/>
        <w:jc w:val="both"/>
        <w:rPr>
          <w:highlight w:val="none"/>
        </w:rPr>
      </w:pPr>
      <w:r>
        <w:rPr>
          <w:rFonts w:hint="eastAsia"/>
          <w:highlight w:val="none"/>
        </w:rPr>
        <w:t>15、符合中华人民共和国财政部令第87号《政府采购货物和服务招标投标管理办法》第三十七条情形之一的，视为投标人串通投标，其投标无效，并移送采购监管部门：</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5</w:t>
      </w:r>
      <w:r>
        <w:rPr>
          <w:rFonts w:hint="eastAsia"/>
          <w:highlight w:val="none"/>
        </w:rPr>
        <w:t>）不同投标人的投标文件相互混装；</w:t>
      </w:r>
    </w:p>
    <w:p>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6、不符合法律、法规和招标文件中规定的其他实质性要求的（招标文件中打“▲”</w:t>
      </w:r>
      <w:r>
        <w:rPr>
          <w:rFonts w:hint="eastAsia" w:ascii="宋体" w:hAnsi="宋体" w:cs="宋体"/>
          <w:kern w:val="0"/>
          <w:sz w:val="24"/>
          <w:szCs w:val="24"/>
          <w:highlight w:val="none"/>
          <w:lang w:eastAsia="zh-CN"/>
        </w:rPr>
        <w:t>的</w:t>
      </w:r>
      <w:r>
        <w:rPr>
          <w:rFonts w:hint="eastAsia" w:ascii="宋体" w:hAnsi="宋体" w:cs="宋体"/>
          <w:kern w:val="0"/>
          <w:sz w:val="24"/>
          <w:szCs w:val="24"/>
          <w:highlight w:val="none"/>
        </w:rPr>
        <w:t>内容及被拒绝的条款）。</w:t>
      </w:r>
    </w:p>
    <w:p>
      <w:pPr>
        <w:shd w:val="clea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、符合专业条件的供应商或者对招标文件作实质响应的供应商不足三家的；</w:t>
      </w:r>
    </w:p>
    <w:p>
      <w:pPr>
        <w:pStyle w:val="17"/>
        <w:shd w:val="clear"/>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pPr>
        <w:pStyle w:val="12"/>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（十一）评标过程的监控</w:t>
      </w:r>
    </w:p>
    <w:p>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480" w:lineRule="auto"/>
        <w:jc w:val="center"/>
        <w:rPr>
          <w:rFonts w:ascii="宋体" w:hAnsi="宋体" w:cs="宋体"/>
          <w:b/>
          <w:bCs/>
          <w:sz w:val="28"/>
          <w:szCs w:val="28"/>
          <w:highlight w:val="none"/>
        </w:rPr>
      </w:pPr>
      <w:r>
        <w:rPr>
          <w:rFonts w:hint="eastAsia" w:ascii="宋体" w:hAnsi="宋体" w:cs="宋体"/>
          <w:b/>
          <w:bCs/>
          <w:sz w:val="28"/>
          <w:szCs w:val="28"/>
          <w:highlight w:val="none"/>
        </w:rPr>
        <w:t>六、定标</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、确定中标人。评标委员会根据采购单位的《授权意见确认书》，推荐中标候选人或确定中标人。其中推荐中标候选人的，采购代理机构在评审结束后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个工作日内在评审报告推荐的中标候选人中推荐排名第一的中标候选人为中标人。</w:t>
      </w:r>
    </w:p>
    <w:p>
      <w:pPr>
        <w:shd w:val="clea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pPr>
        <w:shd w:val="clea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pPr>
        <w:shd w:val="clea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pPr>
        <w:shd w:val="clea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pPr>
        <w:pStyle w:val="17"/>
        <w:shd w:val="clear"/>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日内，按照招标文件和中标人投标文件的规定，与中标人签订书面合同。所签订的合同不得对招标文件确定的事项和中标人投标文件作实质性修改。</w:t>
      </w:r>
    </w:p>
    <w:p>
      <w:pPr>
        <w:pStyle w:val="17"/>
        <w:shd w:val="clear"/>
        <w:spacing w:before="0" w:beforeAutospacing="0" w:after="0" w:afterAutospacing="0" w:line="440" w:lineRule="exact"/>
        <w:ind w:firstLine="600" w:firstLineChars="250"/>
        <w:jc w:val="both"/>
        <w:rPr>
          <w:highlight w:val="none"/>
        </w:rPr>
      </w:pPr>
      <w:r>
        <w:rPr>
          <w:highlight w:val="none"/>
        </w:rPr>
        <w:t>2</w:t>
      </w:r>
      <w:r>
        <w:rPr>
          <w:rFonts w:hint="eastAsia"/>
          <w:highlight w:val="none"/>
        </w:rPr>
        <w:t>、采购人不得向中标人提出任何不合理的要求作为签订合同的条件。</w:t>
      </w:r>
    </w:p>
    <w:p>
      <w:pPr>
        <w:pStyle w:val="17"/>
        <w:shd w:val="clear"/>
        <w:spacing w:before="0" w:beforeAutospacing="0" w:after="0" w:afterAutospacing="0" w:line="440" w:lineRule="exact"/>
        <w:ind w:firstLine="600" w:firstLineChars="250"/>
        <w:jc w:val="both"/>
        <w:rPr>
          <w:rFonts w:cs="Times New Roman"/>
          <w:highlight w:val="none"/>
        </w:rPr>
      </w:pPr>
      <w:r>
        <w:rPr>
          <w:highlight w:val="none"/>
        </w:rPr>
        <w:t>3</w:t>
      </w:r>
      <w:r>
        <w:rPr>
          <w:rFonts w:hint="eastAsia"/>
          <w:highlight w:val="none"/>
        </w:rPr>
        <w:t>、中标人无正当理由拖延、拒签合同的</w:t>
      </w:r>
      <w:r>
        <w:rPr>
          <w:rFonts w:hint="eastAsia"/>
          <w:highlight w:val="none"/>
          <w:lang w:eastAsia="zh-CN"/>
        </w:rPr>
        <w:t>，</w:t>
      </w:r>
      <w:r>
        <w:rPr>
          <w:rFonts w:hint="eastAsia"/>
          <w:highlight w:val="none"/>
        </w:rPr>
        <w:t>按《政府采购法》等有关规定进行处理、处罚。</w:t>
      </w:r>
    </w:p>
    <w:p>
      <w:pPr>
        <w:pStyle w:val="17"/>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、中标人拒绝与采购人签订合同的，采购人应重新开展政府采购活动。同时，拒绝与采购人签订合同的供应商，由同级财政部门依法作出处理。</w:t>
      </w:r>
    </w:p>
    <w:p>
      <w:pPr>
        <w:pStyle w:val="17"/>
        <w:shd w:val="clear"/>
        <w:spacing w:before="0" w:beforeAutospacing="0" w:after="0" w:afterAutospacing="0" w:line="440" w:lineRule="exact"/>
        <w:ind w:firstLine="480" w:firstLineChars="200"/>
        <w:rPr>
          <w:rFonts w:cs="Times New Roman"/>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pPr>
        <w:pStyle w:val="17"/>
        <w:shd w:val="clear"/>
        <w:spacing w:before="0" w:beforeAutospacing="0" w:after="0" w:afterAutospacing="0" w:line="440" w:lineRule="exact"/>
        <w:ind w:firstLine="424" w:firstLineChars="176"/>
        <w:rPr>
          <w:rFonts w:cs="Times New Roman"/>
          <w:b/>
          <w:bCs/>
          <w:highlight w:val="none"/>
        </w:rPr>
      </w:pPr>
      <w:r>
        <w:rPr>
          <w:rFonts w:hint="eastAsia"/>
          <w:b/>
          <w:bCs/>
          <w:highlight w:val="none"/>
        </w:rPr>
        <w:t>（二）合同公告及备案</w:t>
      </w:r>
    </w:p>
    <w:p>
      <w:pPr>
        <w:pStyle w:val="10"/>
        <w:shd w:val="clear"/>
        <w:spacing w:after="0" w:line="440" w:lineRule="exact"/>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2</w:t>
      </w:r>
      <w:r>
        <w:rPr>
          <w:rFonts w:hint="eastAsia" w:ascii="宋体" w:hAnsi="宋体" w:cs="宋体"/>
          <w:sz w:val="24"/>
          <w:szCs w:val="24"/>
          <w:highlight w:val="none"/>
        </w:rPr>
        <w:t>个工作日内，</w:t>
      </w:r>
      <w:r>
        <w:rPr>
          <w:rFonts w:hint="eastAsia" w:ascii="宋体" w:hAnsi="宋体" w:cs="宋体"/>
          <w:kern w:val="0"/>
          <w:sz w:val="24"/>
          <w:szCs w:val="24"/>
          <w:highlight w:val="none"/>
        </w:rPr>
        <w:t>在省级以上财政部门指定的政府采购信息发布媒体及相关网站上公告</w:t>
      </w:r>
      <w:r>
        <w:rPr>
          <w:rFonts w:hint="eastAsia" w:ascii="宋体" w:hAnsi="宋体" w:cs="宋体"/>
          <w:sz w:val="24"/>
          <w:szCs w:val="24"/>
          <w:highlight w:val="none"/>
        </w:rPr>
        <w:t>。</w:t>
      </w:r>
    </w:p>
    <w:p>
      <w:pPr>
        <w:pStyle w:val="10"/>
        <w:shd w:val="clear"/>
        <w:spacing w:after="0" w:line="440" w:lineRule="exact"/>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7</w:t>
      </w:r>
      <w:r>
        <w:rPr>
          <w:rFonts w:hint="eastAsia" w:ascii="宋体" w:hAnsi="宋体" w:cs="宋体"/>
          <w:sz w:val="24"/>
          <w:szCs w:val="24"/>
          <w:highlight w:val="none"/>
        </w:rPr>
        <w:t>个工作日内，将政府采购合同副本报同级人民政府财政部门备案以及采购代理机构存档。</w:t>
      </w:r>
    </w:p>
    <w:p>
      <w:pPr>
        <w:shd w:val="clear"/>
        <w:spacing w:line="600" w:lineRule="auto"/>
        <w:jc w:val="center"/>
        <w:rPr>
          <w:rFonts w:ascii="宋体" w:hAnsi="宋体" w:cs="宋体"/>
          <w:b/>
          <w:bCs/>
          <w:sz w:val="28"/>
          <w:szCs w:val="28"/>
          <w:highlight w:val="none"/>
        </w:rPr>
      </w:pPr>
      <w:r>
        <w:rPr>
          <w:rFonts w:hint="eastAsia" w:ascii="宋体" w:hAnsi="宋体" w:cs="宋体"/>
          <w:b/>
          <w:bCs/>
          <w:sz w:val="28"/>
          <w:szCs w:val="28"/>
          <w:highlight w:val="none"/>
        </w:rPr>
        <w:t>八、其他</w:t>
      </w:r>
    </w:p>
    <w:p>
      <w:pPr>
        <w:pStyle w:val="17"/>
        <w:shd w:val="clear"/>
        <w:spacing w:before="0" w:beforeAutospacing="0" w:after="0" w:afterAutospacing="0" w:line="440" w:lineRule="exact"/>
        <w:ind w:firstLine="424" w:firstLineChars="176"/>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（一）中止电子交易活动的情形</w:t>
      </w:r>
    </w:p>
    <w:p>
      <w:pPr>
        <w:pStyle w:val="10"/>
        <w:shd w:val="clear"/>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电子交易平台发生故障而无法登录访问的；</w:t>
      </w:r>
    </w:p>
    <w:p>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电子交易平台应用或数据库出现错误，不能进行正常操作的；</w:t>
      </w:r>
    </w:p>
    <w:p>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电子交易平台发现严重安全漏洞，有潜在泄密危险的；</w:t>
      </w:r>
    </w:p>
    <w:p>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病毒发作导致不能进行正常操作的；</w:t>
      </w:r>
    </w:p>
    <w:p>
      <w:pPr>
        <w:pStyle w:val="10"/>
        <w:shd w:val="clear"/>
        <w:spacing w:after="0" w:line="440" w:lineRule="exact"/>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其他无法保证电子交易的公平、公正和安全的情况。</w:t>
      </w:r>
    </w:p>
    <w:p>
      <w:pPr>
        <w:pStyle w:val="10"/>
        <w:shd w:val="clear"/>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pPr>
        <w:pStyle w:val="17"/>
        <w:shd w:val="clear"/>
        <w:spacing w:before="0" w:beforeAutospacing="0" w:after="0" w:afterAutospacing="0" w:line="440" w:lineRule="exact"/>
        <w:ind w:firstLine="424" w:firstLineChars="176"/>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（二）知识产权</w:t>
      </w:r>
    </w:p>
    <w:p>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中标方案的著作权、版权、专利权和使用权归采购人所有（署名权除外）。</w:t>
      </w:r>
    </w:p>
    <w:p>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采购人有权在实施方案中参考使用其他所有投标方案成果的部分内容。采购人有权在项目实施过程中根据需要对选定的实施方案进行任意的调整和修改。</w:t>
      </w:r>
    </w:p>
    <w:p>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投标人保证投标文件及资料均未侵犯他人的知识产权，否则必须承担全部责任。</w:t>
      </w:r>
    </w:p>
    <w:p>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若投标人使用了他人的专利、专有技术，涉及的费用由投标人负责。</w:t>
      </w:r>
    </w:p>
    <w:p>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中标人未经采购人许可，不得将中标方案成果用于其他任何项目的投标和设计，不得在国内外刊物、学术或技术交流会上发表该方案成果。</w:t>
      </w:r>
    </w:p>
    <w:p>
      <w:pPr>
        <w:pStyle w:val="77"/>
        <w:shd w:val="clear"/>
        <w:ind w:firstLine="240" w:firstLineChars="100"/>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采购人有权无须事先征求中标人的同意而披露关于中标人的名称、地址、合同条款。</w:t>
      </w:r>
    </w:p>
    <w:p>
      <w:pPr>
        <w:pStyle w:val="17"/>
        <w:shd w:val="clear"/>
        <w:spacing w:before="0" w:beforeAutospacing="0" w:after="0" w:afterAutospacing="0" w:line="440" w:lineRule="exact"/>
        <w:ind w:firstLine="424" w:firstLineChars="176"/>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（三）信用记录</w:t>
      </w:r>
    </w:p>
    <w:p>
      <w:pPr>
        <w:pStyle w:val="10"/>
        <w:widowControl/>
        <w:numPr>
          <w:ilvl w:val="0"/>
          <w:numId w:val="0"/>
        </w:numPr>
        <w:shd w:val="clear"/>
        <w:snapToGrid/>
        <w:spacing w:after="0"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w:t>
      </w:r>
      <w:r>
        <w:rPr>
          <w:rFonts w:hint="eastAsia" w:ascii="宋体" w:hAnsi="宋体" w:eastAsia="宋体" w:cs="宋体"/>
          <w:sz w:val="24"/>
          <w:szCs w:val="24"/>
          <w:highlight w:val="none"/>
        </w:rPr>
        <w:t>财库[2016]125号《关于在政府采购活动中查询及使用信用记录有关问题的通知》要求，招标代理机构会对投标人信用记录进行查询并甄别。</w:t>
      </w:r>
    </w:p>
    <w:p>
      <w:pPr>
        <w:pStyle w:val="10"/>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信用信息查询渠道及截止时间：采购代理机构将通过“信用中国”（www.creditchina.gov.cn）、“中国政府采购网”（www.ccgp.gov.cn）渠道查询投标人投标截止时间当天的信用记录。</w:t>
      </w:r>
    </w:p>
    <w:p>
      <w:pPr>
        <w:pStyle w:val="10"/>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信用信息查询记录和证据留存的具体方式：现场查询的投标人的信用记录、查询结果经确认后将与采购文件一起存档。</w:t>
      </w:r>
    </w:p>
    <w:p>
      <w:pPr>
        <w:pStyle w:val="10"/>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信用信息的使用规则：经查询列入失信被执行人名单、重大税收违法失信主体、政府采购严重违法失信行为记录名单的投标人将被拒绝参与采购活动。</w:t>
      </w:r>
    </w:p>
    <w:p>
      <w:pPr>
        <w:widowControl/>
        <w:shd w:val="clear"/>
        <w:snapToGrid w:val="0"/>
        <w:spacing w:line="360" w:lineRule="exact"/>
        <w:ind w:firstLine="480" w:firstLineChars="200"/>
        <w:rPr>
          <w:rFonts w:hint="eastAsia" w:ascii="宋体" w:hAnsi="宋体" w:eastAsia="宋体" w:cs="宋体"/>
          <w:b w:val="0"/>
          <w:bCs w:val="0"/>
          <w:kern w:val="2"/>
          <w:sz w:val="24"/>
          <w:szCs w:val="24"/>
          <w:highlight w:val="none"/>
          <w:lang w:val="en-US" w:eastAsia="zh-CN" w:bidi="ar-SA"/>
        </w:rPr>
      </w:pPr>
    </w:p>
    <w:p>
      <w:pPr>
        <w:widowControl/>
        <w:shd w:val="clear"/>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6" w:name="_Toc3217"/>
      <w:r>
        <w:rPr>
          <w:rFonts w:hint="eastAsia" w:ascii="宋体" w:hAnsi="宋体" w:cs="宋体"/>
          <w:b/>
          <w:bCs/>
          <w:sz w:val="36"/>
          <w:szCs w:val="36"/>
          <w:highlight w:val="none"/>
        </w:rPr>
        <w:t>第三章</w:t>
      </w:r>
      <w:r>
        <w:rPr>
          <w:rFonts w:ascii="宋体" w:hAnsi="宋体" w:cs="宋体"/>
          <w:b/>
          <w:bCs/>
          <w:sz w:val="36"/>
          <w:szCs w:val="36"/>
          <w:highlight w:val="none"/>
        </w:rPr>
        <w:t xml:space="preserve"> </w:t>
      </w:r>
      <w:r>
        <w:rPr>
          <w:rFonts w:hint="eastAsia" w:ascii="宋体" w:hAnsi="宋体" w:cs="宋体"/>
          <w:b/>
          <w:bCs/>
          <w:sz w:val="36"/>
          <w:szCs w:val="36"/>
          <w:highlight w:val="none"/>
        </w:rPr>
        <w:t>评标办法及评分标准</w:t>
      </w:r>
      <w:bookmarkEnd w:id="6"/>
    </w:p>
    <w:p>
      <w:pPr>
        <w:shd w:val="clea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pPr>
        <w:shd w:val="clea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二、本次招标项目的评标方法为综合评分法，总计100分，其中商务技术</w:t>
      </w:r>
      <w:r>
        <w:rPr>
          <w:rFonts w:hint="eastAsia" w:ascii="宋体" w:hAnsi="宋体" w:cs="宋体"/>
          <w:kern w:val="0"/>
          <w:sz w:val="24"/>
          <w:szCs w:val="24"/>
          <w:highlight w:val="none"/>
          <w:lang w:val="en-US" w:eastAsia="zh-CN"/>
        </w:rPr>
        <w:t>70</w:t>
      </w:r>
      <w:r>
        <w:rPr>
          <w:rFonts w:hint="eastAsia" w:ascii="宋体" w:hAnsi="宋体" w:cs="宋体"/>
          <w:kern w:val="0"/>
          <w:sz w:val="24"/>
          <w:szCs w:val="24"/>
          <w:highlight w:val="none"/>
        </w:rPr>
        <w:t>分，报价</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分。</w:t>
      </w:r>
    </w:p>
    <w:p>
      <w:pPr>
        <w:shd w:val="clear"/>
        <w:autoSpaceDE w:val="0"/>
        <w:autoSpaceDN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（一）商务技术文件中的客观分由评标委员会讨论后统一打分；其余在规定的分值内单独评定打分。</w:t>
      </w:r>
    </w:p>
    <w:p>
      <w:pPr>
        <w:shd w:val="clea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pPr>
        <w:shd w:val="clea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商务技术文件得分=评标委员会所有成员评分合计数/评标委员会组成人员数。</w:t>
      </w:r>
    </w:p>
    <w:p>
      <w:pPr>
        <w:numPr>
          <w:ilvl w:val="0"/>
          <w:numId w:val="5"/>
        </w:numPr>
        <w:shd w:val="clear"/>
        <w:autoSpaceDE w:val="0"/>
        <w:autoSpaceDN w:val="0"/>
        <w:adjustRightInd w:val="0"/>
        <w:spacing w:line="440" w:lineRule="exact"/>
        <w:ind w:firstLine="240" w:firstLineChars="100"/>
        <w:rPr>
          <w:rFonts w:hint="eastAsia" w:cs="宋体"/>
          <w:color w:val="FF0000"/>
          <w:sz w:val="24"/>
          <w:szCs w:val="24"/>
          <w:highlight w:val="none"/>
          <w:u w:val="single"/>
          <w:lang w:val="en-US" w:eastAsia="zh-CN"/>
        </w:rPr>
      </w:pPr>
      <w:r>
        <w:rPr>
          <w:rFonts w:hint="eastAsia" w:ascii="宋体" w:cs="宋体"/>
          <w:color w:val="FF0000"/>
          <w:sz w:val="24"/>
          <w:szCs w:val="24"/>
          <w:highlight w:val="none"/>
          <w:lang w:val="zh-CN"/>
        </w:rPr>
        <w:t>投标报价得分采用低价优先法计算，</w:t>
      </w:r>
      <w:r>
        <w:rPr>
          <w:rFonts w:hint="eastAsia" w:cs="宋体"/>
          <w:color w:val="FF0000"/>
          <w:sz w:val="24"/>
          <w:szCs w:val="24"/>
          <w:highlight w:val="none"/>
          <w:u w:val="single"/>
        </w:rPr>
        <w:t>全部有效投标供应商中的每项报价最低价作为评标基准价</w:t>
      </w:r>
      <w:r>
        <w:rPr>
          <w:rFonts w:hint="eastAsia" w:cs="宋体"/>
          <w:color w:val="FF0000"/>
          <w:sz w:val="24"/>
          <w:szCs w:val="24"/>
          <w:highlight w:val="none"/>
          <w:u w:val="single"/>
          <w:lang w:eastAsia="zh-CN"/>
        </w:rPr>
        <w:t>，</w:t>
      </w:r>
      <w:r>
        <w:rPr>
          <w:rFonts w:hint="eastAsia" w:cs="宋体"/>
          <w:color w:val="FF0000"/>
          <w:sz w:val="24"/>
          <w:szCs w:val="24"/>
          <w:highlight w:val="none"/>
          <w:u w:val="single"/>
          <w:lang w:val="en-US" w:eastAsia="zh-CN"/>
        </w:rPr>
        <w:t>其他投标供应商的报价得分按下面公式计算得出：投标供应商的报价分项得分=（评标基准价/评标价）×分值；总分=各分项得分之和。</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9"/>
        <w:gridCol w:w="5315"/>
        <w:gridCol w:w="1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b/>
                <w:bCs/>
                <w:sz w:val="24"/>
                <w:highlight w:val="none"/>
              </w:rPr>
            </w:pPr>
            <w:r>
              <w:rPr>
                <w:rFonts w:hint="eastAsia" w:ascii="宋体" w:hAnsi="宋体" w:cs="宋体"/>
                <w:b/>
                <w:bCs/>
                <w:sz w:val="24"/>
                <w:highlight w:val="none"/>
              </w:rPr>
              <w:t>序号</w:t>
            </w:r>
          </w:p>
        </w:tc>
        <w:tc>
          <w:tcPr>
            <w:tcW w:w="531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b/>
                <w:bCs/>
                <w:sz w:val="24"/>
                <w:highlight w:val="none"/>
              </w:rPr>
            </w:pPr>
            <w:r>
              <w:rPr>
                <w:rFonts w:hint="eastAsia" w:ascii="宋体" w:hAnsi="宋体" w:cs="宋体"/>
                <w:b/>
                <w:bCs/>
                <w:sz w:val="24"/>
                <w:highlight w:val="none"/>
              </w:rPr>
              <w:t>工作内容</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b/>
                <w:bCs/>
                <w:sz w:val="24"/>
                <w:highlight w:val="none"/>
              </w:rPr>
            </w:pPr>
            <w:r>
              <w:rPr>
                <w:rFonts w:hint="eastAsia" w:ascii="宋体" w:hAnsi="宋体" w:cs="宋体"/>
                <w:b/>
                <w:bCs/>
                <w:sz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sz w:val="24"/>
                <w:highlight w:val="none"/>
              </w:rPr>
            </w:pPr>
            <w:r>
              <w:rPr>
                <w:rFonts w:hint="eastAsia" w:ascii="宋体" w:hAnsi="宋体" w:cs="宋体"/>
                <w:sz w:val="24"/>
                <w:highlight w:val="none"/>
              </w:rPr>
              <w:t>1</w:t>
            </w:r>
          </w:p>
        </w:tc>
        <w:tc>
          <w:tcPr>
            <w:tcW w:w="5315"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left"/>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eastAsia="zh-CN"/>
              </w:rPr>
              <w:t>控规修改论证报告</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sz w:val="24"/>
                <w:highlight w:val="none"/>
              </w:rPr>
            </w:pPr>
            <w:r>
              <w:rPr>
                <w:rFonts w:hint="eastAsia" w:ascii="宋体" w:hAnsi="宋体" w:cs="宋体"/>
                <w:sz w:val="24"/>
                <w:highlight w:val="none"/>
              </w:rPr>
              <w:t>2</w:t>
            </w:r>
          </w:p>
        </w:tc>
        <w:tc>
          <w:tcPr>
            <w:tcW w:w="5315"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left"/>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控制性详细规划</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sz w:val="24"/>
                <w:highlight w:val="none"/>
              </w:rPr>
            </w:pPr>
            <w:r>
              <w:rPr>
                <w:rFonts w:hint="eastAsia" w:ascii="宋体" w:hAnsi="宋体" w:cs="宋体"/>
                <w:sz w:val="24"/>
                <w:highlight w:val="none"/>
              </w:rPr>
              <w:t>3</w:t>
            </w:r>
          </w:p>
        </w:tc>
        <w:tc>
          <w:tcPr>
            <w:tcW w:w="5315"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left"/>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局部地块和模拟方案</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cs="宋体"/>
                <w:sz w:val="24"/>
                <w:highlight w:val="none"/>
              </w:rPr>
            </w:pPr>
            <w:r>
              <w:rPr>
                <w:rFonts w:hint="eastAsia" w:ascii="宋体" w:hAnsi="宋体" w:cs="宋体"/>
                <w:sz w:val="24"/>
                <w:highlight w:val="none"/>
              </w:rPr>
              <w:t>4</w:t>
            </w:r>
          </w:p>
        </w:tc>
        <w:tc>
          <w:tcPr>
            <w:tcW w:w="5315"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left"/>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eastAsia="zh-CN"/>
              </w:rPr>
              <w:t>地块规划研究</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exac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531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line="240" w:lineRule="auto"/>
              <w:jc w:val="both"/>
              <w:rPr>
                <w:rFonts w:hint="default" w:ascii="宋体" w:hAnsi="宋体" w:eastAsia="宋体" w:cs="宋体"/>
                <w:sz w:val="24"/>
                <w:highlight w:val="none"/>
                <w:lang w:val="en-US" w:eastAsia="zh-CN"/>
              </w:rPr>
            </w:pPr>
            <w:r>
              <w:rPr>
                <w:rFonts w:hint="eastAsia" w:ascii="宋体" w:hAnsi="宋体" w:cs="宋体"/>
                <w:color w:val="000000"/>
                <w:sz w:val="22"/>
                <w:szCs w:val="22"/>
                <w:highlight w:val="none"/>
                <w:lang w:val="en-US" w:eastAsia="zh-CN"/>
              </w:rPr>
              <w:t>合计报价得分</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w:t>
            </w:r>
          </w:p>
        </w:tc>
      </w:tr>
    </w:tbl>
    <w:p>
      <w:pPr>
        <w:numPr>
          <w:ilvl w:val="0"/>
          <w:numId w:val="0"/>
        </w:numPr>
        <w:shd w:val="clear"/>
        <w:autoSpaceDE w:val="0"/>
        <w:autoSpaceDN w:val="0"/>
        <w:adjustRightInd w:val="0"/>
        <w:spacing w:line="440" w:lineRule="exact"/>
        <w:rPr>
          <w:rFonts w:hint="eastAsia" w:cs="宋体"/>
          <w:color w:val="FF0000"/>
          <w:sz w:val="24"/>
          <w:szCs w:val="24"/>
          <w:highlight w:val="none"/>
          <w:u w:val="single"/>
        </w:rPr>
      </w:pPr>
      <w:r>
        <w:rPr>
          <w:rFonts w:hint="eastAsia" w:cs="宋体"/>
          <w:color w:val="FF0000"/>
          <w:sz w:val="24"/>
          <w:szCs w:val="24"/>
          <w:highlight w:val="none"/>
          <w:u w:val="single"/>
          <w:lang w:val="en-US" w:eastAsia="zh-CN"/>
        </w:rPr>
        <w:t>注：报价得分计算保留小数2位，第三位四舍五入。</w:t>
      </w:r>
    </w:p>
    <w:p>
      <w:pPr>
        <w:numPr>
          <w:ilvl w:val="0"/>
          <w:numId w:val="0"/>
        </w:numPr>
        <w:shd w:val="clear"/>
        <w:autoSpaceDE w:val="0"/>
        <w:autoSpaceDN w:val="0"/>
        <w:spacing w:line="440" w:lineRule="exact"/>
        <w:ind w:firstLine="482"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lang w:eastAsia="zh-CN"/>
        </w:rPr>
        <w:t>（四）</w:t>
      </w:r>
      <w:r>
        <w:rPr>
          <w:rFonts w:hint="eastAsia" w:ascii="宋体" w:hAnsi="宋体" w:cs="宋体"/>
          <w:b/>
          <w:bCs/>
          <w:color w:val="000000"/>
          <w:kern w:val="0"/>
          <w:sz w:val="24"/>
          <w:szCs w:val="24"/>
          <w:highlight w:val="none"/>
        </w:rPr>
        <w:t>投标人评标综合得分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商务技术分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报价分。</w:t>
      </w:r>
    </w:p>
    <w:p>
      <w:pPr>
        <w:shd w:val="clear"/>
        <w:autoSpaceDE w:val="0"/>
        <w:autoSpaceDN w:val="0"/>
        <w:adjustRightInd w:val="0"/>
        <w:spacing w:line="440" w:lineRule="exact"/>
        <w:ind w:firstLine="470"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pPr>
        <w:shd w:val="clear"/>
        <w:autoSpaceDE w:val="0"/>
        <w:autoSpaceDN w:val="0"/>
        <w:adjustRightInd w:val="0"/>
        <w:spacing w:line="440" w:lineRule="exact"/>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五</w:t>
      </w:r>
      <w:r>
        <w:rPr>
          <w:rFonts w:hint="eastAsia" w:ascii="宋体" w:hAnsi="宋体" w:cs="宋体"/>
          <w:kern w:val="0"/>
          <w:sz w:val="24"/>
          <w:szCs w:val="24"/>
          <w:highlight w:val="none"/>
        </w:rPr>
        <w:t>、本次评分具体分值细化条款如下表（</w:t>
      </w:r>
      <w:r>
        <w:rPr>
          <w:rFonts w:hint="eastAsia" w:ascii="宋体" w:hAnsi="宋体" w:cs="宋体"/>
          <w:kern w:val="0"/>
          <w:sz w:val="24"/>
          <w:szCs w:val="24"/>
          <w:highlight w:val="none"/>
          <w:lang w:val="en-US" w:eastAsia="zh-CN"/>
        </w:rPr>
        <w:t>70</w:t>
      </w:r>
      <w:r>
        <w:rPr>
          <w:rFonts w:hint="eastAsia" w:ascii="宋体" w:hAnsi="宋体" w:cs="宋体"/>
          <w:kern w:val="0"/>
          <w:sz w:val="24"/>
          <w:szCs w:val="24"/>
          <w:highlight w:val="none"/>
        </w:rPr>
        <w:t>分）：</w:t>
      </w:r>
    </w:p>
    <w:tbl>
      <w:tblPr>
        <w:tblStyle w:val="22"/>
        <w:tblW w:w="9578" w:type="dxa"/>
        <w:tblInd w:w="-3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0" w:type="dxa"/>
          <w:right w:w="108" w:type="dxa"/>
        </w:tblCellMar>
      </w:tblPr>
      <w:tblGrid>
        <w:gridCol w:w="597"/>
        <w:gridCol w:w="1687"/>
        <w:gridCol w:w="6609"/>
        <w:gridCol w:w="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4" w:hRule="atLeast"/>
          <w:tblHeader/>
        </w:trPr>
        <w:tc>
          <w:tcPr>
            <w:tcW w:w="597" w:type="dxa"/>
            <w:tcBorders>
              <w:tl2br w:val="nil"/>
              <w:tr2bl w:val="nil"/>
            </w:tcBorders>
            <w:vAlign w:val="center"/>
          </w:tcPr>
          <w:p>
            <w:pPr>
              <w:widowControl/>
              <w:shd w:val="clear"/>
              <w:jc w:val="center"/>
              <w:rPr>
                <w:rFonts w:hAnsi="宋体" w:cs="宋体"/>
                <w:b/>
                <w:bCs/>
                <w:color w:val="000000"/>
                <w:highlight w:val="none"/>
              </w:rPr>
            </w:pPr>
            <w:r>
              <w:rPr>
                <w:rFonts w:hint="eastAsia" w:hAnsi="宋体" w:cs="宋体"/>
                <w:b/>
                <w:bCs/>
                <w:color w:val="000000"/>
                <w:highlight w:val="none"/>
              </w:rPr>
              <w:t>序号</w:t>
            </w:r>
          </w:p>
        </w:tc>
        <w:tc>
          <w:tcPr>
            <w:tcW w:w="1687" w:type="dxa"/>
            <w:tcBorders>
              <w:tl2br w:val="nil"/>
              <w:tr2bl w:val="nil"/>
            </w:tcBorders>
            <w:vAlign w:val="center"/>
          </w:tcPr>
          <w:p>
            <w:pPr>
              <w:widowControl/>
              <w:shd w:val="clear"/>
              <w:jc w:val="center"/>
              <w:rPr>
                <w:rFonts w:hAnsi="宋体" w:cs="宋体"/>
                <w:b/>
                <w:bCs/>
                <w:color w:val="000000"/>
                <w:highlight w:val="none"/>
              </w:rPr>
            </w:pPr>
            <w:r>
              <w:rPr>
                <w:rFonts w:hint="eastAsia" w:hAnsi="宋体" w:cs="宋体"/>
                <w:b/>
                <w:bCs/>
                <w:color w:val="000000"/>
                <w:highlight w:val="none"/>
              </w:rPr>
              <w:t>评审内容</w:t>
            </w:r>
          </w:p>
        </w:tc>
        <w:tc>
          <w:tcPr>
            <w:tcW w:w="6609" w:type="dxa"/>
            <w:tcBorders>
              <w:tl2br w:val="nil"/>
              <w:tr2bl w:val="nil"/>
            </w:tcBorders>
            <w:vAlign w:val="center"/>
          </w:tcPr>
          <w:p>
            <w:pPr>
              <w:widowControl/>
              <w:shd w:val="clear"/>
              <w:jc w:val="center"/>
              <w:rPr>
                <w:rFonts w:hAnsi="宋体" w:cs="宋体"/>
                <w:b/>
                <w:bCs/>
                <w:color w:val="000000"/>
                <w:highlight w:val="none"/>
              </w:rPr>
            </w:pPr>
            <w:r>
              <w:rPr>
                <w:rFonts w:hint="eastAsia" w:hAnsi="宋体" w:cs="宋体"/>
                <w:b/>
                <w:bCs/>
                <w:color w:val="000000"/>
                <w:highlight w:val="none"/>
              </w:rPr>
              <w:t>评分标准及细则</w:t>
            </w:r>
          </w:p>
        </w:tc>
        <w:tc>
          <w:tcPr>
            <w:tcW w:w="685" w:type="dxa"/>
            <w:tcBorders>
              <w:tl2br w:val="nil"/>
              <w:tr2bl w:val="nil"/>
            </w:tcBorders>
            <w:vAlign w:val="center"/>
          </w:tcPr>
          <w:p>
            <w:pPr>
              <w:widowControl/>
              <w:shd w:val="clear"/>
              <w:jc w:val="center"/>
              <w:rPr>
                <w:rFonts w:hAnsi="宋体" w:cs="宋体"/>
                <w:b/>
                <w:bCs/>
                <w:color w:val="000000"/>
                <w:highlight w:val="none"/>
              </w:rPr>
            </w:pPr>
            <w:r>
              <w:rPr>
                <w:rFonts w:hint="eastAsia" w:hAnsi="宋体" w:cs="宋体"/>
                <w:b/>
                <w:bCs/>
                <w:color w:val="000000"/>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85" w:hRule="atLeast"/>
        </w:trPr>
        <w:tc>
          <w:tcPr>
            <w:tcW w:w="597" w:type="dxa"/>
            <w:tcBorders>
              <w:tl2br w:val="nil"/>
              <w:tr2bl w:val="nil"/>
            </w:tcBorders>
            <w:vAlign w:val="center"/>
          </w:tcPr>
          <w:p>
            <w:pPr>
              <w:widowControl/>
              <w:shd w:val="clear"/>
              <w:jc w:val="center"/>
              <w:rPr>
                <w:rFonts w:hint="default"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1.1</w:t>
            </w:r>
          </w:p>
        </w:tc>
        <w:tc>
          <w:tcPr>
            <w:tcW w:w="1687" w:type="dxa"/>
            <w:vMerge w:val="restart"/>
            <w:tcBorders>
              <w:tl2br w:val="nil"/>
              <w:tr2bl w:val="nil"/>
            </w:tcBorders>
            <w:vAlign w:val="center"/>
          </w:tcPr>
          <w:p>
            <w:pPr>
              <w:shd w:val="clear"/>
              <w:snapToGrid w:val="0"/>
              <w:jc w:val="center"/>
              <w:rPr>
                <w:rFonts w:hint="eastAsia"/>
                <w:sz w:val="24"/>
                <w:szCs w:val="22"/>
                <w:highlight w:val="none"/>
                <w:lang w:val="en-US" w:eastAsia="zh-CN"/>
              </w:rPr>
            </w:pPr>
            <w:r>
              <w:rPr>
                <w:rFonts w:hint="eastAsia"/>
                <w:sz w:val="24"/>
                <w:szCs w:val="22"/>
                <w:highlight w:val="none"/>
                <w:lang w:val="en-US" w:eastAsia="zh-CN"/>
              </w:rPr>
              <w:t>投标人综合</w:t>
            </w:r>
          </w:p>
          <w:p>
            <w:pPr>
              <w:shd w:val="clear"/>
              <w:snapToGrid w:val="0"/>
              <w:jc w:val="center"/>
              <w:rPr>
                <w:rFonts w:hint="eastAsia"/>
                <w:sz w:val="24"/>
                <w:szCs w:val="22"/>
                <w:highlight w:val="none"/>
                <w:lang w:val="en-US" w:eastAsia="zh-CN"/>
              </w:rPr>
            </w:pPr>
            <w:r>
              <w:rPr>
                <w:rFonts w:hint="eastAsia"/>
                <w:sz w:val="24"/>
                <w:szCs w:val="22"/>
                <w:highlight w:val="none"/>
                <w:lang w:val="en-US" w:eastAsia="zh-CN"/>
              </w:rPr>
              <w:t>实力</w:t>
            </w:r>
          </w:p>
        </w:tc>
        <w:tc>
          <w:tcPr>
            <w:tcW w:w="6609" w:type="dxa"/>
            <w:tcBorders>
              <w:tl2br w:val="nil"/>
              <w:tr2bl w:val="nil"/>
            </w:tcBorders>
            <w:vAlign w:val="center"/>
          </w:tcPr>
          <w:p>
            <w:pPr>
              <w:shd w:val="clear"/>
              <w:snapToGrid w:val="0"/>
              <w:rPr>
                <w:rFonts w:hint="eastAsia"/>
                <w:sz w:val="24"/>
                <w:szCs w:val="22"/>
                <w:highlight w:val="none"/>
              </w:rPr>
            </w:pPr>
            <w:r>
              <w:rPr>
                <w:rFonts w:hint="eastAsia"/>
                <w:sz w:val="24"/>
                <w:szCs w:val="22"/>
                <w:highlight w:val="none"/>
                <w:lang w:eastAsia="zh-CN"/>
              </w:rPr>
              <w:t>投标人自2021年1月1日</w:t>
            </w:r>
            <w:r>
              <w:rPr>
                <w:rFonts w:hint="eastAsia"/>
                <w:sz w:val="24"/>
                <w:szCs w:val="22"/>
                <w:highlight w:val="none"/>
              </w:rPr>
              <w:t>至今</w:t>
            </w:r>
            <w:r>
              <w:rPr>
                <w:rFonts w:hint="eastAsia"/>
                <w:sz w:val="24"/>
                <w:szCs w:val="22"/>
                <w:highlight w:val="none"/>
                <w:lang w:eastAsia="zh-CN"/>
              </w:rPr>
              <w:t>，获得省级及以上荣誉的得</w:t>
            </w:r>
            <w:r>
              <w:rPr>
                <w:rFonts w:hint="eastAsia"/>
                <w:sz w:val="24"/>
                <w:szCs w:val="22"/>
                <w:highlight w:val="none"/>
                <w:lang w:val="en-US" w:eastAsia="zh-CN"/>
              </w:rPr>
              <w:t>2分，</w:t>
            </w:r>
            <w:r>
              <w:rPr>
                <w:rFonts w:hint="eastAsia"/>
                <w:sz w:val="24"/>
                <w:szCs w:val="22"/>
                <w:highlight w:val="none"/>
                <w:lang w:eastAsia="zh-CN"/>
              </w:rPr>
              <w:t>地市级荣誉的得</w:t>
            </w:r>
            <w:r>
              <w:rPr>
                <w:rFonts w:hint="eastAsia"/>
                <w:sz w:val="24"/>
                <w:szCs w:val="22"/>
                <w:highlight w:val="none"/>
                <w:lang w:val="en-US" w:eastAsia="zh-CN"/>
              </w:rPr>
              <w:t>1分，其余均不得分</w:t>
            </w:r>
            <w:r>
              <w:rPr>
                <w:rFonts w:hint="eastAsia"/>
                <w:sz w:val="24"/>
                <w:szCs w:val="22"/>
                <w:highlight w:val="none"/>
              </w:rPr>
              <w:t>。</w:t>
            </w:r>
          </w:p>
          <w:p>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b/>
                <w:bCs/>
                <w:sz w:val="24"/>
                <w:szCs w:val="22"/>
                <w:highlight w:val="none"/>
                <w:lang w:eastAsia="zh-CN"/>
              </w:rPr>
              <w:t>（上述荣誉需与规划设计相关，</w:t>
            </w:r>
            <w:r>
              <w:rPr>
                <w:rFonts w:hint="eastAsia"/>
                <w:b/>
                <w:bCs/>
                <w:sz w:val="24"/>
                <w:szCs w:val="22"/>
                <w:highlight w:val="none"/>
              </w:rPr>
              <w:t>同一</w:t>
            </w:r>
            <w:r>
              <w:rPr>
                <w:rFonts w:hint="eastAsia"/>
                <w:b/>
                <w:bCs/>
                <w:sz w:val="24"/>
                <w:szCs w:val="22"/>
                <w:highlight w:val="none"/>
                <w:lang w:eastAsia="zh-CN"/>
              </w:rPr>
              <w:t>奖项</w:t>
            </w:r>
            <w:r>
              <w:rPr>
                <w:rFonts w:hint="eastAsia"/>
                <w:b/>
                <w:bCs/>
                <w:sz w:val="24"/>
                <w:szCs w:val="22"/>
                <w:highlight w:val="none"/>
              </w:rPr>
              <w:t>只</w:t>
            </w:r>
            <w:r>
              <w:rPr>
                <w:rFonts w:hint="eastAsia"/>
                <w:b/>
                <w:bCs/>
                <w:sz w:val="24"/>
                <w:szCs w:val="22"/>
                <w:highlight w:val="none"/>
                <w:lang w:eastAsia="zh-CN"/>
              </w:rPr>
              <w:t>计</w:t>
            </w:r>
            <w:r>
              <w:rPr>
                <w:rFonts w:hint="eastAsia"/>
                <w:b/>
                <w:bCs/>
                <w:sz w:val="24"/>
                <w:szCs w:val="22"/>
                <w:highlight w:val="none"/>
              </w:rPr>
              <w:t>取最高级别的分数，不重复计分，此项最高计算至</w:t>
            </w:r>
            <w:r>
              <w:rPr>
                <w:rFonts w:hint="eastAsia"/>
                <w:b/>
                <w:bCs/>
                <w:sz w:val="24"/>
                <w:szCs w:val="22"/>
                <w:highlight w:val="none"/>
                <w:lang w:val="en-US" w:eastAsia="zh-CN"/>
              </w:rPr>
              <w:t>5</w:t>
            </w:r>
            <w:r>
              <w:rPr>
                <w:rFonts w:hint="eastAsia"/>
                <w:b/>
                <w:bCs/>
                <w:sz w:val="24"/>
                <w:szCs w:val="22"/>
                <w:highlight w:val="none"/>
              </w:rPr>
              <w:t>分</w:t>
            </w:r>
            <w:r>
              <w:rPr>
                <w:rFonts w:hint="eastAsia"/>
                <w:b/>
                <w:bCs/>
                <w:sz w:val="24"/>
                <w:szCs w:val="22"/>
                <w:highlight w:val="none"/>
                <w:lang w:eastAsia="zh-CN"/>
              </w:rPr>
              <w:t>，</w:t>
            </w:r>
            <w:r>
              <w:rPr>
                <w:rFonts w:hint="eastAsia"/>
                <w:b/>
                <w:bCs/>
                <w:sz w:val="24"/>
                <w:szCs w:val="22"/>
                <w:highlight w:val="none"/>
              </w:rPr>
              <w:t>复印件</w:t>
            </w:r>
            <w:r>
              <w:rPr>
                <w:rFonts w:hint="eastAsia"/>
                <w:b/>
                <w:bCs/>
                <w:sz w:val="24"/>
                <w:szCs w:val="22"/>
                <w:highlight w:val="none"/>
                <w:lang w:eastAsia="zh-CN"/>
              </w:rPr>
              <w:t>（</w:t>
            </w:r>
            <w:r>
              <w:rPr>
                <w:rFonts w:hint="eastAsia"/>
                <w:b/>
                <w:bCs/>
                <w:sz w:val="24"/>
                <w:szCs w:val="22"/>
                <w:highlight w:val="none"/>
                <w:lang w:val="en-US" w:eastAsia="zh-CN"/>
              </w:rPr>
              <w:t>或扫描件</w:t>
            </w:r>
            <w:r>
              <w:rPr>
                <w:rFonts w:hint="eastAsia"/>
                <w:b/>
                <w:bCs/>
                <w:sz w:val="24"/>
                <w:szCs w:val="22"/>
                <w:highlight w:val="none"/>
                <w:lang w:eastAsia="zh-CN"/>
              </w:rPr>
              <w:t>）</w:t>
            </w:r>
            <w:r>
              <w:rPr>
                <w:rFonts w:hint="eastAsia"/>
                <w:b/>
                <w:bCs/>
                <w:sz w:val="24"/>
                <w:szCs w:val="22"/>
                <w:highlight w:val="none"/>
              </w:rPr>
              <w:t>加盖公章编入投标文件中</w:t>
            </w:r>
            <w:r>
              <w:rPr>
                <w:rFonts w:hint="eastAsia"/>
                <w:sz w:val="24"/>
                <w:szCs w:val="22"/>
                <w:highlight w:val="none"/>
                <w:lang w:eastAsia="zh-CN"/>
              </w:rPr>
              <w:t>）</w:t>
            </w:r>
          </w:p>
        </w:tc>
        <w:tc>
          <w:tcPr>
            <w:tcW w:w="685" w:type="dxa"/>
            <w:tcBorders>
              <w:tl2br w:val="nil"/>
              <w:tr2bl w:val="nil"/>
            </w:tcBorders>
            <w:vAlign w:val="center"/>
          </w:tcPr>
          <w:p>
            <w:pPr>
              <w:widowControl/>
              <w:shd w:val="clear"/>
              <w:jc w:val="center"/>
              <w:rPr>
                <w:rFonts w:hint="eastAsia"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1255" w:hRule="atLeast"/>
        </w:trPr>
        <w:tc>
          <w:tcPr>
            <w:tcW w:w="597" w:type="dxa"/>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1.2</w:t>
            </w:r>
          </w:p>
        </w:tc>
        <w:tc>
          <w:tcPr>
            <w:tcW w:w="1687" w:type="dxa"/>
            <w:vMerge w:val="continue"/>
            <w:tcBorders>
              <w:tl2br w:val="nil"/>
              <w:tr2bl w:val="nil"/>
            </w:tcBorders>
            <w:vAlign w:val="center"/>
          </w:tcPr>
          <w:p>
            <w:pPr>
              <w:shd w:val="clear"/>
              <w:snapToGrid w:val="0"/>
              <w:jc w:val="center"/>
              <w:rPr>
                <w:rFonts w:hint="eastAsia"/>
                <w:sz w:val="24"/>
                <w:szCs w:val="22"/>
                <w:highlight w:val="none"/>
                <w:lang w:val="en-US" w:eastAsia="zh-CN"/>
              </w:rPr>
            </w:pPr>
          </w:p>
        </w:tc>
        <w:tc>
          <w:tcPr>
            <w:tcW w:w="6609" w:type="dxa"/>
            <w:tcBorders>
              <w:tl2br w:val="nil"/>
              <w:tr2bl w:val="nil"/>
            </w:tcBorders>
            <w:vAlign w:val="center"/>
          </w:tcPr>
          <w:p>
            <w:pPr>
              <w:shd w:val="clear"/>
              <w:snapToGrid w:val="0"/>
              <w:rPr>
                <w:rFonts w:hint="eastAsia"/>
                <w:sz w:val="24"/>
                <w:szCs w:val="22"/>
                <w:highlight w:val="none"/>
                <w:lang w:eastAsia="zh-CN"/>
              </w:rPr>
            </w:pPr>
            <w:r>
              <w:rPr>
                <w:rFonts w:hint="eastAsia"/>
                <w:sz w:val="24"/>
                <w:szCs w:val="22"/>
                <w:highlight w:val="none"/>
                <w:lang w:eastAsia="zh-CN"/>
              </w:rPr>
              <w:t>投标人具有有效的质量管理体系认证的得</w:t>
            </w:r>
            <w:r>
              <w:rPr>
                <w:rFonts w:hint="eastAsia"/>
                <w:sz w:val="24"/>
                <w:szCs w:val="22"/>
                <w:highlight w:val="none"/>
                <w:lang w:val="en-US" w:eastAsia="zh-CN"/>
              </w:rPr>
              <w:t>3</w:t>
            </w:r>
            <w:r>
              <w:rPr>
                <w:rFonts w:hint="eastAsia"/>
                <w:sz w:val="24"/>
                <w:szCs w:val="22"/>
                <w:highlight w:val="none"/>
                <w:lang w:eastAsia="zh-CN"/>
              </w:rPr>
              <w:t>分，没有不得分。</w:t>
            </w:r>
            <w:r>
              <w:rPr>
                <w:rFonts w:hint="eastAsia"/>
                <w:b/>
                <w:bCs/>
                <w:sz w:val="24"/>
                <w:szCs w:val="22"/>
                <w:highlight w:val="none"/>
                <w:lang w:eastAsia="zh-CN"/>
              </w:rPr>
              <w:t>（</w:t>
            </w:r>
            <w:r>
              <w:rPr>
                <w:rFonts w:hint="eastAsia"/>
                <w:b/>
                <w:bCs/>
                <w:sz w:val="24"/>
                <w:szCs w:val="24"/>
                <w:highlight w:val="none"/>
                <w:lang w:bidi="ar-SA"/>
              </w:rPr>
              <w:t>证书复印件加盖公章编入投标文件中，并同时提供国家认证认可监督管理委员会官方网站上相关证书有效的网页截图或网站打印页，否则不得分。</w:t>
            </w:r>
            <w:r>
              <w:rPr>
                <w:rFonts w:hint="eastAsia"/>
                <w:b/>
                <w:bCs/>
                <w:sz w:val="24"/>
                <w:szCs w:val="22"/>
                <w:highlight w:val="none"/>
                <w:lang w:eastAsia="zh-CN"/>
              </w:rPr>
              <w:t>）</w:t>
            </w:r>
          </w:p>
        </w:tc>
        <w:tc>
          <w:tcPr>
            <w:tcW w:w="685" w:type="dxa"/>
            <w:tcBorders>
              <w:tl2br w:val="nil"/>
              <w:tr2bl w:val="nil"/>
            </w:tcBorders>
            <w:vAlign w:val="center"/>
          </w:tcPr>
          <w:p>
            <w:pPr>
              <w:widowControl/>
              <w:shd w:val="clear"/>
              <w:jc w:val="center"/>
              <w:rPr>
                <w:rFonts w:hint="eastAsia"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915" w:hRule="atLeast"/>
        </w:trPr>
        <w:tc>
          <w:tcPr>
            <w:tcW w:w="597" w:type="dxa"/>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2</w:t>
            </w:r>
          </w:p>
        </w:tc>
        <w:tc>
          <w:tcPr>
            <w:tcW w:w="1687" w:type="dxa"/>
            <w:tcBorders>
              <w:tl2br w:val="nil"/>
              <w:tr2bl w:val="nil"/>
            </w:tcBorders>
            <w:vAlign w:val="center"/>
          </w:tcPr>
          <w:p>
            <w:pPr>
              <w:shd w:val="clear"/>
              <w:snapToGrid w:val="0"/>
              <w:jc w:val="center"/>
              <w:rPr>
                <w:rFonts w:hint="default"/>
                <w:sz w:val="24"/>
                <w:szCs w:val="22"/>
                <w:highlight w:val="none"/>
                <w:lang w:val="en-US" w:eastAsia="zh-CN"/>
              </w:rPr>
            </w:pPr>
            <w:r>
              <w:rPr>
                <w:rFonts w:hint="eastAsia"/>
                <w:sz w:val="24"/>
                <w:szCs w:val="22"/>
                <w:highlight w:val="none"/>
                <w:lang w:val="en-US" w:eastAsia="zh-CN"/>
              </w:rPr>
              <w:t>同类业绩</w:t>
            </w:r>
          </w:p>
        </w:tc>
        <w:tc>
          <w:tcPr>
            <w:tcW w:w="6609" w:type="dxa"/>
            <w:tcBorders>
              <w:tl2br w:val="nil"/>
              <w:tr2bl w:val="nil"/>
            </w:tcBorders>
            <w:vAlign w:val="center"/>
          </w:tcPr>
          <w:p>
            <w:pPr>
              <w:shd w:val="clear"/>
              <w:snapToGrid w:val="0"/>
              <w:rPr>
                <w:rFonts w:hint="eastAsia"/>
                <w:sz w:val="24"/>
                <w:szCs w:val="22"/>
                <w:highlight w:val="none"/>
              </w:rPr>
            </w:pPr>
            <w:r>
              <w:rPr>
                <w:rFonts w:hint="eastAsia"/>
                <w:sz w:val="24"/>
                <w:szCs w:val="22"/>
                <w:highlight w:val="none"/>
                <w:lang w:eastAsia="zh-CN"/>
              </w:rPr>
              <w:t>自2021年1月1日</w:t>
            </w:r>
            <w:r>
              <w:rPr>
                <w:rFonts w:hint="eastAsia"/>
                <w:sz w:val="24"/>
                <w:szCs w:val="22"/>
                <w:highlight w:val="none"/>
              </w:rPr>
              <w:t>至今（以</w:t>
            </w:r>
            <w:r>
              <w:rPr>
                <w:rFonts w:hint="eastAsia"/>
                <w:sz w:val="24"/>
                <w:szCs w:val="22"/>
                <w:highlight w:val="none"/>
                <w:lang w:eastAsia="zh-CN"/>
              </w:rPr>
              <w:t>合同签订</w:t>
            </w:r>
            <w:r>
              <w:rPr>
                <w:rFonts w:hint="eastAsia"/>
                <w:sz w:val="24"/>
                <w:szCs w:val="22"/>
                <w:highlight w:val="none"/>
              </w:rPr>
              <w:t>的时间</w:t>
            </w:r>
            <w:r>
              <w:rPr>
                <w:rFonts w:hint="eastAsia"/>
                <w:sz w:val="24"/>
                <w:szCs w:val="22"/>
                <w:highlight w:val="none"/>
                <w:lang w:eastAsia="zh-CN"/>
              </w:rPr>
              <w:t>或获奖文件时间</w:t>
            </w:r>
            <w:r>
              <w:rPr>
                <w:rFonts w:hint="eastAsia"/>
                <w:sz w:val="24"/>
                <w:szCs w:val="22"/>
                <w:highlight w:val="none"/>
              </w:rPr>
              <w:t>为准）：投标人承担过控制性详细规划</w:t>
            </w:r>
            <w:r>
              <w:rPr>
                <w:rFonts w:hint="eastAsia"/>
                <w:sz w:val="24"/>
                <w:szCs w:val="22"/>
                <w:highlight w:val="none"/>
                <w:lang w:eastAsia="zh-CN"/>
              </w:rPr>
              <w:t>编制项目</w:t>
            </w:r>
            <w:r>
              <w:rPr>
                <w:rFonts w:hint="eastAsia"/>
                <w:sz w:val="24"/>
                <w:szCs w:val="22"/>
                <w:highlight w:val="none"/>
              </w:rPr>
              <w:t>的，每个</w:t>
            </w:r>
            <w:r>
              <w:rPr>
                <w:rFonts w:hint="eastAsia"/>
                <w:sz w:val="24"/>
                <w:szCs w:val="22"/>
                <w:highlight w:val="none"/>
                <w:lang w:eastAsia="zh-CN"/>
              </w:rPr>
              <w:t>业绩</w:t>
            </w:r>
            <w:r>
              <w:rPr>
                <w:rFonts w:hint="eastAsia"/>
                <w:sz w:val="24"/>
                <w:szCs w:val="22"/>
                <w:highlight w:val="none"/>
              </w:rPr>
              <w:t>得</w:t>
            </w:r>
            <w:r>
              <w:rPr>
                <w:rFonts w:hint="eastAsia"/>
                <w:sz w:val="24"/>
                <w:szCs w:val="22"/>
                <w:highlight w:val="none"/>
                <w:lang w:val="en-US" w:eastAsia="zh-CN"/>
              </w:rPr>
              <w:t>0.5</w:t>
            </w:r>
            <w:r>
              <w:rPr>
                <w:rFonts w:hint="eastAsia"/>
                <w:sz w:val="24"/>
                <w:szCs w:val="22"/>
                <w:highlight w:val="none"/>
              </w:rPr>
              <w:t>分</w:t>
            </w:r>
            <w:r>
              <w:rPr>
                <w:rFonts w:hint="eastAsia"/>
                <w:sz w:val="24"/>
                <w:szCs w:val="22"/>
                <w:highlight w:val="none"/>
                <w:lang w:eastAsia="zh-CN"/>
              </w:rPr>
              <w:t>，最高得</w:t>
            </w:r>
            <w:r>
              <w:rPr>
                <w:rFonts w:hint="eastAsia"/>
                <w:sz w:val="24"/>
                <w:szCs w:val="22"/>
                <w:highlight w:val="none"/>
                <w:lang w:val="en-US" w:eastAsia="zh-CN"/>
              </w:rPr>
              <w:t>3分。（</w:t>
            </w:r>
            <w:r>
              <w:rPr>
                <w:rFonts w:hint="eastAsia"/>
                <w:b/>
                <w:bCs/>
                <w:sz w:val="24"/>
                <w:szCs w:val="22"/>
                <w:highlight w:val="none"/>
                <w:lang w:val="en-US" w:eastAsia="zh-CN"/>
              </w:rPr>
              <w:t>提供项目合同或获奖文件皆可，相应</w:t>
            </w:r>
            <w:r>
              <w:rPr>
                <w:rFonts w:hint="eastAsia"/>
                <w:b/>
                <w:bCs/>
                <w:sz w:val="24"/>
                <w:szCs w:val="22"/>
                <w:highlight w:val="none"/>
              </w:rPr>
              <w:t>复印件加盖公章编入投标文件中</w:t>
            </w:r>
            <w:r>
              <w:rPr>
                <w:rFonts w:hint="eastAsia"/>
                <w:sz w:val="24"/>
                <w:szCs w:val="22"/>
                <w:highlight w:val="none"/>
                <w:lang w:eastAsia="zh-CN"/>
              </w:rPr>
              <w:t>）</w:t>
            </w:r>
          </w:p>
        </w:tc>
        <w:tc>
          <w:tcPr>
            <w:tcW w:w="685" w:type="dxa"/>
            <w:tcBorders>
              <w:tl2br w:val="nil"/>
              <w:tr2bl w:val="nil"/>
            </w:tcBorders>
            <w:vAlign w:val="center"/>
          </w:tcPr>
          <w:p>
            <w:pPr>
              <w:widowControl/>
              <w:shd w:val="clear"/>
              <w:jc w:val="center"/>
              <w:rPr>
                <w:rFonts w:hint="eastAsia"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90" w:hRule="atLeast"/>
        </w:trPr>
        <w:tc>
          <w:tcPr>
            <w:tcW w:w="597" w:type="dxa"/>
            <w:tcBorders>
              <w:tl2br w:val="nil"/>
              <w:tr2bl w:val="nil"/>
            </w:tcBorders>
            <w:vAlign w:val="center"/>
          </w:tcPr>
          <w:p>
            <w:pPr>
              <w:widowControl/>
              <w:shd w:val="clear"/>
              <w:jc w:val="center"/>
              <w:rPr>
                <w:rFonts w:hint="default"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3.1</w:t>
            </w:r>
          </w:p>
        </w:tc>
        <w:tc>
          <w:tcPr>
            <w:tcW w:w="1687" w:type="dxa"/>
            <w:vMerge w:val="restart"/>
            <w:tcBorders>
              <w:tl2br w:val="nil"/>
              <w:tr2bl w:val="nil"/>
            </w:tcBorders>
            <w:vAlign w:val="center"/>
          </w:tcPr>
          <w:p>
            <w:pPr>
              <w:widowControl/>
              <w:shd w:val="clear"/>
              <w:jc w:val="center"/>
              <w:rPr>
                <w:rFonts w:hAnsi="宋体" w:cs="宋体"/>
                <w:sz w:val="22"/>
                <w:szCs w:val="22"/>
                <w:highlight w:val="none"/>
              </w:rPr>
            </w:pPr>
            <w:r>
              <w:rPr>
                <w:rFonts w:hint="eastAsia"/>
                <w:sz w:val="24"/>
                <w:szCs w:val="22"/>
                <w:highlight w:val="none"/>
                <w:lang w:val="en-US" w:eastAsia="zh-CN"/>
              </w:rPr>
              <w:t>拟投入团队技术力量</w:t>
            </w:r>
          </w:p>
        </w:tc>
        <w:tc>
          <w:tcPr>
            <w:tcW w:w="6609" w:type="dxa"/>
            <w:tcBorders>
              <w:tl2br w:val="nil"/>
              <w:tr2bl w:val="nil"/>
            </w:tcBorders>
            <w:vAlign w:val="center"/>
          </w:tcPr>
          <w:p>
            <w:pPr>
              <w:shd w:val="clear"/>
              <w:snapToGrid w:val="0"/>
              <w:rPr>
                <w:rFonts w:hint="eastAsia"/>
                <w:sz w:val="24"/>
                <w:szCs w:val="22"/>
                <w:highlight w:val="none"/>
                <w:lang w:eastAsia="zh-CN"/>
              </w:rPr>
            </w:pPr>
            <w:r>
              <w:rPr>
                <w:rFonts w:hint="eastAsia"/>
                <w:sz w:val="24"/>
                <w:szCs w:val="22"/>
                <w:highlight w:val="none"/>
                <w:lang w:eastAsia="zh-CN"/>
              </w:rPr>
              <w:t>项目负责人情况：</w:t>
            </w:r>
          </w:p>
          <w:p>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eastAsia="zh-CN"/>
              </w:rPr>
              <w:t>为注册城乡规划师且为高级工程师的得</w:t>
            </w:r>
            <w:r>
              <w:rPr>
                <w:rFonts w:hint="eastAsia"/>
                <w:sz w:val="24"/>
                <w:szCs w:val="22"/>
                <w:highlight w:val="none"/>
                <w:lang w:val="en-US" w:eastAsia="zh-CN"/>
              </w:rPr>
              <w:t>3</w:t>
            </w:r>
            <w:r>
              <w:rPr>
                <w:rFonts w:hint="eastAsia"/>
                <w:sz w:val="24"/>
                <w:szCs w:val="22"/>
                <w:highlight w:val="none"/>
                <w:lang w:eastAsia="zh-CN"/>
              </w:rPr>
              <w:t>分。</w:t>
            </w:r>
            <w:r>
              <w:rPr>
                <w:rFonts w:hint="eastAsia"/>
                <w:b/>
                <w:bCs/>
                <w:sz w:val="24"/>
                <w:szCs w:val="22"/>
                <w:highlight w:val="none"/>
                <w:lang w:eastAsia="zh-CN"/>
              </w:rPr>
              <w:t>（提供项目负责人的证书（复印件或扫描件加盖公章）及其在本企业社保缴纳</w:t>
            </w:r>
            <w:r>
              <w:rPr>
                <w:rFonts w:hint="eastAsia"/>
                <w:b/>
                <w:bCs/>
                <w:sz w:val="24"/>
                <w:szCs w:val="22"/>
                <w:highlight w:val="none"/>
                <w:lang w:val="en-US" w:eastAsia="zh-CN"/>
              </w:rPr>
              <w:t>3</w:t>
            </w:r>
            <w:r>
              <w:rPr>
                <w:rFonts w:hint="eastAsia"/>
                <w:b/>
                <w:bCs/>
                <w:sz w:val="24"/>
                <w:szCs w:val="22"/>
                <w:highlight w:val="none"/>
                <w:lang w:eastAsia="zh-CN"/>
              </w:rPr>
              <w:t>个月以上的证明电子打印件，不提供近</w:t>
            </w:r>
            <w:r>
              <w:rPr>
                <w:rFonts w:hint="eastAsia"/>
                <w:b/>
                <w:bCs/>
                <w:sz w:val="24"/>
                <w:szCs w:val="22"/>
                <w:highlight w:val="none"/>
                <w:lang w:val="en-US" w:eastAsia="zh-CN"/>
              </w:rPr>
              <w:t>3</w:t>
            </w:r>
            <w:r>
              <w:rPr>
                <w:rFonts w:hint="eastAsia"/>
                <w:b/>
                <w:bCs/>
                <w:sz w:val="24"/>
                <w:szCs w:val="22"/>
                <w:highlight w:val="none"/>
                <w:lang w:eastAsia="zh-CN"/>
              </w:rPr>
              <w:t>个月社保证明的不得分）</w:t>
            </w:r>
          </w:p>
        </w:tc>
        <w:tc>
          <w:tcPr>
            <w:tcW w:w="685" w:type="dxa"/>
            <w:tcBorders>
              <w:tl2br w:val="nil"/>
              <w:tr2bl w:val="nil"/>
            </w:tcBorders>
            <w:vAlign w:val="center"/>
          </w:tcPr>
          <w:p>
            <w:pPr>
              <w:widowControl/>
              <w:shd w:val="clear"/>
              <w:jc w:val="center"/>
              <w:rPr>
                <w:rFonts w:hint="eastAsia"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1767" w:hRule="atLeast"/>
        </w:trPr>
        <w:tc>
          <w:tcPr>
            <w:tcW w:w="597" w:type="dxa"/>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3.2</w:t>
            </w:r>
          </w:p>
        </w:tc>
        <w:tc>
          <w:tcPr>
            <w:tcW w:w="1687" w:type="dxa"/>
            <w:vMerge w:val="continue"/>
            <w:tcBorders>
              <w:tl2br w:val="nil"/>
              <w:tr2bl w:val="nil"/>
            </w:tcBorders>
            <w:vAlign w:val="center"/>
          </w:tcPr>
          <w:p>
            <w:pPr>
              <w:shd w:val="clear"/>
              <w:snapToGrid w:val="0"/>
              <w:jc w:val="center"/>
              <w:rPr>
                <w:rFonts w:hint="eastAsia"/>
                <w:sz w:val="24"/>
                <w:szCs w:val="22"/>
                <w:highlight w:val="none"/>
                <w:lang w:val="en-US" w:eastAsia="zh-CN"/>
              </w:rPr>
            </w:pPr>
          </w:p>
        </w:tc>
        <w:tc>
          <w:tcPr>
            <w:tcW w:w="6609" w:type="dxa"/>
            <w:tcBorders>
              <w:tl2br w:val="nil"/>
              <w:tr2bl w:val="nil"/>
            </w:tcBorders>
            <w:vAlign w:val="center"/>
          </w:tcPr>
          <w:p>
            <w:pPr>
              <w:shd w:val="clear"/>
              <w:snapToGrid w:val="0"/>
              <w:rPr>
                <w:rFonts w:hint="eastAsia"/>
                <w:sz w:val="24"/>
                <w:szCs w:val="22"/>
                <w:highlight w:val="none"/>
                <w:lang w:eastAsia="zh-CN"/>
              </w:rPr>
            </w:pPr>
            <w:r>
              <w:rPr>
                <w:rFonts w:hint="eastAsia"/>
                <w:sz w:val="24"/>
                <w:szCs w:val="22"/>
                <w:highlight w:val="none"/>
                <w:lang w:eastAsia="zh-CN"/>
              </w:rPr>
              <w:t>项目组其他成员（除项目负责人外）：</w:t>
            </w:r>
          </w:p>
          <w:p>
            <w:pPr>
              <w:shd w:val="clear"/>
              <w:snapToGrid w:val="0"/>
              <w:rPr>
                <w:rFonts w:hint="eastAsia"/>
                <w:sz w:val="24"/>
                <w:szCs w:val="22"/>
                <w:highlight w:val="none"/>
                <w:lang w:eastAsia="zh-CN"/>
              </w:rPr>
            </w:pPr>
            <w:r>
              <w:rPr>
                <w:rFonts w:hint="eastAsia"/>
                <w:sz w:val="24"/>
                <w:szCs w:val="22"/>
                <w:highlight w:val="none"/>
                <w:lang w:eastAsia="zh-CN"/>
              </w:rPr>
              <w:t>为注册城乡规划师，同时具有高级工程师职称的每人得</w:t>
            </w:r>
            <w:r>
              <w:rPr>
                <w:rFonts w:hint="eastAsia"/>
                <w:sz w:val="24"/>
                <w:szCs w:val="22"/>
                <w:highlight w:val="none"/>
                <w:lang w:val="en-US" w:eastAsia="zh-CN"/>
              </w:rPr>
              <w:t>1</w:t>
            </w:r>
            <w:r>
              <w:rPr>
                <w:rFonts w:hint="eastAsia"/>
                <w:sz w:val="24"/>
                <w:szCs w:val="22"/>
                <w:highlight w:val="none"/>
                <w:lang w:eastAsia="zh-CN"/>
              </w:rPr>
              <w:t>分；同时具有中级职称的每人得0.5分，最多得5分。</w:t>
            </w:r>
          </w:p>
          <w:p>
            <w:pPr>
              <w:shd w:val="clear"/>
              <w:snapToGrid w:val="0"/>
              <w:rPr>
                <w:rFonts w:hint="eastAsia"/>
                <w:sz w:val="24"/>
                <w:szCs w:val="22"/>
                <w:highlight w:val="none"/>
                <w:lang w:eastAsia="zh-CN"/>
              </w:rPr>
            </w:pPr>
            <w:r>
              <w:rPr>
                <w:rFonts w:hint="eastAsia"/>
                <w:b/>
                <w:bCs/>
                <w:sz w:val="24"/>
                <w:szCs w:val="22"/>
                <w:highlight w:val="none"/>
                <w:lang w:eastAsia="zh-CN"/>
              </w:rPr>
              <w:t>（提供相关人员的证书（复印件或扫描件加盖公章）及其在本企业社保缴纳</w:t>
            </w:r>
            <w:r>
              <w:rPr>
                <w:rFonts w:hint="eastAsia"/>
                <w:b/>
                <w:bCs/>
                <w:sz w:val="24"/>
                <w:szCs w:val="22"/>
                <w:highlight w:val="none"/>
                <w:lang w:val="en-US" w:eastAsia="zh-CN"/>
              </w:rPr>
              <w:t>3</w:t>
            </w:r>
            <w:r>
              <w:rPr>
                <w:rFonts w:hint="eastAsia"/>
                <w:b/>
                <w:bCs/>
                <w:sz w:val="24"/>
                <w:szCs w:val="22"/>
                <w:highlight w:val="none"/>
                <w:lang w:eastAsia="zh-CN"/>
              </w:rPr>
              <w:t>个月以上的证明电子打印件，不提供投标截止时间前近</w:t>
            </w:r>
            <w:r>
              <w:rPr>
                <w:rFonts w:hint="eastAsia"/>
                <w:b/>
                <w:bCs/>
                <w:sz w:val="24"/>
                <w:szCs w:val="22"/>
                <w:highlight w:val="none"/>
                <w:lang w:val="en-US" w:eastAsia="zh-CN"/>
              </w:rPr>
              <w:t>3</w:t>
            </w:r>
            <w:r>
              <w:rPr>
                <w:rFonts w:hint="eastAsia"/>
                <w:b/>
                <w:bCs/>
                <w:sz w:val="24"/>
                <w:szCs w:val="22"/>
                <w:highlight w:val="none"/>
                <w:lang w:eastAsia="zh-CN"/>
              </w:rPr>
              <w:t>个月社保证明的不得分）</w:t>
            </w:r>
          </w:p>
        </w:tc>
        <w:tc>
          <w:tcPr>
            <w:tcW w:w="685" w:type="dxa"/>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72" w:hRule="atLeast"/>
        </w:trPr>
        <w:tc>
          <w:tcPr>
            <w:tcW w:w="597" w:type="dxa"/>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3.3</w:t>
            </w:r>
          </w:p>
        </w:tc>
        <w:tc>
          <w:tcPr>
            <w:tcW w:w="1687" w:type="dxa"/>
            <w:vMerge w:val="continue"/>
            <w:tcBorders>
              <w:tl2br w:val="nil"/>
              <w:tr2bl w:val="nil"/>
            </w:tcBorders>
            <w:vAlign w:val="center"/>
          </w:tcPr>
          <w:p>
            <w:pPr>
              <w:widowControl/>
              <w:shd w:val="clear"/>
              <w:jc w:val="center"/>
              <w:rPr>
                <w:rFonts w:hAnsi="宋体" w:cs="宋体"/>
                <w:sz w:val="22"/>
                <w:szCs w:val="22"/>
                <w:highlight w:val="none"/>
              </w:rPr>
            </w:pPr>
          </w:p>
        </w:tc>
        <w:tc>
          <w:tcPr>
            <w:tcW w:w="6609" w:type="dxa"/>
            <w:tcBorders>
              <w:tl2br w:val="nil"/>
              <w:tr2bl w:val="nil"/>
            </w:tcBorders>
            <w:vAlign w:val="center"/>
          </w:tcPr>
          <w:p>
            <w:pPr>
              <w:shd w:val="clear"/>
              <w:snapToGrid w:val="0"/>
              <w:rPr>
                <w:rFonts w:hint="eastAsia"/>
                <w:sz w:val="24"/>
                <w:szCs w:val="22"/>
                <w:highlight w:val="none"/>
                <w:lang w:eastAsia="zh-CN"/>
              </w:rPr>
            </w:pPr>
            <w:r>
              <w:rPr>
                <w:rFonts w:hint="eastAsia"/>
                <w:sz w:val="24"/>
                <w:szCs w:val="22"/>
                <w:highlight w:val="none"/>
                <w:lang w:eastAsia="zh-CN"/>
              </w:rPr>
              <w:t>根据拟投入本项目团队实力（</w:t>
            </w:r>
            <w:r>
              <w:rPr>
                <w:rFonts w:hint="eastAsia"/>
                <w:sz w:val="24"/>
                <w:szCs w:val="22"/>
                <w:highlight w:val="none"/>
                <w:lang w:val="en-US" w:eastAsia="zh-CN"/>
              </w:rPr>
              <w:t>除项目负责人外</w:t>
            </w:r>
            <w:r>
              <w:rPr>
                <w:rFonts w:hint="eastAsia"/>
                <w:sz w:val="24"/>
                <w:szCs w:val="22"/>
                <w:highlight w:val="none"/>
                <w:lang w:eastAsia="zh-CN"/>
              </w:rPr>
              <w:t>），人员数量、人员配置（</w:t>
            </w:r>
            <w:r>
              <w:rPr>
                <w:rFonts w:hint="eastAsia"/>
                <w:sz w:val="24"/>
                <w:szCs w:val="22"/>
                <w:highlight w:val="none"/>
                <w:lang w:val="en-US" w:eastAsia="zh-CN"/>
              </w:rPr>
              <w:t>专业程度</w:t>
            </w:r>
            <w:r>
              <w:rPr>
                <w:rFonts w:hint="eastAsia"/>
                <w:sz w:val="24"/>
                <w:szCs w:val="22"/>
                <w:highlight w:val="none"/>
                <w:lang w:eastAsia="zh-CN"/>
              </w:rPr>
              <w:t>）及职责、分工等进行打分。</w:t>
            </w:r>
          </w:p>
          <w:p>
            <w:pPr>
              <w:numPr>
                <w:ilvl w:val="0"/>
                <w:numId w:val="6"/>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拟投入设计团队人员专业齐全，人数配备完全能满足项目所需，职责分工明确的得5.1—8分。</w:t>
            </w:r>
          </w:p>
          <w:p>
            <w:pPr>
              <w:numPr>
                <w:ilvl w:val="0"/>
                <w:numId w:val="6"/>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拟投入设计团队人员专业较齐全，人数配备能满足项目所需，职责分工较明确的得2.1—5分；</w:t>
            </w:r>
          </w:p>
          <w:p>
            <w:pPr>
              <w:numPr>
                <w:ilvl w:val="0"/>
                <w:numId w:val="6"/>
              </w:numPr>
              <w:shd w:val="clear"/>
              <w:snapToGrid w:val="0"/>
              <w:ind w:left="425" w:leftChars="0" w:hanging="425" w:firstLineChars="0"/>
              <w:rPr>
                <w:rFonts w:hint="default"/>
                <w:highlight w:val="none"/>
                <w:lang w:val="en-US"/>
              </w:rPr>
            </w:pPr>
            <w:r>
              <w:rPr>
                <w:rFonts w:hint="eastAsia"/>
                <w:sz w:val="24"/>
                <w:szCs w:val="22"/>
                <w:highlight w:val="none"/>
                <w:lang w:val="en-US" w:eastAsia="zh-CN"/>
              </w:rPr>
              <w:t>提供方案即得基本分2分，缺项不得分。</w:t>
            </w:r>
          </w:p>
        </w:tc>
        <w:tc>
          <w:tcPr>
            <w:tcW w:w="685" w:type="dxa"/>
            <w:tcBorders>
              <w:tl2br w:val="nil"/>
              <w:tr2bl w:val="nil"/>
            </w:tcBorders>
            <w:vAlign w:val="center"/>
          </w:tcPr>
          <w:p>
            <w:pPr>
              <w:widowControl/>
              <w:shd w:val="clear"/>
              <w:jc w:val="center"/>
              <w:rPr>
                <w:rFonts w:hint="eastAsia"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597" w:type="dxa"/>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4</w:t>
            </w:r>
          </w:p>
        </w:tc>
        <w:tc>
          <w:tcPr>
            <w:tcW w:w="1687" w:type="dxa"/>
            <w:tcBorders>
              <w:tl2br w:val="nil"/>
              <w:tr2bl w:val="nil"/>
            </w:tcBorders>
            <w:vAlign w:val="center"/>
          </w:tcPr>
          <w:p>
            <w:pPr>
              <w:shd w:val="clear"/>
              <w:snapToGrid w:val="0"/>
              <w:jc w:val="center"/>
              <w:rPr>
                <w:rFonts w:hint="default"/>
                <w:sz w:val="24"/>
                <w:szCs w:val="22"/>
                <w:highlight w:val="none"/>
                <w:lang w:val="en-US" w:eastAsia="zh-CN"/>
              </w:rPr>
            </w:pPr>
            <w:r>
              <w:rPr>
                <w:rFonts w:hint="default"/>
                <w:sz w:val="24"/>
                <w:szCs w:val="22"/>
                <w:highlight w:val="none"/>
                <w:lang w:val="en-US" w:eastAsia="zh-CN"/>
              </w:rPr>
              <w:t>现状整体认识</w:t>
            </w:r>
          </w:p>
        </w:tc>
        <w:tc>
          <w:tcPr>
            <w:tcW w:w="6609" w:type="dxa"/>
            <w:tcBorders>
              <w:tl2br w:val="nil"/>
              <w:tr2bl w:val="nil"/>
            </w:tcBorders>
            <w:vAlign w:val="center"/>
          </w:tcPr>
          <w:p>
            <w:pPr>
              <w:shd w:val="clear"/>
              <w:snapToGrid w:val="0"/>
              <w:rPr>
                <w:rFonts w:hint="eastAsia"/>
                <w:sz w:val="24"/>
                <w:szCs w:val="22"/>
                <w:highlight w:val="none"/>
                <w:lang w:val="en-US" w:eastAsia="zh-CN"/>
              </w:rPr>
            </w:pPr>
            <w:r>
              <w:rPr>
                <w:rFonts w:hint="eastAsia"/>
                <w:sz w:val="24"/>
                <w:szCs w:val="22"/>
                <w:highlight w:val="none"/>
                <w:lang w:val="en-US" w:eastAsia="zh-CN"/>
              </w:rPr>
              <w:t>投标人对规划区域内城市建设现状的整体认识，应该包括对现状地形、现状标高、现状交通等的分析。</w:t>
            </w:r>
          </w:p>
          <w:p>
            <w:pPr>
              <w:numPr>
                <w:ilvl w:val="0"/>
                <w:numId w:val="7"/>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项目现状认识全面，分析理解到位的得4.1—6分；</w:t>
            </w:r>
          </w:p>
          <w:p>
            <w:pPr>
              <w:numPr>
                <w:ilvl w:val="0"/>
                <w:numId w:val="7"/>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项目现状认识全面性及分析理解均一般的得2.1—4分；</w:t>
            </w:r>
          </w:p>
          <w:p>
            <w:pPr>
              <w:numPr>
                <w:ilvl w:val="0"/>
                <w:numId w:val="7"/>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对项目现状认知不到位，内容描述简单的得0-2分。</w:t>
            </w:r>
          </w:p>
        </w:tc>
        <w:tc>
          <w:tcPr>
            <w:tcW w:w="685" w:type="dxa"/>
            <w:tcBorders>
              <w:tl2br w:val="nil"/>
              <w:tr2bl w:val="nil"/>
            </w:tcBorders>
            <w:vAlign w:val="center"/>
          </w:tcPr>
          <w:p>
            <w:pPr>
              <w:widowControl/>
              <w:shd w:val="clear"/>
              <w:jc w:val="center"/>
              <w:rPr>
                <w:rFonts w:hint="eastAsia" w:hAnsi="宋体" w:eastAsia="宋体" w:cs="宋体"/>
                <w:color w:val="000000"/>
                <w:sz w:val="22"/>
                <w:szCs w:val="22"/>
                <w:highlight w:val="none"/>
                <w:lang w:eastAsia="zh-CN"/>
              </w:rPr>
            </w:pPr>
            <w:r>
              <w:rPr>
                <w:rFonts w:hint="eastAsia" w:hAnsi="宋体" w:cs="宋体"/>
                <w:color w:val="000000"/>
                <w:sz w:val="22"/>
                <w:szCs w:val="22"/>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0" w:type="auto"/>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bookmarkStart w:id="7" w:name="_Toc5903"/>
            <w:r>
              <w:rPr>
                <w:rFonts w:hint="eastAsia" w:hAnsi="宋体" w:cs="宋体"/>
                <w:color w:val="000000"/>
                <w:sz w:val="22"/>
                <w:szCs w:val="22"/>
                <w:highlight w:val="none"/>
                <w:lang w:val="en-US" w:eastAsia="zh-CN"/>
              </w:rPr>
              <w:t>5</w:t>
            </w:r>
          </w:p>
        </w:tc>
        <w:tc>
          <w:tcPr>
            <w:tcW w:w="0" w:type="auto"/>
            <w:tcBorders>
              <w:tl2br w:val="nil"/>
              <w:tr2bl w:val="nil"/>
            </w:tcBorders>
            <w:vAlign w:val="center"/>
          </w:tcPr>
          <w:p>
            <w:pPr>
              <w:shd w:val="clear"/>
              <w:snapToGrid w:val="0"/>
              <w:jc w:val="center"/>
              <w:rPr>
                <w:rFonts w:hint="default"/>
                <w:sz w:val="24"/>
                <w:szCs w:val="22"/>
                <w:highlight w:val="none"/>
                <w:lang w:val="en-US" w:eastAsia="zh-CN"/>
              </w:rPr>
            </w:pPr>
            <w:r>
              <w:rPr>
                <w:rFonts w:hint="eastAsia"/>
                <w:sz w:val="24"/>
                <w:szCs w:val="22"/>
                <w:highlight w:val="none"/>
                <w:lang w:val="en-US" w:eastAsia="zh-CN"/>
              </w:rPr>
              <w:t>工作内容、目的、任务</w:t>
            </w:r>
          </w:p>
        </w:tc>
        <w:tc>
          <w:tcPr>
            <w:tcW w:w="0" w:type="auto"/>
            <w:tcBorders>
              <w:tl2br w:val="nil"/>
              <w:tr2bl w:val="nil"/>
            </w:tcBorders>
            <w:vAlign w:val="center"/>
          </w:tcPr>
          <w:p>
            <w:pPr>
              <w:shd w:val="clear"/>
              <w:snapToGrid w:val="0"/>
              <w:rPr>
                <w:rFonts w:hint="eastAsia"/>
                <w:sz w:val="24"/>
                <w:szCs w:val="22"/>
                <w:highlight w:val="none"/>
                <w:lang w:val="en-US" w:eastAsia="zh-CN"/>
              </w:rPr>
            </w:pPr>
            <w:r>
              <w:rPr>
                <w:rFonts w:hint="eastAsia"/>
                <w:sz w:val="24"/>
                <w:szCs w:val="22"/>
                <w:highlight w:val="none"/>
                <w:lang w:val="en-US" w:eastAsia="zh-CN"/>
              </w:rPr>
              <w:t>投标人对技术服务工作的工作内容（需对本项目涵盖的4项工作内容分别进行阐述）、工作目的、工作任务的理解和认识，要以上层次规划为指导，与海绵城市、综合交通、风貌规划等专项规划相衔接。</w:t>
            </w:r>
          </w:p>
          <w:p>
            <w:pPr>
              <w:numPr>
                <w:ilvl w:val="0"/>
                <w:numId w:val="8"/>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能准确阐述技术服务工作的理解和认识的得3.5—5分；</w:t>
            </w:r>
          </w:p>
          <w:p>
            <w:pPr>
              <w:numPr>
                <w:ilvl w:val="0"/>
                <w:numId w:val="8"/>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对技术服务工作的理解和认识一般的得1.1—3.4分；</w:t>
            </w:r>
          </w:p>
          <w:p>
            <w:pPr>
              <w:numPr>
                <w:ilvl w:val="0"/>
                <w:numId w:val="8"/>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提供方案即得基本分1分，缺项不得分。</w:t>
            </w:r>
          </w:p>
        </w:tc>
        <w:tc>
          <w:tcPr>
            <w:tcW w:w="685" w:type="dxa"/>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0" w:type="auto"/>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6</w:t>
            </w:r>
          </w:p>
        </w:tc>
        <w:tc>
          <w:tcPr>
            <w:tcW w:w="0" w:type="auto"/>
            <w:tcBorders>
              <w:tl2br w:val="nil"/>
              <w:tr2bl w:val="nil"/>
            </w:tcBorders>
            <w:vAlign w:val="center"/>
          </w:tcPr>
          <w:p>
            <w:pPr>
              <w:shd w:val="clear"/>
              <w:snapToGrid w:val="0"/>
              <w:jc w:val="center"/>
              <w:rPr>
                <w:rFonts w:hint="default"/>
                <w:sz w:val="24"/>
                <w:szCs w:val="22"/>
                <w:highlight w:val="none"/>
                <w:lang w:val="en-US" w:eastAsia="zh-CN"/>
              </w:rPr>
            </w:pPr>
            <w:r>
              <w:rPr>
                <w:rFonts w:hint="eastAsia"/>
                <w:sz w:val="24"/>
                <w:szCs w:val="22"/>
                <w:highlight w:val="none"/>
                <w:lang w:val="en-US" w:eastAsia="zh-CN"/>
              </w:rPr>
              <w:t>项目特色建议和意见</w:t>
            </w:r>
          </w:p>
        </w:tc>
        <w:tc>
          <w:tcPr>
            <w:tcW w:w="0" w:type="auto"/>
            <w:tcBorders>
              <w:tl2br w:val="nil"/>
              <w:tr2bl w:val="nil"/>
            </w:tcBorders>
            <w:vAlign w:val="center"/>
          </w:tcPr>
          <w:p>
            <w:pPr>
              <w:shd w:val="clear"/>
              <w:snapToGrid w:val="0"/>
              <w:rPr>
                <w:rFonts w:hint="default"/>
                <w:sz w:val="24"/>
                <w:szCs w:val="22"/>
                <w:highlight w:val="none"/>
                <w:lang w:val="en-US" w:eastAsia="zh-CN"/>
              </w:rPr>
            </w:pPr>
            <w:r>
              <w:rPr>
                <w:rFonts w:hint="default"/>
                <w:sz w:val="24"/>
                <w:szCs w:val="22"/>
                <w:highlight w:val="none"/>
                <w:lang w:val="en-US" w:eastAsia="zh-CN"/>
              </w:rPr>
              <w:t>规划项目如何结合当地人文历史、产业特点和风貌特色，提供理念先进、富有地方特色的规划编制建议，使规划操作性强、实施性好，具有管理实施的直接指导意义</w:t>
            </w:r>
            <w:r>
              <w:rPr>
                <w:rFonts w:hint="eastAsia"/>
                <w:sz w:val="24"/>
                <w:szCs w:val="22"/>
                <w:highlight w:val="none"/>
                <w:lang w:val="en-US" w:eastAsia="zh-CN"/>
              </w:rPr>
              <w:t>：</w:t>
            </w:r>
          </w:p>
          <w:p>
            <w:pPr>
              <w:shd w:val="clear"/>
              <w:snapToGrid w:val="0"/>
              <w:rPr>
                <w:rFonts w:hint="eastAsia"/>
                <w:sz w:val="24"/>
                <w:szCs w:val="22"/>
                <w:highlight w:val="none"/>
                <w:lang w:val="en-US" w:eastAsia="zh-CN"/>
              </w:rPr>
            </w:pPr>
            <w:r>
              <w:rPr>
                <w:rFonts w:hint="eastAsia"/>
                <w:sz w:val="24"/>
                <w:szCs w:val="22"/>
                <w:highlight w:val="none"/>
                <w:lang w:val="en-US" w:eastAsia="zh-CN"/>
              </w:rPr>
              <w:t>每提出一条</w:t>
            </w:r>
            <w:r>
              <w:rPr>
                <w:rFonts w:hint="default"/>
                <w:sz w:val="24"/>
                <w:szCs w:val="22"/>
                <w:highlight w:val="none"/>
                <w:lang w:val="en-US" w:eastAsia="zh-CN"/>
              </w:rPr>
              <w:t>思路明确、针对性强、方法科学合理、可操作性强</w:t>
            </w:r>
            <w:r>
              <w:rPr>
                <w:rFonts w:hint="eastAsia"/>
                <w:sz w:val="24"/>
                <w:szCs w:val="22"/>
                <w:highlight w:val="none"/>
                <w:lang w:val="en-US" w:eastAsia="zh-CN"/>
              </w:rPr>
              <w:t>的建议由专家在0-2分区间内综合打分；</w:t>
            </w:r>
          </w:p>
          <w:p>
            <w:pPr>
              <w:shd w:val="clear"/>
              <w:snapToGrid w:val="0"/>
              <w:rPr>
                <w:rFonts w:hint="eastAsia"/>
                <w:sz w:val="24"/>
                <w:szCs w:val="22"/>
                <w:highlight w:val="none"/>
                <w:lang w:val="en-US" w:eastAsia="zh-CN"/>
              </w:rPr>
            </w:pPr>
            <w:r>
              <w:rPr>
                <w:rFonts w:hint="default"/>
                <w:sz w:val="24"/>
                <w:szCs w:val="22"/>
                <w:highlight w:val="none"/>
                <w:lang w:val="en-US" w:eastAsia="zh-CN"/>
              </w:rPr>
              <w:t>思路</w:t>
            </w:r>
            <w:r>
              <w:rPr>
                <w:rFonts w:hint="eastAsia"/>
                <w:sz w:val="24"/>
                <w:szCs w:val="22"/>
                <w:highlight w:val="none"/>
                <w:lang w:val="en-US" w:eastAsia="zh-CN"/>
              </w:rPr>
              <w:t>模糊</w:t>
            </w:r>
            <w:r>
              <w:rPr>
                <w:rFonts w:hint="default"/>
                <w:sz w:val="24"/>
                <w:szCs w:val="22"/>
                <w:highlight w:val="none"/>
                <w:lang w:val="en-US" w:eastAsia="zh-CN"/>
              </w:rPr>
              <w:t>、</w:t>
            </w:r>
            <w:r>
              <w:rPr>
                <w:rFonts w:hint="eastAsia"/>
                <w:sz w:val="24"/>
                <w:szCs w:val="22"/>
                <w:highlight w:val="none"/>
                <w:lang w:val="en-US" w:eastAsia="zh-CN"/>
              </w:rPr>
              <w:t>无</w:t>
            </w:r>
            <w:r>
              <w:rPr>
                <w:rFonts w:hint="default"/>
                <w:sz w:val="24"/>
                <w:szCs w:val="22"/>
                <w:highlight w:val="none"/>
                <w:lang w:val="en-US" w:eastAsia="zh-CN"/>
              </w:rPr>
              <w:t>针对性、方法</w:t>
            </w:r>
            <w:r>
              <w:rPr>
                <w:rFonts w:hint="eastAsia"/>
                <w:sz w:val="24"/>
                <w:szCs w:val="22"/>
                <w:highlight w:val="none"/>
                <w:lang w:val="en-US" w:eastAsia="zh-CN"/>
              </w:rPr>
              <w:t>不</w:t>
            </w:r>
            <w:r>
              <w:rPr>
                <w:rFonts w:hint="default"/>
                <w:sz w:val="24"/>
                <w:szCs w:val="22"/>
                <w:highlight w:val="none"/>
                <w:lang w:val="en-US" w:eastAsia="zh-CN"/>
              </w:rPr>
              <w:t>科学合理、</w:t>
            </w:r>
            <w:r>
              <w:rPr>
                <w:rFonts w:hint="eastAsia"/>
                <w:sz w:val="24"/>
                <w:szCs w:val="22"/>
                <w:highlight w:val="none"/>
                <w:lang w:val="en-US" w:eastAsia="zh-CN"/>
              </w:rPr>
              <w:t>无</w:t>
            </w:r>
            <w:r>
              <w:rPr>
                <w:rFonts w:hint="default"/>
                <w:sz w:val="24"/>
                <w:szCs w:val="22"/>
                <w:highlight w:val="none"/>
                <w:lang w:val="en-US" w:eastAsia="zh-CN"/>
              </w:rPr>
              <w:t>可操作性</w:t>
            </w:r>
            <w:r>
              <w:rPr>
                <w:rFonts w:hint="eastAsia"/>
                <w:sz w:val="24"/>
                <w:szCs w:val="22"/>
                <w:highlight w:val="none"/>
                <w:lang w:val="en-US" w:eastAsia="zh-CN"/>
              </w:rPr>
              <w:t>的不得分；</w:t>
            </w:r>
          </w:p>
          <w:p>
            <w:pPr>
              <w:shd w:val="clear"/>
              <w:snapToGrid w:val="0"/>
              <w:rPr>
                <w:rFonts w:hint="default"/>
                <w:sz w:val="24"/>
                <w:szCs w:val="22"/>
                <w:highlight w:val="none"/>
                <w:lang w:val="en-US" w:eastAsia="zh-CN"/>
              </w:rPr>
            </w:pPr>
            <w:r>
              <w:rPr>
                <w:rFonts w:hint="eastAsia"/>
                <w:sz w:val="24"/>
                <w:szCs w:val="22"/>
                <w:highlight w:val="none"/>
                <w:lang w:val="zh-CN" w:eastAsia="zh-CN"/>
              </w:rPr>
              <w:t>本项最高得</w:t>
            </w:r>
            <w:r>
              <w:rPr>
                <w:rFonts w:hint="eastAsia"/>
                <w:sz w:val="24"/>
                <w:szCs w:val="22"/>
                <w:highlight w:val="none"/>
                <w:lang w:val="en-US" w:eastAsia="zh-CN"/>
              </w:rPr>
              <w:t>6</w:t>
            </w:r>
            <w:r>
              <w:rPr>
                <w:rFonts w:hint="eastAsia"/>
                <w:sz w:val="24"/>
                <w:szCs w:val="22"/>
                <w:highlight w:val="none"/>
                <w:lang w:val="zh-CN" w:eastAsia="zh-CN"/>
              </w:rPr>
              <w:t>分</w:t>
            </w:r>
            <w:r>
              <w:rPr>
                <w:rFonts w:hint="eastAsia"/>
                <w:sz w:val="24"/>
                <w:szCs w:val="22"/>
                <w:highlight w:val="none"/>
                <w:lang w:val="en-US" w:eastAsia="zh-CN"/>
              </w:rPr>
              <w:t>。</w:t>
            </w:r>
          </w:p>
        </w:tc>
        <w:tc>
          <w:tcPr>
            <w:tcW w:w="0" w:type="auto"/>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863" w:hRule="atLeast"/>
        </w:trPr>
        <w:tc>
          <w:tcPr>
            <w:tcW w:w="0" w:type="auto"/>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7</w:t>
            </w:r>
          </w:p>
        </w:tc>
        <w:tc>
          <w:tcPr>
            <w:tcW w:w="0" w:type="auto"/>
            <w:tcBorders>
              <w:tl2br w:val="nil"/>
              <w:tr2bl w:val="nil"/>
            </w:tcBorders>
            <w:vAlign w:val="center"/>
          </w:tcPr>
          <w:p>
            <w:pPr>
              <w:shd w:val="clear"/>
              <w:snapToGrid w:val="0"/>
              <w:jc w:val="center"/>
              <w:rPr>
                <w:rFonts w:hint="eastAsia"/>
                <w:sz w:val="24"/>
                <w:szCs w:val="22"/>
                <w:highlight w:val="none"/>
                <w:lang w:val="en-US" w:eastAsia="zh-CN"/>
              </w:rPr>
            </w:pPr>
            <w:r>
              <w:rPr>
                <w:rFonts w:hint="eastAsia"/>
                <w:sz w:val="24"/>
                <w:szCs w:val="22"/>
                <w:highlight w:val="none"/>
                <w:lang w:val="en-US" w:eastAsia="zh-CN"/>
              </w:rPr>
              <w:t>项目重难点</w:t>
            </w:r>
          </w:p>
          <w:p>
            <w:pPr>
              <w:shd w:val="clear"/>
              <w:snapToGrid w:val="0"/>
              <w:jc w:val="center"/>
              <w:rPr>
                <w:rFonts w:hint="default"/>
                <w:sz w:val="24"/>
                <w:szCs w:val="22"/>
                <w:highlight w:val="none"/>
                <w:lang w:val="en-US" w:eastAsia="zh-CN"/>
              </w:rPr>
            </w:pPr>
            <w:r>
              <w:rPr>
                <w:rFonts w:hint="eastAsia"/>
                <w:sz w:val="24"/>
                <w:szCs w:val="22"/>
                <w:highlight w:val="none"/>
                <w:lang w:val="en-US" w:eastAsia="zh-CN"/>
              </w:rPr>
              <w:t>分析</w:t>
            </w:r>
          </w:p>
        </w:tc>
        <w:tc>
          <w:tcPr>
            <w:tcW w:w="0" w:type="auto"/>
            <w:tcBorders>
              <w:tl2br w:val="nil"/>
              <w:tr2bl w:val="nil"/>
            </w:tcBorders>
            <w:vAlign w:val="center"/>
          </w:tcPr>
          <w:p>
            <w:pPr>
              <w:shd w:val="clear"/>
              <w:snapToGrid w:val="0"/>
              <w:rPr>
                <w:rFonts w:hint="eastAsia"/>
                <w:sz w:val="24"/>
                <w:szCs w:val="22"/>
                <w:highlight w:val="none"/>
                <w:lang w:val="en-US" w:eastAsia="zh-CN"/>
              </w:rPr>
            </w:pPr>
            <w:r>
              <w:rPr>
                <w:rFonts w:hint="eastAsia"/>
                <w:sz w:val="24"/>
                <w:szCs w:val="22"/>
                <w:highlight w:val="none"/>
                <w:lang w:val="en-US" w:eastAsia="zh-CN"/>
              </w:rPr>
              <w:t>项目重难点进行分析，并针对解决措施完善性和合理性进行评分，投标人应充分考虑项目实施的不确定性，采购人在服务期限内就单个项目分别进行编制。</w:t>
            </w:r>
          </w:p>
          <w:p>
            <w:pPr>
              <w:numPr>
                <w:ilvl w:val="0"/>
                <w:numId w:val="9"/>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针对本项目的重点与难点把握准确，解决方案合理到位的得3.1—4分；</w:t>
            </w:r>
          </w:p>
          <w:p>
            <w:pPr>
              <w:numPr>
                <w:ilvl w:val="0"/>
                <w:numId w:val="9"/>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重点和难点分析基本准确，解决措施方案合理的得1.6—3分；</w:t>
            </w:r>
          </w:p>
          <w:p>
            <w:pPr>
              <w:numPr>
                <w:ilvl w:val="0"/>
                <w:numId w:val="9"/>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重难点分析内容不够准确，描述较为简单的得0-1.5分。</w:t>
            </w:r>
          </w:p>
        </w:tc>
        <w:tc>
          <w:tcPr>
            <w:tcW w:w="0" w:type="auto"/>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0" w:type="auto"/>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8</w:t>
            </w:r>
          </w:p>
        </w:tc>
        <w:tc>
          <w:tcPr>
            <w:tcW w:w="0" w:type="auto"/>
            <w:tcBorders>
              <w:tl2br w:val="nil"/>
              <w:tr2bl w:val="nil"/>
            </w:tcBorders>
            <w:vAlign w:val="center"/>
          </w:tcPr>
          <w:p>
            <w:pPr>
              <w:shd w:val="clear"/>
              <w:snapToGrid w:val="0"/>
              <w:jc w:val="center"/>
              <w:rPr>
                <w:rFonts w:hint="eastAsia"/>
                <w:sz w:val="24"/>
                <w:szCs w:val="22"/>
                <w:highlight w:val="none"/>
                <w:lang w:val="en-US" w:eastAsia="zh-CN"/>
              </w:rPr>
            </w:pPr>
          </w:p>
          <w:p>
            <w:pPr>
              <w:shd w:val="clear"/>
              <w:snapToGrid w:val="0"/>
              <w:jc w:val="center"/>
              <w:rPr>
                <w:rFonts w:hint="default"/>
                <w:sz w:val="24"/>
                <w:szCs w:val="22"/>
                <w:highlight w:val="none"/>
                <w:lang w:val="en-US" w:eastAsia="zh-CN"/>
              </w:rPr>
            </w:pPr>
            <w:r>
              <w:rPr>
                <w:rFonts w:hint="eastAsia"/>
                <w:sz w:val="24"/>
                <w:szCs w:val="22"/>
                <w:highlight w:val="none"/>
                <w:lang w:val="en-US" w:eastAsia="zh-CN"/>
              </w:rPr>
              <w:t>工作进度安排及各阶段详细工作计划</w:t>
            </w:r>
          </w:p>
        </w:tc>
        <w:tc>
          <w:tcPr>
            <w:tcW w:w="0" w:type="auto"/>
            <w:tcBorders>
              <w:tl2br w:val="nil"/>
              <w:tr2bl w:val="nil"/>
            </w:tcBorders>
            <w:vAlign w:val="center"/>
          </w:tcPr>
          <w:p>
            <w:pPr>
              <w:shd w:val="clear"/>
              <w:snapToGrid w:val="0"/>
              <w:rPr>
                <w:rFonts w:hint="eastAsia"/>
                <w:sz w:val="24"/>
                <w:szCs w:val="22"/>
                <w:highlight w:val="none"/>
                <w:lang w:val="en-US" w:eastAsia="zh-CN"/>
              </w:rPr>
            </w:pPr>
            <w:r>
              <w:rPr>
                <w:rFonts w:hint="eastAsia"/>
                <w:sz w:val="24"/>
                <w:szCs w:val="22"/>
                <w:highlight w:val="none"/>
                <w:lang w:val="en-US" w:eastAsia="zh-CN"/>
              </w:rPr>
              <w:t>根据投标人提供的工作进度安排及各阶段详细工作计划进行评分，应充分结合采购需求中提出的各项时间节点要求进行论述：</w:t>
            </w:r>
          </w:p>
          <w:p>
            <w:pPr>
              <w:numPr>
                <w:ilvl w:val="0"/>
                <w:numId w:val="10"/>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进度措施全面、合理，具有针对性的得4.1—6分；</w:t>
            </w:r>
          </w:p>
          <w:p>
            <w:pPr>
              <w:numPr>
                <w:ilvl w:val="0"/>
                <w:numId w:val="10"/>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进度措施基本全面、合理，针对性一般的得2.1—4分；</w:t>
            </w:r>
          </w:p>
          <w:p>
            <w:pPr>
              <w:numPr>
                <w:ilvl w:val="0"/>
                <w:numId w:val="10"/>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进度措施基本全面、合理，针对性较弱的得0-2分；</w:t>
            </w:r>
          </w:p>
        </w:tc>
        <w:tc>
          <w:tcPr>
            <w:tcW w:w="0" w:type="auto"/>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0" w:type="auto"/>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9</w:t>
            </w:r>
          </w:p>
        </w:tc>
        <w:tc>
          <w:tcPr>
            <w:tcW w:w="1687" w:type="dxa"/>
            <w:tcBorders>
              <w:tl2br w:val="nil"/>
              <w:tr2bl w:val="nil"/>
            </w:tcBorders>
            <w:vAlign w:val="center"/>
          </w:tcPr>
          <w:p>
            <w:pPr>
              <w:shd w:val="clear"/>
              <w:snapToGrid w:val="0"/>
              <w:jc w:val="center"/>
              <w:rPr>
                <w:rFonts w:hint="default"/>
                <w:sz w:val="24"/>
                <w:szCs w:val="22"/>
                <w:highlight w:val="none"/>
                <w:lang w:val="en-US" w:eastAsia="zh-CN"/>
              </w:rPr>
            </w:pPr>
            <w:r>
              <w:rPr>
                <w:rFonts w:hint="eastAsia"/>
                <w:sz w:val="24"/>
                <w:szCs w:val="22"/>
                <w:highlight w:val="none"/>
                <w:lang w:val="en-US" w:eastAsia="zh-CN"/>
              </w:rPr>
              <w:t>质量及项目实施保障措施</w:t>
            </w:r>
          </w:p>
        </w:tc>
        <w:tc>
          <w:tcPr>
            <w:tcW w:w="0" w:type="auto"/>
            <w:tcBorders>
              <w:tl2br w:val="nil"/>
              <w:tr2bl w:val="nil"/>
            </w:tcBorders>
            <w:vAlign w:val="center"/>
          </w:tcPr>
          <w:p>
            <w:pPr>
              <w:shd w:val="clear"/>
              <w:snapToGrid w:val="0"/>
              <w:rPr>
                <w:rFonts w:hint="eastAsia"/>
                <w:sz w:val="24"/>
                <w:szCs w:val="22"/>
                <w:highlight w:val="none"/>
                <w:lang w:val="en-US" w:eastAsia="zh-CN"/>
              </w:rPr>
            </w:pPr>
            <w:r>
              <w:rPr>
                <w:rFonts w:hint="eastAsia"/>
                <w:sz w:val="24"/>
                <w:szCs w:val="22"/>
                <w:highlight w:val="none"/>
                <w:lang w:val="en-US" w:eastAsia="zh-CN"/>
              </w:rPr>
              <w:t>根据投标人提供的项目整体质量保证措施进行评价，投标人应承诺成果资料的签字由注册规划师完成，提交成果应满足国家规定的标准、政策和现行技术规范、规程要求。</w:t>
            </w:r>
          </w:p>
          <w:p>
            <w:pPr>
              <w:numPr>
                <w:ilvl w:val="0"/>
                <w:numId w:val="11"/>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措施全面、合理，具有针对性的得6.1—9分；</w:t>
            </w:r>
          </w:p>
          <w:p>
            <w:pPr>
              <w:numPr>
                <w:ilvl w:val="0"/>
                <w:numId w:val="11"/>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措施基本全面、合理，针对性较弱的得4.1—6分；</w:t>
            </w:r>
          </w:p>
          <w:p>
            <w:pPr>
              <w:numPr>
                <w:ilvl w:val="0"/>
                <w:numId w:val="11"/>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措施较为简单或存在缺漏的得2.1—4分；</w:t>
            </w:r>
          </w:p>
          <w:p>
            <w:pPr>
              <w:numPr>
                <w:ilvl w:val="0"/>
                <w:numId w:val="11"/>
              </w:numPr>
              <w:shd w:val="clear"/>
              <w:snapToGrid w:val="0"/>
              <w:ind w:left="425" w:leftChars="0" w:hanging="425" w:firstLineChars="0"/>
              <w:rPr>
                <w:rFonts w:hint="default" w:eastAsia="宋体"/>
                <w:highlight w:val="none"/>
                <w:lang w:val="en-US" w:eastAsia="zh-CN"/>
              </w:rPr>
            </w:pPr>
            <w:r>
              <w:rPr>
                <w:rFonts w:hint="eastAsia"/>
                <w:sz w:val="24"/>
                <w:szCs w:val="22"/>
                <w:highlight w:val="none"/>
                <w:lang w:val="en-US" w:eastAsia="zh-CN"/>
              </w:rPr>
              <w:t>提供方案即得基本分2分。</w:t>
            </w:r>
          </w:p>
        </w:tc>
        <w:tc>
          <w:tcPr>
            <w:tcW w:w="0" w:type="auto"/>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5" w:type="dxa"/>
            <w:left w:w="108" w:type="dxa"/>
            <w:bottom w:w="0" w:type="dxa"/>
            <w:right w:w="108" w:type="dxa"/>
          </w:tblCellMar>
        </w:tblPrEx>
        <w:trPr>
          <w:trHeight w:val="663" w:hRule="atLeast"/>
        </w:trPr>
        <w:tc>
          <w:tcPr>
            <w:tcW w:w="0" w:type="auto"/>
            <w:tcBorders>
              <w:tl2br w:val="nil"/>
              <w:tr2bl w:val="nil"/>
            </w:tcBorders>
            <w:vAlign w:val="center"/>
          </w:tcPr>
          <w:p>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10</w:t>
            </w:r>
          </w:p>
        </w:tc>
        <w:tc>
          <w:tcPr>
            <w:tcW w:w="0" w:type="auto"/>
            <w:tcBorders>
              <w:tl2br w:val="nil"/>
              <w:tr2bl w:val="nil"/>
            </w:tcBorders>
            <w:vAlign w:val="center"/>
          </w:tcPr>
          <w:p>
            <w:pPr>
              <w:shd w:val="clear"/>
              <w:snapToGrid w:val="0"/>
              <w:jc w:val="center"/>
              <w:rPr>
                <w:rFonts w:hint="default"/>
                <w:sz w:val="24"/>
                <w:szCs w:val="22"/>
                <w:highlight w:val="none"/>
                <w:lang w:val="en-US" w:eastAsia="zh-CN"/>
              </w:rPr>
            </w:pPr>
            <w:r>
              <w:rPr>
                <w:rFonts w:hint="eastAsia"/>
                <w:sz w:val="24"/>
                <w:szCs w:val="22"/>
                <w:highlight w:val="none"/>
                <w:lang w:val="en-US" w:eastAsia="zh-CN"/>
              </w:rPr>
              <w:t>服务承诺</w:t>
            </w:r>
          </w:p>
        </w:tc>
        <w:tc>
          <w:tcPr>
            <w:tcW w:w="0" w:type="auto"/>
            <w:tcBorders>
              <w:tl2br w:val="nil"/>
              <w:tr2bl w:val="nil"/>
            </w:tcBorders>
            <w:vAlign w:val="center"/>
          </w:tcPr>
          <w:p>
            <w:pPr>
              <w:shd w:val="clear"/>
              <w:snapToGrid w:val="0"/>
              <w:rPr>
                <w:rFonts w:hint="eastAsia"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lang w:val="en-US" w:eastAsia="zh-CN"/>
              </w:rPr>
              <w:t>投标人制定后续服务方案（包括售后响应时间，如何做好项目人员保障措施实现项目目标）：</w:t>
            </w:r>
          </w:p>
          <w:p>
            <w:pPr>
              <w:numPr>
                <w:ilvl w:val="0"/>
                <w:numId w:val="12"/>
              </w:numPr>
              <w:shd w:val="clear"/>
              <w:snapToGrid w:val="0"/>
              <w:ind w:left="425" w:leftChars="0" w:hanging="425" w:firstLineChars="0"/>
              <w:rPr>
                <w:rFonts w:hint="eastAsia"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lang w:val="en-US" w:eastAsia="zh-CN"/>
              </w:rPr>
              <w:t>提供的后续服务切实可行，本地化服务能力强的得5.1</w:t>
            </w:r>
            <w:r>
              <w:rPr>
                <w:rFonts w:hint="eastAsia" w:cs="Times New Roman"/>
                <w:sz w:val="24"/>
                <w:szCs w:val="22"/>
                <w:highlight w:val="none"/>
                <w:lang w:val="en-US" w:eastAsia="zh-CN"/>
              </w:rPr>
              <w:t>—</w:t>
            </w:r>
            <w:r>
              <w:rPr>
                <w:rFonts w:hint="eastAsia" w:ascii="Times New Roman" w:hAnsi="Times New Roman" w:cs="Times New Roman"/>
                <w:sz w:val="24"/>
                <w:szCs w:val="22"/>
                <w:highlight w:val="none"/>
                <w:lang w:val="en-US" w:eastAsia="zh-CN"/>
              </w:rPr>
              <w:t>8分；</w:t>
            </w:r>
          </w:p>
          <w:p>
            <w:pPr>
              <w:numPr>
                <w:ilvl w:val="0"/>
                <w:numId w:val="12"/>
              </w:numPr>
              <w:shd w:val="clear"/>
              <w:snapToGrid w:val="0"/>
              <w:ind w:left="425" w:leftChars="0" w:hanging="425" w:firstLineChars="0"/>
              <w:rPr>
                <w:rFonts w:hint="eastAsia"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lang w:val="en-US" w:eastAsia="zh-CN"/>
              </w:rPr>
              <w:t>提供的后续服务能满足项目需求，本地化服务能力较强的得2.1</w:t>
            </w:r>
            <w:r>
              <w:rPr>
                <w:rFonts w:hint="eastAsia" w:cs="Times New Roman"/>
                <w:sz w:val="24"/>
                <w:szCs w:val="22"/>
                <w:highlight w:val="none"/>
                <w:lang w:val="en-US" w:eastAsia="zh-CN"/>
              </w:rPr>
              <w:t>—</w:t>
            </w:r>
            <w:r>
              <w:rPr>
                <w:rFonts w:hint="eastAsia" w:ascii="Times New Roman" w:hAnsi="Times New Roman" w:cs="Times New Roman"/>
                <w:sz w:val="24"/>
                <w:szCs w:val="22"/>
                <w:highlight w:val="none"/>
                <w:lang w:val="en-US" w:eastAsia="zh-CN"/>
              </w:rPr>
              <w:t>5分；</w:t>
            </w:r>
          </w:p>
          <w:p>
            <w:pPr>
              <w:numPr>
                <w:ilvl w:val="0"/>
                <w:numId w:val="12"/>
              </w:numPr>
              <w:shd w:val="clear"/>
              <w:snapToGrid w:val="0"/>
              <w:ind w:left="425" w:leftChars="0" w:hanging="425" w:firstLineChars="0"/>
              <w:rPr>
                <w:rFonts w:hint="default"/>
                <w:sz w:val="24"/>
                <w:szCs w:val="22"/>
                <w:highlight w:val="none"/>
                <w:lang w:val="en-US" w:eastAsia="zh-CN"/>
              </w:rPr>
            </w:pPr>
            <w:r>
              <w:rPr>
                <w:rFonts w:hint="eastAsia" w:ascii="Times New Roman" w:hAnsi="Times New Roman" w:cs="Times New Roman"/>
                <w:sz w:val="24"/>
                <w:szCs w:val="22"/>
                <w:highlight w:val="none"/>
                <w:lang w:val="en-US" w:eastAsia="zh-CN"/>
              </w:rPr>
              <w:t>提供的服务承诺内容一般的得0-2分。</w:t>
            </w:r>
          </w:p>
        </w:tc>
        <w:tc>
          <w:tcPr>
            <w:tcW w:w="0" w:type="auto"/>
            <w:tcBorders>
              <w:tl2br w:val="nil"/>
              <w:tr2bl w:val="nil"/>
            </w:tcBorders>
            <w:vAlign w:val="center"/>
          </w:tcPr>
          <w:p>
            <w:pPr>
              <w:widowControl/>
              <w:shd w:val="clear"/>
              <w:jc w:val="center"/>
              <w:rPr>
                <w:rFonts w:hint="default" w:hAnsi="宋体" w:eastAsia="宋体" w:cs="宋体"/>
                <w:color w:val="000000"/>
                <w:sz w:val="22"/>
                <w:szCs w:val="22"/>
                <w:highlight w:val="none"/>
                <w:lang w:val="en-US" w:eastAsia="zh-CN"/>
              </w:rPr>
            </w:pPr>
            <w:r>
              <w:rPr>
                <w:rFonts w:hint="eastAsia" w:hAnsi="宋体" w:cs="宋体"/>
                <w:color w:val="000000"/>
                <w:sz w:val="22"/>
                <w:szCs w:val="22"/>
                <w:highlight w:val="none"/>
                <w:lang w:val="en-US" w:eastAsia="zh-CN"/>
              </w:rPr>
              <w:t>7</w:t>
            </w:r>
          </w:p>
        </w:tc>
      </w:tr>
    </w:tbl>
    <w:p>
      <w:pPr>
        <w:widowControl/>
        <w:shd w:val="clear"/>
        <w:outlineLvl w:val="0"/>
        <w:rPr>
          <w:rFonts w:hint="eastAsia" w:ascii="宋体" w:hAnsi="宋体" w:eastAsia="宋体" w:cs="宋体"/>
          <w:b/>
          <w:bCs/>
          <w:szCs w:val="22"/>
          <w:highlight w:val="none"/>
          <w:lang w:val="zh-CN" w:bidi="zh-CN"/>
        </w:rPr>
      </w:pPr>
      <w:r>
        <w:rPr>
          <w:rFonts w:hint="eastAsia" w:ascii="宋体" w:hAnsi="宋体" w:eastAsia="宋体" w:cs="宋体"/>
          <w:b/>
          <w:bCs/>
          <w:szCs w:val="22"/>
          <w:highlight w:val="none"/>
          <w:lang w:val="zh-CN" w:bidi="zh-CN"/>
        </w:rPr>
        <w:t>注：</w:t>
      </w:r>
      <w:r>
        <w:rPr>
          <w:rFonts w:hint="eastAsia" w:ascii="宋体" w:hAnsi="宋体" w:eastAsia="宋体" w:cs="宋体"/>
          <w:b/>
          <w:bCs/>
          <w:szCs w:val="22"/>
          <w:highlight w:val="none"/>
          <w:lang w:val="en-US" w:bidi="zh-CN"/>
        </w:rPr>
        <w:t>1.</w:t>
      </w:r>
      <w:r>
        <w:rPr>
          <w:rFonts w:hint="eastAsia" w:ascii="宋体" w:hAnsi="宋体" w:eastAsia="宋体" w:cs="宋体"/>
          <w:b/>
          <w:bCs/>
          <w:szCs w:val="22"/>
          <w:highlight w:val="none"/>
          <w:lang w:val="zh-CN" w:bidi="zh-CN"/>
        </w:rPr>
        <w:t>上述评分项，缺项不得分。</w:t>
      </w:r>
    </w:p>
    <w:p>
      <w:pPr>
        <w:widowControl/>
        <w:numPr>
          <w:ilvl w:val="0"/>
          <w:numId w:val="0"/>
        </w:numPr>
        <w:shd w:val="clear"/>
        <w:ind w:leftChars="0"/>
        <w:outlineLvl w:val="0"/>
        <w:rPr>
          <w:rFonts w:hint="eastAsia" w:ascii="宋体" w:hAnsi="宋体" w:eastAsia="宋体" w:cs="宋体"/>
          <w:b/>
          <w:bCs/>
          <w:szCs w:val="22"/>
          <w:highlight w:val="none"/>
          <w:lang w:val="zh-CN" w:bidi="zh-CN"/>
        </w:rPr>
      </w:pPr>
      <w:r>
        <w:rPr>
          <w:rFonts w:hint="eastAsia" w:ascii="宋体" w:hAnsi="宋体" w:eastAsia="宋体" w:cs="宋体"/>
          <w:b/>
          <w:bCs/>
          <w:szCs w:val="22"/>
          <w:highlight w:val="none"/>
          <w:lang w:val="en-US" w:bidi="zh-CN"/>
        </w:rPr>
        <w:t>2.</w:t>
      </w:r>
      <w:r>
        <w:rPr>
          <w:rFonts w:hint="eastAsia" w:ascii="宋体" w:hAnsi="宋体" w:eastAsia="宋体" w:cs="宋体"/>
          <w:b/>
          <w:bCs/>
          <w:szCs w:val="22"/>
          <w:highlight w:val="none"/>
          <w:lang w:val="zh-CN" w:bidi="zh-CN"/>
        </w:rPr>
        <w:t>上述证明材料中的单位名称与投标单位的名称必须一致，单位发生合法变更的，需提供合法变更的材料。否则，相应分值不予计取。</w:t>
      </w:r>
    </w:p>
    <w:p>
      <w:pPr>
        <w:widowControl/>
        <w:numPr>
          <w:ilvl w:val="0"/>
          <w:numId w:val="0"/>
        </w:numPr>
        <w:shd w:val="clear"/>
        <w:ind w:leftChars="0"/>
        <w:jc w:val="center"/>
        <w:outlineLvl w:val="0"/>
        <w:rPr>
          <w:rFonts w:asci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第四章</w:t>
      </w:r>
      <w:r>
        <w:rPr>
          <w:rFonts w:ascii="宋体" w:hAnsi="宋体" w:cs="宋体"/>
          <w:b/>
          <w:bCs/>
          <w:sz w:val="36"/>
          <w:szCs w:val="36"/>
          <w:highlight w:val="none"/>
        </w:rPr>
        <w:t xml:space="preserve"> </w:t>
      </w:r>
      <w:r>
        <w:rPr>
          <w:rFonts w:hint="eastAsia" w:ascii="宋体" w:hAnsi="宋体" w:cs="宋体"/>
          <w:b/>
          <w:bCs/>
          <w:sz w:val="36"/>
          <w:szCs w:val="36"/>
          <w:highlight w:val="none"/>
        </w:rPr>
        <w:t>采购需求</w:t>
      </w:r>
      <w:bookmarkEnd w:id="7"/>
    </w:p>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bookmarkStart w:id="8" w:name="_Toc29793"/>
      <w:r>
        <w:rPr>
          <w:rFonts w:hint="eastAsia" w:ascii="宋体" w:hAnsi="宋体"/>
          <w:b/>
          <w:sz w:val="24"/>
          <w:szCs w:val="24"/>
          <w:highlight w:val="none"/>
        </w:rPr>
        <w:t>一</w:t>
      </w:r>
      <w:r>
        <w:rPr>
          <w:rFonts w:hint="eastAsia" w:ascii="宋体" w:hAnsi="宋体"/>
          <w:b/>
          <w:sz w:val="24"/>
          <w:szCs w:val="24"/>
          <w:highlight w:val="none"/>
          <w:lang w:eastAsia="zh-CN"/>
        </w:rPr>
        <w:t>、</w:t>
      </w:r>
      <w:r>
        <w:rPr>
          <w:rFonts w:hint="eastAsia" w:ascii="宋体" w:hAnsi="宋体"/>
          <w:b/>
          <w:sz w:val="24"/>
          <w:szCs w:val="24"/>
          <w:highlight w:val="none"/>
        </w:rPr>
        <w:t>规划背景</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根据温岭市总体规划要求，为了保护和传承城市历史和文化，提高城市品质，增强城市活力，满足温岭市空间布局和片区规划控制等要求，对市区近期需要规划建设和规划管控的地块进行相关研究。</w:t>
      </w:r>
    </w:p>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w:t>
      </w:r>
      <w:r>
        <w:rPr>
          <w:rFonts w:hint="eastAsia" w:ascii="宋体" w:hAnsi="宋体"/>
          <w:b/>
          <w:sz w:val="24"/>
          <w:szCs w:val="24"/>
          <w:highlight w:val="none"/>
        </w:rPr>
        <w:t>规划原则</w:t>
      </w:r>
    </w:p>
    <w:p>
      <w:pPr>
        <w:keepNext w:val="0"/>
        <w:keepLines w:val="0"/>
        <w:pageBreakBefore w:val="0"/>
        <w:widowControl w:val="0"/>
        <w:numPr>
          <w:ilvl w:val="0"/>
          <w:numId w:val="13"/>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sz w:val="24"/>
          <w:szCs w:val="24"/>
          <w:highlight w:val="none"/>
        </w:rPr>
      </w:pPr>
      <w:r>
        <w:rPr>
          <w:rFonts w:hint="eastAsia" w:ascii="宋体" w:hAnsi="宋体"/>
          <w:sz w:val="24"/>
          <w:szCs w:val="24"/>
          <w:highlight w:val="none"/>
        </w:rPr>
        <w:t>坚持</w:t>
      </w:r>
      <w:r>
        <w:rPr>
          <w:rFonts w:hint="eastAsia" w:ascii="宋体" w:hAnsi="宋体"/>
          <w:sz w:val="24"/>
          <w:szCs w:val="24"/>
          <w:highlight w:val="none"/>
          <w:lang w:eastAsia="zh-CN"/>
        </w:rPr>
        <w:t>规划</w:t>
      </w:r>
      <w:r>
        <w:rPr>
          <w:rFonts w:hint="eastAsia" w:ascii="宋体" w:hAnsi="宋体"/>
          <w:sz w:val="24"/>
          <w:szCs w:val="24"/>
          <w:highlight w:val="none"/>
        </w:rPr>
        <w:t>法律权威性原则：严格按照相关法律法规编制规划，明确和完善法定条文的管控内容。</w:t>
      </w:r>
    </w:p>
    <w:p>
      <w:pPr>
        <w:keepNext w:val="0"/>
        <w:keepLines w:val="0"/>
        <w:pageBreakBefore w:val="0"/>
        <w:widowControl w:val="0"/>
        <w:numPr>
          <w:ilvl w:val="0"/>
          <w:numId w:val="13"/>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sz w:val="24"/>
          <w:szCs w:val="24"/>
          <w:highlight w:val="none"/>
        </w:rPr>
      </w:pPr>
      <w:r>
        <w:rPr>
          <w:rFonts w:hint="eastAsia" w:ascii="宋体" w:hAnsi="宋体"/>
          <w:sz w:val="24"/>
          <w:szCs w:val="24"/>
          <w:highlight w:val="none"/>
        </w:rPr>
        <w:t>坚持统筹兼顾、协调一致原则：以上层次规划为指导，与海绵城市、综合交通、风貌规划等专项规划相衔接，科学规划本规划范围内的设施布局和开发控制。</w:t>
      </w:r>
    </w:p>
    <w:p>
      <w:pPr>
        <w:keepNext w:val="0"/>
        <w:keepLines w:val="0"/>
        <w:pageBreakBefore w:val="0"/>
        <w:widowControl w:val="0"/>
        <w:numPr>
          <w:ilvl w:val="0"/>
          <w:numId w:val="13"/>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sz w:val="24"/>
          <w:szCs w:val="24"/>
          <w:highlight w:val="none"/>
        </w:rPr>
      </w:pPr>
      <w:r>
        <w:rPr>
          <w:rFonts w:hint="eastAsia" w:ascii="宋体" w:hAnsi="宋体"/>
          <w:sz w:val="24"/>
          <w:szCs w:val="24"/>
          <w:highlight w:val="none"/>
        </w:rPr>
        <w:t>坚持标准化、信息化，刚柔并济原则：需严格管控的内容必须严格按照法律、规范编制，可弹性调节的内容应预留调整空间，便于规划管理的具体实施。</w:t>
      </w:r>
    </w:p>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r>
        <w:rPr>
          <w:rFonts w:hint="eastAsia" w:ascii="宋体" w:hAnsi="宋体"/>
          <w:b/>
          <w:sz w:val="24"/>
          <w:szCs w:val="24"/>
          <w:highlight w:val="none"/>
        </w:rPr>
        <w:t>三</w:t>
      </w:r>
      <w:r>
        <w:rPr>
          <w:rFonts w:hint="eastAsia" w:ascii="宋体" w:hAnsi="宋体"/>
          <w:b/>
          <w:sz w:val="24"/>
          <w:szCs w:val="24"/>
          <w:highlight w:val="none"/>
          <w:lang w:eastAsia="zh-CN"/>
        </w:rPr>
        <w:t>、规划内容与成果要求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3.1</w:t>
      </w:r>
      <w:r>
        <w:rPr>
          <w:rFonts w:hint="eastAsia" w:ascii="宋体" w:hAnsi="宋体"/>
          <w:b/>
          <w:bCs/>
          <w:sz w:val="24"/>
          <w:szCs w:val="24"/>
          <w:highlight w:val="none"/>
        </w:rPr>
        <w:t>控规修改论证报告</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依据市域总体规划和相关要求，分析总结区域现状问题，明确规划调整的依据和原则，提出修改的必要性和修改要点，并对项目修改的可行性进行论证。</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本次成果应达到控制性详细规划修改论证报告内容要求，包括文本、图件和附件等。</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包含上述最终成果共6套，规格统一为A4 。</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包含上述所有文本、图件和附件内容的电子成果套（含文字说明电子文件、CAD图纸等），文本为DOC格式文件，方案图纸为DWG格式文件，图集为JPG格式文件。 </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rPr>
        <w:t>2、▲收费标准</w:t>
      </w:r>
      <w:r>
        <w:rPr>
          <w:rFonts w:hint="eastAsia" w:ascii="宋体" w:hAnsi="宋体"/>
          <w:sz w:val="24"/>
          <w:szCs w:val="24"/>
          <w:highlight w:val="none"/>
          <w:lang w:eastAsia="zh-CN"/>
        </w:rPr>
        <w:t>上限：</w:t>
      </w:r>
      <w:r>
        <w:rPr>
          <w:rFonts w:hint="eastAsia" w:ascii="宋体" w:hAnsi="宋体"/>
          <w:sz w:val="24"/>
          <w:szCs w:val="24"/>
          <w:highlight w:val="none"/>
        </w:rPr>
        <w:t>按每个报告1万元</w:t>
      </w:r>
      <w:r>
        <w:rPr>
          <w:rFonts w:hint="eastAsia" w:ascii="宋体" w:hAnsi="宋体"/>
          <w:sz w:val="24"/>
          <w:szCs w:val="24"/>
          <w:highlight w:val="none"/>
          <w:lang w:eastAsia="zh-CN"/>
        </w:rPr>
        <w:t>计</w:t>
      </w:r>
      <w:r>
        <w:rPr>
          <w:rFonts w:hint="eastAsia" w:ascii="宋体" w:hAnsi="宋体"/>
          <w:sz w:val="24"/>
          <w:szCs w:val="24"/>
          <w:highlight w:val="none"/>
        </w:rPr>
        <w:t>取</w:t>
      </w:r>
      <w:r>
        <w:rPr>
          <w:rFonts w:hint="eastAsia" w:ascii="宋体" w:hAnsi="宋体"/>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设计方向委托方交付的设计文件、份数及时间：</w:t>
      </w:r>
    </w:p>
    <w:tbl>
      <w:tblPr>
        <w:tblStyle w:val="22"/>
        <w:tblpPr w:leftFromText="180" w:rightFromText="180" w:vertAnchor="text" w:horzAnchor="page" w:tblpX="1578" w:tblpY="262"/>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28"/>
        <w:gridCol w:w="858"/>
        <w:gridCol w:w="333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2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28"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34"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28"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34"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3</w:t>
            </w:r>
            <w:r>
              <w:rPr>
                <w:rFonts w:hint="eastAsia" w:ascii="宋体" w:hAnsi="宋体"/>
                <w:sz w:val="24"/>
                <w:szCs w:val="24"/>
                <w:highlight w:val="none"/>
              </w:rPr>
              <w:t>0日内</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2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批前公告结束</w:t>
            </w:r>
            <w:r>
              <w:rPr>
                <w:rFonts w:hint="eastAsia" w:ascii="宋体" w:hAnsi="宋体"/>
                <w:sz w:val="24"/>
                <w:szCs w:val="24"/>
                <w:highlight w:val="none"/>
              </w:rPr>
              <w:t>后</w:t>
            </w:r>
            <w:r>
              <w:rPr>
                <w:rFonts w:hint="eastAsia" w:ascii="宋体" w:hAnsi="宋体"/>
                <w:sz w:val="24"/>
                <w:szCs w:val="24"/>
                <w:highlight w:val="none"/>
                <w:lang w:val="en-US" w:eastAsia="zh-CN"/>
              </w:rPr>
              <w:t>7</w:t>
            </w:r>
            <w:r>
              <w:rPr>
                <w:rFonts w:hint="eastAsia" w:ascii="宋体" w:hAnsi="宋体"/>
                <w:sz w:val="24"/>
                <w:szCs w:val="24"/>
                <w:highlight w:val="none"/>
              </w:rPr>
              <w:t>日内</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3.2控制性详细规划</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准确把握规划背景和规划依据，开展城市现状建设和发展情况调查，研究城市规划与管理实施的问题，对道路交通、公共服务、城市空间、景观风貌等情况进行分析研究，为规划的编制奠定基础。</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合理布局公共服务设施及市政设施协调完善片区内各专项规划，确定规划范围内不同性质用地的界线，确定各类用地内适建、不适建或者有条件地允许建设的建筑类型；确定地块建筑高度、建筑密度、容积率、绿地率等控制指标；确定公共设施配套要求、</w:t>
      </w:r>
      <w:r>
        <w:rPr>
          <w:rFonts w:hint="eastAsia" w:ascii="宋体" w:hAnsi="宋体"/>
          <w:sz w:val="24"/>
          <w:szCs w:val="24"/>
          <w:highlight w:val="none"/>
          <w:lang w:eastAsia="zh-CN"/>
        </w:rPr>
        <w:t>竖向标高、交通组织、</w:t>
      </w:r>
      <w:r>
        <w:rPr>
          <w:rFonts w:hint="eastAsia" w:ascii="宋体" w:hAnsi="宋体"/>
          <w:sz w:val="24"/>
          <w:szCs w:val="24"/>
          <w:highlight w:val="none"/>
        </w:rPr>
        <w:t>交通出入口方位、停车泊位、建筑后退红线距离等要求。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本次成果应达到设计要求，</w:t>
      </w:r>
      <w:r>
        <w:rPr>
          <w:rFonts w:hint="eastAsia" w:ascii="宋体" w:hAnsi="宋体"/>
          <w:sz w:val="24"/>
          <w:szCs w:val="24"/>
          <w:highlight w:val="none"/>
          <w:lang w:eastAsia="zh-CN"/>
        </w:rPr>
        <w:t>并符合</w:t>
      </w:r>
      <w:r>
        <w:rPr>
          <w:rFonts w:hint="eastAsia" w:ascii="宋体" w:hAnsi="宋体" w:cs="宋体"/>
          <w:color w:val="000000"/>
          <w:sz w:val="24"/>
          <w:szCs w:val="24"/>
          <w:highlight w:val="none"/>
          <w:lang w:val="en-US" w:eastAsia="zh-CN"/>
        </w:rPr>
        <w:t>“多规合一”综合应用数据归集与治理相关要求，</w:t>
      </w:r>
      <w:r>
        <w:rPr>
          <w:rFonts w:hint="eastAsia" w:ascii="宋体" w:hAnsi="宋体"/>
          <w:sz w:val="24"/>
          <w:szCs w:val="24"/>
          <w:highlight w:val="none"/>
        </w:rPr>
        <w:t>应有以下内容（但不局限于）：</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说明、分析图、土地利用规划图、竖向标高、市政公共设施规划、地块控制图、附件</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包含上述最终成果共6套，规格统一为A3 。</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 xml:space="preserve">包含上述所有文本、图件和附件内容的电子成果套（含文字说明电子文件、CAD图纸等），文本为DOC格式文件，方案图纸为DWG格式文件，图集为JPG格式文件。 </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1.2“多规合一”综合应用数据归集与治理要求：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default" w:ascii="宋体" w:hAnsi="宋体" w:cs="Times New Roman"/>
          <w:sz w:val="24"/>
          <w:szCs w:val="24"/>
          <w:highlight w:val="none"/>
          <w:lang w:val="en-US" w:eastAsia="zh-CN"/>
        </w:rPr>
      </w:pPr>
      <w:r>
        <w:rPr>
          <w:rFonts w:hint="default" w:ascii="宋体" w:hAnsi="宋体" w:cs="Times New Roman"/>
          <w:sz w:val="24"/>
          <w:szCs w:val="24"/>
          <w:highlight w:val="none"/>
          <w:lang w:val="en-US" w:eastAsia="zh-CN"/>
        </w:rPr>
        <w:t>根据“多规合一”综合应用全省贯通要求，需进一步统一平台数据标准，提升各类空间规划数据的一致性，特制定本数据归集与治理要求。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default" w:ascii="宋体" w:hAnsi="宋体" w:cs="Times New Roman"/>
          <w:b/>
          <w:bCs/>
          <w:sz w:val="24"/>
          <w:szCs w:val="24"/>
          <w:highlight w:val="none"/>
          <w:lang w:val="en-US" w:eastAsia="zh-CN"/>
        </w:rPr>
      </w:pPr>
      <w:r>
        <w:rPr>
          <w:rFonts w:hint="eastAsia" w:ascii="宋体" w:hAnsi="宋体" w:cs="Times New Roman"/>
          <w:b/>
          <w:bCs/>
          <w:sz w:val="24"/>
          <w:szCs w:val="24"/>
          <w:highlight w:val="none"/>
          <w:lang w:val="en-US" w:eastAsia="zh-CN"/>
        </w:rPr>
        <w:t>1）</w:t>
      </w:r>
      <w:r>
        <w:rPr>
          <w:rFonts w:hint="default" w:ascii="宋体" w:hAnsi="宋体" w:cs="Times New Roman"/>
          <w:b/>
          <w:bCs/>
          <w:sz w:val="24"/>
          <w:szCs w:val="24"/>
          <w:highlight w:val="none"/>
          <w:lang w:val="en-US" w:eastAsia="zh-CN"/>
        </w:rPr>
        <w:t>数据内容和格式要求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多规合一”综合应用中需发布的数据内容涉及国土空间总体规划、详细规划、专项规划以及重要控制线等矢量数据成果。本要求针对控制性详细规划和27条重要控制线，具体内容如表1所示。治理后的矢量数据统一采用File Geodatabase（.gdb）文件格式。</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表1  归集数据内容</w:t>
      </w:r>
    </w:p>
    <w:tbl>
      <w:tblPr>
        <w:tblStyle w:val="22"/>
        <w:tblW w:w="51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28"/>
        <w:gridCol w:w="2764"/>
        <w:gridCol w:w="1416"/>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blHeader/>
        </w:trPr>
        <w:tc>
          <w:tcPr>
            <w:tcW w:w="1864" w:type="pc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分类</w:t>
            </w:r>
          </w:p>
        </w:tc>
        <w:tc>
          <w:tcPr>
            <w:tcW w:w="1503" w:type="pct"/>
            <w:tcBorders>
              <w:top w:val="single" w:color="000000" w:sz="8" w:space="0"/>
              <w:left w:val="nil"/>
              <w:bottom w:val="single" w:color="000000" w:sz="8" w:space="0"/>
              <w:right w:val="single" w:color="000000" w:sz="8" w:space="0"/>
            </w:tcBorders>
            <w:noWrap w:val="0"/>
            <w:vAlign w:val="center"/>
          </w:tcPr>
          <w:p>
            <w:pPr>
              <w:widowControl/>
              <w:shd w:val="clear"/>
              <w:jc w:val="center"/>
              <w:textAlignment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数据内容</w:t>
            </w:r>
          </w:p>
        </w:tc>
        <w:tc>
          <w:tcPr>
            <w:tcW w:w="770" w:type="pct"/>
            <w:tcBorders>
              <w:top w:val="single" w:color="000000" w:sz="8" w:space="0"/>
              <w:left w:val="nil"/>
              <w:bottom w:val="single" w:color="000000" w:sz="8" w:space="0"/>
              <w:right w:val="single" w:color="000000" w:sz="8" w:space="0"/>
            </w:tcBorders>
            <w:noWrap w:val="0"/>
            <w:vAlign w:val="center"/>
          </w:tcPr>
          <w:p>
            <w:pPr>
              <w:widowControl/>
              <w:shd w:val="clear"/>
              <w:jc w:val="center"/>
              <w:textAlignment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要素类型</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图层命名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详细规划</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控制性详细规划单元</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KGDY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控制性详细规划地块</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KGDK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三条控制线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永久基本农田</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YJJBNTBHTB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生态保护红线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STBHHX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城镇开发边界</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CZKFBJ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粮食安全控制线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粮食生产功能区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LSSCGNQ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高标准农田</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GBZNT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生态环境控制线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自然保护地</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ZRBHD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饮用水源保护区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YYSYBHQ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生态公益林</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STGYL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水环境功能区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SHJGNQ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基础设施控制线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高速铁路保护范围</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GSTLBHFW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高速公路保护范围</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GSGLBHFW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高压廊道</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线</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GYLD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油气廊道</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线</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YQLD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机场净空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JCJK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灾害防治控制线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地质灾害易发区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DZZHYFQ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蓄滞洪区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洪水淹没区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HSYMQ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风景文化控制线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风景名胜区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FJMSQ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文化遗产控制线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WHYCKZX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restar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城市重要控制线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城市棕线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CSZOX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城市绿线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CSLVX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城市红线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DLHX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城市紫线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CSZX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城市蓝线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CSLX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城市橙线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CSCX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864" w:type="pct"/>
            <w:vMerge w:val="continue"/>
            <w:tcBorders>
              <w:top w:val="single" w:color="000000" w:sz="8" w:space="0"/>
              <w:left w:val="single" w:color="000000" w:sz="8" w:space="0"/>
              <w:bottom w:val="single" w:color="000000" w:sz="8" w:space="0"/>
              <w:right w:val="single" w:color="000000" w:sz="8" w:space="0"/>
            </w:tcBorders>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1503"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城市黄线</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CSHX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64" w:type="pct"/>
            <w:tcBorders>
              <w:top w:val="single" w:color="000000" w:sz="8" w:space="0"/>
              <w:left w:val="single" w:color="000000" w:sz="8" w:space="0"/>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城乡风貌控制线</w:t>
            </w:r>
          </w:p>
        </w:tc>
        <w:tc>
          <w:tcPr>
            <w:tcW w:w="1503"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重点风貌管控区</w:t>
            </w:r>
          </w:p>
        </w:tc>
        <w:tc>
          <w:tcPr>
            <w:tcW w:w="770"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面</w:t>
            </w:r>
          </w:p>
        </w:tc>
        <w:tc>
          <w:tcPr>
            <w:tcW w:w="862" w:type="pct"/>
            <w:tcBorders>
              <w:top w:val="single" w:color="000000" w:sz="8" w:space="0"/>
              <w:left w:val="nil"/>
              <w:bottom w:val="single" w:color="000000" w:sz="8" w:space="0"/>
              <w:right w:val="single" w:color="000000" w:sz="8" w:space="0"/>
            </w:tcBorders>
            <w:noWrap/>
            <w:vAlign w:val="center"/>
          </w:tcPr>
          <w:p>
            <w:pPr>
              <w:widowControl/>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ZDFMGKQ</w:t>
            </w: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2）数据坐标基准</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矢量数据坐标系统统一采用"2000国家大地坐标系（CGCS2000）"，采用地理坐</w:t>
      </w:r>
      <w:r>
        <w:rPr>
          <w:rFonts w:hint="eastAsia" w:ascii="宋体" w:hAnsi="宋体" w:eastAsia="宋体" w:cs="宋体"/>
          <w:b w:val="0"/>
          <w:bCs w:val="0"/>
          <w:sz w:val="24"/>
          <w:szCs w:val="24"/>
          <w:highlight w:val="none"/>
          <w:lang w:val="en-US" w:eastAsia="zh-CN"/>
        </w:rPr>
        <w:t>标，单位为度；高程系统统一采用"1985国家高程基准"，单位为米。</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3）数据属性结构</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（一）详细规划</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jc w:val="center"/>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表2  控制性详细规划单元属性结构描述表（KGDY）</w:t>
      </w:r>
    </w:p>
    <w:tbl>
      <w:tblPr>
        <w:tblStyle w:val="2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0"/>
        <w:gridCol w:w="1707"/>
        <w:gridCol w:w="1039"/>
        <w:gridCol w:w="865"/>
        <w:gridCol w:w="719"/>
        <w:gridCol w:w="735"/>
        <w:gridCol w:w="834"/>
        <w:gridCol w:w="871"/>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序号</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字段名称</w:t>
            </w:r>
          </w:p>
        </w:tc>
        <w:tc>
          <w:tcPr>
            <w:tcW w:w="599"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w:t>
            </w:r>
          </w:p>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代码</w:t>
            </w:r>
          </w:p>
        </w:tc>
        <w:tc>
          <w:tcPr>
            <w:tcW w:w="46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字段类型</w:t>
            </w:r>
          </w:p>
        </w:tc>
        <w:tc>
          <w:tcPr>
            <w:tcW w:w="415"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字段长度</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小数位数</w:t>
            </w:r>
          </w:p>
        </w:tc>
        <w:tc>
          <w:tcPr>
            <w:tcW w:w="4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值域</w:t>
            </w: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约束</w:t>
            </w:r>
          </w:p>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条件</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p>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right="1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21"/>
              <w:ind w:left="58"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单元编号</w:t>
            </w:r>
          </w:p>
        </w:tc>
        <w:tc>
          <w:tcPr>
            <w:tcW w:w="599"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left="61"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DYBH</w:t>
            </w:r>
          </w:p>
        </w:tc>
        <w:tc>
          <w:tcPr>
            <w:tcW w:w="46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left="207"/>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5"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right="-118" w:rightChars="-5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50</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left="349"/>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right="1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21"/>
              <w:ind w:left="58"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单元名称</w:t>
            </w:r>
          </w:p>
        </w:tc>
        <w:tc>
          <w:tcPr>
            <w:tcW w:w="599"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left="61"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DYMC</w:t>
            </w:r>
          </w:p>
        </w:tc>
        <w:tc>
          <w:tcPr>
            <w:tcW w:w="46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left="207"/>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5"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right="-118" w:rightChars="-5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5"/>
              <w:ind w:left="349"/>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right="1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20"/>
              <w:ind w:left="58"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单元面积</w:t>
            </w:r>
          </w:p>
        </w:tc>
        <w:tc>
          <w:tcPr>
            <w:tcW w:w="599"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63"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DYMJ</w:t>
            </w:r>
          </w:p>
        </w:tc>
        <w:tc>
          <w:tcPr>
            <w:tcW w:w="46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19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5"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right="-118" w:rightChars="-5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9"/>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4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20"/>
              <w:ind w:left="193" w:right="18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349"/>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20"/>
              <w:ind w:left="5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sz w:val="22"/>
                <w:szCs w:val="22"/>
                <w:highlight w:val="none"/>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right="1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20"/>
              <w:ind w:left="58" w:right="52"/>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599"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62"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466"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207"/>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5"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right="-118" w:rightChars="-5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481"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73"/>
              <w:shd w:val="clear"/>
              <w:spacing w:before="34"/>
              <w:ind w:left="366"/>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5000" w:type="pct"/>
            <w:gridSpan w:val="9"/>
            <w:tcBorders>
              <w:top w:val="single" w:color="auto" w:sz="4" w:space="0"/>
            </w:tcBorders>
            <w:noWrap w:val="0"/>
            <w:vAlign w:val="center"/>
          </w:tcPr>
          <w:p>
            <w:pPr>
              <w:pStyle w:val="73"/>
              <w:shd w:val="clear"/>
              <w:spacing w:before="4" w:line="213" w:lineRule="auto"/>
              <w:ind w:left="57" w:right="-29"/>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注：约束条件指该字段取值的约束条件</w:t>
            </w:r>
            <w:r>
              <w:rPr>
                <w:rFonts w:hint="eastAsia" w:cs="宋体"/>
                <w:kern w:val="2"/>
                <w:sz w:val="22"/>
                <w:szCs w:val="22"/>
                <w:highlight w:val="none"/>
                <w:lang w:val="en-US" w:eastAsia="zh-CN" w:bidi="ar-SA"/>
              </w:rPr>
              <w:t>，</w:t>
            </w:r>
            <w:r>
              <w:rPr>
                <w:rFonts w:hint="eastAsia" w:ascii="宋体" w:hAnsi="宋体" w:eastAsia="宋体" w:cs="宋体"/>
                <w:kern w:val="2"/>
                <w:sz w:val="22"/>
                <w:szCs w:val="22"/>
                <w:highlight w:val="none"/>
                <w:lang w:val="en-US" w:eastAsia="zh-CN" w:bidi="ar-SA"/>
              </w:rPr>
              <w:t>“M”表示必填、“C”表示条件必填、“O”表示可填。下同。</w:t>
            </w: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 xml:space="preserve">  控制性详细规划</w:t>
      </w:r>
      <w:r>
        <w:rPr>
          <w:rFonts w:hint="eastAsia" w:ascii="宋体" w:hAnsi="宋体" w:eastAsia="宋体" w:cs="宋体"/>
          <w:b/>
          <w:bCs/>
          <w:sz w:val="24"/>
          <w:szCs w:val="24"/>
          <w:highlight w:val="none"/>
          <w:lang w:val="en-US" w:eastAsia="zh-CN"/>
        </w:rPr>
        <w:t>地块</w:t>
      </w:r>
      <w:r>
        <w:rPr>
          <w:rFonts w:hint="eastAsia" w:ascii="宋体" w:hAnsi="宋体" w:eastAsia="宋体" w:cs="宋体"/>
          <w:b/>
          <w:bCs/>
          <w:sz w:val="24"/>
          <w:szCs w:val="24"/>
          <w:highlight w:val="none"/>
        </w:rPr>
        <w:t>属性结构描述表（</w:t>
      </w:r>
      <w:r>
        <w:rPr>
          <w:rFonts w:hint="eastAsia" w:ascii="宋体" w:hAnsi="宋体" w:eastAsia="宋体" w:cs="宋体"/>
          <w:b/>
          <w:bCs/>
          <w:sz w:val="24"/>
          <w:szCs w:val="24"/>
          <w:highlight w:val="none"/>
          <w:lang w:val="en-US" w:eastAsia="zh-CN"/>
        </w:rPr>
        <w:t>KGDK</w:t>
      </w:r>
      <w:r>
        <w:rPr>
          <w:rFonts w:hint="eastAsia" w:ascii="宋体" w:hAnsi="宋体" w:eastAsia="宋体" w:cs="宋体"/>
          <w:b/>
          <w:bCs/>
          <w:sz w:val="24"/>
          <w:szCs w:val="24"/>
          <w:highlight w:val="none"/>
        </w:rPr>
        <w:t>）</w:t>
      </w:r>
    </w:p>
    <w:tbl>
      <w:tblPr>
        <w:tblStyle w:val="2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6"/>
        <w:gridCol w:w="1771"/>
        <w:gridCol w:w="1076"/>
        <w:gridCol w:w="788"/>
        <w:gridCol w:w="718"/>
        <w:gridCol w:w="547"/>
        <w:gridCol w:w="573"/>
        <w:gridCol w:w="573"/>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blHeader/>
          <w:jc w:val="center"/>
        </w:trPr>
        <w:tc>
          <w:tcPr>
            <w:tcW w:w="341" w:type="pct"/>
            <w:noWrap w:val="0"/>
            <w:vAlign w:val="center"/>
          </w:tcPr>
          <w:p>
            <w:pPr>
              <w:pStyle w:val="73"/>
              <w:shd w:val="clear"/>
              <w:spacing w:before="108"/>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序号</w:t>
            </w:r>
          </w:p>
        </w:tc>
        <w:tc>
          <w:tcPr>
            <w:tcW w:w="1014" w:type="pct"/>
            <w:noWrap w:val="0"/>
            <w:vAlign w:val="center"/>
          </w:tcPr>
          <w:p>
            <w:pPr>
              <w:pStyle w:val="73"/>
              <w:shd w:val="clear"/>
              <w:spacing w:line="303" w:lineRule="exact"/>
              <w:ind w:left="60" w:right="-29"/>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字段名称</w:t>
            </w:r>
          </w:p>
        </w:tc>
        <w:tc>
          <w:tcPr>
            <w:tcW w:w="616" w:type="pct"/>
            <w:noWrap w:val="0"/>
            <w:vAlign w:val="center"/>
          </w:tcPr>
          <w:p>
            <w:pPr>
              <w:pStyle w:val="73"/>
              <w:shd w:val="clear"/>
              <w:spacing w:line="301" w:lineRule="exact"/>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字段代码</w:t>
            </w:r>
          </w:p>
        </w:tc>
        <w:tc>
          <w:tcPr>
            <w:tcW w:w="451" w:type="pct"/>
            <w:noWrap w:val="0"/>
            <w:vAlign w:val="center"/>
          </w:tcPr>
          <w:p>
            <w:pPr>
              <w:pStyle w:val="73"/>
              <w:shd w:val="clear"/>
              <w:spacing w:line="301" w:lineRule="exact"/>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字段类型</w:t>
            </w:r>
          </w:p>
        </w:tc>
        <w:tc>
          <w:tcPr>
            <w:tcW w:w="411" w:type="pct"/>
            <w:noWrap w:val="0"/>
            <w:vAlign w:val="center"/>
          </w:tcPr>
          <w:p>
            <w:pPr>
              <w:pStyle w:val="73"/>
              <w:shd w:val="clear"/>
              <w:spacing w:line="301" w:lineRule="exact"/>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字段长度</w:t>
            </w:r>
          </w:p>
        </w:tc>
        <w:tc>
          <w:tcPr>
            <w:tcW w:w="313" w:type="pct"/>
            <w:noWrap w:val="0"/>
            <w:vAlign w:val="center"/>
          </w:tcPr>
          <w:p>
            <w:pPr>
              <w:pStyle w:val="73"/>
              <w:shd w:val="clear"/>
              <w:spacing w:line="301" w:lineRule="exact"/>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小数位数</w:t>
            </w:r>
          </w:p>
        </w:tc>
        <w:tc>
          <w:tcPr>
            <w:tcW w:w="328" w:type="pct"/>
            <w:noWrap w:val="0"/>
            <w:vAlign w:val="center"/>
          </w:tcPr>
          <w:p>
            <w:pPr>
              <w:pStyle w:val="73"/>
              <w:shd w:val="clear"/>
              <w:spacing w:before="108"/>
              <w:ind w:right="44"/>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值域</w:t>
            </w:r>
          </w:p>
        </w:tc>
        <w:tc>
          <w:tcPr>
            <w:tcW w:w="328" w:type="pct"/>
            <w:noWrap w:val="0"/>
            <w:vAlign w:val="center"/>
          </w:tcPr>
          <w:p>
            <w:pPr>
              <w:pStyle w:val="73"/>
              <w:shd w:val="clear"/>
              <w:spacing w:line="301" w:lineRule="exact"/>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约束条件</w:t>
            </w:r>
          </w:p>
        </w:tc>
        <w:tc>
          <w:tcPr>
            <w:tcW w:w="1195" w:type="pct"/>
            <w:noWrap w:val="0"/>
            <w:vAlign w:val="center"/>
          </w:tcPr>
          <w:p>
            <w:pPr>
              <w:pStyle w:val="73"/>
              <w:shd w:val="clear"/>
              <w:spacing w:before="108"/>
              <w:ind w:left="13" w:right="7"/>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41" w:type="pct"/>
            <w:noWrap w:val="0"/>
            <w:vAlign w:val="center"/>
          </w:tcPr>
          <w:p>
            <w:pPr>
              <w:pStyle w:val="73"/>
              <w:shd w:val="clear"/>
              <w:spacing w:before="76"/>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w:t>
            </w:r>
          </w:p>
        </w:tc>
        <w:tc>
          <w:tcPr>
            <w:tcW w:w="1014" w:type="pct"/>
            <w:noWrap w:val="0"/>
            <w:vAlign w:val="center"/>
          </w:tcPr>
          <w:p>
            <w:pPr>
              <w:pStyle w:val="73"/>
              <w:shd w:val="clear"/>
              <w:spacing w:before="62"/>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616" w:type="pct"/>
            <w:noWrap w:val="0"/>
            <w:vAlign w:val="center"/>
          </w:tcPr>
          <w:p>
            <w:pPr>
              <w:pStyle w:val="73"/>
              <w:shd w:val="clear"/>
              <w:spacing w:before="76"/>
              <w:ind w:left="63"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451" w:type="pct"/>
            <w:noWrap w:val="0"/>
            <w:vAlign w:val="center"/>
          </w:tcPr>
          <w:p>
            <w:pPr>
              <w:pStyle w:val="73"/>
              <w:shd w:val="clear"/>
              <w:spacing w:before="76"/>
              <w:ind w:left="1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76"/>
              <w:ind w:left="24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12</w:t>
            </w:r>
          </w:p>
        </w:tc>
        <w:tc>
          <w:tcPr>
            <w:tcW w:w="313"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76"/>
              <w:ind w:right="17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spacing w:before="62"/>
              <w:ind w:left="16" w:right="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1014" w:type="pct"/>
            <w:noWrap w:val="0"/>
            <w:vAlign w:val="center"/>
          </w:tcPr>
          <w:p>
            <w:pPr>
              <w:pStyle w:val="73"/>
              <w:shd w:val="clear"/>
              <w:spacing w:before="63"/>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616" w:type="pct"/>
            <w:noWrap w:val="0"/>
            <w:vAlign w:val="center"/>
          </w:tcPr>
          <w:p>
            <w:pPr>
              <w:pStyle w:val="73"/>
              <w:shd w:val="clear"/>
              <w:spacing w:before="77"/>
              <w:ind w:left="60"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451" w:type="pct"/>
            <w:noWrap w:val="0"/>
            <w:vAlign w:val="center"/>
          </w:tcPr>
          <w:p>
            <w:pPr>
              <w:pStyle w:val="73"/>
              <w:shd w:val="clear"/>
              <w:spacing w:before="77"/>
              <w:ind w:left="1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77"/>
              <w:ind w:left="19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313"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77"/>
              <w:ind w:right="17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spacing w:before="63"/>
              <w:ind w:left="16" w:right="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341" w:type="pct"/>
            <w:noWrap w:val="0"/>
            <w:vAlign w:val="center"/>
          </w:tcPr>
          <w:p>
            <w:pPr>
              <w:pStyle w:val="73"/>
              <w:shd w:val="clear"/>
              <w:spacing w:before="191"/>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w:t>
            </w:r>
          </w:p>
        </w:tc>
        <w:tc>
          <w:tcPr>
            <w:tcW w:w="1014" w:type="pct"/>
            <w:noWrap w:val="0"/>
            <w:vAlign w:val="center"/>
          </w:tcPr>
          <w:p>
            <w:pPr>
              <w:pStyle w:val="73"/>
              <w:shd w:val="clear"/>
              <w:spacing w:before="21"/>
              <w:ind w:left="58"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所属控规单元名称</w:t>
            </w:r>
          </w:p>
        </w:tc>
        <w:tc>
          <w:tcPr>
            <w:tcW w:w="616" w:type="pct"/>
            <w:noWrap w:val="0"/>
            <w:vAlign w:val="center"/>
          </w:tcPr>
          <w:p>
            <w:pPr>
              <w:pStyle w:val="73"/>
              <w:shd w:val="clear"/>
              <w:spacing w:before="191"/>
              <w:ind w:left="62"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DYMC</w:t>
            </w:r>
          </w:p>
        </w:tc>
        <w:tc>
          <w:tcPr>
            <w:tcW w:w="451" w:type="pct"/>
            <w:noWrap w:val="0"/>
            <w:vAlign w:val="center"/>
          </w:tcPr>
          <w:p>
            <w:pPr>
              <w:pStyle w:val="73"/>
              <w:shd w:val="clear"/>
              <w:spacing w:before="191"/>
              <w:ind w:left="1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191"/>
              <w:ind w:left="19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313"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191"/>
              <w:ind w:right="17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6"/>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w:t>
            </w:r>
          </w:p>
        </w:tc>
        <w:tc>
          <w:tcPr>
            <w:tcW w:w="1014" w:type="pct"/>
            <w:noWrap w:val="0"/>
            <w:vAlign w:val="center"/>
          </w:tcPr>
          <w:p>
            <w:pPr>
              <w:pStyle w:val="73"/>
              <w:shd w:val="clear"/>
              <w:spacing w:before="62"/>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地块编号</w:t>
            </w:r>
          </w:p>
        </w:tc>
        <w:tc>
          <w:tcPr>
            <w:tcW w:w="616" w:type="pct"/>
            <w:noWrap w:val="0"/>
            <w:vAlign w:val="center"/>
          </w:tcPr>
          <w:p>
            <w:pPr>
              <w:pStyle w:val="73"/>
              <w:shd w:val="clear"/>
              <w:spacing w:before="76"/>
              <w:ind w:left="60"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DKBH</w:t>
            </w:r>
          </w:p>
        </w:tc>
        <w:tc>
          <w:tcPr>
            <w:tcW w:w="451" w:type="pct"/>
            <w:noWrap w:val="0"/>
            <w:vAlign w:val="center"/>
          </w:tcPr>
          <w:p>
            <w:pPr>
              <w:pStyle w:val="73"/>
              <w:shd w:val="clear"/>
              <w:spacing w:before="76"/>
              <w:ind w:left="1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76"/>
              <w:ind w:left="24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20</w:t>
            </w:r>
          </w:p>
        </w:tc>
        <w:tc>
          <w:tcPr>
            <w:tcW w:w="313"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76"/>
              <w:ind w:right="17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41" w:type="pct"/>
            <w:noWrap w:val="0"/>
            <w:vAlign w:val="center"/>
          </w:tcPr>
          <w:p>
            <w:pPr>
              <w:pStyle w:val="73"/>
              <w:shd w:val="clear"/>
              <w:spacing w:before="77"/>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w:t>
            </w:r>
          </w:p>
        </w:tc>
        <w:tc>
          <w:tcPr>
            <w:tcW w:w="1014" w:type="pct"/>
            <w:noWrap w:val="0"/>
            <w:vAlign w:val="center"/>
          </w:tcPr>
          <w:p>
            <w:pPr>
              <w:pStyle w:val="73"/>
              <w:shd w:val="clear"/>
              <w:spacing w:before="63"/>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用地代码</w:t>
            </w:r>
          </w:p>
        </w:tc>
        <w:tc>
          <w:tcPr>
            <w:tcW w:w="616" w:type="pct"/>
            <w:noWrap w:val="0"/>
            <w:vAlign w:val="center"/>
          </w:tcPr>
          <w:p>
            <w:pPr>
              <w:pStyle w:val="73"/>
              <w:shd w:val="clear"/>
              <w:spacing w:before="77"/>
              <w:ind w:left="63"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YDDM</w:t>
            </w:r>
          </w:p>
        </w:tc>
        <w:tc>
          <w:tcPr>
            <w:tcW w:w="451" w:type="pct"/>
            <w:noWrap w:val="0"/>
            <w:vAlign w:val="center"/>
          </w:tcPr>
          <w:p>
            <w:pPr>
              <w:pStyle w:val="73"/>
              <w:shd w:val="clear"/>
              <w:spacing w:before="36"/>
              <w:ind w:left="1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77"/>
              <w:ind w:left="24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20</w:t>
            </w:r>
          </w:p>
        </w:tc>
        <w:tc>
          <w:tcPr>
            <w:tcW w:w="313"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77"/>
              <w:ind w:right="17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8"/>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用地性质</w:t>
            </w:r>
          </w:p>
        </w:tc>
        <w:tc>
          <w:tcPr>
            <w:tcW w:w="616" w:type="pct"/>
            <w:noWrap w:val="0"/>
            <w:vAlign w:val="center"/>
          </w:tcPr>
          <w:p>
            <w:pPr>
              <w:pStyle w:val="73"/>
              <w:shd w:val="clear"/>
              <w:spacing w:before="78"/>
              <w:ind w:left="63" w:right="53"/>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YDXZ</w:t>
            </w:r>
          </w:p>
        </w:tc>
        <w:tc>
          <w:tcPr>
            <w:tcW w:w="451" w:type="pct"/>
            <w:noWrap w:val="0"/>
            <w:vAlign w:val="center"/>
          </w:tcPr>
          <w:p>
            <w:pPr>
              <w:pStyle w:val="73"/>
              <w:shd w:val="clear"/>
              <w:spacing w:before="34"/>
              <w:ind w:left="1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78"/>
              <w:ind w:left="19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313"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78"/>
              <w:ind w:right="178"/>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8"/>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7</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主要用地代码</w:t>
            </w:r>
          </w:p>
        </w:tc>
        <w:tc>
          <w:tcPr>
            <w:tcW w:w="616"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ZYYDDM</w:t>
            </w:r>
          </w:p>
        </w:tc>
        <w:tc>
          <w:tcPr>
            <w:tcW w:w="45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20</w:t>
            </w:r>
          </w:p>
        </w:tc>
        <w:tc>
          <w:tcPr>
            <w:tcW w:w="313"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spacing w:before="63"/>
              <w:ind w:left="16" w:right="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41" w:type="pct"/>
            <w:noWrap w:val="0"/>
            <w:vAlign w:val="center"/>
          </w:tcPr>
          <w:p>
            <w:pPr>
              <w:pStyle w:val="73"/>
              <w:shd w:val="clear"/>
              <w:spacing w:before="76"/>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8</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用地面积</w:t>
            </w:r>
          </w:p>
        </w:tc>
        <w:tc>
          <w:tcPr>
            <w:tcW w:w="616"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YDMJ</w:t>
            </w:r>
          </w:p>
        </w:tc>
        <w:tc>
          <w:tcPr>
            <w:tcW w:w="45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pStyle w:val="73"/>
              <w:shd w:val="clear"/>
              <w:spacing w:before="63"/>
              <w:ind w:left="16" w:right="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sz w:val="22"/>
                <w:szCs w:val="22"/>
                <w:highlight w:val="none"/>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9</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容积率上限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RJLSX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right="1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容积率下限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RJLXX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41" w:type="pct"/>
            <w:noWrap w:val="0"/>
            <w:vAlign w:val="center"/>
          </w:tcPr>
          <w:p>
            <w:pPr>
              <w:pStyle w:val="73"/>
              <w:shd w:val="clear"/>
              <w:spacing w:before="76"/>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11</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建筑密度上限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JZMDSX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41" w:type="pct"/>
            <w:noWrap w:val="0"/>
            <w:vAlign w:val="center"/>
          </w:tcPr>
          <w:p>
            <w:pPr>
              <w:pStyle w:val="73"/>
              <w:shd w:val="clear"/>
              <w:spacing w:before="76"/>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12</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建筑密度下限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JZMDXX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13</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建筑高度上限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JZGDSX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单位：米，见注3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14</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建筑高度下限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JZGDXX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单位：米，见注3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8"/>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绿地率上限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LDLSX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8"/>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16</w:t>
            </w:r>
          </w:p>
        </w:tc>
        <w:tc>
          <w:tcPr>
            <w:tcW w:w="1014"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绿地率下限</w:t>
            </w:r>
          </w:p>
        </w:tc>
        <w:tc>
          <w:tcPr>
            <w:tcW w:w="616"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LDLXX</w:t>
            </w:r>
          </w:p>
        </w:tc>
        <w:tc>
          <w:tcPr>
            <w:tcW w:w="45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411" w:type="pct"/>
            <w:noWrap w:val="0"/>
            <w:vAlign w:val="center"/>
          </w:tcPr>
          <w:p>
            <w:pPr>
              <w:shd w:val="clear"/>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313"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328"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195" w:type="pct"/>
            <w:noWrap w:val="0"/>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单位：%，见注3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6"/>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17</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批复文号</w:t>
            </w:r>
          </w:p>
        </w:tc>
        <w:tc>
          <w:tcPr>
            <w:tcW w:w="616"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PFWH</w:t>
            </w:r>
          </w:p>
        </w:tc>
        <w:tc>
          <w:tcPr>
            <w:tcW w:w="45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50</w:t>
            </w:r>
          </w:p>
        </w:tc>
        <w:tc>
          <w:tcPr>
            <w:tcW w:w="313"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w:t>
            </w:r>
          </w:p>
        </w:tc>
        <w:tc>
          <w:tcPr>
            <w:tcW w:w="1195"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批复时间</w:t>
            </w:r>
          </w:p>
        </w:tc>
        <w:tc>
          <w:tcPr>
            <w:tcW w:w="616"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PFSJ</w:t>
            </w:r>
          </w:p>
        </w:tc>
        <w:tc>
          <w:tcPr>
            <w:tcW w:w="45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Date</w:t>
            </w:r>
          </w:p>
        </w:tc>
        <w:tc>
          <w:tcPr>
            <w:tcW w:w="41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13"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w:t>
            </w:r>
          </w:p>
        </w:tc>
        <w:tc>
          <w:tcPr>
            <w:tcW w:w="1195" w:type="pct"/>
            <w:noWrap w:val="0"/>
            <w:vAlign w:val="center"/>
          </w:tcPr>
          <w:p>
            <w:pPr>
              <w:pStyle w:val="73"/>
              <w:shd w:val="clear"/>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41" w:type="pct"/>
            <w:noWrap w:val="0"/>
            <w:vAlign w:val="center"/>
          </w:tcPr>
          <w:p>
            <w:pPr>
              <w:pStyle w:val="73"/>
              <w:shd w:val="clear"/>
              <w:spacing w:before="76"/>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19</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其他管控要求</w:t>
            </w:r>
          </w:p>
        </w:tc>
        <w:tc>
          <w:tcPr>
            <w:tcW w:w="616"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QTGKYQ</w:t>
            </w:r>
          </w:p>
        </w:tc>
        <w:tc>
          <w:tcPr>
            <w:tcW w:w="45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313"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C</w:t>
            </w:r>
          </w:p>
        </w:tc>
        <w:tc>
          <w:tcPr>
            <w:tcW w:w="1195" w:type="pct"/>
            <w:noWrap w:val="0"/>
            <w:vAlign w:val="center"/>
          </w:tcPr>
          <w:p>
            <w:pPr>
              <w:pStyle w:val="73"/>
              <w:shd w:val="clear"/>
              <w:spacing w:before="62"/>
              <w:ind w:left="16" w:right="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41" w:type="pct"/>
            <w:noWrap w:val="0"/>
            <w:vAlign w:val="center"/>
          </w:tcPr>
          <w:p>
            <w:pPr>
              <w:pStyle w:val="73"/>
              <w:shd w:val="clear"/>
              <w:spacing w:before="77"/>
              <w:ind w:left="45" w:right="5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20</w:t>
            </w:r>
          </w:p>
        </w:tc>
        <w:tc>
          <w:tcPr>
            <w:tcW w:w="1014"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616"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45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411"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313"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p>
        </w:tc>
        <w:tc>
          <w:tcPr>
            <w:tcW w:w="328" w:type="pct"/>
            <w:noWrap w:val="0"/>
            <w:vAlign w:val="center"/>
          </w:tcPr>
          <w:p>
            <w:pPr>
              <w:pStyle w:val="73"/>
              <w:shd w:val="clear"/>
              <w:spacing w:before="64"/>
              <w:ind w:left="58" w:right="51"/>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195" w:type="pct"/>
            <w:noWrap w:val="0"/>
            <w:vAlign w:val="center"/>
          </w:tcPr>
          <w:p>
            <w:pPr>
              <w:pStyle w:val="73"/>
              <w:shd w:val="clear"/>
              <w:spacing w:before="63"/>
              <w:ind w:left="16" w:right="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见注5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atLeast"/>
          <w:jc w:val="center"/>
        </w:trPr>
        <w:tc>
          <w:tcPr>
            <w:tcW w:w="5000" w:type="pct"/>
            <w:gridSpan w:val="9"/>
            <w:noWrap w:val="0"/>
            <w:vAlign w:val="center"/>
          </w:tcPr>
          <w:p>
            <w:pPr>
              <w:pStyle w:val="73"/>
              <w:shd w:val="clear"/>
              <w:spacing w:line="267" w:lineRule="exact"/>
              <w:ind w:left="57"/>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注1：表示至县级行政区划，县及县以上行政区代码采用GB/T 2260中的6位数字码，行政区名称采用GB/T 2260中的名称。下同。</w:t>
            </w:r>
          </w:p>
          <w:p>
            <w:pPr>
              <w:pStyle w:val="73"/>
              <w:shd w:val="clear"/>
              <w:spacing w:line="267" w:lineRule="exact"/>
              <w:ind w:left="57"/>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注2：单一用地性质的，值与用地代码保持一致；混合用地性质的，填写其主要用地性质所对应的用地代码。</w:t>
            </w:r>
          </w:p>
          <w:p>
            <w:pPr>
              <w:pStyle w:val="73"/>
              <w:shd w:val="clear"/>
              <w:spacing w:line="267" w:lineRule="exact"/>
              <w:ind w:left="57"/>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注3：不设上限的填写“9999”，不设下限的填写“0”。</w:t>
            </w:r>
          </w:p>
          <w:p>
            <w:pPr>
              <w:pStyle w:val="73"/>
              <w:shd w:val="clear"/>
              <w:spacing w:line="267" w:lineRule="exact"/>
              <w:ind w:left="57"/>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注4：填写风貌、退线、出入口位置（ESWN）等其他管控要求。</w:t>
            </w:r>
          </w:p>
          <w:p>
            <w:pPr>
              <w:pStyle w:val="73"/>
              <w:shd w:val="clear"/>
              <w:spacing w:line="267" w:lineRule="exact"/>
              <w:ind w:left="57"/>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注5：配套公共设施等。</w:t>
            </w: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（二）三条控制线</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三条控制线图层属性结构引用《“三区三线”第三轮划定成果数据汇交要求》属性要求，字段填写要求、代码表及说明参见原文件。</w:t>
      </w: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jc w:val="center"/>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表4  永久基本农田保护图斑属性结构描述表</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YJJBNTBHTB)</w:t>
      </w:r>
    </w:p>
    <w:p>
      <w:pPr>
        <w:shd w:val="clear"/>
        <w:spacing w:line="75" w:lineRule="exact"/>
        <w:rPr>
          <w:rFonts w:hint="eastAsia" w:ascii="宋体" w:hAnsi="宋体" w:eastAsia="宋体" w:cs="宋体"/>
          <w:sz w:val="24"/>
          <w:szCs w:val="24"/>
          <w:highlight w:val="none"/>
        </w:rPr>
      </w:pPr>
    </w:p>
    <w:tbl>
      <w:tblPr>
        <w:tblStyle w:val="7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5"/>
        <w:gridCol w:w="1675"/>
        <w:gridCol w:w="1271"/>
        <w:gridCol w:w="783"/>
        <w:gridCol w:w="631"/>
        <w:gridCol w:w="631"/>
        <w:gridCol w:w="692"/>
        <w:gridCol w:w="56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blHeader/>
        </w:trPr>
        <w:tc>
          <w:tcPr>
            <w:tcW w:w="289"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序号</w:t>
            </w:r>
          </w:p>
        </w:tc>
        <w:tc>
          <w:tcPr>
            <w:tcW w:w="958"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字段名称</w:t>
            </w:r>
          </w:p>
        </w:tc>
        <w:tc>
          <w:tcPr>
            <w:tcW w:w="727"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w:t>
            </w:r>
          </w:p>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代码</w:t>
            </w:r>
          </w:p>
        </w:tc>
        <w:tc>
          <w:tcPr>
            <w:tcW w:w="448"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w:t>
            </w:r>
          </w:p>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类型</w:t>
            </w:r>
          </w:p>
        </w:tc>
        <w:tc>
          <w:tcPr>
            <w:tcW w:w="361"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w:t>
            </w:r>
          </w:p>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长度</w:t>
            </w:r>
          </w:p>
        </w:tc>
        <w:tc>
          <w:tcPr>
            <w:tcW w:w="361"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小数位数</w:t>
            </w:r>
          </w:p>
        </w:tc>
        <w:tc>
          <w:tcPr>
            <w:tcW w:w="396"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值域</w:t>
            </w:r>
          </w:p>
        </w:tc>
        <w:tc>
          <w:tcPr>
            <w:tcW w:w="321"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约束条件</w:t>
            </w:r>
          </w:p>
        </w:tc>
        <w:tc>
          <w:tcPr>
            <w:tcW w:w="1135"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要素代码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YSDM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XZODM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永久基本农田图斑编号</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YJIBNTTBBH</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图斑编号</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TBBH</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地类编码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DLBM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地类名称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DLMC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权属性质</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QSXZ</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权属单位代码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QSDWDM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权属单位名称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OSDWMC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坐落单位代码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ZLDWDM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坐落单位名称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ZLDWMC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永久基本农田图斑面积</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YJBNTTBMJ</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Double</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&gt;0</w:t>
            </w: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扣除地类编码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KCDLBM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扣除地类系数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KCXS</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Double</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0,1)</w:t>
            </w: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17</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扣除地类面积</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KCMJ</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Double</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永久基本农田面积</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YJJBNTMJ</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Double</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&gt;0</w:t>
            </w: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耕地类型</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GDLX</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耕地坡度级别</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GDPDJB</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耕地必选。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灌溉保证率</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GGBZL</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图斑细化代码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TBXHDM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23</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图斑细化名称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TBXHMC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24</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种植属性代码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ZZSXDM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种植属性名称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ZZSXMC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26</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耕地等别</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GDDB</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Int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&gt;0</w:t>
            </w: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27</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耕地质量等级</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GDDJ</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Int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&gt;0</w:t>
            </w: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28</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质量分类代码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ZLFLDM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29</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飞入地标识</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FRDBS</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数据年份</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SJNF</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Int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31</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村负责人</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CFZR</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组名称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33</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组责任人</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或农户代表</w:t>
            </w:r>
            <w:r>
              <w:rPr>
                <w:rFonts w:hint="eastAsia" w:ascii="宋体" w:hAnsi="宋体" w:cs="宋体"/>
                <w:sz w:val="22"/>
                <w:szCs w:val="22"/>
                <w:highlight w:val="none"/>
                <w:lang w:eastAsia="zh-CN"/>
              </w:rPr>
              <w:t>）</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ZZRR</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责任人证件号码</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ZRRZJHM</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责任人名称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ZRRMC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36</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LXDH</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37</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居住地址</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JZDZ</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38</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保护开始时间</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BHKSSJ</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Date</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格式</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YYYYMMDD</w:t>
            </w:r>
          </w:p>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39</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保护结束时间</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BHSSJ</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Date</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格式</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YYYYMMDD该字段可为空。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40</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上级单位编号</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SJBH</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41</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上级单位名称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SJMC</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42</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责任书影像</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ZRSYX</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该字段可为空。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43</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是否稳定利用耕地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WDGD</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填写"Y";否</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填写"N"。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44</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是否为原永久基本农田</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SFWYYJBNT</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填写"Y"</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否</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填写"N"。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45</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非稳定利用耕地划入理由</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FWDGDHRLY</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当"是否稳定利用耕地"为"N"时必填。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46</w:t>
            </w:r>
          </w:p>
        </w:tc>
        <w:tc>
          <w:tcPr>
            <w:tcW w:w="95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72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44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96"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2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113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 xml:space="preserve">  生态保护红线属性结构描述表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STBHHX)</w:t>
      </w:r>
    </w:p>
    <w:p>
      <w:pPr>
        <w:shd w:val="clear"/>
        <w:spacing w:line="55" w:lineRule="exact"/>
        <w:rPr>
          <w:rFonts w:hint="eastAsia" w:ascii="宋体" w:hAnsi="宋体" w:eastAsia="宋体" w:cs="宋体"/>
          <w:sz w:val="24"/>
          <w:szCs w:val="24"/>
          <w:highlight w:val="none"/>
        </w:rPr>
      </w:pPr>
    </w:p>
    <w:tbl>
      <w:tblPr>
        <w:tblStyle w:val="78"/>
        <w:tblW w:w="50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2"/>
        <w:gridCol w:w="2642"/>
        <w:gridCol w:w="1396"/>
        <w:gridCol w:w="711"/>
        <w:gridCol w:w="586"/>
        <w:gridCol w:w="649"/>
        <w:gridCol w:w="671"/>
        <w:gridCol w:w="559"/>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blHeader/>
        </w:trPr>
        <w:tc>
          <w:tcPr>
            <w:tcW w:w="330"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序号</w:t>
            </w:r>
          </w:p>
        </w:tc>
        <w:tc>
          <w:tcPr>
            <w:tcW w:w="1497"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字段名称</w:t>
            </w:r>
          </w:p>
        </w:tc>
        <w:tc>
          <w:tcPr>
            <w:tcW w:w="791"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w:t>
            </w:r>
          </w:p>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代码</w:t>
            </w:r>
          </w:p>
        </w:tc>
        <w:tc>
          <w:tcPr>
            <w:tcW w:w="403"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w:t>
            </w:r>
          </w:p>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类型</w:t>
            </w:r>
          </w:p>
        </w:tc>
        <w:tc>
          <w:tcPr>
            <w:tcW w:w="332"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字段长度</w:t>
            </w:r>
          </w:p>
        </w:tc>
        <w:tc>
          <w:tcPr>
            <w:tcW w:w="368"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小数位数</w:t>
            </w:r>
          </w:p>
        </w:tc>
        <w:tc>
          <w:tcPr>
            <w:tcW w:w="380"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值域</w:t>
            </w:r>
          </w:p>
        </w:tc>
        <w:tc>
          <w:tcPr>
            <w:tcW w:w="317"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约束条件</w:t>
            </w:r>
          </w:p>
        </w:tc>
        <w:tc>
          <w:tcPr>
            <w:tcW w:w="579" w:type="pct"/>
            <w:tcBorders>
              <w:top w:val="single" w:color="000000" w:sz="2" w:space="0"/>
              <w:bottom w:val="single" w:color="000000" w:sz="2" w:space="0"/>
            </w:tcBorders>
            <w:noWrap w:val="0"/>
            <w:vAlign w:val="center"/>
          </w:tcPr>
          <w:p>
            <w:pPr>
              <w:pStyle w:val="73"/>
              <w:shd w:val="clear"/>
              <w:spacing w:before="108" w:line="240" w:lineRule="auto"/>
              <w:ind w:right="55"/>
              <w:jc w:val="center"/>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要素代码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YSDM</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XZOMC</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SHENG</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市</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SHI</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县</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区</w:t>
            </w:r>
            <w:r>
              <w:rPr>
                <w:rFonts w:hint="eastAsia" w:ascii="宋体" w:hAnsi="宋体" w:cs="宋体"/>
                <w:sz w:val="22"/>
                <w:szCs w:val="22"/>
                <w:highlight w:val="none"/>
                <w:lang w:eastAsia="zh-CN"/>
              </w:rPr>
              <w:t>）</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XIAN</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红线编码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HXBM</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红线名称</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HXMC</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红线类型</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HXLX</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类型编码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LXBM</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Double</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&gt;0</w:t>
            </w: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自然保护地名称</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ZRBHDMC</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自然保护地级别</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ZRBHDJB</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自然保护地类型</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ZRBHDLx</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自然保护地分区</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ZRBHDFO</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C</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17</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生态系统与植被类型</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陆地</w:t>
            </w:r>
            <w:r>
              <w:rPr>
                <w:rFonts w:hint="eastAsia" w:ascii="宋体" w:hAnsi="宋体" w:cs="宋体"/>
                <w:sz w:val="22"/>
                <w:szCs w:val="22"/>
                <w:highlight w:val="none"/>
                <w:lang w:eastAsia="zh-CN"/>
              </w:rPr>
              <w:t>）</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XTYZBLX</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管控措施</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海洋</w:t>
            </w:r>
            <w:r>
              <w:rPr>
                <w:rFonts w:hint="eastAsia" w:ascii="宋体" w:hAnsi="宋体" w:cs="宋体"/>
                <w:sz w:val="22"/>
                <w:szCs w:val="22"/>
                <w:highlight w:val="none"/>
                <w:lang w:eastAsia="zh-CN"/>
              </w:rPr>
              <w:t>）</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GKCS</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所在县级行政区代码</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SZXJXZQDM</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所在县级行政区名称</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SZXJIXZOMC</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3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w:t>
            </w:r>
          </w:p>
        </w:tc>
        <w:tc>
          <w:tcPr>
            <w:tcW w:w="149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79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40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332"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368"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80"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17"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5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 xml:space="preserve">  城镇开发边界属性结构描述表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CZKFBJ)</w:t>
      </w:r>
    </w:p>
    <w:p>
      <w:pPr>
        <w:shd w:val="clear"/>
        <w:spacing w:line="49" w:lineRule="exact"/>
        <w:rPr>
          <w:rFonts w:hint="eastAsia" w:ascii="宋体" w:hAnsi="宋体" w:eastAsia="宋体" w:cs="宋体"/>
          <w:sz w:val="24"/>
          <w:szCs w:val="24"/>
          <w:highlight w:val="none"/>
        </w:rPr>
      </w:pPr>
    </w:p>
    <w:tbl>
      <w:tblPr>
        <w:tblStyle w:val="78"/>
        <w:tblW w:w="50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1"/>
        <w:gridCol w:w="1571"/>
        <w:gridCol w:w="1134"/>
        <w:gridCol w:w="759"/>
        <w:gridCol w:w="738"/>
        <w:gridCol w:w="738"/>
        <w:gridCol w:w="1195"/>
        <w:gridCol w:w="657"/>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字段名称</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字段代码</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字段</w:t>
            </w:r>
          </w:p>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类型</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字段</w:t>
            </w:r>
          </w:p>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长度</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小数</w:t>
            </w:r>
          </w:p>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位数</w:t>
            </w: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值域</w:t>
            </w: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约束条件</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要素代码</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YSDM</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XZOMC</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规划分区代码</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GHFQDM</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规划分区名称</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GHFQMC</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Double</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&gt;0</w:t>
            </w: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单位;m²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89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644"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431"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1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679"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73"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745" w:type="pct"/>
            <w:tcBorders>
              <w:top w:val="single" w:color="000000" w:sz="2" w:space="0"/>
              <w:bottom w:val="single" w:color="000000" w:sz="2" w:space="0"/>
            </w:tcBorders>
            <w:noWrap w:val="0"/>
            <w:vAlign w:val="center"/>
          </w:tcPr>
          <w:p>
            <w:pPr>
              <w:shd w:val="clear"/>
              <w:spacing w:line="240" w:lineRule="auto"/>
              <w:jc w:val="center"/>
              <w:rPr>
                <w:rFonts w:hint="eastAsia" w:ascii="宋体" w:hAnsi="宋体" w:eastAsia="宋体" w:cs="宋体"/>
                <w:sz w:val="22"/>
                <w:szCs w:val="22"/>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（三）粮食安全控制线</w:t>
      </w:r>
    </w:p>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 xml:space="preserve">  高标准农田属性结构描述表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GBZNT</w:t>
      </w:r>
      <w:r>
        <w:rPr>
          <w:rFonts w:hint="eastAsia" w:ascii="宋体" w:hAnsi="宋体" w:eastAsia="宋体" w:cs="宋体"/>
          <w:b/>
          <w:bCs/>
          <w:sz w:val="24"/>
          <w:szCs w:val="24"/>
          <w:highlight w:val="none"/>
        </w:rPr>
        <w:t>)</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
        <w:gridCol w:w="1557"/>
        <w:gridCol w:w="1028"/>
        <w:gridCol w:w="1003"/>
        <w:gridCol w:w="905"/>
        <w:gridCol w:w="867"/>
        <w:gridCol w:w="948"/>
        <w:gridCol w:w="894"/>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blHeader/>
          <w:jc w:val="center"/>
        </w:trPr>
        <w:tc>
          <w:tcPr>
            <w:tcW w:w="3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7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50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8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52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6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6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项目编号</w:t>
            </w:r>
          </w:p>
        </w:tc>
        <w:tc>
          <w:tcPr>
            <w:tcW w:w="5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XMBH</w:t>
            </w:r>
          </w:p>
        </w:tc>
        <w:tc>
          <w:tcPr>
            <w:tcW w:w="5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18</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XMMC</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项目面积</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XMMJ</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3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Double</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34"/>
              <w:ind w:right="-118" w:rightChars="-56"/>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15</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34"/>
              <w:ind w:left="9" w:left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20"/>
              <w:ind w:left="193" w:leftChars="0" w:right="184" w:right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before="34"/>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20"/>
              <w:ind w:left="56" w:left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sz w:val="22"/>
                <w:szCs w:val="22"/>
                <w:highlight w:val="none"/>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62"/>
              <w:ind w:left="58" w:leftChars="0" w:right="51"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kern w:val="2"/>
                <w:sz w:val="22"/>
                <w:szCs w:val="22"/>
                <w:highlight w:val="none"/>
                <w:lang w:val="en-US" w:eastAsia="zh-CN" w:bidi="ar-SA"/>
              </w:rPr>
              <w:t>行政区代码</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shd w:val="clear"/>
              <w:spacing w:before="76"/>
              <w:ind w:left="63" w:leftChars="0" w:right="53"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XZQDM</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76"/>
              <w:ind w:left="151" w:lef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kern w:val="2"/>
                <w:sz w:val="22"/>
                <w:szCs w:val="22"/>
                <w:highlight w:val="none"/>
                <w:lang w:val="en-US" w:eastAsia="zh-CN" w:bidi="ar-SA"/>
              </w:rPr>
              <w:t>Text</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76"/>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12</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jc w:val="center"/>
              <w:rPr>
                <w:rFonts w:hint="eastAsia" w:ascii="宋体" w:hAnsi="宋体" w:eastAsia="宋体" w:cs="宋体"/>
                <w:i w:val="0"/>
                <w:iCs w:val="0"/>
                <w:color w:val="000000"/>
                <w:sz w:val="22"/>
                <w:szCs w:val="22"/>
                <w:highlight w:val="none"/>
                <w:u w:val="none"/>
              </w:rPr>
            </w:pP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before="76"/>
              <w:ind w:right="178" w:righ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62"/>
              <w:ind w:left="16" w:leftChars="0" w:right="6" w:rightChars="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63"/>
              <w:ind w:left="58" w:leftChars="0" w:right="51"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kern w:val="2"/>
                <w:sz w:val="22"/>
                <w:szCs w:val="22"/>
                <w:highlight w:val="none"/>
                <w:lang w:val="en-US" w:eastAsia="zh-CN" w:bidi="ar-SA"/>
              </w:rPr>
              <w:t>行政区名称</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shd w:val="clear"/>
              <w:spacing w:before="77"/>
              <w:ind w:left="60" w:leftChars="0" w:right="53" w:righ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XZQMC</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77"/>
              <w:ind w:left="151" w:left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kern w:val="2"/>
                <w:sz w:val="22"/>
                <w:szCs w:val="22"/>
                <w:highlight w:val="none"/>
                <w:lang w:val="en-US" w:eastAsia="zh-CN" w:bidi="ar-SA"/>
              </w:rPr>
              <w:t>Text</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77"/>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100</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jc w:val="center"/>
              <w:rPr>
                <w:rFonts w:hint="eastAsia" w:ascii="宋体" w:hAnsi="宋体" w:eastAsia="宋体" w:cs="宋体"/>
                <w:i w:val="0"/>
                <w:iCs w:val="0"/>
                <w:color w:val="000000"/>
                <w:sz w:val="22"/>
                <w:szCs w:val="22"/>
                <w:highlight w:val="none"/>
                <w:u w:val="none"/>
              </w:rPr>
            </w:pP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before="77"/>
              <w:ind w:right="178" w:righ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63"/>
              <w:ind w:left="16" w:leftChars="0" w:right="6" w:rightChars="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地块总面积</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DKZMJ</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34"/>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Double</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34"/>
              <w:ind w:right="-118" w:rightChars="-56"/>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kern w:val="2"/>
                <w:sz w:val="22"/>
                <w:szCs w:val="22"/>
                <w:highlight w:val="none"/>
                <w:lang w:val="en-US" w:eastAsia="zh-CN" w:bidi="ar-SA"/>
              </w:rPr>
              <w:t>15</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34"/>
              <w:ind w:left="9" w:lef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2</w:t>
            </w: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20"/>
              <w:ind w:left="193" w:leftChars="0" w:right="184" w:righ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before="34"/>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20"/>
              <w:ind w:left="56" w:lef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sz w:val="22"/>
                <w:szCs w:val="22"/>
                <w:highlight w:val="none"/>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项目实施年度</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XMSSND</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18</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完成面积</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JZWCMJ</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pStyle w:val="73"/>
              <w:shd w:val="clear"/>
              <w:spacing w:before="34"/>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Double</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34"/>
              <w:ind w:right="-118" w:rightChars="-56"/>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15</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34"/>
              <w:ind w:left="9" w:lef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2</w:t>
            </w: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20"/>
              <w:ind w:left="193" w:leftChars="0" w:right="184" w:righ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before="34"/>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73"/>
              <w:shd w:val="clear"/>
              <w:spacing w:before="20"/>
              <w:ind w:left="56" w:leftChars="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sz w:val="22"/>
                <w:szCs w:val="22"/>
                <w:highlight w:val="none"/>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6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项目类型</w:t>
            </w:r>
          </w:p>
        </w:tc>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XMLX</w:t>
            </w:r>
          </w:p>
        </w:tc>
        <w:tc>
          <w:tcPr>
            <w:tcW w:w="560" w:type="pct"/>
            <w:tcBorders>
              <w:top w:val="nil"/>
              <w:left w:val="single" w:color="000000" w:sz="8" w:space="0"/>
              <w:bottom w:val="single" w:color="000000" w:sz="8" w:space="0"/>
              <w:right w:val="single" w:color="000000" w:sz="8" w:space="0"/>
            </w:tcBorders>
            <w:shd w:val="clear" w:color="auto" w:fill="auto"/>
            <w:noWrap/>
            <w:vAlign w:val="center"/>
          </w:tcPr>
          <w:p>
            <w:pPr>
              <w:shd w:val="clear"/>
              <w:spacing w:line="52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Text</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52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50</w:t>
            </w:r>
          </w:p>
        </w:tc>
        <w:tc>
          <w:tcPr>
            <w:tcW w:w="48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520" w:lineRule="exact"/>
              <w:jc w:val="center"/>
              <w:rPr>
                <w:rFonts w:hint="eastAsia" w:ascii="宋体" w:hAnsi="宋体" w:eastAsia="宋体" w:cs="宋体"/>
                <w:kern w:val="2"/>
                <w:sz w:val="22"/>
                <w:szCs w:val="22"/>
                <w:highlight w:val="none"/>
                <w:lang w:val="en-US" w:eastAsia="zh-CN" w:bidi="ar-SA"/>
              </w:rPr>
            </w:pPr>
          </w:p>
        </w:tc>
        <w:tc>
          <w:tcPr>
            <w:tcW w:w="52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520" w:lineRule="exact"/>
              <w:jc w:val="center"/>
              <w:rPr>
                <w:rFonts w:hint="eastAsia" w:ascii="宋体" w:hAnsi="宋体" w:eastAsia="宋体" w:cs="宋体"/>
                <w:kern w:val="2"/>
                <w:sz w:val="22"/>
                <w:szCs w:val="22"/>
                <w:highlight w:val="none"/>
                <w:lang w:val="en-US" w:eastAsia="zh-CN" w:bidi="ar-SA"/>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520" w:lineRule="exact"/>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520" w:lineRule="exact"/>
              <w:jc w:val="center"/>
              <w:rPr>
                <w:rFonts w:hint="eastAsia" w:ascii="宋体" w:hAnsi="宋体" w:eastAsia="宋体" w:cs="宋体"/>
                <w:kern w:val="2"/>
                <w:sz w:val="22"/>
                <w:szCs w:val="22"/>
                <w:highlight w:val="none"/>
                <w:lang w:val="en-US" w:eastAsia="zh-CN" w:bidi="ar-SA"/>
              </w:rPr>
            </w:pP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 xml:space="preserve">  粮食生产功能区属性结构描述表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LSSCGNQ</w:t>
      </w:r>
      <w:r>
        <w:rPr>
          <w:rFonts w:hint="eastAsia" w:ascii="宋体" w:hAnsi="宋体" w:eastAsia="宋体" w:cs="宋体"/>
          <w:b/>
          <w:bCs/>
          <w:sz w:val="24"/>
          <w:szCs w:val="24"/>
          <w:highlight w:val="none"/>
          <w:lang w:eastAsia="zh-CN"/>
        </w:rPr>
        <w:t>）</w:t>
      </w:r>
    </w:p>
    <w:tbl>
      <w:tblPr>
        <w:tblStyle w:val="2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412"/>
        <w:gridCol w:w="1177"/>
        <w:gridCol w:w="820"/>
        <w:gridCol w:w="837"/>
        <w:gridCol w:w="867"/>
        <w:gridCol w:w="927"/>
        <w:gridCol w:w="822"/>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6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4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11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8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8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位数</w:t>
            </w:r>
          </w:p>
        </w:tc>
        <w:tc>
          <w:tcPr>
            <w:tcW w:w="9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8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1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规划名称</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GHMC</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区块编号</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QKBH</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区块名称</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QKMC</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行政区代码</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XZQDM</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行政区名称</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XZQMC</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所在行政村</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XZC</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所在自然村</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ZRC</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建设状态</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JSZT</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建设等级</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JSDJ</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4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备注</w:t>
            </w:r>
          </w:p>
        </w:tc>
        <w:tc>
          <w:tcPr>
            <w:tcW w:w="11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BZ</w:t>
            </w:r>
          </w:p>
        </w:tc>
        <w:tc>
          <w:tcPr>
            <w:tcW w:w="8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w:t>
            </w:r>
          </w:p>
        </w:tc>
        <w:tc>
          <w:tcPr>
            <w:tcW w:w="11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（四）生态环境控制线</w:t>
      </w:r>
    </w:p>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 xml:space="preserve">  自然保护地属性结构描述表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ZRBHD</w:t>
      </w:r>
      <w:r>
        <w:rPr>
          <w:rFonts w:hint="eastAsia" w:ascii="宋体" w:hAnsi="宋体" w:eastAsia="宋体" w:cs="宋体"/>
          <w:b/>
          <w:bCs/>
          <w:sz w:val="24"/>
          <w:szCs w:val="24"/>
          <w:highlight w:val="none"/>
        </w:rPr>
        <w:t>)</w:t>
      </w:r>
    </w:p>
    <w:tbl>
      <w:tblPr>
        <w:tblStyle w:val="2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0"/>
        <w:gridCol w:w="1316"/>
        <w:gridCol w:w="1028"/>
        <w:gridCol w:w="975"/>
        <w:gridCol w:w="826"/>
        <w:gridCol w:w="954"/>
        <w:gridCol w:w="954"/>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5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68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字段名称</w:t>
            </w:r>
          </w:p>
        </w:tc>
        <w:tc>
          <w:tcPr>
            <w:tcW w:w="58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代码</w:t>
            </w:r>
          </w:p>
        </w:tc>
        <w:tc>
          <w:tcPr>
            <w:tcW w:w="55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类型</w:t>
            </w:r>
          </w:p>
        </w:tc>
        <w:tc>
          <w:tcPr>
            <w:tcW w:w="46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字段长度</w:t>
            </w:r>
          </w:p>
        </w:tc>
        <w:tc>
          <w:tcPr>
            <w:tcW w:w="53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小数</w:t>
            </w:r>
          </w:p>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位数</w:t>
            </w:r>
          </w:p>
        </w:tc>
        <w:tc>
          <w:tcPr>
            <w:tcW w:w="53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值域</w:t>
            </w:r>
          </w:p>
        </w:tc>
        <w:tc>
          <w:tcPr>
            <w:tcW w:w="53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约束</w:t>
            </w:r>
          </w:p>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条件</w:t>
            </w:r>
          </w:p>
        </w:tc>
        <w:tc>
          <w:tcPr>
            <w:tcW w:w="53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保护地编码</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BHDBM</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18</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保护地名称</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BHDMC</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保护分区</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BHFQ</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级别</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JB</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12</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保护类型</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BHLX</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18</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行政区代码</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XZQDM</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行政区名称</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XZQMC</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8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c>
          <w:tcPr>
            <w:tcW w:w="58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rPr>
              <w:t>BZ</w:t>
            </w:r>
          </w:p>
        </w:tc>
        <w:tc>
          <w:tcPr>
            <w:tcW w:w="55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6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255</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O</w:t>
            </w:r>
          </w:p>
        </w:tc>
        <w:tc>
          <w:tcPr>
            <w:tcW w:w="5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 xml:space="preserve">  饮用水源保护区属性结构描述表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YYSYBHQ</w:t>
      </w:r>
      <w:r>
        <w:rPr>
          <w:rFonts w:hint="eastAsia" w:ascii="宋体" w:hAnsi="宋体" w:eastAsia="宋体" w:cs="宋体"/>
          <w:b/>
          <w:bCs/>
          <w:sz w:val="24"/>
          <w:szCs w:val="24"/>
          <w:highlight w:val="none"/>
        </w:rPr>
        <w:t>)</w:t>
      </w:r>
    </w:p>
    <w:tbl>
      <w:tblPr>
        <w:tblStyle w:val="22"/>
        <w:tblW w:w="50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6"/>
        <w:gridCol w:w="1341"/>
        <w:gridCol w:w="1341"/>
        <w:gridCol w:w="932"/>
        <w:gridCol w:w="899"/>
        <w:gridCol w:w="899"/>
        <w:gridCol w:w="899"/>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9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7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5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位数</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条件</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7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水源地名称</w:t>
            </w:r>
          </w:p>
        </w:tc>
        <w:tc>
          <w:tcPr>
            <w:tcW w:w="7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SYDMC</w:t>
            </w:r>
          </w:p>
        </w:tc>
        <w:tc>
          <w:tcPr>
            <w:tcW w:w="5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保护区</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BHQ</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保护区级别</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BHQDJ</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水源地类型</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SYDLX</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行政区代码</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XZQDM</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行政区名称</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XZQMC</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水源地状态</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SYDZT</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BZ</w:t>
            </w:r>
          </w:p>
        </w:tc>
        <w:tc>
          <w:tcPr>
            <w:tcW w:w="517"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255</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O</w:t>
            </w:r>
          </w:p>
        </w:tc>
        <w:tc>
          <w:tcPr>
            <w:tcW w:w="4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 xml:space="preserve">  生态公益林分布图属性结构描述表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STGYL</w:t>
      </w:r>
      <w:r>
        <w:rPr>
          <w:rFonts w:hint="eastAsia" w:ascii="宋体" w:hAnsi="宋体" w:eastAsia="宋体" w:cs="宋体"/>
          <w:b/>
          <w:bCs/>
          <w:sz w:val="24"/>
          <w:szCs w:val="24"/>
          <w:highlight w:val="none"/>
        </w:rPr>
        <w:t>)</w:t>
      </w:r>
    </w:p>
    <w:tbl>
      <w:tblPr>
        <w:tblStyle w:val="22"/>
        <w:tblW w:w="5023"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93"/>
        <w:gridCol w:w="1336"/>
        <w:gridCol w:w="938"/>
        <w:gridCol w:w="891"/>
        <w:gridCol w:w="803"/>
        <w:gridCol w:w="803"/>
        <w:gridCol w:w="1450"/>
        <w:gridCol w:w="803"/>
        <w:gridCol w:w="11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441"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43"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21"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495"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446"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46"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806"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46"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651" w:type="pct"/>
            <w:tcBorders>
              <w:tl2br w:val="nil"/>
              <w:tr2bl w:val="nil"/>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44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3"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行政区代码</w:t>
            </w:r>
          </w:p>
        </w:tc>
        <w:tc>
          <w:tcPr>
            <w:tcW w:w="52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XZQDM</w:t>
            </w:r>
          </w:p>
        </w:tc>
        <w:tc>
          <w:tcPr>
            <w:tcW w:w="495"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w:t>
            </w:r>
          </w:p>
        </w:tc>
        <w:tc>
          <w:tcPr>
            <w:tcW w:w="44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80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44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44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3"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行政区名称</w:t>
            </w:r>
          </w:p>
        </w:tc>
        <w:tc>
          <w:tcPr>
            <w:tcW w:w="52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XZQMC</w:t>
            </w:r>
          </w:p>
        </w:tc>
        <w:tc>
          <w:tcPr>
            <w:tcW w:w="495"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c>
          <w:tcPr>
            <w:tcW w:w="44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80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c>
          <w:tcPr>
            <w:tcW w:w="446"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l2br w:val="nil"/>
              <w:tr2bl w:val="nil"/>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44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43"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行政等级</w:t>
            </w:r>
          </w:p>
        </w:tc>
        <w:tc>
          <w:tcPr>
            <w:tcW w:w="52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XZDJ</w:t>
            </w:r>
          </w:p>
        </w:tc>
        <w:tc>
          <w:tcPr>
            <w:tcW w:w="495"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eastAsia="zh-CN" w:bidi="ar"/>
              </w:rPr>
              <w:t>Int</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18</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p>
        </w:tc>
        <w:tc>
          <w:tcPr>
            <w:tcW w:w="80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国家级\省级</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 w:hRule="atLeast"/>
        </w:trPr>
        <w:tc>
          <w:tcPr>
            <w:tcW w:w="44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43"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等级</w:t>
            </w:r>
          </w:p>
        </w:tc>
        <w:tc>
          <w:tcPr>
            <w:tcW w:w="52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DJ</w:t>
            </w:r>
          </w:p>
        </w:tc>
        <w:tc>
          <w:tcPr>
            <w:tcW w:w="495"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eastAsia="zh-CN" w:bidi="ar"/>
              </w:rPr>
              <w:t>Int</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18</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80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trPr>
        <w:tc>
          <w:tcPr>
            <w:tcW w:w="44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43"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面积</w:t>
            </w:r>
          </w:p>
        </w:tc>
        <w:tc>
          <w:tcPr>
            <w:tcW w:w="52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MJ</w:t>
            </w:r>
          </w:p>
        </w:tc>
        <w:tc>
          <w:tcPr>
            <w:tcW w:w="495" w:type="pct"/>
            <w:tcBorders>
              <w:tl2br w:val="nil"/>
              <w:tr2bl w:val="nil"/>
            </w:tcBorders>
            <w:shd w:val="clear" w:color="auto" w:fill="auto"/>
            <w:noWrap/>
            <w:vAlign w:val="center"/>
          </w:tcPr>
          <w:p>
            <w:pPr>
              <w:pStyle w:val="73"/>
              <w:shd w:val="clear"/>
              <w:spacing w:before="34"/>
              <w:jc w:val="center"/>
              <w:rPr>
                <w:rFonts w:hint="eastAsia" w:ascii="宋体" w:hAnsi="宋体" w:eastAsia="宋体" w:cs="宋体"/>
                <w:i w:val="0"/>
                <w:iCs w:val="0"/>
                <w:color w:val="000000"/>
                <w:kern w:val="2"/>
                <w:sz w:val="22"/>
                <w:szCs w:val="22"/>
                <w:highlight w:val="none"/>
                <w:u w:val="none"/>
                <w:lang w:val="zh-CN" w:eastAsia="zh-CN" w:bidi="zh-CN"/>
              </w:rPr>
            </w:pPr>
            <w:r>
              <w:rPr>
                <w:rFonts w:hint="eastAsia" w:ascii="宋体" w:hAnsi="宋体" w:eastAsia="宋体" w:cs="宋体"/>
                <w:kern w:val="2"/>
                <w:sz w:val="22"/>
                <w:szCs w:val="22"/>
                <w:highlight w:val="none"/>
                <w:lang w:val="en-US" w:eastAsia="zh-CN" w:bidi="ar-SA"/>
              </w:rPr>
              <w:t>Double</w:t>
            </w:r>
          </w:p>
        </w:tc>
        <w:tc>
          <w:tcPr>
            <w:tcW w:w="446" w:type="pct"/>
            <w:tcBorders>
              <w:tl2br w:val="nil"/>
              <w:tr2bl w:val="nil"/>
            </w:tcBorders>
            <w:shd w:val="clear" w:color="auto" w:fill="FFFFFF"/>
            <w:noWrap/>
            <w:vAlign w:val="center"/>
          </w:tcPr>
          <w:p>
            <w:pPr>
              <w:pStyle w:val="73"/>
              <w:shd w:val="clear"/>
              <w:spacing w:before="34"/>
              <w:ind w:right="-118" w:rightChars="-56"/>
              <w:jc w:val="center"/>
              <w:rPr>
                <w:rFonts w:hint="eastAsia" w:ascii="宋体" w:hAnsi="宋体" w:eastAsia="宋体" w:cs="宋体"/>
                <w:i w:val="0"/>
                <w:iCs w:val="0"/>
                <w:color w:val="000000"/>
                <w:kern w:val="2"/>
                <w:sz w:val="22"/>
                <w:szCs w:val="22"/>
                <w:highlight w:val="none"/>
                <w:u w:val="none"/>
                <w:lang w:val="zh-CN" w:eastAsia="zh-CN" w:bidi="zh-CN"/>
              </w:rPr>
            </w:pPr>
            <w:r>
              <w:rPr>
                <w:rFonts w:hint="eastAsia" w:ascii="宋体" w:hAnsi="宋体" w:eastAsia="宋体" w:cs="宋体"/>
                <w:kern w:val="2"/>
                <w:sz w:val="22"/>
                <w:szCs w:val="22"/>
                <w:highlight w:val="none"/>
                <w:lang w:val="en-US" w:eastAsia="zh-CN" w:bidi="ar-SA"/>
              </w:rPr>
              <w:t>15</w:t>
            </w:r>
          </w:p>
        </w:tc>
        <w:tc>
          <w:tcPr>
            <w:tcW w:w="446" w:type="pct"/>
            <w:tcBorders>
              <w:tl2br w:val="nil"/>
              <w:tr2bl w:val="nil"/>
            </w:tcBorders>
            <w:shd w:val="clear" w:color="auto" w:fill="FFFFFF"/>
            <w:noWrap/>
            <w:vAlign w:val="center"/>
          </w:tcPr>
          <w:p>
            <w:pPr>
              <w:pStyle w:val="73"/>
              <w:shd w:val="clear"/>
              <w:spacing w:before="34"/>
              <w:ind w:left="9" w:leftChars="0"/>
              <w:jc w:val="center"/>
              <w:rPr>
                <w:rFonts w:hint="eastAsia" w:ascii="宋体" w:hAnsi="宋体" w:eastAsia="宋体" w:cs="宋体"/>
                <w:i w:val="0"/>
                <w:iCs w:val="0"/>
                <w:color w:val="000000"/>
                <w:kern w:val="2"/>
                <w:sz w:val="22"/>
                <w:szCs w:val="22"/>
                <w:highlight w:val="none"/>
                <w:u w:val="none"/>
                <w:lang w:val="zh-CN" w:eastAsia="zh-CN" w:bidi="zh-CN"/>
              </w:rPr>
            </w:pPr>
            <w:r>
              <w:rPr>
                <w:rFonts w:hint="eastAsia" w:ascii="宋体" w:hAnsi="宋体" w:eastAsia="宋体" w:cs="宋体"/>
                <w:kern w:val="2"/>
                <w:sz w:val="22"/>
                <w:szCs w:val="22"/>
                <w:highlight w:val="none"/>
                <w:lang w:val="en-US" w:eastAsia="zh-CN" w:bidi="ar-SA"/>
              </w:rPr>
              <w:t>2</w:t>
            </w:r>
          </w:p>
        </w:tc>
        <w:tc>
          <w:tcPr>
            <w:tcW w:w="806" w:type="pct"/>
            <w:tcBorders>
              <w:tl2br w:val="nil"/>
              <w:tr2bl w:val="nil"/>
            </w:tcBorders>
            <w:shd w:val="clear" w:color="auto" w:fill="FFFFFF"/>
            <w:noWrap/>
            <w:vAlign w:val="center"/>
          </w:tcPr>
          <w:p>
            <w:pPr>
              <w:pStyle w:val="73"/>
              <w:shd w:val="clear"/>
              <w:spacing w:before="20"/>
              <w:ind w:left="193" w:leftChars="0" w:right="184" w:rightChars="0"/>
              <w:jc w:val="center"/>
              <w:rPr>
                <w:rFonts w:hint="eastAsia" w:ascii="宋体" w:hAnsi="宋体" w:eastAsia="宋体" w:cs="宋体"/>
                <w:i w:val="0"/>
                <w:iCs w:val="0"/>
                <w:color w:val="000000"/>
                <w:kern w:val="2"/>
                <w:sz w:val="22"/>
                <w:szCs w:val="22"/>
                <w:highlight w:val="none"/>
                <w:u w:val="none"/>
                <w:lang w:val="zh-CN" w:eastAsia="zh-CN" w:bidi="zh-CN"/>
              </w:rPr>
            </w:pPr>
            <w:r>
              <w:rPr>
                <w:rFonts w:hint="eastAsia" w:ascii="宋体" w:hAnsi="宋体" w:eastAsia="宋体" w:cs="宋体"/>
                <w:kern w:val="2"/>
                <w:sz w:val="22"/>
                <w:szCs w:val="22"/>
                <w:highlight w:val="none"/>
                <w:lang w:val="en-US" w:eastAsia="zh-CN" w:bidi="ar-SA"/>
              </w:rPr>
              <w:t>＞0</w:t>
            </w:r>
          </w:p>
        </w:tc>
        <w:tc>
          <w:tcPr>
            <w:tcW w:w="446" w:type="pct"/>
            <w:tcBorders>
              <w:tl2br w:val="nil"/>
              <w:tr2bl w:val="nil"/>
            </w:tcBorders>
            <w:shd w:val="clear" w:color="auto" w:fill="FFFFFF"/>
            <w:noWrap/>
            <w:vAlign w:val="center"/>
          </w:tcPr>
          <w:p>
            <w:pPr>
              <w:shd w:val="clear"/>
              <w:spacing w:before="34"/>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M</w:t>
            </w:r>
          </w:p>
        </w:tc>
        <w:tc>
          <w:tcPr>
            <w:tcW w:w="651" w:type="pct"/>
            <w:tcBorders>
              <w:tl2br w:val="nil"/>
              <w:tr2bl w:val="nil"/>
            </w:tcBorders>
            <w:shd w:val="clear" w:color="auto" w:fill="FFFFFF"/>
            <w:noWrap/>
            <w:vAlign w:val="center"/>
          </w:tcPr>
          <w:p>
            <w:pPr>
              <w:pStyle w:val="73"/>
              <w:shd w:val="clear"/>
              <w:spacing w:before="20"/>
              <w:ind w:left="56" w:leftChars="0"/>
              <w:jc w:val="center"/>
              <w:rPr>
                <w:rFonts w:hint="eastAsia" w:ascii="宋体" w:hAnsi="宋体" w:eastAsia="宋体" w:cs="宋体"/>
                <w:i w:val="0"/>
                <w:iCs w:val="0"/>
                <w:color w:val="000000"/>
                <w:kern w:val="2"/>
                <w:sz w:val="22"/>
                <w:szCs w:val="22"/>
                <w:highlight w:val="none"/>
                <w:u w:val="none"/>
                <w:lang w:val="zh-CN" w:eastAsia="zh-CN" w:bidi="zh-CN"/>
              </w:rPr>
            </w:pP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sz w:val="22"/>
                <w:szCs w:val="22"/>
                <w:highlight w:val="none"/>
              </w:rPr>
              <w:t>m²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44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743"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备注</w:t>
            </w:r>
          </w:p>
        </w:tc>
        <w:tc>
          <w:tcPr>
            <w:tcW w:w="521"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BZ</w:t>
            </w:r>
          </w:p>
        </w:tc>
        <w:tc>
          <w:tcPr>
            <w:tcW w:w="495"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sz w:val="22"/>
                <w:szCs w:val="22"/>
                <w:highlight w:val="none"/>
                <w:u w:val="none"/>
                <w:lang w:val="en-US" w:eastAsia="zh-CN"/>
              </w:rPr>
              <w:t>255</w:t>
            </w: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806" w:type="pct"/>
            <w:tcBorders>
              <w:tl2br w:val="nil"/>
              <w:tr2bl w:val="nil"/>
            </w:tcBorders>
            <w:shd w:val="clear" w:color="auto" w:fill="FFFFFF"/>
            <w:noWrap/>
            <w:vAlign w:val="center"/>
          </w:tcPr>
          <w:p>
            <w:pPr>
              <w:shd w:val="clear"/>
              <w:jc w:val="center"/>
              <w:rPr>
                <w:rFonts w:hint="eastAsia" w:ascii="宋体" w:hAnsi="宋体" w:eastAsia="宋体" w:cs="宋体"/>
                <w:kern w:val="2"/>
                <w:sz w:val="22"/>
                <w:szCs w:val="22"/>
                <w:highlight w:val="none"/>
                <w:lang w:val="en-US" w:eastAsia="zh-CN" w:bidi="ar-SA"/>
              </w:rPr>
            </w:pPr>
          </w:p>
        </w:tc>
        <w:tc>
          <w:tcPr>
            <w:tcW w:w="446" w:type="pct"/>
            <w:tcBorders>
              <w:tl2br w:val="nil"/>
              <w:tr2bl w:val="nil"/>
            </w:tcBorders>
            <w:shd w:val="clear" w:color="auto" w:fill="FFFFFF"/>
            <w:noWrap/>
            <w:vAlign w:val="center"/>
          </w:tcPr>
          <w:p>
            <w:pPr>
              <w:shd w:val="clear"/>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O</w:t>
            </w:r>
          </w:p>
        </w:tc>
        <w:tc>
          <w:tcPr>
            <w:tcW w:w="651" w:type="pct"/>
            <w:tcBorders>
              <w:tl2br w:val="nil"/>
              <w:tr2bl w:val="nil"/>
            </w:tcBorders>
            <w:shd w:val="clear" w:color="auto" w:fill="FFFFFF"/>
            <w:noWrap/>
            <w:vAlign w:val="center"/>
          </w:tcPr>
          <w:p>
            <w:pPr>
              <w:shd w:val="clear"/>
              <w:jc w:val="center"/>
              <w:rPr>
                <w:rFonts w:hint="eastAsia" w:ascii="宋体" w:hAnsi="宋体" w:eastAsia="宋体" w:cs="宋体"/>
                <w:kern w:val="2"/>
                <w:sz w:val="22"/>
                <w:szCs w:val="22"/>
                <w:highlight w:val="none"/>
                <w:lang w:val="en-US" w:eastAsia="zh-CN" w:bidi="ar-SA"/>
              </w:rPr>
            </w:pPr>
          </w:p>
        </w:tc>
      </w:tr>
    </w:tbl>
    <w:p>
      <w:pPr>
        <w:widowControl w:val="0"/>
        <w:numPr>
          <w:ilvl w:val="0"/>
          <w:numId w:val="0"/>
        </w:numPr>
        <w:shd w:val="clear"/>
        <w:spacing w:line="520" w:lineRule="exact"/>
        <w:jc w:val="both"/>
        <w:rPr>
          <w:rFonts w:hint="eastAsia" w:ascii="宋体" w:hAnsi="宋体" w:eastAsia="宋体" w:cs="宋体"/>
          <w:b/>
          <w:bCs/>
          <w:sz w:val="24"/>
          <w:szCs w:val="24"/>
          <w:highlight w:val="none"/>
          <w:lang w:val="en-US" w:eastAsia="zh-CN"/>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 xml:space="preserve">  水环境功能区属性结构描述表（SHJGNQ）</w:t>
      </w:r>
    </w:p>
    <w:tbl>
      <w:tblPr>
        <w:tblStyle w:val="22"/>
        <w:tblW w:w="5011" w:type="pct"/>
        <w:tblInd w:w="0" w:type="dxa"/>
        <w:tblLayout w:type="fixed"/>
        <w:tblCellMar>
          <w:top w:w="0" w:type="dxa"/>
          <w:left w:w="108" w:type="dxa"/>
          <w:bottom w:w="0" w:type="dxa"/>
          <w:right w:w="108" w:type="dxa"/>
        </w:tblCellMar>
      </w:tblPr>
      <w:tblGrid>
        <w:gridCol w:w="744"/>
        <w:gridCol w:w="1259"/>
        <w:gridCol w:w="1003"/>
        <w:gridCol w:w="1038"/>
        <w:gridCol w:w="929"/>
        <w:gridCol w:w="890"/>
        <w:gridCol w:w="782"/>
        <w:gridCol w:w="891"/>
        <w:gridCol w:w="1433"/>
      </w:tblGrid>
      <w:tr>
        <w:trPr>
          <w:cantSplit/>
          <w:trHeight w:val="312" w:hRule="atLeast"/>
        </w:trPr>
        <w:tc>
          <w:tcPr>
            <w:tcW w:w="414" w:type="pct"/>
            <w:vMerge w:val="restart"/>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序号</w:t>
            </w:r>
          </w:p>
        </w:tc>
        <w:tc>
          <w:tcPr>
            <w:tcW w:w="701"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字段名称</w:t>
            </w:r>
          </w:p>
        </w:tc>
        <w:tc>
          <w:tcPr>
            <w:tcW w:w="559"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字段</w:t>
            </w:r>
          </w:p>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代码</w:t>
            </w:r>
          </w:p>
        </w:tc>
        <w:tc>
          <w:tcPr>
            <w:tcW w:w="579"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字段</w:t>
            </w:r>
          </w:p>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类型</w:t>
            </w:r>
          </w:p>
        </w:tc>
        <w:tc>
          <w:tcPr>
            <w:tcW w:w="517"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字段</w:t>
            </w:r>
          </w:p>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长度</w:t>
            </w:r>
          </w:p>
        </w:tc>
        <w:tc>
          <w:tcPr>
            <w:tcW w:w="495"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小数位数</w:t>
            </w:r>
          </w:p>
        </w:tc>
        <w:tc>
          <w:tcPr>
            <w:tcW w:w="435"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值域</w:t>
            </w:r>
          </w:p>
        </w:tc>
        <w:tc>
          <w:tcPr>
            <w:tcW w:w="496"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约束条件</w:t>
            </w:r>
          </w:p>
        </w:tc>
        <w:tc>
          <w:tcPr>
            <w:tcW w:w="798" w:type="pct"/>
            <w:vMerge w:val="restart"/>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tc>
      </w:tr>
      <w:tr>
        <w:tblPrEx>
          <w:tblCellMar>
            <w:top w:w="0" w:type="dxa"/>
            <w:left w:w="108" w:type="dxa"/>
            <w:bottom w:w="0" w:type="dxa"/>
            <w:right w:w="108" w:type="dxa"/>
          </w:tblCellMar>
        </w:tblPrEx>
        <w:trPr>
          <w:cantSplit/>
          <w:trHeight w:val="312" w:hRule="atLeast"/>
        </w:trPr>
        <w:tc>
          <w:tcPr>
            <w:tcW w:w="414" w:type="pct"/>
            <w:vMerge w:val="continue"/>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701"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5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17"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95"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35"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96"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79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256"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467"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467"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467"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功能区名称</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256"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类别</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LB</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功能区类别</w:t>
            </w:r>
          </w:p>
        </w:tc>
      </w:tr>
      <w:tr>
        <w:tblPrEx>
          <w:tblCellMar>
            <w:top w:w="0" w:type="dxa"/>
            <w:left w:w="108" w:type="dxa"/>
            <w:bottom w:w="0" w:type="dxa"/>
            <w:right w:w="108" w:type="dxa"/>
          </w:tblCellMar>
        </w:tblPrEx>
        <w:trPr>
          <w:cantSplit/>
          <w:trHeight w:val="256"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CellMar>
            <w:top w:w="0" w:type="dxa"/>
            <w:left w:w="108" w:type="dxa"/>
            <w:bottom w:w="0" w:type="dxa"/>
            <w:right w:w="108" w:type="dxa"/>
          </w:tblCellMar>
        </w:tblPrEx>
        <w:trPr>
          <w:cantSplit/>
          <w:trHeight w:val="256" w:hRule="atLeast"/>
        </w:trPr>
        <w:tc>
          <w:tcPr>
            <w:tcW w:w="41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70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1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9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3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9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7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722" w:hRule="atLeast"/>
        </w:trPr>
        <w:tc>
          <w:tcPr>
            <w:tcW w:w="5000" w:type="pct"/>
            <w:gridSpan w:val="9"/>
            <w:tcBorders>
              <w:top w:val="single" w:color="000000" w:sz="8" w:space="0"/>
              <w:left w:val="single" w:color="000000" w:sz="8" w:space="0"/>
              <w:bottom w:val="single" w:color="000000" w:sz="8" w:space="0"/>
              <w:right w:val="single" w:color="000000" w:sz="8" w:space="0"/>
            </w:tcBorders>
            <w:noWrap/>
            <w:vAlign w:val="center"/>
          </w:tcPr>
          <w:p>
            <w:pPr>
              <w:shd w:val="clea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备注：功能区类别可分为自然保护区、饮用水水源保护区、渔业用水区、工业用水区、农业用水区、景观娱乐用水区、混合区、过渡区、保留区，具体分类标准可见《HJ522—2009 地表水环境功能区类别代码</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试行</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w:t>
            </w: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（五）基础设施控制线</w:t>
      </w:r>
    </w:p>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13</w:t>
      </w:r>
      <w:r>
        <w:rPr>
          <w:rFonts w:hint="eastAsia" w:ascii="宋体" w:hAnsi="宋体" w:eastAsia="宋体" w:cs="宋体"/>
          <w:b/>
          <w:bCs/>
          <w:sz w:val="24"/>
          <w:szCs w:val="24"/>
          <w:highlight w:val="none"/>
        </w:rPr>
        <w:t xml:space="preserve">  高速铁路保护范围属性结构描述表（GSTLBHFW）</w:t>
      </w:r>
    </w:p>
    <w:tbl>
      <w:tblPr>
        <w:tblStyle w:val="22"/>
        <w:tblW w:w="5045" w:type="pct"/>
        <w:jc w:val="center"/>
        <w:tblLayout w:type="autofit"/>
        <w:tblCellMar>
          <w:top w:w="0" w:type="dxa"/>
          <w:left w:w="108" w:type="dxa"/>
          <w:bottom w:w="0" w:type="dxa"/>
          <w:right w:w="108" w:type="dxa"/>
        </w:tblCellMar>
      </w:tblPr>
      <w:tblGrid>
        <w:gridCol w:w="569"/>
        <w:gridCol w:w="1695"/>
        <w:gridCol w:w="1016"/>
        <w:gridCol w:w="1016"/>
        <w:gridCol w:w="886"/>
        <w:gridCol w:w="842"/>
        <w:gridCol w:w="611"/>
        <w:gridCol w:w="842"/>
        <w:gridCol w:w="1552"/>
      </w:tblGrid>
      <w:tr>
        <w:tblPrEx>
          <w:tblCellMar>
            <w:top w:w="0" w:type="dxa"/>
            <w:left w:w="108" w:type="dxa"/>
            <w:bottom w:w="0" w:type="dxa"/>
            <w:right w:w="108" w:type="dxa"/>
          </w:tblCellMar>
        </w:tblPrEx>
        <w:trPr>
          <w:trHeight w:val="347" w:hRule="atLeast"/>
          <w:jc w:val="center"/>
        </w:trPr>
        <w:tc>
          <w:tcPr>
            <w:tcW w:w="31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3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6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6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49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6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33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6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85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CellMar>
            <w:top w:w="0" w:type="dxa"/>
            <w:left w:w="108" w:type="dxa"/>
            <w:bottom w:w="0" w:type="dxa"/>
            <w:right w:w="108" w:type="dxa"/>
          </w:tblCellMar>
        </w:tblPrEx>
        <w:trPr>
          <w:trHeight w:val="347" w:hRule="atLeast"/>
          <w:jc w:val="center"/>
        </w:trPr>
        <w:tc>
          <w:tcPr>
            <w:tcW w:w="315" w:type="pct"/>
            <w:vMerge w:val="continue"/>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93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62"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62"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9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66"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3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66"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85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7" w:hRule="atLeast"/>
          <w:jc w:val="center"/>
        </w:trPr>
        <w:tc>
          <w:tcPr>
            <w:tcW w:w="31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9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7" w:hRule="atLeast"/>
          <w:jc w:val="center"/>
        </w:trPr>
        <w:tc>
          <w:tcPr>
            <w:tcW w:w="31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9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7" w:hRule="atLeast"/>
          <w:jc w:val="center"/>
        </w:trPr>
        <w:tc>
          <w:tcPr>
            <w:tcW w:w="31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9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514" w:hRule="atLeast"/>
          <w:jc w:val="center"/>
        </w:trPr>
        <w:tc>
          <w:tcPr>
            <w:tcW w:w="31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9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高速铁路名称</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7" w:hRule="atLeast"/>
          <w:jc w:val="center"/>
        </w:trPr>
        <w:tc>
          <w:tcPr>
            <w:tcW w:w="31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9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49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CellMar>
            <w:top w:w="0" w:type="dxa"/>
            <w:left w:w="108" w:type="dxa"/>
            <w:bottom w:w="0" w:type="dxa"/>
            <w:right w:w="108" w:type="dxa"/>
          </w:tblCellMar>
        </w:tblPrEx>
        <w:trPr>
          <w:trHeight w:val="368" w:hRule="atLeast"/>
          <w:jc w:val="center"/>
        </w:trPr>
        <w:tc>
          <w:tcPr>
            <w:tcW w:w="31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9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6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3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6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5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bl>
    <w:p>
      <w:pPr>
        <w:shd w:val="clear"/>
        <w:spacing w:line="520" w:lineRule="exact"/>
        <w:jc w:val="center"/>
        <w:rPr>
          <w:rFonts w:hint="eastAsia" w:ascii="宋体" w:hAnsi="宋体" w:eastAsia="宋体" w:cs="宋体"/>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14</w:t>
      </w:r>
      <w:r>
        <w:rPr>
          <w:rFonts w:hint="eastAsia" w:ascii="宋体" w:hAnsi="宋体" w:eastAsia="宋体" w:cs="宋体"/>
          <w:b/>
          <w:bCs/>
          <w:sz w:val="24"/>
          <w:szCs w:val="24"/>
          <w:highlight w:val="none"/>
        </w:rPr>
        <w:t xml:space="preserve">  高速公路保护范围属性结构描述表（GSGLBHFW）</w:t>
      </w:r>
    </w:p>
    <w:tbl>
      <w:tblPr>
        <w:tblStyle w:val="22"/>
        <w:tblW w:w="5045" w:type="pct"/>
        <w:tblInd w:w="0" w:type="dxa"/>
        <w:tblLayout w:type="autofit"/>
        <w:tblCellMar>
          <w:top w:w="0" w:type="dxa"/>
          <w:left w:w="108" w:type="dxa"/>
          <w:bottom w:w="0" w:type="dxa"/>
          <w:right w:w="108" w:type="dxa"/>
        </w:tblCellMar>
      </w:tblPr>
      <w:tblGrid>
        <w:gridCol w:w="584"/>
        <w:gridCol w:w="1572"/>
        <w:gridCol w:w="1030"/>
        <w:gridCol w:w="1030"/>
        <w:gridCol w:w="902"/>
        <w:gridCol w:w="856"/>
        <w:gridCol w:w="629"/>
        <w:gridCol w:w="856"/>
        <w:gridCol w:w="1570"/>
      </w:tblGrid>
      <w:tr>
        <w:tblPrEx>
          <w:tblCellMar>
            <w:top w:w="0" w:type="dxa"/>
            <w:left w:w="108" w:type="dxa"/>
            <w:bottom w:w="0" w:type="dxa"/>
            <w:right w:w="108" w:type="dxa"/>
          </w:tblCellMar>
        </w:tblPrEx>
        <w:trPr>
          <w:trHeight w:val="568" w:hRule="atLeast"/>
        </w:trPr>
        <w:tc>
          <w:tcPr>
            <w:tcW w:w="32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7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7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7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49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34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86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CellMar>
            <w:top w:w="0" w:type="dxa"/>
            <w:left w:w="108" w:type="dxa"/>
            <w:bottom w:w="0" w:type="dxa"/>
            <w:right w:w="108" w:type="dxa"/>
          </w:tblCellMar>
        </w:tblPrEx>
        <w:trPr>
          <w:trHeight w:val="371" w:hRule="atLeast"/>
        </w:trPr>
        <w:tc>
          <w:tcPr>
            <w:tcW w:w="323" w:type="pct"/>
            <w:vMerge w:val="continue"/>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87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9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4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71" w:hRule="atLeast"/>
        </w:trPr>
        <w:tc>
          <w:tcPr>
            <w:tcW w:w="323"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71" w:hRule="atLeast"/>
        </w:trPr>
        <w:tc>
          <w:tcPr>
            <w:tcW w:w="323"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8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71" w:hRule="atLeast"/>
        </w:trPr>
        <w:tc>
          <w:tcPr>
            <w:tcW w:w="323"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8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71" w:hRule="atLeast"/>
        </w:trPr>
        <w:tc>
          <w:tcPr>
            <w:tcW w:w="323"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8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高速公路名称</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71" w:hRule="atLeast"/>
        </w:trPr>
        <w:tc>
          <w:tcPr>
            <w:tcW w:w="323"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8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49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CellMar>
            <w:top w:w="0" w:type="dxa"/>
            <w:left w:w="108" w:type="dxa"/>
            <w:bottom w:w="0" w:type="dxa"/>
            <w:right w:w="108" w:type="dxa"/>
          </w:tblCellMar>
        </w:tblPrEx>
        <w:trPr>
          <w:trHeight w:val="448" w:hRule="atLeast"/>
        </w:trPr>
        <w:tc>
          <w:tcPr>
            <w:tcW w:w="323"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8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bl>
    <w:p>
      <w:pPr>
        <w:shd w:val="clear"/>
        <w:spacing w:line="520" w:lineRule="exact"/>
        <w:rPr>
          <w:rFonts w:hint="eastAsia" w:ascii="宋体" w:hAnsi="宋体" w:eastAsia="宋体" w:cs="宋体"/>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 xml:space="preserve">15  </w:t>
      </w:r>
      <w:r>
        <w:rPr>
          <w:rFonts w:hint="eastAsia" w:ascii="宋体" w:hAnsi="宋体" w:eastAsia="宋体" w:cs="宋体"/>
          <w:b/>
          <w:bCs/>
          <w:sz w:val="24"/>
          <w:szCs w:val="24"/>
          <w:highlight w:val="none"/>
        </w:rPr>
        <w:t>高压廊道属性结构描述表（GYLD）</w:t>
      </w:r>
    </w:p>
    <w:tbl>
      <w:tblPr>
        <w:tblStyle w:val="22"/>
        <w:tblW w:w="5011" w:type="pct"/>
        <w:tblInd w:w="0" w:type="dxa"/>
        <w:tblLayout w:type="autofit"/>
        <w:tblCellMar>
          <w:top w:w="0" w:type="dxa"/>
          <w:left w:w="108" w:type="dxa"/>
          <w:bottom w:w="0" w:type="dxa"/>
          <w:right w:w="108" w:type="dxa"/>
        </w:tblCellMar>
      </w:tblPr>
      <w:tblGrid>
        <w:gridCol w:w="581"/>
        <w:gridCol w:w="1559"/>
        <w:gridCol w:w="1022"/>
        <w:gridCol w:w="1022"/>
        <w:gridCol w:w="893"/>
        <w:gridCol w:w="850"/>
        <w:gridCol w:w="624"/>
        <w:gridCol w:w="850"/>
        <w:gridCol w:w="1567"/>
      </w:tblGrid>
      <w:tr>
        <w:tblPrEx>
          <w:tblCellMar>
            <w:top w:w="0" w:type="dxa"/>
            <w:left w:w="108" w:type="dxa"/>
            <w:bottom w:w="0" w:type="dxa"/>
            <w:right w:w="108" w:type="dxa"/>
          </w:tblCellMar>
        </w:tblPrEx>
        <w:trPr>
          <w:trHeight w:val="590" w:hRule="atLeast"/>
        </w:trPr>
        <w:tc>
          <w:tcPr>
            <w:tcW w:w="324"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6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7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7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49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4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34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86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CellMar>
            <w:top w:w="0" w:type="dxa"/>
            <w:left w:w="108" w:type="dxa"/>
            <w:bottom w:w="0" w:type="dxa"/>
            <w:right w:w="108" w:type="dxa"/>
          </w:tblCellMar>
        </w:tblPrEx>
        <w:trPr>
          <w:trHeight w:val="362" w:hRule="atLeast"/>
        </w:trPr>
        <w:tc>
          <w:tcPr>
            <w:tcW w:w="324" w:type="pct"/>
            <w:vMerge w:val="continue"/>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9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4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高压廊道名称</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级别</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JB</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CellMar>
            <w:top w:w="0" w:type="dxa"/>
            <w:left w:w="108" w:type="dxa"/>
            <w:bottom w:w="0" w:type="dxa"/>
            <w:right w:w="108" w:type="dxa"/>
          </w:tblCellMar>
        </w:tblPrEx>
        <w:trPr>
          <w:trHeight w:val="362" w:hRule="atLeast"/>
        </w:trPr>
        <w:tc>
          <w:tcPr>
            <w:tcW w:w="324"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7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4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87" w:hRule="atLeast"/>
        </w:trPr>
        <w:tc>
          <w:tcPr>
            <w:tcW w:w="5000" w:type="pct"/>
            <w:gridSpan w:val="9"/>
            <w:tcBorders>
              <w:top w:val="nil"/>
              <w:left w:val="single" w:color="000000" w:sz="8" w:space="0"/>
              <w:bottom w:val="single" w:color="000000" w:sz="8" w:space="0"/>
              <w:right w:val="single" w:color="000000" w:sz="8" w:space="0"/>
            </w:tcBorders>
            <w:noWrap w:val="0"/>
            <w:vAlign w:val="center"/>
          </w:tcPr>
          <w:p>
            <w:pPr>
              <w:shd w:val="clea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备注：级别可分为国家级、省级、市级、县级和其他。</w:t>
            </w:r>
          </w:p>
        </w:tc>
      </w:tr>
    </w:tbl>
    <w:p>
      <w:pPr>
        <w:shd w:val="clear"/>
        <w:spacing w:line="520" w:lineRule="exact"/>
        <w:rPr>
          <w:rFonts w:hint="eastAsia" w:ascii="宋体" w:hAnsi="宋体" w:eastAsia="宋体" w:cs="宋体"/>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16</w:t>
      </w:r>
      <w:r>
        <w:rPr>
          <w:rFonts w:hint="eastAsia" w:ascii="宋体" w:hAnsi="宋体" w:eastAsia="宋体" w:cs="宋体"/>
          <w:b/>
          <w:bCs/>
          <w:sz w:val="24"/>
          <w:szCs w:val="24"/>
          <w:highlight w:val="none"/>
        </w:rPr>
        <w:t xml:space="preserve">  油气廊道属性结构描述表（YQLD）</w:t>
      </w:r>
    </w:p>
    <w:tbl>
      <w:tblPr>
        <w:tblStyle w:val="22"/>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1"/>
        <w:gridCol w:w="1548"/>
        <w:gridCol w:w="1022"/>
        <w:gridCol w:w="1022"/>
        <w:gridCol w:w="893"/>
        <w:gridCol w:w="850"/>
        <w:gridCol w:w="625"/>
        <w:gridCol w:w="850"/>
        <w:gridCol w:w="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trPr>
        <w:tc>
          <w:tcPr>
            <w:tcW w:w="32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86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字段名称</w:t>
            </w:r>
          </w:p>
        </w:tc>
        <w:tc>
          <w:tcPr>
            <w:tcW w:w="571"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代码</w:t>
            </w:r>
          </w:p>
        </w:tc>
        <w:tc>
          <w:tcPr>
            <w:tcW w:w="571"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类型</w:t>
            </w:r>
          </w:p>
        </w:tc>
        <w:tc>
          <w:tcPr>
            <w:tcW w:w="499"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字段长度</w:t>
            </w:r>
          </w:p>
        </w:tc>
        <w:tc>
          <w:tcPr>
            <w:tcW w:w="47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小数位数</w:t>
            </w:r>
          </w:p>
        </w:tc>
        <w:tc>
          <w:tcPr>
            <w:tcW w:w="349"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值域</w:t>
            </w:r>
          </w:p>
        </w:tc>
        <w:tc>
          <w:tcPr>
            <w:tcW w:w="47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约束条件</w:t>
            </w:r>
          </w:p>
        </w:tc>
        <w:tc>
          <w:tcPr>
            <w:tcW w:w="86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rPr>
        <w:tc>
          <w:tcPr>
            <w:tcW w:w="32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1"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571"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499"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349"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油气廊道名称</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级别</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JB</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32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7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9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7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5000" w:type="pct"/>
            <w:gridSpan w:val="9"/>
            <w:tcBorders>
              <w:tl2br w:val="nil"/>
              <w:tr2bl w:val="nil"/>
            </w:tcBorders>
            <w:noWrap w:val="0"/>
            <w:vAlign w:val="center"/>
          </w:tcPr>
          <w:p>
            <w:pPr>
              <w:shd w:val="clea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备注：级别可分为国家级、省级、市级、县级和其他。</w:t>
            </w:r>
          </w:p>
        </w:tc>
      </w:tr>
    </w:tbl>
    <w:p>
      <w:pPr>
        <w:shd w:val="clear"/>
        <w:spacing w:line="520" w:lineRule="exact"/>
        <w:rPr>
          <w:rFonts w:hint="eastAsia" w:ascii="宋体" w:hAnsi="宋体" w:eastAsia="宋体" w:cs="宋体"/>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17</w:t>
      </w:r>
      <w:r>
        <w:rPr>
          <w:rFonts w:hint="eastAsia" w:ascii="宋体" w:hAnsi="宋体" w:eastAsia="宋体" w:cs="宋体"/>
          <w:b/>
          <w:bCs/>
          <w:sz w:val="24"/>
          <w:szCs w:val="24"/>
          <w:highlight w:val="none"/>
        </w:rPr>
        <w:t xml:space="preserve">  机场净空属性结构描述表（JCJK）</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330"/>
        <w:gridCol w:w="1036"/>
        <w:gridCol w:w="1040"/>
        <w:gridCol w:w="943"/>
        <w:gridCol w:w="911"/>
        <w:gridCol w:w="630"/>
        <w:gridCol w:w="91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43"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79"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81"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527"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509"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位数</w:t>
            </w:r>
          </w:p>
        </w:tc>
        <w:tc>
          <w:tcPr>
            <w:tcW w:w="352"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509"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866" w:type="pct"/>
            <w:vMerge w:val="restart"/>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4"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743"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579"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581"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527"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509"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352"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509"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c>
          <w:tcPr>
            <w:tcW w:w="866" w:type="pct"/>
            <w:vMerge w:val="continue"/>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机场名称</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JCMC</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净空区分类</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JKQFL</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管控要求</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GKYQ</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81"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52"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6"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743"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7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81" w:type="pct"/>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7"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509" w:type="pct"/>
            <w:noWrap/>
            <w:vAlign w:val="center"/>
          </w:tcPr>
          <w:p>
            <w:pPr>
              <w:shd w:val="clear"/>
              <w:spacing w:line="240" w:lineRule="auto"/>
              <w:jc w:val="center"/>
              <w:rPr>
                <w:rFonts w:hint="eastAsia" w:ascii="宋体" w:hAnsi="宋体" w:eastAsia="宋体" w:cs="宋体"/>
                <w:sz w:val="22"/>
                <w:szCs w:val="22"/>
                <w:highlight w:val="none"/>
              </w:rPr>
            </w:pPr>
          </w:p>
        </w:tc>
        <w:tc>
          <w:tcPr>
            <w:tcW w:w="352" w:type="pct"/>
            <w:noWrap/>
            <w:vAlign w:val="center"/>
          </w:tcPr>
          <w:p>
            <w:pPr>
              <w:shd w:val="clear"/>
              <w:spacing w:line="240" w:lineRule="auto"/>
              <w:jc w:val="center"/>
              <w:rPr>
                <w:rFonts w:hint="eastAsia" w:ascii="宋体" w:hAnsi="宋体" w:eastAsia="宋体" w:cs="宋体"/>
                <w:sz w:val="22"/>
                <w:szCs w:val="22"/>
                <w:highlight w:val="none"/>
              </w:rPr>
            </w:pPr>
          </w:p>
        </w:tc>
        <w:tc>
          <w:tcPr>
            <w:tcW w:w="509" w:type="pct"/>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6" w:type="pct"/>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noWrap/>
            <w:vAlign w:val="center"/>
          </w:tcPr>
          <w:p>
            <w:pPr>
              <w:shd w:val="clear"/>
              <w:spacing w:line="24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备注：净空区分类可分为升降带、端净空区和侧净空区。</w:t>
            </w: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（六）灾害防治控制线</w:t>
      </w:r>
    </w:p>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18</w:t>
      </w:r>
      <w:r>
        <w:rPr>
          <w:rFonts w:hint="eastAsia" w:ascii="宋体" w:hAnsi="宋体" w:eastAsia="宋体" w:cs="宋体"/>
          <w:b/>
          <w:bCs/>
          <w:sz w:val="24"/>
          <w:szCs w:val="24"/>
          <w:highlight w:val="none"/>
        </w:rPr>
        <w:t xml:space="preserve">  地质灾害易发区属性结构描述表（</w:t>
      </w:r>
      <w:r>
        <w:rPr>
          <w:rFonts w:hint="eastAsia" w:ascii="宋体" w:hAnsi="宋体" w:eastAsia="宋体" w:cs="宋体"/>
          <w:b/>
          <w:bCs/>
          <w:sz w:val="24"/>
          <w:szCs w:val="24"/>
          <w:highlight w:val="none"/>
          <w:lang w:val="en-US" w:eastAsia="zh-CN"/>
        </w:rPr>
        <w:t>DZZHYFQ</w:t>
      </w:r>
      <w:r>
        <w:rPr>
          <w:rFonts w:hint="eastAsia" w:ascii="宋体" w:hAnsi="宋体" w:eastAsia="宋体" w:cs="宋体"/>
          <w:b/>
          <w:bCs/>
          <w:sz w:val="24"/>
          <w:szCs w:val="24"/>
          <w:highlight w:val="none"/>
        </w:rPr>
        <w:t>）</w:t>
      </w:r>
    </w:p>
    <w:tbl>
      <w:tblPr>
        <w:tblStyle w:val="22"/>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
        <w:gridCol w:w="1329"/>
        <w:gridCol w:w="930"/>
        <w:gridCol w:w="937"/>
        <w:gridCol w:w="923"/>
        <w:gridCol w:w="923"/>
        <w:gridCol w:w="923"/>
        <w:gridCol w:w="923"/>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51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2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51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51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位数</w:t>
            </w:r>
          </w:p>
        </w:tc>
        <w:tc>
          <w:tcPr>
            <w:tcW w:w="51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51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条件</w:t>
            </w:r>
          </w:p>
        </w:tc>
        <w:tc>
          <w:tcPr>
            <w:tcW w:w="6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4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标识码</w:t>
            </w:r>
          </w:p>
        </w:tc>
        <w:tc>
          <w:tcPr>
            <w:tcW w:w="52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BSM</w:t>
            </w:r>
          </w:p>
        </w:tc>
        <w:tc>
          <w:tcPr>
            <w:tcW w:w="5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eastAsia="zh-CN" w:bidi="ar"/>
              </w:rPr>
              <w:t>Int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sz w:val="22"/>
                <w:szCs w:val="22"/>
                <w:highlight w:val="none"/>
                <w:lang w:val="en-US" w:eastAsia="zh-CN"/>
              </w:rPr>
              <w:t>18</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统一编码</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TYBM</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图元名称</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TYMC</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行政区代码</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GBDM</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入库时间</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RKSJ</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Date</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分区面积</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FQMJ</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Double</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sz w:val="22"/>
                <w:szCs w:val="22"/>
                <w:highlight w:val="none"/>
                <w:lang w:val="en-US" w:eastAsia="zh-CN"/>
              </w:rPr>
              <w:t>32</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&gt;0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分区名称</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FQMC</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位置</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WZ</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地质环境</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DZHJ</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灾害特征</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ZHTZ</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危害特点</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WHTD</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内点状态</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NDZT</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编码</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BM</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4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图元代码</w:t>
            </w:r>
          </w:p>
        </w:tc>
        <w:tc>
          <w:tcPr>
            <w:tcW w:w="5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TYDM</w:t>
            </w:r>
          </w:p>
        </w:tc>
        <w:tc>
          <w:tcPr>
            <w:tcW w:w="52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50</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bl>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19</w:t>
      </w:r>
      <w:r>
        <w:rPr>
          <w:rFonts w:hint="eastAsia" w:ascii="宋体" w:hAnsi="宋体" w:eastAsia="宋体" w:cs="宋体"/>
          <w:b/>
          <w:bCs/>
          <w:sz w:val="24"/>
          <w:szCs w:val="24"/>
          <w:highlight w:val="none"/>
        </w:rPr>
        <w:t xml:space="preserve">  蓄滞洪区属性结构描述表（</w:t>
      </w:r>
      <w:r>
        <w:rPr>
          <w:rFonts w:hint="eastAsia" w:ascii="宋体" w:hAnsi="宋体" w:eastAsia="宋体" w:cs="宋体"/>
          <w:b/>
          <w:bCs/>
          <w:sz w:val="24"/>
          <w:szCs w:val="24"/>
          <w:highlight w:val="none"/>
          <w:lang w:val="en-US" w:eastAsia="zh-CN"/>
        </w:rPr>
        <w:t>XZHQ</w:t>
      </w:r>
      <w:r>
        <w:rPr>
          <w:rFonts w:hint="eastAsia" w:ascii="宋体" w:hAnsi="宋体" w:eastAsia="宋体" w:cs="宋体"/>
          <w:b/>
          <w:bCs/>
          <w:sz w:val="24"/>
          <w:szCs w:val="24"/>
          <w:highlight w:val="none"/>
        </w:rPr>
        <w:t>）</w:t>
      </w:r>
    </w:p>
    <w:tbl>
      <w:tblPr>
        <w:tblStyle w:val="22"/>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
        <w:gridCol w:w="2020"/>
        <w:gridCol w:w="1196"/>
        <w:gridCol w:w="974"/>
        <w:gridCol w:w="807"/>
        <w:gridCol w:w="724"/>
        <w:gridCol w:w="729"/>
        <w:gridCol w:w="730"/>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1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66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53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40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0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63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蓄滞洪区名称</w:t>
            </w:r>
          </w:p>
        </w:tc>
        <w:tc>
          <w:tcPr>
            <w:tcW w:w="6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NAME</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蓄滞洪区编码</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CODE</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所在市</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CITY</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所在县（市、区）</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COUNTY</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类型</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TYPE</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所属流域</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BAS</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所属地形地貌</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LANDFORM</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所在乡镇（街道）</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TOWN</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面积</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AREA</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Double</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lang w:val="en-US" w:eastAsia="zh-CN"/>
              </w:rPr>
              <w:t>32</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w:t>
            </w: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&gt;0</w:t>
            </w: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水域容积</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VOL</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Double</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lang w:val="en-US" w:eastAsia="zh-CN"/>
              </w:rPr>
              <w:t>32</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w:t>
            </w: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&gt;0</w:t>
            </w: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REMARK</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sz w:val="22"/>
                <w:szCs w:val="22"/>
                <w:highlight w:val="none"/>
                <w:u w:val="none"/>
                <w:lang w:val="en-US" w:eastAsia="zh-CN"/>
              </w:rPr>
              <w:t>255</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sz w:val="22"/>
                <w:szCs w:val="22"/>
                <w:highlight w:val="none"/>
                <w:lang w:val="en-US" w:eastAsia="zh-CN"/>
              </w:rPr>
              <w:t>O</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与三调差异</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CONTDIFF</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是否属于特殊区域</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SPCL</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1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是否重要水域</w:t>
            </w:r>
          </w:p>
        </w:tc>
        <w:tc>
          <w:tcPr>
            <w:tcW w:w="661"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sz w:val="22"/>
                <w:szCs w:val="22"/>
                <w:highlight w:val="none"/>
              </w:rPr>
              <w:t>IMP</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44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sz w:val="22"/>
                <w:szCs w:val="22"/>
                <w:highlight w:val="none"/>
                <w:u w:val="none"/>
                <w:lang w:eastAsia="zh-CN"/>
              </w:rPr>
              <w:t>5</w:t>
            </w:r>
            <w:r>
              <w:rPr>
                <w:rFonts w:hint="eastAsia" w:ascii="宋体" w:hAnsi="宋体" w:eastAsia="宋体" w:cs="宋体"/>
                <w:i w:val="0"/>
                <w:iCs w:val="0"/>
                <w:color w:val="000000"/>
                <w:sz w:val="22"/>
                <w:szCs w:val="22"/>
                <w:highlight w:val="none"/>
                <w:u w:val="none"/>
                <w:lang w:val="en-US" w:eastAsia="zh-CN"/>
              </w:rPr>
              <w:t>0</w:t>
            </w: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c>
          <w:tcPr>
            <w:tcW w:w="403"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63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spacing w:line="240" w:lineRule="auto"/>
              <w:jc w:val="center"/>
              <w:rPr>
                <w:rFonts w:hint="eastAsia" w:ascii="宋体" w:hAnsi="宋体" w:eastAsia="宋体" w:cs="宋体"/>
                <w:i w:val="0"/>
                <w:iCs w:val="0"/>
                <w:color w:val="000000"/>
                <w:sz w:val="22"/>
                <w:szCs w:val="22"/>
                <w:highlight w:val="none"/>
                <w:u w:val="none"/>
              </w:rPr>
            </w:pPr>
          </w:p>
        </w:tc>
      </w:tr>
    </w:tbl>
    <w:p>
      <w:pPr>
        <w:shd w:val="clear"/>
        <w:spacing w:line="520" w:lineRule="exact"/>
        <w:jc w:val="cente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20</w:t>
      </w:r>
      <w:r>
        <w:rPr>
          <w:rFonts w:hint="eastAsia" w:ascii="宋体" w:hAnsi="宋体" w:eastAsia="宋体" w:cs="宋体"/>
          <w:b/>
          <w:bCs/>
          <w:sz w:val="24"/>
          <w:szCs w:val="24"/>
          <w:highlight w:val="none"/>
        </w:rPr>
        <w:t xml:space="preserve">  洪水淹没区属性结构描述表（HSYMQ）</w:t>
      </w:r>
    </w:p>
    <w:tbl>
      <w:tblPr>
        <w:tblStyle w:val="22"/>
        <w:tblW w:w="5011" w:type="pct"/>
        <w:tblInd w:w="0" w:type="dxa"/>
        <w:tblLayout w:type="autofit"/>
        <w:tblCellMar>
          <w:top w:w="0" w:type="dxa"/>
          <w:left w:w="108" w:type="dxa"/>
          <w:bottom w:w="0" w:type="dxa"/>
          <w:right w:w="108" w:type="dxa"/>
        </w:tblCellMar>
      </w:tblPr>
      <w:tblGrid>
        <w:gridCol w:w="600"/>
        <w:gridCol w:w="1334"/>
        <w:gridCol w:w="1012"/>
        <w:gridCol w:w="1044"/>
        <w:gridCol w:w="947"/>
        <w:gridCol w:w="915"/>
        <w:gridCol w:w="633"/>
        <w:gridCol w:w="917"/>
        <w:gridCol w:w="1566"/>
      </w:tblGrid>
      <w:tr>
        <w:tblPrEx>
          <w:tblCellMar>
            <w:top w:w="0" w:type="dxa"/>
            <w:left w:w="108" w:type="dxa"/>
            <w:bottom w:w="0" w:type="dxa"/>
            <w:right w:w="108" w:type="dxa"/>
          </w:tblCellMar>
        </w:tblPrEx>
        <w:trPr>
          <w:trHeight w:val="622" w:hRule="atLeast"/>
          <w:tblHeader/>
        </w:trPr>
        <w:tc>
          <w:tcPr>
            <w:tcW w:w="33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4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6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8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528"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51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位数</w:t>
            </w:r>
          </w:p>
        </w:tc>
        <w:tc>
          <w:tcPr>
            <w:tcW w:w="353"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511"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条件</w:t>
            </w:r>
          </w:p>
        </w:tc>
        <w:tc>
          <w:tcPr>
            <w:tcW w:w="86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CellMar>
            <w:top w:w="0" w:type="dxa"/>
            <w:left w:w="108" w:type="dxa"/>
            <w:bottom w:w="0" w:type="dxa"/>
            <w:right w:w="108" w:type="dxa"/>
          </w:tblCellMar>
        </w:tblPrEx>
        <w:trPr>
          <w:cantSplit/>
          <w:trHeight w:val="381" w:hRule="atLeast"/>
        </w:trPr>
        <w:tc>
          <w:tcPr>
            <w:tcW w:w="335" w:type="pct"/>
            <w:vMerge w:val="continue"/>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74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6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82"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28"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10"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353"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511"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淹没区名称</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级别</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JB</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CellMar>
            <w:top w:w="0" w:type="dxa"/>
            <w:left w:w="108" w:type="dxa"/>
            <w:bottom w:w="0" w:type="dxa"/>
            <w:right w:w="108" w:type="dxa"/>
          </w:tblCellMar>
        </w:tblPrEx>
        <w:trPr>
          <w:cantSplit/>
          <w:trHeight w:val="381" w:hRule="atLeast"/>
        </w:trPr>
        <w:tc>
          <w:tcPr>
            <w:tcW w:w="335"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74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6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82"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528"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510"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35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5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cantSplit/>
          <w:trHeight w:val="404" w:hRule="atLeast"/>
        </w:trPr>
        <w:tc>
          <w:tcPr>
            <w:tcW w:w="5000" w:type="pct"/>
            <w:gridSpan w:val="9"/>
            <w:tcBorders>
              <w:top w:val="nil"/>
              <w:left w:val="single" w:color="000000" w:sz="8" w:space="0"/>
              <w:bottom w:val="single" w:color="000000" w:sz="8" w:space="0"/>
              <w:right w:val="single" w:color="000000" w:sz="8" w:space="0"/>
            </w:tcBorders>
            <w:noWrap w:val="0"/>
            <w:vAlign w:val="center"/>
          </w:tcPr>
          <w:p>
            <w:pPr>
              <w:shd w:val="clea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备注：级别可分为5年一遇、10年一遇、20年一遇、50年一遇、超50年一遇等。</w:t>
            </w: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（七）风景文化控制线</w:t>
      </w:r>
    </w:p>
    <w:p>
      <w:pPr>
        <w:shd w:val="clear"/>
        <w:spacing w:line="360" w:lineRule="auto"/>
        <w:jc w:val="center"/>
        <w:rPr>
          <w:rFonts w:hint="eastAsia" w:ascii="宋体" w:hAnsi="宋体" w:eastAsia="宋体" w:cs="宋体"/>
          <w:b/>
          <w:bCs/>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21</w:t>
      </w:r>
      <w:r>
        <w:rPr>
          <w:rFonts w:hint="eastAsia" w:ascii="宋体" w:hAnsi="宋体" w:eastAsia="宋体" w:cs="宋体"/>
          <w:b/>
          <w:bCs/>
          <w:sz w:val="24"/>
          <w:szCs w:val="24"/>
          <w:highlight w:val="none"/>
        </w:rPr>
        <w:t xml:space="preserve">  风景名胜区属性结构描述表（</w:t>
      </w:r>
      <w:r>
        <w:rPr>
          <w:rFonts w:hint="eastAsia" w:ascii="宋体" w:hAnsi="宋体" w:eastAsia="宋体" w:cs="宋体"/>
          <w:b/>
          <w:bCs/>
          <w:sz w:val="24"/>
          <w:szCs w:val="24"/>
          <w:highlight w:val="none"/>
          <w:lang w:val="en-US" w:eastAsia="zh-CN"/>
        </w:rPr>
        <w:t>FJMSQ</w:t>
      </w:r>
      <w:r>
        <w:rPr>
          <w:rFonts w:hint="eastAsia" w:ascii="宋体" w:hAnsi="宋体" w:eastAsia="宋体" w:cs="宋体"/>
          <w:b/>
          <w:bCs/>
          <w:sz w:val="24"/>
          <w:szCs w:val="24"/>
          <w:highlight w:val="none"/>
        </w:rPr>
        <w:t>）</w:t>
      </w:r>
    </w:p>
    <w:tbl>
      <w:tblPr>
        <w:tblStyle w:val="22"/>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
        <w:gridCol w:w="992"/>
        <w:gridCol w:w="992"/>
        <w:gridCol w:w="992"/>
        <w:gridCol w:w="992"/>
        <w:gridCol w:w="992"/>
        <w:gridCol w:w="992"/>
        <w:gridCol w:w="1112"/>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6" w:hRule="atLeast"/>
        </w:trPr>
        <w:tc>
          <w:tcPr>
            <w:tcW w:w="55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位数</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2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w:t>
            </w:r>
          </w:p>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条件</w:t>
            </w:r>
          </w:p>
        </w:tc>
        <w:tc>
          <w:tcPr>
            <w:tcW w:w="4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来源</w:t>
            </w:r>
          </w:p>
        </w:tc>
        <w:tc>
          <w:tcPr>
            <w:tcW w:w="5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LY</w:t>
            </w:r>
          </w:p>
        </w:tc>
        <w:tc>
          <w:tcPr>
            <w:tcW w:w="55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p>
        </w:tc>
        <w:tc>
          <w:tcPr>
            <w:tcW w:w="5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6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4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5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MC</w:t>
            </w:r>
          </w:p>
        </w:tc>
        <w:tc>
          <w:tcPr>
            <w:tcW w:w="5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Text</w:t>
            </w:r>
          </w:p>
        </w:tc>
        <w:tc>
          <w:tcPr>
            <w:tcW w:w="5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p>
        </w:tc>
        <w:tc>
          <w:tcPr>
            <w:tcW w:w="5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5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c>
          <w:tcPr>
            <w:tcW w:w="6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z w:val="22"/>
                <w:szCs w:val="22"/>
                <w:highlight w:val="none"/>
              </w:rPr>
              <w:t>M</w:t>
            </w:r>
          </w:p>
        </w:tc>
        <w:tc>
          <w:tcPr>
            <w:tcW w:w="4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shd w:val="clear"/>
              <w:jc w:val="center"/>
              <w:rPr>
                <w:rFonts w:hint="eastAsia" w:ascii="宋体" w:hAnsi="宋体" w:eastAsia="宋体" w:cs="宋体"/>
                <w:i w:val="0"/>
                <w:iCs w:val="0"/>
                <w:color w:val="000000"/>
                <w:sz w:val="22"/>
                <w:szCs w:val="22"/>
                <w:highlight w:val="none"/>
                <w:u w:val="none"/>
              </w:rPr>
            </w:pPr>
          </w:p>
        </w:tc>
      </w:tr>
    </w:tbl>
    <w:p>
      <w:pPr>
        <w:widowControl w:val="0"/>
        <w:numPr>
          <w:ilvl w:val="0"/>
          <w:numId w:val="0"/>
        </w:numPr>
        <w:shd w:val="clear"/>
        <w:spacing w:line="520" w:lineRule="exact"/>
        <w:jc w:val="both"/>
        <w:rPr>
          <w:rFonts w:hint="eastAsia" w:ascii="宋体" w:hAnsi="宋体" w:eastAsia="宋体" w:cs="宋体"/>
          <w:b/>
          <w:bCs/>
          <w:sz w:val="24"/>
          <w:szCs w:val="24"/>
          <w:highlight w:val="none"/>
          <w:lang w:val="en-US" w:eastAsia="zh-CN"/>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22</w:t>
      </w:r>
      <w:r>
        <w:rPr>
          <w:rFonts w:hint="eastAsia" w:ascii="宋体" w:hAnsi="宋体" w:eastAsia="宋体" w:cs="宋体"/>
          <w:b/>
          <w:bCs/>
          <w:sz w:val="24"/>
          <w:szCs w:val="24"/>
          <w:highlight w:val="none"/>
        </w:rPr>
        <w:t xml:space="preserve">  文化遗产控制线属性结构描述表（WHYCKZX）</w:t>
      </w:r>
    </w:p>
    <w:tbl>
      <w:tblPr>
        <w:tblStyle w:val="22"/>
        <w:tblW w:w="5012" w:type="pct"/>
        <w:tblInd w:w="0" w:type="dxa"/>
        <w:tblLayout w:type="fixed"/>
        <w:tblCellMar>
          <w:top w:w="0" w:type="dxa"/>
          <w:left w:w="108" w:type="dxa"/>
          <w:bottom w:w="0" w:type="dxa"/>
          <w:right w:w="108" w:type="dxa"/>
        </w:tblCellMar>
      </w:tblPr>
      <w:tblGrid>
        <w:gridCol w:w="523"/>
        <w:gridCol w:w="1621"/>
        <w:gridCol w:w="1354"/>
        <w:gridCol w:w="1000"/>
        <w:gridCol w:w="841"/>
        <w:gridCol w:w="738"/>
        <w:gridCol w:w="860"/>
        <w:gridCol w:w="730"/>
        <w:gridCol w:w="1301"/>
      </w:tblGrid>
      <w:tr>
        <w:trPr>
          <w:trHeight w:val="548" w:hRule="atLeast"/>
          <w:tblHeader/>
        </w:trPr>
        <w:tc>
          <w:tcPr>
            <w:tcW w:w="291"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03"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75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55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类型</w:t>
            </w:r>
          </w:p>
        </w:tc>
        <w:tc>
          <w:tcPr>
            <w:tcW w:w="46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11"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47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0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725"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CellMar>
            <w:top w:w="0" w:type="dxa"/>
            <w:left w:w="108" w:type="dxa"/>
            <w:bottom w:w="0" w:type="dxa"/>
            <w:right w:w="108" w:type="dxa"/>
          </w:tblCellMar>
        </w:tblPrEx>
        <w:trPr>
          <w:trHeight w:val="343" w:hRule="atLeast"/>
        </w:trPr>
        <w:tc>
          <w:tcPr>
            <w:tcW w:w="291" w:type="pct"/>
            <w:vMerge w:val="continue"/>
            <w:tcBorders>
              <w:top w:val="single" w:color="000000" w:sz="8" w:space="0"/>
              <w:left w:val="single" w:color="000000" w:sz="8" w:space="0"/>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903"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754"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557"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46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411"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479"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406"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c>
          <w:tcPr>
            <w:tcW w:w="725" w:type="pct"/>
            <w:vMerge w:val="continue"/>
            <w:tcBorders>
              <w:top w:val="single" w:color="000000" w:sz="8" w:space="0"/>
              <w:left w:val="nil"/>
              <w:bottom w:val="single" w:color="000000" w:sz="8" w:space="0"/>
              <w:right w:val="single" w:color="000000" w:sz="8" w:space="0"/>
            </w:tcBorders>
            <w:noWrap w:val="0"/>
            <w:vAlign w:val="center"/>
          </w:tcPr>
          <w:p>
            <w:pPr>
              <w:shd w:val="clear"/>
              <w:spacing w:line="240" w:lineRule="auto"/>
              <w:jc w:val="center"/>
              <w:rPr>
                <w:rFonts w:hint="eastAsia" w:ascii="宋体" w:hAnsi="宋体" w:eastAsia="宋体" w:cs="宋体"/>
                <w:b/>
                <w:bCs/>
                <w:sz w:val="22"/>
                <w:szCs w:val="22"/>
                <w:highlight w:val="none"/>
              </w:rPr>
            </w:pPr>
          </w:p>
        </w:tc>
      </w:tr>
      <w:tr>
        <w:tblPrEx>
          <w:tblCellMar>
            <w:top w:w="0" w:type="dxa"/>
            <w:left w:w="108" w:type="dxa"/>
            <w:bottom w:w="0" w:type="dxa"/>
            <w:right w:w="108" w:type="dxa"/>
          </w:tblCellMar>
        </w:tblPrEx>
        <w:trPr>
          <w:trHeight w:val="343" w:hRule="atLeast"/>
        </w:trPr>
        <w:tc>
          <w:tcPr>
            <w:tcW w:w="291"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90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75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5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0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2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3" w:hRule="atLeast"/>
        </w:trPr>
        <w:tc>
          <w:tcPr>
            <w:tcW w:w="291"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90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75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5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0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2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3" w:hRule="atLeast"/>
        </w:trPr>
        <w:tc>
          <w:tcPr>
            <w:tcW w:w="291"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90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75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5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0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2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343" w:hRule="atLeast"/>
        </w:trPr>
        <w:tc>
          <w:tcPr>
            <w:tcW w:w="291"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90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文化遗产名称</w:t>
            </w:r>
          </w:p>
        </w:tc>
        <w:tc>
          <w:tcPr>
            <w:tcW w:w="75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5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0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72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648" w:hRule="atLeast"/>
        </w:trPr>
        <w:tc>
          <w:tcPr>
            <w:tcW w:w="29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903"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类别</w:t>
            </w:r>
          </w:p>
        </w:tc>
        <w:tc>
          <w:tcPr>
            <w:tcW w:w="754"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LB</w:t>
            </w:r>
          </w:p>
        </w:tc>
        <w:tc>
          <w:tcPr>
            <w:tcW w:w="557"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69"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p>
        </w:tc>
        <w:tc>
          <w:tcPr>
            <w:tcW w:w="479"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p>
        </w:tc>
        <w:tc>
          <w:tcPr>
            <w:tcW w:w="406"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25"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文化遗产类别</w:t>
            </w:r>
          </w:p>
        </w:tc>
      </w:tr>
      <w:tr>
        <w:tblPrEx>
          <w:tblCellMar>
            <w:top w:w="0" w:type="dxa"/>
            <w:left w:w="108" w:type="dxa"/>
            <w:bottom w:w="0" w:type="dxa"/>
            <w:right w:w="108" w:type="dxa"/>
          </w:tblCellMar>
        </w:tblPrEx>
        <w:trPr>
          <w:trHeight w:val="648" w:hRule="atLeast"/>
        </w:trPr>
        <w:tc>
          <w:tcPr>
            <w:tcW w:w="29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903"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级别</w:t>
            </w:r>
          </w:p>
        </w:tc>
        <w:tc>
          <w:tcPr>
            <w:tcW w:w="754"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w:t>
            </w:r>
          </w:p>
        </w:tc>
        <w:tc>
          <w:tcPr>
            <w:tcW w:w="557"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Text</w:t>
            </w:r>
          </w:p>
        </w:tc>
        <w:tc>
          <w:tcPr>
            <w:tcW w:w="469"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p>
        </w:tc>
        <w:tc>
          <w:tcPr>
            <w:tcW w:w="479"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p>
        </w:tc>
        <w:tc>
          <w:tcPr>
            <w:tcW w:w="406"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25"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文物保护单位级别</w:t>
            </w:r>
          </w:p>
        </w:tc>
      </w:tr>
      <w:tr>
        <w:tblPrEx>
          <w:tblCellMar>
            <w:top w:w="0" w:type="dxa"/>
            <w:left w:w="108" w:type="dxa"/>
            <w:bottom w:w="0" w:type="dxa"/>
            <w:right w:w="108" w:type="dxa"/>
          </w:tblCellMar>
        </w:tblPrEx>
        <w:trPr>
          <w:trHeight w:val="343" w:hRule="atLeast"/>
        </w:trPr>
        <w:tc>
          <w:tcPr>
            <w:tcW w:w="29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903"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面积</w:t>
            </w:r>
          </w:p>
        </w:tc>
        <w:tc>
          <w:tcPr>
            <w:tcW w:w="754"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MJ</w:t>
            </w:r>
          </w:p>
        </w:tc>
        <w:tc>
          <w:tcPr>
            <w:tcW w:w="557"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Double</w:t>
            </w:r>
          </w:p>
        </w:tc>
        <w:tc>
          <w:tcPr>
            <w:tcW w:w="469"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w:t>
            </w:r>
          </w:p>
        </w:tc>
        <w:tc>
          <w:tcPr>
            <w:tcW w:w="411"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79"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p>
        </w:tc>
        <w:tc>
          <w:tcPr>
            <w:tcW w:w="406"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25" w:type="pct"/>
            <w:tcBorders>
              <w:top w:val="nil"/>
              <w:left w:val="nil"/>
              <w:bottom w:val="single" w:color="000000" w:sz="8" w:space="0"/>
              <w:right w:val="single" w:color="000000" w:sz="8" w:space="0"/>
            </w:tcBorders>
            <w:noWrap/>
            <w:vAlign w:val="center"/>
          </w:tcPr>
          <w:p>
            <w:pPr>
              <w:keepNext w:val="0"/>
              <w:keepLines w:val="0"/>
              <w:widowControl/>
              <w:suppressLineNumbers w:val="0"/>
              <w:shd w:val="clear"/>
              <w:spacing w:line="240" w:lineRule="auto"/>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单位：m²</w:t>
            </w:r>
          </w:p>
        </w:tc>
      </w:tr>
      <w:tr>
        <w:tblPrEx>
          <w:tblCellMar>
            <w:top w:w="0" w:type="dxa"/>
            <w:left w:w="108" w:type="dxa"/>
            <w:bottom w:w="0" w:type="dxa"/>
            <w:right w:w="108" w:type="dxa"/>
          </w:tblCellMar>
        </w:tblPrEx>
        <w:trPr>
          <w:trHeight w:val="343" w:hRule="atLeast"/>
        </w:trPr>
        <w:tc>
          <w:tcPr>
            <w:tcW w:w="291" w:type="pct"/>
            <w:tcBorders>
              <w:top w:val="nil"/>
              <w:left w:val="single" w:color="000000" w:sz="8" w:space="0"/>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903"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754"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57"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6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11"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79"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c>
          <w:tcPr>
            <w:tcW w:w="406"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725" w:type="pct"/>
            <w:tcBorders>
              <w:top w:val="nil"/>
              <w:left w:val="nil"/>
              <w:bottom w:val="single" w:color="000000" w:sz="8" w:space="0"/>
              <w:right w:val="single" w:color="000000" w:sz="8" w:space="0"/>
            </w:tcBorders>
            <w:noWrap/>
            <w:vAlign w:val="center"/>
          </w:tcPr>
          <w:p>
            <w:pPr>
              <w:shd w:val="clear"/>
              <w:spacing w:line="240" w:lineRule="auto"/>
              <w:jc w:val="center"/>
              <w:rPr>
                <w:rFonts w:hint="eastAsia" w:ascii="宋体" w:hAnsi="宋体" w:eastAsia="宋体" w:cs="宋体"/>
                <w:sz w:val="22"/>
                <w:szCs w:val="22"/>
                <w:highlight w:val="none"/>
              </w:rPr>
            </w:pPr>
          </w:p>
        </w:tc>
      </w:tr>
      <w:tr>
        <w:tblPrEx>
          <w:tblCellMar>
            <w:top w:w="0" w:type="dxa"/>
            <w:left w:w="108" w:type="dxa"/>
            <w:bottom w:w="0" w:type="dxa"/>
            <w:right w:w="108" w:type="dxa"/>
          </w:tblCellMar>
        </w:tblPrEx>
        <w:trPr>
          <w:trHeight w:val="685" w:hRule="atLeast"/>
        </w:trPr>
        <w:tc>
          <w:tcPr>
            <w:tcW w:w="5000" w:type="pct"/>
            <w:gridSpan w:val="9"/>
            <w:tcBorders>
              <w:top w:val="nil"/>
              <w:left w:val="single" w:color="000000" w:sz="8" w:space="0"/>
              <w:bottom w:val="single" w:color="000000" w:sz="8" w:space="0"/>
              <w:right w:val="single" w:color="000000" w:sz="8" w:space="0"/>
            </w:tcBorders>
            <w:noWrap w:val="0"/>
            <w:vAlign w:val="center"/>
          </w:tcPr>
          <w:p>
            <w:pPr>
              <w:shd w:val="clea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备注：历史文化遗产类别和文物保护单位级别参考代码表1和代码表2，引用自《市级国土空间总体规划数据库规范（试行）》</w:t>
            </w:r>
          </w:p>
        </w:tc>
      </w:tr>
    </w:tbl>
    <w:p>
      <w:pPr>
        <w:shd w:val="clear"/>
        <w:spacing w:line="520" w:lineRule="exact"/>
        <w:jc w:val="center"/>
        <w:rPr>
          <w:rFonts w:hint="eastAsia" w:ascii="宋体" w:hAnsi="宋体" w:eastAsia="宋体" w:cs="宋体"/>
          <w:sz w:val="24"/>
          <w:szCs w:val="24"/>
          <w:highlight w:val="none"/>
        </w:rPr>
      </w:pPr>
    </w:p>
    <w:p>
      <w:pPr>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代码表1 历史文化资源类别代码表</w:t>
      </w:r>
    </w:p>
    <w:tbl>
      <w:tblPr>
        <w:tblStyle w:val="22"/>
        <w:tblW w:w="5025"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90"/>
        <w:gridCol w:w="7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trPr>
        <w:tc>
          <w:tcPr>
            <w:tcW w:w="884" w:type="pct"/>
            <w:tcBorders>
              <w:tl2br w:val="nil"/>
              <w:tr2bl w:val="nil"/>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代码</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历史文化资源类别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世界遗产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文化遗产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自然遗产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文化与自然双重遗产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自然文化景观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国家文化公园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文化生态保护区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历史文化名城名镇名村街区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41</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历史文化名城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42</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历史文化名镇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43</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历史文化名村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44</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历史城区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45</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历史文化街区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历史建筑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文物保护单位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61</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古文化遗址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62</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古墓葬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63</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古建筑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64</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石窟及石刻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65</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近现代重要史迹及代表性建筑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66</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革命文物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69</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传统村落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非物质文化遗产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90</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91</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未定级不可移动文物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92</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地下文物埋藏区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93</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水下文物保护区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94</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风貌保护区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7" w:hRule="atLeast"/>
        </w:trPr>
        <w:tc>
          <w:tcPr>
            <w:tcW w:w="88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95</w:t>
            </w:r>
          </w:p>
        </w:tc>
        <w:tc>
          <w:tcPr>
            <w:tcW w:w="411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工业遗产</w:t>
            </w:r>
          </w:p>
        </w:tc>
      </w:tr>
    </w:tbl>
    <w:p>
      <w:pPr>
        <w:shd w:val="clear"/>
        <w:spacing w:line="520" w:lineRule="exact"/>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代码表2 文物保护单位级别代码表</w:t>
      </w:r>
    </w:p>
    <w:tbl>
      <w:tblPr>
        <w:tblStyle w:val="22"/>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798"/>
        <w:gridCol w:w="71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05"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代码</w:t>
            </w:r>
          </w:p>
        </w:tc>
        <w:tc>
          <w:tcPr>
            <w:tcW w:w="3994"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级别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0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994"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全国重点文物保护单位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0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994"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省级文物保护单位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0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c>
          <w:tcPr>
            <w:tcW w:w="3994"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市（县）级文物保护单位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00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40</w:t>
            </w:r>
          </w:p>
        </w:tc>
        <w:tc>
          <w:tcPr>
            <w:tcW w:w="3994" w:type="pct"/>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一般不可移动文物点</w:t>
            </w: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（八）城市重要控制线</w:t>
      </w: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23</w:t>
      </w:r>
      <w:r>
        <w:rPr>
          <w:rFonts w:hint="eastAsia" w:ascii="宋体" w:hAnsi="宋体" w:eastAsia="宋体" w:cs="宋体"/>
          <w:b/>
          <w:bCs/>
          <w:sz w:val="24"/>
          <w:szCs w:val="24"/>
          <w:highlight w:val="none"/>
        </w:rPr>
        <w:t xml:space="preserve">  城市</w:t>
      </w:r>
      <w:r>
        <w:rPr>
          <w:rFonts w:hint="eastAsia" w:ascii="宋体" w:hAnsi="宋体" w:eastAsia="宋体" w:cs="宋体"/>
          <w:b/>
          <w:bCs/>
          <w:sz w:val="24"/>
          <w:szCs w:val="24"/>
          <w:highlight w:val="none"/>
          <w:lang w:val="en-US" w:eastAsia="zh-CN"/>
        </w:rPr>
        <w:t>红</w:t>
      </w:r>
      <w:r>
        <w:rPr>
          <w:rFonts w:hint="eastAsia" w:ascii="宋体" w:hAnsi="宋体" w:eastAsia="宋体" w:cs="宋体"/>
          <w:b/>
          <w:bCs/>
          <w:sz w:val="24"/>
          <w:szCs w:val="24"/>
          <w:highlight w:val="none"/>
        </w:rPr>
        <w:t>线属性结构描述表（</w:t>
      </w:r>
      <w:r>
        <w:rPr>
          <w:rFonts w:hint="eastAsia" w:ascii="宋体" w:hAnsi="宋体" w:eastAsia="宋体" w:cs="宋体"/>
          <w:b/>
          <w:bCs/>
          <w:sz w:val="24"/>
          <w:szCs w:val="24"/>
          <w:highlight w:val="none"/>
          <w:lang w:val="en-US" w:eastAsia="zh-CN"/>
        </w:rPr>
        <w:t>DLH</w:t>
      </w:r>
      <w:r>
        <w:rPr>
          <w:rFonts w:hint="eastAsia" w:ascii="宋体" w:hAnsi="宋体" w:eastAsia="宋体" w:cs="宋体"/>
          <w:b/>
          <w:bCs/>
          <w:sz w:val="24"/>
          <w:szCs w:val="24"/>
          <w:highlight w:val="none"/>
        </w:rPr>
        <w:t>X）</w:t>
      </w:r>
    </w:p>
    <w:tbl>
      <w:tblPr>
        <w:tblStyle w:val="22"/>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59"/>
        <w:gridCol w:w="870"/>
        <w:gridCol w:w="735"/>
        <w:gridCol w:w="809"/>
        <w:gridCol w:w="709"/>
        <w:gridCol w:w="1042"/>
        <w:gridCol w:w="6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8"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35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870"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73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80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70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4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5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276"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top"/>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道路名称</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DLMC</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控制要求</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KZYQ</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红线宽度等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4"/>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87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8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bl>
    <w:p>
      <w:pPr>
        <w:shd w:val="clea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24</w:t>
      </w:r>
      <w:r>
        <w:rPr>
          <w:rFonts w:hint="eastAsia" w:ascii="宋体" w:hAnsi="宋体" w:eastAsia="宋体" w:cs="宋体"/>
          <w:b/>
          <w:bCs/>
          <w:sz w:val="24"/>
          <w:szCs w:val="24"/>
          <w:highlight w:val="none"/>
        </w:rPr>
        <w:t xml:space="preserve">  城市</w:t>
      </w:r>
      <w:r>
        <w:rPr>
          <w:rFonts w:hint="eastAsia" w:ascii="宋体" w:hAnsi="宋体" w:eastAsia="宋体" w:cs="宋体"/>
          <w:b/>
          <w:bCs/>
          <w:sz w:val="24"/>
          <w:szCs w:val="24"/>
          <w:highlight w:val="none"/>
          <w:lang w:val="en-US" w:eastAsia="zh-CN"/>
        </w:rPr>
        <w:t>蓝</w:t>
      </w:r>
      <w:r>
        <w:rPr>
          <w:rFonts w:hint="eastAsia" w:ascii="宋体" w:hAnsi="宋体" w:eastAsia="宋体" w:cs="宋体"/>
          <w:b/>
          <w:bCs/>
          <w:sz w:val="24"/>
          <w:szCs w:val="24"/>
          <w:highlight w:val="none"/>
        </w:rPr>
        <w:t>线属性结构描述表（CS</w:t>
      </w:r>
      <w:r>
        <w:rPr>
          <w:rFonts w:hint="eastAsia" w:ascii="宋体" w:hAnsi="宋体" w:eastAsia="宋体" w:cs="宋体"/>
          <w:b/>
          <w:bCs/>
          <w:sz w:val="24"/>
          <w:szCs w:val="24"/>
          <w:highlight w:val="none"/>
          <w:lang w:val="en-US" w:eastAsia="zh-CN"/>
        </w:rPr>
        <w:t>L</w:t>
      </w:r>
      <w:r>
        <w:rPr>
          <w:rFonts w:hint="eastAsia" w:ascii="宋体" w:hAnsi="宋体" w:eastAsia="宋体" w:cs="宋体"/>
          <w:b/>
          <w:bCs/>
          <w:sz w:val="24"/>
          <w:szCs w:val="24"/>
          <w:highlight w:val="none"/>
        </w:rPr>
        <w:t>X）</w:t>
      </w:r>
    </w:p>
    <w:tbl>
      <w:tblPr>
        <w:tblStyle w:val="22"/>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335"/>
        <w:gridCol w:w="863"/>
        <w:gridCol w:w="709"/>
        <w:gridCol w:w="992"/>
        <w:gridCol w:w="709"/>
        <w:gridCol w:w="1042"/>
        <w:gridCol w:w="6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3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33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863"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70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99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70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4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5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276"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top"/>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名称</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MC</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控制要求</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KZYQ</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河口宽度、蓝线控制宽度等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5"/>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bl>
    <w:p>
      <w:pPr>
        <w:shd w:val="clea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25</w:t>
      </w:r>
      <w:r>
        <w:rPr>
          <w:rFonts w:hint="eastAsia" w:ascii="宋体" w:hAnsi="宋体" w:eastAsia="宋体" w:cs="宋体"/>
          <w:b/>
          <w:bCs/>
          <w:sz w:val="24"/>
          <w:szCs w:val="24"/>
          <w:highlight w:val="none"/>
        </w:rPr>
        <w:t xml:space="preserve">  城市</w:t>
      </w:r>
      <w:r>
        <w:rPr>
          <w:rFonts w:hint="eastAsia" w:ascii="宋体" w:hAnsi="宋体" w:eastAsia="宋体" w:cs="宋体"/>
          <w:b/>
          <w:bCs/>
          <w:sz w:val="24"/>
          <w:szCs w:val="24"/>
          <w:highlight w:val="none"/>
          <w:lang w:val="en-US" w:eastAsia="zh-CN"/>
        </w:rPr>
        <w:t>绿</w:t>
      </w:r>
      <w:r>
        <w:rPr>
          <w:rFonts w:hint="eastAsia" w:ascii="宋体" w:hAnsi="宋体" w:eastAsia="宋体" w:cs="宋体"/>
          <w:b/>
          <w:bCs/>
          <w:sz w:val="24"/>
          <w:szCs w:val="24"/>
          <w:highlight w:val="none"/>
        </w:rPr>
        <w:t>线属性结构描述表（CS</w:t>
      </w:r>
      <w:r>
        <w:rPr>
          <w:rFonts w:hint="eastAsia" w:ascii="宋体" w:hAnsi="宋体" w:eastAsia="宋体" w:cs="宋体"/>
          <w:b/>
          <w:bCs/>
          <w:sz w:val="24"/>
          <w:szCs w:val="24"/>
          <w:highlight w:val="none"/>
          <w:lang w:val="en-US" w:eastAsia="zh-CN"/>
        </w:rPr>
        <w:t>LV</w:t>
      </w:r>
      <w:r>
        <w:rPr>
          <w:rFonts w:hint="eastAsia" w:ascii="宋体" w:hAnsi="宋体" w:eastAsia="宋体" w:cs="宋体"/>
          <w:b/>
          <w:bCs/>
          <w:sz w:val="24"/>
          <w:szCs w:val="24"/>
          <w:highlight w:val="none"/>
        </w:rPr>
        <w:t>X）</w:t>
      </w:r>
    </w:p>
    <w:tbl>
      <w:tblPr>
        <w:tblStyle w:val="22"/>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335"/>
        <w:gridCol w:w="863"/>
        <w:gridCol w:w="709"/>
        <w:gridCol w:w="992"/>
        <w:gridCol w:w="709"/>
        <w:gridCol w:w="1042"/>
        <w:gridCol w:w="6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3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33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863"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70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99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70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4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5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276"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top"/>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名称</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MC</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控制要求</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KZYQ</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绿地面积或宽度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noWrap w:val="0"/>
            <w:vAlign w:val="center"/>
          </w:tcPr>
          <w:p>
            <w:pPr>
              <w:pStyle w:val="47"/>
              <w:numPr>
                <w:ilvl w:val="0"/>
                <w:numId w:val="16"/>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86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bl>
    <w:p>
      <w:pPr>
        <w:shd w:val="clea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26</w:t>
      </w:r>
      <w:r>
        <w:rPr>
          <w:rFonts w:hint="eastAsia" w:ascii="宋体" w:hAnsi="宋体" w:eastAsia="宋体" w:cs="宋体"/>
          <w:b/>
          <w:bCs/>
          <w:sz w:val="24"/>
          <w:szCs w:val="24"/>
          <w:highlight w:val="none"/>
        </w:rPr>
        <w:t xml:space="preserve">  城市</w:t>
      </w:r>
      <w:r>
        <w:rPr>
          <w:rFonts w:hint="eastAsia" w:ascii="宋体" w:hAnsi="宋体" w:eastAsia="宋体" w:cs="宋体"/>
          <w:b/>
          <w:bCs/>
          <w:sz w:val="24"/>
          <w:szCs w:val="24"/>
          <w:highlight w:val="none"/>
          <w:lang w:val="en-US" w:eastAsia="zh-CN"/>
        </w:rPr>
        <w:t>紫</w:t>
      </w:r>
      <w:r>
        <w:rPr>
          <w:rFonts w:hint="eastAsia" w:ascii="宋体" w:hAnsi="宋体" w:eastAsia="宋体" w:cs="宋体"/>
          <w:b/>
          <w:bCs/>
          <w:sz w:val="24"/>
          <w:szCs w:val="24"/>
          <w:highlight w:val="none"/>
        </w:rPr>
        <w:t>线属性结构描述表（CSZX）</w:t>
      </w:r>
    </w:p>
    <w:tbl>
      <w:tblPr>
        <w:tblStyle w:val="22"/>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218"/>
        <w:gridCol w:w="854"/>
        <w:gridCol w:w="709"/>
        <w:gridCol w:w="992"/>
        <w:gridCol w:w="709"/>
        <w:gridCol w:w="1042"/>
        <w:gridCol w:w="6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8"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218"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854"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70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99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70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4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5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276"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top"/>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保护对象名称</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BHDXMC</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保护对象类型</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BHDXLX</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见代码表1</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保护级别</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BHJB</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见代码表4</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保护线类型</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BHXLX</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见代码表5</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0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noWrap w:val="0"/>
            <w:vAlign w:val="center"/>
          </w:tcPr>
          <w:p>
            <w:pPr>
              <w:pStyle w:val="47"/>
              <w:numPr>
                <w:ilvl w:val="0"/>
                <w:numId w:val="17"/>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21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85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0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5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27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bl>
    <w:p>
      <w:pPr>
        <w:shd w:val="clear"/>
        <w:rPr>
          <w:rFonts w:hint="eastAsia" w:ascii="宋体" w:hAnsi="宋体" w:eastAsia="宋体" w:cs="宋体"/>
          <w:sz w:val="24"/>
          <w:szCs w:val="24"/>
          <w:highlight w:val="none"/>
        </w:rPr>
      </w:pPr>
    </w:p>
    <w:p>
      <w:pPr>
        <w:shd w:val="clear"/>
        <w:spacing w:before="156" w:line="360" w:lineRule="auto"/>
        <w:ind w:left="630" w:hanging="723" w:hangingChars="3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27</w:t>
      </w:r>
      <w:r>
        <w:rPr>
          <w:rFonts w:hint="eastAsia" w:ascii="宋体" w:hAnsi="宋体" w:eastAsia="宋体" w:cs="宋体"/>
          <w:b/>
          <w:bCs/>
          <w:sz w:val="24"/>
          <w:szCs w:val="24"/>
          <w:highlight w:val="none"/>
        </w:rPr>
        <w:t xml:space="preserve">  城市</w:t>
      </w:r>
      <w:r>
        <w:rPr>
          <w:rFonts w:hint="eastAsia" w:ascii="宋体" w:hAnsi="宋体" w:eastAsia="宋体" w:cs="宋体"/>
          <w:b/>
          <w:bCs/>
          <w:sz w:val="24"/>
          <w:szCs w:val="24"/>
          <w:highlight w:val="none"/>
          <w:lang w:val="en-US" w:eastAsia="zh-CN"/>
        </w:rPr>
        <w:t>黄</w:t>
      </w:r>
      <w:r>
        <w:rPr>
          <w:rFonts w:hint="eastAsia" w:ascii="宋体" w:hAnsi="宋体" w:eastAsia="宋体" w:cs="宋体"/>
          <w:b/>
          <w:bCs/>
          <w:sz w:val="24"/>
          <w:szCs w:val="24"/>
          <w:highlight w:val="none"/>
        </w:rPr>
        <w:t>线属性结构描述表（CS</w:t>
      </w:r>
      <w:r>
        <w:rPr>
          <w:rFonts w:hint="eastAsia" w:ascii="宋体" w:hAnsi="宋体" w:eastAsia="宋体" w:cs="宋体"/>
          <w:b/>
          <w:bCs/>
          <w:sz w:val="24"/>
          <w:szCs w:val="24"/>
          <w:highlight w:val="none"/>
          <w:lang w:val="en-US" w:eastAsia="zh-CN"/>
        </w:rPr>
        <w:t>H</w:t>
      </w:r>
      <w:r>
        <w:rPr>
          <w:rFonts w:hint="eastAsia" w:ascii="宋体" w:hAnsi="宋体" w:eastAsia="宋体" w:cs="宋体"/>
          <w:b/>
          <w:bCs/>
          <w:sz w:val="24"/>
          <w:szCs w:val="24"/>
          <w:highlight w:val="none"/>
        </w:rPr>
        <w:t>X）</w:t>
      </w:r>
    </w:p>
    <w:tbl>
      <w:tblPr>
        <w:tblStyle w:val="22"/>
        <w:tblW w:w="8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1372"/>
        <w:gridCol w:w="843"/>
        <w:gridCol w:w="712"/>
        <w:gridCol w:w="997"/>
        <w:gridCol w:w="712"/>
        <w:gridCol w:w="1047"/>
        <w:gridCol w:w="662"/>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blHeader/>
          <w:jc w:val="center"/>
        </w:trPr>
        <w:tc>
          <w:tcPr>
            <w:tcW w:w="62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37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843"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71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997"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712"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47"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62"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282"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29" w:type="dxa"/>
            <w:noWrap w:val="0"/>
            <w:vAlign w:val="top"/>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名称</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MC</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控制要求</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KZYQ</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防护或控制距离、设施面积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12"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629" w:type="dxa"/>
            <w:noWrap w:val="0"/>
            <w:vAlign w:val="center"/>
          </w:tcPr>
          <w:p>
            <w:pPr>
              <w:pStyle w:val="47"/>
              <w:numPr>
                <w:ilvl w:val="0"/>
                <w:numId w:val="18"/>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37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84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99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1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4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282"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bl>
    <w:p>
      <w:pPr>
        <w:shd w:val="clea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28</w:t>
      </w:r>
      <w:r>
        <w:rPr>
          <w:rFonts w:hint="eastAsia" w:ascii="宋体" w:hAnsi="宋体" w:eastAsia="宋体" w:cs="宋体"/>
          <w:b/>
          <w:bCs/>
          <w:sz w:val="24"/>
          <w:szCs w:val="24"/>
          <w:highlight w:val="none"/>
        </w:rPr>
        <w:t xml:space="preserve">  城市</w:t>
      </w:r>
      <w:r>
        <w:rPr>
          <w:rFonts w:hint="eastAsia" w:ascii="宋体" w:hAnsi="宋体" w:eastAsia="宋体" w:cs="宋体"/>
          <w:b/>
          <w:bCs/>
          <w:sz w:val="24"/>
          <w:szCs w:val="24"/>
          <w:highlight w:val="none"/>
          <w:lang w:val="en-US" w:eastAsia="zh-CN"/>
        </w:rPr>
        <w:t>橙</w:t>
      </w:r>
      <w:r>
        <w:rPr>
          <w:rFonts w:hint="eastAsia" w:ascii="宋体" w:hAnsi="宋体" w:eastAsia="宋体" w:cs="宋体"/>
          <w:b/>
          <w:bCs/>
          <w:sz w:val="24"/>
          <w:szCs w:val="24"/>
          <w:highlight w:val="none"/>
        </w:rPr>
        <w:t>线属性结构描述表（CS</w:t>
      </w:r>
      <w:r>
        <w:rPr>
          <w:rFonts w:hint="eastAsia" w:ascii="宋体" w:hAnsi="宋体" w:eastAsia="宋体" w:cs="宋体"/>
          <w:b/>
          <w:bCs/>
          <w:sz w:val="24"/>
          <w:szCs w:val="24"/>
          <w:highlight w:val="none"/>
          <w:lang w:val="en-US" w:eastAsia="zh-CN"/>
        </w:rPr>
        <w:t>C</w:t>
      </w:r>
      <w:r>
        <w:rPr>
          <w:rFonts w:hint="eastAsia" w:ascii="宋体" w:hAnsi="宋体" w:eastAsia="宋体" w:cs="宋体"/>
          <w:b/>
          <w:bCs/>
          <w:sz w:val="24"/>
          <w:szCs w:val="24"/>
          <w:highlight w:val="none"/>
        </w:rPr>
        <w:t>X）</w:t>
      </w:r>
    </w:p>
    <w:tbl>
      <w:tblPr>
        <w:tblStyle w:val="22"/>
        <w:tblW w:w="8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410"/>
        <w:gridCol w:w="789"/>
        <w:gridCol w:w="724"/>
        <w:gridCol w:w="1015"/>
        <w:gridCol w:w="724"/>
        <w:gridCol w:w="1065"/>
        <w:gridCol w:w="673"/>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blHeader/>
          <w:jc w:val="center"/>
        </w:trPr>
        <w:tc>
          <w:tcPr>
            <w:tcW w:w="691"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410"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78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724"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101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724"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6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73"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304"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691" w:type="dxa"/>
            <w:noWrap w:val="0"/>
            <w:vAlign w:val="top"/>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名称</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MC</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控制要求</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KZYQ</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防护或控制距离、设施面积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24"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691" w:type="dxa"/>
            <w:noWrap w:val="0"/>
            <w:vAlign w:val="center"/>
          </w:tcPr>
          <w:p>
            <w:pPr>
              <w:pStyle w:val="47"/>
              <w:numPr>
                <w:ilvl w:val="0"/>
                <w:numId w:val="19"/>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410"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78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1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2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6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73"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304"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bl>
    <w:p>
      <w:pPr>
        <w:shd w:val="clear"/>
        <w:rPr>
          <w:rFonts w:hint="eastAsia" w:ascii="宋体" w:hAnsi="宋体" w:eastAsia="宋体" w:cs="宋体"/>
          <w:sz w:val="24"/>
          <w:szCs w:val="24"/>
          <w:highlight w:val="none"/>
        </w:rPr>
      </w:pPr>
    </w:p>
    <w:p>
      <w:pPr>
        <w:shd w:val="clear"/>
        <w:spacing w:line="52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29</w:t>
      </w:r>
      <w:r>
        <w:rPr>
          <w:rFonts w:hint="eastAsia" w:ascii="宋体" w:hAnsi="宋体" w:eastAsia="宋体" w:cs="宋体"/>
          <w:b/>
          <w:bCs/>
          <w:sz w:val="24"/>
          <w:szCs w:val="24"/>
          <w:highlight w:val="none"/>
        </w:rPr>
        <w:t xml:space="preserve">  城市棕线属性结构描述表（CSZ</w:t>
      </w:r>
      <w:r>
        <w:rPr>
          <w:rFonts w:hint="eastAsia" w:ascii="宋体" w:hAnsi="宋体" w:eastAsia="宋体" w:cs="宋体"/>
          <w:b/>
          <w:bCs/>
          <w:sz w:val="24"/>
          <w:szCs w:val="24"/>
          <w:highlight w:val="none"/>
          <w:lang w:val="en-US" w:eastAsia="zh-CN"/>
        </w:rPr>
        <w:t>O</w:t>
      </w:r>
      <w:r>
        <w:rPr>
          <w:rFonts w:hint="eastAsia" w:ascii="宋体" w:hAnsi="宋体" w:eastAsia="宋体" w:cs="宋体"/>
          <w:b/>
          <w:bCs/>
          <w:sz w:val="24"/>
          <w:szCs w:val="24"/>
          <w:highlight w:val="none"/>
        </w:rPr>
        <w:t>X）</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p>
    <w:tbl>
      <w:tblPr>
        <w:tblStyle w:val="22"/>
        <w:tblW w:w="8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135"/>
        <w:gridCol w:w="967"/>
        <w:gridCol w:w="719"/>
        <w:gridCol w:w="1006"/>
        <w:gridCol w:w="719"/>
        <w:gridCol w:w="1057"/>
        <w:gridCol w:w="668"/>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blHeader/>
          <w:jc w:val="center"/>
        </w:trPr>
        <w:tc>
          <w:tcPr>
            <w:tcW w:w="76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3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967"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代码</w:t>
            </w:r>
          </w:p>
        </w:tc>
        <w:tc>
          <w:tcPr>
            <w:tcW w:w="719"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1006"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w:t>
            </w:r>
          </w:p>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长度</w:t>
            </w:r>
          </w:p>
        </w:tc>
        <w:tc>
          <w:tcPr>
            <w:tcW w:w="719"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1057"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668" w:type="dxa"/>
            <w:noWrap w:val="0"/>
            <w:vAlign w:val="top"/>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1295" w:type="dxa"/>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标识码</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BSM</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18</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要素代码</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YSDM</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769" w:type="dxa"/>
            <w:noWrap w:val="0"/>
            <w:vAlign w:val="top"/>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行政区代码</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XZQDM</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行政区名称</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XZQMC</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名称</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MC</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100</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规模</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GM</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控制要求</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KZYQ</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一级控制线、二级控制线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控制类型</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KZLX</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w:t>
            </w:r>
          </w:p>
        </w:tc>
        <w:tc>
          <w:tcPr>
            <w:tcW w:w="719"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top"/>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见代码表3</w:t>
            </w: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M</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69" w:type="dxa"/>
            <w:noWrap w:val="0"/>
            <w:vAlign w:val="center"/>
          </w:tcPr>
          <w:p>
            <w:pPr>
              <w:pStyle w:val="47"/>
              <w:numPr>
                <w:ilvl w:val="0"/>
                <w:numId w:val="20"/>
              </w:numPr>
              <w:shd w:val="clear"/>
              <w:spacing w:line="240" w:lineRule="auto"/>
              <w:ind w:firstLineChars="0"/>
              <w:jc w:val="both"/>
              <w:rPr>
                <w:rFonts w:hint="eastAsia" w:ascii="宋体" w:hAnsi="宋体" w:eastAsia="宋体" w:cs="宋体"/>
                <w:kern w:val="2"/>
                <w:sz w:val="22"/>
                <w:szCs w:val="22"/>
                <w:highlight w:val="none"/>
                <w:lang w:val="en-US" w:eastAsia="zh-CN" w:bidi="ar-SA"/>
              </w:rPr>
            </w:pPr>
          </w:p>
        </w:tc>
        <w:tc>
          <w:tcPr>
            <w:tcW w:w="113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备注</w:t>
            </w:r>
          </w:p>
        </w:tc>
        <w:tc>
          <w:tcPr>
            <w:tcW w:w="96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BZ</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Text</w:t>
            </w:r>
          </w:p>
        </w:tc>
        <w:tc>
          <w:tcPr>
            <w:tcW w:w="1006"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255</w:t>
            </w:r>
          </w:p>
        </w:tc>
        <w:tc>
          <w:tcPr>
            <w:tcW w:w="719"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1057"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c>
          <w:tcPr>
            <w:tcW w:w="668"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O</w:t>
            </w:r>
          </w:p>
        </w:tc>
        <w:tc>
          <w:tcPr>
            <w:tcW w:w="1295" w:type="dxa"/>
            <w:noWrap w:val="0"/>
            <w:vAlign w:val="center"/>
          </w:tcPr>
          <w:p>
            <w:pPr>
              <w:shd w:val="clear"/>
              <w:spacing w:line="240" w:lineRule="auto"/>
              <w:jc w:val="center"/>
              <w:rPr>
                <w:rFonts w:hint="eastAsia" w:ascii="宋体" w:hAnsi="宋体" w:eastAsia="宋体" w:cs="宋体"/>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8335" w:type="dxa"/>
            <w:gridSpan w:val="9"/>
            <w:noWrap w:val="0"/>
            <w:vAlign w:val="center"/>
          </w:tcPr>
          <w:p>
            <w:pPr>
              <w:shd w:val="clear"/>
              <w:spacing w:line="24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备注</w:t>
            </w:r>
            <w:r>
              <w:rPr>
                <w:rFonts w:hint="eastAsia" w:ascii="宋体" w:hAnsi="宋体" w:eastAsia="宋体" w:cs="宋体"/>
                <w:sz w:val="22"/>
                <w:szCs w:val="22"/>
                <w:highlight w:val="none"/>
              </w:rPr>
              <w:t>：产保区按产业用地规模大小分为产业园区、产业组团、产业地块三类。</w:t>
            </w:r>
          </w:p>
        </w:tc>
      </w:tr>
    </w:tbl>
    <w:p>
      <w:pPr>
        <w:shd w:val="clear"/>
        <w:spacing w:line="520" w:lineRule="exact"/>
        <w:rPr>
          <w:rFonts w:hint="eastAsia" w:ascii="宋体" w:hAnsi="宋体" w:eastAsia="宋体" w:cs="宋体"/>
          <w:sz w:val="24"/>
          <w:szCs w:val="24"/>
          <w:highlight w:val="none"/>
          <w:lang w:val="en-US" w:eastAsia="zh-CN"/>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代码表</w:t>
      </w:r>
      <w:r>
        <w:rPr>
          <w:rFonts w:hint="eastAsia" w:ascii="宋体" w:hAnsi="宋体" w:eastAsia="宋体" w:cs="宋体"/>
          <w:b/>
          <w:bCs/>
          <w:sz w:val="24"/>
          <w:szCs w:val="24"/>
          <w:highlight w:val="none"/>
          <w:lang w:val="en-US" w:eastAsia="zh-CN"/>
        </w:rPr>
        <w:t xml:space="preserve">3 </w:t>
      </w:r>
      <w:r>
        <w:rPr>
          <w:rFonts w:hint="eastAsia" w:ascii="宋体" w:hAnsi="宋体" w:eastAsia="宋体" w:cs="宋体"/>
          <w:b/>
          <w:bCs/>
          <w:sz w:val="24"/>
          <w:szCs w:val="24"/>
          <w:highlight w:val="none"/>
        </w:rPr>
        <w:t>控制类型代码表</w:t>
      </w:r>
    </w:p>
    <w:tbl>
      <w:tblPr>
        <w:tblStyle w:val="22"/>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3"/>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1922" w:type="pct"/>
            <w:noWrap w:val="0"/>
            <w:vAlign w:val="center"/>
          </w:tcPr>
          <w:p>
            <w:pPr>
              <w:shd w:val="clea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w:t>
            </w:r>
          </w:p>
        </w:tc>
        <w:tc>
          <w:tcPr>
            <w:tcW w:w="3077" w:type="pct"/>
            <w:noWrap w:val="0"/>
            <w:vAlign w:val="center"/>
          </w:tcPr>
          <w:p>
            <w:pPr>
              <w:shd w:val="clea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控制类型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22" w:type="pct"/>
            <w:noWrap w:val="0"/>
            <w:vAlign w:val="center"/>
          </w:tcPr>
          <w:p>
            <w:pPr>
              <w:shd w:val="clea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77" w:type="pct"/>
            <w:noWrap w:val="0"/>
            <w:vAlign w:val="center"/>
          </w:tcPr>
          <w:p>
            <w:pPr>
              <w:shd w:val="clea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刚性控制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22" w:type="pct"/>
            <w:noWrap w:val="0"/>
            <w:vAlign w:val="center"/>
          </w:tcPr>
          <w:p>
            <w:pPr>
              <w:shd w:val="clea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3077" w:type="pct"/>
            <w:noWrap w:val="0"/>
            <w:vAlign w:val="center"/>
          </w:tcPr>
          <w:p>
            <w:pPr>
              <w:shd w:val="clea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弹性</w:t>
            </w:r>
          </w:p>
        </w:tc>
      </w:tr>
    </w:tbl>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代码表</w:t>
      </w:r>
      <w:r>
        <w:rPr>
          <w:rFonts w:hint="eastAsia" w:ascii="宋体" w:hAnsi="宋体" w:eastAsia="宋体" w:cs="宋体"/>
          <w:b/>
          <w:bCs/>
          <w:sz w:val="24"/>
          <w:szCs w:val="24"/>
          <w:highlight w:val="none"/>
          <w:lang w:val="en-US" w:eastAsia="zh-CN"/>
        </w:rPr>
        <w:t xml:space="preserve">4 </w:t>
      </w:r>
      <w:r>
        <w:rPr>
          <w:rFonts w:hint="eastAsia" w:ascii="宋体" w:hAnsi="宋体" w:eastAsia="宋体" w:cs="宋体"/>
          <w:b/>
          <w:bCs/>
          <w:sz w:val="24"/>
          <w:szCs w:val="24"/>
          <w:highlight w:val="none"/>
        </w:rPr>
        <w:t>历史文化保护级别代码表</w:t>
      </w:r>
    </w:p>
    <w:tbl>
      <w:tblPr>
        <w:tblStyle w:val="22"/>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blHeader/>
          <w:jc w:val="center"/>
        </w:trPr>
        <w:tc>
          <w:tcPr>
            <w:tcW w:w="1921" w:type="pct"/>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代码</w:t>
            </w:r>
          </w:p>
        </w:tc>
        <w:tc>
          <w:tcPr>
            <w:tcW w:w="3078" w:type="pct"/>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1"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078"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1"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3078"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1"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c>
          <w:tcPr>
            <w:tcW w:w="3078"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设区市级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21"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40</w:t>
            </w:r>
          </w:p>
        </w:tc>
        <w:tc>
          <w:tcPr>
            <w:tcW w:w="3078"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县（市、区）级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w:t>
            </w:r>
          </w:p>
        </w:tc>
        <w:tc>
          <w:tcPr>
            <w:tcW w:w="3078"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未定级</w:t>
            </w:r>
          </w:p>
        </w:tc>
      </w:tr>
    </w:tbl>
    <w:p>
      <w:pPr>
        <w:shd w:val="clear"/>
        <w:spacing w:line="520" w:lineRule="exact"/>
        <w:jc w:val="cente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代码表</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历史文化保护线类型代码表</w:t>
      </w:r>
    </w:p>
    <w:tbl>
      <w:tblPr>
        <w:tblStyle w:val="22"/>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5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blHeader/>
          <w:jc w:val="center"/>
        </w:trPr>
        <w:tc>
          <w:tcPr>
            <w:tcW w:w="1922" w:type="pct"/>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代码</w:t>
            </w:r>
          </w:p>
        </w:tc>
        <w:tc>
          <w:tcPr>
            <w:tcW w:w="3077" w:type="pct"/>
            <w:noWrap w:val="0"/>
            <w:vAlign w:val="center"/>
          </w:tcPr>
          <w:p>
            <w:pPr>
              <w:shd w:val="clear"/>
              <w:spacing w:line="24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01</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历史城（镇）区保护范围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02</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历史文化街区保护范围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03</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历史文化名村保护范围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04</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地下文物埋藏区保护范围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05</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水下文物保护区保护范围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06</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线性文化遗产保护区保护范围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07</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文物保护单位保护范围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08</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文物保护单位建设控制地带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09</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一般不可移动文物保护范围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历史建筑保护范围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传统村落保护范围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22"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99</w:t>
            </w:r>
          </w:p>
        </w:tc>
        <w:tc>
          <w:tcPr>
            <w:tcW w:w="3077" w:type="pct"/>
            <w:noWrap w:val="0"/>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tc>
      </w:tr>
    </w:tbl>
    <w:p>
      <w:pPr>
        <w:shd w:val="clear"/>
        <w:spacing w:line="520" w:lineRule="exact"/>
        <w:rPr>
          <w:rFonts w:hint="eastAsia" w:ascii="宋体" w:hAnsi="宋体" w:eastAsia="宋体" w:cs="宋体"/>
          <w:sz w:val="24"/>
          <w:szCs w:val="24"/>
          <w:highlight w:val="none"/>
          <w:lang w:val="en-US" w:eastAsia="zh-CN"/>
        </w:rPr>
      </w:pPr>
    </w:p>
    <w:p>
      <w:pPr>
        <w:pStyle w:val="4"/>
        <w:keepNext/>
        <w:keepLines/>
        <w:pageBreakBefore w:val="0"/>
        <w:widowControl w:val="0"/>
        <w:shd w:val="clear"/>
        <w:kinsoku/>
        <w:wordWrap/>
        <w:overflowPunct/>
        <w:topLinePunct w:val="0"/>
        <w:autoSpaceDE/>
        <w:autoSpaceDN/>
        <w:bidi w:val="0"/>
        <w:adjustRightInd/>
        <w:snapToGrid/>
        <w:spacing w:before="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（九）城乡风貌控制线</w:t>
      </w: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rPr>
        <w:t xml:space="preserve">  重点风貌管控区属性结构描述表（ZDFMGKQ）</w:t>
      </w:r>
    </w:p>
    <w:tbl>
      <w:tblPr>
        <w:tblStyle w:val="2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66"/>
        <w:gridCol w:w="1772"/>
        <w:gridCol w:w="959"/>
        <w:gridCol w:w="1009"/>
        <w:gridCol w:w="858"/>
        <w:gridCol w:w="808"/>
        <w:gridCol w:w="617"/>
        <w:gridCol w:w="808"/>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0" w:hRule="atLeast"/>
        </w:trPr>
        <w:tc>
          <w:tcPr>
            <w:tcW w:w="316"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89"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字段名称</w:t>
            </w:r>
          </w:p>
        </w:tc>
        <w:tc>
          <w:tcPr>
            <w:tcW w:w="53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字段代码</w:t>
            </w:r>
          </w:p>
        </w:tc>
        <w:tc>
          <w:tcPr>
            <w:tcW w:w="563"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字段类型</w:t>
            </w:r>
          </w:p>
        </w:tc>
        <w:tc>
          <w:tcPr>
            <w:tcW w:w="479"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字段长度</w:t>
            </w:r>
          </w:p>
        </w:tc>
        <w:tc>
          <w:tcPr>
            <w:tcW w:w="451"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小数位数</w:t>
            </w:r>
          </w:p>
        </w:tc>
        <w:tc>
          <w:tcPr>
            <w:tcW w:w="344"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值域</w:t>
            </w:r>
          </w:p>
        </w:tc>
        <w:tc>
          <w:tcPr>
            <w:tcW w:w="451"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约束条件</w:t>
            </w:r>
          </w:p>
        </w:tc>
        <w:tc>
          <w:tcPr>
            <w:tcW w:w="865" w:type="pct"/>
            <w:vMerge w:val="restart"/>
            <w:tcBorders>
              <w:tl2br w:val="nil"/>
              <w:tr2bl w:val="nil"/>
            </w:tcBorders>
            <w:noWrap w:val="0"/>
            <w:vAlign w:val="center"/>
          </w:tcPr>
          <w:p>
            <w:pPr>
              <w:keepNext w:val="0"/>
              <w:keepLines w:val="0"/>
              <w:widowControl/>
              <w:suppressLineNumbers w:val="0"/>
              <w:shd w:val="clear"/>
              <w:spacing w:line="240" w:lineRule="auto"/>
              <w:jc w:val="center"/>
              <w:textAlignment w:val="top"/>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0" w:hRule="atLeast"/>
        </w:trPr>
        <w:tc>
          <w:tcPr>
            <w:tcW w:w="316"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989"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53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563"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479"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451"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344"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451"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c>
          <w:tcPr>
            <w:tcW w:w="865" w:type="pct"/>
            <w:vMerge w:val="continue"/>
            <w:tcBorders>
              <w:tl2br w:val="nil"/>
              <w:tr2bl w:val="nil"/>
            </w:tcBorders>
            <w:noWrap w:val="0"/>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316"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98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标识码</w:t>
            </w:r>
          </w:p>
        </w:tc>
        <w:tc>
          <w:tcPr>
            <w:tcW w:w="53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BSM</w:t>
            </w:r>
          </w:p>
        </w:tc>
        <w:tc>
          <w:tcPr>
            <w:tcW w:w="563"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7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316"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98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行政区代码</w:t>
            </w:r>
          </w:p>
        </w:tc>
        <w:tc>
          <w:tcPr>
            <w:tcW w:w="53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XZQDM</w:t>
            </w:r>
          </w:p>
        </w:tc>
        <w:tc>
          <w:tcPr>
            <w:tcW w:w="563"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7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316"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98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行政区名称</w:t>
            </w:r>
          </w:p>
        </w:tc>
        <w:tc>
          <w:tcPr>
            <w:tcW w:w="53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XZQMC</w:t>
            </w:r>
          </w:p>
        </w:tc>
        <w:tc>
          <w:tcPr>
            <w:tcW w:w="563"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7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316"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98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风貌管控区名称</w:t>
            </w:r>
          </w:p>
        </w:tc>
        <w:tc>
          <w:tcPr>
            <w:tcW w:w="53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MC</w:t>
            </w:r>
          </w:p>
        </w:tc>
        <w:tc>
          <w:tcPr>
            <w:tcW w:w="563"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7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316"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98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面积</w:t>
            </w:r>
          </w:p>
        </w:tc>
        <w:tc>
          <w:tcPr>
            <w:tcW w:w="53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MJ</w:t>
            </w:r>
          </w:p>
        </w:tc>
        <w:tc>
          <w:tcPr>
            <w:tcW w:w="563"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Double</w:t>
            </w:r>
          </w:p>
        </w:tc>
        <w:tc>
          <w:tcPr>
            <w:tcW w:w="47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4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单位：</w:t>
            </w:r>
            <w:r>
              <w:rPr>
                <w:rFonts w:hint="eastAsia" w:ascii="宋体" w:hAnsi="宋体" w:eastAsia="宋体" w:cs="宋体"/>
                <w:sz w:val="22"/>
                <w:szCs w:val="22"/>
                <w:highlight w:val="none"/>
                <w:lang w:eastAsia="zh-CN"/>
              </w:rPr>
              <w:t>m²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316"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98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53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BZ</w:t>
            </w:r>
          </w:p>
        </w:tc>
        <w:tc>
          <w:tcPr>
            <w:tcW w:w="563"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Text</w:t>
            </w:r>
          </w:p>
        </w:tc>
        <w:tc>
          <w:tcPr>
            <w:tcW w:w="479"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255</w:t>
            </w: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344"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c>
          <w:tcPr>
            <w:tcW w:w="451"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O</w:t>
            </w:r>
          </w:p>
        </w:tc>
        <w:tc>
          <w:tcPr>
            <w:tcW w:w="865" w:type="pct"/>
            <w:tcBorders>
              <w:tl2br w:val="nil"/>
              <w:tr2bl w:val="nil"/>
            </w:tcBorders>
            <w:noWrap/>
            <w:vAlign w:val="center"/>
          </w:tcPr>
          <w:p>
            <w:pPr>
              <w:shd w:val="clear"/>
              <w:spacing w:line="240" w:lineRule="auto"/>
              <w:jc w:val="center"/>
              <w:rPr>
                <w:rFonts w:hint="eastAsia" w:ascii="宋体" w:hAnsi="宋体" w:eastAsia="宋体" w:cs="宋体"/>
                <w:sz w:val="22"/>
                <w:szCs w:val="22"/>
                <w:highlight w:val="none"/>
              </w:rPr>
            </w:pPr>
          </w:p>
        </w:tc>
      </w:tr>
    </w:tbl>
    <w:p>
      <w:pPr>
        <w:pStyle w:val="3"/>
        <w:keepNext/>
        <w:keepLines/>
        <w:pageBreakBefore w:val="0"/>
        <w:widowControl w:val="0"/>
        <w:shd w:val="clear"/>
        <w:kinsoku/>
        <w:wordWrap/>
        <w:overflowPunct/>
        <w:topLinePunct w:val="0"/>
        <w:autoSpaceDE/>
        <w:autoSpaceDN/>
        <w:bidi w:val="0"/>
        <w:adjustRightInd/>
        <w:snapToGrid/>
        <w:spacing w:before="120" w:after="0" w:line="360"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4）配色标准</w:t>
      </w:r>
    </w:p>
    <w:p>
      <w:pPr>
        <w:shd w:val="clear"/>
        <w:spacing w:line="520" w:lineRule="exact"/>
        <w:jc w:val="center"/>
        <w:rPr>
          <w:rFonts w:hint="eastAsia" w:ascii="宋体" w:hAnsi="宋体" w:eastAsia="宋体" w:cs="宋体"/>
          <w:b/>
          <w:bCs/>
          <w:sz w:val="24"/>
          <w:szCs w:val="24"/>
          <w:highlight w:val="none"/>
        </w:rPr>
      </w:pPr>
    </w:p>
    <w:p>
      <w:pPr>
        <w:shd w:val="clear"/>
        <w:spacing w:line="52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31</w:t>
      </w:r>
      <w:r>
        <w:rPr>
          <w:rFonts w:hint="eastAsia" w:ascii="宋体" w:hAnsi="宋体" w:eastAsia="宋体" w:cs="宋体"/>
          <w:b/>
          <w:bCs/>
          <w:sz w:val="24"/>
          <w:szCs w:val="24"/>
          <w:highlight w:val="none"/>
        </w:rPr>
        <w:t xml:space="preserve">   市县</w:t>
      </w:r>
      <w:r>
        <w:rPr>
          <w:rFonts w:hint="eastAsia" w:ascii="宋体" w:hAnsi="宋体" w:eastAsia="宋体" w:cs="宋体"/>
          <w:b/>
          <w:bCs/>
          <w:sz w:val="24"/>
          <w:szCs w:val="24"/>
          <w:highlight w:val="none"/>
          <w:lang w:val="en-US" w:eastAsia="zh-CN"/>
        </w:rPr>
        <w:t>级</w:t>
      </w:r>
      <w:r>
        <w:rPr>
          <w:rFonts w:hint="eastAsia" w:ascii="宋体" w:hAnsi="宋体" w:eastAsia="宋体" w:cs="宋体"/>
          <w:b/>
          <w:bCs/>
          <w:sz w:val="24"/>
          <w:szCs w:val="24"/>
          <w:highlight w:val="none"/>
        </w:rPr>
        <w:t>上报控制线</w:t>
      </w:r>
      <w:r>
        <w:rPr>
          <w:rFonts w:hint="eastAsia" w:ascii="宋体" w:hAnsi="宋体" w:eastAsia="宋体" w:cs="宋体"/>
          <w:b/>
          <w:bCs/>
          <w:sz w:val="24"/>
          <w:szCs w:val="24"/>
          <w:highlight w:val="none"/>
          <w:lang w:val="en-US" w:eastAsia="zh-CN"/>
        </w:rPr>
        <w:t>配色指引表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120"/>
        <w:gridCol w:w="3006"/>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054" w:type="pct"/>
            <w:vMerge w:val="restart"/>
            <w:tcBorders>
              <w:tl2br w:val="nil"/>
              <w:tr2bl w:val="nil"/>
            </w:tcBorders>
            <w:noWrap/>
            <w:vAlign w:val="center"/>
          </w:tcPr>
          <w:p>
            <w:pPr>
              <w:widowControl/>
              <w:shd w:val="clear"/>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分类</w:t>
            </w:r>
          </w:p>
        </w:tc>
        <w:tc>
          <w:tcPr>
            <w:tcW w:w="1188" w:type="pct"/>
            <w:vMerge w:val="restart"/>
            <w:tcBorders>
              <w:tl2br w:val="nil"/>
              <w:tr2bl w:val="nil"/>
            </w:tcBorders>
            <w:noWrap/>
            <w:vAlign w:val="center"/>
          </w:tcPr>
          <w:p>
            <w:pPr>
              <w:widowControl/>
              <w:shd w:val="clear"/>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数据内容</w:t>
            </w:r>
          </w:p>
        </w:tc>
        <w:tc>
          <w:tcPr>
            <w:tcW w:w="2756" w:type="pct"/>
            <w:gridSpan w:val="2"/>
            <w:tcBorders>
              <w:tl2br w:val="nil"/>
              <w:tr2bl w:val="nil"/>
            </w:tcBorders>
            <w:noWrap/>
            <w:vAlign w:val="center"/>
          </w:tcPr>
          <w:p>
            <w:pPr>
              <w:widowControl/>
              <w:shd w:val="clear"/>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054" w:type="pct"/>
            <w:vMerge w:val="continue"/>
            <w:tcBorders>
              <w:tl2br w:val="nil"/>
              <w:tr2bl w:val="nil"/>
            </w:tcBorders>
            <w:noWrap/>
            <w:vAlign w:val="center"/>
          </w:tcPr>
          <w:p>
            <w:pPr>
              <w:shd w:val="clear"/>
              <w:jc w:val="center"/>
              <w:rPr>
                <w:rFonts w:hint="eastAsia" w:ascii="宋体" w:hAnsi="宋体" w:eastAsia="宋体" w:cs="宋体"/>
                <w:b/>
                <w:bCs/>
                <w:color w:val="000000"/>
                <w:sz w:val="22"/>
                <w:szCs w:val="22"/>
                <w:highlight w:val="none"/>
              </w:rPr>
            </w:pPr>
          </w:p>
        </w:tc>
        <w:tc>
          <w:tcPr>
            <w:tcW w:w="1188" w:type="pct"/>
            <w:vMerge w:val="continue"/>
            <w:tcBorders>
              <w:tl2br w:val="nil"/>
              <w:tr2bl w:val="nil"/>
            </w:tcBorders>
            <w:noWrap/>
            <w:vAlign w:val="center"/>
          </w:tcPr>
          <w:p>
            <w:pPr>
              <w:shd w:val="clear"/>
              <w:jc w:val="center"/>
              <w:rPr>
                <w:rFonts w:hint="eastAsia" w:ascii="宋体" w:hAnsi="宋体" w:eastAsia="宋体" w:cs="宋体"/>
                <w:b/>
                <w:bCs/>
                <w:color w:val="000000"/>
                <w:sz w:val="22"/>
                <w:szCs w:val="22"/>
                <w:highlight w:val="none"/>
              </w:rPr>
            </w:pP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图例</w:t>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三条控制线</w:t>
            </w: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永久基本农田</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304800" cy="133350"/>
                  <wp:effectExtent l="0" t="0" r="0" b="0"/>
                  <wp:docPr id="35" name="图片 1"/>
                  <wp:cNvGraphicFramePr/>
                  <a:graphic xmlns:a="http://schemas.openxmlformats.org/drawingml/2006/main">
                    <a:graphicData uri="http://schemas.openxmlformats.org/drawingml/2006/picture">
                      <pic:pic xmlns:pic="http://schemas.openxmlformats.org/drawingml/2006/picture">
                        <pic:nvPicPr>
                          <pic:cNvPr id="35" name="图片 1"/>
                          <pic:cNvPicPr/>
                        </pic:nvPicPr>
                        <pic:blipFill>
                          <a:blip r:embed="rId16"/>
                          <a:stretch>
                            <a:fillRect/>
                          </a:stretch>
                        </pic:blipFill>
                        <pic:spPr>
                          <a:xfrm>
                            <a:off x="0" y="0"/>
                            <a:ext cx="304800" cy="133350"/>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254,254,96</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边框215,214,214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生态保护红线</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295275" cy="133350"/>
                  <wp:effectExtent l="0" t="0" r="9525" b="0"/>
                  <wp:docPr id="34" name="图片 2"/>
                  <wp:cNvGraphicFramePr/>
                  <a:graphic xmlns:a="http://schemas.openxmlformats.org/drawingml/2006/main">
                    <a:graphicData uri="http://schemas.openxmlformats.org/drawingml/2006/picture">
                      <pic:pic xmlns:pic="http://schemas.openxmlformats.org/drawingml/2006/picture">
                        <pic:nvPicPr>
                          <pic:cNvPr id="34" name="图片 2"/>
                          <pic:cNvPicPr/>
                        </pic:nvPicPr>
                        <pic:blipFill>
                          <a:blip r:embed="rId17"/>
                          <a:stretch>
                            <a:fillRect/>
                          </a:stretch>
                        </pic:blipFill>
                        <pic:spPr>
                          <a:xfrm>
                            <a:off x="0" y="0"/>
                            <a:ext cx="295275" cy="133350"/>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77,151,87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城镇开发边界</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314325" cy="142875"/>
                  <wp:effectExtent l="0" t="0" r="9525" b="9525"/>
                  <wp:docPr id="33" name="图片 3"/>
                  <wp:cNvGraphicFramePr/>
                  <a:graphic xmlns:a="http://schemas.openxmlformats.org/drawingml/2006/main">
                    <a:graphicData uri="http://schemas.openxmlformats.org/drawingml/2006/picture">
                      <pic:pic xmlns:pic="http://schemas.openxmlformats.org/drawingml/2006/picture">
                        <pic:nvPicPr>
                          <pic:cNvPr id="33" name="图片 3"/>
                          <pic:cNvPicPr/>
                        </pic:nvPicPr>
                        <pic:blipFill>
                          <a:blip r:embed="rId18"/>
                          <a:stretch>
                            <a:fillRect/>
                          </a:stretch>
                        </pic:blipFill>
                        <pic:spPr>
                          <a:xfrm>
                            <a:off x="0" y="0"/>
                            <a:ext cx="314325" cy="142875"/>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228,139,139</w:t>
            </w:r>
          </w:p>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边框0,0,0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粮食安全控制线</w:t>
            </w: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粮食生产功能区</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752475" cy="971550"/>
                  <wp:effectExtent l="0" t="0" r="9525" b="0"/>
                  <wp:docPr id="32" name="图片 4"/>
                  <wp:cNvGraphicFramePr/>
                  <a:graphic xmlns:a="http://schemas.openxmlformats.org/drawingml/2006/main">
                    <a:graphicData uri="http://schemas.openxmlformats.org/drawingml/2006/picture">
                      <pic:pic xmlns:pic="http://schemas.openxmlformats.org/drawingml/2006/picture">
                        <pic:nvPicPr>
                          <pic:cNvPr id="32" name="图片 4"/>
                          <pic:cNvPicPr/>
                        </pic:nvPicPr>
                        <pic:blipFill>
                          <a:blip r:embed="rId19"/>
                          <a:stretch>
                            <a:fillRect/>
                          </a:stretch>
                        </pic:blipFill>
                        <pic:spPr>
                          <a:xfrm>
                            <a:off x="0" y="0"/>
                            <a:ext cx="752475" cy="971550"/>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56,168,0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186,186,0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255,170,0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0,197,255</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轮廓宽度0.4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高标准农田</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180975" cy="142875"/>
                  <wp:effectExtent l="0" t="0" r="9525" b="9525"/>
                  <wp:docPr id="31" name="图片 5"/>
                  <wp:cNvGraphicFramePr/>
                  <a:graphic xmlns:a="http://schemas.openxmlformats.org/drawingml/2006/main">
                    <a:graphicData uri="http://schemas.openxmlformats.org/drawingml/2006/picture">
                      <pic:pic xmlns:pic="http://schemas.openxmlformats.org/drawingml/2006/picture">
                        <pic:nvPicPr>
                          <pic:cNvPr id="31" name="图片 5"/>
                          <pic:cNvPicPr/>
                        </pic:nvPicPr>
                        <pic:blipFill>
                          <a:blip r:embed="rId20"/>
                          <a:stretch>
                            <a:fillRect/>
                          </a:stretch>
                        </pic:blipFill>
                        <pic:spPr>
                          <a:xfrm>
                            <a:off x="0" y="0"/>
                            <a:ext cx="180975" cy="142875"/>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255,213,128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生态环境控制线</w:t>
            </w: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水环境功能区</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drawing>
                <wp:inline distT="0" distB="0" distL="114300" distR="114300">
                  <wp:extent cx="276225" cy="209550"/>
                  <wp:effectExtent l="0" t="0" r="9525" b="0"/>
                  <wp:docPr id="30" name="图片 6"/>
                  <wp:cNvGraphicFramePr/>
                  <a:graphic xmlns:a="http://schemas.openxmlformats.org/drawingml/2006/main">
                    <a:graphicData uri="http://schemas.openxmlformats.org/drawingml/2006/picture">
                      <pic:pic xmlns:pic="http://schemas.openxmlformats.org/drawingml/2006/picture">
                        <pic:nvPicPr>
                          <pic:cNvPr id="30" name="图片 6"/>
                          <pic:cNvPicPr/>
                        </pic:nvPicPr>
                        <pic:blipFill>
                          <a:blip r:embed="rId21"/>
                          <a:stretch>
                            <a:fillRect/>
                          </a:stretch>
                        </pic:blipFill>
                        <pic:spPr>
                          <a:xfrm>
                            <a:off x="0" y="0"/>
                            <a:ext cx="276225" cy="20955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58,148,114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自然保护地</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1771650" cy="1371600"/>
                  <wp:effectExtent l="0" t="0" r="0" b="0"/>
                  <wp:docPr id="29" name="图片 7"/>
                  <wp:cNvGraphicFramePr/>
                  <a:graphic xmlns:a="http://schemas.openxmlformats.org/drawingml/2006/main">
                    <a:graphicData uri="http://schemas.openxmlformats.org/drawingml/2006/picture">
                      <pic:pic xmlns:pic="http://schemas.openxmlformats.org/drawingml/2006/picture">
                        <pic:nvPicPr>
                          <pic:cNvPr id="29" name="图片 7"/>
                          <pic:cNvPicPr/>
                        </pic:nvPicPr>
                        <pic:blipFill>
                          <a:blip r:embed="rId22"/>
                          <a:stretch>
                            <a:fillRect/>
                          </a:stretch>
                        </pic:blipFill>
                        <pic:spPr>
                          <a:xfrm>
                            <a:off x="0" y="0"/>
                            <a:ext cx="1771650" cy="1371600"/>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28,179,2</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边框10,97,10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155,0,0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255,0,0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0,100,180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边框0,31,89</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156,179,20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边框115,255,0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20,191,168</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边框130,252,186</w:t>
            </w:r>
          </w:p>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轮廓宽度1.5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饮用水源保护区</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180975" cy="152400"/>
                  <wp:effectExtent l="0" t="0" r="9525" b="0"/>
                  <wp:docPr id="28" name="图片 8"/>
                  <wp:cNvGraphicFramePr/>
                  <a:graphic xmlns:a="http://schemas.openxmlformats.org/drawingml/2006/main">
                    <a:graphicData uri="http://schemas.openxmlformats.org/drawingml/2006/picture">
                      <pic:pic xmlns:pic="http://schemas.openxmlformats.org/drawingml/2006/picture">
                        <pic:nvPicPr>
                          <pic:cNvPr id="28" name="图片 8"/>
                          <pic:cNvPicPr/>
                        </pic:nvPicPr>
                        <pic:blipFill>
                          <a:blip r:embed="rId23"/>
                          <a:stretch>
                            <a:fillRect/>
                          </a:stretch>
                        </pic:blipFill>
                        <pic:spPr>
                          <a:xfrm>
                            <a:off x="0" y="0"/>
                            <a:ext cx="180975" cy="152400"/>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197,215,254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生态公益林</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190500" cy="161925"/>
                  <wp:effectExtent l="0" t="0" r="0" b="9525"/>
                  <wp:docPr id="27" name="图片 9"/>
                  <wp:cNvGraphicFramePr/>
                  <a:graphic xmlns:a="http://schemas.openxmlformats.org/drawingml/2006/main">
                    <a:graphicData uri="http://schemas.openxmlformats.org/drawingml/2006/picture">
                      <pic:pic xmlns:pic="http://schemas.openxmlformats.org/drawingml/2006/picture">
                        <pic:nvPicPr>
                          <pic:cNvPr id="27" name="图片 9"/>
                          <pic:cNvPicPr/>
                        </pic:nvPicPr>
                        <pic:blipFill>
                          <a:blip r:embed="rId24"/>
                          <a:stretch>
                            <a:fillRect/>
                          </a:stretch>
                        </pic:blipFill>
                        <pic:spPr>
                          <a:xfrm>
                            <a:off x="0" y="0"/>
                            <a:ext cx="190500" cy="161925"/>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基础设施控制线</w:t>
            </w: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高速铁路保护范围</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247650" cy="190500"/>
                  <wp:effectExtent l="0" t="0" r="0" b="0"/>
                  <wp:docPr id="26" name="图片 10"/>
                  <wp:cNvGraphicFramePr/>
                  <a:graphic xmlns:a="http://schemas.openxmlformats.org/drawingml/2006/main">
                    <a:graphicData uri="http://schemas.openxmlformats.org/drawingml/2006/picture">
                      <pic:pic xmlns:pic="http://schemas.openxmlformats.org/drawingml/2006/picture">
                        <pic:nvPicPr>
                          <pic:cNvPr id="26" name="图片 10"/>
                          <pic:cNvPicPr/>
                        </pic:nvPicPr>
                        <pic:blipFill>
                          <a:blip r:embed="rId25"/>
                          <a:stretch>
                            <a:fillRect/>
                          </a:stretch>
                        </pic:blipFill>
                        <pic:spPr>
                          <a:xfrm>
                            <a:off x="0" y="0"/>
                            <a:ext cx="247650" cy="19050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27,138,185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高速公路保护范围</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247650" cy="190500"/>
                  <wp:effectExtent l="0" t="0" r="0" b="0"/>
                  <wp:docPr id="25" name="图片 11"/>
                  <wp:cNvGraphicFramePr/>
                  <a:graphic xmlns:a="http://schemas.openxmlformats.org/drawingml/2006/main">
                    <a:graphicData uri="http://schemas.openxmlformats.org/drawingml/2006/picture">
                      <pic:pic xmlns:pic="http://schemas.openxmlformats.org/drawingml/2006/picture">
                        <pic:nvPicPr>
                          <pic:cNvPr id="25" name="图片 11"/>
                          <pic:cNvPicPr/>
                        </pic:nvPicPr>
                        <pic:blipFill>
                          <a:blip r:embed="rId25"/>
                          <a:stretch>
                            <a:fillRect/>
                          </a:stretch>
                        </pic:blipFill>
                        <pic:spPr>
                          <a:xfrm>
                            <a:off x="0" y="0"/>
                            <a:ext cx="247650" cy="19050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27,138,185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高压廊道</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323850" cy="190500"/>
                  <wp:effectExtent l="0" t="0" r="0" b="0"/>
                  <wp:docPr id="24" name="图片 12"/>
                  <wp:cNvGraphicFramePr/>
                  <a:graphic xmlns:a="http://schemas.openxmlformats.org/drawingml/2006/main">
                    <a:graphicData uri="http://schemas.openxmlformats.org/drawingml/2006/picture">
                      <pic:pic xmlns:pic="http://schemas.openxmlformats.org/drawingml/2006/picture">
                        <pic:nvPicPr>
                          <pic:cNvPr id="24" name="图片 12"/>
                          <pic:cNvPicPr/>
                        </pic:nvPicPr>
                        <pic:blipFill>
                          <a:blip r:embed="rId26"/>
                          <a:stretch>
                            <a:fillRect/>
                          </a:stretch>
                        </pic:blipFill>
                        <pic:spPr>
                          <a:xfrm>
                            <a:off x="0" y="0"/>
                            <a:ext cx="323850" cy="19050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27,138,185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油气廊道</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323850" cy="190500"/>
                  <wp:effectExtent l="0" t="0" r="0" b="0"/>
                  <wp:docPr id="23" name="图片 13"/>
                  <wp:cNvGraphicFramePr/>
                  <a:graphic xmlns:a="http://schemas.openxmlformats.org/drawingml/2006/main">
                    <a:graphicData uri="http://schemas.openxmlformats.org/drawingml/2006/picture">
                      <pic:pic xmlns:pic="http://schemas.openxmlformats.org/drawingml/2006/picture">
                        <pic:nvPicPr>
                          <pic:cNvPr id="23" name="图片 13"/>
                          <pic:cNvPicPr/>
                        </pic:nvPicPr>
                        <pic:blipFill>
                          <a:blip r:embed="rId26"/>
                          <a:stretch>
                            <a:fillRect/>
                          </a:stretch>
                        </pic:blipFill>
                        <pic:spPr>
                          <a:xfrm>
                            <a:off x="0" y="0"/>
                            <a:ext cx="323850" cy="19050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27,138,185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机场净空</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247650" cy="190500"/>
                  <wp:effectExtent l="0" t="0" r="0" b="0"/>
                  <wp:docPr id="19" name="图片 14"/>
                  <wp:cNvGraphicFramePr/>
                  <a:graphic xmlns:a="http://schemas.openxmlformats.org/drawingml/2006/main">
                    <a:graphicData uri="http://schemas.openxmlformats.org/drawingml/2006/picture">
                      <pic:pic xmlns:pic="http://schemas.openxmlformats.org/drawingml/2006/picture">
                        <pic:nvPicPr>
                          <pic:cNvPr id="19" name="图片 14"/>
                          <pic:cNvPicPr/>
                        </pic:nvPicPr>
                        <pic:blipFill>
                          <a:blip r:embed="rId25"/>
                          <a:stretch>
                            <a:fillRect/>
                          </a:stretch>
                        </pic:blipFill>
                        <pic:spPr>
                          <a:xfrm>
                            <a:off x="0" y="0"/>
                            <a:ext cx="247650" cy="19050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27,138,185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灾害防治控制线</w:t>
            </w: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洪水淹没区</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257175" cy="200025"/>
                  <wp:effectExtent l="0" t="0" r="9525" b="9525"/>
                  <wp:docPr id="18" name="图片 15"/>
                  <wp:cNvGraphicFramePr/>
                  <a:graphic xmlns:a="http://schemas.openxmlformats.org/drawingml/2006/main">
                    <a:graphicData uri="http://schemas.openxmlformats.org/drawingml/2006/picture">
                      <pic:pic xmlns:pic="http://schemas.openxmlformats.org/drawingml/2006/picture">
                        <pic:nvPicPr>
                          <pic:cNvPr id="18" name="图片 15"/>
                          <pic:cNvPicPr/>
                        </pic:nvPicPr>
                        <pic:blipFill>
                          <a:blip r:embed="rId27"/>
                          <a:stretch>
                            <a:fillRect/>
                          </a:stretch>
                        </pic:blipFill>
                        <pic:spPr>
                          <a:xfrm>
                            <a:off x="0" y="0"/>
                            <a:ext cx="257175" cy="200025"/>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100,77,116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地质灾害易发区</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704850" cy="981075"/>
                  <wp:effectExtent l="0" t="0" r="0" b="9525"/>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8"/>
                          <a:stretch>
                            <a:fillRect/>
                          </a:stretch>
                        </pic:blipFill>
                        <pic:spPr>
                          <a:xfrm>
                            <a:off x="0" y="0"/>
                            <a:ext cx="704850" cy="981075"/>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255,190,190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245,202,122</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255,235,190</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255,127,127</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边框110,110,110</w:t>
            </w:r>
          </w:p>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轮廓0.4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蓄滞洪区</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180975" cy="142875"/>
                  <wp:effectExtent l="0" t="0" r="9525" b="9525"/>
                  <wp:docPr id="16" name="图片 17"/>
                  <wp:cNvGraphicFramePr/>
                  <a:graphic xmlns:a="http://schemas.openxmlformats.org/drawingml/2006/main">
                    <a:graphicData uri="http://schemas.openxmlformats.org/drawingml/2006/picture">
                      <pic:pic xmlns:pic="http://schemas.openxmlformats.org/drawingml/2006/picture">
                        <pic:nvPicPr>
                          <pic:cNvPr id="16" name="图片 17"/>
                          <pic:cNvPicPr/>
                        </pic:nvPicPr>
                        <pic:blipFill>
                          <a:blip r:embed="rId29"/>
                          <a:stretch>
                            <a:fillRect/>
                          </a:stretch>
                        </pic:blipFill>
                        <pic:spPr>
                          <a:xfrm>
                            <a:off x="0" y="0"/>
                            <a:ext cx="180975" cy="142875"/>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115,223,255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风景文化控制线</w:t>
            </w: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文化遗产控制线</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266700" cy="219075"/>
                  <wp:effectExtent l="0" t="0" r="0" b="9525"/>
                  <wp:docPr id="15" name="图片 18"/>
                  <wp:cNvGraphicFramePr/>
                  <a:graphic xmlns:a="http://schemas.openxmlformats.org/drawingml/2006/main">
                    <a:graphicData uri="http://schemas.openxmlformats.org/drawingml/2006/picture">
                      <pic:pic xmlns:pic="http://schemas.openxmlformats.org/drawingml/2006/picture">
                        <pic:nvPicPr>
                          <pic:cNvPr id="15" name="图片 18"/>
                          <pic:cNvPicPr/>
                        </pic:nvPicPr>
                        <pic:blipFill>
                          <a:blip r:embed="rId30"/>
                          <a:stretch>
                            <a:fillRect/>
                          </a:stretch>
                        </pic:blipFill>
                        <pic:spPr>
                          <a:xfrm>
                            <a:off x="0" y="0"/>
                            <a:ext cx="266700" cy="219075"/>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87,75,185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kern w:val="0"/>
                <w:sz w:val="22"/>
                <w:szCs w:val="22"/>
                <w:highlight w:val="none"/>
                <w:lang w:bidi="ar"/>
              </w:rPr>
            </w:pPr>
          </w:p>
        </w:tc>
        <w:tc>
          <w:tcPr>
            <w:tcW w:w="11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风景名胜区</w:t>
            </w:r>
          </w:p>
        </w:tc>
        <w:tc>
          <w:tcPr>
            <w:tcW w:w="166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209550" cy="171450"/>
                  <wp:effectExtent l="0" t="0" r="0" b="0"/>
                  <wp:docPr id="14" name="图片 19"/>
                  <wp:cNvGraphicFramePr/>
                  <a:graphic xmlns:a="http://schemas.openxmlformats.org/drawingml/2006/main">
                    <a:graphicData uri="http://schemas.openxmlformats.org/drawingml/2006/picture">
                      <pic:pic xmlns:pic="http://schemas.openxmlformats.org/drawingml/2006/picture">
                        <pic:nvPicPr>
                          <pic:cNvPr id="14" name="图片 19"/>
                          <pic:cNvPicPr/>
                        </pic:nvPicPr>
                        <pic:blipFill>
                          <a:blip r:embed="rId31"/>
                          <a:stretch>
                            <a:fillRect/>
                          </a:stretch>
                        </pic:blipFill>
                        <pic:spPr>
                          <a:xfrm>
                            <a:off x="0" y="0"/>
                            <a:ext cx="209550" cy="171450"/>
                          </a:xfrm>
                          <a:prstGeom prst="rect">
                            <a:avLst/>
                          </a:prstGeom>
                          <a:noFill/>
                          <a:ln>
                            <a:noFill/>
                          </a:ln>
                        </pic:spPr>
                      </pic:pic>
                    </a:graphicData>
                  </a:graphic>
                </wp:inline>
              </w:drawing>
            </w:r>
          </w:p>
        </w:tc>
        <w:tc>
          <w:tcPr>
            <w:tcW w:w="1088" w:type="pct"/>
            <w:tcBorders>
              <w:tl2br w:val="nil"/>
              <w:tr2bl w:val="nil"/>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76,230,0</w:t>
            </w:r>
          </w:p>
          <w:p>
            <w:pPr>
              <w:keepNext w:val="0"/>
              <w:keepLines w:val="0"/>
              <w:widowControl/>
              <w:suppressLineNumbers w:val="0"/>
              <w:shd w:val="clear"/>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轮廓1.4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城乡风貌控制线</w:t>
            </w: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重点风貌管控区</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285750" cy="200025"/>
                  <wp:effectExtent l="0" t="0" r="0" b="9525"/>
                  <wp:docPr id="13" name="图片 20"/>
                  <wp:cNvGraphicFramePr/>
                  <a:graphic xmlns:a="http://schemas.openxmlformats.org/drawingml/2006/main">
                    <a:graphicData uri="http://schemas.openxmlformats.org/drawingml/2006/picture">
                      <pic:pic xmlns:pic="http://schemas.openxmlformats.org/drawingml/2006/picture">
                        <pic:nvPicPr>
                          <pic:cNvPr id="13" name="图片 20"/>
                          <pic:cNvPicPr/>
                        </pic:nvPicPr>
                        <pic:blipFill>
                          <a:blip r:embed="rId32"/>
                          <a:stretch>
                            <a:fillRect/>
                          </a:stretch>
                        </pic:blipFill>
                        <pic:spPr>
                          <a:xfrm>
                            <a:off x="0" y="0"/>
                            <a:ext cx="285750" cy="200025"/>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17,90,145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restar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城市重要控制线</w:t>
            </w: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城市棕线</w:t>
            </w:r>
          </w:p>
        </w:tc>
        <w:tc>
          <w:tcPr>
            <w:tcW w:w="166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drawing>
                <wp:inline distT="0" distB="0" distL="114300" distR="114300">
                  <wp:extent cx="304800" cy="209550"/>
                  <wp:effectExtent l="0" t="0" r="0" b="0"/>
                  <wp:docPr id="11" name="图片 21"/>
                  <wp:cNvGraphicFramePr/>
                  <a:graphic xmlns:a="http://schemas.openxmlformats.org/drawingml/2006/main">
                    <a:graphicData uri="http://schemas.openxmlformats.org/drawingml/2006/picture">
                      <pic:pic xmlns:pic="http://schemas.openxmlformats.org/drawingml/2006/picture">
                        <pic:nvPicPr>
                          <pic:cNvPr id="11" name="图片 21"/>
                          <pic:cNvPicPr/>
                        </pic:nvPicPr>
                        <pic:blipFill>
                          <a:blip r:embed="rId33"/>
                          <a:stretch>
                            <a:fillRect/>
                          </a:stretch>
                        </pic:blipFill>
                        <pic:spPr>
                          <a:xfrm>
                            <a:off x="0" y="0"/>
                            <a:ext cx="304800" cy="209550"/>
                          </a:xfrm>
                          <a:prstGeom prst="rect">
                            <a:avLst/>
                          </a:prstGeom>
                          <a:noFill/>
                          <a:ln>
                            <a:noFill/>
                          </a:ln>
                        </pic:spPr>
                      </pic:pic>
                    </a:graphicData>
                  </a:graphic>
                </wp:inline>
              </w:drawing>
            </w:r>
          </w:p>
        </w:tc>
        <w:tc>
          <w:tcPr>
            <w:tcW w:w="10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168,56,0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4" w:type="pct"/>
            <w:vMerge w:val="continue"/>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城市绿线</w:t>
            </w:r>
          </w:p>
        </w:tc>
        <w:tc>
          <w:tcPr>
            <w:tcW w:w="166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drawing>
                <wp:inline distT="0" distB="0" distL="114300" distR="114300">
                  <wp:extent cx="180975" cy="171450"/>
                  <wp:effectExtent l="0" t="0" r="9525" b="0"/>
                  <wp:docPr id="1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pic:cNvPicPr>
                            <a:picLocks noChangeAspect="1"/>
                          </pic:cNvPicPr>
                        </pic:nvPicPr>
                        <pic:blipFill>
                          <a:blip r:embed="rId34"/>
                          <a:stretch>
                            <a:fillRect/>
                          </a:stretch>
                        </pic:blipFill>
                        <pic:spPr>
                          <a:xfrm>
                            <a:off x="0" y="0"/>
                            <a:ext cx="180975" cy="171450"/>
                          </a:xfrm>
                          <a:prstGeom prst="rect">
                            <a:avLst/>
                          </a:prstGeom>
                          <a:noFill/>
                          <a:ln>
                            <a:noFill/>
                          </a:ln>
                        </pic:spPr>
                      </pic:pic>
                    </a:graphicData>
                  </a:graphic>
                </wp:inline>
              </w:drawing>
            </w:r>
          </w:p>
        </w:tc>
        <w:tc>
          <w:tcPr>
            <w:tcW w:w="108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56,168,0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城市红线</w:t>
            </w:r>
          </w:p>
        </w:tc>
        <w:tc>
          <w:tcPr>
            <w:tcW w:w="166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drawing>
                <wp:inline distT="0" distB="0" distL="114300" distR="114300">
                  <wp:extent cx="200025" cy="200025"/>
                  <wp:effectExtent l="0" t="0" r="9525" b="9525"/>
                  <wp:docPr id="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pic:cNvPicPr>
                            <a:picLocks noChangeAspect="1"/>
                          </pic:cNvPicPr>
                        </pic:nvPicPr>
                        <pic:blipFill>
                          <a:blip r:embed="rId35"/>
                          <a:stretch>
                            <a:fillRect/>
                          </a:stretch>
                        </pic:blipFill>
                        <pic:spPr>
                          <a:xfrm>
                            <a:off x="0" y="0"/>
                            <a:ext cx="200025" cy="200025"/>
                          </a:xfrm>
                          <a:prstGeom prst="rect">
                            <a:avLst/>
                          </a:prstGeom>
                          <a:noFill/>
                          <a:ln>
                            <a:noFill/>
                          </a:ln>
                        </pic:spPr>
                      </pic:pic>
                    </a:graphicData>
                  </a:graphic>
                </wp:inline>
              </w:drawing>
            </w:r>
          </w:p>
        </w:tc>
        <w:tc>
          <w:tcPr>
            <w:tcW w:w="108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城市紫线</w:t>
            </w:r>
          </w:p>
        </w:tc>
        <w:tc>
          <w:tcPr>
            <w:tcW w:w="166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drawing>
                <wp:inline distT="0" distB="0" distL="114300" distR="114300">
                  <wp:extent cx="190500" cy="152400"/>
                  <wp:effectExtent l="0" t="0" r="0" b="0"/>
                  <wp:docPr id="3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4"/>
                          <pic:cNvPicPr>
                            <a:picLocks noChangeAspect="1"/>
                          </pic:cNvPicPr>
                        </pic:nvPicPr>
                        <pic:blipFill>
                          <a:blip r:embed="rId36"/>
                          <a:stretch>
                            <a:fillRect/>
                          </a:stretch>
                        </pic:blipFill>
                        <pic:spPr>
                          <a:xfrm>
                            <a:off x="0" y="0"/>
                            <a:ext cx="190500" cy="152400"/>
                          </a:xfrm>
                          <a:prstGeom prst="rect">
                            <a:avLst/>
                          </a:prstGeom>
                          <a:noFill/>
                          <a:ln>
                            <a:noFill/>
                          </a:ln>
                        </pic:spPr>
                      </pic:pic>
                    </a:graphicData>
                  </a:graphic>
                </wp:inline>
              </w:drawing>
            </w:r>
          </w:p>
        </w:tc>
        <w:tc>
          <w:tcPr>
            <w:tcW w:w="108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城市蓝线</w:t>
            </w:r>
          </w:p>
        </w:tc>
        <w:tc>
          <w:tcPr>
            <w:tcW w:w="166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drawing>
                <wp:inline distT="0" distB="0" distL="114300" distR="114300">
                  <wp:extent cx="180975" cy="152400"/>
                  <wp:effectExtent l="0" t="0" r="9525" b="0"/>
                  <wp:docPr id="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pic:cNvPicPr>
                            <a:picLocks noChangeAspect="1"/>
                          </pic:cNvPicPr>
                        </pic:nvPicPr>
                        <pic:blipFill>
                          <a:blip r:embed="rId37"/>
                          <a:stretch>
                            <a:fillRect/>
                          </a:stretch>
                        </pic:blipFill>
                        <pic:spPr>
                          <a:xfrm>
                            <a:off x="0" y="0"/>
                            <a:ext cx="180975" cy="152400"/>
                          </a:xfrm>
                          <a:prstGeom prst="rect">
                            <a:avLst/>
                          </a:prstGeom>
                          <a:noFill/>
                          <a:ln>
                            <a:noFill/>
                          </a:ln>
                        </pic:spPr>
                      </pic:pic>
                    </a:graphicData>
                  </a:graphic>
                </wp:inline>
              </w:drawing>
            </w:r>
          </w:p>
        </w:tc>
        <w:tc>
          <w:tcPr>
            <w:tcW w:w="108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0,92,230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城市橙线</w:t>
            </w:r>
          </w:p>
        </w:tc>
        <w:tc>
          <w:tcPr>
            <w:tcW w:w="166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drawing>
                <wp:inline distT="0" distB="0" distL="114300" distR="114300">
                  <wp:extent cx="190500" cy="152400"/>
                  <wp:effectExtent l="0" t="0" r="0" b="0"/>
                  <wp:docPr id="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6"/>
                          <pic:cNvPicPr>
                            <a:picLocks noChangeAspect="1"/>
                          </pic:cNvPicPr>
                        </pic:nvPicPr>
                        <pic:blipFill>
                          <a:blip r:embed="rId38"/>
                          <a:stretch>
                            <a:fillRect/>
                          </a:stretch>
                        </pic:blipFill>
                        <pic:spPr>
                          <a:xfrm>
                            <a:off x="0" y="0"/>
                            <a:ext cx="190500" cy="152400"/>
                          </a:xfrm>
                          <a:prstGeom prst="rect">
                            <a:avLst/>
                          </a:prstGeom>
                          <a:noFill/>
                          <a:ln>
                            <a:noFill/>
                          </a:ln>
                        </pic:spPr>
                      </pic:pic>
                    </a:graphicData>
                  </a:graphic>
                </wp:inline>
              </w:drawing>
            </w:r>
          </w:p>
        </w:tc>
        <w:tc>
          <w:tcPr>
            <w:tcW w:w="108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255,170,0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4" w:type="pct"/>
            <w:vMerge w:val="continue"/>
            <w:tcBorders>
              <w:tl2br w:val="nil"/>
              <w:tr2bl w:val="nil"/>
            </w:tcBorders>
            <w:noWrap/>
            <w:vAlign w:val="center"/>
          </w:tcPr>
          <w:p>
            <w:pPr>
              <w:shd w:val="clear"/>
              <w:jc w:val="center"/>
              <w:rPr>
                <w:rFonts w:hint="eastAsia" w:ascii="宋体" w:hAnsi="宋体" w:eastAsia="宋体" w:cs="宋体"/>
                <w:color w:val="000000"/>
                <w:sz w:val="22"/>
                <w:szCs w:val="22"/>
                <w:highlight w:val="none"/>
              </w:rPr>
            </w:pPr>
          </w:p>
        </w:tc>
        <w:tc>
          <w:tcPr>
            <w:tcW w:w="1188" w:type="pct"/>
            <w:tcBorders>
              <w:tl2br w:val="nil"/>
              <w:tr2bl w:val="nil"/>
            </w:tcBorders>
            <w:noWrap/>
            <w:vAlign w:val="center"/>
          </w:tcPr>
          <w:p>
            <w:pPr>
              <w:widowControl/>
              <w:shd w:val="clear"/>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城市黄线</w:t>
            </w:r>
          </w:p>
        </w:tc>
        <w:tc>
          <w:tcPr>
            <w:tcW w:w="166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drawing>
                <wp:inline distT="0" distB="0" distL="114300" distR="114300">
                  <wp:extent cx="190500" cy="180975"/>
                  <wp:effectExtent l="0" t="0" r="0" b="9525"/>
                  <wp:docPr id="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pic:cNvPicPr>
                            <a:picLocks noChangeAspect="1"/>
                          </pic:cNvPicPr>
                        </pic:nvPicPr>
                        <pic:blipFill>
                          <a:blip r:embed="rId39"/>
                          <a:stretch>
                            <a:fillRect/>
                          </a:stretch>
                        </pic:blipFill>
                        <pic:spPr>
                          <a:xfrm>
                            <a:off x="0" y="0"/>
                            <a:ext cx="190500" cy="180975"/>
                          </a:xfrm>
                          <a:prstGeom prst="rect">
                            <a:avLst/>
                          </a:prstGeom>
                          <a:noFill/>
                          <a:ln>
                            <a:noFill/>
                          </a:ln>
                        </pic:spPr>
                      </pic:pic>
                    </a:graphicData>
                  </a:graphic>
                </wp:inline>
              </w:drawing>
            </w:r>
          </w:p>
        </w:tc>
        <w:tc>
          <w:tcPr>
            <w:tcW w:w="1088" w:type="pct"/>
            <w:tcBorders>
              <w:tl2br w:val="nil"/>
              <w:tr2bl w:val="nil"/>
            </w:tcBorders>
            <w:noWrap/>
            <w:vAlign w:val="center"/>
          </w:tcPr>
          <w:p>
            <w:pPr>
              <w:shd w:val="clea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255,255,0</w:t>
            </w:r>
          </w:p>
        </w:tc>
      </w:tr>
    </w:tbl>
    <w:p>
      <w:pPr>
        <w:shd w:val="clear"/>
        <w:spacing w:line="520" w:lineRule="exact"/>
        <w:jc w:val="center"/>
        <w:rPr>
          <w:rFonts w:hint="eastAsia" w:ascii="宋体" w:hAnsi="宋体" w:eastAsia="宋体" w:cs="宋体"/>
          <w:sz w:val="24"/>
          <w:szCs w:val="24"/>
          <w:highlight w:val="none"/>
        </w:rPr>
      </w:pPr>
    </w:p>
    <w:p>
      <w:pPr>
        <w:shd w:val="clear"/>
        <w:spacing w:line="5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32</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控制性详细规划用地分类配色指引表</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5"/>
        <w:gridCol w:w="3136"/>
        <w:gridCol w:w="2176"/>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blHeader/>
        </w:trPr>
        <w:tc>
          <w:tcPr>
            <w:tcW w:w="92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用地代码</w:t>
            </w:r>
          </w:p>
        </w:tc>
        <w:tc>
          <w:tcPr>
            <w:tcW w:w="175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用地性质</w:t>
            </w:r>
          </w:p>
        </w:tc>
        <w:tc>
          <w:tcPr>
            <w:tcW w:w="232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blHeader/>
        </w:trPr>
        <w:tc>
          <w:tcPr>
            <w:tcW w:w="920" w:type="pct"/>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eastAsia" w:ascii="宋体" w:hAnsi="宋体" w:eastAsia="宋体" w:cs="宋体"/>
                <w:b/>
                <w:bCs/>
                <w:i w:val="0"/>
                <w:iCs w:val="0"/>
                <w:color w:val="000000"/>
                <w:kern w:val="0"/>
                <w:sz w:val="22"/>
                <w:szCs w:val="22"/>
                <w:highlight w:val="none"/>
                <w:u w:val="none"/>
                <w:lang w:val="en-US" w:eastAsia="zh-CN" w:bidi="ar"/>
              </w:rPr>
            </w:pPr>
          </w:p>
        </w:tc>
        <w:tc>
          <w:tcPr>
            <w:tcW w:w="1753" w:type="pct"/>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eastAsia" w:ascii="宋体" w:hAnsi="宋体" w:eastAsia="宋体" w:cs="宋体"/>
                <w:b/>
                <w:bCs/>
                <w:i w:val="0"/>
                <w:iCs w:val="0"/>
                <w:color w:val="000000"/>
                <w:kern w:val="0"/>
                <w:sz w:val="22"/>
                <w:szCs w:val="22"/>
                <w:highlight w:val="none"/>
                <w:u w:val="none"/>
                <w:lang w:val="en-US" w:eastAsia="zh-CN" w:bidi="ar"/>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图例</w:t>
            </w: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RGB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公共管理与公共服务用地</w:t>
            </w:r>
          </w:p>
        </w:tc>
        <w:tc>
          <w:tcPr>
            <w:tcW w:w="1216" w:type="pct"/>
            <w:tcBorders>
              <w:top w:val="single" w:color="000000" w:sz="4" w:space="0"/>
              <w:left w:val="single" w:color="000000" w:sz="4" w:space="0"/>
              <w:bottom w:val="single" w:color="000000" w:sz="4" w:space="0"/>
              <w:right w:val="single" w:color="000000" w:sz="4" w:space="0"/>
            </w:tcBorders>
            <w:shd w:val="clear" w:color="auto" w:fill="FF80B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255,128,191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行政办公用地</w:t>
            </w:r>
          </w:p>
        </w:tc>
        <w:tc>
          <w:tcPr>
            <w:tcW w:w="1216" w:type="pct"/>
            <w:tcBorders>
              <w:top w:val="single" w:color="000000" w:sz="4" w:space="0"/>
              <w:left w:val="single" w:color="000000" w:sz="4" w:space="0"/>
              <w:bottom w:val="single" w:color="000000" w:sz="4" w:space="0"/>
              <w:right w:val="single" w:color="000000" w:sz="4" w:space="0"/>
            </w:tcBorders>
            <w:shd w:val="clear" w:color="auto" w:fill="FE00FE"/>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254,0,254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文化设施用地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FD84C7"/>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253,132,199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A21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图书展览设施用地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D832D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216,50,212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A22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文化活动用地</w:t>
            </w:r>
          </w:p>
        </w:tc>
        <w:tc>
          <w:tcPr>
            <w:tcW w:w="1216" w:type="pct"/>
            <w:tcBorders>
              <w:top w:val="single" w:color="000000" w:sz="4" w:space="0"/>
              <w:left w:val="single" w:color="000000" w:sz="4" w:space="0"/>
              <w:bottom w:val="single" w:color="000000" w:sz="4" w:space="0"/>
              <w:right w:val="single" w:color="000000" w:sz="4" w:space="0"/>
            </w:tcBorders>
            <w:shd w:val="clear" w:color="auto" w:fill="DB32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219,50,209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教育科研用地</w:t>
            </w:r>
          </w:p>
        </w:tc>
        <w:tc>
          <w:tcPr>
            <w:tcW w:w="1216" w:type="pct"/>
            <w:tcBorders>
              <w:top w:val="single" w:color="000000" w:sz="4" w:space="0"/>
              <w:left w:val="single" w:color="000000" w:sz="4" w:space="0"/>
              <w:bottom w:val="single" w:color="000000" w:sz="4" w:space="0"/>
              <w:right w:val="single" w:color="000000" w:sz="4" w:space="0"/>
            </w:tcBorders>
            <w:shd w:val="clear" w:color="auto" w:fill="E6005B"/>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230,0,91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A31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高等院校用地</w:t>
            </w:r>
          </w:p>
        </w:tc>
        <w:tc>
          <w:tcPr>
            <w:tcW w:w="1216" w:type="pct"/>
            <w:tcBorders>
              <w:top w:val="single" w:color="000000" w:sz="4" w:space="0"/>
              <w:left w:val="single" w:color="000000" w:sz="4" w:space="0"/>
              <w:bottom w:val="single" w:color="000000" w:sz="4" w:space="0"/>
              <w:right w:val="single" w:color="000000" w:sz="4" w:space="0"/>
            </w:tcBorders>
            <w:shd w:val="clear" w:color="auto" w:fill="F966E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249,102,224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A32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中等专业学校用地</w:t>
            </w:r>
          </w:p>
        </w:tc>
        <w:tc>
          <w:tcPr>
            <w:tcW w:w="1216" w:type="pct"/>
            <w:tcBorders>
              <w:top w:val="single" w:color="000000" w:sz="4" w:space="0"/>
              <w:left w:val="single" w:color="000000" w:sz="4" w:space="0"/>
              <w:bottom w:val="single" w:color="000000" w:sz="4" w:space="0"/>
              <w:right w:val="single" w:color="000000" w:sz="4" w:space="0"/>
            </w:tcBorders>
            <w:shd w:val="clear" w:color="auto" w:fill="FF63E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255,99,225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A33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中小学用地</w:t>
            </w:r>
          </w:p>
        </w:tc>
        <w:tc>
          <w:tcPr>
            <w:tcW w:w="1216" w:type="pct"/>
            <w:tcBorders>
              <w:top w:val="single" w:color="000000" w:sz="4" w:space="0"/>
              <w:left w:val="single" w:color="000000" w:sz="4" w:space="0"/>
              <w:bottom w:val="single" w:color="000000" w:sz="4" w:space="0"/>
              <w:right w:val="single" w:color="000000" w:sz="4" w:space="0"/>
            </w:tcBorders>
            <w:shd w:val="clear" w:color="auto" w:fill="FB66DD"/>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251,102,221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A34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特殊教育用地</w:t>
            </w:r>
          </w:p>
        </w:tc>
        <w:tc>
          <w:tcPr>
            <w:tcW w:w="1216" w:type="pct"/>
            <w:tcBorders>
              <w:top w:val="single" w:color="000000" w:sz="4" w:space="0"/>
              <w:left w:val="single" w:color="000000" w:sz="4" w:space="0"/>
              <w:bottom w:val="single" w:color="000000" w:sz="4" w:space="0"/>
              <w:right w:val="single" w:color="000000" w:sz="4" w:space="0"/>
            </w:tcBorders>
            <w:shd w:val="clear" w:color="auto" w:fill="FD64E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253,100,225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A35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科研用地</w:t>
            </w:r>
          </w:p>
        </w:tc>
        <w:tc>
          <w:tcPr>
            <w:tcW w:w="1216" w:type="pct"/>
            <w:tcBorders>
              <w:top w:val="single" w:color="000000" w:sz="4" w:space="0"/>
              <w:left w:val="single" w:color="000000" w:sz="4" w:space="0"/>
              <w:bottom w:val="single" w:color="000000" w:sz="4" w:space="0"/>
              <w:right w:val="single" w:color="000000" w:sz="4" w:space="0"/>
            </w:tcBorders>
            <w:shd w:val="clear" w:color="auto" w:fill="F468E5"/>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244,104,229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体育用地</w:t>
            </w:r>
          </w:p>
        </w:tc>
        <w:tc>
          <w:tcPr>
            <w:tcW w:w="1216" w:type="pct"/>
            <w:tcBorders>
              <w:top w:val="single" w:color="000000" w:sz="4" w:space="0"/>
              <w:left w:val="single" w:color="000000" w:sz="4" w:space="0"/>
              <w:bottom w:val="single" w:color="000000" w:sz="4" w:space="0"/>
              <w:right w:val="single" w:color="000000" w:sz="4" w:space="0"/>
            </w:tcBorders>
            <w:shd w:val="clear" w:color="auto" w:fill="00A57B"/>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0,165,123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A41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体育场馆用地</w:t>
            </w:r>
          </w:p>
        </w:tc>
        <w:tc>
          <w:tcPr>
            <w:tcW w:w="1216" w:type="pct"/>
            <w:tcBorders>
              <w:top w:val="single" w:color="000000" w:sz="4" w:space="0"/>
              <w:left w:val="single" w:color="000000" w:sz="4" w:space="0"/>
              <w:bottom w:val="single" w:color="000000" w:sz="4" w:space="0"/>
              <w:right w:val="single" w:color="000000" w:sz="4" w:space="0"/>
            </w:tcBorders>
            <w:shd w:val="clear" w:color="auto" w:fill="FE7DB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254,125,191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A42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体育训练用地</w:t>
            </w:r>
          </w:p>
        </w:tc>
        <w:tc>
          <w:tcPr>
            <w:tcW w:w="1216" w:type="pct"/>
            <w:tcBorders>
              <w:top w:val="single" w:color="000000" w:sz="4" w:space="0"/>
              <w:left w:val="single" w:color="000000" w:sz="4" w:space="0"/>
              <w:bottom w:val="single" w:color="000000" w:sz="4" w:space="0"/>
              <w:right w:val="single" w:color="000000" w:sz="4" w:space="0"/>
            </w:tcBorders>
            <w:shd w:val="clear" w:color="auto" w:fill="FC7FC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252,127,196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医疗卫生用地</w:t>
            </w:r>
          </w:p>
        </w:tc>
        <w:tc>
          <w:tcPr>
            <w:tcW w:w="1216" w:type="pct"/>
            <w:tcBorders>
              <w:top w:val="single" w:color="000000" w:sz="4" w:space="0"/>
              <w:left w:val="single" w:color="000000" w:sz="4" w:space="0"/>
              <w:bottom w:val="single" w:color="000000" w:sz="4" w:space="0"/>
              <w:right w:val="single" w:color="000000" w:sz="4" w:space="0"/>
            </w:tcBorders>
            <w:shd w:val="clear" w:color="auto" w:fill="FF7F7E"/>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255,127,126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A51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医院用地</w:t>
            </w:r>
          </w:p>
        </w:tc>
        <w:tc>
          <w:tcPr>
            <w:tcW w:w="1216" w:type="pct"/>
            <w:tcBorders>
              <w:top w:val="single" w:color="000000" w:sz="4" w:space="0"/>
              <w:left w:val="single" w:color="000000" w:sz="4" w:space="0"/>
              <w:bottom w:val="single" w:color="000000" w:sz="4" w:space="0"/>
              <w:right w:val="single" w:color="000000" w:sz="4" w:space="0"/>
            </w:tcBorders>
            <w:shd w:val="clear" w:color="auto" w:fill="FC7E7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252,126,127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A52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卫生防疫用地</w:t>
            </w:r>
          </w:p>
        </w:tc>
        <w:tc>
          <w:tcPr>
            <w:tcW w:w="1216" w:type="pct"/>
            <w:tcBorders>
              <w:top w:val="single" w:color="000000" w:sz="4" w:space="0"/>
              <w:left w:val="single" w:color="000000" w:sz="4" w:space="0"/>
              <w:bottom w:val="single" w:color="000000" w:sz="4" w:space="0"/>
              <w:right w:val="single" w:color="000000" w:sz="4" w:space="0"/>
            </w:tcBorders>
            <w:shd w:val="clear" w:color="auto" w:fill="F97F8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249,127,132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A53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特殊医疗用地</w:t>
            </w:r>
          </w:p>
        </w:tc>
        <w:tc>
          <w:tcPr>
            <w:tcW w:w="1216" w:type="pct"/>
            <w:tcBorders>
              <w:top w:val="single" w:color="000000" w:sz="4" w:space="0"/>
              <w:left w:val="single" w:color="000000" w:sz="4" w:space="0"/>
              <w:bottom w:val="single" w:color="000000" w:sz="4" w:space="0"/>
              <w:right w:val="single" w:color="000000" w:sz="4" w:space="0"/>
            </w:tcBorders>
            <w:shd w:val="clear" w:color="auto" w:fill="FF7A82"/>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255,122,130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A59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其他医疗卫生用地</w:t>
            </w:r>
          </w:p>
        </w:tc>
        <w:tc>
          <w:tcPr>
            <w:tcW w:w="1216" w:type="pct"/>
            <w:tcBorders>
              <w:top w:val="single" w:color="000000" w:sz="4" w:space="0"/>
              <w:left w:val="single" w:color="000000" w:sz="4" w:space="0"/>
              <w:bottom w:val="single" w:color="000000" w:sz="4" w:space="0"/>
              <w:right w:val="single" w:color="000000" w:sz="4" w:space="0"/>
            </w:tcBorders>
            <w:shd w:val="clear" w:color="auto" w:fill="FE7D8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254,125,128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A6</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社会福利设施用地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FF9F7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255,159,127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A7</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文物古迹用地</w:t>
            </w:r>
          </w:p>
        </w:tc>
        <w:tc>
          <w:tcPr>
            <w:tcW w:w="1216" w:type="pct"/>
            <w:tcBorders>
              <w:top w:val="single" w:color="000000" w:sz="4" w:space="0"/>
              <w:left w:val="single" w:color="000000" w:sz="4" w:space="0"/>
              <w:bottom w:val="single" w:color="000000" w:sz="4" w:space="0"/>
              <w:right w:val="single" w:color="000000" w:sz="4" w:space="0"/>
            </w:tcBorders>
            <w:shd w:val="clear" w:color="auto" w:fill="B26B6C"/>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178,107,108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A8</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外事用地</w:t>
            </w:r>
          </w:p>
        </w:tc>
        <w:tc>
          <w:tcPr>
            <w:tcW w:w="1216" w:type="pct"/>
            <w:tcBorders>
              <w:top w:val="single" w:color="000000" w:sz="4" w:space="0"/>
              <w:left w:val="single" w:color="000000" w:sz="4" w:space="0"/>
              <w:bottom w:val="single" w:color="000000" w:sz="4" w:space="0"/>
              <w:right w:val="single" w:color="000000" w:sz="4" w:space="0"/>
            </w:tcBorders>
            <w:shd w:val="clear" w:color="auto" w:fill="B07E87"/>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176,126,135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宗教设施用地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D276A2"/>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210,118,162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商业服务业设施用地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FE00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商业用地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零售商业用地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FE000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B12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批发市场用地</w:t>
            </w:r>
          </w:p>
        </w:tc>
        <w:tc>
          <w:tcPr>
            <w:tcW w:w="1216" w:type="pct"/>
            <w:tcBorders>
              <w:top w:val="single" w:color="000000" w:sz="4" w:space="0"/>
              <w:left w:val="single" w:color="000000" w:sz="4" w:space="0"/>
              <w:bottom w:val="single" w:color="000000" w:sz="4" w:space="0"/>
              <w:right w:val="single" w:color="000000" w:sz="4" w:space="0"/>
            </w:tcBorders>
            <w:shd w:val="clear" w:color="auto" w:fill="FD000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B13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餐饮用地</w:t>
            </w:r>
          </w:p>
        </w:tc>
        <w:tc>
          <w:tcPr>
            <w:tcW w:w="1216" w:type="pct"/>
            <w:tcBorders>
              <w:top w:val="single" w:color="000000" w:sz="4" w:space="0"/>
              <w:left w:val="single" w:color="000000" w:sz="4" w:space="0"/>
              <w:bottom w:val="single" w:color="000000" w:sz="4" w:space="0"/>
              <w:right w:val="single" w:color="000000" w:sz="4" w:space="0"/>
            </w:tcBorders>
            <w:shd w:val="clear" w:color="auto" w:fill="F006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240,6,0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B14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旅馆用地</w:t>
            </w:r>
          </w:p>
        </w:tc>
        <w:tc>
          <w:tcPr>
            <w:tcW w:w="1216" w:type="pct"/>
            <w:tcBorders>
              <w:top w:val="single" w:color="000000" w:sz="4" w:space="0"/>
              <w:left w:val="single" w:color="000000" w:sz="4" w:space="0"/>
              <w:bottom w:val="single" w:color="000000" w:sz="4" w:space="0"/>
              <w:right w:val="single" w:color="000000" w:sz="4" w:space="0"/>
            </w:tcBorders>
            <w:shd w:val="clear" w:color="auto" w:fill="EF08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商务用地</w:t>
            </w:r>
          </w:p>
        </w:tc>
        <w:tc>
          <w:tcPr>
            <w:tcW w:w="1216" w:type="pct"/>
            <w:tcBorders>
              <w:top w:val="single" w:color="000000" w:sz="4" w:space="0"/>
              <w:left w:val="single" w:color="000000" w:sz="4" w:space="0"/>
              <w:bottom w:val="single" w:color="000000" w:sz="4" w:space="0"/>
              <w:right w:val="single" w:color="000000" w:sz="4" w:space="0"/>
            </w:tcBorders>
            <w:shd w:val="clear" w:color="auto" w:fill="FF7F7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255,127,127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B21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金融保险业用地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E5175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229,23,89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B22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艺术传媒产业用地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F70E5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247,14,89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B29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其他商务设施用地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EF135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239,19,88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娱乐康体用地</w:t>
            </w:r>
          </w:p>
        </w:tc>
        <w:tc>
          <w:tcPr>
            <w:tcW w:w="1216" w:type="pct"/>
            <w:tcBorders>
              <w:top w:val="single" w:color="000000" w:sz="4" w:space="0"/>
              <w:left w:val="single" w:color="000000" w:sz="4" w:space="0"/>
              <w:bottom w:val="single" w:color="000000" w:sz="4" w:space="0"/>
              <w:right w:val="single" w:color="000000" w:sz="4" w:space="0"/>
            </w:tcBorders>
            <w:shd w:val="clear" w:color="auto" w:fill="B300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B31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娱乐用地</w:t>
            </w:r>
          </w:p>
        </w:tc>
        <w:tc>
          <w:tcPr>
            <w:tcW w:w="1216" w:type="pct"/>
            <w:tcBorders>
              <w:top w:val="single" w:color="000000" w:sz="4" w:space="0"/>
              <w:left w:val="single" w:color="000000" w:sz="4" w:space="0"/>
              <w:bottom w:val="single" w:color="000000" w:sz="4" w:space="0"/>
              <w:right w:val="single" w:color="000000" w:sz="4" w:space="0"/>
            </w:tcBorders>
            <w:shd w:val="clear" w:color="auto" w:fill="B300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B32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康体用地</w:t>
            </w:r>
          </w:p>
        </w:tc>
        <w:tc>
          <w:tcPr>
            <w:tcW w:w="1216" w:type="pct"/>
            <w:tcBorders>
              <w:top w:val="single" w:color="000000" w:sz="4" w:space="0"/>
              <w:left w:val="single" w:color="000000" w:sz="4" w:space="0"/>
              <w:bottom w:val="single" w:color="000000" w:sz="4" w:space="0"/>
              <w:right w:val="single" w:color="000000" w:sz="4" w:space="0"/>
            </w:tcBorders>
            <w:shd w:val="clear" w:color="auto" w:fill="BA00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公用设施营业网点用地</w:t>
            </w:r>
          </w:p>
        </w:tc>
        <w:tc>
          <w:tcPr>
            <w:tcW w:w="1216" w:type="pct"/>
            <w:tcBorders>
              <w:top w:val="single" w:color="000000" w:sz="4" w:space="0"/>
              <w:left w:val="single" w:color="000000" w:sz="4" w:space="0"/>
              <w:bottom w:val="single" w:color="000000" w:sz="4" w:space="0"/>
              <w:right w:val="single" w:color="000000" w:sz="4" w:space="0"/>
            </w:tcBorders>
            <w:shd w:val="clear" w:color="auto" w:fill="7F4697"/>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127,70,151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B41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加油加气站用地</w:t>
            </w:r>
          </w:p>
        </w:tc>
        <w:tc>
          <w:tcPr>
            <w:tcW w:w="1216" w:type="pct"/>
            <w:tcBorders>
              <w:top w:val="single" w:color="000000" w:sz="4" w:space="0"/>
              <w:left w:val="single" w:color="000000" w:sz="4" w:space="0"/>
              <w:bottom w:val="single" w:color="000000" w:sz="4" w:space="0"/>
              <w:right w:val="single" w:color="000000" w:sz="4" w:space="0"/>
            </w:tcBorders>
            <w:shd w:val="clear" w:color="auto" w:fill="B3431D"/>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179,67,29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B49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其他公用设施营业网点用地</w:t>
            </w:r>
          </w:p>
        </w:tc>
        <w:tc>
          <w:tcPr>
            <w:tcW w:w="1216" w:type="pct"/>
            <w:tcBorders>
              <w:top w:val="single" w:color="000000" w:sz="4" w:space="0"/>
              <w:left w:val="single" w:color="000000" w:sz="4" w:space="0"/>
              <w:bottom w:val="single" w:color="000000" w:sz="4" w:space="0"/>
              <w:right w:val="single" w:color="000000" w:sz="4" w:space="0"/>
            </w:tcBorders>
            <w:shd w:val="clear" w:color="auto" w:fill="B2451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178,69,24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其他服务设施用地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B62D4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182,45,72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非建设用地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00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0,255,255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水域</w:t>
            </w:r>
          </w:p>
        </w:tc>
        <w:tc>
          <w:tcPr>
            <w:tcW w:w="1216" w:type="pct"/>
            <w:tcBorders>
              <w:top w:val="single" w:color="000000" w:sz="4" w:space="0"/>
              <w:left w:val="single" w:color="000000" w:sz="4" w:space="0"/>
              <w:bottom w:val="single" w:color="000000" w:sz="4" w:space="0"/>
              <w:right w:val="single" w:color="000000" w:sz="4" w:space="0"/>
            </w:tcBorders>
            <w:shd w:val="clear" w:color="auto" w:fill="49C0EB"/>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73,192,235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自然水域</w:t>
            </w:r>
          </w:p>
        </w:tc>
        <w:tc>
          <w:tcPr>
            <w:tcW w:w="1216" w:type="pct"/>
            <w:tcBorders>
              <w:top w:val="single" w:color="000000" w:sz="4" w:space="0"/>
              <w:left w:val="single" w:color="000000" w:sz="4" w:space="0"/>
              <w:bottom w:val="single" w:color="000000" w:sz="4" w:space="0"/>
              <w:right w:val="single" w:color="000000" w:sz="4" w:space="0"/>
            </w:tcBorders>
            <w:shd w:val="clear" w:color="auto" w:fill="6D91CB"/>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109,145,203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E12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水库</w:t>
            </w:r>
          </w:p>
        </w:tc>
        <w:tc>
          <w:tcPr>
            <w:tcW w:w="1216" w:type="pct"/>
            <w:tcBorders>
              <w:top w:val="single" w:color="000000" w:sz="4" w:space="0"/>
              <w:left w:val="single" w:color="000000" w:sz="4" w:space="0"/>
              <w:bottom w:val="single" w:color="000000" w:sz="4" w:space="0"/>
              <w:right w:val="single" w:color="000000" w:sz="4" w:space="0"/>
            </w:tcBorders>
            <w:shd w:val="clear" w:color="auto" w:fill="6D91CB"/>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109,145,203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E13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坑塘沟渠</w:t>
            </w:r>
          </w:p>
        </w:tc>
        <w:tc>
          <w:tcPr>
            <w:tcW w:w="1216" w:type="pct"/>
            <w:tcBorders>
              <w:top w:val="single" w:color="000000" w:sz="4" w:space="0"/>
              <w:left w:val="single" w:color="000000" w:sz="4" w:space="0"/>
              <w:bottom w:val="single" w:color="000000" w:sz="4" w:space="0"/>
              <w:right w:val="single" w:color="000000" w:sz="4" w:space="0"/>
            </w:tcBorders>
            <w:shd w:val="clear" w:color="auto" w:fill="6D91CB"/>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109,145,203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农林用地</w:t>
            </w:r>
          </w:p>
        </w:tc>
        <w:tc>
          <w:tcPr>
            <w:tcW w:w="1216" w:type="pct"/>
            <w:tcBorders>
              <w:top w:val="single" w:color="000000" w:sz="4" w:space="0"/>
              <w:left w:val="single" w:color="000000" w:sz="4" w:space="0"/>
              <w:bottom w:val="single" w:color="000000" w:sz="4" w:space="0"/>
              <w:right w:val="single" w:color="000000" w:sz="4" w:space="0"/>
            </w:tcBorders>
            <w:shd w:val="clear" w:color="auto" w:fill="59861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89,134,31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E9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其他非建设用地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255,255,255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绿地与广场用地</w:t>
            </w:r>
          </w:p>
        </w:tc>
        <w:tc>
          <w:tcPr>
            <w:tcW w:w="1216" w:type="pct"/>
            <w:tcBorders>
              <w:top w:val="single" w:color="000000" w:sz="4" w:space="0"/>
              <w:left w:val="single" w:color="000000" w:sz="4" w:space="0"/>
              <w:bottom w:val="single" w:color="000000" w:sz="4" w:space="0"/>
              <w:right w:val="single" w:color="000000" w:sz="4" w:space="0"/>
            </w:tcBorders>
            <w:shd w:val="clear" w:color="auto" w:fill="08F90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公园绿地</w:t>
            </w:r>
          </w:p>
        </w:tc>
        <w:tc>
          <w:tcPr>
            <w:tcW w:w="1216" w:type="pct"/>
            <w:tcBorders>
              <w:top w:val="single" w:color="000000" w:sz="4" w:space="0"/>
              <w:left w:val="single" w:color="000000" w:sz="4" w:space="0"/>
              <w:bottom w:val="single" w:color="000000" w:sz="4" w:space="0"/>
              <w:right w:val="single" w:color="000000" w:sz="4" w:space="0"/>
            </w:tcBorders>
            <w:shd w:val="clear" w:color="auto" w:fill="08F90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防护绿地</w:t>
            </w:r>
          </w:p>
        </w:tc>
        <w:tc>
          <w:tcPr>
            <w:tcW w:w="1216" w:type="pct"/>
            <w:tcBorders>
              <w:top w:val="single" w:color="000000" w:sz="4" w:space="0"/>
              <w:left w:val="single" w:color="000000" w:sz="4" w:space="0"/>
              <w:bottom w:val="single" w:color="000000" w:sz="4" w:space="0"/>
              <w:right w:val="single" w:color="000000" w:sz="4" w:space="0"/>
            </w:tcBorders>
            <w:shd w:val="clear" w:color="auto" w:fill="31BA4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49,186,72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广场用地</w:t>
            </w:r>
          </w:p>
        </w:tc>
        <w:tc>
          <w:tcPr>
            <w:tcW w:w="1216" w:type="pct"/>
            <w:tcBorders>
              <w:top w:val="single" w:color="000000" w:sz="4" w:space="0"/>
              <w:left w:val="single" w:color="000000" w:sz="4" w:space="0"/>
              <w:bottom w:val="single" w:color="000000" w:sz="4" w:space="0"/>
              <w:right w:val="single" w:color="000000" w:sz="4" w:space="0"/>
            </w:tcBorders>
            <w:shd w:val="clear" w:color="auto" w:fill="84C89D"/>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132,200,157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A97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202,151,0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城乡居民点建设用地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A97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202,151,0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城市建设用地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A97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202,151,0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H12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镇建设用地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A97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202,151,0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H13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乡建设用地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D950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205,149,3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H14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村庄建设用地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4970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196,151,3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区域交通设施用地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84848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132,132,132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H21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铁路用地</w:t>
            </w:r>
          </w:p>
        </w:tc>
        <w:tc>
          <w:tcPr>
            <w:tcW w:w="1216" w:type="pct"/>
            <w:tcBorders>
              <w:top w:val="single" w:color="000000" w:sz="4" w:space="0"/>
              <w:left w:val="single" w:color="000000" w:sz="4" w:space="0"/>
              <w:bottom w:val="single" w:color="000000" w:sz="4" w:space="0"/>
              <w:right w:val="single" w:color="000000" w:sz="4" w:space="0"/>
            </w:tcBorders>
            <w:shd w:val="clear" w:color="auto" w:fill="D2D2D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210,210,211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H22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公路用地</w:t>
            </w:r>
          </w:p>
        </w:tc>
        <w:tc>
          <w:tcPr>
            <w:tcW w:w="1216" w:type="pct"/>
            <w:tcBorders>
              <w:top w:val="single" w:color="000000" w:sz="4" w:space="0"/>
              <w:left w:val="single" w:color="000000" w:sz="4" w:space="0"/>
              <w:bottom w:val="single" w:color="000000" w:sz="4" w:space="0"/>
              <w:right w:val="single" w:color="000000" w:sz="4" w:space="0"/>
            </w:tcBorders>
            <w:shd w:val="clear" w:color="auto" w:fill="D3D3D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211,211,211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H23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港口用地</w:t>
            </w:r>
          </w:p>
        </w:tc>
        <w:tc>
          <w:tcPr>
            <w:tcW w:w="1216" w:type="pct"/>
            <w:tcBorders>
              <w:top w:val="single" w:color="000000" w:sz="4" w:space="0"/>
              <w:left w:val="single" w:color="000000" w:sz="4" w:space="0"/>
              <w:bottom w:val="single" w:color="000000" w:sz="4" w:space="0"/>
              <w:right w:val="single" w:color="000000" w:sz="4" w:space="0"/>
            </w:tcBorders>
            <w:shd w:val="clear" w:color="auto" w:fill="D3D3D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211,211,211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H24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机场用地</w:t>
            </w:r>
          </w:p>
        </w:tc>
        <w:tc>
          <w:tcPr>
            <w:tcW w:w="1216" w:type="pct"/>
            <w:tcBorders>
              <w:top w:val="single" w:color="000000" w:sz="4" w:space="0"/>
              <w:left w:val="single" w:color="000000" w:sz="4" w:space="0"/>
              <w:bottom w:val="single" w:color="000000" w:sz="4" w:space="0"/>
              <w:right w:val="single" w:color="000000" w:sz="4" w:space="0"/>
            </w:tcBorders>
            <w:shd w:val="clear" w:color="auto" w:fill="D1D1D2"/>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209,209,210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H25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管道运输用地</w:t>
            </w:r>
          </w:p>
        </w:tc>
        <w:tc>
          <w:tcPr>
            <w:tcW w:w="1216" w:type="pct"/>
            <w:tcBorders>
              <w:top w:val="single" w:color="000000" w:sz="4" w:space="0"/>
              <w:left w:val="single" w:color="000000" w:sz="4" w:space="0"/>
              <w:bottom w:val="single" w:color="000000" w:sz="4" w:space="0"/>
              <w:right w:val="single" w:color="000000" w:sz="4" w:space="0"/>
            </w:tcBorders>
            <w:shd w:val="clear" w:color="auto" w:fill="D4D4D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212,212,212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区域公用设施用地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005B8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0,91,128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特殊用地</w:t>
            </w:r>
          </w:p>
        </w:tc>
        <w:tc>
          <w:tcPr>
            <w:tcW w:w="1216" w:type="pct"/>
            <w:tcBorders>
              <w:top w:val="single" w:color="000000" w:sz="4" w:space="0"/>
              <w:left w:val="single" w:color="000000" w:sz="4" w:space="0"/>
              <w:bottom w:val="single" w:color="000000" w:sz="4" w:space="0"/>
              <w:right w:val="single" w:color="000000" w:sz="4" w:space="0"/>
            </w:tcBorders>
            <w:shd w:val="clear" w:color="auto" w:fill="83BCD7"/>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131,188,215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H41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军事用地</w:t>
            </w:r>
          </w:p>
        </w:tc>
        <w:tc>
          <w:tcPr>
            <w:tcW w:w="1216" w:type="pct"/>
            <w:tcBorders>
              <w:top w:val="single" w:color="000000" w:sz="4" w:space="0"/>
              <w:left w:val="single" w:color="000000" w:sz="4" w:space="0"/>
              <w:bottom w:val="single" w:color="000000" w:sz="4" w:space="0"/>
              <w:right w:val="single" w:color="000000" w:sz="4" w:space="0"/>
            </w:tcBorders>
            <w:shd w:val="clear" w:color="auto" w:fill="A3D09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163,208,159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H42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安保用地</w:t>
            </w:r>
          </w:p>
        </w:tc>
        <w:tc>
          <w:tcPr>
            <w:tcW w:w="1216" w:type="pct"/>
            <w:tcBorders>
              <w:top w:val="single" w:color="000000" w:sz="4" w:space="0"/>
              <w:left w:val="single" w:color="000000" w:sz="4" w:space="0"/>
              <w:bottom w:val="single" w:color="000000" w:sz="4" w:space="0"/>
              <w:right w:val="single" w:color="000000" w:sz="4" w:space="0"/>
            </w:tcBorders>
            <w:shd w:val="clear" w:color="auto" w:fill="9ED49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158,212,152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采矿用地</w:t>
            </w:r>
          </w:p>
        </w:tc>
        <w:tc>
          <w:tcPr>
            <w:tcW w:w="1216" w:type="pct"/>
            <w:tcBorders>
              <w:top w:val="single" w:color="000000" w:sz="4" w:space="0"/>
              <w:left w:val="single" w:color="000000" w:sz="4" w:space="0"/>
              <w:bottom w:val="single" w:color="000000" w:sz="4" w:space="0"/>
              <w:right w:val="single" w:color="000000" w:sz="4" w:space="0"/>
            </w:tcBorders>
            <w:shd w:val="clear" w:color="auto" w:fill="54464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84,70,67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其他建设用地</w:t>
            </w:r>
          </w:p>
        </w:tc>
        <w:tc>
          <w:tcPr>
            <w:tcW w:w="1216" w:type="pct"/>
            <w:tcBorders>
              <w:top w:val="single" w:color="000000" w:sz="4" w:space="0"/>
              <w:left w:val="single" w:color="000000" w:sz="4" w:space="0"/>
              <w:bottom w:val="single" w:color="000000" w:sz="4" w:space="0"/>
              <w:right w:val="single" w:color="000000" w:sz="4" w:space="0"/>
            </w:tcBorders>
            <w:shd w:val="clear" w:color="auto" w:fill="C5D9E2"/>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197,217,226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K</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备用地</w:t>
            </w:r>
          </w:p>
        </w:tc>
        <w:tc>
          <w:tcPr>
            <w:tcW w:w="1216" w:type="pct"/>
            <w:tcBorders>
              <w:top w:val="single" w:color="000000" w:sz="4" w:space="0"/>
              <w:left w:val="single" w:color="000000" w:sz="4" w:space="0"/>
              <w:bottom w:val="single" w:color="000000" w:sz="4" w:space="0"/>
              <w:right w:val="single" w:color="000000" w:sz="4" w:space="0"/>
            </w:tcBorders>
            <w:shd w:val="clear" w:color="auto" w:fill="FEFEFE"/>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254,254,254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BA967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186,150,116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M0</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创新型产业用地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4D39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77,57,0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一类工业用地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C99B6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201,155,96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二类工业用地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A67C5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166,124,80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三类工业用地</w:t>
            </w:r>
          </w:p>
        </w:tc>
        <w:tc>
          <w:tcPr>
            <w:tcW w:w="1216" w:type="pct"/>
            <w:tcBorders>
              <w:top w:val="single" w:color="000000" w:sz="4" w:space="0"/>
              <w:left w:val="single" w:color="000000" w:sz="4" w:space="0"/>
              <w:bottom w:val="single" w:color="000000" w:sz="4" w:space="0"/>
              <w:right w:val="single" w:color="000000" w:sz="4" w:space="0"/>
            </w:tcBorders>
            <w:shd w:val="clear" w:color="auto" w:fill="8C623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140,98,57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居住用地</w:t>
            </w:r>
          </w:p>
        </w:tc>
        <w:tc>
          <w:tcPr>
            <w:tcW w:w="121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255,255,0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一类居住用地</w:t>
            </w:r>
          </w:p>
        </w:tc>
        <w:tc>
          <w:tcPr>
            <w:tcW w:w="1216" w:type="pct"/>
            <w:tcBorders>
              <w:top w:val="single" w:color="000000" w:sz="4" w:space="0"/>
              <w:left w:val="single" w:color="000000" w:sz="4" w:space="0"/>
              <w:bottom w:val="single" w:color="000000" w:sz="4" w:space="0"/>
              <w:right w:val="single" w:color="000000" w:sz="4" w:space="0"/>
            </w:tcBorders>
            <w:shd w:val="clear" w:color="auto" w:fill="E4C57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228,197,115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一类住宅用地</w:t>
            </w:r>
          </w:p>
        </w:tc>
        <w:tc>
          <w:tcPr>
            <w:tcW w:w="1216" w:type="pct"/>
            <w:tcBorders>
              <w:top w:val="single" w:color="000000" w:sz="4" w:space="0"/>
              <w:left w:val="single" w:color="000000" w:sz="4" w:space="0"/>
              <w:bottom w:val="single" w:color="000000" w:sz="4" w:space="0"/>
              <w:right w:val="single" w:color="000000" w:sz="4" w:space="0"/>
            </w:tcBorders>
            <w:shd w:val="clear" w:color="auto" w:fill="FDFA0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R12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一类公共服务设施用地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ECBB8A"/>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236,187,138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二类居住用地</w:t>
            </w:r>
          </w:p>
        </w:tc>
        <w:tc>
          <w:tcPr>
            <w:tcW w:w="1216" w:type="pct"/>
            <w:tcBorders>
              <w:top w:val="single" w:color="000000" w:sz="4" w:space="0"/>
              <w:left w:val="single" w:color="000000" w:sz="4" w:space="0"/>
              <w:bottom w:val="single" w:color="000000" w:sz="4" w:space="0"/>
              <w:right w:val="single" w:color="000000" w:sz="4" w:space="0"/>
            </w:tcBorders>
            <w:shd w:val="clear" w:color="auto" w:fill="FAFF0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250,255,3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R21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二类住宅用地</w:t>
            </w:r>
          </w:p>
        </w:tc>
        <w:tc>
          <w:tcPr>
            <w:tcW w:w="1216" w:type="pct"/>
            <w:tcBorders>
              <w:top w:val="single" w:color="000000" w:sz="4" w:space="0"/>
              <w:left w:val="single" w:color="000000" w:sz="4" w:space="0"/>
              <w:bottom w:val="single" w:color="000000" w:sz="4" w:space="0"/>
              <w:right w:val="single" w:color="000000" w:sz="4" w:space="0"/>
            </w:tcBorders>
            <w:shd w:val="clear" w:color="auto" w:fill="FAFF0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250,255,3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R22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二类服务设施用地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EEBA8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238,186,136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三类居住用地</w:t>
            </w:r>
          </w:p>
        </w:tc>
        <w:tc>
          <w:tcPr>
            <w:tcW w:w="1216" w:type="pct"/>
            <w:tcBorders>
              <w:top w:val="single" w:color="000000" w:sz="4" w:space="0"/>
              <w:left w:val="single" w:color="000000" w:sz="4" w:space="0"/>
              <w:bottom w:val="single" w:color="000000" w:sz="4" w:space="0"/>
              <w:right w:val="single" w:color="000000" w:sz="4" w:space="0"/>
            </w:tcBorders>
            <w:shd w:val="clear" w:color="auto" w:fill="CEC96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206,201,102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R31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三类住宅用地</w:t>
            </w:r>
          </w:p>
        </w:tc>
        <w:tc>
          <w:tcPr>
            <w:tcW w:w="1216" w:type="pct"/>
            <w:tcBorders>
              <w:top w:val="single" w:color="000000" w:sz="4" w:space="0"/>
              <w:left w:val="single" w:color="000000" w:sz="4" w:space="0"/>
              <w:bottom w:val="single" w:color="000000" w:sz="4" w:space="0"/>
              <w:right w:val="single" w:color="000000" w:sz="4" w:space="0"/>
            </w:tcBorders>
            <w:shd w:val="clear" w:color="auto" w:fill="CEC96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206,201,102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R32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三类服务设施用地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F5BD7C"/>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245,189,124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道路与交通设施用地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B7B7B7"/>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183,183,183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城市道路用地</w:t>
            </w:r>
          </w:p>
        </w:tc>
        <w:tc>
          <w:tcPr>
            <w:tcW w:w="1216" w:type="pct"/>
            <w:tcBorders>
              <w:top w:val="single" w:color="000000" w:sz="4" w:space="0"/>
              <w:left w:val="single" w:color="000000" w:sz="4" w:space="0"/>
              <w:bottom w:val="single" w:color="000000" w:sz="4" w:space="0"/>
              <w:right w:val="single" w:color="000000" w:sz="4" w:space="0"/>
            </w:tcBorders>
            <w:shd w:val="clear" w:color="auto" w:fill="D3D3D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211,211,211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城市轨道交通用地</w:t>
            </w:r>
          </w:p>
        </w:tc>
        <w:tc>
          <w:tcPr>
            <w:tcW w:w="1216" w:type="pct"/>
            <w:tcBorders>
              <w:top w:val="single" w:color="000000" w:sz="4" w:space="0"/>
              <w:left w:val="single" w:color="000000" w:sz="4" w:space="0"/>
              <w:bottom w:val="single" w:color="000000" w:sz="4" w:space="0"/>
              <w:right w:val="single" w:color="000000" w:sz="4" w:space="0"/>
            </w:tcBorders>
            <w:shd w:val="clear" w:color="auto" w:fill="E6E6E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230,230,230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交通枢纽用地</w:t>
            </w:r>
          </w:p>
        </w:tc>
        <w:tc>
          <w:tcPr>
            <w:tcW w:w="1216"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191,191,191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交通场站用地</w:t>
            </w:r>
          </w:p>
        </w:tc>
        <w:tc>
          <w:tcPr>
            <w:tcW w:w="1216" w:type="pct"/>
            <w:tcBorders>
              <w:top w:val="single" w:color="000000" w:sz="4" w:space="0"/>
              <w:left w:val="single" w:color="000000" w:sz="4" w:space="0"/>
              <w:bottom w:val="single" w:color="000000" w:sz="4" w:space="0"/>
              <w:right w:val="single" w:color="000000" w:sz="4" w:space="0"/>
            </w:tcBorders>
            <w:shd w:val="clear" w:color="auto" w:fill="ACACAC"/>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172,172,172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S41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公共交通场站用地</w:t>
            </w:r>
          </w:p>
        </w:tc>
        <w:tc>
          <w:tcPr>
            <w:tcW w:w="1216" w:type="pct"/>
            <w:tcBorders>
              <w:top w:val="single" w:color="000000" w:sz="4" w:space="0"/>
              <w:left w:val="single" w:color="000000" w:sz="4" w:space="0"/>
              <w:bottom w:val="single" w:color="000000" w:sz="4" w:space="0"/>
              <w:right w:val="single" w:color="000000" w:sz="4" w:space="0"/>
            </w:tcBorders>
            <w:shd w:val="clear" w:color="auto" w:fill="ACACAC"/>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172,172,172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S42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社会停车场用地</w:t>
            </w:r>
          </w:p>
        </w:tc>
        <w:tc>
          <w:tcPr>
            <w:tcW w:w="1216" w:type="pct"/>
            <w:tcBorders>
              <w:top w:val="single" w:color="000000" w:sz="4" w:space="0"/>
              <w:left w:val="single" w:color="000000" w:sz="4" w:space="0"/>
              <w:bottom w:val="single" w:color="000000" w:sz="4" w:space="0"/>
              <w:right w:val="single" w:color="000000" w:sz="4" w:space="0"/>
            </w:tcBorders>
            <w:shd w:val="clear" w:color="auto" w:fill="ACACAC"/>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172,172,172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其他交通设施用地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9A8673"/>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154,134,115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公用设施用地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7DA6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125,166,217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供应设施用地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7DA6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125,166,217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供水用地</w:t>
            </w:r>
          </w:p>
        </w:tc>
        <w:tc>
          <w:tcPr>
            <w:tcW w:w="1216" w:type="pct"/>
            <w:tcBorders>
              <w:top w:val="single" w:color="000000" w:sz="4" w:space="0"/>
              <w:left w:val="single" w:color="000000" w:sz="4" w:space="0"/>
              <w:bottom w:val="single" w:color="000000" w:sz="4" w:space="0"/>
              <w:right w:val="single" w:color="000000" w:sz="4" w:space="0"/>
            </w:tcBorders>
            <w:shd w:val="clear" w:color="auto" w:fill="7DA6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125,166,217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供电用地</w:t>
            </w:r>
          </w:p>
        </w:tc>
        <w:tc>
          <w:tcPr>
            <w:tcW w:w="1216" w:type="pct"/>
            <w:tcBorders>
              <w:top w:val="single" w:color="000000" w:sz="4" w:space="0"/>
              <w:left w:val="single" w:color="000000" w:sz="4" w:space="0"/>
              <w:bottom w:val="single" w:color="000000" w:sz="4" w:space="0"/>
              <w:right w:val="single" w:color="000000" w:sz="4" w:space="0"/>
            </w:tcBorders>
            <w:shd w:val="clear" w:color="auto" w:fill="7DA6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125,166,217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供燃气用地</w:t>
            </w:r>
          </w:p>
        </w:tc>
        <w:tc>
          <w:tcPr>
            <w:tcW w:w="1216" w:type="pct"/>
            <w:tcBorders>
              <w:top w:val="single" w:color="000000" w:sz="4" w:space="0"/>
              <w:left w:val="single" w:color="000000" w:sz="4" w:space="0"/>
              <w:bottom w:val="single" w:color="000000" w:sz="4" w:space="0"/>
              <w:right w:val="single" w:color="000000" w:sz="4" w:space="0"/>
            </w:tcBorders>
            <w:shd w:val="clear" w:color="auto" w:fill="7DA6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125,166,217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供热用地</w:t>
            </w:r>
          </w:p>
        </w:tc>
        <w:tc>
          <w:tcPr>
            <w:tcW w:w="1216" w:type="pct"/>
            <w:tcBorders>
              <w:top w:val="single" w:color="000000" w:sz="4" w:space="0"/>
              <w:left w:val="single" w:color="000000" w:sz="4" w:space="0"/>
              <w:bottom w:val="single" w:color="000000" w:sz="4" w:space="0"/>
              <w:right w:val="single" w:color="000000" w:sz="4" w:space="0"/>
            </w:tcBorders>
            <w:shd w:val="clear" w:color="auto" w:fill="7DA6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125,166,217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通信用地</w:t>
            </w:r>
          </w:p>
        </w:tc>
        <w:tc>
          <w:tcPr>
            <w:tcW w:w="1216" w:type="pct"/>
            <w:tcBorders>
              <w:top w:val="single" w:color="000000" w:sz="4" w:space="0"/>
              <w:left w:val="single" w:color="000000" w:sz="4" w:space="0"/>
              <w:bottom w:val="single" w:color="000000" w:sz="4" w:space="0"/>
              <w:right w:val="single" w:color="000000" w:sz="4" w:space="0"/>
            </w:tcBorders>
            <w:shd w:val="clear" w:color="auto" w:fill="79A2D9"/>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121,162,217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U16</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广播电视用地</w:t>
            </w:r>
          </w:p>
        </w:tc>
        <w:tc>
          <w:tcPr>
            <w:tcW w:w="1216" w:type="pct"/>
            <w:tcBorders>
              <w:top w:val="single" w:color="000000" w:sz="4" w:space="0"/>
              <w:left w:val="single" w:color="000000" w:sz="4" w:space="0"/>
              <w:bottom w:val="single" w:color="000000" w:sz="4" w:space="0"/>
              <w:right w:val="single" w:color="000000" w:sz="4" w:space="0"/>
            </w:tcBorders>
            <w:shd w:val="clear" w:color="auto" w:fill="81A8D8"/>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129,168,216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环境设施用地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0,112,192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U21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排水用地</w:t>
            </w:r>
          </w:p>
        </w:tc>
        <w:tc>
          <w:tcPr>
            <w:tcW w:w="1216"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0,112,192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U22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环卫用地</w:t>
            </w:r>
          </w:p>
        </w:tc>
        <w:tc>
          <w:tcPr>
            <w:tcW w:w="1216" w:type="pct"/>
            <w:tcBorders>
              <w:top w:val="single" w:color="000000" w:sz="4" w:space="0"/>
              <w:left w:val="single" w:color="000000" w:sz="4" w:space="0"/>
              <w:bottom w:val="single" w:color="000000" w:sz="4" w:space="0"/>
              <w:right w:val="single" w:color="000000" w:sz="4" w:space="0"/>
            </w:tcBorders>
            <w:shd w:val="clear" w:color="auto" w:fill="0074C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0,116,198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安全设施用地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0252A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2,82,166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U31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消防用地</w:t>
            </w:r>
          </w:p>
        </w:tc>
        <w:tc>
          <w:tcPr>
            <w:tcW w:w="1216" w:type="pct"/>
            <w:tcBorders>
              <w:top w:val="single" w:color="000000" w:sz="4" w:space="0"/>
              <w:left w:val="single" w:color="000000" w:sz="4" w:space="0"/>
              <w:bottom w:val="single" w:color="000000" w:sz="4" w:space="0"/>
              <w:right w:val="single" w:color="000000" w:sz="4" w:space="0"/>
            </w:tcBorders>
            <w:shd w:val="clear" w:color="auto" w:fill="0252A6"/>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2,82,166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U32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防洪用地</w:t>
            </w:r>
          </w:p>
        </w:tc>
        <w:tc>
          <w:tcPr>
            <w:tcW w:w="1216" w:type="pct"/>
            <w:tcBorders>
              <w:top w:val="single" w:color="000000" w:sz="4" w:space="0"/>
              <w:left w:val="single" w:color="000000" w:sz="4" w:space="0"/>
              <w:bottom w:val="single" w:color="000000" w:sz="4" w:space="0"/>
              <w:right w:val="single" w:color="000000" w:sz="4" w:space="0"/>
            </w:tcBorders>
            <w:shd w:val="clear" w:color="auto" w:fill="0055AD"/>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0,85,173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其他公用设施用地</w:t>
            </w:r>
          </w:p>
        </w:tc>
        <w:tc>
          <w:tcPr>
            <w:tcW w:w="1216" w:type="pct"/>
            <w:tcBorders>
              <w:top w:val="single" w:color="000000" w:sz="4" w:space="0"/>
              <w:left w:val="single" w:color="000000" w:sz="4" w:space="0"/>
              <w:bottom w:val="single" w:color="000000" w:sz="4" w:space="0"/>
              <w:right w:val="single" w:color="000000" w:sz="4" w:space="0"/>
            </w:tcBorders>
            <w:shd w:val="clear" w:color="auto" w:fill="2A3195"/>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42,49,149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物流仓储用地</w:t>
            </w:r>
          </w:p>
        </w:tc>
        <w:tc>
          <w:tcPr>
            <w:tcW w:w="1216" w:type="pct"/>
            <w:tcBorders>
              <w:top w:val="single" w:color="000000" w:sz="4" w:space="0"/>
              <w:left w:val="single" w:color="000000" w:sz="4" w:space="0"/>
              <w:bottom w:val="single" w:color="000000" w:sz="4" w:space="0"/>
              <w:right w:val="single" w:color="000000" w:sz="4" w:space="0"/>
            </w:tcBorders>
            <w:shd w:val="clear" w:color="auto" w:fill="DF80FF"/>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223,128,255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一类物流仓储用地</w:t>
            </w:r>
          </w:p>
        </w:tc>
        <w:tc>
          <w:tcPr>
            <w:tcW w:w="1216" w:type="pct"/>
            <w:tcBorders>
              <w:top w:val="single" w:color="000000" w:sz="4" w:space="0"/>
              <w:left w:val="single" w:color="000000" w:sz="4" w:space="0"/>
              <w:bottom w:val="single" w:color="000000" w:sz="4" w:space="0"/>
              <w:right w:val="single" w:color="000000" w:sz="4" w:space="0"/>
            </w:tcBorders>
            <w:shd w:val="clear" w:color="auto" w:fill="855FAA"/>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133,95,170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二类物流仓储用地</w:t>
            </w:r>
          </w:p>
        </w:tc>
        <w:tc>
          <w:tcPr>
            <w:tcW w:w="1216" w:type="pct"/>
            <w:tcBorders>
              <w:top w:val="single" w:color="000000" w:sz="4" w:space="0"/>
              <w:left w:val="single" w:color="000000" w:sz="4" w:space="0"/>
              <w:bottom w:val="single" w:color="000000" w:sz="4" w:space="0"/>
              <w:right w:val="single" w:color="000000" w:sz="4" w:space="0"/>
            </w:tcBorders>
            <w:shd w:val="clear" w:color="auto" w:fill="632C94"/>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99,44,148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三类物流仓储用地</w:t>
            </w:r>
          </w:p>
        </w:tc>
        <w:tc>
          <w:tcPr>
            <w:tcW w:w="1216" w:type="pct"/>
            <w:tcBorders>
              <w:top w:val="single" w:color="000000" w:sz="4" w:space="0"/>
              <w:left w:val="single" w:color="000000" w:sz="4" w:space="0"/>
              <w:bottom w:val="single" w:color="000000" w:sz="4" w:space="0"/>
              <w:right w:val="single" w:color="000000" w:sz="4" w:space="0"/>
            </w:tcBorders>
            <w:shd w:val="clear" w:color="auto" w:fill="430C60"/>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67,12,96 </w:t>
            </w:r>
          </w:p>
        </w:tc>
      </w:tr>
    </w:tbl>
    <w:p>
      <w:pPr>
        <w:keepNext w:val="0"/>
        <w:keepLines w:val="0"/>
        <w:pageBreakBefore w:val="0"/>
        <w:widowControl w:val="0"/>
        <w:numPr>
          <w:ilvl w:val="0"/>
          <w:numId w:val="21"/>
        </w:numPr>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u w:val="single"/>
          <w:lang w:eastAsia="zh-CN"/>
        </w:rPr>
      </w:pPr>
      <w:r>
        <w:rPr>
          <w:rFonts w:hint="eastAsia" w:ascii="宋体" w:hAnsi="宋体" w:eastAsia="宋体" w:cs="宋体"/>
          <w:sz w:val="24"/>
          <w:szCs w:val="24"/>
          <w:highlight w:val="none"/>
          <w:u w:val="single"/>
        </w:rPr>
        <w:t>▲</w:t>
      </w:r>
      <w:r>
        <w:rPr>
          <w:rFonts w:hint="eastAsia" w:ascii="宋体" w:hAnsi="宋体"/>
          <w:sz w:val="24"/>
          <w:szCs w:val="24"/>
          <w:highlight w:val="none"/>
          <w:u w:val="single"/>
        </w:rPr>
        <w:t>收费标准</w:t>
      </w:r>
      <w:r>
        <w:rPr>
          <w:rFonts w:hint="eastAsia" w:ascii="宋体" w:hAnsi="宋体"/>
          <w:sz w:val="24"/>
          <w:szCs w:val="24"/>
          <w:highlight w:val="none"/>
          <w:u w:val="single"/>
          <w:lang w:eastAsia="zh-CN"/>
        </w:rPr>
        <w:t>上限：</w:t>
      </w:r>
      <w:r>
        <w:rPr>
          <w:rFonts w:hint="eastAsia" w:ascii="宋体" w:hAnsi="宋体"/>
          <w:sz w:val="24"/>
          <w:szCs w:val="24"/>
          <w:highlight w:val="none"/>
          <w:u w:val="single"/>
        </w:rPr>
        <w:t>按</w:t>
      </w:r>
      <w:r>
        <w:rPr>
          <w:rFonts w:hint="eastAsia" w:ascii="宋体" w:hAnsi="宋体"/>
          <w:color w:val="000000" w:themeColor="text1"/>
          <w:sz w:val="24"/>
          <w:szCs w:val="24"/>
          <w:highlight w:val="none"/>
          <w:u w:val="single"/>
          <w14:textFill>
            <w14:solidFill>
              <w14:schemeClr w14:val="tx1"/>
            </w14:solidFill>
          </w14:textFill>
        </w:rPr>
        <w:t>每公顷</w:t>
      </w:r>
      <w:r>
        <w:rPr>
          <w:rFonts w:hint="eastAsia" w:ascii="宋体" w:hAnsi="宋体"/>
          <w:color w:val="000000" w:themeColor="text1"/>
          <w:sz w:val="24"/>
          <w:szCs w:val="24"/>
          <w:highlight w:val="none"/>
          <w:u w:val="single"/>
          <w:lang w:val="en-US" w:eastAsia="zh-CN"/>
          <w14:textFill>
            <w14:solidFill>
              <w14:schemeClr w14:val="tx1"/>
            </w14:solidFill>
          </w14:textFill>
        </w:rPr>
        <w:t>2040</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u w:val="single"/>
          <w:lang w:eastAsia="zh-CN"/>
          <w14:textFill>
            <w14:solidFill>
              <w14:schemeClr w14:val="tx1"/>
            </w14:solidFill>
          </w14:textFill>
        </w:rPr>
        <w:t>计</w:t>
      </w:r>
      <w:r>
        <w:rPr>
          <w:rFonts w:hint="eastAsia" w:ascii="宋体" w:hAnsi="宋体"/>
          <w:sz w:val="24"/>
          <w:szCs w:val="24"/>
          <w:highlight w:val="none"/>
          <w:u w:val="single"/>
        </w:rPr>
        <w:t>取，不足</w:t>
      </w:r>
      <w:r>
        <w:rPr>
          <w:rFonts w:hint="eastAsia" w:ascii="宋体" w:hAnsi="宋体"/>
          <w:sz w:val="24"/>
          <w:szCs w:val="24"/>
          <w:highlight w:val="none"/>
          <w:u w:val="single"/>
          <w:lang w:val="en-US" w:eastAsia="zh-CN"/>
        </w:rPr>
        <w:t>1万元</w:t>
      </w:r>
      <w:r>
        <w:rPr>
          <w:rFonts w:hint="eastAsia" w:ascii="宋体" w:hAnsi="宋体"/>
          <w:sz w:val="24"/>
          <w:szCs w:val="24"/>
          <w:highlight w:val="none"/>
          <w:u w:val="single"/>
        </w:rPr>
        <w:t>的按1万元</w:t>
      </w:r>
      <w:r>
        <w:rPr>
          <w:rFonts w:hint="eastAsia" w:ascii="宋体" w:hAnsi="宋体"/>
          <w:sz w:val="24"/>
          <w:szCs w:val="24"/>
          <w:highlight w:val="none"/>
          <w:u w:val="single"/>
          <w:lang w:eastAsia="zh-CN"/>
        </w:rPr>
        <w:t>计</w:t>
      </w:r>
      <w:r>
        <w:rPr>
          <w:rFonts w:hint="eastAsia" w:ascii="宋体" w:hAnsi="宋体"/>
          <w:sz w:val="24"/>
          <w:szCs w:val="24"/>
          <w:highlight w:val="none"/>
          <w:u w:val="single"/>
        </w:rPr>
        <w:t>取</w:t>
      </w:r>
      <w:r>
        <w:rPr>
          <w:rFonts w:hint="eastAsia" w:ascii="宋体" w:hAnsi="宋体"/>
          <w:sz w:val="24"/>
          <w:szCs w:val="24"/>
          <w:highlight w:val="none"/>
          <w:u w:val="single"/>
          <w:lang w:eastAsia="zh-CN"/>
        </w:rPr>
        <w:t>。</w:t>
      </w:r>
    </w:p>
    <w:p>
      <w:pPr>
        <w:keepNext w:val="0"/>
        <w:keepLines w:val="0"/>
        <w:pageBreakBefore w:val="0"/>
        <w:widowControl w:val="0"/>
        <w:numPr>
          <w:ilvl w:val="0"/>
          <w:numId w:val="21"/>
        </w:numPr>
        <w:shd w:val="clear"/>
        <w:kinsoku/>
        <w:wordWrap/>
        <w:overflowPunct/>
        <w:topLinePunct w:val="0"/>
        <w:autoSpaceDE/>
        <w:autoSpaceDN/>
        <w:bidi w:val="0"/>
        <w:adjustRightInd/>
        <w:snapToGrid/>
        <w:spacing w:line="324" w:lineRule="auto"/>
        <w:ind w:left="0" w:leftChars="0" w:firstLine="480" w:firstLineChars="200"/>
        <w:textAlignment w:val="auto"/>
        <w:rPr>
          <w:rFonts w:hint="eastAsia" w:ascii="宋体" w:hAnsi="宋体"/>
          <w:sz w:val="24"/>
          <w:szCs w:val="24"/>
          <w:highlight w:val="none"/>
          <w:u w:val="single"/>
        </w:rPr>
      </w:pPr>
      <w:r>
        <w:rPr>
          <w:rFonts w:hint="eastAsia" w:ascii="宋体" w:hAnsi="宋体"/>
          <w:sz w:val="24"/>
          <w:szCs w:val="24"/>
          <w:highlight w:val="none"/>
          <w:u w:val="single"/>
        </w:rPr>
        <w:t>项目总规模</w:t>
      </w:r>
      <w:r>
        <w:rPr>
          <w:rFonts w:hint="eastAsia" w:ascii="宋体" w:hAnsi="宋体"/>
          <w:sz w:val="24"/>
          <w:szCs w:val="24"/>
          <w:highlight w:val="none"/>
          <w:u w:val="single"/>
          <w:lang w:eastAsia="zh-CN"/>
        </w:rPr>
        <w:t>：小于等于</w:t>
      </w:r>
      <w:r>
        <w:rPr>
          <w:rFonts w:hint="eastAsia" w:ascii="宋体" w:hAnsi="宋体"/>
          <w:sz w:val="24"/>
          <w:szCs w:val="24"/>
          <w:highlight w:val="none"/>
          <w:u w:val="single"/>
        </w:rPr>
        <w:t>60公顷。</w:t>
      </w:r>
    </w:p>
    <w:p>
      <w:pPr>
        <w:keepNext w:val="0"/>
        <w:keepLines w:val="0"/>
        <w:pageBreakBefore w:val="0"/>
        <w:widowControl/>
        <w:shd w:val="clear"/>
        <w:kinsoku/>
        <w:wordWrap/>
        <w:overflowPunct/>
        <w:topLinePunct w:val="0"/>
        <w:autoSpaceDE/>
        <w:autoSpaceDN/>
        <w:bidi w:val="0"/>
        <w:adjustRightInd/>
        <w:snapToGrid/>
        <w:spacing w:line="312" w:lineRule="auto"/>
        <w:ind w:firstLine="480" w:firstLineChars="200"/>
        <w:jc w:val="left"/>
        <w:textAlignment w:val="auto"/>
        <w:rPr>
          <w:rFonts w:hint="eastAsia" w:hAnsi="宋体"/>
          <w:b/>
          <w:bCs/>
          <w:color w:val="FF0000"/>
          <w:sz w:val="22"/>
          <w:highlight w:val="none"/>
        </w:rPr>
      </w:pPr>
      <w:r>
        <w:rPr>
          <w:rFonts w:hint="eastAsia" w:ascii="宋体" w:hAnsi="宋体"/>
          <w:sz w:val="24"/>
          <w:szCs w:val="24"/>
          <w:highlight w:val="none"/>
          <w:u w:val="none"/>
          <w:lang w:val="en-US" w:eastAsia="zh-CN"/>
        </w:rPr>
        <w:t>4、</w:t>
      </w:r>
      <w:r>
        <w:rPr>
          <w:rFonts w:hint="eastAsia" w:ascii="宋体" w:hAnsi="宋体"/>
          <w:sz w:val="24"/>
          <w:szCs w:val="24"/>
          <w:highlight w:val="none"/>
          <w:u w:val="none"/>
        </w:rPr>
        <w:t>设计方向委托方交付的设计文件、份数及时间：</w:t>
      </w:r>
    </w:p>
    <w:tbl>
      <w:tblPr>
        <w:tblStyle w:val="22"/>
        <w:tblpPr w:leftFromText="180" w:rightFromText="180" w:vertAnchor="text" w:horzAnchor="page" w:tblpX="1578" w:tblpY="262"/>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28"/>
        <w:gridCol w:w="858"/>
        <w:gridCol w:w="333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2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3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28"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34"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28"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34"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3</w:t>
            </w:r>
            <w:r>
              <w:rPr>
                <w:rFonts w:hint="eastAsia" w:ascii="宋体" w:hAnsi="宋体"/>
                <w:sz w:val="24"/>
                <w:szCs w:val="24"/>
                <w:highlight w:val="none"/>
              </w:rPr>
              <w:t>0日内</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2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批前公告结束</w:t>
            </w:r>
            <w:r>
              <w:rPr>
                <w:rFonts w:hint="eastAsia" w:ascii="宋体" w:hAnsi="宋体"/>
                <w:sz w:val="24"/>
                <w:szCs w:val="24"/>
                <w:highlight w:val="none"/>
              </w:rPr>
              <w:t>后</w:t>
            </w:r>
            <w:r>
              <w:rPr>
                <w:rFonts w:hint="eastAsia" w:ascii="宋体" w:hAnsi="宋体"/>
                <w:sz w:val="24"/>
                <w:szCs w:val="24"/>
                <w:highlight w:val="none"/>
                <w:lang w:val="en-US" w:eastAsia="zh-CN"/>
              </w:rPr>
              <w:t>7</w:t>
            </w:r>
            <w:r>
              <w:rPr>
                <w:rFonts w:hint="eastAsia" w:ascii="宋体" w:hAnsi="宋体"/>
                <w:sz w:val="24"/>
                <w:szCs w:val="24"/>
                <w:highlight w:val="none"/>
              </w:rPr>
              <w:t>日内</w:t>
            </w:r>
          </w:p>
        </w:tc>
        <w:tc>
          <w:tcPr>
            <w:tcW w:w="14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3.3</w:t>
      </w:r>
      <w:r>
        <w:rPr>
          <w:rFonts w:hint="eastAsia" w:ascii="宋体" w:hAnsi="宋体"/>
          <w:b/>
          <w:bCs/>
          <w:sz w:val="24"/>
          <w:szCs w:val="24"/>
          <w:highlight w:val="none"/>
        </w:rPr>
        <w:t>局部地块和模拟方案</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根据上位规划和地块设计要求，分析地块现状问题，提炼历史文化、城市空间、建筑风貌等要素特征，并对建筑空间、建筑风貌、公共开放空间、交通等重点内容进行模拟设计。</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本次成果应达到设计要求，应有以下内容（但不局限于）：</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说明</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总平面</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相关分析图</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包含上述最终成果共6套，规格统一为A3 。</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包含上述所有文本、图件和附件内容的电子成果套（含文字说明电子文件、CAD图纸等），文本为DOC格式文件，方案图纸为DWG格式文件，图集为JPG格式文件。 </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24" w:lineRule="auto"/>
        <w:ind w:leftChars="200"/>
        <w:textAlignment w:val="auto"/>
        <w:rPr>
          <w:rFonts w:hint="eastAsia" w:ascii="宋体" w:hAnsi="宋体"/>
          <w:sz w:val="24"/>
          <w:szCs w:val="24"/>
          <w:highlight w:val="none"/>
          <w:u w:val="single"/>
        </w:rPr>
      </w:pPr>
      <w:r>
        <w:rPr>
          <w:rFonts w:hint="eastAsia" w:ascii="宋体" w:hAnsi="宋体"/>
          <w:sz w:val="24"/>
          <w:szCs w:val="24"/>
          <w:highlight w:val="none"/>
          <w:u w:val="single"/>
        </w:rPr>
        <w:t>▲收费标准上限：</w:t>
      </w:r>
      <w:r>
        <w:rPr>
          <w:rFonts w:hint="eastAsia" w:ascii="宋体" w:hAnsi="宋体"/>
          <w:sz w:val="24"/>
          <w:szCs w:val="24"/>
          <w:highlight w:val="none"/>
          <w:u w:val="single"/>
          <w:lang w:eastAsia="zh-CN"/>
        </w:rPr>
        <w:t>按用地面积每平方米0.75元计取</w:t>
      </w:r>
      <w:r>
        <w:rPr>
          <w:rFonts w:hint="eastAsia" w:ascii="宋体" w:hAnsi="宋体"/>
          <w:sz w:val="24"/>
          <w:szCs w:val="24"/>
          <w:highlight w:val="none"/>
          <w:u w:val="single"/>
        </w:rPr>
        <w:t>，不足1万元的按1万元</w:t>
      </w:r>
      <w:r>
        <w:rPr>
          <w:rFonts w:hint="eastAsia" w:ascii="宋体" w:hAnsi="宋体"/>
          <w:sz w:val="24"/>
          <w:szCs w:val="24"/>
          <w:highlight w:val="none"/>
          <w:u w:val="single"/>
          <w:lang w:eastAsia="zh-CN"/>
        </w:rPr>
        <w:t>计</w:t>
      </w:r>
      <w:r>
        <w:rPr>
          <w:rFonts w:hint="eastAsia" w:ascii="宋体" w:hAnsi="宋体"/>
          <w:sz w:val="24"/>
          <w:szCs w:val="24"/>
          <w:highlight w:val="none"/>
          <w:u w:val="single"/>
        </w:rPr>
        <w:t>取。</w:t>
      </w:r>
    </w:p>
    <w:p>
      <w:pPr>
        <w:keepNext w:val="0"/>
        <w:keepLines w:val="0"/>
        <w:pageBreakBefore w:val="0"/>
        <w:widowControl w:val="0"/>
        <w:numPr>
          <w:ilvl w:val="0"/>
          <w:numId w:val="22"/>
        </w:numPr>
        <w:shd w:val="clear"/>
        <w:kinsoku/>
        <w:wordWrap/>
        <w:overflowPunct/>
        <w:topLinePunct w:val="0"/>
        <w:autoSpaceDE/>
        <w:autoSpaceDN/>
        <w:bidi w:val="0"/>
        <w:adjustRightInd/>
        <w:snapToGrid/>
        <w:spacing w:line="324" w:lineRule="auto"/>
        <w:ind w:leftChars="200"/>
        <w:textAlignment w:val="auto"/>
        <w:rPr>
          <w:rFonts w:hint="eastAsia" w:ascii="宋体" w:hAnsi="宋体"/>
          <w:sz w:val="24"/>
          <w:szCs w:val="24"/>
          <w:highlight w:val="none"/>
          <w:u w:val="none"/>
        </w:rPr>
      </w:pPr>
      <w:r>
        <w:rPr>
          <w:rFonts w:hint="eastAsia" w:ascii="宋体" w:hAnsi="宋体"/>
          <w:sz w:val="24"/>
          <w:szCs w:val="24"/>
          <w:highlight w:val="none"/>
          <w:u w:val="none"/>
        </w:rPr>
        <w:t>设计方向委托方交付的设计文件、份数及时间：</w:t>
      </w:r>
    </w:p>
    <w:tbl>
      <w:tblPr>
        <w:tblStyle w:val="22"/>
        <w:tblpPr w:leftFromText="180" w:rightFromText="180" w:vertAnchor="text" w:horzAnchor="page" w:tblpX="1578" w:tblpY="262"/>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515"/>
        <w:gridCol w:w="853"/>
        <w:gridCol w:w="331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4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15"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17"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4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15"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17"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3</w:t>
            </w:r>
            <w:r>
              <w:rPr>
                <w:rFonts w:hint="eastAsia" w:ascii="宋体" w:hAnsi="宋体"/>
                <w:sz w:val="24"/>
                <w:szCs w:val="24"/>
                <w:highlight w:val="none"/>
              </w:rPr>
              <w:t>0日内</w:t>
            </w:r>
          </w:p>
        </w:tc>
        <w:tc>
          <w:tcPr>
            <w:tcW w:w="144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1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1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出具评审意见后15日内</w:t>
            </w:r>
          </w:p>
        </w:tc>
        <w:tc>
          <w:tcPr>
            <w:tcW w:w="144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3.4地块规划研究</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根据规划区域城市建设现状，分析总结区域现状问题，提炼区域历史文化、城市空间、建筑风貌等要素特征，并对街道空间、街区风貌、公共开放空间、静态交通等重点内容进行专项研究。</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1、成果要求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本次成果应达到设计要求，应有以下内容（但不局限于）：</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说明</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地块规划总平面</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相关分析图</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包含上述最终成果共6套，规格统一为A3 。</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包含上述所有文本、图件和附件内容的电子成果套（含文字说明电子文件、CAD图纸等），文本为DOC格式文件，方案图纸为DWG格式文件，图集为JPG格式文件。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leftChars="200"/>
        <w:textAlignment w:val="auto"/>
        <w:rPr>
          <w:rFonts w:hint="eastAsia" w:ascii="宋体" w:hAnsi="宋体" w:eastAsia="宋体"/>
          <w:sz w:val="24"/>
          <w:szCs w:val="24"/>
          <w:highlight w:val="none"/>
          <w:u w:val="single"/>
          <w:lang w:eastAsia="zh-CN"/>
        </w:rPr>
      </w:pPr>
      <w:r>
        <w:rPr>
          <w:rFonts w:hint="eastAsia" w:ascii="宋体" w:hAnsi="宋体"/>
          <w:sz w:val="24"/>
          <w:szCs w:val="24"/>
          <w:highlight w:val="none"/>
          <w:u w:val="none"/>
          <w:lang w:val="en-US" w:eastAsia="zh-CN"/>
        </w:rPr>
        <w:t>2、</w:t>
      </w:r>
      <w:r>
        <w:rPr>
          <w:rFonts w:hint="eastAsia" w:ascii="宋体" w:hAnsi="宋体"/>
          <w:sz w:val="24"/>
          <w:szCs w:val="24"/>
          <w:highlight w:val="none"/>
          <w:u w:val="single"/>
        </w:rPr>
        <w:t>▲收费标准上限</w:t>
      </w:r>
      <w:r>
        <w:rPr>
          <w:rFonts w:hint="eastAsia" w:ascii="宋体" w:hAnsi="宋体"/>
          <w:sz w:val="24"/>
          <w:szCs w:val="24"/>
          <w:highlight w:val="none"/>
          <w:u w:val="single"/>
          <w:lang w:eastAsia="zh-CN"/>
        </w:rPr>
        <w:t>：</w:t>
      </w:r>
      <w:r>
        <w:rPr>
          <w:rFonts w:hint="eastAsia" w:ascii="宋体" w:hAnsi="宋体"/>
          <w:sz w:val="24"/>
          <w:szCs w:val="24"/>
          <w:highlight w:val="none"/>
          <w:u w:val="single"/>
        </w:rPr>
        <w:t>按每公顷1万元</w:t>
      </w:r>
      <w:r>
        <w:rPr>
          <w:rFonts w:hint="eastAsia" w:ascii="宋体" w:hAnsi="宋体"/>
          <w:sz w:val="24"/>
          <w:szCs w:val="24"/>
          <w:highlight w:val="none"/>
          <w:u w:val="single"/>
          <w:lang w:eastAsia="zh-CN"/>
        </w:rPr>
        <w:t>计</w:t>
      </w:r>
      <w:r>
        <w:rPr>
          <w:rFonts w:hint="eastAsia" w:ascii="宋体" w:hAnsi="宋体"/>
          <w:sz w:val="24"/>
          <w:szCs w:val="24"/>
          <w:highlight w:val="none"/>
          <w:u w:val="single"/>
        </w:rPr>
        <w:t>取，</w:t>
      </w:r>
      <w:r>
        <w:rPr>
          <w:rFonts w:hint="eastAsia" w:ascii="宋体" w:hAnsi="宋体"/>
          <w:sz w:val="24"/>
          <w:szCs w:val="24"/>
          <w:highlight w:val="none"/>
          <w:u w:val="single"/>
          <w:lang w:eastAsia="zh-CN"/>
        </w:rPr>
        <w:t>不足3万元的</w:t>
      </w:r>
      <w:r>
        <w:rPr>
          <w:rFonts w:hint="eastAsia" w:ascii="宋体" w:hAnsi="宋体"/>
          <w:sz w:val="24"/>
          <w:szCs w:val="24"/>
          <w:highlight w:val="none"/>
          <w:u w:val="single"/>
        </w:rPr>
        <w:t>按3万元</w:t>
      </w:r>
      <w:r>
        <w:rPr>
          <w:rFonts w:hint="eastAsia" w:ascii="宋体" w:hAnsi="宋体"/>
          <w:sz w:val="24"/>
          <w:szCs w:val="24"/>
          <w:highlight w:val="none"/>
          <w:u w:val="single"/>
          <w:lang w:eastAsia="zh-CN"/>
        </w:rPr>
        <w:t>计</w:t>
      </w:r>
      <w:r>
        <w:rPr>
          <w:rFonts w:hint="eastAsia" w:ascii="宋体" w:hAnsi="宋体"/>
          <w:sz w:val="24"/>
          <w:szCs w:val="24"/>
          <w:highlight w:val="none"/>
          <w:u w:val="single"/>
        </w:rPr>
        <w:t>取</w:t>
      </w:r>
      <w:r>
        <w:rPr>
          <w:rFonts w:hint="eastAsia" w:ascii="宋体" w:hAnsi="宋体"/>
          <w:sz w:val="24"/>
          <w:szCs w:val="24"/>
          <w:highlight w:val="none"/>
          <w:u w:val="singl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leftChars="200"/>
        <w:textAlignment w:val="auto"/>
        <w:rPr>
          <w:rFonts w:hint="eastAsia" w:ascii="宋体" w:hAnsi="宋体"/>
          <w:sz w:val="24"/>
          <w:szCs w:val="24"/>
          <w:highlight w:val="none"/>
          <w:u w:val="single"/>
        </w:rPr>
      </w:pPr>
      <w:r>
        <w:rPr>
          <w:rFonts w:hint="eastAsia" w:ascii="宋体" w:hAnsi="宋体"/>
          <w:sz w:val="24"/>
          <w:szCs w:val="24"/>
          <w:highlight w:val="none"/>
          <w:u w:val="none"/>
          <w:lang w:val="en-US" w:eastAsia="zh-CN"/>
        </w:rPr>
        <w:t>3、</w:t>
      </w:r>
      <w:r>
        <w:rPr>
          <w:rFonts w:hint="eastAsia" w:ascii="宋体" w:hAnsi="宋体"/>
          <w:sz w:val="24"/>
          <w:szCs w:val="24"/>
          <w:highlight w:val="none"/>
          <w:u w:val="single"/>
        </w:rPr>
        <w:t>项目总规模</w:t>
      </w:r>
      <w:r>
        <w:rPr>
          <w:rFonts w:hint="eastAsia" w:ascii="宋体" w:hAnsi="宋体"/>
          <w:sz w:val="24"/>
          <w:szCs w:val="24"/>
          <w:highlight w:val="none"/>
          <w:u w:val="single"/>
          <w:lang w:eastAsia="zh-CN"/>
        </w:rPr>
        <w:t>：小于等于</w:t>
      </w:r>
      <w:r>
        <w:rPr>
          <w:rFonts w:hint="eastAsia" w:ascii="宋体" w:hAnsi="宋体"/>
          <w:sz w:val="24"/>
          <w:szCs w:val="24"/>
          <w:highlight w:val="none"/>
          <w:u w:val="single"/>
        </w:rPr>
        <w:t>20公顷。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leftChars="200"/>
        <w:textAlignment w:val="auto"/>
        <w:rPr>
          <w:rFonts w:hint="eastAsia" w:ascii="宋体" w:hAnsi="宋体"/>
          <w:sz w:val="24"/>
          <w:szCs w:val="24"/>
          <w:highlight w:val="none"/>
          <w:u w:val="single"/>
        </w:rPr>
      </w:pPr>
      <w:r>
        <w:rPr>
          <w:rFonts w:hint="eastAsia" w:ascii="宋体" w:hAnsi="宋体"/>
          <w:sz w:val="24"/>
          <w:szCs w:val="24"/>
          <w:highlight w:val="none"/>
          <w:u w:val="none"/>
          <w:lang w:val="en-US" w:eastAsia="zh-CN"/>
        </w:rPr>
        <w:t>4、设计方向委托方交付的设计文件、份数及时间：</w:t>
      </w:r>
    </w:p>
    <w:tbl>
      <w:tblPr>
        <w:tblStyle w:val="22"/>
        <w:tblpPr w:leftFromText="180" w:rightFromText="180" w:vertAnchor="text" w:horzAnchor="page" w:tblpX="1578" w:tblpY="262"/>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531"/>
        <w:gridCol w:w="859"/>
        <w:gridCol w:w="333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序号</w:t>
            </w:r>
          </w:p>
        </w:tc>
        <w:tc>
          <w:tcPr>
            <w:tcW w:w="253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lang w:eastAsia="zh-CN"/>
              </w:rPr>
              <w:t>任务、</w:t>
            </w:r>
            <w:r>
              <w:rPr>
                <w:rFonts w:hint="eastAsia" w:ascii="宋体" w:hAnsi="宋体"/>
                <w:sz w:val="24"/>
                <w:szCs w:val="24"/>
                <w:highlight w:val="none"/>
              </w:rPr>
              <w:t>资料及文件名称</w:t>
            </w:r>
          </w:p>
        </w:tc>
        <w:tc>
          <w:tcPr>
            <w:tcW w:w="85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份数</w:t>
            </w:r>
          </w:p>
        </w:tc>
        <w:tc>
          <w:tcPr>
            <w:tcW w:w="333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响应及提交</w:t>
            </w:r>
            <w:r>
              <w:rPr>
                <w:rFonts w:hint="eastAsia" w:ascii="宋体" w:hAnsi="宋体"/>
                <w:sz w:val="24"/>
                <w:szCs w:val="24"/>
                <w:highlight w:val="none"/>
              </w:rPr>
              <w:t>日期</w:t>
            </w:r>
          </w:p>
        </w:tc>
        <w:tc>
          <w:tcPr>
            <w:tcW w:w="14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sz w:val="24"/>
                <w:szCs w:val="24"/>
                <w:highlight w:val="none"/>
              </w:rPr>
            </w:pPr>
            <w:r>
              <w:rPr>
                <w:rFonts w:hint="eastAsia" w:ascii="宋体" w:hAnsi="宋体"/>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2531"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接受委托任务</w:t>
            </w:r>
          </w:p>
        </w:tc>
        <w:tc>
          <w:tcPr>
            <w:tcW w:w="85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center"/>
              <w:textAlignment w:val="auto"/>
              <w:rPr>
                <w:rFonts w:hint="eastAsia" w:ascii="宋体" w:hAnsi="宋体"/>
                <w:sz w:val="24"/>
                <w:szCs w:val="24"/>
                <w:highlight w:val="none"/>
              </w:rPr>
            </w:pPr>
          </w:p>
        </w:tc>
        <w:tc>
          <w:tcPr>
            <w:tcW w:w="3339"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2日内</w:t>
            </w:r>
          </w:p>
        </w:tc>
        <w:tc>
          <w:tcPr>
            <w:tcW w:w="14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2</w:t>
            </w:r>
          </w:p>
        </w:tc>
        <w:tc>
          <w:tcPr>
            <w:tcW w:w="2531" w:type="dxa"/>
            <w:tcBorders>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评审稿</w:t>
            </w:r>
          </w:p>
        </w:tc>
        <w:tc>
          <w:tcPr>
            <w:tcW w:w="85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0</w:t>
            </w:r>
          </w:p>
        </w:tc>
        <w:tc>
          <w:tcPr>
            <w:tcW w:w="3339" w:type="dxa"/>
            <w:tcBorders>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eastAsia="zh-CN"/>
              </w:rPr>
              <w:t>接受任务后</w:t>
            </w:r>
            <w:r>
              <w:rPr>
                <w:rFonts w:hint="eastAsia" w:ascii="宋体" w:hAnsi="宋体"/>
                <w:sz w:val="24"/>
                <w:szCs w:val="24"/>
                <w:highlight w:val="none"/>
                <w:lang w:val="en-US" w:eastAsia="zh-CN"/>
              </w:rPr>
              <w:t>60</w:t>
            </w:r>
            <w:r>
              <w:rPr>
                <w:rFonts w:hint="eastAsia" w:ascii="宋体" w:hAnsi="宋体"/>
                <w:sz w:val="24"/>
                <w:szCs w:val="24"/>
                <w:highlight w:val="none"/>
              </w:rPr>
              <w:t>日内</w:t>
            </w:r>
          </w:p>
        </w:tc>
        <w:tc>
          <w:tcPr>
            <w:tcW w:w="14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lang w:eastAsia="zh-CN"/>
              </w:rPr>
            </w:pPr>
            <w:r>
              <w:rPr>
                <w:rFonts w:hint="eastAsia" w:ascii="宋体" w:hAnsi="宋体"/>
                <w:sz w:val="24"/>
                <w:szCs w:val="24"/>
                <w:highlight w:val="none"/>
                <w:lang w:val="en-US" w:eastAsia="zh-CN"/>
              </w:rPr>
              <w:t>3</w:t>
            </w:r>
          </w:p>
        </w:tc>
        <w:tc>
          <w:tcPr>
            <w:tcW w:w="253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成果</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6</w:t>
            </w:r>
          </w:p>
        </w:tc>
        <w:tc>
          <w:tcPr>
            <w:tcW w:w="333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jc w:val="center"/>
              <w:textAlignment w:val="auto"/>
              <w:rPr>
                <w:rFonts w:hint="eastAsia" w:ascii="宋体" w:hAnsi="宋体"/>
                <w:sz w:val="24"/>
                <w:szCs w:val="24"/>
                <w:highlight w:val="none"/>
              </w:rPr>
            </w:pPr>
            <w:r>
              <w:rPr>
                <w:rFonts w:hint="eastAsia" w:ascii="宋体" w:hAnsi="宋体"/>
                <w:sz w:val="24"/>
                <w:szCs w:val="24"/>
                <w:highlight w:val="none"/>
              </w:rPr>
              <w:t>出具评审意见后</w:t>
            </w:r>
            <w:r>
              <w:rPr>
                <w:rFonts w:hint="eastAsia" w:ascii="宋体" w:hAnsi="宋体"/>
                <w:sz w:val="24"/>
                <w:szCs w:val="24"/>
                <w:highlight w:val="none"/>
                <w:lang w:val="en-US" w:eastAsia="zh-CN"/>
              </w:rPr>
              <w:t>30</w:t>
            </w:r>
            <w:r>
              <w:rPr>
                <w:rFonts w:hint="eastAsia" w:ascii="宋体" w:hAnsi="宋体"/>
                <w:sz w:val="24"/>
                <w:szCs w:val="24"/>
                <w:highlight w:val="none"/>
              </w:rPr>
              <w:t>日内</w:t>
            </w:r>
          </w:p>
        </w:tc>
        <w:tc>
          <w:tcPr>
            <w:tcW w:w="14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r>
        <w:rPr>
          <w:rFonts w:hint="eastAsia" w:ascii="宋体" w:hAnsi="宋体"/>
          <w:b/>
          <w:sz w:val="24"/>
          <w:szCs w:val="24"/>
          <w:highlight w:val="none"/>
          <w:lang w:eastAsia="zh-CN"/>
        </w:rPr>
        <w:t>四、编制单位服务要求</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中标供应商</w:t>
      </w:r>
      <w:r>
        <w:rPr>
          <w:rFonts w:hint="eastAsia" w:ascii="宋体" w:hAnsi="宋体"/>
          <w:sz w:val="24"/>
          <w:szCs w:val="24"/>
          <w:highlight w:val="none"/>
        </w:rPr>
        <w:t>需保证充足现场调研工作时间，确保规划编制成果的合理性、真实性。</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中标供应商</w:t>
      </w:r>
      <w:r>
        <w:rPr>
          <w:rFonts w:hint="eastAsia" w:ascii="宋体" w:hAnsi="宋体"/>
          <w:sz w:val="24"/>
          <w:szCs w:val="24"/>
          <w:highlight w:val="none"/>
        </w:rPr>
        <w:t>需根据</w:t>
      </w:r>
      <w:r>
        <w:rPr>
          <w:rFonts w:hint="eastAsia" w:ascii="宋体" w:hAnsi="宋体"/>
          <w:sz w:val="24"/>
          <w:szCs w:val="24"/>
          <w:highlight w:val="none"/>
          <w:lang w:eastAsia="zh-CN"/>
        </w:rPr>
        <w:t>采购人</w:t>
      </w:r>
      <w:r>
        <w:rPr>
          <w:rFonts w:hint="eastAsia" w:ascii="宋体" w:hAnsi="宋体"/>
          <w:sz w:val="24"/>
          <w:szCs w:val="24"/>
          <w:highlight w:val="none"/>
        </w:rPr>
        <w:t>的实际需要，</w:t>
      </w:r>
      <w:r>
        <w:rPr>
          <w:rFonts w:hint="eastAsia" w:ascii="宋体" w:hAnsi="宋体"/>
          <w:sz w:val="24"/>
          <w:szCs w:val="24"/>
          <w:highlight w:val="none"/>
          <w:lang w:eastAsia="zh-CN"/>
        </w:rPr>
        <w:t>调派项目实施人员</w:t>
      </w:r>
      <w:r>
        <w:rPr>
          <w:rFonts w:hint="eastAsia" w:ascii="宋体" w:hAnsi="宋体"/>
          <w:sz w:val="24"/>
          <w:szCs w:val="24"/>
          <w:highlight w:val="none"/>
        </w:rPr>
        <w:t>到</w:t>
      </w:r>
      <w:r>
        <w:rPr>
          <w:rFonts w:hint="eastAsia" w:ascii="宋体" w:hAnsi="宋体"/>
          <w:sz w:val="24"/>
          <w:szCs w:val="24"/>
          <w:highlight w:val="none"/>
          <w:lang w:val="en-US" w:eastAsia="zh-CN"/>
        </w:rPr>
        <w:t>现场做好</w:t>
      </w:r>
      <w:r>
        <w:rPr>
          <w:rFonts w:hint="eastAsia" w:ascii="宋体" w:hAnsi="宋体"/>
          <w:sz w:val="24"/>
          <w:szCs w:val="24"/>
          <w:highlight w:val="none"/>
        </w:rPr>
        <w:t>搜集资料、沟通项目、指导规划实施等工作。</w:t>
      </w:r>
    </w:p>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b/>
          <w:sz w:val="24"/>
          <w:szCs w:val="24"/>
          <w:highlight w:val="none"/>
        </w:rPr>
      </w:pPr>
      <w:r>
        <w:rPr>
          <w:rFonts w:hint="eastAsia" w:ascii="宋体" w:hAnsi="宋体"/>
          <w:b/>
          <w:sz w:val="24"/>
          <w:szCs w:val="24"/>
          <w:highlight w:val="none"/>
          <w:lang w:val="en-US" w:eastAsia="zh-CN"/>
        </w:rPr>
        <w:t>五</w:t>
      </w:r>
      <w:r>
        <w:rPr>
          <w:rFonts w:hint="eastAsia" w:ascii="宋体" w:hAnsi="宋体"/>
          <w:b/>
          <w:sz w:val="24"/>
          <w:szCs w:val="24"/>
          <w:highlight w:val="none"/>
          <w:lang w:eastAsia="zh-CN"/>
        </w:rPr>
        <w:t>、</w:t>
      </w:r>
      <w:r>
        <w:rPr>
          <w:rFonts w:hint="eastAsia" w:ascii="宋体" w:hAnsi="宋体"/>
          <w:b/>
          <w:sz w:val="24"/>
          <w:szCs w:val="24"/>
          <w:highlight w:val="none"/>
        </w:rPr>
        <w:t>质量标准</w:t>
      </w:r>
    </w:p>
    <w:p>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eastAsia"/>
          <w:sz w:val="24"/>
          <w:szCs w:val="24"/>
          <w:highlight w:val="none"/>
        </w:rPr>
      </w:pPr>
      <w:r>
        <w:rPr>
          <w:rFonts w:hint="eastAsia" w:ascii="宋体" w:hAnsi="宋体"/>
          <w:sz w:val="24"/>
          <w:szCs w:val="24"/>
          <w:highlight w:val="none"/>
        </w:rPr>
        <w:t>符合国家规定的标准、政策和现行技术规范、规程要求。</w:t>
      </w:r>
    </w:p>
    <w:p>
      <w:pPr>
        <w:keepNext w:val="0"/>
        <w:keepLines w:val="0"/>
        <w:pageBreakBefore w:val="0"/>
        <w:widowControl w:val="0"/>
        <w:shd w:val="clear"/>
        <w:kinsoku/>
        <w:wordWrap/>
        <w:overflowPunct/>
        <w:topLinePunct w:val="0"/>
        <w:autoSpaceDE/>
        <w:autoSpaceDN/>
        <w:bidi w:val="0"/>
        <w:adjustRightInd/>
        <w:snapToGrid/>
        <w:spacing w:line="324" w:lineRule="auto"/>
        <w:textAlignment w:val="auto"/>
        <w:rPr>
          <w:rFonts w:hint="eastAsia" w:ascii="宋体" w:hAnsi="宋体" w:eastAsia="宋体" w:cs="Times New Roman"/>
          <w:b/>
          <w:sz w:val="24"/>
          <w:szCs w:val="24"/>
          <w:highlight w:val="none"/>
          <w:lang w:val="en-US" w:eastAsia="zh-CN"/>
        </w:rPr>
      </w:pPr>
      <w:r>
        <w:rPr>
          <w:rFonts w:hint="eastAsia" w:ascii="宋体" w:hAnsi="宋体" w:cs="Times New Roman"/>
          <w:b/>
          <w:sz w:val="24"/>
          <w:szCs w:val="24"/>
          <w:highlight w:val="none"/>
          <w:lang w:val="en-US" w:eastAsia="zh-CN"/>
        </w:rPr>
        <w:t>六</w:t>
      </w:r>
      <w:r>
        <w:rPr>
          <w:rFonts w:hint="eastAsia" w:ascii="宋体" w:hAnsi="宋体" w:eastAsia="宋体" w:cs="Times New Roman"/>
          <w:b/>
          <w:sz w:val="24"/>
          <w:szCs w:val="24"/>
          <w:highlight w:val="none"/>
          <w:lang w:val="en-US" w:eastAsia="zh-CN"/>
        </w:rPr>
        <w:t>、商务要求</w:t>
      </w:r>
    </w:p>
    <w:p>
      <w:pPr>
        <w:keepNext w:val="0"/>
        <w:keepLines w:val="0"/>
        <w:pageBreakBefore w:val="0"/>
        <w:widowControl w:val="0"/>
        <w:numPr>
          <w:ilvl w:val="0"/>
          <w:numId w:val="23"/>
        </w:numPr>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服务方案署名权归项目承包人所有，版权归项目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所有，项目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有权在服务方案审定后公开展示成果文件，并通过传播、媒介、专业杂志、书刊及其他形式介绍、展示、评价服务方案。</w:t>
      </w:r>
    </w:p>
    <w:p>
      <w:pPr>
        <w:keepNext w:val="0"/>
        <w:keepLines w:val="0"/>
        <w:pageBreakBefore w:val="0"/>
        <w:widowControl w:val="0"/>
        <w:numPr>
          <w:ilvl w:val="0"/>
          <w:numId w:val="23"/>
        </w:numPr>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服务方案批准实施前，任何单位和个人未经同意都无权以任何形式向社会公开展示成果文件。</w:t>
      </w:r>
    </w:p>
    <w:p>
      <w:pPr>
        <w:keepNext w:val="0"/>
        <w:keepLines w:val="0"/>
        <w:pageBreakBefore w:val="0"/>
        <w:widowControl w:val="0"/>
        <w:numPr>
          <w:ilvl w:val="0"/>
          <w:numId w:val="23"/>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服务期限及服务地点：</w:t>
      </w:r>
    </w:p>
    <w:p>
      <w:pPr>
        <w:keepNext w:val="0"/>
        <w:keepLines w:val="0"/>
        <w:pageBreakBefore w:val="0"/>
        <w:widowControl w:val="0"/>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服务期限：合同生效后一年内，中标供应商</w:t>
      </w:r>
      <w:r>
        <w:rPr>
          <w:rFonts w:hint="eastAsia" w:ascii="宋体" w:hAnsi="宋体" w:eastAsia="宋体" w:cs="Times New Roman"/>
          <w:sz w:val="24"/>
          <w:szCs w:val="24"/>
          <w:highlight w:val="none"/>
        </w:rPr>
        <w:t>对规划方案的修改、完善及后续服务工作需延续至</w:t>
      </w:r>
      <w:r>
        <w:rPr>
          <w:rFonts w:hint="eastAsia" w:ascii="宋体" w:hAnsi="宋体" w:eastAsia="宋体" w:cs="Times New Roman"/>
          <w:sz w:val="24"/>
          <w:szCs w:val="24"/>
          <w:highlight w:val="none"/>
          <w:lang w:val="en-US" w:eastAsia="zh-CN"/>
        </w:rPr>
        <w:t>成果入库</w:t>
      </w:r>
      <w:r>
        <w:rPr>
          <w:rFonts w:hint="eastAsia" w:ascii="宋体" w:hAnsi="宋体" w:eastAsia="宋体" w:cs="Times New Roman"/>
          <w:sz w:val="24"/>
          <w:szCs w:val="24"/>
          <w:highlight w:val="none"/>
        </w:rPr>
        <w:t>为止。</w:t>
      </w:r>
    </w:p>
    <w:p>
      <w:pPr>
        <w:keepNext w:val="0"/>
        <w:keepLines w:val="0"/>
        <w:pageBreakBefore w:val="0"/>
        <w:widowControl w:val="0"/>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服务地点：</w:t>
      </w:r>
      <w:r>
        <w:rPr>
          <w:rFonts w:hint="eastAsia" w:ascii="宋体" w:hAnsi="宋体" w:eastAsia="宋体" w:cs="Times New Roman"/>
          <w:sz w:val="24"/>
          <w:szCs w:val="24"/>
          <w:highlight w:val="none"/>
          <w:lang w:val="en-US" w:eastAsia="zh-CN"/>
        </w:rPr>
        <w:t>采购人</w:t>
      </w:r>
      <w:r>
        <w:rPr>
          <w:rFonts w:hint="eastAsia" w:ascii="宋体" w:hAnsi="宋体" w:eastAsia="宋体" w:cs="Times New Roman"/>
          <w:sz w:val="24"/>
          <w:szCs w:val="24"/>
          <w:highlight w:val="none"/>
        </w:rPr>
        <w:t>指定地点。</w:t>
      </w:r>
    </w:p>
    <w:p>
      <w:pPr>
        <w:keepNext w:val="0"/>
        <w:keepLines w:val="0"/>
        <w:pageBreakBefore w:val="0"/>
        <w:widowControl w:val="0"/>
        <w:numPr>
          <w:ilvl w:val="0"/>
          <w:numId w:val="23"/>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▲付款方式</w:t>
      </w:r>
      <w:r>
        <w:rPr>
          <w:rFonts w:hint="eastAsia" w:ascii="宋体" w:hAnsi="宋体" w:eastAsia="宋体" w:cs="Times New Roman"/>
          <w:sz w:val="24"/>
          <w:szCs w:val="24"/>
          <w:highlight w:val="none"/>
          <w:lang w:eastAsia="zh-CN"/>
        </w:rPr>
        <w:t>及结算</w:t>
      </w:r>
      <w:r>
        <w:rPr>
          <w:rFonts w:hint="eastAsia" w:ascii="宋体" w:hAnsi="宋体" w:eastAsia="宋体" w:cs="Times New Roman"/>
          <w:sz w:val="24"/>
          <w:szCs w:val="24"/>
          <w:highlight w:val="none"/>
        </w:rPr>
        <w:t>：</w:t>
      </w:r>
    </w:p>
    <w:p>
      <w:pPr>
        <w:keepNext w:val="0"/>
        <w:keepLines w:val="0"/>
        <w:pageBreakBefore w:val="0"/>
        <w:widowControl w:val="0"/>
        <w:numPr>
          <w:ilvl w:val="0"/>
          <w:numId w:val="24"/>
        </w:numPr>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付款方式：</w:t>
      </w:r>
      <w:r>
        <w:rPr>
          <w:rFonts w:hint="eastAsia" w:ascii="宋体" w:hAnsi="宋体" w:eastAsia="宋体" w:cs="宋体"/>
          <w:sz w:val="24"/>
          <w:szCs w:val="24"/>
          <w:highlight w:val="none"/>
          <w:lang w:eastAsia="zh-CN"/>
        </w:rPr>
        <w:t>①</w:t>
      </w:r>
      <w:r>
        <w:rPr>
          <w:rFonts w:hint="eastAsia" w:ascii="宋体" w:hAnsi="宋体" w:cs="Times New Roman"/>
          <w:sz w:val="24"/>
          <w:szCs w:val="24"/>
          <w:highlight w:val="none"/>
          <w:lang w:eastAsia="zh-CN"/>
        </w:rPr>
        <w:t>合同签订后支付预算总额的</w:t>
      </w:r>
      <w:r>
        <w:rPr>
          <w:rFonts w:hint="eastAsia" w:ascii="宋体" w:hAnsi="宋体" w:cs="Times New Roman"/>
          <w:sz w:val="24"/>
          <w:szCs w:val="24"/>
          <w:highlight w:val="none"/>
          <w:lang w:val="en-US" w:eastAsia="zh-CN"/>
        </w:rPr>
        <w:t>30%作为预付款；</w:t>
      </w:r>
      <w:r>
        <w:rPr>
          <w:rFonts w:hint="eastAsia" w:ascii="宋体" w:hAnsi="宋体" w:eastAsia="宋体" w:cs="宋体"/>
          <w:sz w:val="24"/>
          <w:szCs w:val="24"/>
          <w:highlight w:val="none"/>
          <w:lang w:val="en-US" w:eastAsia="zh-CN"/>
        </w:rPr>
        <w:t>②当需要支付的累计金额达到</w:t>
      </w:r>
      <w:r>
        <w:rPr>
          <w:rFonts w:hint="eastAsia" w:ascii="宋体" w:hAnsi="宋体" w:cs="Times New Roman"/>
          <w:sz w:val="24"/>
          <w:szCs w:val="24"/>
          <w:highlight w:val="none"/>
          <w:lang w:val="en-US" w:eastAsia="zh-CN"/>
        </w:rPr>
        <w:t>本项目预算总额的30%后（即</w:t>
      </w:r>
      <w:r>
        <w:rPr>
          <w:rFonts w:hint="eastAsia" w:ascii="宋体" w:hAnsi="宋体" w:eastAsia="宋体" w:cs="宋体"/>
          <w:sz w:val="24"/>
          <w:szCs w:val="24"/>
          <w:highlight w:val="none"/>
          <w:lang w:val="en-US" w:eastAsia="zh-CN"/>
        </w:rPr>
        <w:t>需要支付的累计金额</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lang w:val="en-US" w:eastAsia="zh-CN"/>
        </w:rPr>
        <w:t>达到</w:t>
      </w:r>
      <w:r>
        <w:rPr>
          <w:rFonts w:hint="eastAsia" w:ascii="宋体" w:hAnsi="宋体" w:cs="Times New Roman"/>
          <w:sz w:val="24"/>
          <w:szCs w:val="24"/>
          <w:highlight w:val="none"/>
          <w:lang w:val="en-US" w:eastAsia="zh-CN"/>
        </w:rPr>
        <w:t>本项目预算总额的30%时，甲方不予支付），乙方</w:t>
      </w:r>
      <w:r>
        <w:rPr>
          <w:rFonts w:hint="eastAsia" w:ascii="宋体" w:hAnsi="宋体" w:eastAsia="宋体" w:cs="Times New Roman"/>
          <w:sz w:val="24"/>
          <w:szCs w:val="24"/>
          <w:highlight w:val="none"/>
        </w:rPr>
        <w:t>提交规划报批成果后十日内，</w:t>
      </w:r>
      <w:r>
        <w:rPr>
          <w:rFonts w:hint="eastAsia" w:ascii="宋体" w:hAnsi="宋体" w:cs="Times New Roman"/>
          <w:sz w:val="24"/>
          <w:szCs w:val="24"/>
          <w:highlight w:val="none"/>
          <w:lang w:eastAsia="zh-CN"/>
        </w:rPr>
        <w:t>甲方向乙方</w:t>
      </w:r>
      <w:r>
        <w:rPr>
          <w:rFonts w:hint="eastAsia" w:ascii="宋体" w:hAnsi="宋体" w:eastAsia="宋体" w:cs="Times New Roman"/>
          <w:sz w:val="24"/>
          <w:szCs w:val="24"/>
          <w:highlight w:val="none"/>
        </w:rPr>
        <w:t>支付</w:t>
      </w:r>
      <w:r>
        <w:rPr>
          <w:rFonts w:hint="eastAsia" w:ascii="宋体" w:hAnsi="宋体" w:eastAsia="宋体" w:cs="Times New Roman"/>
          <w:sz w:val="24"/>
          <w:szCs w:val="24"/>
          <w:highlight w:val="none"/>
          <w:lang w:eastAsia="zh-CN"/>
        </w:rPr>
        <w:t>该单个子项目编制费</w:t>
      </w:r>
      <w:r>
        <w:rPr>
          <w:rFonts w:hint="eastAsia" w:ascii="宋体" w:hAnsi="宋体" w:eastAsia="宋体" w:cs="Times New Roman"/>
          <w:sz w:val="24"/>
          <w:szCs w:val="24"/>
          <w:highlight w:val="none"/>
        </w:rPr>
        <w:t>总额的</w:t>
      </w:r>
      <w:r>
        <w:rPr>
          <w:rFonts w:hint="eastAsia" w:ascii="宋体" w:hAnsi="宋体" w:eastAsia="宋体" w:cs="Times New Roman"/>
          <w:sz w:val="24"/>
          <w:szCs w:val="24"/>
          <w:highlight w:val="none"/>
          <w:lang w:val="en-US" w:eastAsia="zh-CN"/>
        </w:rPr>
        <w:t>100</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eastAsia="zh-CN"/>
        </w:rPr>
        <w:t>。</w:t>
      </w:r>
    </w:p>
    <w:p>
      <w:pPr>
        <w:keepNext w:val="0"/>
        <w:keepLines w:val="0"/>
        <w:widowControl/>
        <w:suppressLineNumbers w:val="0"/>
        <w:shd w:val="clear"/>
        <w:jc w:val="left"/>
        <w:rPr>
          <w:highlight w:val="none"/>
        </w:rPr>
      </w:pPr>
      <w:r>
        <w:rPr>
          <w:rFonts w:hint="eastAsia" w:ascii="宋体" w:hAnsi="宋体" w:eastAsia="宋体" w:cs="宋体"/>
          <w:b/>
          <w:bCs/>
          <w:color w:val="FF0000"/>
          <w:kern w:val="0"/>
          <w:sz w:val="24"/>
          <w:szCs w:val="24"/>
          <w:highlight w:val="none"/>
          <w:lang w:val="en-US" w:eastAsia="zh-CN" w:bidi="ar"/>
        </w:rPr>
        <w:t xml:space="preserve">注：乙方明确表示无需预付款或者主动要求降低预付款比例的，甲方可不适用前述 </w:t>
      </w:r>
    </w:p>
    <w:p>
      <w:pPr>
        <w:keepNext w:val="0"/>
        <w:keepLines w:val="0"/>
        <w:widowControl/>
        <w:suppressLineNumbers w:val="0"/>
        <w:shd w:val="clear"/>
        <w:jc w:val="left"/>
        <w:rPr>
          <w:highlight w:val="none"/>
        </w:rPr>
      </w:pPr>
      <w:r>
        <w:rPr>
          <w:rFonts w:hint="eastAsia" w:ascii="宋体" w:hAnsi="宋体" w:eastAsia="宋体" w:cs="宋体"/>
          <w:b/>
          <w:bCs/>
          <w:color w:val="FF0000"/>
          <w:kern w:val="0"/>
          <w:sz w:val="24"/>
          <w:szCs w:val="24"/>
          <w:highlight w:val="none"/>
          <w:lang w:val="en-US" w:eastAsia="zh-CN" w:bidi="ar"/>
        </w:rPr>
        <w:t>规定。</w:t>
      </w:r>
    </w:p>
    <w:p>
      <w:pPr>
        <w:pStyle w:val="30"/>
        <w:keepNext w:val="0"/>
        <w:keepLines w:val="0"/>
        <w:pageBreakBefore w:val="0"/>
        <w:widowControl w:val="0"/>
        <w:numPr>
          <w:ilvl w:val="0"/>
          <w:numId w:val="24"/>
        </w:numPr>
        <w:shd w:val="clear"/>
        <w:kinsoku/>
        <w:wordWrap/>
        <w:overflowPunct/>
        <w:topLinePunct w:val="0"/>
        <w:autoSpaceDE/>
        <w:autoSpaceDN/>
        <w:bidi w:val="0"/>
        <w:adjustRightInd/>
        <w:snapToGrid/>
        <w:spacing w:line="324" w:lineRule="auto"/>
        <w:textAlignment w:val="auto"/>
        <w:rPr>
          <w:rFonts w:hint="eastAsia"/>
          <w:highlight w:val="none"/>
          <w:lang w:eastAsia="zh-CN"/>
        </w:rPr>
      </w:pPr>
      <w:r>
        <w:rPr>
          <w:rFonts w:hint="eastAsia"/>
          <w:highlight w:val="none"/>
          <w:lang w:eastAsia="zh-CN"/>
        </w:rPr>
        <w:t>结算方式：</w:t>
      </w:r>
    </w:p>
    <w:p>
      <w:pPr>
        <w:pStyle w:val="30"/>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2" w:firstLineChars="200"/>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控规修改论证报告</w:t>
      </w:r>
      <w:r>
        <w:rPr>
          <w:rFonts w:hint="eastAsia" w:hAnsi="宋体"/>
          <w:b/>
          <w:bCs/>
          <w:sz w:val="24"/>
          <w:szCs w:val="24"/>
          <w:highlight w:val="none"/>
          <w:lang w:val="en-US" w:eastAsia="zh-CN"/>
        </w:rPr>
        <w:t>：</w:t>
      </w:r>
      <w:r>
        <w:rPr>
          <w:rFonts w:hint="eastAsia"/>
          <w:highlight w:val="none"/>
          <w:u w:val="single"/>
          <w:lang w:eastAsia="zh-CN"/>
        </w:rPr>
        <w:t>单个子项目结算价=项目中标价；</w:t>
      </w:r>
    </w:p>
    <w:p>
      <w:pPr>
        <w:pStyle w:val="30"/>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2" w:firstLineChars="200"/>
        <w:textAlignment w:val="auto"/>
        <w:rPr>
          <w:rFonts w:hint="eastAsia"/>
          <w:highlight w:val="none"/>
          <w:u w:val="single"/>
          <w:lang w:eastAsia="zh-CN"/>
        </w:rPr>
      </w:pPr>
      <w:r>
        <w:rPr>
          <w:rFonts w:hint="eastAsia" w:ascii="宋体" w:hAnsi="宋体"/>
          <w:b/>
          <w:bCs/>
          <w:sz w:val="24"/>
          <w:szCs w:val="24"/>
          <w:highlight w:val="none"/>
          <w:lang w:val="en-US" w:eastAsia="zh-CN"/>
        </w:rPr>
        <w:t>控制性详细规划</w:t>
      </w:r>
      <w:r>
        <w:rPr>
          <w:rFonts w:hint="eastAsia" w:hAnsi="宋体"/>
          <w:b/>
          <w:bCs/>
          <w:sz w:val="24"/>
          <w:szCs w:val="24"/>
          <w:highlight w:val="none"/>
          <w:lang w:val="en-US" w:eastAsia="zh-CN"/>
        </w:rPr>
        <w:t>及地块规划研究：</w:t>
      </w:r>
      <w:r>
        <w:rPr>
          <w:rFonts w:hint="eastAsia"/>
          <w:highlight w:val="none"/>
          <w:u w:val="single"/>
          <w:lang w:eastAsia="zh-CN"/>
        </w:rPr>
        <w:t>单个子项目结算价=项目中标价×单个项目实际规划的公顷数（数量按实）；</w:t>
      </w:r>
    </w:p>
    <w:p>
      <w:pPr>
        <w:pStyle w:val="30"/>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2" w:firstLineChars="200"/>
        <w:textAlignment w:val="auto"/>
        <w:rPr>
          <w:rFonts w:hint="eastAsia"/>
          <w:highlight w:val="none"/>
          <w:u w:val="single"/>
          <w:lang w:eastAsia="zh-CN"/>
        </w:rPr>
      </w:pPr>
      <w:r>
        <w:rPr>
          <w:rFonts w:hint="eastAsia" w:ascii="宋体" w:hAnsi="宋体"/>
          <w:b/>
          <w:bCs/>
          <w:sz w:val="24"/>
          <w:szCs w:val="24"/>
          <w:highlight w:val="none"/>
        </w:rPr>
        <w:t>局部地块和模拟方案</w:t>
      </w:r>
      <w:r>
        <w:rPr>
          <w:rFonts w:hint="eastAsia" w:hAnsi="宋体"/>
          <w:b/>
          <w:bCs/>
          <w:sz w:val="24"/>
          <w:szCs w:val="24"/>
          <w:highlight w:val="none"/>
          <w:lang w:eastAsia="zh-CN"/>
        </w:rPr>
        <w:t>：</w:t>
      </w:r>
      <w:r>
        <w:rPr>
          <w:rFonts w:hint="eastAsia"/>
          <w:highlight w:val="none"/>
          <w:u w:val="single"/>
          <w:lang w:eastAsia="zh-CN"/>
        </w:rPr>
        <w:t>单个子项目结算价=项目中标价×单个项目用地面积平方数（数量按实）；</w:t>
      </w:r>
    </w:p>
    <w:p>
      <w:pPr>
        <w:keepNext w:val="0"/>
        <w:keepLines w:val="0"/>
        <w:pageBreakBefore w:val="0"/>
        <w:widowControl w:val="0"/>
        <w:numPr>
          <w:ilvl w:val="0"/>
          <w:numId w:val="23"/>
        </w:numPr>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项目承包人提交的服务方案成果文件有下列情形之一的，项目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将有权终止合同</w:t>
      </w:r>
      <w:r>
        <w:rPr>
          <w:rFonts w:hint="eastAsia" w:ascii="宋体" w:hAnsi="宋体" w:eastAsia="宋体" w:cs="Times New Roman"/>
          <w:sz w:val="24"/>
          <w:szCs w:val="24"/>
          <w:highlight w:val="none"/>
          <w:lang w:eastAsia="zh-CN"/>
        </w:rPr>
        <w:t>，并没收全额履约保证金</w:t>
      </w:r>
      <w:r>
        <w:rPr>
          <w:rFonts w:hint="eastAsia" w:ascii="宋体" w:hAnsi="宋体" w:eastAsia="宋体" w:cs="Times New Roman"/>
          <w:sz w:val="24"/>
          <w:szCs w:val="24"/>
          <w:highlight w:val="none"/>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提交的成果不符合本项目项目需求和说明规定的</w:t>
      </w:r>
      <w:r>
        <w:rPr>
          <w:rFonts w:hint="eastAsia" w:ascii="宋体" w:hAnsi="宋体" w:eastAsia="宋体" w:cs="Times New Roman"/>
          <w:sz w:val="24"/>
          <w:szCs w:val="24"/>
          <w:highlight w:val="none"/>
          <w:lang w:eastAsia="zh-CN"/>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提交的成果图纸和文字辨认不清，内容不全或粗制滥造的</w:t>
      </w:r>
      <w:r>
        <w:rPr>
          <w:rFonts w:hint="eastAsia" w:ascii="宋体" w:hAnsi="宋体" w:eastAsia="宋体" w:cs="Times New Roman"/>
          <w:sz w:val="24"/>
          <w:szCs w:val="24"/>
          <w:highlight w:val="none"/>
          <w:lang w:eastAsia="zh-CN"/>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未经项目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同意，逾期上报成果文件的</w:t>
      </w:r>
      <w:r>
        <w:rPr>
          <w:rFonts w:hint="eastAsia" w:ascii="宋体" w:hAnsi="宋体" w:eastAsia="宋体" w:cs="Times New Roman"/>
          <w:sz w:val="24"/>
          <w:szCs w:val="24"/>
          <w:highlight w:val="none"/>
          <w:lang w:eastAsia="zh-CN"/>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编制成果不能通过法定程序审批的</w:t>
      </w:r>
      <w:r>
        <w:rPr>
          <w:rFonts w:hint="eastAsia" w:ascii="宋体" w:hAnsi="宋体" w:eastAsia="宋体" w:cs="Times New Roman"/>
          <w:sz w:val="24"/>
          <w:szCs w:val="24"/>
          <w:highlight w:val="none"/>
          <w:lang w:eastAsia="zh-CN"/>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项目承包人未经项目</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正式书面同意擅自修改服务方案的</w:t>
      </w:r>
      <w:r>
        <w:rPr>
          <w:rFonts w:hint="eastAsia" w:ascii="宋体" w:hAnsi="宋体" w:eastAsia="宋体" w:cs="Times New Roman"/>
          <w:sz w:val="24"/>
          <w:szCs w:val="24"/>
          <w:highlight w:val="none"/>
          <w:lang w:eastAsia="zh-CN"/>
        </w:rPr>
        <w:t>；</w:t>
      </w:r>
    </w:p>
    <w:p>
      <w:pPr>
        <w:keepNext w:val="0"/>
        <w:keepLines w:val="0"/>
        <w:pageBreakBefore w:val="0"/>
        <w:widowControl w:val="0"/>
        <w:numPr>
          <w:ilvl w:val="0"/>
          <w:numId w:val="25"/>
        </w:numPr>
        <w:shd w:val="clear"/>
        <w:kinsoku/>
        <w:wordWrap/>
        <w:overflowPunct/>
        <w:topLinePunct w:val="0"/>
        <w:autoSpaceDE/>
        <w:autoSpaceDN/>
        <w:bidi w:val="0"/>
        <w:adjustRightInd/>
        <w:snapToGrid/>
        <w:spacing w:line="324" w:lineRule="auto"/>
        <w:ind w:left="5" w:leftChars="0" w:firstLine="415"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项目承包人</w:t>
      </w:r>
      <w:r>
        <w:rPr>
          <w:rFonts w:hint="eastAsia" w:ascii="宋体" w:hAnsi="宋体" w:eastAsia="宋体" w:cs="Times New Roman"/>
          <w:sz w:val="24"/>
          <w:szCs w:val="24"/>
          <w:highlight w:val="none"/>
          <w:lang w:eastAsia="zh-CN"/>
        </w:rPr>
        <w:t>有</w:t>
      </w:r>
      <w:r>
        <w:rPr>
          <w:rFonts w:hint="eastAsia" w:ascii="宋体" w:hAnsi="宋体" w:eastAsia="宋体" w:cs="Times New Roman"/>
          <w:sz w:val="24"/>
          <w:szCs w:val="24"/>
          <w:highlight w:val="none"/>
        </w:rPr>
        <w:t>分包转包行为</w:t>
      </w:r>
      <w:r>
        <w:rPr>
          <w:rFonts w:hint="eastAsia" w:ascii="宋体" w:hAnsi="宋体" w:eastAsia="宋体" w:cs="Times New Roman"/>
          <w:sz w:val="24"/>
          <w:szCs w:val="24"/>
          <w:highlight w:val="none"/>
          <w:lang w:eastAsia="zh-CN"/>
        </w:rPr>
        <w:t>的</w:t>
      </w:r>
      <w:r>
        <w:rPr>
          <w:rFonts w:hint="eastAsia" w:ascii="宋体" w:hAnsi="宋体" w:eastAsia="宋体" w:cs="Times New Roman"/>
          <w:sz w:val="24"/>
          <w:szCs w:val="24"/>
          <w:highlight w:val="none"/>
        </w:rPr>
        <w:t>。</w:t>
      </w:r>
    </w:p>
    <w:p>
      <w:pPr>
        <w:keepNext w:val="0"/>
        <w:keepLines w:val="0"/>
        <w:pageBreakBefore w:val="0"/>
        <w:widowControl w:val="0"/>
        <w:numPr>
          <w:ilvl w:val="0"/>
          <w:numId w:val="23"/>
        </w:numPr>
        <w:shd w:val="clear"/>
        <w:kinsoku/>
        <w:wordWrap/>
        <w:overflowPunct/>
        <w:topLinePunct w:val="0"/>
        <w:autoSpaceDE/>
        <w:autoSpaceDN/>
        <w:bidi w:val="0"/>
        <w:adjustRightInd/>
        <w:snapToGrid/>
        <w:spacing w:line="324" w:lineRule="auto"/>
        <w:ind w:left="0" w:leftChars="0" w:firstLine="420" w:firstLine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 xml:space="preserve">服务响应要求：未经采购人许可，本项目投入人员不得擅自更换，工作期间，要求在 12 小时内响应采购人提出的疑问并及时提交解释说明或修改意见。 </w:t>
      </w:r>
    </w:p>
    <w:p>
      <w:pPr>
        <w:pStyle w:val="12"/>
        <w:shd w:val="clear"/>
        <w:rPr>
          <w:rFonts w:hint="default" w:eastAsia="宋体"/>
          <w:highlight w:val="none"/>
          <w:lang w:val="en-US" w:eastAsia="zh-CN"/>
        </w:rPr>
      </w:pPr>
    </w:p>
    <w:p>
      <w:pPr>
        <w:shd w:val="clear"/>
        <w:rPr>
          <w:rFonts w:hint="eastAsia" w:ascii="宋体" w:hAnsi="宋体" w:cs="宋体"/>
          <w:b/>
          <w:bCs/>
          <w:sz w:val="36"/>
          <w:szCs w:val="36"/>
          <w:highlight w:val="none"/>
        </w:rPr>
      </w:pPr>
      <w:r>
        <w:rPr>
          <w:rFonts w:hint="eastAsia" w:ascii="宋体" w:hAnsi="宋体" w:cs="宋体"/>
          <w:b/>
          <w:bCs/>
          <w:sz w:val="36"/>
          <w:szCs w:val="36"/>
          <w:highlight w:val="none"/>
        </w:rPr>
        <w:br w:type="page"/>
      </w:r>
    </w:p>
    <w:p>
      <w:pPr>
        <w:pStyle w:val="21"/>
        <w:shd w:val="clear"/>
        <w:ind w:left="0" w:leftChars="0" w:firstLine="723"/>
        <w:jc w:val="center"/>
        <w:rPr>
          <w:rFonts w:ascii="宋体" w:cs="宋体"/>
          <w:b/>
          <w:bCs/>
          <w:sz w:val="36"/>
          <w:szCs w:val="36"/>
          <w:highlight w:val="none"/>
        </w:rPr>
      </w:pPr>
      <w:r>
        <w:rPr>
          <w:rFonts w:hint="eastAsia" w:ascii="宋体" w:hAnsi="宋体" w:cs="宋体"/>
          <w:b/>
          <w:bCs/>
          <w:sz w:val="36"/>
          <w:szCs w:val="36"/>
          <w:highlight w:val="none"/>
        </w:rPr>
        <w:t>第五章</w:t>
      </w:r>
      <w:r>
        <w:rPr>
          <w:rFonts w:ascii="宋体" w:hAnsi="宋体" w:cs="宋体"/>
          <w:b/>
          <w:bCs/>
          <w:sz w:val="36"/>
          <w:szCs w:val="36"/>
          <w:highlight w:val="none"/>
        </w:rPr>
        <w:t xml:space="preserve"> </w:t>
      </w:r>
      <w:r>
        <w:rPr>
          <w:rFonts w:hint="eastAsia" w:ascii="宋体" w:hAnsi="宋体" w:cs="宋体"/>
          <w:b/>
          <w:bCs/>
          <w:sz w:val="36"/>
          <w:szCs w:val="36"/>
          <w:highlight w:val="none"/>
        </w:rPr>
        <w:t>合同文本</w:t>
      </w:r>
      <w:bookmarkEnd w:id="8"/>
    </w:p>
    <w:p>
      <w:pPr>
        <w:shd w:val="clea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w:t>
      </w:r>
      <w:r>
        <w:rPr>
          <w:rFonts w:hint="eastAsia" w:ascii="宋体" w:hAnsi="宋体" w:cs="宋体"/>
          <w:sz w:val="24"/>
          <w:szCs w:val="24"/>
          <w:highlight w:val="none"/>
          <w:u w:val="single"/>
        </w:rPr>
        <w:t xml:space="preserve">  温岭市自然资源和规划局   </w:t>
      </w:r>
    </w:p>
    <w:p>
      <w:pPr>
        <w:shd w:val="clea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w:t>
      </w:r>
      <w:r>
        <w:rPr>
          <w:rFonts w:hint="eastAsia" w:ascii="宋体" w:hAnsi="宋体" w:cs="宋体"/>
          <w:sz w:val="24"/>
          <w:szCs w:val="24"/>
          <w:highlight w:val="none"/>
          <w:u w:val="single"/>
        </w:rPr>
        <w:t xml:space="preserve">                            </w:t>
      </w:r>
    </w:p>
    <w:p>
      <w:pPr>
        <w:shd w:val="clea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委托</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承担</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的编制工作，项目地点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。为明确双方的权利和义务，经双方协商一致，依照《</w:t>
      </w:r>
      <w:r>
        <w:rPr>
          <w:rFonts w:hint="eastAsia" w:ascii="宋体" w:hAnsi="宋体" w:cs="宋体"/>
          <w:color w:val="000000"/>
          <w:sz w:val="24"/>
          <w:szCs w:val="24"/>
          <w:highlight w:val="none"/>
          <w:lang w:eastAsia="zh-CN"/>
        </w:rPr>
        <w:t>中华人民共和国民法典</w:t>
      </w:r>
      <w:r>
        <w:rPr>
          <w:rFonts w:hint="eastAsia" w:ascii="宋体" w:hAnsi="宋体" w:cs="宋体"/>
          <w:color w:val="000000"/>
          <w:sz w:val="24"/>
          <w:szCs w:val="24"/>
          <w:highlight w:val="none"/>
        </w:rPr>
        <w:t>》等的规定，遵循诚实、信用、公平和自愿原则签订本合同。</w:t>
      </w:r>
    </w:p>
    <w:p>
      <w:pPr>
        <w:shd w:val="clear"/>
        <w:spacing w:line="360" w:lineRule="auto"/>
        <w:ind w:left="-420"/>
        <w:rPr>
          <w:rFonts w:hint="eastAsia" w:ascii="宋体" w:hAnsi="宋体" w:cs="宋体"/>
          <w:color w:val="000000"/>
          <w:sz w:val="24"/>
          <w:szCs w:val="24"/>
          <w:highlight w:val="none"/>
        </w:rPr>
      </w:pPr>
    </w:p>
    <w:p>
      <w:pPr>
        <w:shd w:val="clear"/>
        <w:spacing w:line="360" w:lineRule="auto"/>
        <w:rPr>
          <w:rFonts w:hint="eastAsia" w:ascii="宋体" w:hAnsi="宋体" w:cs="宋体"/>
          <w:color w:val="000000"/>
          <w:sz w:val="24"/>
          <w:szCs w:val="24"/>
          <w:highlight w:val="none"/>
        </w:rPr>
      </w:pPr>
      <w:bookmarkStart w:id="9" w:name="1"/>
      <w:r>
        <w:rPr>
          <w:rFonts w:hint="eastAsia" w:ascii="宋体" w:hAnsi="宋体" w:cs="宋体"/>
          <w:b/>
          <w:color w:val="000000"/>
          <w:sz w:val="24"/>
          <w:szCs w:val="24"/>
          <w:highlight w:val="none"/>
        </w:rPr>
        <w:t>第一条</w:t>
      </w:r>
      <w:bookmarkEnd w:id="9"/>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本合同签订依据</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HYPERLINK "javascript:SLC(21651,0)" </w:instrText>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t>中华人民共和国</w:t>
      </w:r>
      <w:r>
        <w:rPr>
          <w:rFonts w:hint="eastAsia" w:ascii="宋体" w:hAnsi="宋体" w:cs="宋体"/>
          <w:color w:val="000000"/>
          <w:sz w:val="24"/>
          <w:szCs w:val="24"/>
          <w:highlight w:val="none"/>
          <w:lang w:val="en-US" w:eastAsia="zh-CN"/>
        </w:rPr>
        <w:t>民法典</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1.2国家及地方有关规划设计管理法规、规章和规定。</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1.3规划项目批准文件。</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1.4其他：</w:t>
      </w:r>
      <w:r>
        <w:rPr>
          <w:rFonts w:hint="eastAsia" w:ascii="宋体" w:hAnsi="宋体" w:cs="宋体"/>
          <w:color w:val="000000"/>
          <w:sz w:val="24"/>
          <w:szCs w:val="24"/>
          <w:highlight w:val="none"/>
          <w:u w:val="single"/>
        </w:rPr>
        <w:t xml:space="preserve">  无  </w:t>
      </w:r>
      <w:r>
        <w:rPr>
          <w:rFonts w:hint="eastAsia" w:ascii="宋体" w:hAnsi="宋体" w:cs="宋体"/>
          <w:color w:val="000000"/>
          <w:sz w:val="24"/>
          <w:szCs w:val="24"/>
          <w:highlight w:val="none"/>
        </w:rPr>
        <w:t>。</w:t>
      </w:r>
    </w:p>
    <w:p>
      <w:pPr>
        <w:shd w:val="clear"/>
        <w:spacing w:line="360" w:lineRule="auto"/>
        <w:rPr>
          <w:rFonts w:hint="eastAsia" w:ascii="宋体" w:hAnsi="宋体" w:cs="宋体"/>
          <w:color w:val="000000"/>
          <w:sz w:val="24"/>
          <w:szCs w:val="24"/>
          <w:highlight w:val="none"/>
        </w:rPr>
      </w:pPr>
      <w:bookmarkStart w:id="10" w:name="2"/>
      <w:r>
        <w:rPr>
          <w:rFonts w:hint="eastAsia" w:ascii="宋体" w:hAnsi="宋体" w:cs="宋体"/>
          <w:b/>
          <w:color w:val="000000"/>
          <w:sz w:val="24"/>
          <w:szCs w:val="24"/>
          <w:highlight w:val="none"/>
        </w:rPr>
        <w:t>第二条</w:t>
      </w:r>
      <w:bookmarkEnd w:id="10"/>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设计依据。</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2.1</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给</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的委托书或设计中标文件。</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2.2</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提交的基础资料：</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已批复的上一级城乡规划成果；</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规划行政主管部门对本规划项目提出的规划设计条件、规划设计要求等。</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其　他：</w:t>
      </w:r>
      <w:r>
        <w:rPr>
          <w:rFonts w:hint="eastAsia" w:ascii="宋体" w:hAnsi="宋体" w:cs="宋体"/>
          <w:color w:val="000000"/>
          <w:sz w:val="24"/>
          <w:szCs w:val="24"/>
          <w:highlight w:val="none"/>
          <w:u w:val="single"/>
        </w:rPr>
        <w:t xml:space="preserve">  无  </w:t>
      </w:r>
      <w:r>
        <w:rPr>
          <w:rFonts w:hint="eastAsia" w:ascii="宋体" w:hAnsi="宋体" w:cs="宋体"/>
          <w:color w:val="000000"/>
          <w:sz w:val="24"/>
          <w:szCs w:val="24"/>
          <w:highlight w:val="none"/>
        </w:rPr>
        <w:t>。</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2.3</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采用的主要技术标准是与城乡规划设计相关的现行的中华人民共和国国家标准、中华人民共和国行业标准、浙江省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台州市</w:t>
      </w:r>
      <w:r>
        <w:rPr>
          <w:rFonts w:hint="eastAsia" w:ascii="宋体" w:hAnsi="宋体" w:cs="宋体"/>
          <w:color w:val="000000"/>
          <w:sz w:val="24"/>
          <w:szCs w:val="24"/>
          <w:highlight w:val="none"/>
          <w:lang w:eastAsia="zh-CN"/>
        </w:rPr>
        <w:t>、温岭市相关</w:t>
      </w:r>
      <w:r>
        <w:rPr>
          <w:rFonts w:hint="eastAsia" w:ascii="宋体" w:hAnsi="宋体" w:cs="宋体"/>
          <w:color w:val="000000"/>
          <w:sz w:val="24"/>
          <w:szCs w:val="24"/>
          <w:highlight w:val="none"/>
        </w:rPr>
        <w:t>标准。</w:t>
      </w:r>
    </w:p>
    <w:p>
      <w:pPr>
        <w:shd w:val="clear"/>
        <w:spacing w:line="360" w:lineRule="auto"/>
        <w:rPr>
          <w:rFonts w:hint="eastAsia" w:ascii="宋体" w:hAnsi="宋体" w:cs="宋体"/>
          <w:color w:val="000000"/>
          <w:sz w:val="24"/>
          <w:szCs w:val="24"/>
          <w:highlight w:val="none"/>
        </w:rPr>
      </w:pPr>
      <w:bookmarkStart w:id="11" w:name="4"/>
      <w:r>
        <w:rPr>
          <w:rFonts w:hint="eastAsia" w:ascii="宋体" w:hAnsi="宋体" w:cs="宋体"/>
          <w:b/>
          <w:color w:val="000000"/>
          <w:sz w:val="24"/>
          <w:szCs w:val="24"/>
          <w:highlight w:val="none"/>
        </w:rPr>
        <w:t>第三条</w:t>
      </w:r>
      <w:bookmarkEnd w:id="11"/>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本合同项目的名称、规划范围、类型及设计内容（根据行业特点填写）</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名　  称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hd w:val="clear"/>
        <w:spacing w:line="360" w:lineRule="auto"/>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规划范围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类   型 ：□ 区域规划　□ 总体规划　□ 分区规划</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 控制性详细规划　□ 修建性详细规划</w:t>
      </w:r>
    </w:p>
    <w:p>
      <w:pPr>
        <w:shd w:val="clear"/>
        <w:spacing w:line="360" w:lineRule="auto"/>
        <w:ind w:firstLine="1200" w:firstLineChars="500"/>
        <w:rPr>
          <w:rFonts w:hint="eastAsia" w:ascii="宋体" w:hAnsi="宋体" w:cs="宋体"/>
          <w:color w:val="000000"/>
          <w:sz w:val="24"/>
          <w:szCs w:val="24"/>
          <w:highlight w:val="none"/>
        </w:rPr>
      </w:pPr>
      <w:r>
        <w:rPr>
          <w:rFonts w:hint="eastAsia" w:ascii="宋体" w:hAnsi="宋体" w:cs="宋体"/>
          <w:color w:val="000000"/>
          <w:sz w:val="24"/>
          <w:szCs w:val="24"/>
          <w:highlight w:val="none"/>
        </w:rPr>
        <w:t>　  □ 专项规划　□ 其他</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设计内容：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hd w:val="clear"/>
        <w:spacing w:line="360" w:lineRule="auto"/>
        <w:rPr>
          <w:rFonts w:hint="eastAsia" w:ascii="宋体" w:hAnsi="宋体" w:cs="宋体"/>
          <w:color w:val="000000"/>
          <w:sz w:val="24"/>
          <w:szCs w:val="24"/>
          <w:highlight w:val="none"/>
        </w:rPr>
      </w:pPr>
      <w:bookmarkStart w:id="12" w:name="5"/>
      <w:r>
        <w:rPr>
          <w:rFonts w:hint="eastAsia" w:ascii="宋体" w:hAnsi="宋体" w:cs="宋体"/>
          <w:b/>
          <w:color w:val="000000"/>
          <w:sz w:val="24"/>
          <w:szCs w:val="24"/>
          <w:highlight w:val="none"/>
        </w:rPr>
        <w:t>第四条</w:t>
      </w:r>
      <w:bookmarkEnd w:id="12"/>
      <w:r>
        <w:rPr>
          <w:rFonts w:hint="eastAsia" w:ascii="宋体" w:hAnsi="宋体" w:cs="宋体"/>
          <w:b/>
          <w:color w:val="000000"/>
          <w:sz w:val="24"/>
          <w:szCs w:val="24"/>
          <w:highlight w:val="none"/>
        </w:rPr>
        <w:t xml:space="preserve">　 </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提交的有关资料、文件及时间</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□地形图纸（比例尺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□地形图电子文件（□光盘  　□软盘）；</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□其它资料：</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□时　间：</w:t>
      </w:r>
    </w:p>
    <w:p>
      <w:pPr>
        <w:shd w:val="clear"/>
        <w:spacing w:line="360" w:lineRule="auto"/>
        <w:rPr>
          <w:rFonts w:hint="eastAsia" w:ascii="宋体" w:hAnsi="宋体" w:cs="宋体"/>
          <w:color w:val="000000"/>
          <w:sz w:val="24"/>
          <w:szCs w:val="24"/>
          <w:highlight w:val="none"/>
        </w:rPr>
      </w:pPr>
      <w:bookmarkStart w:id="13" w:name="6"/>
      <w:r>
        <w:rPr>
          <w:rFonts w:hint="eastAsia" w:ascii="宋体" w:hAnsi="宋体" w:cs="宋体"/>
          <w:b/>
          <w:color w:val="000000"/>
          <w:sz w:val="24"/>
          <w:szCs w:val="24"/>
          <w:highlight w:val="none"/>
        </w:rPr>
        <w:t>第五条</w:t>
      </w:r>
      <w:bookmarkEnd w:id="13"/>
      <w:r>
        <w:rPr>
          <w:rFonts w:hint="eastAsia" w:ascii="宋体" w:hAnsi="宋体" w:cs="宋体"/>
          <w:b/>
          <w:color w:val="000000"/>
          <w:sz w:val="24"/>
          <w:szCs w:val="24"/>
          <w:highlight w:val="none"/>
        </w:rPr>
        <w:t>　</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向</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交付的设计文件、份数、时间</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□电子文件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]套</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□彩色文本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]套</w:t>
      </w:r>
    </w:p>
    <w:p>
      <w:pPr>
        <w:shd w:val="clear"/>
        <w:spacing w:line="360" w:lineRule="auto"/>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□时间</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u w:val="single"/>
        </w:rPr>
        <w:t xml:space="preserve">                                                   </w:t>
      </w:r>
    </w:p>
    <w:p>
      <w:pPr>
        <w:shd w:val="clear"/>
        <w:spacing w:line="360" w:lineRule="auto"/>
        <w:rPr>
          <w:rFonts w:hint="eastAsia" w:ascii="宋体" w:hAnsi="宋体" w:cs="宋体"/>
          <w:color w:val="000000"/>
          <w:sz w:val="24"/>
          <w:szCs w:val="24"/>
          <w:highlight w:val="none"/>
        </w:rPr>
      </w:pPr>
      <w:bookmarkStart w:id="14" w:name="7"/>
      <w:r>
        <w:rPr>
          <w:rFonts w:hint="eastAsia" w:ascii="宋体" w:hAnsi="宋体" w:cs="宋体"/>
          <w:b/>
          <w:color w:val="000000"/>
          <w:sz w:val="24"/>
          <w:szCs w:val="24"/>
          <w:highlight w:val="none"/>
        </w:rPr>
        <w:t>第六条</w:t>
      </w:r>
      <w:bookmarkEnd w:id="14"/>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费用</w:t>
      </w:r>
    </w:p>
    <w:p>
      <w:pPr>
        <w:shd w:val="clear"/>
        <w:autoSpaceDE w:val="0"/>
        <w:autoSpaceDN w:val="0"/>
        <w:snapToGrid w:val="0"/>
        <w:spacing w:line="360" w:lineRule="auto"/>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.1本项目</w:t>
      </w:r>
      <w:r>
        <w:rPr>
          <w:rFonts w:hint="eastAsia" w:ascii="宋体" w:hAnsi="宋体" w:eastAsia="宋体" w:cs="宋体"/>
          <w:color w:val="000000"/>
          <w:sz w:val="24"/>
          <w:highlight w:val="none"/>
          <w:lang w:eastAsia="zh-CN"/>
        </w:rPr>
        <w:t>实行固定单价合同，</w:t>
      </w:r>
      <w:r>
        <w:rPr>
          <w:rFonts w:hint="eastAsia" w:ascii="宋体" w:hAnsi="宋体" w:cs="宋体"/>
          <w:color w:val="000000"/>
          <w:sz w:val="24"/>
          <w:highlight w:val="none"/>
        </w:rPr>
        <w:t>合同总金额不超过</w:t>
      </w:r>
      <w:r>
        <w:rPr>
          <w:rFonts w:hint="eastAsia" w:ascii="宋体" w:hAnsi="宋体" w:cs="宋体"/>
          <w:color w:val="000000"/>
          <w:sz w:val="24"/>
          <w:highlight w:val="none"/>
          <w:lang w:val="en-US" w:eastAsia="zh-CN"/>
        </w:rPr>
        <w:t>180</w:t>
      </w:r>
      <w:r>
        <w:rPr>
          <w:rFonts w:hint="eastAsia" w:ascii="宋体" w:hAnsi="宋体" w:cs="宋体"/>
          <w:color w:val="000000"/>
          <w:sz w:val="24"/>
          <w:highlight w:val="none"/>
        </w:rPr>
        <w:t>万元。</w:t>
      </w:r>
      <w:r>
        <w:rPr>
          <w:rFonts w:hint="eastAsia" w:ascii="宋体" w:hAnsi="宋体" w:cs="宋体"/>
          <w:color w:val="000000"/>
          <w:sz w:val="24"/>
          <w:highlight w:val="none"/>
          <w:lang w:eastAsia="zh-CN"/>
        </w:rPr>
        <w:t>其中</w:t>
      </w:r>
      <w:r>
        <w:rPr>
          <w:rFonts w:hint="eastAsia" w:ascii="宋体" w:hAnsi="宋体" w:eastAsia="宋体" w:cs="宋体"/>
          <w:color w:val="000000"/>
          <w:sz w:val="24"/>
          <w:highlight w:val="none"/>
          <w:u w:val="none"/>
          <w:lang w:val="en-US" w:eastAsia="zh-CN"/>
        </w:rPr>
        <w:t>控规修改论证报告</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元/个</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lang w:eastAsia="zh-CN"/>
        </w:rPr>
        <w:t>控制性详细规划及地块规划研究</w:t>
      </w:r>
      <w:r>
        <w:rPr>
          <w:rFonts w:hint="eastAsia" w:ascii="宋体" w:hAnsi="宋体" w:eastAsia="宋体" w:cs="宋体"/>
          <w:color w:val="000000"/>
          <w:sz w:val="24"/>
          <w:highlight w:val="none"/>
        </w:rPr>
        <w:t>按</w:t>
      </w:r>
      <w:r>
        <w:rPr>
          <w:rFonts w:hint="eastAsia" w:ascii="宋体" w:hAnsi="宋体" w:eastAsia="宋体" w:cs="宋体"/>
          <w:color w:val="000000"/>
          <w:sz w:val="24"/>
          <w:highlight w:val="none"/>
          <w:lang w:val="en-US" w:eastAsia="zh-CN"/>
        </w:rPr>
        <w:t>人民币</w:t>
      </w:r>
      <w:r>
        <w:rPr>
          <w:rFonts w:hint="eastAsia" w:ascii="宋体" w:hAnsi="宋体" w:eastAsia="宋体" w:cs="宋体"/>
          <w:color w:val="000000"/>
          <w:sz w:val="24"/>
          <w:highlight w:val="none"/>
          <w:u w:val="single"/>
          <w:lang w:val="en-US" w:eastAsia="zh-CN"/>
        </w:rPr>
        <w:t>：</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元</w:t>
      </w:r>
      <w:r>
        <w:rPr>
          <w:rFonts w:hint="eastAsia" w:ascii="宋体" w:hAnsi="宋体" w:eastAsia="宋体" w:cs="宋体"/>
          <w:color w:val="000000"/>
          <w:sz w:val="24"/>
          <w:highlight w:val="none"/>
          <w:u w:val="none"/>
          <w:lang w:val="en-US" w:eastAsia="zh-CN"/>
        </w:rPr>
        <w:t>/公顷；</w:t>
      </w:r>
      <w:r>
        <w:rPr>
          <w:rFonts w:hint="eastAsia" w:ascii="宋体" w:hAnsi="宋体" w:cs="宋体"/>
          <w:color w:val="000000"/>
          <w:sz w:val="24"/>
          <w:highlight w:val="none"/>
          <w:lang w:val="en-US" w:eastAsia="zh-CN"/>
        </w:rPr>
        <w:t>局部地块和模拟方案</w:t>
      </w:r>
      <w:r>
        <w:rPr>
          <w:rFonts w:hint="eastAsia" w:ascii="宋体" w:hAnsi="宋体" w:eastAsia="宋体" w:cs="宋体"/>
          <w:color w:val="000000"/>
          <w:sz w:val="24"/>
          <w:highlight w:val="none"/>
        </w:rPr>
        <w:t>按</w:t>
      </w:r>
      <w:r>
        <w:rPr>
          <w:rFonts w:hint="eastAsia" w:ascii="宋体" w:hAnsi="宋体" w:eastAsia="宋体" w:cs="宋体"/>
          <w:color w:val="000000"/>
          <w:sz w:val="24"/>
          <w:highlight w:val="none"/>
          <w:lang w:val="en-US" w:eastAsia="zh-CN"/>
        </w:rPr>
        <w:t>人民币</w:t>
      </w:r>
      <w:r>
        <w:rPr>
          <w:rFonts w:hint="eastAsia" w:ascii="宋体" w:hAnsi="宋体" w:eastAsia="宋体" w:cs="宋体"/>
          <w:color w:val="000000"/>
          <w:sz w:val="24"/>
          <w:highlight w:val="none"/>
          <w:u w:val="single"/>
          <w:lang w:val="en-US" w:eastAsia="zh-CN"/>
        </w:rPr>
        <w:t>：</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元</w:t>
      </w:r>
      <w:r>
        <w:rPr>
          <w:rFonts w:hint="eastAsia" w:ascii="宋体" w:hAnsi="宋体" w:eastAsia="宋体" w:cs="宋体"/>
          <w:color w:val="000000"/>
          <w:sz w:val="24"/>
          <w:highlight w:val="none"/>
          <w:u w:val="none"/>
          <w:lang w:val="en-US" w:eastAsia="zh-CN"/>
        </w:rPr>
        <w:t>/公顷</w:t>
      </w:r>
      <w:r>
        <w:rPr>
          <w:rFonts w:hint="eastAsia" w:ascii="宋体" w:hAnsi="宋体" w:cs="宋体"/>
          <w:color w:val="000000"/>
          <w:sz w:val="24"/>
          <w:highlight w:val="none"/>
          <w:u w:val="none"/>
          <w:lang w:val="en-US" w:eastAsia="zh-CN"/>
        </w:rPr>
        <w:t>，</w:t>
      </w:r>
      <w:r>
        <w:rPr>
          <w:rFonts w:hint="eastAsia" w:ascii="宋体" w:hAnsi="宋体" w:eastAsia="宋体" w:cs="宋体"/>
          <w:color w:val="000000"/>
          <w:sz w:val="24"/>
          <w:highlight w:val="none"/>
        </w:rPr>
        <w:t>该项目涉及的所有</w:t>
      </w:r>
      <w:r>
        <w:rPr>
          <w:rFonts w:hint="eastAsia" w:ascii="宋体" w:hAnsi="宋体" w:eastAsia="宋体" w:cs="宋体"/>
          <w:color w:val="000000"/>
          <w:sz w:val="24"/>
          <w:highlight w:val="none"/>
          <w:lang w:eastAsia="zh-CN"/>
        </w:rPr>
        <w:t>规划</w:t>
      </w:r>
      <w:r>
        <w:rPr>
          <w:rFonts w:hint="eastAsia" w:ascii="宋体" w:hAnsi="宋体" w:eastAsia="宋体" w:cs="宋体"/>
          <w:color w:val="000000"/>
          <w:sz w:val="24"/>
          <w:highlight w:val="none"/>
        </w:rPr>
        <w:t>成果各项内容（要求达到国家有关规范规定及采购人的要求）、前期工作、后续服务等全部费用（含税金、调研报告、方案和成果评审（含评审专家费用）、审查、汇报的制作、印刷、邮寄、差旅等所有费用）均由</w:t>
      </w:r>
      <w:r>
        <w:rPr>
          <w:rFonts w:hint="eastAsia" w:ascii="宋体" w:hAnsi="宋体" w:eastAsia="宋体" w:cs="宋体"/>
          <w:color w:val="000000"/>
          <w:sz w:val="24"/>
          <w:highlight w:val="none"/>
          <w:lang w:eastAsia="zh-CN"/>
        </w:rPr>
        <w:t>乙方</w:t>
      </w:r>
      <w:r>
        <w:rPr>
          <w:rFonts w:hint="eastAsia" w:ascii="宋体" w:hAnsi="宋体" w:eastAsia="宋体" w:cs="宋体"/>
          <w:color w:val="000000"/>
          <w:sz w:val="24"/>
          <w:highlight w:val="none"/>
        </w:rPr>
        <w:t>负责，</w:t>
      </w:r>
      <w:r>
        <w:rPr>
          <w:rFonts w:hint="eastAsia" w:ascii="宋体" w:hAnsi="宋体" w:eastAsia="宋体" w:cs="宋体"/>
          <w:color w:val="000000"/>
          <w:sz w:val="24"/>
          <w:highlight w:val="none"/>
          <w:lang w:eastAsia="zh-CN"/>
        </w:rPr>
        <w:t>甲方</w:t>
      </w:r>
      <w:r>
        <w:rPr>
          <w:rFonts w:hint="eastAsia" w:ascii="宋体" w:hAnsi="宋体" w:eastAsia="宋体" w:cs="宋体"/>
          <w:color w:val="000000"/>
          <w:sz w:val="24"/>
          <w:highlight w:val="none"/>
        </w:rPr>
        <w:t>不再支付任何其他费用。</w:t>
      </w:r>
    </w:p>
    <w:p>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rPr>
      </w:pPr>
      <w:r>
        <w:rPr>
          <w:rFonts w:hint="eastAsia" w:ascii="宋体" w:hAnsi="宋体" w:cs="宋体"/>
          <w:color w:val="000000"/>
          <w:sz w:val="24"/>
          <w:highlight w:val="none"/>
          <w:lang w:val="en-US" w:eastAsia="zh-CN"/>
        </w:rPr>
        <w:t>6.2 费用结算：</w:t>
      </w:r>
    </w:p>
    <w:p>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lang w:val="en-US" w:eastAsia="zh-CN"/>
        </w:rPr>
        <w:t>1）控规修改论证报告：</w:t>
      </w:r>
      <w:r>
        <w:rPr>
          <w:rFonts w:hint="eastAsia" w:ascii="宋体" w:hAnsi="宋体" w:cs="宋体"/>
          <w:color w:val="000000"/>
          <w:sz w:val="24"/>
          <w:highlight w:val="none"/>
          <w:u w:val="single"/>
          <w:lang w:val="en-US" w:eastAsia="zh-CN"/>
        </w:rPr>
        <w:t>单个子项目结算价=项目中标价；</w:t>
      </w:r>
    </w:p>
    <w:p>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lang w:val="en-US" w:eastAsia="zh-CN"/>
        </w:rPr>
        <w:t>2）控制性详细规划及地块规划研究：</w:t>
      </w:r>
      <w:r>
        <w:rPr>
          <w:rFonts w:hint="eastAsia" w:ascii="宋体" w:hAnsi="宋体" w:cs="宋体"/>
          <w:color w:val="000000"/>
          <w:sz w:val="24"/>
          <w:highlight w:val="none"/>
          <w:u w:val="single"/>
          <w:lang w:val="en-US" w:eastAsia="zh-CN"/>
        </w:rPr>
        <w:t>单个子项目结算价=项目中标价×单个项目实际规划的公顷数（数量按实）；</w:t>
      </w:r>
    </w:p>
    <w:p>
      <w:pPr>
        <w:shd w:val="clear"/>
        <w:autoSpaceDE w:val="0"/>
        <w:autoSpaceDN w:val="0"/>
        <w:snapToGrid w:val="0"/>
        <w:spacing w:line="360" w:lineRule="auto"/>
        <w:ind w:left="0" w:leftChars="0" w:firstLine="420" w:firstLineChars="175"/>
        <w:textAlignment w:val="bottom"/>
        <w:rPr>
          <w:rFonts w:hint="eastAsia" w:ascii="宋体" w:hAnsi="宋体" w:cs="宋体"/>
          <w:color w:val="000000"/>
          <w:sz w:val="24"/>
          <w:highlight w:val="none"/>
          <w:u w:val="single"/>
          <w:lang w:val="en-US" w:eastAsia="zh-CN"/>
        </w:rPr>
      </w:pPr>
      <w:r>
        <w:rPr>
          <w:rFonts w:hint="eastAsia" w:ascii="宋体" w:hAnsi="宋体" w:cs="宋体"/>
          <w:color w:val="000000"/>
          <w:sz w:val="24"/>
          <w:highlight w:val="none"/>
          <w:lang w:val="en-US" w:eastAsia="zh-CN"/>
        </w:rPr>
        <w:t>3）局部地块和模拟方案：</w:t>
      </w:r>
      <w:r>
        <w:rPr>
          <w:rFonts w:hint="eastAsia" w:ascii="宋体" w:hAnsi="宋体" w:cs="宋体"/>
          <w:color w:val="000000"/>
          <w:sz w:val="24"/>
          <w:highlight w:val="none"/>
          <w:u w:val="single"/>
          <w:lang w:val="en-US" w:eastAsia="zh-CN"/>
        </w:rPr>
        <w:t>单个子项目结算价=项目中标价×单个项目用地面积平方数（数量按实）。</w:t>
      </w:r>
    </w:p>
    <w:p>
      <w:pPr>
        <w:shd w:val="clear"/>
        <w:autoSpaceDE w:val="0"/>
        <w:autoSpaceDN w:val="0"/>
        <w:snapToGrid w:val="0"/>
        <w:spacing w:line="360" w:lineRule="auto"/>
        <w:ind w:left="0" w:leftChars="0" w:firstLine="420" w:firstLineChars="175"/>
        <w:textAlignment w:val="bottom"/>
        <w:rPr>
          <w:rFonts w:hint="default" w:ascii="宋体" w:hAnsi="Calibri" w:eastAsia="宋体" w:cs="Times New Roman"/>
          <w:kern w:val="2"/>
          <w:sz w:val="24"/>
          <w:szCs w:val="28"/>
          <w:highlight w:val="none"/>
          <w:lang w:val="en-US" w:eastAsia="zh-CN" w:bidi="ar-SA"/>
        </w:rPr>
      </w:pPr>
      <w:r>
        <w:rPr>
          <w:rFonts w:hint="eastAsia" w:ascii="宋体" w:hAnsi="宋体" w:cs="宋体"/>
          <w:color w:val="000000"/>
          <w:sz w:val="24"/>
          <w:highlight w:val="none"/>
          <w:lang w:val="en-US" w:eastAsia="zh-CN"/>
        </w:rPr>
        <w:t>6.3本项目最终结算总价按实结算。</w:t>
      </w:r>
    </w:p>
    <w:p>
      <w:pPr>
        <w:shd w:val="clear"/>
        <w:spacing w:line="360" w:lineRule="auto"/>
        <w:rPr>
          <w:rFonts w:hint="eastAsia" w:ascii="宋体" w:hAnsi="宋体" w:cs="宋体"/>
          <w:color w:val="000000"/>
          <w:sz w:val="24"/>
          <w:szCs w:val="24"/>
          <w:highlight w:val="none"/>
        </w:rPr>
      </w:pPr>
      <w:bookmarkStart w:id="15" w:name="8"/>
      <w:r>
        <w:rPr>
          <w:rFonts w:hint="eastAsia" w:ascii="宋体" w:hAnsi="宋体" w:cs="宋体"/>
          <w:b/>
          <w:color w:val="000000"/>
          <w:sz w:val="24"/>
          <w:szCs w:val="24"/>
          <w:highlight w:val="none"/>
        </w:rPr>
        <w:t>第七条</w:t>
      </w:r>
      <w:bookmarkEnd w:id="15"/>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支付方式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Times New Roman"/>
          <w:sz w:val="24"/>
          <w:szCs w:val="24"/>
          <w:highlight w:val="none"/>
          <w:lang w:val="en-US" w:eastAsia="zh-CN"/>
        </w:rPr>
      </w:pPr>
      <w:bookmarkStart w:id="16" w:name="9"/>
      <w:r>
        <w:rPr>
          <w:rFonts w:hint="eastAsia" w:ascii="宋体" w:hAnsi="宋体" w:cs="宋体"/>
          <w:sz w:val="24"/>
          <w:szCs w:val="24"/>
          <w:highlight w:val="none"/>
          <w:lang w:val="en-US" w:eastAsia="zh-CN"/>
        </w:rPr>
        <w:t>7.1</w:t>
      </w:r>
      <w:r>
        <w:rPr>
          <w:rFonts w:hint="eastAsia" w:ascii="宋体" w:hAnsi="宋体" w:cs="Times New Roman"/>
          <w:sz w:val="24"/>
          <w:szCs w:val="24"/>
          <w:highlight w:val="none"/>
          <w:lang w:eastAsia="zh-CN"/>
        </w:rPr>
        <w:t>合同签订后支付预算总额的</w:t>
      </w:r>
      <w:r>
        <w:rPr>
          <w:rFonts w:hint="eastAsia" w:ascii="宋体" w:hAnsi="宋体" w:cs="Times New Roman"/>
          <w:sz w:val="24"/>
          <w:szCs w:val="24"/>
          <w:highlight w:val="none"/>
          <w:lang w:val="en-US" w:eastAsia="zh-CN"/>
        </w:rPr>
        <w:t>30%作为预付款；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宋体"/>
          <w:sz w:val="24"/>
          <w:szCs w:val="24"/>
          <w:highlight w:val="none"/>
          <w:lang w:val="en-US" w:eastAsia="zh-CN"/>
        </w:rPr>
        <w:t>7.2</w:t>
      </w:r>
      <w:r>
        <w:rPr>
          <w:rFonts w:hint="eastAsia" w:ascii="宋体" w:hAnsi="宋体" w:eastAsia="宋体" w:cs="宋体"/>
          <w:sz w:val="24"/>
          <w:szCs w:val="24"/>
          <w:highlight w:val="none"/>
          <w:lang w:val="en-US" w:eastAsia="zh-CN"/>
        </w:rPr>
        <w:t>当需要支付的累计金额达到</w:t>
      </w:r>
      <w:r>
        <w:rPr>
          <w:rFonts w:hint="eastAsia" w:ascii="宋体" w:hAnsi="宋体" w:cs="Times New Roman"/>
          <w:sz w:val="24"/>
          <w:szCs w:val="24"/>
          <w:highlight w:val="none"/>
          <w:lang w:val="en-US" w:eastAsia="zh-CN"/>
        </w:rPr>
        <w:t>本项目预算总额的30%后（即</w:t>
      </w:r>
      <w:r>
        <w:rPr>
          <w:rFonts w:hint="eastAsia" w:ascii="宋体" w:hAnsi="宋体" w:eastAsia="宋体" w:cs="宋体"/>
          <w:sz w:val="24"/>
          <w:szCs w:val="24"/>
          <w:highlight w:val="none"/>
          <w:lang w:val="en-US" w:eastAsia="zh-CN"/>
        </w:rPr>
        <w:t>需要支付的累计金额</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lang w:val="en-US" w:eastAsia="zh-CN"/>
        </w:rPr>
        <w:t>达到</w:t>
      </w:r>
      <w:r>
        <w:rPr>
          <w:rFonts w:hint="eastAsia" w:ascii="宋体" w:hAnsi="宋体" w:cs="Times New Roman"/>
          <w:sz w:val="24"/>
          <w:szCs w:val="24"/>
          <w:highlight w:val="none"/>
          <w:lang w:val="en-US" w:eastAsia="zh-CN"/>
        </w:rPr>
        <w:t>本项目预算总额的30%时，甲方不予支付），乙方</w:t>
      </w:r>
      <w:r>
        <w:rPr>
          <w:rFonts w:hint="eastAsia" w:ascii="宋体" w:hAnsi="宋体" w:eastAsia="宋体" w:cs="Times New Roman"/>
          <w:sz w:val="24"/>
          <w:szCs w:val="24"/>
          <w:highlight w:val="none"/>
        </w:rPr>
        <w:t>提交规划报批成果后十日内，</w:t>
      </w:r>
      <w:r>
        <w:rPr>
          <w:rFonts w:hint="eastAsia" w:ascii="宋体" w:hAnsi="宋体" w:cs="Times New Roman"/>
          <w:sz w:val="24"/>
          <w:szCs w:val="24"/>
          <w:highlight w:val="none"/>
          <w:lang w:eastAsia="zh-CN"/>
        </w:rPr>
        <w:t>甲方向乙方</w:t>
      </w:r>
      <w:r>
        <w:rPr>
          <w:rFonts w:hint="eastAsia" w:ascii="宋体" w:hAnsi="宋体" w:eastAsia="宋体" w:cs="Times New Roman"/>
          <w:sz w:val="24"/>
          <w:szCs w:val="24"/>
          <w:highlight w:val="none"/>
        </w:rPr>
        <w:t>支付</w:t>
      </w:r>
      <w:r>
        <w:rPr>
          <w:rFonts w:hint="eastAsia" w:ascii="宋体" w:hAnsi="宋体" w:eastAsia="宋体" w:cs="Times New Roman"/>
          <w:sz w:val="24"/>
          <w:szCs w:val="24"/>
          <w:highlight w:val="none"/>
          <w:lang w:eastAsia="zh-CN"/>
        </w:rPr>
        <w:t>该单个子项目编制费</w:t>
      </w:r>
      <w:r>
        <w:rPr>
          <w:rFonts w:hint="eastAsia" w:ascii="宋体" w:hAnsi="宋体" w:eastAsia="宋体" w:cs="Times New Roman"/>
          <w:sz w:val="24"/>
          <w:szCs w:val="24"/>
          <w:highlight w:val="none"/>
        </w:rPr>
        <w:t>总额的</w:t>
      </w:r>
      <w:r>
        <w:rPr>
          <w:rFonts w:hint="eastAsia" w:ascii="宋体" w:hAnsi="宋体" w:eastAsia="宋体" w:cs="Times New Roman"/>
          <w:sz w:val="24"/>
          <w:szCs w:val="24"/>
          <w:highlight w:val="none"/>
          <w:lang w:val="en-US" w:eastAsia="zh-CN"/>
        </w:rPr>
        <w:t>100</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eastAsia="zh-CN"/>
        </w:rPr>
        <w:t>。</w:t>
      </w:r>
    </w:p>
    <w:p>
      <w:pPr>
        <w:keepNext w:val="0"/>
        <w:keepLines w:val="0"/>
        <w:widowControl/>
        <w:suppressLineNumbers w:val="0"/>
        <w:shd w:val="clear"/>
        <w:jc w:val="left"/>
        <w:rPr>
          <w:highlight w:val="none"/>
        </w:rPr>
      </w:pPr>
      <w:r>
        <w:rPr>
          <w:rFonts w:hint="eastAsia" w:ascii="宋体" w:hAnsi="宋体" w:eastAsia="宋体" w:cs="宋体"/>
          <w:b/>
          <w:bCs/>
          <w:color w:val="FF0000"/>
          <w:kern w:val="0"/>
          <w:sz w:val="24"/>
          <w:szCs w:val="24"/>
          <w:highlight w:val="none"/>
          <w:lang w:val="en-US" w:eastAsia="zh-CN" w:bidi="ar"/>
        </w:rPr>
        <w:t xml:space="preserve">注：乙方明确表示无需预付款或者主动要求降低预付款比例的，甲方可不适用前述 </w:t>
      </w:r>
    </w:p>
    <w:p>
      <w:pPr>
        <w:keepNext w:val="0"/>
        <w:keepLines w:val="0"/>
        <w:widowControl/>
        <w:suppressLineNumbers w:val="0"/>
        <w:shd w:val="clear"/>
        <w:jc w:val="left"/>
        <w:rPr>
          <w:highlight w:val="none"/>
        </w:rPr>
      </w:pPr>
      <w:r>
        <w:rPr>
          <w:rFonts w:hint="eastAsia" w:ascii="宋体" w:hAnsi="宋体" w:eastAsia="宋体" w:cs="宋体"/>
          <w:b/>
          <w:bCs/>
          <w:color w:val="FF0000"/>
          <w:kern w:val="0"/>
          <w:sz w:val="24"/>
          <w:szCs w:val="24"/>
          <w:highlight w:val="none"/>
          <w:lang w:val="en-US" w:eastAsia="zh-CN" w:bidi="ar"/>
        </w:rPr>
        <w:t>规定。</w:t>
      </w:r>
    </w:p>
    <w:p>
      <w:pPr>
        <w:shd w:val="clear"/>
        <w:spacing w:line="360" w:lineRule="auto"/>
        <w:rPr>
          <w:rFonts w:hint="eastAsia" w:ascii="宋体" w:hAnsi="宋体" w:cs="宋体"/>
          <w:color w:val="000000"/>
          <w:sz w:val="24"/>
          <w:szCs w:val="24"/>
          <w:highlight w:val="none"/>
        </w:rPr>
      </w:pPr>
      <w:r>
        <w:rPr>
          <w:rFonts w:hint="eastAsia" w:ascii="宋体" w:hAnsi="宋体" w:cs="宋体"/>
          <w:b/>
          <w:color w:val="000000"/>
          <w:sz w:val="24"/>
          <w:szCs w:val="24"/>
          <w:highlight w:val="none"/>
        </w:rPr>
        <w:t>第八条</w:t>
      </w:r>
      <w:bookmarkEnd w:id="16"/>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双方责任</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责任</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8.1.1</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按本合同第四条规定的内容，在规定的时间内向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提交基础资料及文件，并对其完整性、正确性及时效性负责。</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不得要求</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违反有关标准进行设计。</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提交上述资料及文件超过规定期限15天以内，</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按本合同第五条规定的交付设计文件时间顺延；</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交付上述资料及文件超过规定期限15天时，</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有权重新确定提交设计文件的时间。</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8.1.2</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变更委托设计项目、规划范围、条件或因提交的资料错误，或所提交资料较之前的版本作较大修改，以致造成</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设计返工时，双方除另行协商签订补充协议（或另订合同）、重新明确有关条款外，</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应按</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所耗工作量向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支付工费。</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8.1.3在合同履行期间，</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要求终止或解除合同，</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未开始设计工作的，不退还</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所付订金，已开始设计工作的，</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应根据</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已进行的实际工作量，支付</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；不足一半时，按该阶段</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的一半支付；超过一半时，按该阶段</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的全部支付。</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8.1.4</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必须按合同规定支付定金，收到定金作为</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设计开工的标志。未收到定金，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有权推迟设计工作的开工时间，且交付文件的时间顺延。</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8.1.5</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应按本合同规定的金额和日期向</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支付</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，每逾期支付一天，应承担应支付金额千分之二的逾期违约金，且</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提交设计文件的时间顺延。逾期超过30天时，</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有权暂停履行下阶段工作，并书面通知</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的上级或设计审批部门对设计文件不审批或本合同项目停缓，</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均应支付应付的</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8.1.6</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要求</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比合同规定时间提前交付设计文件时，须征得</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同意，不得严重背离合理设计周期，且</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应支付赶工费。</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8.1.7设计文件中选用的国家规范、部门及地方规范由</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负责解决。</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责任</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8.2.1</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应按国家规定和合同约定的技术规范、标准进行设计，按本合同第五条规定的内容、时间及份数向</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交付设计文件（出现8.1.1、8.1.2、8.1.4、8.1.5规定有关交付设计文件顺延的情况除外）。并对提交的设计文件的质量负责。</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8.2.2由于</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原因，延误了</w:t>
      </w:r>
      <w:r>
        <w:rPr>
          <w:rFonts w:hint="eastAsia" w:ascii="宋体" w:hAnsi="宋体" w:cs="宋体"/>
          <w:color w:val="000000"/>
          <w:sz w:val="24"/>
          <w:szCs w:val="24"/>
          <w:highlight w:val="none"/>
          <w:lang w:eastAsia="zh-CN"/>
        </w:rPr>
        <w:t>项目成果</w:t>
      </w:r>
      <w:r>
        <w:rPr>
          <w:rFonts w:hint="eastAsia" w:ascii="宋体" w:hAnsi="宋体" w:cs="宋体"/>
          <w:color w:val="000000"/>
          <w:sz w:val="24"/>
          <w:szCs w:val="24"/>
          <w:highlight w:val="none"/>
        </w:rPr>
        <w:t>文件交付时间，每延误一天，应减收该项目应收</w:t>
      </w:r>
      <w:r>
        <w:rPr>
          <w:rFonts w:hint="eastAsia" w:ascii="宋体" w:hAnsi="宋体" w:cs="宋体"/>
          <w:color w:val="000000"/>
          <w:sz w:val="24"/>
          <w:szCs w:val="24"/>
          <w:highlight w:val="none"/>
          <w:lang w:eastAsia="zh-CN"/>
        </w:rPr>
        <w:t>编制费</w:t>
      </w:r>
      <w:r>
        <w:rPr>
          <w:rFonts w:hint="eastAsia" w:ascii="宋体" w:hAnsi="宋体" w:cs="宋体"/>
          <w:color w:val="000000"/>
          <w:sz w:val="24"/>
          <w:szCs w:val="24"/>
          <w:highlight w:val="none"/>
        </w:rPr>
        <w:t>的千分之二。</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8.2.3合同生效后，</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要求终止或解除合同，</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应双倍返还</w:t>
      </w: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已支付的定金。</w:t>
      </w:r>
    </w:p>
    <w:p>
      <w:pPr>
        <w:shd w:val="clea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8.2.4</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交付</w:t>
      </w:r>
      <w:r>
        <w:rPr>
          <w:rFonts w:hint="eastAsia" w:ascii="宋体" w:hAnsi="宋体" w:cs="宋体"/>
          <w:color w:val="000000"/>
          <w:sz w:val="24"/>
          <w:szCs w:val="24"/>
          <w:highlight w:val="none"/>
          <w:lang w:eastAsia="zh-CN"/>
        </w:rPr>
        <w:t>相关成果</w:t>
      </w:r>
      <w:r>
        <w:rPr>
          <w:rFonts w:hint="eastAsia" w:ascii="宋体" w:hAnsi="宋体" w:cs="宋体"/>
          <w:color w:val="000000"/>
          <w:sz w:val="24"/>
          <w:szCs w:val="24"/>
          <w:highlight w:val="none"/>
        </w:rPr>
        <w:t>文件后，按规定参加有关评审，并根据审查结论负责对不超出合同约定范围的内容做必要的调整、修改和补充</w:t>
      </w:r>
      <w:r>
        <w:rPr>
          <w:rFonts w:hint="eastAsia" w:ascii="宋体" w:hAnsi="宋体" w:cs="宋体"/>
          <w:color w:val="000000"/>
          <w:sz w:val="24"/>
          <w:szCs w:val="24"/>
          <w:highlight w:val="none"/>
          <w:lang w:eastAsia="zh-CN"/>
        </w:rPr>
        <w:t>。</w:t>
      </w:r>
    </w:p>
    <w:p>
      <w:pPr>
        <w:shd w:val="clea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8.2.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乙方提交的相关成果资料的签字需由注册规划师完成，乙方未达到此要求的，甲方有权拒收成果资料并不支付相关费用。</w:t>
      </w:r>
    </w:p>
    <w:p>
      <w:pPr>
        <w:shd w:val="clea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8.2.</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乙方接到甲方设计任务后，需在</w:t>
      </w:r>
      <w:r>
        <w:rPr>
          <w:rFonts w:hint="eastAsia" w:ascii="宋体" w:hAnsi="宋体" w:cs="宋体"/>
          <w:color w:val="000000"/>
          <w:sz w:val="24"/>
          <w:szCs w:val="24"/>
          <w:highlight w:val="none"/>
          <w:lang w:val="en-US" w:eastAsia="zh-CN"/>
        </w:rPr>
        <w:t>12小时内响应，在服务期限内未及时响应情况出现2次的，甲方有权单方面解除合同并扣除全额履约保证金</w:t>
      </w:r>
      <w:r>
        <w:rPr>
          <w:rFonts w:hint="eastAsia" w:ascii="宋体" w:hAnsi="宋体" w:cs="宋体"/>
          <w:color w:val="000000"/>
          <w:sz w:val="24"/>
          <w:szCs w:val="24"/>
          <w:highlight w:val="none"/>
          <w:lang w:eastAsia="zh-CN"/>
        </w:rPr>
        <w:t>。</w:t>
      </w:r>
    </w:p>
    <w:p>
      <w:pPr>
        <w:shd w:val="clear"/>
        <w:spacing w:line="360" w:lineRule="auto"/>
        <w:rPr>
          <w:rFonts w:hint="eastAsia" w:ascii="宋体" w:hAnsi="宋体" w:cs="宋体"/>
          <w:color w:val="000000"/>
          <w:sz w:val="24"/>
          <w:szCs w:val="24"/>
          <w:highlight w:val="none"/>
        </w:rPr>
      </w:pPr>
      <w:bookmarkStart w:id="17" w:name="10"/>
      <w:r>
        <w:rPr>
          <w:rFonts w:hint="eastAsia" w:ascii="宋体" w:hAnsi="宋体" w:cs="宋体"/>
          <w:b/>
          <w:color w:val="000000"/>
          <w:sz w:val="24"/>
          <w:szCs w:val="24"/>
          <w:highlight w:val="none"/>
        </w:rPr>
        <w:t>第九条</w:t>
      </w:r>
      <w:bookmarkEnd w:id="17"/>
      <w:r>
        <w:rPr>
          <w:rFonts w:hint="eastAsia" w:ascii="宋体" w:hAnsi="宋体" w:cs="宋体"/>
          <w:b/>
          <w:color w:val="000000"/>
          <w:sz w:val="24"/>
          <w:szCs w:val="24"/>
          <w:highlight w:val="none"/>
        </w:rPr>
        <w:t>　</w:t>
      </w:r>
      <w:r>
        <w:rPr>
          <w:rFonts w:hint="eastAsia" w:ascii="宋体" w:hAnsi="宋体" w:cs="宋体"/>
          <w:color w:val="000000"/>
          <w:sz w:val="24"/>
          <w:szCs w:val="24"/>
          <w:highlight w:val="none"/>
        </w:rPr>
        <w:t>保密</w:t>
      </w:r>
    </w:p>
    <w:p>
      <w:pPr>
        <w:shd w:val="clea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双方均应保护对方的知识产权，未经对方同意，任何一方均不得将对方的资料及文件擅自修改、复制或向第三人转让或用于本合同项目外的项目。如发生以上情况，泄密方承担一切由此引起的后果并承担赔偿责任。</w:t>
      </w:r>
    </w:p>
    <w:p>
      <w:pPr>
        <w:shd w:val="clear"/>
        <w:spacing w:line="360" w:lineRule="auto"/>
        <w:rPr>
          <w:rFonts w:hint="eastAsia" w:ascii="宋体" w:hAnsi="宋体" w:cs="宋体"/>
          <w:sz w:val="24"/>
          <w:szCs w:val="24"/>
          <w:highlight w:val="none"/>
        </w:rPr>
      </w:pPr>
      <w:bookmarkStart w:id="18" w:name="11"/>
      <w:r>
        <w:rPr>
          <w:rFonts w:hint="eastAsia" w:ascii="宋体" w:hAnsi="宋体" w:cs="宋体"/>
          <w:b/>
          <w:sz w:val="24"/>
          <w:szCs w:val="24"/>
          <w:highlight w:val="none"/>
        </w:rPr>
        <w:t>第十条</w:t>
      </w:r>
      <w:bookmarkEnd w:id="18"/>
      <w:r>
        <w:rPr>
          <w:rFonts w:hint="eastAsia" w:ascii="宋体" w:hAnsi="宋体" w:cs="宋体"/>
          <w:sz w:val="24"/>
          <w:szCs w:val="24"/>
          <w:highlight w:val="none"/>
        </w:rPr>
        <w:t>　争议解决方式</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10.1本合同在履行期间，双方发生争议可采取协商解决或向当地规划行政主管部门申请调解。</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10.2当事人不愿通过协商、调解或协商、调解不成时，双方同意以第[</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]种方式解决：</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向台州仲裁委员会申请仲裁；</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向项目所在地人民法院提起诉讼。</w:t>
      </w:r>
    </w:p>
    <w:p>
      <w:pPr>
        <w:shd w:val="clear"/>
        <w:spacing w:line="360" w:lineRule="auto"/>
        <w:rPr>
          <w:rFonts w:hint="eastAsia" w:ascii="宋体" w:hAnsi="宋体" w:cs="宋体"/>
          <w:sz w:val="24"/>
          <w:szCs w:val="24"/>
          <w:highlight w:val="none"/>
        </w:rPr>
      </w:pPr>
      <w:bookmarkStart w:id="19" w:name="12"/>
      <w:r>
        <w:rPr>
          <w:rFonts w:hint="eastAsia" w:ascii="宋体" w:hAnsi="宋体" w:cs="宋体"/>
          <w:b/>
          <w:sz w:val="24"/>
          <w:szCs w:val="24"/>
          <w:highlight w:val="none"/>
        </w:rPr>
        <w:t>第十一条</w:t>
      </w:r>
      <w:bookmarkEnd w:id="19"/>
      <w:r>
        <w:rPr>
          <w:rFonts w:hint="eastAsia" w:ascii="宋体" w:hAnsi="宋体" w:cs="宋体"/>
          <w:b/>
          <w:sz w:val="24"/>
          <w:szCs w:val="24"/>
          <w:highlight w:val="none"/>
        </w:rPr>
        <w:t>　</w:t>
      </w:r>
      <w:r>
        <w:rPr>
          <w:rFonts w:hint="eastAsia" w:ascii="宋体" w:hAnsi="宋体" w:cs="宋体"/>
          <w:sz w:val="24"/>
          <w:szCs w:val="24"/>
          <w:highlight w:val="none"/>
        </w:rPr>
        <w:t>合同生效及其他</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sz w:val="24"/>
          <w:szCs w:val="24"/>
          <w:highlight w:val="none"/>
          <w:lang w:eastAsia="zh-CN"/>
        </w:rPr>
        <w:t>服务期限：合同生效后一年内，乙方对规划方案的修改、完善及后续服务工作需延续至成果入库为止</w:t>
      </w:r>
      <w:r>
        <w:rPr>
          <w:rFonts w:hint="eastAsia" w:ascii="宋体" w:hAnsi="宋体" w:eastAsia="宋体" w:cs="宋体"/>
          <w:sz w:val="24"/>
          <w:szCs w:val="24"/>
          <w:highlight w:val="none"/>
        </w:rPr>
        <w:t>。</w:t>
      </w:r>
    </w:p>
    <w:p>
      <w:pPr>
        <w:shd w:val="clea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履约保证金：</w:t>
      </w:r>
    </w:p>
    <w:p>
      <w:pPr>
        <w:shd w:val="clea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金额：</w:t>
      </w:r>
      <w:r>
        <w:rPr>
          <w:rFonts w:hint="eastAsia" w:ascii="宋体" w:hAnsi="宋体" w:cs="宋体"/>
          <w:sz w:val="24"/>
          <w:szCs w:val="24"/>
          <w:highlight w:val="none"/>
          <w:lang w:eastAsia="zh-CN"/>
        </w:rPr>
        <w:t>壹万捌仟元</w:t>
      </w:r>
      <w:r>
        <w:rPr>
          <w:rFonts w:hint="eastAsia" w:ascii="宋体" w:hAnsi="宋体" w:eastAsia="宋体" w:cs="宋体"/>
          <w:sz w:val="24"/>
          <w:szCs w:val="24"/>
          <w:highlight w:val="none"/>
          <w:lang w:eastAsia="zh-CN"/>
        </w:rPr>
        <w:t>；</w:t>
      </w:r>
    </w:p>
    <w:p>
      <w:pPr>
        <w:shd w:val="clea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缴纳方式：</w:t>
      </w:r>
      <w:r>
        <w:rPr>
          <w:rFonts w:hint="eastAsia" w:ascii="宋体" w:hAnsi="宋体" w:cs="宋体"/>
          <w:sz w:val="24"/>
          <w:szCs w:val="24"/>
          <w:highlight w:val="none"/>
          <w:lang w:eastAsia="zh-CN"/>
        </w:rPr>
        <w:t>银行保函、保险公司保单形式</w:t>
      </w:r>
      <w:r>
        <w:rPr>
          <w:rFonts w:hint="eastAsia" w:ascii="宋体" w:hAnsi="宋体" w:eastAsia="宋体" w:cs="宋体"/>
          <w:sz w:val="24"/>
          <w:szCs w:val="24"/>
          <w:highlight w:val="none"/>
          <w:lang w:eastAsia="zh-CN"/>
        </w:rPr>
        <w:t>；</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履约保证金在合同履行到期且无异议情况下30日内自动解除。</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委托</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承担本合同内容以外的工作服务，需另行签订协议并支付相关费用。</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由于不可抗力因素致使合同无法履行时，双方应及时协商解决。</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5</w:t>
      </w:r>
      <w:r>
        <w:rPr>
          <w:rFonts w:hint="eastAsia" w:ascii="宋体" w:hAnsi="宋体" w:cs="宋体"/>
          <w:sz w:val="24"/>
          <w:szCs w:val="24"/>
          <w:highlight w:val="none"/>
        </w:rPr>
        <w:t>本合同一式[</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柒</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甲方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贰</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乙方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贰</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，其余分送相关部门备案使用</w:t>
      </w:r>
      <w:r>
        <w:rPr>
          <w:rFonts w:hint="eastAsia" w:ascii="宋体" w:hAnsi="宋体" w:cs="宋体"/>
          <w:sz w:val="24"/>
          <w:szCs w:val="24"/>
          <w:highlight w:val="none"/>
        </w:rPr>
        <w:t>。</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6</w:t>
      </w:r>
      <w:r>
        <w:rPr>
          <w:rFonts w:hint="eastAsia" w:ascii="宋体" w:hAnsi="宋体" w:cs="宋体"/>
          <w:sz w:val="24"/>
          <w:szCs w:val="24"/>
          <w:highlight w:val="none"/>
        </w:rPr>
        <w:t>双方履行完合同规定的义务后</w:t>
      </w:r>
      <w:r>
        <w:rPr>
          <w:rFonts w:hint="eastAsia" w:ascii="宋体" w:hAnsi="宋体" w:cs="宋体"/>
          <w:sz w:val="24"/>
          <w:szCs w:val="24"/>
          <w:highlight w:val="none"/>
          <w:lang w:eastAsia="zh-CN"/>
        </w:rPr>
        <w:t>或合同总额达到</w:t>
      </w:r>
      <w:r>
        <w:rPr>
          <w:rFonts w:hint="eastAsia" w:ascii="宋体" w:hAnsi="宋体" w:cs="宋体"/>
          <w:sz w:val="24"/>
          <w:szCs w:val="24"/>
          <w:highlight w:val="none"/>
          <w:lang w:val="en-US" w:eastAsia="zh-CN"/>
        </w:rPr>
        <w:t>180万元后</w:t>
      </w:r>
      <w:r>
        <w:rPr>
          <w:rFonts w:hint="eastAsia" w:ascii="宋体" w:hAnsi="宋体" w:cs="宋体"/>
          <w:sz w:val="24"/>
          <w:szCs w:val="24"/>
          <w:highlight w:val="none"/>
        </w:rPr>
        <w:t>，本合同即行终止。</w:t>
      </w:r>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7</w:t>
      </w:r>
      <w:r>
        <w:rPr>
          <w:rFonts w:hint="eastAsia" w:ascii="宋体" w:hAnsi="宋体" w:cs="宋体"/>
          <w:sz w:val="24"/>
          <w:szCs w:val="24"/>
          <w:highlight w:val="none"/>
        </w:rPr>
        <w:t>双方认可的来往传真、电报、会议纪要等，均为合同的组成部分，与本合同具有同等法律效力。</w:t>
      </w:r>
    </w:p>
    <w:p>
      <w:pPr>
        <w:shd w:val="clea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8</w:t>
      </w:r>
      <w:r>
        <w:rPr>
          <w:rFonts w:hint="eastAsia" w:ascii="宋体" w:hAnsi="宋体" w:cs="宋体"/>
          <w:sz w:val="24"/>
          <w:szCs w:val="24"/>
          <w:highlight w:val="none"/>
        </w:rPr>
        <w:t>未尽事宜，经双方协商一致，签订补充协议，补充协议与本合同具有同等效力。</w:t>
      </w:r>
    </w:p>
    <w:p>
      <w:pPr>
        <w:shd w:val="clea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9</w:t>
      </w:r>
      <w:r>
        <w:rPr>
          <w:rFonts w:hint="eastAsia" w:ascii="宋体" w:hAnsi="宋体" w:cs="宋体"/>
          <w:sz w:val="24"/>
          <w:szCs w:val="24"/>
          <w:highlight w:val="none"/>
        </w:rPr>
        <w:t>合同生效</w:t>
      </w:r>
    </w:p>
    <w:p>
      <w:pPr>
        <w:shd w:val="clear"/>
        <w:autoSpaceDE w:val="0"/>
        <w:autoSpaceDN w:val="0"/>
        <w:adjustRightInd w:val="0"/>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合同订立时间：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hd w:val="clear"/>
        <w:autoSpaceDE w:val="0"/>
        <w:autoSpaceDN w:val="0"/>
        <w:adjustRightIn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 xml:space="preserve">    合同订立地点：</w:t>
      </w:r>
      <w:r>
        <w:rPr>
          <w:rFonts w:hint="eastAsia" w:ascii="宋体" w:hAnsi="宋体" w:cs="宋体"/>
          <w:sz w:val="24"/>
          <w:szCs w:val="24"/>
          <w:highlight w:val="none"/>
          <w:u w:val="single"/>
        </w:rPr>
        <w:t xml:space="preserve">        　</w:t>
      </w:r>
    </w:p>
    <w:p>
      <w:pPr>
        <w:shd w:val="clea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本合同双方约定</w:t>
      </w:r>
      <w:r>
        <w:rPr>
          <w:rFonts w:hint="eastAsia" w:ascii="宋体" w:hAnsi="宋体" w:cs="宋体"/>
          <w:sz w:val="24"/>
          <w:szCs w:val="24"/>
          <w:highlight w:val="none"/>
          <w:u w:val="single"/>
        </w:rPr>
        <w:t xml:space="preserve">　法人（或法人委托人）签字或印鉴、盖章 </w:t>
      </w:r>
      <w:r>
        <w:rPr>
          <w:rFonts w:hint="eastAsia" w:ascii="宋体" w:hAnsi="宋体" w:cs="宋体"/>
          <w:sz w:val="24"/>
          <w:szCs w:val="24"/>
          <w:highlight w:val="none"/>
        </w:rPr>
        <w:t>后生效。</w:t>
      </w:r>
    </w:p>
    <w:p>
      <w:pPr>
        <w:pStyle w:val="30"/>
        <w:shd w:val="clear"/>
        <w:spacing w:line="360" w:lineRule="auto"/>
        <w:rPr>
          <w:rFonts w:hint="eastAsia"/>
          <w:highlight w:val="none"/>
        </w:rPr>
      </w:pPr>
    </w:p>
    <w:p>
      <w:pPr>
        <w:shd w:val="clear"/>
        <w:autoSpaceDE w:val="0"/>
        <w:autoSpaceDN w:val="0"/>
        <w:adjustRightInd w:val="0"/>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甲方</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乙方</w:t>
      </w:r>
      <w:r>
        <w:rPr>
          <w:rFonts w:hint="eastAsia" w:ascii="宋体" w:hAnsi="宋体" w:cs="宋体"/>
          <w:color w:val="000000"/>
          <w:sz w:val="24"/>
          <w:szCs w:val="24"/>
          <w:highlight w:val="none"/>
        </w:rPr>
        <w:t>名称：</w:t>
      </w:r>
    </w:p>
    <w:p>
      <w:pPr>
        <w:shd w:val="clear"/>
        <w:spacing w:line="360" w:lineRule="auto"/>
        <w:ind w:leftChars="200" w:firstLine="1440" w:firstLineChars="600"/>
        <w:rPr>
          <w:rFonts w:hint="eastAsia" w:ascii="宋体" w:hAnsi="宋体" w:cs="宋体"/>
          <w:color w:val="000000"/>
          <w:sz w:val="24"/>
          <w:szCs w:val="24"/>
          <w:highlight w:val="none"/>
        </w:rPr>
      </w:pPr>
      <w:r>
        <w:rPr>
          <w:rFonts w:hint="eastAsia" w:ascii="宋体" w:hAnsi="宋体" w:cs="宋体"/>
          <w:color w:val="000000"/>
          <w:sz w:val="24"/>
          <w:szCs w:val="24"/>
          <w:highlight w:val="none"/>
        </w:rPr>
        <w:t>（盖章）                        （盖章）</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法定代表人：（签字）</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法定代表人：（签字）</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签约代理人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 xml:space="preserve"> （签字）</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签约代理人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 xml:space="preserve"> （签字）</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住       所：</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住    所：</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邮 政 编 码：</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邮政编码：</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电       话：</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电    话：</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传       真：</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      传    真：</w:t>
      </w:r>
    </w:p>
    <w:p>
      <w:pPr>
        <w:shd w:val="clear"/>
        <w:spacing w:line="360" w:lineRule="auto"/>
        <w:ind w:leftChars="200"/>
        <w:rPr>
          <w:rFonts w:hint="eastAsia" w:ascii="宋体" w:hAnsi="宋体" w:cs="宋体"/>
          <w:color w:val="000000"/>
          <w:spacing w:val="14"/>
          <w:sz w:val="24"/>
          <w:szCs w:val="24"/>
          <w:highlight w:val="none"/>
        </w:rPr>
      </w:pPr>
      <w:r>
        <w:rPr>
          <w:rFonts w:hint="eastAsia" w:ascii="宋体" w:hAnsi="宋体" w:cs="宋体"/>
          <w:color w:val="000000"/>
          <w:spacing w:val="14"/>
          <w:sz w:val="24"/>
          <w:szCs w:val="24"/>
          <w:highlight w:val="none"/>
        </w:rPr>
        <w:t>开户银行：</w:t>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 xml:space="preserve">     开户银行： </w:t>
      </w:r>
    </w:p>
    <w:p>
      <w:pPr>
        <w:shd w:val="clear"/>
        <w:spacing w:line="360" w:lineRule="auto"/>
        <w:ind w:leftChars="200"/>
        <w:rPr>
          <w:rFonts w:hint="eastAsia" w:ascii="宋体" w:hAnsi="宋体" w:cs="宋体"/>
          <w:color w:val="000000"/>
          <w:sz w:val="24"/>
          <w:szCs w:val="24"/>
          <w:highlight w:val="none"/>
        </w:rPr>
      </w:pPr>
      <w:r>
        <w:rPr>
          <w:rFonts w:hint="eastAsia" w:ascii="宋体" w:hAnsi="宋体" w:cs="宋体"/>
          <w:color w:val="000000"/>
          <w:spacing w:val="14"/>
          <w:sz w:val="24"/>
          <w:szCs w:val="24"/>
          <w:highlight w:val="none"/>
          <w:lang w:eastAsia="zh-CN"/>
        </w:rPr>
        <w:t>银行账号</w:t>
      </w:r>
      <w:r>
        <w:rPr>
          <w:rFonts w:hint="eastAsia" w:ascii="宋体" w:hAnsi="宋体" w:cs="宋体"/>
          <w:color w:val="000000"/>
          <w:spacing w:val="14"/>
          <w:sz w:val="24"/>
          <w:szCs w:val="24"/>
          <w:highlight w:val="none"/>
        </w:rPr>
        <w:t>：</w:t>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ab/>
      </w:r>
      <w:r>
        <w:rPr>
          <w:rFonts w:hint="eastAsia" w:ascii="宋体" w:hAnsi="宋体" w:cs="宋体"/>
          <w:color w:val="000000"/>
          <w:spacing w:val="14"/>
          <w:sz w:val="24"/>
          <w:szCs w:val="24"/>
          <w:highlight w:val="none"/>
        </w:rPr>
        <w:t xml:space="preserve">     </w:t>
      </w:r>
      <w:r>
        <w:rPr>
          <w:rFonts w:hint="eastAsia" w:ascii="宋体" w:hAnsi="宋体" w:cs="宋体"/>
          <w:color w:val="000000"/>
          <w:spacing w:val="14"/>
          <w:sz w:val="24"/>
          <w:szCs w:val="24"/>
          <w:highlight w:val="none"/>
          <w:lang w:eastAsia="zh-CN"/>
        </w:rPr>
        <w:t>银行账号</w:t>
      </w:r>
      <w:r>
        <w:rPr>
          <w:rFonts w:hint="eastAsia" w:ascii="宋体" w:hAnsi="宋体" w:cs="宋体"/>
          <w:color w:val="000000"/>
          <w:spacing w:val="14"/>
          <w:sz w:val="24"/>
          <w:szCs w:val="24"/>
          <w:highlight w:val="none"/>
        </w:rPr>
        <w:t>：</w:t>
      </w:r>
    </w:p>
    <w:p>
      <w:pPr>
        <w:shd w:val="clear"/>
        <w:snapToGrid w:val="0"/>
        <w:spacing w:line="300" w:lineRule="auto"/>
        <w:rPr>
          <w:highlight w:val="none"/>
        </w:rPr>
      </w:pPr>
    </w:p>
    <w:p>
      <w:pPr>
        <w:widowControl/>
        <w:shd w:val="clear"/>
        <w:jc w:val="left"/>
        <w:rPr>
          <w:rFonts w:ascii="宋体" w:cs="宋体"/>
          <w:b/>
          <w:bCs/>
          <w:sz w:val="36"/>
          <w:szCs w:val="36"/>
          <w:highlight w:val="none"/>
        </w:rPr>
      </w:pPr>
    </w:p>
    <w:p>
      <w:pPr>
        <w:shd w:val="clear"/>
        <w:spacing w:line="360" w:lineRule="auto"/>
        <w:jc w:val="center"/>
        <w:rPr>
          <w:rFonts w:ascii="宋体" w:hAnsi="宋体" w:cs="宋体"/>
          <w:b/>
          <w:bCs/>
          <w:sz w:val="36"/>
          <w:szCs w:val="36"/>
          <w:highlight w:val="none"/>
        </w:rPr>
      </w:pPr>
    </w:p>
    <w:p>
      <w:pPr>
        <w:shd w:val="clear"/>
        <w:spacing w:line="360" w:lineRule="auto"/>
        <w:jc w:val="center"/>
        <w:rPr>
          <w:rFonts w:ascii="宋体" w:hAnsi="宋体" w:cs="宋体"/>
          <w:b/>
          <w:bCs/>
          <w:sz w:val="36"/>
          <w:szCs w:val="36"/>
          <w:highlight w:val="none"/>
        </w:rPr>
      </w:pPr>
    </w:p>
    <w:p>
      <w:pPr>
        <w:shd w:val="clear"/>
        <w:spacing w:line="360" w:lineRule="auto"/>
        <w:jc w:val="center"/>
        <w:rPr>
          <w:rFonts w:ascii="宋体" w:hAnsi="宋体" w:cs="宋体"/>
          <w:b/>
          <w:bCs/>
          <w:sz w:val="36"/>
          <w:szCs w:val="36"/>
          <w:highlight w:val="none"/>
        </w:rPr>
      </w:pPr>
    </w:p>
    <w:p>
      <w:pPr>
        <w:shd w:val="clear"/>
        <w:spacing w:line="360" w:lineRule="auto"/>
        <w:jc w:val="center"/>
        <w:rPr>
          <w:rFonts w:ascii="宋体" w:hAnsi="宋体" w:cs="宋体"/>
          <w:b/>
          <w:bCs/>
          <w:sz w:val="36"/>
          <w:szCs w:val="36"/>
          <w:highlight w:val="none"/>
        </w:rPr>
      </w:pPr>
    </w:p>
    <w:p>
      <w:pPr>
        <w:shd w:val="clear"/>
        <w:spacing w:line="360" w:lineRule="auto"/>
        <w:jc w:val="center"/>
        <w:rPr>
          <w:rFonts w:ascii="宋体" w:hAnsi="宋体" w:cs="宋体"/>
          <w:b/>
          <w:bCs/>
          <w:sz w:val="36"/>
          <w:szCs w:val="36"/>
          <w:highlight w:val="none"/>
        </w:rPr>
      </w:pPr>
    </w:p>
    <w:p>
      <w:pPr>
        <w:shd w:val="clear"/>
        <w:spacing w:line="360" w:lineRule="auto"/>
        <w:jc w:val="center"/>
        <w:outlineLvl w:val="0"/>
        <w:rPr>
          <w:rFonts w:ascii="宋体" w:cs="宋体"/>
          <w:b/>
          <w:bCs/>
          <w:sz w:val="36"/>
          <w:szCs w:val="36"/>
          <w:highlight w:val="none"/>
        </w:rPr>
      </w:pPr>
      <w:bookmarkStart w:id="20" w:name="_Toc19701"/>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20"/>
    </w:p>
    <w:p>
      <w:pPr>
        <w:shd w:val="clear"/>
        <w:rPr>
          <w:rFonts w:ascii="宋体"/>
          <w:b/>
          <w:bCs/>
          <w:kern w:val="0"/>
          <w:sz w:val="28"/>
          <w:szCs w:val="28"/>
          <w:highlight w:val="none"/>
        </w:rPr>
      </w:pPr>
      <w:r>
        <w:rPr>
          <w:rFonts w:hint="eastAsia" w:ascii="宋体" w:hAnsi="宋体" w:cs="宋体"/>
          <w:b/>
          <w:bCs/>
          <w:kern w:val="0"/>
          <w:sz w:val="28"/>
          <w:szCs w:val="28"/>
          <w:highlight w:val="none"/>
        </w:rPr>
        <w:br w:type="page"/>
      </w: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239" w:leftChars="114" w:right="-308" w:firstLine="261" w:firstLineChars="59"/>
        <w:rPr>
          <w:rFonts w:ascii="宋体" w:cs="宋体"/>
          <w:b/>
          <w:bCs/>
          <w:kern w:val="0"/>
          <w:sz w:val="44"/>
          <w:szCs w:val="44"/>
          <w:highlight w:val="none"/>
        </w:rPr>
      </w:pPr>
    </w:p>
    <w:p>
      <w:pPr>
        <w:shd w:val="clear"/>
        <w:spacing w:before="312" w:beforeLines="100" w:line="360" w:lineRule="auto"/>
        <w:ind w:right="-108"/>
        <w:jc w:val="center"/>
        <w:rPr>
          <w:rFonts w:ascii="宋体" w:hAnsi="宋体" w:cs="宋体"/>
          <w:sz w:val="36"/>
          <w:szCs w:val="36"/>
          <w:highlight w:val="none"/>
        </w:rPr>
      </w:pPr>
      <w:r>
        <w:rPr>
          <w:rFonts w:hint="eastAsia" w:ascii="宋体" w:cs="宋体"/>
          <w:b/>
          <w:bCs/>
          <w:kern w:val="0"/>
          <w:sz w:val="44"/>
          <w:szCs w:val="44"/>
          <w:highlight w:val="none"/>
          <w:lang w:eastAsia="zh-CN"/>
        </w:rPr>
        <w:t>温岭市2024年度控制性详细规划编制采购</w:t>
      </w:r>
    </w:p>
    <w:p>
      <w:pPr>
        <w:shd w:val="clea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JJWL24031982</w:t>
      </w:r>
    </w:p>
    <w:p>
      <w:pPr>
        <w:pStyle w:val="18"/>
        <w:shd w:val="clear"/>
        <w:outlineLvl w:val="9"/>
        <w:rPr>
          <w:sz w:val="24"/>
          <w:szCs w:val="24"/>
          <w:highlight w:val="none"/>
        </w:rPr>
      </w:pPr>
    </w:p>
    <w:p>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pPr>
        <w:shd w:val="clea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pPr>
        <w:shd w:val="clea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pPr>
        <w:shd w:val="clea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pPr>
        <w:shd w:val="clear"/>
        <w:spacing w:line="360" w:lineRule="auto"/>
        <w:ind w:right="532" w:firstLine="720" w:firstLineChars="200"/>
        <w:rPr>
          <w:rFonts w:ascii="宋体" w:hAnsi="宋体" w:cs="宋体"/>
          <w:sz w:val="36"/>
          <w:szCs w:val="36"/>
          <w:highlight w:val="none"/>
        </w:rPr>
      </w:pPr>
    </w:p>
    <w:p>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pPr>
        <w:shd w:val="clear"/>
        <w:snapToGrid w:val="0"/>
        <w:spacing w:before="50" w:after="50" w:line="360" w:lineRule="auto"/>
        <w:rPr>
          <w:rFonts w:ascii="仿宋_GB2312" w:hAnsi="宋体" w:eastAsia="仿宋_GB2312"/>
          <w:b/>
          <w:bCs/>
          <w:sz w:val="36"/>
          <w:szCs w:val="36"/>
          <w:highlight w:val="none"/>
        </w:rPr>
      </w:pPr>
    </w:p>
    <w:p>
      <w:pPr>
        <w:shd w:val="clear"/>
        <w:snapToGrid w:val="0"/>
        <w:spacing w:before="50" w:after="50" w:line="360" w:lineRule="auto"/>
        <w:jc w:val="center"/>
        <w:rPr>
          <w:rFonts w:ascii="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资格证明文件包含以下内容</w:t>
      </w:r>
    </w:p>
    <w:p>
      <w:pPr>
        <w:shd w:val="clear"/>
        <w:snapToGrid w:val="0"/>
        <w:spacing w:before="50" w:after="50" w:line="360" w:lineRule="auto"/>
        <w:jc w:val="center"/>
        <w:rPr>
          <w:rFonts w:ascii="仿宋_GB2312" w:hAnsi="宋体" w:eastAsia="仿宋_GB2312"/>
          <w:b/>
          <w:bCs/>
          <w:sz w:val="36"/>
          <w:szCs w:val="36"/>
          <w:highlight w:val="none"/>
        </w:rPr>
      </w:pPr>
    </w:p>
    <w:p>
      <w:pPr>
        <w:numPr>
          <w:ilvl w:val="0"/>
          <w:numId w:val="26"/>
        </w:numPr>
        <w:shd w:val="clear"/>
        <w:snapToGrid w:val="0"/>
        <w:spacing w:line="360" w:lineRule="auto"/>
        <w:jc w:val="left"/>
        <w:rPr>
          <w:rFonts w:ascii="宋体" w:hAnsi="宋体" w:cs="宋体"/>
          <w:sz w:val="28"/>
          <w:szCs w:val="28"/>
          <w:highlight w:val="none"/>
        </w:rPr>
      </w:pPr>
      <w:r>
        <w:rPr>
          <w:rFonts w:hint="eastAsia" w:ascii="宋体" w:hAnsi="宋体" w:cs="宋体"/>
          <w:sz w:val="28"/>
          <w:szCs w:val="28"/>
          <w:highlight w:val="none"/>
        </w:rPr>
        <w:t>投标声明书及其他证明材料；</w:t>
      </w:r>
    </w:p>
    <w:p>
      <w:pPr>
        <w:numPr>
          <w:ilvl w:val="0"/>
          <w:numId w:val="26"/>
        </w:numPr>
        <w:shd w:val="clear"/>
        <w:snapToGrid w:val="0"/>
        <w:spacing w:line="360" w:lineRule="auto"/>
        <w:jc w:val="left"/>
        <w:rPr>
          <w:rFonts w:ascii="宋体"/>
          <w:kern w:val="0"/>
          <w:sz w:val="28"/>
          <w:szCs w:val="28"/>
          <w:highlight w:val="none"/>
        </w:rPr>
      </w:pPr>
      <w:r>
        <w:rPr>
          <w:rFonts w:hint="eastAsia" w:cs="宋体"/>
          <w:sz w:val="28"/>
          <w:szCs w:val="28"/>
          <w:highlight w:val="none"/>
        </w:rPr>
        <w:t>授权委托书、法定代表人身份证明书；</w:t>
      </w:r>
    </w:p>
    <w:p>
      <w:pPr>
        <w:numPr>
          <w:ilvl w:val="0"/>
          <w:numId w:val="26"/>
        </w:numPr>
        <w:shd w:val="clea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法人或者其他组织的营业执照等证明文件，自然人的身份证明；</w:t>
      </w:r>
    </w:p>
    <w:p>
      <w:pPr>
        <w:numPr>
          <w:ilvl w:val="0"/>
          <w:numId w:val="26"/>
        </w:numPr>
        <w:shd w:val="clea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城乡规划编制</w:t>
      </w:r>
      <w:r>
        <w:rPr>
          <w:rFonts w:hint="eastAsia" w:ascii="宋体" w:hAnsi="宋体" w:cs="宋体"/>
          <w:sz w:val="28"/>
          <w:szCs w:val="28"/>
          <w:highlight w:val="none"/>
          <w:lang w:eastAsia="zh-CN"/>
        </w:rPr>
        <w:t>乙</w:t>
      </w:r>
      <w:r>
        <w:rPr>
          <w:rFonts w:hint="eastAsia" w:ascii="宋体" w:hAnsi="宋体" w:cs="宋体"/>
          <w:sz w:val="28"/>
          <w:szCs w:val="28"/>
          <w:highlight w:val="none"/>
        </w:rPr>
        <w:t>级</w:t>
      </w:r>
      <w:r>
        <w:rPr>
          <w:rFonts w:hint="eastAsia" w:ascii="宋体" w:hAnsi="宋体" w:cs="宋体"/>
          <w:sz w:val="28"/>
          <w:szCs w:val="28"/>
          <w:highlight w:val="none"/>
          <w:lang w:eastAsia="zh-CN"/>
        </w:rPr>
        <w:t>及以上</w:t>
      </w:r>
      <w:r>
        <w:rPr>
          <w:rFonts w:hint="eastAsia" w:ascii="宋体" w:hAnsi="宋体" w:cs="宋体"/>
          <w:sz w:val="28"/>
          <w:szCs w:val="28"/>
          <w:highlight w:val="none"/>
        </w:rPr>
        <w:t>资质</w:t>
      </w:r>
      <w:r>
        <w:rPr>
          <w:rFonts w:hint="eastAsia" w:ascii="宋体" w:hAnsi="宋体" w:cs="宋体"/>
          <w:sz w:val="28"/>
          <w:szCs w:val="28"/>
          <w:highlight w:val="none"/>
          <w:lang w:val="en-US" w:eastAsia="zh-CN"/>
        </w:rPr>
        <w:t>证书复印件；</w:t>
      </w:r>
    </w:p>
    <w:p>
      <w:pPr>
        <w:numPr>
          <w:ilvl w:val="0"/>
          <w:numId w:val="26"/>
        </w:numPr>
        <w:shd w:val="clear"/>
        <w:snapToGrid w:val="0"/>
        <w:spacing w:line="360" w:lineRule="auto"/>
        <w:jc w:val="left"/>
        <w:rPr>
          <w:rFonts w:hint="eastAsia" w:ascii="宋体" w:hAnsi="宋体" w:cs="宋体"/>
          <w:b/>
          <w:bCs/>
          <w:color w:val="0000FF"/>
          <w:sz w:val="28"/>
          <w:szCs w:val="28"/>
          <w:highlight w:val="none"/>
        </w:rPr>
      </w:pPr>
      <w:r>
        <w:rPr>
          <w:rFonts w:hint="eastAsia" w:ascii="宋体" w:hAnsi="宋体" w:cs="宋体"/>
          <w:b/>
          <w:bCs/>
          <w:color w:val="0000FF"/>
          <w:sz w:val="28"/>
          <w:szCs w:val="28"/>
          <w:highlight w:val="none"/>
        </w:rPr>
        <w:t>投标人的《中小企业声明函（服务）》等相关证明材料；</w:t>
      </w:r>
    </w:p>
    <w:p>
      <w:pPr>
        <w:numPr>
          <w:ilvl w:val="0"/>
          <w:numId w:val="26"/>
        </w:numPr>
        <w:shd w:val="clear"/>
        <w:snapToGrid w:val="0"/>
        <w:spacing w:line="360" w:lineRule="auto"/>
        <w:jc w:val="left"/>
        <w:rPr>
          <w:rFonts w:ascii="宋体"/>
          <w:kern w:val="0"/>
          <w:sz w:val="28"/>
          <w:szCs w:val="28"/>
          <w:highlight w:val="none"/>
        </w:rPr>
      </w:pPr>
      <w:r>
        <w:rPr>
          <w:rFonts w:hint="eastAsia" w:cs="宋体"/>
          <w:sz w:val="28"/>
          <w:szCs w:val="28"/>
          <w:highlight w:val="none"/>
        </w:rPr>
        <w:t>具备履行合同所必需的设备和专业技术能力的证明材料</w:t>
      </w:r>
      <w:r>
        <w:rPr>
          <w:rFonts w:hint="eastAsia" w:ascii="宋体" w:hAnsi="宋体" w:cs="宋体"/>
          <w:sz w:val="28"/>
          <w:szCs w:val="28"/>
          <w:highlight w:val="none"/>
        </w:rPr>
        <w:t>；</w:t>
      </w:r>
    </w:p>
    <w:p>
      <w:pPr>
        <w:numPr>
          <w:ilvl w:val="0"/>
          <w:numId w:val="26"/>
        </w:numPr>
        <w:shd w:val="clear"/>
        <w:snapToGrid w:val="0"/>
        <w:spacing w:line="360" w:lineRule="auto"/>
        <w:jc w:val="left"/>
        <w:rPr>
          <w:rFonts w:ascii="宋体"/>
          <w:kern w:val="0"/>
          <w:sz w:val="28"/>
          <w:szCs w:val="28"/>
          <w:highlight w:val="none"/>
        </w:rPr>
      </w:pPr>
      <w:r>
        <w:rPr>
          <w:rFonts w:hint="eastAsia" w:ascii="宋体" w:hAnsi="宋体" w:cs="宋体"/>
          <w:kern w:val="0"/>
          <w:sz w:val="28"/>
          <w:szCs w:val="28"/>
          <w:highlight w:val="none"/>
        </w:rPr>
        <w:t>投标人认为需要提供</w:t>
      </w:r>
      <w:r>
        <w:rPr>
          <w:rFonts w:hint="eastAsia" w:ascii="宋体" w:hAnsi="宋体" w:cs="宋体"/>
          <w:kern w:val="0"/>
          <w:sz w:val="28"/>
          <w:szCs w:val="28"/>
          <w:highlight w:val="none"/>
          <w:lang w:eastAsia="zh-CN"/>
        </w:rPr>
        <w:t>的其他文件</w:t>
      </w:r>
      <w:r>
        <w:rPr>
          <w:rFonts w:hint="eastAsia" w:ascii="宋体" w:hAnsi="宋体" w:cs="宋体"/>
          <w:kern w:val="0"/>
          <w:sz w:val="28"/>
          <w:szCs w:val="28"/>
          <w:highlight w:val="none"/>
        </w:rPr>
        <w:t>和资料</w:t>
      </w:r>
      <w:r>
        <w:rPr>
          <w:rFonts w:hint="eastAsia" w:ascii="宋体" w:hAnsi="宋体" w:cs="宋体"/>
          <w:sz w:val="28"/>
          <w:szCs w:val="28"/>
          <w:highlight w:val="none"/>
        </w:rPr>
        <w:t>。</w:t>
      </w:r>
    </w:p>
    <w:p>
      <w:pPr>
        <w:shd w:val="clear"/>
        <w:spacing w:line="360" w:lineRule="auto"/>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eastAsia="zh-CN"/>
        </w:rPr>
        <w:t>注：</w:t>
      </w:r>
      <w:r>
        <w:rPr>
          <w:rFonts w:hint="eastAsia" w:ascii="宋体" w:hAnsi="宋体" w:cs="宋体"/>
          <w:b/>
          <w:bCs/>
          <w:color w:val="0000FF"/>
          <w:sz w:val="24"/>
          <w:szCs w:val="24"/>
          <w:highlight w:val="none"/>
          <w:lang w:val="en-US" w:eastAsia="zh-CN"/>
        </w:rPr>
        <w:t>1</w:t>
      </w:r>
      <w:r>
        <w:rPr>
          <w:rFonts w:hint="eastAsia" w:ascii="宋体" w:hAnsi="宋体" w:cs="宋体"/>
          <w:b/>
          <w:bCs/>
          <w:color w:val="0000FF"/>
          <w:sz w:val="24"/>
          <w:szCs w:val="24"/>
          <w:highlight w:val="none"/>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pPr>
        <w:shd w:val="clear"/>
        <w:spacing w:line="360" w:lineRule="auto"/>
        <w:ind w:left="420"/>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ind w:left="420"/>
        <w:rPr>
          <w:rFonts w:ascii="宋体"/>
          <w:b/>
          <w:bCs/>
          <w:sz w:val="28"/>
          <w:szCs w:val="28"/>
          <w:highlight w:val="none"/>
        </w:rPr>
      </w:pPr>
    </w:p>
    <w:p>
      <w:pPr>
        <w:shd w:val="clear"/>
        <w:spacing w:line="360" w:lineRule="auto"/>
        <w:rPr>
          <w:rFonts w:ascii="宋体"/>
          <w:b/>
          <w:bCs/>
          <w:sz w:val="28"/>
          <w:szCs w:val="28"/>
          <w:highlight w:val="none"/>
        </w:rPr>
      </w:pPr>
    </w:p>
    <w:p>
      <w:pPr>
        <w:widowControl/>
        <w:shd w:val="clear"/>
        <w:jc w:val="left"/>
        <w:rPr>
          <w:rFonts w:ascii="宋体"/>
          <w:b/>
          <w:bCs/>
          <w:sz w:val="28"/>
          <w:szCs w:val="28"/>
          <w:highlight w:val="none"/>
        </w:rPr>
      </w:pPr>
      <w:r>
        <w:rPr>
          <w:rFonts w:ascii="宋体"/>
          <w:b/>
          <w:bCs/>
          <w:sz w:val="28"/>
          <w:szCs w:val="28"/>
          <w:highlight w:val="none"/>
        </w:rPr>
        <w:br w:type="page"/>
      </w:r>
      <w:r>
        <w:rPr>
          <w:rFonts w:hint="eastAsia" w:ascii="宋体" w:hAnsi="宋体" w:cs="宋体"/>
          <w:b/>
          <w:bCs/>
          <w:sz w:val="24"/>
          <w:szCs w:val="24"/>
          <w:highlight w:val="none"/>
        </w:rPr>
        <w:t>附件1：</w:t>
      </w:r>
    </w:p>
    <w:p>
      <w:pPr>
        <w:shd w:val="clea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pPr>
        <w:shd w:val="clear"/>
        <w:snapToGrid w:val="0"/>
        <w:spacing w:line="440" w:lineRule="exact"/>
        <w:rPr>
          <w:rFonts w:ascii="宋体"/>
          <w:kern w:val="0"/>
          <w:sz w:val="22"/>
          <w:szCs w:val="22"/>
          <w:highlight w:val="none"/>
        </w:rPr>
      </w:pPr>
      <w:r>
        <w:rPr>
          <w:rFonts w:hint="eastAsia" w:ascii="宋体" w:hAnsi="宋体" w:cs="宋体"/>
          <w:sz w:val="22"/>
          <w:szCs w:val="22"/>
          <w:highlight w:val="none"/>
          <w:u w:val="single"/>
        </w:rPr>
        <w:t>温岭市自然资源和规划局</w:t>
      </w:r>
      <w:r>
        <w:rPr>
          <w:rFonts w:hint="eastAsia" w:ascii="宋体" w:hAnsi="宋体" w:cs="宋体"/>
          <w:kern w:val="0"/>
          <w:sz w:val="22"/>
          <w:szCs w:val="22"/>
          <w:highlight w:val="none"/>
        </w:rPr>
        <w:t>：</w:t>
      </w:r>
    </w:p>
    <w:p>
      <w:pPr>
        <w:shd w:val="clear"/>
        <w:snapToGrid w:val="0"/>
        <w:spacing w:line="440" w:lineRule="exact"/>
        <w:ind w:firstLine="440" w:firstLineChars="200"/>
        <w:rPr>
          <w:rFonts w:ascii="宋体"/>
          <w:kern w:val="0"/>
          <w:sz w:val="22"/>
          <w:szCs w:val="22"/>
          <w:highlight w:val="none"/>
        </w:rPr>
      </w:pPr>
      <w:r>
        <w:rPr>
          <w:rFonts w:hint="eastAsia" w:ascii="宋体" w:hAnsi="宋体" w:cs="宋体"/>
          <w:kern w:val="0"/>
          <w:sz w:val="22"/>
          <w:szCs w:val="22"/>
          <w:highlight w:val="none"/>
        </w:rPr>
        <w:t>（投标人名称）系中华人民共和国合法企业，（经营地址）。</w:t>
      </w:r>
    </w:p>
    <w:p>
      <w:pPr>
        <w:shd w:val="clear"/>
        <w:snapToGrid w:val="0"/>
        <w:spacing w:line="440" w:lineRule="exact"/>
        <w:ind w:firstLine="440" w:firstLineChars="200"/>
        <w:rPr>
          <w:rFonts w:ascii="宋体"/>
          <w:kern w:val="0"/>
          <w:sz w:val="22"/>
          <w:szCs w:val="22"/>
          <w:highlight w:val="none"/>
        </w:rPr>
      </w:pPr>
      <w:r>
        <w:rPr>
          <w:rFonts w:hint="eastAsia" w:ascii="宋体" w:hAnsi="宋体" w:cs="宋体"/>
          <w:kern w:val="0"/>
          <w:sz w:val="22"/>
          <w:szCs w:val="22"/>
          <w:highlight w:val="none"/>
        </w:rPr>
        <w:t>我（</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姓名</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）系（</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投标人名称</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）的法定代表人，我公司自愿参加贵方组织的</w:t>
      </w:r>
      <w:r>
        <w:rPr>
          <w:rFonts w:hint="eastAsia" w:ascii="宋体" w:hAnsi="宋体" w:cs="宋体"/>
          <w:kern w:val="0"/>
          <w:sz w:val="22"/>
          <w:szCs w:val="20"/>
          <w:highlight w:val="none"/>
          <w:u w:val="single"/>
          <w:lang w:eastAsia="zh-CN" w:bidi="ar"/>
        </w:rPr>
        <w:t>温岭市2024年度控制性详细规划编制采购</w:t>
      </w:r>
      <w:r>
        <w:rPr>
          <w:rFonts w:hint="eastAsia" w:ascii="宋体" w:hAnsi="宋体" w:cs="宋体"/>
          <w:kern w:val="0"/>
          <w:sz w:val="22"/>
          <w:szCs w:val="22"/>
          <w:highlight w:val="none"/>
        </w:rPr>
        <w:t>（编号为</w:t>
      </w:r>
      <w:r>
        <w:rPr>
          <w:rFonts w:hint="eastAsia" w:ascii="宋体" w:hAnsi="宋体" w:cs="宋体"/>
          <w:kern w:val="0"/>
          <w:sz w:val="22"/>
          <w:szCs w:val="22"/>
          <w:highlight w:val="none"/>
          <w:u w:val="single"/>
          <w:lang w:eastAsia="zh-CN"/>
        </w:rPr>
        <w:t>JJWL24031982</w:t>
      </w:r>
      <w:r>
        <w:rPr>
          <w:rFonts w:hint="eastAsia" w:ascii="宋体" w:hAnsi="宋体" w:cs="宋体"/>
          <w:kern w:val="0"/>
          <w:sz w:val="22"/>
          <w:szCs w:val="22"/>
          <w:highlight w:val="none"/>
        </w:rPr>
        <w:t>）的投标，为此，我公司就本次投标有关事项郑重声明如下：</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1、我公司具有良好的商业信誉和健全的财务会计制度；</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2、我公司具有依法缴纳税收和社会保障资金的良好记录；</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3、我公司截止投标时间近三年以来，在经营活动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4、我公司截止投标响应截止时间前，未被“信用中国”（www.creditchina.gov.cn）、“中国政府采购网”（www.ccgp.gov.cn）列入失信被执行人、重大税收违法失信主体、政府采购严重违法失信行为记录名单。</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6、我公司不是采购人的附属机构；在获知本项目采购信息后，与采购人聘请的为此项目提供咨询服务的公司及其附属机构没有任何联系。</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8、我公司严格履行政府采购合同，不降低合同约定的产品质量和服务，不擅自变更、中止、终止合同，或拒绝履行合同义务；</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9、以上事项如有虚假或隐瞒，我公司愿意承担一切后果，并不再寻求任何旨在减轻或免除法律责任的辩解。</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10、我公司承诺单位负责人为同一人或者存在控股、管理关系的不同单位，不参加同一标段投标。</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11、我公司没有为采购项目提供整体设计、规范编制或者项目管理、监理、检测等服务。</w:t>
      </w:r>
    </w:p>
    <w:p>
      <w:pPr>
        <w:shd w:val="clear"/>
        <w:adjustRightInd w:val="0"/>
        <w:snapToGrid w:val="0"/>
        <w:spacing w:line="440" w:lineRule="exact"/>
        <w:ind w:firstLine="440" w:firstLineChars="200"/>
        <w:jc w:val="left"/>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12、</w:t>
      </w:r>
      <w:r>
        <w:rPr>
          <w:rFonts w:hint="eastAsia" w:ascii="宋体" w:hAnsi="宋体" w:cs="宋体"/>
          <w:kern w:val="0"/>
          <w:sz w:val="22"/>
          <w:szCs w:val="22"/>
          <w:highlight w:val="none"/>
          <w:lang w:val="zh-CN"/>
        </w:rPr>
        <w:t>我公司不属于公益一类事业单位。</w:t>
      </w:r>
    </w:p>
    <w:p>
      <w:pPr>
        <w:shd w:val="clear"/>
        <w:adjustRightInd w:val="0"/>
        <w:snapToGrid w:val="0"/>
        <w:spacing w:line="440" w:lineRule="exact"/>
        <w:ind w:firstLine="440" w:firstLineChars="200"/>
        <w:rPr>
          <w:rFonts w:ascii="宋体"/>
          <w:kern w:val="0"/>
          <w:sz w:val="22"/>
          <w:szCs w:val="22"/>
          <w:highlight w:val="none"/>
          <w:lang w:val="zh-CN"/>
        </w:rPr>
      </w:pPr>
      <w:r>
        <w:rPr>
          <w:rFonts w:hint="eastAsia" w:ascii="宋体" w:hAnsi="宋体" w:cs="宋体"/>
          <w:kern w:val="0"/>
          <w:sz w:val="22"/>
          <w:szCs w:val="22"/>
          <w:highlight w:val="none"/>
          <w:lang w:val="zh-CN"/>
        </w:rPr>
        <w:t>投标人名称（公章）：</w:t>
      </w:r>
    </w:p>
    <w:p>
      <w:pPr>
        <w:shd w:val="clear"/>
        <w:adjustRightInd w:val="0"/>
        <w:snapToGrid w:val="0"/>
        <w:spacing w:line="440" w:lineRule="exact"/>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法定代表人或授权委托人（签名或盖章）：</w:t>
      </w:r>
    </w:p>
    <w:p>
      <w:pPr>
        <w:pStyle w:val="21"/>
        <w:shd w:val="clear"/>
        <w:ind w:left="0" w:leftChars="0" w:firstLine="480"/>
        <w:rPr>
          <w:sz w:val="20"/>
          <w:szCs w:val="20"/>
          <w:highlight w:val="none"/>
          <w:lang w:val="zh-CN"/>
        </w:rPr>
      </w:pPr>
      <w:r>
        <w:rPr>
          <w:rFonts w:hint="eastAsia" w:ascii="宋体" w:hAnsi="宋体" w:cs="宋体"/>
          <w:kern w:val="0"/>
          <w:sz w:val="22"/>
          <w:szCs w:val="22"/>
          <w:highlight w:val="none"/>
          <w:lang w:val="zh-CN"/>
        </w:rPr>
        <w:t>日期：</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年</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月</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日</w:t>
      </w:r>
    </w:p>
    <w:p>
      <w:pPr>
        <w:shd w:val="clear"/>
        <w:rPr>
          <w:rFonts w:ascii="宋体" w:hAnsi="宋体" w:cs="宋体"/>
          <w:b/>
          <w:bCs/>
          <w:sz w:val="24"/>
          <w:szCs w:val="24"/>
          <w:highlight w:val="none"/>
        </w:rPr>
      </w:pPr>
      <w:r>
        <w:rPr>
          <w:rFonts w:hint="eastAsia" w:ascii="宋体" w:hAnsi="宋体" w:cs="宋体"/>
          <w:b/>
          <w:bCs/>
          <w:sz w:val="24"/>
          <w:szCs w:val="24"/>
          <w:highlight w:val="none"/>
        </w:rPr>
        <w:br w:type="page"/>
      </w:r>
    </w:p>
    <w:p>
      <w:pPr>
        <w:shd w:val="clear"/>
        <w:adjustRightInd w:val="0"/>
        <w:snapToGrid w:val="0"/>
        <w:spacing w:line="360" w:lineRule="auto"/>
        <w:ind w:right="480"/>
        <w:rPr>
          <w:rFonts w:ascii="宋体"/>
          <w:b/>
          <w:bCs/>
          <w:sz w:val="28"/>
          <w:szCs w:val="28"/>
          <w:highlight w:val="none"/>
        </w:rPr>
      </w:pPr>
      <w:r>
        <w:rPr>
          <w:rFonts w:hint="eastAsia" w:ascii="宋体" w:hAnsi="宋体" w:cs="宋体"/>
          <w:b/>
          <w:bCs/>
          <w:sz w:val="24"/>
          <w:szCs w:val="24"/>
          <w:highlight w:val="none"/>
        </w:rPr>
        <w:t>附件2-1:</w:t>
      </w:r>
    </w:p>
    <w:p>
      <w:pPr>
        <w:pStyle w:val="12"/>
        <w:shd w:val="clear"/>
        <w:spacing w:before="120" w:after="120" w:line="480" w:lineRule="auto"/>
        <w:jc w:val="center"/>
        <w:rPr>
          <w:rFonts w:ascii="仿宋_GB2312" w:hAnsi="宋体" w:eastAsia="仿宋_GB2312"/>
          <w:b/>
          <w:color w:val="000000"/>
          <w:sz w:val="36"/>
          <w:szCs w:val="36"/>
          <w:highlight w:val="none"/>
        </w:rPr>
      </w:pPr>
      <w:r>
        <w:rPr>
          <w:rFonts w:hint="eastAsia" w:ascii="仿宋_GB2312" w:hAnsi="宋体" w:eastAsia="仿宋_GB2312"/>
          <w:b/>
          <w:color w:val="000000"/>
          <w:sz w:val="36"/>
          <w:szCs w:val="36"/>
          <w:highlight w:val="none"/>
        </w:rPr>
        <w:t>法定代表人身份证明书</w:t>
      </w:r>
    </w:p>
    <w:p>
      <w:pPr>
        <w:shd w:val="clear"/>
        <w:spacing w:line="540" w:lineRule="exact"/>
        <w:ind w:firstLine="480"/>
        <w:jc w:val="center"/>
        <w:rPr>
          <w:rFonts w:ascii="宋体" w:hAnsi="宋体"/>
          <w:highlight w:val="none"/>
        </w:rPr>
      </w:pPr>
    </w:p>
    <w:p>
      <w:pPr>
        <w:shd w:val="clear"/>
        <w:spacing w:line="540" w:lineRule="exact"/>
        <w:ind w:firstLine="480"/>
        <w:rPr>
          <w:rFonts w:ascii="宋体" w:hAnsi="宋体"/>
          <w:highlight w:val="none"/>
        </w:rPr>
      </w:pPr>
    </w:p>
    <w:p>
      <w:pPr>
        <w:shd w:val="clear"/>
        <w:spacing w:line="540" w:lineRule="exact"/>
        <w:ind w:firstLine="480"/>
        <w:rPr>
          <w:rFonts w:ascii="宋体" w:hAnsi="宋体"/>
          <w:highlight w:val="none"/>
        </w:rPr>
      </w:pPr>
      <w:r>
        <w:rPr>
          <w:rFonts w:hint="eastAsia" w:ascii="宋体" w:hAnsi="宋体"/>
          <w:highlight w:val="none"/>
          <w:u w:val="single"/>
        </w:rPr>
        <w:t>　 ｛姓名｝ 　</w:t>
      </w:r>
      <w:r>
        <w:rPr>
          <w:rFonts w:ascii="宋体" w:hAnsi="宋体"/>
          <w:highlight w:val="none"/>
        </w:rPr>
        <w:t>，</w:t>
      </w:r>
      <w:r>
        <w:rPr>
          <w:rFonts w:hint="eastAsia" w:ascii="宋体" w:hAnsi="宋体"/>
          <w:highlight w:val="none"/>
          <w:u w:val="single"/>
        </w:rPr>
        <w:t>　｛性别｝　</w:t>
      </w:r>
      <w:r>
        <w:rPr>
          <w:rFonts w:ascii="宋体" w:hAnsi="宋体"/>
          <w:highlight w:val="none"/>
        </w:rPr>
        <w:t>，</w:t>
      </w:r>
      <w:r>
        <w:rPr>
          <w:rFonts w:hint="eastAsia" w:ascii="宋体" w:hAnsi="宋体"/>
          <w:highlight w:val="none"/>
          <w:u w:val="single"/>
        </w:rPr>
        <w:t>　｛年龄｝　</w:t>
      </w:r>
      <w:r>
        <w:rPr>
          <w:rFonts w:ascii="宋体" w:hAnsi="宋体"/>
          <w:highlight w:val="none"/>
        </w:rPr>
        <w:t>，</w:t>
      </w:r>
      <w:r>
        <w:rPr>
          <w:rFonts w:hint="eastAsia" w:ascii="宋体" w:hAnsi="宋体"/>
          <w:highlight w:val="none"/>
          <w:u w:val="single"/>
        </w:rPr>
        <w:t>　｛职务｝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w:t>
      </w:r>
      <w:r>
        <w:rPr>
          <w:rFonts w:ascii="宋体" w:hAnsi="宋体"/>
          <w:highlight w:val="none"/>
        </w:rPr>
        <w:t>系</w:t>
      </w: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 xml:space="preserve">名称｝ </w:t>
      </w:r>
      <w:r>
        <w:rPr>
          <w:rFonts w:ascii="宋体" w:hAnsi="宋体"/>
          <w:highlight w:val="none"/>
        </w:rPr>
        <w:t>的法定代表人。</w:t>
      </w:r>
    </w:p>
    <w:p>
      <w:pPr>
        <w:shd w:val="clear"/>
        <w:spacing w:line="540" w:lineRule="exact"/>
        <w:ind w:firstLine="480"/>
        <w:rPr>
          <w:rFonts w:ascii="宋体" w:hAnsi="宋体"/>
          <w:highlight w:val="none"/>
        </w:rPr>
      </w:pPr>
      <w:r>
        <w:rPr>
          <w:rFonts w:ascii="宋体" w:hAnsi="宋体"/>
          <w:highlight w:val="none"/>
        </w:rPr>
        <w:t>特此证明。</w:t>
      </w:r>
    </w:p>
    <w:p>
      <w:pPr>
        <w:shd w:val="clear"/>
        <w:spacing w:line="540" w:lineRule="exact"/>
        <w:ind w:firstLine="480"/>
        <w:rPr>
          <w:rFonts w:ascii="宋体" w:hAnsi="宋体"/>
          <w:highlight w:val="none"/>
        </w:rPr>
      </w:pPr>
    </w:p>
    <w:p>
      <w:pPr>
        <w:shd w:val="clear"/>
        <w:spacing w:line="540" w:lineRule="exact"/>
        <w:ind w:firstLine="480"/>
        <w:rPr>
          <w:rFonts w:ascii="宋体" w:hAnsi="宋体"/>
          <w:highlight w:val="none"/>
        </w:rPr>
      </w:pPr>
    </w:p>
    <w:p>
      <w:pPr>
        <w:shd w:val="clear"/>
        <w:spacing w:line="540" w:lineRule="exact"/>
        <w:ind w:firstLine="3675" w:firstLineChars="1750"/>
        <w:rPr>
          <w:rFonts w:ascii="宋体" w:hAnsi="宋体"/>
          <w:highlight w:val="none"/>
        </w:rPr>
      </w:pP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名称｝　</w:t>
      </w:r>
      <w:r>
        <w:rPr>
          <w:rFonts w:ascii="宋体" w:hAnsi="宋体"/>
          <w:highlight w:val="none"/>
        </w:rPr>
        <w:t>（盖章）</w:t>
      </w:r>
    </w:p>
    <w:p>
      <w:pPr>
        <w:shd w:val="clear"/>
        <w:spacing w:line="540" w:lineRule="exact"/>
        <w:ind w:firstLine="3990" w:firstLineChars="1900"/>
        <w:rPr>
          <w:rFonts w:ascii="宋体" w:hAnsi="宋体"/>
          <w:highlight w:val="none"/>
        </w:rPr>
      </w:pP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tbl>
      <w:tblPr>
        <w:tblStyle w:val="22"/>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pPr>
              <w:shd w:val="clear"/>
              <w:ind w:firstLine="480"/>
              <w:jc w:val="center"/>
              <w:rPr>
                <w:rFonts w:ascii="宋体" w:hAnsi="宋体"/>
                <w:highlight w:val="none"/>
              </w:rPr>
            </w:pPr>
            <w:r>
              <w:rPr>
                <w:rFonts w:ascii="宋体" w:hAnsi="宋体"/>
                <w:highlight w:val="none"/>
              </w:rPr>
              <w:t>法定代表人身份证</w:t>
            </w:r>
            <w:r>
              <w:rPr>
                <w:rFonts w:hint="eastAsia" w:ascii="宋体" w:hAnsi="宋体"/>
                <w:highlight w:val="none"/>
              </w:rPr>
              <w:t>正反面</w:t>
            </w:r>
            <w:r>
              <w:rPr>
                <w:rFonts w:ascii="宋体" w:hAnsi="宋体"/>
                <w:highlight w:val="none"/>
              </w:rPr>
              <w:t>复印件粘贴处</w:t>
            </w:r>
          </w:p>
        </w:tc>
      </w:tr>
    </w:tbl>
    <w:p>
      <w:pPr>
        <w:shd w:val="clear"/>
        <w:spacing w:line="540" w:lineRule="exact"/>
        <w:ind w:firstLine="480"/>
        <w:rPr>
          <w:rFonts w:ascii="宋体" w:hAnsi="宋体"/>
          <w:highlight w:val="none"/>
        </w:rPr>
      </w:pPr>
    </w:p>
    <w:p>
      <w:pPr>
        <w:shd w:val="clear"/>
        <w:spacing w:line="540" w:lineRule="exact"/>
        <w:ind w:firstLine="480"/>
        <w:rPr>
          <w:rFonts w:ascii="宋体" w:hAnsi="宋体"/>
          <w:highlight w:val="none"/>
        </w:rPr>
      </w:pPr>
    </w:p>
    <w:p>
      <w:pPr>
        <w:shd w:val="clear"/>
        <w:spacing w:line="540" w:lineRule="exact"/>
        <w:ind w:firstLine="480"/>
        <w:rPr>
          <w:rFonts w:ascii="宋体" w:hAnsi="宋体"/>
          <w:highlight w:val="none"/>
        </w:rPr>
      </w:pPr>
    </w:p>
    <w:p>
      <w:pPr>
        <w:shd w:val="clear"/>
        <w:spacing w:line="540" w:lineRule="exact"/>
        <w:ind w:firstLine="480"/>
        <w:rPr>
          <w:rFonts w:ascii="宋体" w:hAnsi="宋体"/>
          <w:highlight w:val="none"/>
        </w:rPr>
      </w:pPr>
      <w:r>
        <w:rPr>
          <w:rFonts w:ascii="宋体" w:hAnsi="宋体"/>
          <w:highlight w:val="none"/>
        </w:rPr>
        <w:t xml:space="preserve">  </w:t>
      </w:r>
    </w:p>
    <w:p>
      <w:pPr>
        <w:shd w:val="clear"/>
        <w:ind w:firstLine="480"/>
        <w:rPr>
          <w:rFonts w:ascii="宋体" w:hAnsi="宋体"/>
          <w:highlight w:val="none"/>
        </w:rPr>
      </w:pPr>
    </w:p>
    <w:p>
      <w:pPr>
        <w:shd w:val="clear"/>
        <w:adjustRightInd w:val="0"/>
        <w:snapToGrid w:val="0"/>
        <w:spacing w:line="360" w:lineRule="auto"/>
        <w:ind w:right="480"/>
        <w:rPr>
          <w:rFonts w:ascii="宋体"/>
          <w:b/>
          <w:bCs/>
          <w:sz w:val="28"/>
          <w:szCs w:val="28"/>
          <w:highlight w:val="none"/>
        </w:rPr>
      </w:pPr>
      <w:r>
        <w:rPr>
          <w:bCs/>
          <w:highlight w:val="none"/>
        </w:rPr>
        <w:br w:type="page"/>
      </w:r>
      <w:r>
        <w:rPr>
          <w:rFonts w:hint="eastAsia" w:ascii="宋体" w:hAnsi="宋体" w:cs="宋体"/>
          <w:b/>
          <w:bCs/>
          <w:sz w:val="24"/>
          <w:szCs w:val="24"/>
          <w:highlight w:val="none"/>
        </w:rPr>
        <w:t>附件2-2:</w:t>
      </w:r>
    </w:p>
    <w:p>
      <w:pPr>
        <w:shd w:val="clea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pPr>
        <w:shd w:val="clear"/>
        <w:spacing w:line="360" w:lineRule="auto"/>
        <w:ind w:firstLine="420" w:firstLineChars="200"/>
        <w:rPr>
          <w:rFonts w:ascii="宋体"/>
          <w:highlight w:val="none"/>
        </w:rPr>
      </w:pPr>
    </w:p>
    <w:p>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本单位将承担该代理人行为的全部法律后果和法律责任。代理人无权转换委托权。</w:t>
      </w:r>
    </w:p>
    <w:p>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pPr>
        <w:widowControl/>
        <w:shd w:val="clear" w:color="auto"/>
        <w:spacing w:line="360" w:lineRule="auto"/>
        <w:ind w:firstLine="480" w:firstLineChars="200"/>
        <w:rPr>
          <w:rFonts w:ascii="宋体"/>
          <w:kern w:val="0"/>
          <w:sz w:val="24"/>
          <w:szCs w:val="24"/>
          <w:highlight w:val="none"/>
        </w:rPr>
      </w:pPr>
    </w:p>
    <w:p>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pPr>
        <w:widowControl/>
        <w:shd w:val="clear" w:color="auto"/>
        <w:spacing w:line="360" w:lineRule="auto"/>
        <w:ind w:firstLine="480" w:firstLineChars="200"/>
        <w:rPr>
          <w:rFonts w:ascii="宋体"/>
          <w:kern w:val="0"/>
          <w:sz w:val="24"/>
          <w:szCs w:val="24"/>
          <w:highlight w:val="none"/>
        </w:rPr>
      </w:pPr>
    </w:p>
    <w:p>
      <w:pPr>
        <w:widowControl/>
        <w:shd w:val="clear" w:color="auto"/>
        <w:spacing w:line="360" w:lineRule="auto"/>
        <w:ind w:firstLine="480" w:firstLineChars="200"/>
        <w:rPr>
          <w:rFonts w:ascii="宋体"/>
          <w:kern w:val="0"/>
          <w:sz w:val="24"/>
          <w:szCs w:val="24"/>
          <w:highlight w:val="none"/>
        </w:rPr>
      </w:pPr>
    </w:p>
    <w:p>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法定代表人（签章）：　　　　　日期：　　年　　月　　日</w:t>
      </w:r>
    </w:p>
    <w:p>
      <w:pPr>
        <w:widowControl/>
        <w:shd w:val="clear" w:color="auto"/>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pPr>
        <w:shd w:val="clear"/>
        <w:spacing w:line="360" w:lineRule="auto"/>
        <w:ind w:firstLine="480" w:firstLineChars="200"/>
        <w:jc w:val="left"/>
        <w:rPr>
          <w:rFonts w:ascii="宋体"/>
          <w:kern w:val="0"/>
          <w:sz w:val="24"/>
          <w:szCs w:val="24"/>
          <w:highlight w:val="none"/>
        </w:rPr>
      </w:pPr>
    </w:p>
    <w:p>
      <w:pPr>
        <w:shd w:val="clear"/>
        <w:spacing w:line="360" w:lineRule="auto"/>
        <w:ind w:firstLine="480" w:firstLineChars="200"/>
        <w:jc w:val="left"/>
        <w:rPr>
          <w:rFonts w:ascii="宋体"/>
          <w:kern w:val="0"/>
          <w:sz w:val="24"/>
          <w:szCs w:val="24"/>
          <w:highlight w:val="none"/>
        </w:rPr>
      </w:pPr>
    </w:p>
    <w:p>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、代理人身份证复印件（日期，单位加盖公章）</w:t>
      </w:r>
    </w:p>
    <w:p>
      <w:pPr>
        <w:shd w:val="clea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、法定代表人身份证复印件（日期，单位加盖公章）</w:t>
      </w:r>
    </w:p>
    <w:p>
      <w:pPr>
        <w:shd w:val="clear"/>
        <w:rPr>
          <w:rFonts w:ascii="宋体"/>
          <w:b/>
          <w:bCs/>
          <w:sz w:val="28"/>
          <w:szCs w:val="28"/>
          <w:highlight w:val="none"/>
        </w:rPr>
      </w:pPr>
      <w:r>
        <w:rPr>
          <w:rFonts w:ascii="宋体"/>
          <w:b/>
          <w:bCs/>
          <w:sz w:val="28"/>
          <w:szCs w:val="28"/>
          <w:highlight w:val="none"/>
        </w:rPr>
        <w:br w:type="page"/>
      </w:r>
    </w:p>
    <w:p>
      <w:pPr>
        <w:shd w:val="clear"/>
        <w:rPr>
          <w:rFonts w:hint="default" w:ascii="仿宋_GB2312" w:hAnsi="宋体" w:eastAsia="宋体"/>
          <w:sz w:val="30"/>
          <w:szCs w:val="30"/>
          <w:highlight w:val="none"/>
          <w:lang w:val="en-US" w:eastAsia="zh-CN"/>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3（</w:t>
      </w:r>
      <w:r>
        <w:rPr>
          <w:rFonts w:hint="eastAsia" w:ascii="宋体" w:hAnsi="宋体" w:cs="宋体"/>
          <w:b/>
          <w:bCs/>
          <w:color w:val="0000FF"/>
          <w:sz w:val="24"/>
          <w:szCs w:val="24"/>
          <w:highlight w:val="none"/>
          <w:lang w:val="en-US" w:eastAsia="zh-CN"/>
        </w:rPr>
        <w:t>必须提供</w:t>
      </w:r>
      <w:r>
        <w:rPr>
          <w:rFonts w:hint="eastAsia" w:ascii="宋体" w:hAnsi="宋体" w:cs="宋体"/>
          <w:b/>
          <w:bCs/>
          <w:sz w:val="24"/>
          <w:szCs w:val="24"/>
          <w:highlight w:val="none"/>
          <w:lang w:val="en-US" w:eastAsia="zh-CN"/>
        </w:rPr>
        <w:t>）：</w:t>
      </w:r>
    </w:p>
    <w:p>
      <w:pPr>
        <w:keepNext w:val="0"/>
        <w:keepLines w:val="0"/>
        <w:widowControl/>
        <w:suppressLineNumbers w:val="0"/>
        <w:shd w:val="clear"/>
        <w:jc w:val="center"/>
        <w:rPr>
          <w:highlight w:val="none"/>
        </w:rPr>
      </w:pPr>
      <w:r>
        <w:rPr>
          <w:rFonts w:hint="eastAsia" w:ascii="宋体" w:hAnsi="宋体" w:eastAsia="宋体" w:cs="宋体"/>
          <w:b/>
          <w:color w:val="000000"/>
          <w:kern w:val="0"/>
          <w:sz w:val="36"/>
          <w:szCs w:val="36"/>
          <w:highlight w:val="none"/>
          <w:lang w:val="en-US" w:eastAsia="zh-CN" w:bidi="ar"/>
        </w:rPr>
        <w:t>中小企业声明函（服务）</w:t>
      </w:r>
    </w:p>
    <w:p>
      <w:pPr>
        <w:shd w:val="clear"/>
        <w:spacing w:line="588" w:lineRule="exact"/>
        <w:ind w:firstLine="504" w:firstLineChars="200"/>
        <w:rPr>
          <w:rFonts w:hint="eastAsia" w:ascii="宋体" w:hAnsi="宋体" w:cs="宋体"/>
          <w:spacing w:val="6"/>
          <w:sz w:val="24"/>
          <w:szCs w:val="24"/>
          <w:highlight w:val="none"/>
          <w:lang w:val="en-US" w:eastAsia="zh-CN"/>
        </w:rPr>
      </w:pPr>
      <w:r>
        <w:rPr>
          <w:rFonts w:hint="eastAsia" w:ascii="宋体" w:hAnsi="宋体" w:cs="宋体"/>
          <w:spacing w:val="6"/>
          <w:sz w:val="24"/>
          <w:szCs w:val="24"/>
          <w:highlight w:val="none"/>
          <w:lang w:val="en-US" w:eastAsia="zh-CN"/>
        </w:rPr>
        <w:t>本公司</w:t>
      </w:r>
      <w:r>
        <w:rPr>
          <w:rFonts w:hint="eastAsia" w:ascii="宋体" w:hAnsi="宋体" w:cs="宋体"/>
          <w:spacing w:val="6"/>
          <w:sz w:val="24"/>
          <w:szCs w:val="24"/>
          <w:highlight w:val="none"/>
          <w:u w:val="none"/>
          <w:lang w:val="en-US" w:eastAsia="zh-CN"/>
        </w:rPr>
        <w:t>（联合体）</w:t>
      </w:r>
      <w:r>
        <w:rPr>
          <w:rFonts w:hint="eastAsia" w:ascii="宋体" w:hAnsi="宋体" w:cs="宋体"/>
          <w:spacing w:val="6"/>
          <w:sz w:val="24"/>
          <w:szCs w:val="24"/>
          <w:highlight w:val="none"/>
          <w:lang w:val="en-US" w:eastAsia="zh-CN"/>
        </w:rPr>
        <w:t>郑重声明，根据《政府采购促进中小企业发展管理办法》（财库﹝2020﹞46 号）的规定，本公司（联合体）参加</w:t>
      </w:r>
      <w:r>
        <w:rPr>
          <w:rFonts w:hint="eastAsia" w:ascii="宋体" w:hAnsi="宋体" w:cs="宋体"/>
          <w:spacing w:val="6"/>
          <w:sz w:val="24"/>
          <w:szCs w:val="24"/>
          <w:highlight w:val="none"/>
          <w:u w:val="single"/>
          <w:lang w:val="en-US" w:eastAsia="zh-CN"/>
        </w:rPr>
        <w:t>（单位名称）</w:t>
      </w:r>
      <w:r>
        <w:rPr>
          <w:rFonts w:hint="eastAsia" w:ascii="宋体" w:hAnsi="宋体" w:cs="宋体"/>
          <w:spacing w:val="6"/>
          <w:sz w:val="24"/>
          <w:szCs w:val="24"/>
          <w:highlight w:val="none"/>
          <w:lang w:val="en-US" w:eastAsia="zh-CN"/>
        </w:rPr>
        <w:t>的</w:t>
      </w:r>
      <w:r>
        <w:rPr>
          <w:rFonts w:hint="eastAsia" w:ascii="宋体" w:hAnsi="宋体" w:cs="宋体"/>
          <w:spacing w:val="6"/>
          <w:sz w:val="24"/>
          <w:szCs w:val="24"/>
          <w:highlight w:val="none"/>
          <w:u w:val="single"/>
          <w:lang w:val="en-US" w:eastAsia="zh-CN"/>
        </w:rPr>
        <w:t>（项目名称）</w:t>
      </w:r>
      <w:r>
        <w:rPr>
          <w:rFonts w:hint="eastAsia" w:ascii="宋体" w:hAnsi="宋体" w:cs="宋体"/>
          <w:spacing w:val="6"/>
          <w:sz w:val="24"/>
          <w:szCs w:val="24"/>
          <w:highlight w:val="none"/>
          <w:lang w:val="en-US" w:eastAsia="zh-CN"/>
        </w:rPr>
        <w:t>采购活动，服务全部由符合政策要求的中小企业承接。相关企业（含联合体中的中小企业、签订分包意向协议的中小企业）的具体情况如下：</w:t>
      </w:r>
    </w:p>
    <w:p>
      <w:pPr>
        <w:shd w:val="clear"/>
        <w:spacing w:line="588" w:lineRule="exact"/>
        <w:ind w:firstLine="504" w:firstLineChars="200"/>
        <w:rPr>
          <w:rFonts w:hint="eastAsia" w:ascii="宋体" w:hAnsi="宋体" w:cs="宋体"/>
          <w:spacing w:val="6"/>
          <w:sz w:val="24"/>
          <w:szCs w:val="24"/>
          <w:highlight w:val="none"/>
          <w:lang w:val="en-US" w:eastAsia="zh-CN"/>
        </w:rPr>
      </w:pPr>
      <w:r>
        <w:rPr>
          <w:rFonts w:hint="eastAsia" w:ascii="宋体" w:hAnsi="宋体" w:cs="宋体"/>
          <w:spacing w:val="6"/>
          <w:sz w:val="24"/>
          <w:szCs w:val="24"/>
          <w:highlight w:val="none"/>
          <w:lang w:val="en-US" w:eastAsia="zh-CN"/>
        </w:rPr>
        <w:t>1.</w:t>
      </w:r>
      <w:r>
        <w:rPr>
          <w:rFonts w:hint="eastAsia" w:ascii="宋体" w:hAnsi="宋体" w:cs="宋体"/>
          <w:spacing w:val="6"/>
          <w:sz w:val="24"/>
          <w:szCs w:val="24"/>
          <w:highlight w:val="none"/>
          <w:u w:val="single"/>
          <w:lang w:val="en-US" w:eastAsia="zh-CN"/>
        </w:rPr>
        <w:t xml:space="preserve"> （标的名称） </w:t>
      </w:r>
      <w:r>
        <w:rPr>
          <w:rFonts w:hint="eastAsia" w:ascii="宋体" w:hAnsi="宋体" w:cs="宋体"/>
          <w:spacing w:val="6"/>
          <w:sz w:val="24"/>
          <w:szCs w:val="24"/>
          <w:highlight w:val="none"/>
          <w:lang w:val="en-US" w:eastAsia="zh-CN"/>
        </w:rPr>
        <w:t>，属于</w:t>
      </w:r>
      <w:r>
        <w:rPr>
          <w:rFonts w:hint="eastAsia" w:ascii="宋体" w:hAnsi="宋体" w:cs="宋体"/>
          <w:spacing w:val="6"/>
          <w:sz w:val="24"/>
          <w:szCs w:val="24"/>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科学研究和技术服务业</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；承建（承接）企业为</w:t>
      </w:r>
      <w:r>
        <w:rPr>
          <w:rFonts w:hint="eastAsia" w:ascii="宋体" w:hAnsi="宋体" w:cs="宋体"/>
          <w:spacing w:val="6"/>
          <w:sz w:val="24"/>
          <w:szCs w:val="24"/>
          <w:highlight w:val="none"/>
          <w:u w:val="single"/>
          <w:lang w:val="en-US" w:eastAsia="zh-CN"/>
        </w:rPr>
        <w:t>（企业名称）</w:t>
      </w:r>
      <w:r>
        <w:rPr>
          <w:rFonts w:hint="eastAsia" w:ascii="宋体" w:hAnsi="宋体" w:cs="宋体"/>
          <w:spacing w:val="6"/>
          <w:sz w:val="24"/>
          <w:szCs w:val="24"/>
          <w:highlight w:val="none"/>
          <w:lang w:val="en-US" w:eastAsia="zh-CN"/>
        </w:rPr>
        <w:t>，从业人员</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人，营业收入为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万元，资产总额为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w:t>
      </w:r>
      <w:r>
        <w:rPr>
          <w:rFonts w:hint="default" w:ascii="Calibri" w:hAnsi="Calibri" w:eastAsia="宋体" w:cs="Calibri"/>
          <w:color w:val="000000"/>
          <w:kern w:val="0"/>
          <w:sz w:val="16"/>
          <w:szCs w:val="16"/>
          <w:highlight w:val="none"/>
          <w:lang w:val="en-US" w:eastAsia="zh-CN" w:bidi="ar"/>
        </w:rPr>
        <w:t>①</w:t>
      </w:r>
      <w:r>
        <w:rPr>
          <w:rFonts w:hint="eastAsia" w:ascii="宋体" w:hAnsi="宋体" w:cs="宋体"/>
          <w:spacing w:val="6"/>
          <w:sz w:val="24"/>
          <w:szCs w:val="24"/>
          <w:highlight w:val="none"/>
          <w:lang w:val="en-US" w:eastAsia="zh-CN"/>
        </w:rPr>
        <w:t>，属于</w:t>
      </w:r>
      <w:r>
        <w:rPr>
          <w:rFonts w:hint="eastAsia" w:ascii="宋体" w:hAnsi="宋体" w:cs="宋体"/>
          <w:spacing w:val="6"/>
          <w:sz w:val="24"/>
          <w:szCs w:val="24"/>
          <w:highlight w:val="none"/>
          <w:u w:val="single"/>
          <w:lang w:val="en-US" w:eastAsia="zh-CN"/>
        </w:rPr>
        <w:t>（中型企业、小型企业、微型企业）</w:t>
      </w:r>
      <w:r>
        <w:rPr>
          <w:rFonts w:hint="eastAsia" w:ascii="宋体" w:hAnsi="宋体" w:cs="宋体"/>
          <w:spacing w:val="6"/>
          <w:sz w:val="24"/>
          <w:szCs w:val="24"/>
          <w:highlight w:val="none"/>
          <w:lang w:val="en-US" w:eastAsia="zh-CN"/>
        </w:rPr>
        <w:t xml:space="preserve">； </w:t>
      </w:r>
    </w:p>
    <w:p>
      <w:pPr>
        <w:shd w:val="clear"/>
        <w:spacing w:line="588" w:lineRule="exact"/>
        <w:ind w:firstLine="504" w:firstLineChars="200"/>
        <w:rPr>
          <w:rFonts w:hint="eastAsia" w:ascii="宋体" w:hAnsi="宋体" w:cs="宋体"/>
          <w:spacing w:val="6"/>
          <w:sz w:val="24"/>
          <w:szCs w:val="24"/>
          <w:highlight w:val="none"/>
          <w:lang w:val="en-US" w:eastAsia="zh-CN"/>
        </w:rPr>
      </w:pPr>
      <w:r>
        <w:rPr>
          <w:rFonts w:hint="eastAsia" w:ascii="宋体" w:hAnsi="宋体" w:cs="宋体"/>
          <w:spacing w:val="6"/>
          <w:sz w:val="24"/>
          <w:szCs w:val="24"/>
          <w:highlight w:val="none"/>
          <w:lang w:val="en-US" w:eastAsia="zh-CN"/>
        </w:rPr>
        <w:t>2.</w:t>
      </w:r>
      <w:r>
        <w:rPr>
          <w:rFonts w:hint="eastAsia" w:ascii="宋体" w:hAnsi="宋体" w:cs="宋体"/>
          <w:spacing w:val="6"/>
          <w:sz w:val="24"/>
          <w:szCs w:val="24"/>
          <w:highlight w:val="none"/>
          <w:u w:val="single"/>
          <w:lang w:val="en-US" w:eastAsia="zh-CN"/>
        </w:rPr>
        <w:t xml:space="preserve"> （标的名称） </w:t>
      </w:r>
      <w:r>
        <w:rPr>
          <w:rFonts w:hint="eastAsia" w:ascii="宋体" w:hAnsi="宋体" w:cs="宋体"/>
          <w:spacing w:val="6"/>
          <w:sz w:val="24"/>
          <w:szCs w:val="24"/>
          <w:highlight w:val="none"/>
          <w:lang w:val="en-US" w:eastAsia="zh-CN"/>
        </w:rPr>
        <w:t>，属于</w:t>
      </w:r>
      <w:r>
        <w:rPr>
          <w:rFonts w:hint="eastAsia" w:ascii="宋体" w:hAnsi="宋体" w:cs="宋体"/>
          <w:spacing w:val="6"/>
          <w:sz w:val="24"/>
          <w:szCs w:val="24"/>
          <w:highlight w:val="none"/>
          <w:u w:val="single"/>
          <w:lang w:val="en-US" w:eastAsia="zh-CN"/>
        </w:rPr>
        <w:t>（采购文件中明确的所属行业）</w:t>
      </w:r>
      <w:r>
        <w:rPr>
          <w:rFonts w:hint="eastAsia" w:ascii="宋体" w:hAnsi="宋体" w:cs="宋体"/>
          <w:spacing w:val="6"/>
          <w:sz w:val="24"/>
          <w:szCs w:val="24"/>
          <w:highlight w:val="none"/>
          <w:lang w:val="en-US" w:eastAsia="zh-CN"/>
        </w:rPr>
        <w:t>；承建（承接）企业为</w:t>
      </w:r>
      <w:r>
        <w:rPr>
          <w:rFonts w:hint="eastAsia" w:ascii="宋体" w:hAnsi="宋体" w:cs="宋体"/>
          <w:spacing w:val="6"/>
          <w:sz w:val="24"/>
          <w:szCs w:val="24"/>
          <w:highlight w:val="none"/>
          <w:u w:val="single"/>
          <w:lang w:val="en-US" w:eastAsia="zh-CN"/>
        </w:rPr>
        <w:t>（企业名称）</w:t>
      </w:r>
      <w:r>
        <w:rPr>
          <w:rFonts w:hint="eastAsia" w:ascii="宋体" w:hAnsi="宋体" w:cs="宋体"/>
          <w:spacing w:val="6"/>
          <w:sz w:val="24"/>
          <w:szCs w:val="24"/>
          <w:highlight w:val="none"/>
          <w:lang w:val="en-US" w:eastAsia="zh-CN"/>
        </w:rPr>
        <w:t>，从业人员</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人，营业收入为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万元，资产总额为</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lang w:val="en-US" w:eastAsia="zh-CN"/>
        </w:rPr>
        <w:t>万元，属于</w:t>
      </w:r>
      <w:r>
        <w:rPr>
          <w:rFonts w:hint="eastAsia" w:ascii="宋体" w:hAnsi="宋体" w:cs="宋体"/>
          <w:spacing w:val="6"/>
          <w:sz w:val="24"/>
          <w:szCs w:val="24"/>
          <w:highlight w:val="none"/>
          <w:u w:val="single"/>
          <w:lang w:val="en-US" w:eastAsia="zh-CN"/>
        </w:rPr>
        <w:t>（中型企业、小型企业、微型企业）</w:t>
      </w:r>
      <w:r>
        <w:rPr>
          <w:rFonts w:hint="eastAsia" w:ascii="宋体" w:hAnsi="宋体" w:cs="宋体"/>
          <w:spacing w:val="6"/>
          <w:sz w:val="24"/>
          <w:szCs w:val="24"/>
          <w:highlight w:val="none"/>
          <w:lang w:val="en-US" w:eastAsia="zh-CN"/>
        </w:rPr>
        <w:t xml:space="preserve">； </w:t>
      </w:r>
    </w:p>
    <w:p>
      <w:pPr>
        <w:shd w:val="clear"/>
        <w:spacing w:line="588" w:lineRule="exact"/>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w:t>
      </w:r>
    </w:p>
    <w:p>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以上企业，不属于大企业的分支机构，不存在控股股东为大企业的情形，也不存在与大企业的负责人为同一人的情形。</w:t>
      </w:r>
    </w:p>
    <w:p>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 xml:space="preserve">本企业对上述声明内容的真实性负责。如有虚假，将依法承担相应责任。 </w:t>
      </w:r>
    </w:p>
    <w:p>
      <w:pPr>
        <w:shd w:val="clear"/>
        <w:spacing w:line="588" w:lineRule="exact"/>
        <w:ind w:firstLine="504" w:firstLineChars="200"/>
        <w:rPr>
          <w:rFonts w:hint="eastAsia" w:ascii="宋体" w:hAnsi="宋体" w:cs="宋体"/>
          <w:spacing w:val="6"/>
          <w:sz w:val="24"/>
          <w:szCs w:val="24"/>
          <w:highlight w:val="none"/>
          <w:lang w:val="en-US" w:eastAsia="zh-CN"/>
        </w:rPr>
      </w:pPr>
    </w:p>
    <w:p>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 xml:space="preserve">企业名称（盖章）： </w:t>
      </w:r>
    </w:p>
    <w:p>
      <w:pPr>
        <w:shd w:val="clea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lang w:val="en-US" w:eastAsia="zh-CN"/>
        </w:rPr>
        <w:t xml:space="preserve">日 期： </w:t>
      </w:r>
    </w:p>
    <w:p>
      <w:pPr>
        <w:keepNext w:val="0"/>
        <w:keepLines w:val="0"/>
        <w:widowControl/>
        <w:suppressLineNumbers w:val="0"/>
        <w:shd w:val="clear"/>
        <w:jc w:val="left"/>
        <w:rPr>
          <w:rFonts w:hint="default" w:ascii="Times New Roman" w:hAnsi="Times New Roman" w:eastAsia="宋体" w:cs="Times New Roman"/>
          <w:color w:val="000000"/>
          <w:kern w:val="0"/>
          <w:sz w:val="10"/>
          <w:szCs w:val="10"/>
          <w:highlight w:val="none"/>
          <w:lang w:val="en-US" w:eastAsia="zh-CN" w:bidi="ar"/>
        </w:rPr>
      </w:pPr>
    </w:p>
    <w:p>
      <w:pPr>
        <w:keepNext w:val="0"/>
        <w:keepLines w:val="0"/>
        <w:widowControl/>
        <w:suppressLineNumbers w:val="0"/>
        <w:shd w:val="clear"/>
        <w:jc w:val="left"/>
        <w:rPr>
          <w:rFonts w:hint="default" w:ascii="Times New Roman" w:hAnsi="Times New Roman" w:eastAsia="宋体" w:cs="Times New Roman"/>
          <w:color w:val="000000"/>
          <w:kern w:val="0"/>
          <w:sz w:val="10"/>
          <w:szCs w:val="10"/>
          <w:highlight w:val="none"/>
          <w:lang w:val="en-US" w:eastAsia="zh-CN" w:bidi="ar"/>
        </w:rPr>
      </w:pPr>
    </w:p>
    <w:p>
      <w:pPr>
        <w:widowControl/>
        <w:shd w:val="clear"/>
        <w:jc w:val="left"/>
        <w:rPr>
          <w:rFonts w:hint="eastAsia" w:ascii="宋体" w:hAnsi="宋体" w:eastAsia="宋体" w:cs="宋体"/>
          <w:color w:val="000000"/>
          <w:kern w:val="0"/>
          <w:sz w:val="16"/>
          <w:szCs w:val="16"/>
          <w:highlight w:val="none"/>
          <w:lang w:val="en-US" w:eastAsia="zh-CN" w:bidi="ar"/>
        </w:rPr>
        <w:sectPr>
          <w:headerReference r:id="rId5" w:type="default"/>
          <w:footerReference r:id="rId6" w:type="default"/>
          <w:pgSz w:w="11906" w:h="16838"/>
          <w:pgMar w:top="1361" w:right="1587" w:bottom="1361" w:left="1587"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Calibri" w:hAnsi="Calibri" w:eastAsia="宋体" w:cs="Calibri"/>
          <w:color w:val="000000"/>
          <w:kern w:val="0"/>
          <w:sz w:val="16"/>
          <w:szCs w:val="16"/>
          <w:highlight w:val="none"/>
          <w:lang w:val="en-US" w:eastAsia="zh-CN" w:bidi="ar"/>
        </w:rPr>
        <w:t>①</w:t>
      </w:r>
      <w:r>
        <w:rPr>
          <w:rFonts w:hint="eastAsia" w:ascii="宋体" w:hAnsi="宋体" w:eastAsia="宋体" w:cs="宋体"/>
          <w:color w:val="000000"/>
          <w:kern w:val="0"/>
          <w:sz w:val="16"/>
          <w:szCs w:val="16"/>
          <w:highlight w:val="none"/>
          <w:lang w:val="en-US" w:eastAsia="zh-CN" w:bidi="ar"/>
        </w:rPr>
        <w:t>从业人员、营业收入、资产总额填报上一年度数据，无上一年度数据的新成立企业可不填报。</w:t>
      </w:r>
    </w:p>
    <w:tbl>
      <w:tblPr>
        <w:tblStyle w:val="22"/>
        <w:tblW w:w="14800" w:type="dxa"/>
        <w:tblInd w:w="-176"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noWrap w:val="0"/>
            <w:vAlign w:val="bottom"/>
          </w:tcPr>
          <w:p>
            <w:pPr>
              <w:widowControl/>
              <w:shd w:val="clea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中小微行业划型标准规定（根据工信部联企业〔2011〕300号制定）</w:t>
            </w:r>
          </w:p>
        </w:tc>
      </w:tr>
      <w:tr>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4878" w:type="dxa"/>
            <w:gridSpan w:val="3"/>
            <w:tcBorders>
              <w:top w:val="single" w:color="auto" w:sz="8" w:space="0"/>
              <w:left w:val="nil"/>
              <w:bottom w:val="single" w:color="auto" w:sz="4" w:space="0"/>
              <w:right w:val="single" w:color="000000" w:sz="8" w:space="0"/>
            </w:tcBorders>
            <w:noWrap w:val="0"/>
            <w:vAlign w:val="bottom"/>
          </w:tcPr>
          <w:p>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608" w:type="dxa"/>
            <w:gridSpan w:val="3"/>
            <w:tcBorders>
              <w:top w:val="single" w:color="auto" w:sz="8" w:space="0"/>
              <w:left w:val="nil"/>
              <w:bottom w:val="single" w:color="auto" w:sz="4" w:space="0"/>
              <w:right w:val="single" w:color="000000" w:sz="8" w:space="0"/>
            </w:tcBorders>
            <w:noWrap w:val="0"/>
            <w:vAlign w:val="bottom"/>
          </w:tcPr>
          <w:p>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346" w:type="dxa"/>
            <w:gridSpan w:val="3"/>
            <w:tcBorders>
              <w:top w:val="single" w:color="auto" w:sz="8" w:space="0"/>
              <w:left w:val="nil"/>
              <w:bottom w:val="single" w:color="auto" w:sz="4" w:space="0"/>
              <w:right w:val="single" w:color="000000" w:sz="8" w:space="0"/>
            </w:tcBorders>
            <w:noWrap w:val="0"/>
            <w:vAlign w:val="bottom"/>
          </w:tcPr>
          <w:p>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hd w:val="clear"/>
              <w:jc w:val="left"/>
              <w:rPr>
                <w:rFonts w:hint="eastAsia" w:ascii="宋体" w:hAnsi="宋体" w:eastAsia="宋体" w:cs="宋体"/>
                <w:b/>
                <w:bCs/>
                <w:color w:val="auto"/>
                <w:kern w:val="0"/>
                <w:sz w:val="24"/>
                <w:highlight w:val="none"/>
              </w:rPr>
            </w:pPr>
          </w:p>
        </w:tc>
        <w:tc>
          <w:tcPr>
            <w:tcW w:w="1441" w:type="dxa"/>
            <w:tcBorders>
              <w:top w:val="nil"/>
              <w:left w:val="nil"/>
              <w:bottom w:val="single" w:color="auto" w:sz="4" w:space="0"/>
              <w:right w:val="single" w:color="auto" w:sz="4"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790" w:type="dxa"/>
            <w:tcBorders>
              <w:top w:val="nil"/>
              <w:left w:val="nil"/>
              <w:bottom w:val="single" w:color="auto" w:sz="4" w:space="0"/>
              <w:right w:val="single" w:color="auto" w:sz="4"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647" w:type="dxa"/>
            <w:tcBorders>
              <w:top w:val="nil"/>
              <w:left w:val="nil"/>
              <w:bottom w:val="single" w:color="auto" w:sz="4" w:space="0"/>
              <w:right w:val="single" w:color="auto" w:sz="8"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321" w:type="dxa"/>
            <w:tcBorders>
              <w:top w:val="nil"/>
              <w:left w:val="nil"/>
              <w:bottom w:val="single" w:color="auto" w:sz="4" w:space="0"/>
              <w:right w:val="single" w:color="auto" w:sz="4"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623" w:type="dxa"/>
            <w:tcBorders>
              <w:top w:val="nil"/>
              <w:left w:val="nil"/>
              <w:bottom w:val="single" w:color="auto" w:sz="4" w:space="0"/>
              <w:right w:val="single" w:color="auto" w:sz="4"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664" w:type="dxa"/>
            <w:tcBorders>
              <w:top w:val="nil"/>
              <w:left w:val="nil"/>
              <w:bottom w:val="single" w:color="auto" w:sz="4" w:space="0"/>
              <w:right w:val="single" w:color="auto" w:sz="8"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036" w:type="dxa"/>
            <w:tcBorders>
              <w:top w:val="nil"/>
              <w:left w:val="nil"/>
              <w:bottom w:val="single" w:color="auto" w:sz="4" w:space="0"/>
              <w:right w:val="single" w:color="auto" w:sz="4"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255" w:type="dxa"/>
            <w:tcBorders>
              <w:top w:val="nil"/>
              <w:left w:val="nil"/>
              <w:bottom w:val="single" w:color="auto" w:sz="4" w:space="0"/>
              <w:right w:val="single" w:color="auto" w:sz="4"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营业收入Y（万元）</w:t>
            </w:r>
          </w:p>
        </w:tc>
        <w:tc>
          <w:tcPr>
            <w:tcW w:w="1055" w:type="dxa"/>
            <w:tcBorders>
              <w:top w:val="nil"/>
              <w:left w:val="nil"/>
              <w:bottom w:val="single" w:color="auto" w:sz="4" w:space="0"/>
              <w:right w:val="single" w:color="auto" w:sz="8" w:space="0"/>
            </w:tcBorders>
            <w:noWrap w:val="0"/>
            <w:vAlign w:val="bottom"/>
          </w:tcPr>
          <w:p>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资产总额Z（万元）</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1、农林牧渔业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50≤Y＜500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2、工业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2000≤Y＜40000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300≤Y＜2000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3、建筑业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6000≤Y＜80000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5000≤Z＜80000</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300≤Y＜6000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300≤Z＜5000</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Z＜300</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4、批发业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20≤X＜200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5000≤Y＜40000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5≤X＜20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X＜5</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5、零售业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50≤X＜300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10≤X＜50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100≤Y＜500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6、交通运输业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3000≤Y＜30000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200≤Y＜3000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V＜200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7、仓储业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1000≤Y＜30000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20≤X＜100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8、邮政业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2000≤Y＜30000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9、住宿业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10、餐饮业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11、信息传输业</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12、软件和信息技术服务业</w:t>
            </w:r>
          </w:p>
        </w:tc>
        <w:tc>
          <w:tcPr>
            <w:tcW w:w="1441"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w:t>
            </w:r>
          </w:p>
        </w:tc>
        <w:tc>
          <w:tcPr>
            <w:tcW w:w="1647" w:type="dxa"/>
            <w:tcBorders>
              <w:top w:val="nil"/>
              <w:left w:val="nil"/>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50≤Y＜1000</w:t>
            </w:r>
          </w:p>
        </w:tc>
        <w:tc>
          <w:tcPr>
            <w:tcW w:w="1664" w:type="dxa"/>
            <w:tcBorders>
              <w:top w:val="nil"/>
              <w:left w:val="nil"/>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055" w:type="dxa"/>
            <w:tcBorders>
              <w:top w:val="nil"/>
              <w:left w:val="nil"/>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13、房地产开发经营</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1000≤Y＜200000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5000≤Z＜10000</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2000≤Z＜5000</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Z＜2000</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14、物业管理</w:t>
            </w:r>
          </w:p>
        </w:tc>
        <w:tc>
          <w:tcPr>
            <w:tcW w:w="144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647"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623"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500≤Y＜1000</w:t>
            </w:r>
          </w:p>
        </w:tc>
        <w:tc>
          <w:tcPr>
            <w:tcW w:w="1664"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X＜100</w:t>
            </w:r>
          </w:p>
        </w:tc>
        <w:tc>
          <w:tcPr>
            <w:tcW w:w="1255" w:type="dxa"/>
            <w:tcBorders>
              <w:top w:val="nil"/>
              <w:left w:val="nil"/>
              <w:bottom w:val="single" w:color="auto" w:sz="4"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Y＜500</w:t>
            </w:r>
          </w:p>
        </w:tc>
        <w:tc>
          <w:tcPr>
            <w:tcW w:w="1055" w:type="dxa"/>
            <w:tcBorders>
              <w:top w:val="nil"/>
              <w:left w:val="nil"/>
              <w:bottom w:val="single" w:color="auto" w:sz="4"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15、租赁和商务服务业</w:t>
            </w:r>
          </w:p>
        </w:tc>
        <w:tc>
          <w:tcPr>
            <w:tcW w:w="1441"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47" w:type="dxa"/>
            <w:tcBorders>
              <w:top w:val="nil"/>
              <w:left w:val="nil"/>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8000≤Z＜120000</w:t>
            </w:r>
          </w:p>
        </w:tc>
        <w:tc>
          <w:tcPr>
            <w:tcW w:w="1321"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64" w:type="dxa"/>
            <w:tcBorders>
              <w:top w:val="nil"/>
              <w:left w:val="nil"/>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100≤Z＜8000</w:t>
            </w:r>
          </w:p>
        </w:tc>
        <w:tc>
          <w:tcPr>
            <w:tcW w:w="1036"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4" w:space="0"/>
              <w:right w:val="single" w:color="auto" w:sz="4"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55" w:type="dxa"/>
            <w:tcBorders>
              <w:top w:val="nil"/>
              <w:left w:val="nil"/>
              <w:bottom w:val="single" w:color="auto" w:sz="4"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Z＜100</w:t>
            </w:r>
          </w:p>
        </w:tc>
      </w:tr>
      <w:tr>
        <w:tblPrEx>
          <w:tblCellMar>
            <w:top w:w="0" w:type="dxa"/>
            <w:left w:w="108" w:type="dxa"/>
            <w:bottom w:w="0" w:type="dxa"/>
            <w:right w:w="108" w:type="dxa"/>
          </w:tblCellMar>
        </w:tblPrEx>
        <w:trPr>
          <w:trHeight w:val="357" w:hRule="atLeast"/>
        </w:trPr>
        <w:tc>
          <w:tcPr>
            <w:tcW w:w="1968" w:type="dxa"/>
            <w:tcBorders>
              <w:top w:val="nil"/>
              <w:left w:val="single" w:color="auto" w:sz="8" w:space="0"/>
              <w:bottom w:val="single" w:color="auto" w:sz="8" w:space="0"/>
              <w:right w:val="single" w:color="auto" w:sz="8" w:space="0"/>
            </w:tcBorders>
            <w:noWrap w:val="0"/>
            <w:vAlign w:val="center"/>
          </w:tcPr>
          <w:p>
            <w:pPr>
              <w:widowControl/>
              <w:shd w:val="clear"/>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16、其他未列明行业</w:t>
            </w:r>
          </w:p>
        </w:tc>
        <w:tc>
          <w:tcPr>
            <w:tcW w:w="1441" w:type="dxa"/>
            <w:tcBorders>
              <w:top w:val="nil"/>
              <w:left w:val="nil"/>
              <w:bottom w:val="single" w:color="auto" w:sz="8"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8"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47" w:type="dxa"/>
            <w:tcBorders>
              <w:top w:val="nil"/>
              <w:left w:val="nil"/>
              <w:bottom w:val="single" w:color="auto" w:sz="8"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1" w:type="dxa"/>
            <w:tcBorders>
              <w:top w:val="nil"/>
              <w:left w:val="nil"/>
              <w:bottom w:val="single" w:color="auto" w:sz="8"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23" w:type="dxa"/>
            <w:tcBorders>
              <w:top w:val="nil"/>
              <w:left w:val="nil"/>
              <w:bottom w:val="single" w:color="auto" w:sz="8"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64" w:type="dxa"/>
            <w:tcBorders>
              <w:top w:val="nil"/>
              <w:left w:val="nil"/>
              <w:bottom w:val="single" w:color="auto" w:sz="8"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36" w:type="dxa"/>
            <w:tcBorders>
              <w:top w:val="nil"/>
              <w:left w:val="nil"/>
              <w:bottom w:val="single" w:color="auto" w:sz="8"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55" w:type="dxa"/>
            <w:tcBorders>
              <w:top w:val="nil"/>
              <w:left w:val="nil"/>
              <w:bottom w:val="single" w:color="auto" w:sz="8" w:space="0"/>
              <w:right w:val="single" w:color="auto" w:sz="4"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055" w:type="dxa"/>
            <w:tcBorders>
              <w:top w:val="nil"/>
              <w:left w:val="nil"/>
              <w:bottom w:val="single" w:color="auto" w:sz="8" w:space="0"/>
              <w:right w:val="single" w:color="auto" w:sz="8" w:space="0"/>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noWrap w:val="0"/>
            <w:vAlign w:val="bottom"/>
          </w:tcPr>
          <w:p>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说明　1、企业类型的划分以统计部门的统计数据为依据。</w:t>
            </w:r>
          </w:p>
          <w:p>
            <w:pPr>
              <w:widowControl/>
              <w:shd w:val="clear"/>
              <w:ind w:firstLine="600" w:firstLineChars="300"/>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2、个体工商户和本规定以外的行业，参照本规定进行划型。</w:t>
            </w:r>
          </w:p>
          <w:p>
            <w:pPr>
              <w:widowControl/>
              <w:shd w:val="clear"/>
              <w:ind w:firstLine="600" w:firstLineChars="300"/>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3、本规定的中型企业标准上限即为大型企业标准的下限。</w:t>
            </w:r>
          </w:p>
        </w:tc>
      </w:tr>
    </w:tbl>
    <w:p>
      <w:pPr>
        <w:widowControl/>
        <w:shd w:val="clear"/>
        <w:jc w:val="left"/>
        <w:rPr>
          <w:rFonts w:ascii="宋体"/>
          <w:b/>
          <w:bCs/>
          <w:spacing w:val="21"/>
          <w:kern w:val="0"/>
          <w:sz w:val="32"/>
          <w:szCs w:val="32"/>
          <w:highlight w:val="none"/>
        </w:rPr>
        <w:sectPr>
          <w:pgSz w:w="16838" w:h="11906" w:orient="landscape"/>
          <w:pgMar w:top="850" w:right="1361" w:bottom="113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pPr>
        <w:pStyle w:val="10"/>
        <w:shd w:val="clear"/>
        <w:spacing w:line="400" w:lineRule="exact"/>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填写说明：</w:t>
      </w:r>
    </w:p>
    <w:p>
      <w:pPr>
        <w:pStyle w:val="10"/>
        <w:shd w:val="clear"/>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61"/>
        <w:shd w:val="clear"/>
        <w:spacing w:line="360" w:lineRule="auto"/>
        <w:ind w:right="360"/>
        <w:jc w:val="both"/>
        <w:rPr>
          <w:rFonts w:ascii="宋体"/>
          <w:b/>
          <w:bCs/>
          <w:spacing w:val="21"/>
          <w:kern w:val="0"/>
          <w:sz w:val="32"/>
          <w:szCs w:val="32"/>
          <w:highlight w:val="none"/>
        </w:rPr>
        <w:sectPr>
          <w:pgSz w:w="16838" w:h="11906" w:orient="landscape"/>
          <w:pgMar w:top="1644" w:right="1361" w:bottom="164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lang w:val="en-US" w:eastAsia="zh-CN"/>
        </w:rPr>
        <w:t xml:space="preserve">  2、</w:t>
      </w:r>
      <w:r>
        <w:rPr>
          <w:rFonts w:hint="eastAsia" w:ascii="宋体" w:hAnsi="宋体" w:eastAsia="宋体" w:cs="宋体"/>
          <w:b/>
          <w:bCs/>
          <w:color w:val="auto"/>
          <w:sz w:val="21"/>
          <w:szCs w:val="21"/>
          <w:highlight w:val="none"/>
          <w:u w:val="single"/>
          <w:lang w:val="en-US" w:eastAsia="zh-CN"/>
        </w:rPr>
        <w:t>本项目标的所属行业为</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其他未列明行业</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科学研究和技术服务业</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w:t>
      </w:r>
    </w:p>
    <w:p>
      <w:pPr>
        <w:widowControl/>
        <w:shd w:val="clear"/>
        <w:jc w:val="left"/>
        <w:rPr>
          <w:rFonts w:ascii="宋体"/>
          <w:b/>
          <w:bCs/>
          <w:sz w:val="28"/>
          <w:szCs w:val="28"/>
          <w:highlight w:val="none"/>
        </w:rPr>
      </w:pPr>
      <w:r>
        <w:rPr>
          <w:rFonts w:hint="eastAsia" w:ascii="宋体" w:hAnsi="宋体" w:cs="宋体"/>
          <w:b/>
          <w:bCs/>
          <w:sz w:val="24"/>
          <w:szCs w:val="24"/>
          <w:highlight w:val="none"/>
        </w:rPr>
        <w:t>附件4:</w:t>
      </w:r>
    </w:p>
    <w:p>
      <w:pPr>
        <w:widowControl/>
        <w:shd w:val="clear"/>
        <w:jc w:val="center"/>
        <w:rPr>
          <w:rFonts w:ascii="宋体"/>
          <w:b/>
          <w:bCs/>
          <w:spacing w:val="21"/>
          <w:kern w:val="0"/>
          <w:sz w:val="32"/>
          <w:szCs w:val="32"/>
          <w:highlight w:val="none"/>
        </w:rPr>
      </w:pPr>
      <w:r>
        <w:rPr>
          <w:rFonts w:hint="eastAsia" w:hAnsi="宋体" w:cs="宋体"/>
          <w:b/>
          <w:bCs/>
          <w:spacing w:val="21"/>
          <w:kern w:val="0"/>
          <w:sz w:val="32"/>
          <w:szCs w:val="32"/>
          <w:highlight w:val="none"/>
        </w:rPr>
        <w:t>残疾人福利性单位声明函</w:t>
      </w:r>
    </w:p>
    <w:p>
      <w:pPr>
        <w:shd w:val="clea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本单位郑重声明，根据《财政部</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民政部</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中国残疾人联合会关于促进残疾人就业政府采购政策的通知》（财库〔</w:t>
      </w:r>
      <w:r>
        <w:rPr>
          <w:rFonts w:ascii="宋体" w:hAnsi="宋体" w:cs="宋体"/>
          <w:spacing w:val="6"/>
          <w:sz w:val="24"/>
          <w:szCs w:val="24"/>
          <w:highlight w:val="none"/>
        </w:rPr>
        <w:t>2017</w:t>
      </w:r>
      <w:r>
        <w:rPr>
          <w:rFonts w:hint="eastAsia" w:ascii="宋体" w:hAnsi="宋体" w:cs="宋体"/>
          <w:spacing w:val="6"/>
          <w:sz w:val="24"/>
          <w:szCs w:val="24"/>
          <w:highlight w:val="none"/>
        </w:rPr>
        <w:t>〕</w:t>
      </w:r>
      <w:r>
        <w:rPr>
          <w:rFonts w:ascii="宋体" w:hAnsi="宋体" w:cs="宋体"/>
          <w:spacing w:val="6"/>
          <w:sz w:val="24"/>
          <w:szCs w:val="24"/>
          <w:highlight w:val="none"/>
        </w:rPr>
        <w:t xml:space="preserve"> 141</w:t>
      </w:r>
      <w:r>
        <w:rPr>
          <w:rFonts w:hint="eastAsia" w:ascii="宋体" w:hAnsi="宋体" w:cs="宋体"/>
          <w:spacing w:val="6"/>
          <w:sz w:val="24"/>
          <w:szCs w:val="24"/>
          <w:highlight w:val="none"/>
        </w:rPr>
        <w:t>号）的规定，本单位为符合条件的残疾人福利性单位，且本单位参加单位的项目采购活动提供本单位制造的货物（由本单位承担工程</w:t>
      </w:r>
      <w:r>
        <w:rPr>
          <w:rFonts w:ascii="宋体" w:hAnsi="宋体" w:cs="宋体"/>
          <w:spacing w:val="6"/>
          <w:sz w:val="24"/>
          <w:szCs w:val="24"/>
          <w:highlight w:val="none"/>
        </w:rPr>
        <w:t>/</w:t>
      </w:r>
      <w:r>
        <w:rPr>
          <w:rFonts w:hint="eastAsia" w:ascii="宋体" w:hAnsi="宋体" w:cs="宋体"/>
          <w:spacing w:val="6"/>
          <w:sz w:val="24"/>
          <w:szCs w:val="24"/>
          <w:highlight w:val="none"/>
        </w:rPr>
        <w:t>提供服务），或者提供其他残疾人福利性单位制造的货物（不包括使用非残疾人福利性单位注册商标的货物）。</w:t>
      </w:r>
    </w:p>
    <w:p>
      <w:pPr>
        <w:shd w:val="clea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pPr>
        <w:shd w:val="clear"/>
        <w:tabs>
          <w:tab w:val="left" w:pos="4860"/>
        </w:tabs>
        <w:spacing w:line="588" w:lineRule="exact"/>
        <w:ind w:right="1560" w:firstLine="504" w:firstLineChars="200"/>
        <w:jc w:val="center"/>
        <w:rPr>
          <w:rFonts w:ascii="宋体"/>
          <w:spacing w:val="6"/>
          <w:sz w:val="24"/>
          <w:szCs w:val="24"/>
          <w:highlight w:val="none"/>
        </w:rPr>
      </w:pPr>
    </w:p>
    <w:p>
      <w:pPr>
        <w:shd w:val="clear"/>
        <w:tabs>
          <w:tab w:val="left" w:pos="4860"/>
        </w:tabs>
        <w:spacing w:line="588" w:lineRule="exact"/>
        <w:ind w:right="1560" w:firstLine="504" w:firstLineChars="200"/>
        <w:jc w:val="center"/>
        <w:rPr>
          <w:rFonts w:ascii="宋体"/>
          <w:spacing w:val="6"/>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单位名称（盖章）：</w:t>
      </w:r>
    </w:p>
    <w:p>
      <w:pPr>
        <w:shd w:val="clear"/>
        <w:tabs>
          <w:tab w:val="left" w:pos="4860"/>
        </w:tabs>
        <w:spacing w:line="588" w:lineRule="exact"/>
        <w:ind w:right="1560" w:firstLine="504" w:firstLineChars="200"/>
        <w:jc w:val="center"/>
        <w:rPr>
          <w:rFonts w:ascii="宋体"/>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日</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期：</w:t>
      </w:r>
    </w:p>
    <w:p>
      <w:pPr>
        <w:pStyle w:val="61"/>
        <w:shd w:val="clear"/>
        <w:spacing w:line="360" w:lineRule="auto"/>
        <w:rPr>
          <w:rFonts w:ascii="宋体"/>
          <w:b/>
          <w:bCs/>
          <w:sz w:val="28"/>
          <w:szCs w:val="28"/>
          <w:highlight w:val="none"/>
        </w:rPr>
      </w:pPr>
    </w:p>
    <w:p>
      <w:pPr>
        <w:pStyle w:val="61"/>
        <w:shd w:val="clear"/>
        <w:spacing w:line="360" w:lineRule="auto"/>
        <w:rPr>
          <w:rFonts w:ascii="宋体"/>
          <w:b/>
          <w:bCs/>
          <w:sz w:val="28"/>
          <w:szCs w:val="28"/>
          <w:highlight w:val="none"/>
        </w:rPr>
      </w:pPr>
    </w:p>
    <w:p>
      <w:pPr>
        <w:pStyle w:val="61"/>
        <w:shd w:val="clear"/>
        <w:spacing w:line="360" w:lineRule="auto"/>
        <w:rPr>
          <w:rFonts w:ascii="宋体"/>
          <w:b/>
          <w:bCs/>
          <w:sz w:val="28"/>
          <w:szCs w:val="28"/>
          <w:highlight w:val="none"/>
        </w:rPr>
      </w:pPr>
    </w:p>
    <w:p>
      <w:pPr>
        <w:shd w:val="clear"/>
        <w:rPr>
          <w:highlight w:val="none"/>
        </w:rPr>
        <w:sectPr>
          <w:headerReference r:id="rId7" w:type="default"/>
          <w:footerReference r:id="rId8"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239" w:leftChars="114" w:right="-308" w:firstLine="166" w:firstLineChars="59"/>
        <w:jc w:val="center"/>
        <w:rPr>
          <w:rFonts w:ascii="宋体"/>
          <w:b/>
          <w:bCs/>
          <w:sz w:val="28"/>
          <w:szCs w:val="28"/>
          <w:highlight w:val="none"/>
        </w:rPr>
      </w:pPr>
    </w:p>
    <w:p>
      <w:pPr>
        <w:shd w:val="clear"/>
        <w:spacing w:before="312" w:beforeLines="100" w:line="360" w:lineRule="auto"/>
        <w:ind w:right="-108"/>
        <w:jc w:val="center"/>
        <w:rPr>
          <w:rFonts w:ascii="宋体" w:hAnsi="宋体" w:cs="宋体"/>
          <w:sz w:val="36"/>
          <w:szCs w:val="36"/>
          <w:highlight w:val="none"/>
        </w:rPr>
      </w:pPr>
      <w:r>
        <w:rPr>
          <w:rFonts w:hint="eastAsia" w:ascii="宋体" w:cs="宋体"/>
          <w:b/>
          <w:bCs/>
          <w:kern w:val="0"/>
          <w:sz w:val="44"/>
          <w:szCs w:val="44"/>
          <w:highlight w:val="none"/>
          <w:lang w:eastAsia="zh-CN"/>
        </w:rPr>
        <w:t>温岭市2024年度控制性详细规划编制采购</w:t>
      </w:r>
    </w:p>
    <w:p>
      <w:pPr>
        <w:shd w:val="clear"/>
        <w:spacing w:before="312"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JJWL24031982</w:t>
      </w:r>
    </w:p>
    <w:p>
      <w:pPr>
        <w:shd w:val="clear"/>
        <w:autoSpaceDE w:val="0"/>
        <w:autoSpaceDN w:val="0"/>
        <w:adjustRightInd w:val="0"/>
        <w:spacing w:line="360" w:lineRule="auto"/>
        <w:jc w:val="center"/>
        <w:rPr>
          <w:rFonts w:ascii="宋体"/>
          <w:sz w:val="56"/>
          <w:szCs w:val="56"/>
          <w:highlight w:val="none"/>
          <w:lang w:val="zh-CN"/>
        </w:rPr>
      </w:pPr>
    </w:p>
    <w:p>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pPr>
        <w:shd w:val="clea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pPr>
        <w:shd w:val="clea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pPr>
        <w:shd w:val="clear"/>
        <w:spacing w:after="100" w:afterAutospacing="1" w:line="360" w:lineRule="auto"/>
        <w:ind w:right="-108"/>
        <w:jc w:val="center"/>
        <w:rPr>
          <w:rFonts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pPr>
        <w:shd w:val="clear"/>
        <w:spacing w:line="360" w:lineRule="auto"/>
        <w:ind w:right="532" w:firstLine="720" w:firstLineChars="200"/>
        <w:rPr>
          <w:rFonts w:ascii="宋体" w:hAnsi="宋体" w:cs="宋体"/>
          <w:sz w:val="36"/>
          <w:szCs w:val="36"/>
          <w:highlight w:val="none"/>
        </w:rPr>
      </w:pPr>
    </w:p>
    <w:p>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pPr>
        <w:shd w:val="clear"/>
        <w:snapToGrid w:val="0"/>
        <w:spacing w:before="50" w:after="50" w:line="360" w:lineRule="auto"/>
        <w:jc w:val="center"/>
        <w:rPr>
          <w:rFonts w:ascii="宋体"/>
          <w:b/>
          <w:bCs/>
          <w:sz w:val="32"/>
          <w:szCs w:val="32"/>
          <w:highlight w:val="none"/>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目录（供参考）</w:t>
      </w:r>
    </w:p>
    <w:p>
      <w:pPr>
        <w:numPr>
          <w:ilvl w:val="0"/>
          <w:numId w:val="27"/>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供应商自评表………………………………………………页码；</w:t>
      </w:r>
    </w:p>
    <w:p>
      <w:pPr>
        <w:numPr>
          <w:ilvl w:val="0"/>
          <w:numId w:val="27"/>
        </w:numPr>
        <w:shd w:val="clear"/>
        <w:snapToGrid w:val="0"/>
        <w:spacing w:line="360" w:lineRule="auto"/>
        <w:ind w:left="631" w:leftChars="265" w:hanging="75" w:hangingChars="27"/>
        <w:jc w:val="distribute"/>
        <w:rPr>
          <w:rFonts w:cs="宋体"/>
          <w:sz w:val="28"/>
          <w:szCs w:val="28"/>
          <w:highlight w:val="none"/>
        </w:rPr>
      </w:pPr>
      <w:r>
        <w:rPr>
          <w:rFonts w:hint="eastAsia" w:cs="宋体"/>
          <w:sz w:val="28"/>
          <w:szCs w:val="28"/>
          <w:highlight w:val="none"/>
        </w:rPr>
        <w:t>投标人基本情况表…………………………………………页码；</w:t>
      </w:r>
    </w:p>
    <w:p>
      <w:pPr>
        <w:numPr>
          <w:ilvl w:val="0"/>
          <w:numId w:val="27"/>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证书一览表…………………………………………………页码；</w:t>
      </w:r>
    </w:p>
    <w:p>
      <w:pPr>
        <w:numPr>
          <w:ilvl w:val="0"/>
          <w:numId w:val="27"/>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lang w:eastAsia="zh-CN"/>
        </w:rPr>
        <w:t>项目组成员一览表</w:t>
      </w:r>
      <w:r>
        <w:rPr>
          <w:rFonts w:hint="eastAsia" w:cs="宋体"/>
          <w:sz w:val="28"/>
          <w:szCs w:val="28"/>
          <w:highlight w:val="none"/>
        </w:rPr>
        <w:t>………………………………………页码；</w:t>
      </w:r>
    </w:p>
    <w:p>
      <w:pPr>
        <w:numPr>
          <w:ilvl w:val="0"/>
          <w:numId w:val="27"/>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类似业绩一览表……………………………………………页码；</w:t>
      </w:r>
    </w:p>
    <w:p>
      <w:pPr>
        <w:numPr>
          <w:ilvl w:val="0"/>
          <w:numId w:val="27"/>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类似项目情况表……………………………………………页码；</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技术、商务响应表…………………………………………</w:t>
      </w:r>
      <w:r>
        <w:rPr>
          <w:rFonts w:hint="eastAsia" w:cs="宋体"/>
          <w:sz w:val="28"/>
          <w:szCs w:val="28"/>
          <w:highlight w:val="none"/>
          <w:lang w:val="en-US" w:eastAsia="zh-CN"/>
        </w:rPr>
        <w:t xml:space="preserve"> </w:t>
      </w:r>
      <w:r>
        <w:rPr>
          <w:rFonts w:hint="eastAsia" w:cs="宋体"/>
          <w:sz w:val="28"/>
          <w:szCs w:val="28"/>
          <w:highlight w:val="none"/>
        </w:rPr>
        <w:t>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现状整体认识………………………………………………</w:t>
      </w:r>
      <w:r>
        <w:rPr>
          <w:rFonts w:hint="eastAsia" w:cs="宋体"/>
          <w:sz w:val="28"/>
          <w:szCs w:val="28"/>
          <w:highlight w:val="none"/>
          <w:lang w:val="en-US" w:eastAsia="zh-CN"/>
        </w:rPr>
        <w:t xml:space="preserve"> </w:t>
      </w:r>
      <w:r>
        <w:rPr>
          <w:rFonts w:hint="eastAsia" w:cs="宋体"/>
          <w:sz w:val="28"/>
          <w:szCs w:val="28"/>
          <w:highlight w:val="none"/>
        </w:rPr>
        <w:t>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工作内容、目的、任务………………………………………页码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项目特色建议和意见………………………………………页码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项目重难点分析……………………………………………页码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工作进度安排及各阶段详细工作</w:t>
      </w:r>
      <w:r>
        <w:rPr>
          <w:rFonts w:hint="eastAsia" w:cs="宋体"/>
          <w:sz w:val="28"/>
          <w:szCs w:val="28"/>
          <w:highlight w:val="none"/>
          <w:lang w:eastAsia="zh-CN"/>
        </w:rPr>
        <w:t>计划</w:t>
      </w:r>
      <w:r>
        <w:rPr>
          <w:rFonts w:hint="eastAsia" w:cs="宋体"/>
          <w:sz w:val="28"/>
          <w:szCs w:val="28"/>
          <w:highlight w:val="none"/>
        </w:rPr>
        <w:t>……………………页码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质量及项目实施保障措施…………………………………页码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服务承诺……………………………………………………页码</w:t>
      </w:r>
      <w:r>
        <w:rPr>
          <w:rFonts w:hint="eastAsia" w:cs="宋体"/>
          <w:sz w:val="28"/>
          <w:szCs w:val="28"/>
          <w:highlight w:val="none"/>
          <w:lang w:eastAsia="zh-CN"/>
        </w:rPr>
        <w:t>；</w:t>
      </w:r>
    </w:p>
    <w:p>
      <w:pPr>
        <w:numPr>
          <w:ilvl w:val="0"/>
          <w:numId w:val="27"/>
        </w:numPr>
        <w:shd w:val="clear"/>
        <w:snapToGrid w:val="0"/>
        <w:spacing w:line="360" w:lineRule="auto"/>
        <w:ind w:firstLine="560" w:firstLineChars="200"/>
        <w:jc w:val="left"/>
        <w:rPr>
          <w:rFonts w:hint="eastAsia" w:cs="宋体"/>
          <w:sz w:val="28"/>
          <w:szCs w:val="28"/>
          <w:highlight w:val="none"/>
        </w:rPr>
      </w:pPr>
      <w:r>
        <w:rPr>
          <w:rFonts w:hint="eastAsia" w:cs="宋体"/>
          <w:sz w:val="28"/>
          <w:szCs w:val="28"/>
          <w:highlight w:val="none"/>
        </w:rPr>
        <w:t>投标人认为需要提供的其他资料，包括可能影响投标人商务技术文件评分的各类证明材料；</w:t>
      </w:r>
    </w:p>
    <w:p>
      <w:pPr>
        <w:pStyle w:val="18"/>
        <w:shd w:val="clear"/>
        <w:jc w:val="both"/>
        <w:outlineLvl w:val="9"/>
        <w:rPr>
          <w:highlight w:val="none"/>
        </w:rPr>
      </w:pPr>
    </w:p>
    <w:p>
      <w:pPr>
        <w:shd w:val="clear"/>
        <w:rPr>
          <w:rFonts w:ascii="宋体" w:hAnsi="宋体" w:cs="宋体"/>
          <w:b/>
          <w:bCs/>
          <w:sz w:val="24"/>
          <w:highlight w:val="none"/>
          <w:lang w:bidi="ar"/>
        </w:rPr>
      </w:pPr>
      <w:r>
        <w:rPr>
          <w:b/>
          <w:bCs/>
          <w:sz w:val="28"/>
          <w:szCs w:val="28"/>
          <w:highlight w:val="none"/>
        </w:rPr>
        <w:br w:type="page"/>
      </w:r>
      <w:r>
        <w:rPr>
          <w:rFonts w:hint="eastAsia" w:ascii="宋体" w:hAnsi="宋体" w:cs="宋体"/>
          <w:b/>
          <w:bCs/>
          <w:sz w:val="24"/>
          <w:highlight w:val="none"/>
          <w:lang w:bidi="ar"/>
        </w:rPr>
        <w:t>附件1：</w:t>
      </w:r>
    </w:p>
    <w:p>
      <w:pPr>
        <w:pStyle w:val="12"/>
        <w:shd w:val="clear"/>
        <w:spacing w:before="120" w:after="120" w:line="48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供应商自评表</w:t>
      </w:r>
    </w:p>
    <w:tbl>
      <w:tblPr>
        <w:tblStyle w:val="22"/>
        <w:tblW w:w="10577"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303"/>
        <w:gridCol w:w="66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trPr>
        <w:tc>
          <w:tcPr>
            <w:tcW w:w="610" w:type="dxa"/>
            <w:vAlign w:val="center"/>
          </w:tcPr>
          <w:p>
            <w:pPr>
              <w:pStyle w:val="12"/>
              <w:shd w:val="clear"/>
              <w:spacing w:before="120" w:after="120" w:line="480" w:lineRule="auto"/>
              <w:jc w:val="center"/>
              <w:rPr>
                <w:rFonts w:hAnsi="宋体"/>
                <w:b/>
                <w:sz w:val="18"/>
                <w:szCs w:val="18"/>
                <w:highlight w:val="none"/>
                <w:lang w:bidi="ar"/>
              </w:rPr>
            </w:pPr>
            <w:r>
              <w:rPr>
                <w:rFonts w:hAnsi="宋体"/>
                <w:b/>
                <w:sz w:val="18"/>
                <w:szCs w:val="18"/>
                <w:highlight w:val="none"/>
                <w:lang w:bidi="ar"/>
              </w:rPr>
              <w:t>序号</w:t>
            </w:r>
          </w:p>
        </w:tc>
        <w:tc>
          <w:tcPr>
            <w:tcW w:w="8303" w:type="dxa"/>
            <w:vAlign w:val="center"/>
          </w:tcPr>
          <w:p>
            <w:pPr>
              <w:pStyle w:val="12"/>
              <w:shd w:val="clear"/>
              <w:spacing w:before="120" w:after="120" w:line="480" w:lineRule="auto"/>
              <w:jc w:val="center"/>
              <w:rPr>
                <w:rFonts w:hAnsi="宋体"/>
                <w:b/>
                <w:sz w:val="18"/>
                <w:szCs w:val="18"/>
                <w:highlight w:val="none"/>
                <w:lang w:bidi="ar"/>
              </w:rPr>
            </w:pPr>
            <w:r>
              <w:rPr>
                <w:rFonts w:hAnsi="宋体"/>
                <w:b/>
                <w:sz w:val="18"/>
                <w:szCs w:val="18"/>
                <w:highlight w:val="none"/>
                <w:lang w:bidi="ar"/>
              </w:rPr>
              <w:t>评分内容</w:t>
            </w:r>
          </w:p>
        </w:tc>
        <w:tc>
          <w:tcPr>
            <w:tcW w:w="667" w:type="dxa"/>
            <w:vAlign w:val="center"/>
          </w:tcPr>
          <w:p>
            <w:pPr>
              <w:pStyle w:val="12"/>
              <w:shd w:val="clear"/>
              <w:spacing w:before="120" w:after="120"/>
              <w:jc w:val="center"/>
              <w:rPr>
                <w:rFonts w:hAnsi="宋体"/>
                <w:b/>
                <w:sz w:val="18"/>
                <w:szCs w:val="18"/>
                <w:highlight w:val="none"/>
                <w:lang w:bidi="ar"/>
              </w:rPr>
            </w:pPr>
            <w:r>
              <w:rPr>
                <w:rFonts w:hAnsi="宋体"/>
                <w:b/>
                <w:sz w:val="18"/>
                <w:szCs w:val="18"/>
                <w:highlight w:val="none"/>
                <w:lang w:bidi="ar"/>
              </w:rPr>
              <w:t>自评分值</w:t>
            </w:r>
          </w:p>
        </w:tc>
        <w:tc>
          <w:tcPr>
            <w:tcW w:w="997" w:type="dxa"/>
            <w:vAlign w:val="center"/>
          </w:tcPr>
          <w:p>
            <w:pPr>
              <w:pStyle w:val="12"/>
              <w:shd w:val="clear"/>
              <w:spacing w:before="120" w:after="120"/>
              <w:jc w:val="center"/>
              <w:rPr>
                <w:rFonts w:hAnsi="宋体"/>
                <w:b/>
                <w:sz w:val="18"/>
                <w:szCs w:val="18"/>
                <w:highlight w:val="none"/>
                <w:lang w:bidi="ar"/>
              </w:rPr>
            </w:pPr>
            <w:r>
              <w:rPr>
                <w:rFonts w:hAnsi="宋体"/>
                <w:b/>
                <w:sz w:val="18"/>
                <w:szCs w:val="18"/>
                <w:highlight w:val="none"/>
                <w:lang w:bidi="ar"/>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0" w:type="dxa"/>
            <w:vAlign w:val="center"/>
          </w:tcPr>
          <w:p>
            <w:pPr>
              <w:pStyle w:val="12"/>
              <w:shd w:val="clear"/>
              <w:spacing w:before="120" w:after="120" w:line="480" w:lineRule="auto"/>
              <w:jc w:val="center"/>
              <w:rPr>
                <w:rFonts w:hAnsi="宋体"/>
                <w:b/>
                <w:sz w:val="18"/>
                <w:szCs w:val="18"/>
                <w:highlight w:val="none"/>
                <w:lang w:bidi="ar"/>
              </w:rPr>
            </w:pPr>
            <w:r>
              <w:rPr>
                <w:rFonts w:hint="eastAsia" w:hAnsi="宋体"/>
                <w:b/>
                <w:sz w:val="18"/>
                <w:szCs w:val="18"/>
                <w:highlight w:val="none"/>
                <w:lang w:bidi="ar"/>
              </w:rPr>
              <w:t>1</w:t>
            </w:r>
          </w:p>
        </w:tc>
        <w:tc>
          <w:tcPr>
            <w:tcW w:w="8303" w:type="dxa"/>
            <w:vAlign w:val="center"/>
          </w:tcPr>
          <w:p>
            <w:pPr>
              <w:shd w:val="clear"/>
              <w:snapToGrid w:val="0"/>
              <w:rPr>
                <w:rFonts w:hint="eastAsia"/>
                <w:sz w:val="24"/>
                <w:szCs w:val="22"/>
                <w:highlight w:val="none"/>
              </w:rPr>
            </w:pPr>
            <w:r>
              <w:rPr>
                <w:rFonts w:hint="eastAsia"/>
                <w:sz w:val="24"/>
                <w:szCs w:val="22"/>
                <w:highlight w:val="none"/>
                <w:lang w:eastAsia="zh-CN"/>
              </w:rPr>
              <w:t>投标人自2021年1月1日</w:t>
            </w:r>
            <w:r>
              <w:rPr>
                <w:rFonts w:hint="eastAsia"/>
                <w:sz w:val="24"/>
                <w:szCs w:val="22"/>
                <w:highlight w:val="none"/>
              </w:rPr>
              <w:t>至今</w:t>
            </w:r>
            <w:r>
              <w:rPr>
                <w:rFonts w:hint="eastAsia"/>
                <w:sz w:val="24"/>
                <w:szCs w:val="22"/>
                <w:highlight w:val="none"/>
                <w:lang w:eastAsia="zh-CN"/>
              </w:rPr>
              <w:t>，获得省级及以上荣誉的得</w:t>
            </w:r>
            <w:r>
              <w:rPr>
                <w:rFonts w:hint="eastAsia"/>
                <w:sz w:val="24"/>
                <w:szCs w:val="22"/>
                <w:highlight w:val="none"/>
                <w:lang w:val="en-US" w:eastAsia="zh-CN"/>
              </w:rPr>
              <w:t>2分，</w:t>
            </w:r>
            <w:r>
              <w:rPr>
                <w:rFonts w:hint="eastAsia"/>
                <w:sz w:val="24"/>
                <w:szCs w:val="22"/>
                <w:highlight w:val="none"/>
                <w:lang w:eastAsia="zh-CN"/>
              </w:rPr>
              <w:t>地市级荣誉的得</w:t>
            </w:r>
            <w:r>
              <w:rPr>
                <w:rFonts w:hint="eastAsia"/>
                <w:sz w:val="24"/>
                <w:szCs w:val="22"/>
                <w:highlight w:val="none"/>
                <w:lang w:val="en-US" w:eastAsia="zh-CN"/>
              </w:rPr>
              <w:t>1分，其余均不得分</w:t>
            </w:r>
            <w:r>
              <w:rPr>
                <w:rFonts w:hint="eastAsia"/>
                <w:sz w:val="24"/>
                <w:szCs w:val="22"/>
                <w:highlight w:val="none"/>
              </w:rPr>
              <w:t>。</w:t>
            </w:r>
          </w:p>
          <w:p>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b/>
                <w:bCs/>
                <w:sz w:val="24"/>
                <w:szCs w:val="22"/>
                <w:highlight w:val="none"/>
                <w:lang w:eastAsia="zh-CN"/>
              </w:rPr>
              <w:t>（上述荣誉需与规划设计相关，</w:t>
            </w:r>
            <w:r>
              <w:rPr>
                <w:rFonts w:hint="eastAsia"/>
                <w:b/>
                <w:bCs/>
                <w:sz w:val="24"/>
                <w:szCs w:val="22"/>
                <w:highlight w:val="none"/>
              </w:rPr>
              <w:t>同一</w:t>
            </w:r>
            <w:r>
              <w:rPr>
                <w:rFonts w:hint="eastAsia"/>
                <w:b/>
                <w:bCs/>
                <w:sz w:val="24"/>
                <w:szCs w:val="22"/>
                <w:highlight w:val="none"/>
                <w:lang w:eastAsia="zh-CN"/>
              </w:rPr>
              <w:t>奖项</w:t>
            </w:r>
            <w:r>
              <w:rPr>
                <w:rFonts w:hint="eastAsia"/>
                <w:b/>
                <w:bCs/>
                <w:sz w:val="24"/>
                <w:szCs w:val="22"/>
                <w:highlight w:val="none"/>
              </w:rPr>
              <w:t>只</w:t>
            </w:r>
            <w:r>
              <w:rPr>
                <w:rFonts w:hint="eastAsia"/>
                <w:b/>
                <w:bCs/>
                <w:sz w:val="24"/>
                <w:szCs w:val="22"/>
                <w:highlight w:val="none"/>
                <w:lang w:eastAsia="zh-CN"/>
              </w:rPr>
              <w:t>计</w:t>
            </w:r>
            <w:r>
              <w:rPr>
                <w:rFonts w:hint="eastAsia"/>
                <w:b/>
                <w:bCs/>
                <w:sz w:val="24"/>
                <w:szCs w:val="22"/>
                <w:highlight w:val="none"/>
              </w:rPr>
              <w:t>取最高级别的分数，不重复计分，此项最高计算至</w:t>
            </w:r>
            <w:r>
              <w:rPr>
                <w:rFonts w:hint="eastAsia"/>
                <w:b/>
                <w:bCs/>
                <w:sz w:val="24"/>
                <w:szCs w:val="22"/>
                <w:highlight w:val="none"/>
                <w:lang w:val="en-US" w:eastAsia="zh-CN"/>
              </w:rPr>
              <w:t>5</w:t>
            </w:r>
            <w:r>
              <w:rPr>
                <w:rFonts w:hint="eastAsia"/>
                <w:b/>
                <w:bCs/>
                <w:sz w:val="24"/>
                <w:szCs w:val="22"/>
                <w:highlight w:val="none"/>
              </w:rPr>
              <w:t>分</w:t>
            </w:r>
            <w:r>
              <w:rPr>
                <w:rFonts w:hint="eastAsia"/>
                <w:b/>
                <w:bCs/>
                <w:sz w:val="24"/>
                <w:szCs w:val="22"/>
                <w:highlight w:val="none"/>
                <w:lang w:eastAsia="zh-CN"/>
              </w:rPr>
              <w:t>，</w:t>
            </w:r>
            <w:r>
              <w:rPr>
                <w:rFonts w:hint="eastAsia"/>
                <w:b/>
                <w:bCs/>
                <w:sz w:val="24"/>
                <w:szCs w:val="22"/>
                <w:highlight w:val="none"/>
              </w:rPr>
              <w:t>复印件</w:t>
            </w:r>
            <w:r>
              <w:rPr>
                <w:rFonts w:hint="eastAsia"/>
                <w:b/>
                <w:bCs/>
                <w:sz w:val="24"/>
                <w:szCs w:val="22"/>
                <w:highlight w:val="none"/>
                <w:lang w:eastAsia="zh-CN"/>
              </w:rPr>
              <w:t>（</w:t>
            </w:r>
            <w:r>
              <w:rPr>
                <w:rFonts w:hint="eastAsia"/>
                <w:b/>
                <w:bCs/>
                <w:sz w:val="24"/>
                <w:szCs w:val="22"/>
                <w:highlight w:val="none"/>
                <w:lang w:val="en-US" w:eastAsia="zh-CN"/>
              </w:rPr>
              <w:t>或扫描件</w:t>
            </w:r>
            <w:r>
              <w:rPr>
                <w:rFonts w:hint="eastAsia"/>
                <w:b/>
                <w:bCs/>
                <w:sz w:val="24"/>
                <w:szCs w:val="22"/>
                <w:highlight w:val="none"/>
                <w:lang w:eastAsia="zh-CN"/>
              </w:rPr>
              <w:t>）</w:t>
            </w:r>
            <w:r>
              <w:rPr>
                <w:rFonts w:hint="eastAsia"/>
                <w:b/>
                <w:bCs/>
                <w:sz w:val="24"/>
                <w:szCs w:val="22"/>
                <w:highlight w:val="none"/>
              </w:rPr>
              <w:t>加盖公章编入投标文件中</w:t>
            </w:r>
            <w:r>
              <w:rPr>
                <w:rFonts w:hint="eastAsia"/>
                <w:sz w:val="24"/>
                <w:szCs w:val="22"/>
                <w:highlight w:val="none"/>
                <w:lang w:eastAsia="zh-CN"/>
              </w:rPr>
              <w:t>）</w:t>
            </w:r>
          </w:p>
        </w:tc>
        <w:tc>
          <w:tcPr>
            <w:tcW w:w="667" w:type="dxa"/>
          </w:tcPr>
          <w:p>
            <w:pPr>
              <w:pStyle w:val="12"/>
              <w:shd w:val="clear"/>
              <w:spacing w:before="120" w:after="120" w:line="480" w:lineRule="auto"/>
              <w:jc w:val="center"/>
              <w:rPr>
                <w:rFonts w:hAnsi="宋体"/>
                <w:b/>
                <w:sz w:val="18"/>
                <w:szCs w:val="18"/>
                <w:highlight w:val="none"/>
                <w:lang w:bidi="ar"/>
              </w:rPr>
            </w:pPr>
          </w:p>
        </w:tc>
        <w:tc>
          <w:tcPr>
            <w:tcW w:w="997" w:type="dxa"/>
          </w:tcPr>
          <w:p>
            <w:pPr>
              <w:pStyle w:val="12"/>
              <w:shd w:val="clear"/>
              <w:spacing w:before="120" w:after="120" w:line="480" w:lineRule="auto"/>
              <w:jc w:val="center"/>
              <w:rPr>
                <w:rFonts w:hAnsi="宋体"/>
                <w:b/>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0" w:type="dxa"/>
            <w:vAlign w:val="center"/>
          </w:tcPr>
          <w:p>
            <w:pPr>
              <w:pStyle w:val="12"/>
              <w:shd w:val="clear"/>
              <w:spacing w:before="120" w:after="120" w:line="480" w:lineRule="auto"/>
              <w:jc w:val="center"/>
              <w:rPr>
                <w:rFonts w:hAnsi="宋体"/>
                <w:b/>
                <w:sz w:val="18"/>
                <w:szCs w:val="18"/>
                <w:highlight w:val="none"/>
                <w:lang w:bidi="ar"/>
              </w:rPr>
            </w:pPr>
            <w:r>
              <w:rPr>
                <w:rFonts w:hint="eastAsia" w:hAnsi="宋体"/>
                <w:b/>
                <w:sz w:val="18"/>
                <w:szCs w:val="18"/>
                <w:highlight w:val="none"/>
                <w:lang w:bidi="ar"/>
              </w:rPr>
              <w:t>2</w:t>
            </w:r>
          </w:p>
        </w:tc>
        <w:tc>
          <w:tcPr>
            <w:tcW w:w="8303" w:type="dxa"/>
            <w:vAlign w:val="center"/>
          </w:tcPr>
          <w:p>
            <w:pPr>
              <w:shd w:val="clear"/>
              <w:snapToGrid w:val="0"/>
              <w:rPr>
                <w:rFonts w:hint="eastAsia" w:ascii="Times New Roman" w:hAnsi="Times New Roman" w:eastAsia="宋体" w:cs="Times New Roman"/>
                <w:kern w:val="2"/>
                <w:sz w:val="24"/>
                <w:szCs w:val="22"/>
                <w:highlight w:val="none"/>
                <w:lang w:val="zh-CN" w:eastAsia="zh-CN" w:bidi="ar-SA"/>
              </w:rPr>
            </w:pPr>
            <w:r>
              <w:rPr>
                <w:rFonts w:hint="eastAsia"/>
                <w:sz w:val="24"/>
                <w:szCs w:val="22"/>
                <w:highlight w:val="none"/>
                <w:lang w:eastAsia="zh-CN"/>
              </w:rPr>
              <w:t>投标人具有有效的质量管理体系认证的得</w:t>
            </w:r>
            <w:r>
              <w:rPr>
                <w:rFonts w:hint="eastAsia"/>
                <w:sz w:val="24"/>
                <w:szCs w:val="22"/>
                <w:highlight w:val="none"/>
                <w:lang w:val="en-US" w:eastAsia="zh-CN"/>
              </w:rPr>
              <w:t>3</w:t>
            </w:r>
            <w:r>
              <w:rPr>
                <w:rFonts w:hint="eastAsia"/>
                <w:sz w:val="24"/>
                <w:szCs w:val="22"/>
                <w:highlight w:val="none"/>
                <w:lang w:eastAsia="zh-CN"/>
              </w:rPr>
              <w:t>分，没有不得分。</w:t>
            </w:r>
            <w:r>
              <w:rPr>
                <w:rFonts w:hint="eastAsia"/>
                <w:b/>
                <w:bCs/>
                <w:sz w:val="24"/>
                <w:szCs w:val="22"/>
                <w:highlight w:val="none"/>
                <w:lang w:eastAsia="zh-CN"/>
              </w:rPr>
              <w:t>（</w:t>
            </w:r>
            <w:r>
              <w:rPr>
                <w:rFonts w:hint="eastAsia"/>
                <w:b/>
                <w:bCs/>
                <w:sz w:val="24"/>
                <w:szCs w:val="24"/>
                <w:highlight w:val="none"/>
                <w:lang w:bidi="ar-SA"/>
              </w:rPr>
              <w:t>证书复印件加盖公章编入投标文件中，并同时提供国家认证认可监督管理委员会官方网站上相关证书有效的网页截图或网站打印页，否则不得分。</w:t>
            </w:r>
            <w:r>
              <w:rPr>
                <w:rFonts w:hint="eastAsia"/>
                <w:b/>
                <w:bCs/>
                <w:sz w:val="24"/>
                <w:szCs w:val="22"/>
                <w:highlight w:val="none"/>
                <w:lang w:eastAsia="zh-CN"/>
              </w:rPr>
              <w:t>）</w:t>
            </w:r>
          </w:p>
        </w:tc>
        <w:tc>
          <w:tcPr>
            <w:tcW w:w="667" w:type="dxa"/>
          </w:tcPr>
          <w:p>
            <w:pPr>
              <w:pStyle w:val="12"/>
              <w:shd w:val="clear"/>
              <w:spacing w:before="120" w:after="120" w:line="480" w:lineRule="auto"/>
              <w:jc w:val="center"/>
              <w:rPr>
                <w:rFonts w:hAnsi="宋体"/>
                <w:b/>
                <w:sz w:val="18"/>
                <w:szCs w:val="18"/>
                <w:highlight w:val="none"/>
                <w:lang w:bidi="ar"/>
              </w:rPr>
            </w:pPr>
          </w:p>
        </w:tc>
        <w:tc>
          <w:tcPr>
            <w:tcW w:w="997" w:type="dxa"/>
          </w:tcPr>
          <w:p>
            <w:pPr>
              <w:pStyle w:val="12"/>
              <w:shd w:val="clear"/>
              <w:spacing w:before="120" w:after="120" w:line="480" w:lineRule="auto"/>
              <w:jc w:val="center"/>
              <w:rPr>
                <w:rFonts w:hAnsi="宋体"/>
                <w:b/>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0" w:type="dxa"/>
            <w:vAlign w:val="center"/>
          </w:tcPr>
          <w:p>
            <w:pPr>
              <w:pStyle w:val="12"/>
              <w:shd w:val="clear"/>
              <w:spacing w:before="120" w:after="120" w:line="480" w:lineRule="auto"/>
              <w:jc w:val="center"/>
              <w:rPr>
                <w:rFonts w:hAnsi="宋体"/>
                <w:b/>
                <w:sz w:val="18"/>
                <w:szCs w:val="18"/>
                <w:highlight w:val="none"/>
                <w:lang w:bidi="ar"/>
              </w:rPr>
            </w:pPr>
            <w:r>
              <w:rPr>
                <w:rFonts w:hint="eastAsia" w:hAnsi="宋体"/>
                <w:b/>
                <w:sz w:val="18"/>
                <w:szCs w:val="18"/>
                <w:highlight w:val="none"/>
                <w:lang w:bidi="ar"/>
              </w:rPr>
              <w:t>3</w:t>
            </w:r>
          </w:p>
        </w:tc>
        <w:tc>
          <w:tcPr>
            <w:tcW w:w="8303" w:type="dxa"/>
            <w:vAlign w:val="center"/>
          </w:tcPr>
          <w:p>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eastAsia="zh-CN"/>
              </w:rPr>
              <w:t>自2021年1月1日</w:t>
            </w:r>
            <w:r>
              <w:rPr>
                <w:rFonts w:hint="eastAsia"/>
                <w:sz w:val="24"/>
                <w:szCs w:val="22"/>
                <w:highlight w:val="none"/>
              </w:rPr>
              <w:t>至今（以</w:t>
            </w:r>
            <w:r>
              <w:rPr>
                <w:rFonts w:hint="eastAsia"/>
                <w:sz w:val="24"/>
                <w:szCs w:val="22"/>
                <w:highlight w:val="none"/>
                <w:lang w:eastAsia="zh-CN"/>
              </w:rPr>
              <w:t>合同签订</w:t>
            </w:r>
            <w:r>
              <w:rPr>
                <w:rFonts w:hint="eastAsia"/>
                <w:sz w:val="24"/>
                <w:szCs w:val="22"/>
                <w:highlight w:val="none"/>
              </w:rPr>
              <w:t>的时间</w:t>
            </w:r>
            <w:r>
              <w:rPr>
                <w:rFonts w:hint="eastAsia"/>
                <w:sz w:val="24"/>
                <w:szCs w:val="22"/>
                <w:highlight w:val="none"/>
                <w:lang w:eastAsia="zh-CN"/>
              </w:rPr>
              <w:t>或获奖文件时间</w:t>
            </w:r>
            <w:r>
              <w:rPr>
                <w:rFonts w:hint="eastAsia"/>
                <w:sz w:val="24"/>
                <w:szCs w:val="22"/>
                <w:highlight w:val="none"/>
              </w:rPr>
              <w:t>为准）：投标人承担过控制性详细规划</w:t>
            </w:r>
            <w:r>
              <w:rPr>
                <w:rFonts w:hint="eastAsia"/>
                <w:sz w:val="24"/>
                <w:szCs w:val="22"/>
                <w:highlight w:val="none"/>
                <w:lang w:eastAsia="zh-CN"/>
              </w:rPr>
              <w:t>编制项目</w:t>
            </w:r>
            <w:r>
              <w:rPr>
                <w:rFonts w:hint="eastAsia"/>
                <w:sz w:val="24"/>
                <w:szCs w:val="22"/>
                <w:highlight w:val="none"/>
              </w:rPr>
              <w:t>的，每个</w:t>
            </w:r>
            <w:r>
              <w:rPr>
                <w:rFonts w:hint="eastAsia"/>
                <w:sz w:val="24"/>
                <w:szCs w:val="22"/>
                <w:highlight w:val="none"/>
                <w:lang w:eastAsia="zh-CN"/>
              </w:rPr>
              <w:t>业绩</w:t>
            </w:r>
            <w:r>
              <w:rPr>
                <w:rFonts w:hint="eastAsia"/>
                <w:sz w:val="24"/>
                <w:szCs w:val="22"/>
                <w:highlight w:val="none"/>
              </w:rPr>
              <w:t>得</w:t>
            </w:r>
            <w:r>
              <w:rPr>
                <w:rFonts w:hint="eastAsia"/>
                <w:sz w:val="24"/>
                <w:szCs w:val="22"/>
                <w:highlight w:val="none"/>
                <w:lang w:val="en-US" w:eastAsia="zh-CN"/>
              </w:rPr>
              <w:t>0.5</w:t>
            </w:r>
            <w:r>
              <w:rPr>
                <w:rFonts w:hint="eastAsia"/>
                <w:sz w:val="24"/>
                <w:szCs w:val="22"/>
                <w:highlight w:val="none"/>
              </w:rPr>
              <w:t>分</w:t>
            </w:r>
            <w:r>
              <w:rPr>
                <w:rFonts w:hint="eastAsia"/>
                <w:sz w:val="24"/>
                <w:szCs w:val="22"/>
                <w:highlight w:val="none"/>
                <w:lang w:eastAsia="zh-CN"/>
              </w:rPr>
              <w:t>，最高得</w:t>
            </w:r>
            <w:r>
              <w:rPr>
                <w:rFonts w:hint="eastAsia"/>
                <w:sz w:val="24"/>
                <w:szCs w:val="22"/>
                <w:highlight w:val="none"/>
                <w:lang w:val="en-US" w:eastAsia="zh-CN"/>
              </w:rPr>
              <w:t>2分。（</w:t>
            </w:r>
            <w:r>
              <w:rPr>
                <w:rFonts w:hint="eastAsia"/>
                <w:b/>
                <w:bCs/>
                <w:sz w:val="24"/>
                <w:szCs w:val="22"/>
                <w:highlight w:val="none"/>
                <w:lang w:val="en-US" w:eastAsia="zh-CN"/>
              </w:rPr>
              <w:t>提供项目合同或获奖文件皆可，相应</w:t>
            </w:r>
            <w:r>
              <w:rPr>
                <w:rFonts w:hint="eastAsia"/>
                <w:b/>
                <w:bCs/>
                <w:sz w:val="24"/>
                <w:szCs w:val="22"/>
                <w:highlight w:val="none"/>
              </w:rPr>
              <w:t>复印件加盖公章编入投标文件中</w:t>
            </w:r>
            <w:r>
              <w:rPr>
                <w:rFonts w:hint="eastAsia"/>
                <w:sz w:val="24"/>
                <w:szCs w:val="22"/>
                <w:highlight w:val="none"/>
                <w:lang w:eastAsia="zh-CN"/>
              </w:rPr>
              <w:t>）</w:t>
            </w:r>
          </w:p>
        </w:tc>
        <w:tc>
          <w:tcPr>
            <w:tcW w:w="667" w:type="dxa"/>
          </w:tcPr>
          <w:p>
            <w:pPr>
              <w:pStyle w:val="12"/>
              <w:shd w:val="clear"/>
              <w:spacing w:before="120" w:after="120" w:line="480" w:lineRule="auto"/>
              <w:jc w:val="center"/>
              <w:rPr>
                <w:rFonts w:hAnsi="宋体"/>
                <w:b/>
                <w:sz w:val="18"/>
                <w:szCs w:val="18"/>
                <w:highlight w:val="none"/>
                <w:lang w:bidi="ar"/>
              </w:rPr>
            </w:pPr>
          </w:p>
        </w:tc>
        <w:tc>
          <w:tcPr>
            <w:tcW w:w="997" w:type="dxa"/>
          </w:tcPr>
          <w:p>
            <w:pPr>
              <w:pStyle w:val="12"/>
              <w:shd w:val="clear"/>
              <w:spacing w:before="120" w:after="120" w:line="480" w:lineRule="auto"/>
              <w:jc w:val="center"/>
              <w:rPr>
                <w:rFonts w:hAnsi="宋体"/>
                <w:b/>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pStyle w:val="12"/>
              <w:shd w:val="clear"/>
              <w:spacing w:before="120" w:after="120" w:line="480" w:lineRule="auto"/>
              <w:jc w:val="center"/>
              <w:rPr>
                <w:rFonts w:hint="eastAsia" w:hAnsi="宋体" w:eastAsia="宋体"/>
                <w:b/>
                <w:sz w:val="18"/>
                <w:szCs w:val="18"/>
                <w:highlight w:val="none"/>
                <w:lang w:val="en-US" w:eastAsia="zh-CN" w:bidi="ar"/>
              </w:rPr>
            </w:pPr>
            <w:r>
              <w:rPr>
                <w:rFonts w:hint="eastAsia" w:hAnsi="宋体"/>
                <w:b/>
                <w:sz w:val="18"/>
                <w:szCs w:val="18"/>
                <w:highlight w:val="none"/>
                <w:lang w:val="en-US" w:eastAsia="zh-CN" w:bidi="ar"/>
              </w:rPr>
              <w:t>4</w:t>
            </w:r>
          </w:p>
        </w:tc>
        <w:tc>
          <w:tcPr>
            <w:tcW w:w="0" w:type="auto"/>
            <w:vAlign w:val="center"/>
          </w:tcPr>
          <w:p>
            <w:pPr>
              <w:shd w:val="clear"/>
              <w:snapToGrid w:val="0"/>
              <w:rPr>
                <w:rFonts w:hint="eastAsia"/>
                <w:sz w:val="24"/>
                <w:szCs w:val="22"/>
                <w:highlight w:val="none"/>
                <w:lang w:eastAsia="zh-CN"/>
              </w:rPr>
            </w:pPr>
            <w:r>
              <w:rPr>
                <w:rFonts w:hint="eastAsia"/>
                <w:sz w:val="24"/>
                <w:szCs w:val="22"/>
                <w:highlight w:val="none"/>
                <w:lang w:eastAsia="zh-CN"/>
              </w:rPr>
              <w:t>项目负责人情况：</w:t>
            </w:r>
          </w:p>
          <w:p>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eastAsia="zh-CN"/>
              </w:rPr>
              <w:t>为注册城乡规划师且为高级工程师的得</w:t>
            </w:r>
            <w:r>
              <w:rPr>
                <w:rFonts w:hint="eastAsia"/>
                <w:sz w:val="24"/>
                <w:szCs w:val="22"/>
                <w:highlight w:val="none"/>
                <w:lang w:val="en-US" w:eastAsia="zh-CN"/>
              </w:rPr>
              <w:t>3</w:t>
            </w:r>
            <w:r>
              <w:rPr>
                <w:rFonts w:hint="eastAsia"/>
                <w:sz w:val="24"/>
                <w:szCs w:val="22"/>
                <w:highlight w:val="none"/>
                <w:lang w:eastAsia="zh-CN"/>
              </w:rPr>
              <w:t>分。</w:t>
            </w:r>
            <w:r>
              <w:rPr>
                <w:rFonts w:hint="eastAsia"/>
                <w:b/>
                <w:bCs/>
                <w:sz w:val="24"/>
                <w:szCs w:val="22"/>
                <w:highlight w:val="none"/>
                <w:lang w:eastAsia="zh-CN"/>
              </w:rPr>
              <w:t>（提供项目负责人的证书（复印件或扫描件加盖公章）及其在本企业社保缴纳</w:t>
            </w:r>
            <w:r>
              <w:rPr>
                <w:rFonts w:hint="eastAsia"/>
                <w:b/>
                <w:bCs/>
                <w:sz w:val="24"/>
                <w:szCs w:val="22"/>
                <w:highlight w:val="none"/>
                <w:lang w:val="en-US" w:eastAsia="zh-CN"/>
              </w:rPr>
              <w:t>3</w:t>
            </w:r>
            <w:r>
              <w:rPr>
                <w:rFonts w:hint="eastAsia"/>
                <w:b/>
                <w:bCs/>
                <w:sz w:val="24"/>
                <w:szCs w:val="22"/>
                <w:highlight w:val="none"/>
                <w:lang w:eastAsia="zh-CN"/>
              </w:rPr>
              <w:t>个月以上的证明电子打印件，不提供近</w:t>
            </w:r>
            <w:r>
              <w:rPr>
                <w:rFonts w:hint="eastAsia"/>
                <w:b/>
                <w:bCs/>
                <w:sz w:val="24"/>
                <w:szCs w:val="22"/>
                <w:highlight w:val="none"/>
                <w:lang w:val="en-US" w:eastAsia="zh-CN"/>
              </w:rPr>
              <w:t>3</w:t>
            </w:r>
            <w:r>
              <w:rPr>
                <w:rFonts w:hint="eastAsia"/>
                <w:b/>
                <w:bCs/>
                <w:sz w:val="24"/>
                <w:szCs w:val="22"/>
                <w:highlight w:val="none"/>
                <w:lang w:eastAsia="zh-CN"/>
              </w:rPr>
              <w:t>个月以上社保证明的不得分）</w:t>
            </w:r>
          </w:p>
        </w:tc>
        <w:tc>
          <w:tcPr>
            <w:tcW w:w="0" w:type="auto"/>
          </w:tcPr>
          <w:p>
            <w:pPr>
              <w:pStyle w:val="12"/>
              <w:shd w:val="clear"/>
              <w:spacing w:before="120" w:after="120" w:line="480" w:lineRule="auto"/>
              <w:jc w:val="center"/>
              <w:rPr>
                <w:rFonts w:hAnsi="宋体"/>
                <w:b/>
                <w:sz w:val="18"/>
                <w:szCs w:val="18"/>
                <w:highlight w:val="none"/>
                <w:lang w:bidi="ar"/>
              </w:rPr>
            </w:pPr>
          </w:p>
        </w:tc>
        <w:tc>
          <w:tcPr>
            <w:tcW w:w="0" w:type="auto"/>
          </w:tcPr>
          <w:p>
            <w:pPr>
              <w:pStyle w:val="12"/>
              <w:shd w:val="clear"/>
              <w:spacing w:before="120" w:after="120" w:line="480" w:lineRule="auto"/>
              <w:jc w:val="center"/>
              <w:rPr>
                <w:rFonts w:hAnsi="宋体"/>
                <w:b/>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pStyle w:val="12"/>
              <w:shd w:val="clear"/>
              <w:spacing w:before="120" w:after="120" w:line="480" w:lineRule="auto"/>
              <w:jc w:val="center"/>
              <w:rPr>
                <w:rFonts w:hint="eastAsia" w:hAnsi="宋体" w:eastAsia="宋体"/>
                <w:b/>
                <w:sz w:val="18"/>
                <w:szCs w:val="18"/>
                <w:highlight w:val="none"/>
                <w:lang w:val="en-US" w:eastAsia="zh-CN" w:bidi="ar"/>
              </w:rPr>
            </w:pPr>
            <w:r>
              <w:rPr>
                <w:rFonts w:hint="eastAsia" w:hAnsi="宋体"/>
                <w:b/>
                <w:sz w:val="18"/>
                <w:szCs w:val="18"/>
                <w:highlight w:val="none"/>
                <w:lang w:val="en-US" w:eastAsia="zh-CN" w:bidi="ar"/>
              </w:rPr>
              <w:t>5</w:t>
            </w:r>
          </w:p>
        </w:tc>
        <w:tc>
          <w:tcPr>
            <w:tcW w:w="0" w:type="auto"/>
            <w:vAlign w:val="center"/>
          </w:tcPr>
          <w:p>
            <w:pPr>
              <w:shd w:val="clear"/>
              <w:snapToGrid w:val="0"/>
              <w:rPr>
                <w:rFonts w:hint="eastAsia"/>
                <w:sz w:val="24"/>
                <w:szCs w:val="22"/>
                <w:highlight w:val="none"/>
                <w:lang w:eastAsia="zh-CN"/>
              </w:rPr>
            </w:pPr>
            <w:r>
              <w:rPr>
                <w:rFonts w:hint="eastAsia"/>
                <w:sz w:val="24"/>
                <w:szCs w:val="22"/>
                <w:highlight w:val="none"/>
                <w:lang w:eastAsia="zh-CN"/>
              </w:rPr>
              <w:t>项目组其他成员（除项目负责人外）：</w:t>
            </w:r>
          </w:p>
          <w:p>
            <w:pPr>
              <w:shd w:val="clear"/>
              <w:snapToGrid w:val="0"/>
              <w:rPr>
                <w:rFonts w:hint="eastAsia"/>
                <w:sz w:val="24"/>
                <w:szCs w:val="22"/>
                <w:highlight w:val="none"/>
                <w:lang w:eastAsia="zh-CN"/>
              </w:rPr>
            </w:pPr>
            <w:r>
              <w:rPr>
                <w:rFonts w:hint="eastAsia"/>
                <w:sz w:val="24"/>
                <w:szCs w:val="22"/>
                <w:highlight w:val="none"/>
                <w:lang w:eastAsia="zh-CN"/>
              </w:rPr>
              <w:t>为注册城乡规划师，同时具有高级工程师职称的每人得</w:t>
            </w:r>
            <w:r>
              <w:rPr>
                <w:rFonts w:hint="eastAsia"/>
                <w:sz w:val="24"/>
                <w:szCs w:val="22"/>
                <w:highlight w:val="none"/>
                <w:lang w:val="en-US" w:eastAsia="zh-CN"/>
              </w:rPr>
              <w:t>1</w:t>
            </w:r>
            <w:r>
              <w:rPr>
                <w:rFonts w:hint="eastAsia"/>
                <w:sz w:val="24"/>
                <w:szCs w:val="22"/>
                <w:highlight w:val="none"/>
                <w:lang w:eastAsia="zh-CN"/>
              </w:rPr>
              <w:t>分；同时具有中级职称的每人得0.5分，最多得5分。</w:t>
            </w:r>
          </w:p>
          <w:p>
            <w:pPr>
              <w:shd w:val="clear"/>
              <w:snapToGrid w:val="0"/>
              <w:rPr>
                <w:rFonts w:hint="eastAsia" w:ascii="Times New Roman" w:hAnsi="Times New Roman" w:eastAsia="宋体" w:cs="Times New Roman"/>
                <w:kern w:val="2"/>
                <w:sz w:val="24"/>
                <w:szCs w:val="22"/>
                <w:highlight w:val="none"/>
                <w:lang w:val="en-US" w:eastAsia="zh-CN" w:bidi="ar-SA"/>
              </w:rPr>
            </w:pPr>
            <w:r>
              <w:rPr>
                <w:rFonts w:hint="eastAsia"/>
                <w:b/>
                <w:bCs/>
                <w:sz w:val="24"/>
                <w:szCs w:val="22"/>
                <w:highlight w:val="none"/>
                <w:lang w:eastAsia="zh-CN"/>
              </w:rPr>
              <w:t>（提供相关人员的证书（复印件或扫描件加盖公章）及其在本企业社保缴纳</w:t>
            </w:r>
            <w:r>
              <w:rPr>
                <w:rFonts w:hint="eastAsia"/>
                <w:b/>
                <w:bCs/>
                <w:sz w:val="24"/>
                <w:szCs w:val="22"/>
                <w:highlight w:val="none"/>
                <w:lang w:val="en-US" w:eastAsia="zh-CN"/>
              </w:rPr>
              <w:t>3</w:t>
            </w:r>
            <w:r>
              <w:rPr>
                <w:rFonts w:hint="eastAsia"/>
                <w:b/>
                <w:bCs/>
                <w:sz w:val="24"/>
                <w:szCs w:val="22"/>
                <w:highlight w:val="none"/>
                <w:lang w:eastAsia="zh-CN"/>
              </w:rPr>
              <w:t>个月以上的证明电子打印件，不提供</w:t>
            </w:r>
            <w:r>
              <w:rPr>
                <w:rFonts w:hint="eastAsia"/>
                <w:b/>
                <w:bCs/>
                <w:sz w:val="24"/>
                <w:szCs w:val="22"/>
                <w:highlight w:val="none"/>
                <w:lang w:val="en-US" w:eastAsia="zh-CN"/>
              </w:rPr>
              <w:t>3</w:t>
            </w:r>
            <w:r>
              <w:rPr>
                <w:rFonts w:hint="eastAsia"/>
                <w:b/>
                <w:bCs/>
                <w:sz w:val="24"/>
                <w:szCs w:val="22"/>
                <w:highlight w:val="none"/>
                <w:lang w:eastAsia="zh-CN"/>
              </w:rPr>
              <w:t>个月以上社保证明的不得分）</w:t>
            </w:r>
          </w:p>
        </w:tc>
        <w:tc>
          <w:tcPr>
            <w:tcW w:w="0" w:type="auto"/>
          </w:tcPr>
          <w:p>
            <w:pPr>
              <w:pStyle w:val="12"/>
              <w:shd w:val="clear"/>
              <w:spacing w:before="120" w:after="120" w:line="480" w:lineRule="auto"/>
              <w:jc w:val="center"/>
              <w:rPr>
                <w:rFonts w:hAnsi="宋体"/>
                <w:b/>
                <w:sz w:val="18"/>
                <w:szCs w:val="18"/>
                <w:highlight w:val="none"/>
                <w:lang w:bidi="ar"/>
              </w:rPr>
            </w:pPr>
          </w:p>
        </w:tc>
        <w:tc>
          <w:tcPr>
            <w:tcW w:w="0" w:type="auto"/>
          </w:tcPr>
          <w:p>
            <w:pPr>
              <w:pStyle w:val="12"/>
              <w:shd w:val="clear"/>
              <w:spacing w:before="120" w:after="120" w:line="480" w:lineRule="auto"/>
              <w:jc w:val="center"/>
              <w:rPr>
                <w:rFonts w:hAnsi="宋体"/>
                <w:b/>
                <w:sz w:val="18"/>
                <w:szCs w:val="18"/>
                <w:highlight w:val="none"/>
                <w:lang w:bidi="ar"/>
              </w:rPr>
            </w:pPr>
          </w:p>
        </w:tc>
      </w:tr>
    </w:tbl>
    <w:p>
      <w:pPr>
        <w:shd w:val="clear"/>
        <w:spacing w:line="500" w:lineRule="exact"/>
        <w:jc w:val="left"/>
        <w:textAlignment w:val="baseline"/>
        <w:rPr>
          <w:rFonts w:hAnsi="宋体"/>
          <w:sz w:val="24"/>
          <w:highlight w:val="none"/>
        </w:rPr>
      </w:pPr>
    </w:p>
    <w:p>
      <w:pPr>
        <w:shd w:val="clear"/>
        <w:spacing w:line="500" w:lineRule="exact"/>
        <w:jc w:val="left"/>
        <w:textAlignment w:val="baseline"/>
        <w:rPr>
          <w:rFonts w:hAnsi="宋体"/>
          <w:sz w:val="24"/>
          <w:highlight w:val="none"/>
        </w:rPr>
      </w:pPr>
    </w:p>
    <w:p>
      <w:pPr>
        <w:shd w:val="clear"/>
        <w:spacing w:line="500" w:lineRule="exact"/>
        <w:jc w:val="left"/>
        <w:textAlignment w:val="baseline"/>
        <w:rPr>
          <w:rFonts w:hAnsi="宋体"/>
          <w:sz w:val="24"/>
          <w:highlight w:val="none"/>
        </w:rPr>
      </w:pPr>
    </w:p>
    <w:p>
      <w:pPr>
        <w:shd w:val="clear"/>
        <w:spacing w:line="500" w:lineRule="exact"/>
        <w:jc w:val="left"/>
        <w:textAlignment w:val="baseline"/>
        <w:rPr>
          <w:rFonts w:hAnsi="宋体"/>
          <w:sz w:val="24"/>
          <w:highlight w:val="none"/>
        </w:rPr>
      </w:pPr>
      <w:r>
        <w:rPr>
          <w:rFonts w:hint="eastAsia" w:hAnsi="宋体"/>
          <w:sz w:val="24"/>
          <w:highlight w:val="none"/>
        </w:rPr>
        <w:t>投标人全称（盖章）：</w:t>
      </w:r>
    </w:p>
    <w:p>
      <w:pPr>
        <w:shd w:val="clear"/>
        <w:spacing w:line="500" w:lineRule="exact"/>
        <w:textAlignment w:val="baseline"/>
        <w:rPr>
          <w:rFonts w:hAnsi="宋体"/>
          <w:sz w:val="24"/>
          <w:highlight w:val="none"/>
        </w:rPr>
      </w:pPr>
      <w:r>
        <w:rPr>
          <w:rFonts w:hint="eastAsia" w:hAnsi="宋体" w:cs="仿宋_GB2312"/>
          <w:sz w:val="24"/>
          <w:highlight w:val="none"/>
        </w:rPr>
        <w:t>法定代表人或</w:t>
      </w:r>
      <w:r>
        <w:rPr>
          <w:rFonts w:hint="eastAsia" w:hAnsi="宋体"/>
          <w:sz w:val="24"/>
          <w:highlight w:val="none"/>
        </w:rPr>
        <w:t xml:space="preserve">委托代理人（盖章或签字）：                 </w:t>
      </w:r>
    </w:p>
    <w:p>
      <w:pPr>
        <w:shd w:val="clear"/>
        <w:spacing w:line="500" w:lineRule="exact"/>
        <w:textAlignment w:val="baseline"/>
        <w:rPr>
          <w:rFonts w:hAnsi="宋体"/>
          <w:sz w:val="24"/>
          <w:highlight w:val="none"/>
        </w:rPr>
      </w:pPr>
      <w:r>
        <w:rPr>
          <w:rFonts w:hint="eastAsia" w:hAnsi="宋体"/>
          <w:sz w:val="24"/>
          <w:highlight w:val="none"/>
        </w:rPr>
        <w:t xml:space="preserve">日  </w:t>
      </w:r>
      <w:r>
        <w:rPr>
          <w:rFonts w:hAnsi="宋体"/>
          <w:sz w:val="24"/>
          <w:highlight w:val="none"/>
        </w:rPr>
        <w:t xml:space="preserve">  </w:t>
      </w:r>
      <w:r>
        <w:rPr>
          <w:rFonts w:hint="eastAsia" w:hAnsi="宋体"/>
          <w:sz w:val="24"/>
          <w:highlight w:val="none"/>
        </w:rPr>
        <w:t xml:space="preserve">期： </w:t>
      </w:r>
      <w:r>
        <w:rPr>
          <w:rFonts w:hAnsi="宋体"/>
          <w:sz w:val="24"/>
          <w:highlight w:val="none"/>
        </w:rPr>
        <w:t xml:space="preserve"> </w:t>
      </w:r>
    </w:p>
    <w:p>
      <w:pPr>
        <w:shd w:val="clear"/>
        <w:spacing w:line="500" w:lineRule="exact"/>
        <w:rPr>
          <w:rFonts w:ascii="宋体" w:hAnsi="宋体" w:cs="宋体"/>
          <w:b/>
          <w:bCs/>
          <w:sz w:val="24"/>
          <w:highlight w:val="none"/>
          <w:lang w:bidi="ar"/>
        </w:rPr>
      </w:pPr>
      <w:r>
        <w:rPr>
          <w:rFonts w:hint="eastAsia" w:ascii="宋体" w:hAnsi="宋体" w:cs="宋体"/>
          <w:b/>
          <w:bCs/>
          <w:sz w:val="24"/>
          <w:highlight w:val="none"/>
          <w:lang w:bidi="ar"/>
        </w:rPr>
        <w:br w:type="page"/>
      </w:r>
      <w:r>
        <w:rPr>
          <w:rFonts w:hint="eastAsia" w:ascii="宋体" w:hAnsi="宋体" w:cs="宋体"/>
          <w:b/>
          <w:bCs/>
          <w:sz w:val="24"/>
          <w:highlight w:val="none"/>
          <w:lang w:bidi="ar"/>
        </w:rPr>
        <w:t>附件2：</w:t>
      </w:r>
    </w:p>
    <w:p>
      <w:pPr>
        <w:pStyle w:val="51"/>
        <w:shd w:val="clear" w:color="auto"/>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2"/>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投标人名称</w:t>
            </w:r>
          </w:p>
        </w:tc>
        <w:tc>
          <w:tcPr>
            <w:tcW w:w="7743" w:type="dxa"/>
            <w:gridSpan w:val="8"/>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注册地址</w:t>
            </w:r>
          </w:p>
        </w:tc>
        <w:tc>
          <w:tcPr>
            <w:tcW w:w="3747" w:type="dxa"/>
            <w:gridSpan w:val="4"/>
            <w:vAlign w:val="center"/>
          </w:tcPr>
          <w:p>
            <w:pPr>
              <w:pStyle w:val="67"/>
              <w:shd w:val="clear"/>
              <w:ind w:firstLine="315"/>
              <w:rPr>
                <w:color w:val="auto"/>
                <w:sz w:val="21"/>
                <w:highlight w:val="none"/>
              </w:rPr>
            </w:pPr>
          </w:p>
        </w:tc>
        <w:tc>
          <w:tcPr>
            <w:tcW w:w="1258" w:type="dxa"/>
            <w:vAlign w:val="center"/>
          </w:tcPr>
          <w:p>
            <w:pPr>
              <w:pStyle w:val="67"/>
              <w:shd w:val="clear"/>
              <w:ind w:firstLineChars="0"/>
              <w:jc w:val="center"/>
              <w:rPr>
                <w:color w:val="auto"/>
                <w:sz w:val="21"/>
                <w:highlight w:val="none"/>
              </w:rPr>
            </w:pPr>
            <w:r>
              <w:rPr>
                <w:color w:val="auto"/>
                <w:sz w:val="21"/>
                <w:highlight w:val="none"/>
              </w:rPr>
              <w:t>邮政编码</w:t>
            </w:r>
          </w:p>
        </w:tc>
        <w:tc>
          <w:tcPr>
            <w:tcW w:w="2738" w:type="dxa"/>
            <w:gridSpan w:val="3"/>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pPr>
              <w:pStyle w:val="67"/>
              <w:shd w:val="clear"/>
              <w:ind w:firstLine="315"/>
              <w:rPr>
                <w:color w:val="auto"/>
                <w:sz w:val="21"/>
                <w:highlight w:val="none"/>
              </w:rPr>
            </w:pPr>
            <w:r>
              <w:rPr>
                <w:color w:val="auto"/>
                <w:sz w:val="21"/>
                <w:highlight w:val="none"/>
              </w:rPr>
              <w:t>联系方式</w:t>
            </w:r>
          </w:p>
        </w:tc>
        <w:tc>
          <w:tcPr>
            <w:tcW w:w="990" w:type="dxa"/>
            <w:vAlign w:val="center"/>
          </w:tcPr>
          <w:p>
            <w:pPr>
              <w:pStyle w:val="67"/>
              <w:shd w:val="clear"/>
              <w:ind w:firstLine="0" w:firstLineChars="0"/>
              <w:jc w:val="center"/>
              <w:rPr>
                <w:color w:val="auto"/>
                <w:sz w:val="21"/>
                <w:highlight w:val="none"/>
              </w:rPr>
            </w:pPr>
            <w:r>
              <w:rPr>
                <w:color w:val="auto"/>
                <w:sz w:val="21"/>
                <w:highlight w:val="none"/>
              </w:rPr>
              <w:t>联系人</w:t>
            </w:r>
          </w:p>
        </w:tc>
        <w:tc>
          <w:tcPr>
            <w:tcW w:w="2757" w:type="dxa"/>
            <w:gridSpan w:val="3"/>
            <w:vAlign w:val="center"/>
          </w:tcPr>
          <w:p>
            <w:pPr>
              <w:pStyle w:val="67"/>
              <w:shd w:val="clear"/>
              <w:ind w:firstLine="315"/>
              <w:rPr>
                <w:color w:val="auto"/>
                <w:sz w:val="21"/>
                <w:highlight w:val="none"/>
              </w:rPr>
            </w:pPr>
          </w:p>
        </w:tc>
        <w:tc>
          <w:tcPr>
            <w:tcW w:w="1258" w:type="dxa"/>
            <w:vAlign w:val="center"/>
          </w:tcPr>
          <w:p>
            <w:pPr>
              <w:pStyle w:val="67"/>
              <w:shd w:val="clear"/>
              <w:ind w:firstLineChars="0"/>
              <w:jc w:val="center"/>
              <w:rPr>
                <w:color w:val="auto"/>
                <w:sz w:val="21"/>
                <w:highlight w:val="none"/>
              </w:rPr>
            </w:pPr>
            <w:r>
              <w:rPr>
                <w:color w:val="auto"/>
                <w:sz w:val="21"/>
                <w:highlight w:val="none"/>
              </w:rPr>
              <w:t>电 话</w:t>
            </w:r>
          </w:p>
        </w:tc>
        <w:tc>
          <w:tcPr>
            <w:tcW w:w="2738" w:type="dxa"/>
            <w:gridSpan w:val="3"/>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pPr>
              <w:pStyle w:val="67"/>
              <w:shd w:val="clear"/>
              <w:ind w:firstLine="315"/>
              <w:jc w:val="center"/>
              <w:rPr>
                <w:color w:val="auto"/>
                <w:sz w:val="21"/>
                <w:highlight w:val="none"/>
              </w:rPr>
            </w:pPr>
          </w:p>
        </w:tc>
        <w:tc>
          <w:tcPr>
            <w:tcW w:w="990" w:type="dxa"/>
            <w:vAlign w:val="center"/>
          </w:tcPr>
          <w:p>
            <w:pPr>
              <w:pStyle w:val="67"/>
              <w:shd w:val="clear"/>
              <w:ind w:firstLine="0" w:firstLineChars="0"/>
              <w:jc w:val="center"/>
              <w:rPr>
                <w:color w:val="auto"/>
                <w:sz w:val="21"/>
                <w:highlight w:val="none"/>
              </w:rPr>
            </w:pPr>
            <w:r>
              <w:rPr>
                <w:color w:val="auto"/>
                <w:sz w:val="21"/>
                <w:highlight w:val="none"/>
              </w:rPr>
              <w:t>传 真</w:t>
            </w:r>
          </w:p>
        </w:tc>
        <w:tc>
          <w:tcPr>
            <w:tcW w:w="2757" w:type="dxa"/>
            <w:gridSpan w:val="3"/>
            <w:vAlign w:val="center"/>
          </w:tcPr>
          <w:p>
            <w:pPr>
              <w:pStyle w:val="67"/>
              <w:shd w:val="clear"/>
              <w:ind w:firstLine="315"/>
              <w:rPr>
                <w:color w:val="auto"/>
                <w:sz w:val="21"/>
                <w:highlight w:val="none"/>
              </w:rPr>
            </w:pPr>
          </w:p>
        </w:tc>
        <w:tc>
          <w:tcPr>
            <w:tcW w:w="1258" w:type="dxa"/>
            <w:vAlign w:val="center"/>
          </w:tcPr>
          <w:p>
            <w:pPr>
              <w:pStyle w:val="67"/>
              <w:shd w:val="clear"/>
              <w:ind w:firstLineChars="0"/>
              <w:jc w:val="center"/>
              <w:rPr>
                <w:color w:val="auto"/>
                <w:sz w:val="21"/>
                <w:highlight w:val="none"/>
              </w:rPr>
            </w:pPr>
            <w:r>
              <w:rPr>
                <w:color w:val="auto"/>
                <w:sz w:val="21"/>
                <w:highlight w:val="none"/>
              </w:rPr>
              <w:t>电子邮件</w:t>
            </w:r>
          </w:p>
        </w:tc>
        <w:tc>
          <w:tcPr>
            <w:tcW w:w="2738" w:type="dxa"/>
            <w:gridSpan w:val="3"/>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法定代表人</w:t>
            </w:r>
          </w:p>
        </w:tc>
        <w:tc>
          <w:tcPr>
            <w:tcW w:w="990" w:type="dxa"/>
            <w:vAlign w:val="center"/>
          </w:tcPr>
          <w:p>
            <w:pPr>
              <w:pStyle w:val="67"/>
              <w:shd w:val="clear"/>
              <w:ind w:firstLine="315"/>
              <w:rPr>
                <w:color w:val="auto"/>
                <w:sz w:val="21"/>
                <w:highlight w:val="none"/>
              </w:rPr>
            </w:pPr>
            <w:r>
              <w:rPr>
                <w:color w:val="auto"/>
                <w:sz w:val="21"/>
                <w:highlight w:val="none"/>
              </w:rPr>
              <w:t>姓名</w:t>
            </w:r>
          </w:p>
        </w:tc>
        <w:tc>
          <w:tcPr>
            <w:tcW w:w="924" w:type="dxa"/>
            <w:vAlign w:val="center"/>
          </w:tcPr>
          <w:p>
            <w:pPr>
              <w:pStyle w:val="67"/>
              <w:shd w:val="clear"/>
              <w:ind w:firstLine="315"/>
              <w:rPr>
                <w:color w:val="auto"/>
                <w:sz w:val="21"/>
                <w:highlight w:val="none"/>
              </w:rPr>
            </w:pPr>
          </w:p>
        </w:tc>
        <w:tc>
          <w:tcPr>
            <w:tcW w:w="1469" w:type="dxa"/>
            <w:vAlign w:val="center"/>
          </w:tcPr>
          <w:p>
            <w:pPr>
              <w:pStyle w:val="67"/>
              <w:shd w:val="clear"/>
              <w:ind w:firstLine="315"/>
              <w:rPr>
                <w:color w:val="auto"/>
                <w:sz w:val="21"/>
                <w:highlight w:val="none"/>
              </w:rPr>
            </w:pPr>
            <w:r>
              <w:rPr>
                <w:color w:val="auto"/>
                <w:sz w:val="21"/>
                <w:highlight w:val="none"/>
              </w:rPr>
              <w:t>技术职称</w:t>
            </w:r>
          </w:p>
        </w:tc>
        <w:tc>
          <w:tcPr>
            <w:tcW w:w="2198" w:type="dxa"/>
            <w:gridSpan w:val="3"/>
            <w:vAlign w:val="center"/>
          </w:tcPr>
          <w:p>
            <w:pPr>
              <w:pStyle w:val="67"/>
              <w:shd w:val="clear"/>
              <w:ind w:firstLine="315"/>
              <w:rPr>
                <w:color w:val="auto"/>
                <w:sz w:val="21"/>
                <w:highlight w:val="none"/>
              </w:rPr>
            </w:pPr>
          </w:p>
        </w:tc>
        <w:tc>
          <w:tcPr>
            <w:tcW w:w="1003" w:type="dxa"/>
            <w:vAlign w:val="center"/>
          </w:tcPr>
          <w:p>
            <w:pPr>
              <w:pStyle w:val="67"/>
              <w:shd w:val="clear"/>
              <w:ind w:firstLine="315"/>
              <w:rPr>
                <w:color w:val="auto"/>
                <w:sz w:val="21"/>
                <w:highlight w:val="none"/>
              </w:rPr>
            </w:pPr>
            <w:r>
              <w:rPr>
                <w:color w:val="auto"/>
                <w:sz w:val="21"/>
                <w:highlight w:val="none"/>
              </w:rPr>
              <w:t>电话</w:t>
            </w:r>
          </w:p>
        </w:tc>
        <w:tc>
          <w:tcPr>
            <w:tcW w:w="1159" w:type="dxa"/>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67"/>
              <w:shd w:val="clear"/>
              <w:ind w:firstLine="315"/>
              <w:rPr>
                <w:color w:val="auto"/>
                <w:sz w:val="21"/>
                <w:highlight w:val="none"/>
              </w:rPr>
            </w:pPr>
            <w:r>
              <w:rPr>
                <w:rFonts w:hint="eastAsia"/>
                <w:color w:val="auto"/>
                <w:sz w:val="21"/>
                <w:highlight w:val="none"/>
              </w:rPr>
              <w:t>技术</w:t>
            </w:r>
            <w:r>
              <w:rPr>
                <w:color w:val="auto"/>
                <w:sz w:val="21"/>
                <w:highlight w:val="none"/>
              </w:rPr>
              <w:t>负责人</w:t>
            </w:r>
          </w:p>
        </w:tc>
        <w:tc>
          <w:tcPr>
            <w:tcW w:w="990" w:type="dxa"/>
            <w:vAlign w:val="center"/>
          </w:tcPr>
          <w:p>
            <w:pPr>
              <w:pStyle w:val="67"/>
              <w:shd w:val="clear"/>
              <w:ind w:firstLine="315"/>
              <w:rPr>
                <w:color w:val="auto"/>
                <w:sz w:val="21"/>
                <w:highlight w:val="none"/>
              </w:rPr>
            </w:pPr>
            <w:r>
              <w:rPr>
                <w:color w:val="auto"/>
                <w:sz w:val="21"/>
                <w:highlight w:val="none"/>
              </w:rPr>
              <w:t>姓名</w:t>
            </w:r>
          </w:p>
        </w:tc>
        <w:tc>
          <w:tcPr>
            <w:tcW w:w="924" w:type="dxa"/>
            <w:vAlign w:val="center"/>
          </w:tcPr>
          <w:p>
            <w:pPr>
              <w:pStyle w:val="67"/>
              <w:shd w:val="clear"/>
              <w:ind w:firstLine="315"/>
              <w:rPr>
                <w:color w:val="auto"/>
                <w:sz w:val="21"/>
                <w:highlight w:val="none"/>
              </w:rPr>
            </w:pPr>
          </w:p>
        </w:tc>
        <w:tc>
          <w:tcPr>
            <w:tcW w:w="1469" w:type="dxa"/>
            <w:vAlign w:val="center"/>
          </w:tcPr>
          <w:p>
            <w:pPr>
              <w:pStyle w:val="67"/>
              <w:shd w:val="clear"/>
              <w:ind w:firstLine="315"/>
              <w:rPr>
                <w:color w:val="auto"/>
                <w:sz w:val="21"/>
                <w:highlight w:val="none"/>
              </w:rPr>
            </w:pPr>
            <w:r>
              <w:rPr>
                <w:color w:val="auto"/>
                <w:sz w:val="21"/>
                <w:highlight w:val="none"/>
              </w:rPr>
              <w:t>技术职称</w:t>
            </w:r>
          </w:p>
        </w:tc>
        <w:tc>
          <w:tcPr>
            <w:tcW w:w="2198" w:type="dxa"/>
            <w:gridSpan w:val="3"/>
            <w:vAlign w:val="center"/>
          </w:tcPr>
          <w:p>
            <w:pPr>
              <w:pStyle w:val="67"/>
              <w:shd w:val="clear"/>
              <w:ind w:firstLine="315"/>
              <w:rPr>
                <w:color w:val="auto"/>
                <w:sz w:val="21"/>
                <w:highlight w:val="none"/>
              </w:rPr>
            </w:pPr>
          </w:p>
        </w:tc>
        <w:tc>
          <w:tcPr>
            <w:tcW w:w="1003" w:type="dxa"/>
            <w:vAlign w:val="center"/>
          </w:tcPr>
          <w:p>
            <w:pPr>
              <w:pStyle w:val="67"/>
              <w:shd w:val="clear"/>
              <w:ind w:firstLine="315"/>
              <w:rPr>
                <w:color w:val="auto"/>
                <w:sz w:val="21"/>
                <w:highlight w:val="none"/>
              </w:rPr>
            </w:pPr>
            <w:r>
              <w:rPr>
                <w:color w:val="auto"/>
                <w:sz w:val="21"/>
                <w:highlight w:val="none"/>
              </w:rPr>
              <w:t>电话</w:t>
            </w:r>
          </w:p>
        </w:tc>
        <w:tc>
          <w:tcPr>
            <w:tcW w:w="1159" w:type="dxa"/>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成立时间</w:t>
            </w:r>
          </w:p>
        </w:tc>
        <w:tc>
          <w:tcPr>
            <w:tcW w:w="1914" w:type="dxa"/>
            <w:gridSpan w:val="2"/>
            <w:vAlign w:val="center"/>
          </w:tcPr>
          <w:p>
            <w:pPr>
              <w:pStyle w:val="67"/>
              <w:shd w:val="clear"/>
              <w:ind w:firstLine="315"/>
              <w:rPr>
                <w:color w:val="auto"/>
                <w:sz w:val="21"/>
                <w:highlight w:val="none"/>
              </w:rPr>
            </w:pPr>
          </w:p>
        </w:tc>
        <w:tc>
          <w:tcPr>
            <w:tcW w:w="5829" w:type="dxa"/>
            <w:gridSpan w:val="6"/>
            <w:vAlign w:val="center"/>
          </w:tcPr>
          <w:p>
            <w:pPr>
              <w:pStyle w:val="67"/>
              <w:shd w:val="clear"/>
              <w:ind w:firstLine="315"/>
              <w:rPr>
                <w:color w:val="auto"/>
                <w:sz w:val="21"/>
                <w:highlight w:val="none"/>
              </w:rPr>
            </w:pPr>
            <w:r>
              <w:rPr>
                <w:color w:val="auto"/>
                <w:sz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企业资质</w:t>
            </w:r>
          </w:p>
        </w:tc>
        <w:tc>
          <w:tcPr>
            <w:tcW w:w="1914" w:type="dxa"/>
            <w:gridSpan w:val="2"/>
            <w:vAlign w:val="center"/>
          </w:tcPr>
          <w:p>
            <w:pPr>
              <w:pStyle w:val="67"/>
              <w:shd w:val="clear"/>
              <w:ind w:firstLine="315"/>
              <w:rPr>
                <w:color w:val="auto"/>
                <w:sz w:val="21"/>
                <w:highlight w:val="none"/>
              </w:rPr>
            </w:pPr>
          </w:p>
        </w:tc>
        <w:tc>
          <w:tcPr>
            <w:tcW w:w="1469" w:type="dxa"/>
            <w:vMerge w:val="restart"/>
            <w:vAlign w:val="center"/>
          </w:tcPr>
          <w:p>
            <w:pPr>
              <w:pStyle w:val="67"/>
              <w:shd w:val="clear"/>
              <w:ind w:firstLine="315"/>
              <w:rPr>
                <w:color w:val="auto"/>
                <w:sz w:val="21"/>
                <w:highlight w:val="none"/>
              </w:rPr>
            </w:pPr>
            <w:r>
              <w:rPr>
                <w:color w:val="auto"/>
                <w:sz w:val="21"/>
                <w:highlight w:val="none"/>
              </w:rPr>
              <w:t>其中</w:t>
            </w:r>
          </w:p>
        </w:tc>
        <w:tc>
          <w:tcPr>
            <w:tcW w:w="2198" w:type="dxa"/>
            <w:gridSpan w:val="3"/>
            <w:vAlign w:val="center"/>
          </w:tcPr>
          <w:p>
            <w:pPr>
              <w:pStyle w:val="67"/>
              <w:shd w:val="clear"/>
              <w:ind w:firstLine="315"/>
              <w:rPr>
                <w:rFonts w:hint="eastAsia" w:eastAsia="宋体"/>
                <w:color w:val="auto"/>
                <w:sz w:val="21"/>
                <w:highlight w:val="none"/>
                <w:lang w:eastAsia="zh-CN"/>
              </w:rPr>
            </w:pPr>
            <w:r>
              <w:rPr>
                <w:color w:val="auto"/>
                <w:sz w:val="21"/>
                <w:highlight w:val="none"/>
              </w:rPr>
              <w:t>项目</w:t>
            </w:r>
            <w:r>
              <w:rPr>
                <w:rFonts w:hint="eastAsia"/>
                <w:color w:val="auto"/>
                <w:sz w:val="21"/>
                <w:highlight w:val="none"/>
                <w:lang w:eastAsia="zh-CN"/>
              </w:rPr>
              <w:t>负责人</w:t>
            </w:r>
          </w:p>
        </w:tc>
        <w:tc>
          <w:tcPr>
            <w:tcW w:w="2162" w:type="dxa"/>
            <w:gridSpan w:val="2"/>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营业执照号</w:t>
            </w:r>
          </w:p>
        </w:tc>
        <w:tc>
          <w:tcPr>
            <w:tcW w:w="1914" w:type="dxa"/>
            <w:gridSpan w:val="2"/>
            <w:vAlign w:val="center"/>
          </w:tcPr>
          <w:p>
            <w:pPr>
              <w:pStyle w:val="67"/>
              <w:shd w:val="clear"/>
              <w:ind w:firstLine="315"/>
              <w:rPr>
                <w:color w:val="auto"/>
                <w:sz w:val="21"/>
                <w:highlight w:val="none"/>
              </w:rPr>
            </w:pPr>
          </w:p>
        </w:tc>
        <w:tc>
          <w:tcPr>
            <w:tcW w:w="1469" w:type="dxa"/>
            <w:vMerge w:val="continue"/>
            <w:vAlign w:val="center"/>
          </w:tcPr>
          <w:p>
            <w:pPr>
              <w:pStyle w:val="67"/>
              <w:shd w:val="clear"/>
              <w:ind w:firstLine="315"/>
              <w:rPr>
                <w:color w:val="auto"/>
                <w:sz w:val="21"/>
                <w:highlight w:val="none"/>
              </w:rPr>
            </w:pPr>
          </w:p>
        </w:tc>
        <w:tc>
          <w:tcPr>
            <w:tcW w:w="2198" w:type="dxa"/>
            <w:gridSpan w:val="3"/>
            <w:vAlign w:val="center"/>
          </w:tcPr>
          <w:p>
            <w:pPr>
              <w:pStyle w:val="67"/>
              <w:shd w:val="clear"/>
              <w:ind w:firstLine="315"/>
              <w:rPr>
                <w:color w:val="auto"/>
                <w:sz w:val="21"/>
                <w:highlight w:val="none"/>
              </w:rPr>
            </w:pPr>
            <w:r>
              <w:rPr>
                <w:color w:val="auto"/>
                <w:sz w:val="21"/>
                <w:highlight w:val="none"/>
              </w:rPr>
              <w:t>高级职称人员</w:t>
            </w:r>
          </w:p>
        </w:tc>
        <w:tc>
          <w:tcPr>
            <w:tcW w:w="2162" w:type="dxa"/>
            <w:gridSpan w:val="2"/>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67"/>
              <w:shd w:val="clear"/>
              <w:ind w:firstLine="315"/>
              <w:rPr>
                <w:color w:val="auto"/>
                <w:sz w:val="21"/>
                <w:highlight w:val="none"/>
              </w:rPr>
            </w:pPr>
            <w:r>
              <w:rPr>
                <w:color w:val="auto"/>
                <w:sz w:val="21"/>
                <w:highlight w:val="none"/>
              </w:rPr>
              <w:t>注册资金</w:t>
            </w:r>
          </w:p>
        </w:tc>
        <w:tc>
          <w:tcPr>
            <w:tcW w:w="1914" w:type="dxa"/>
            <w:gridSpan w:val="2"/>
            <w:vAlign w:val="center"/>
          </w:tcPr>
          <w:p>
            <w:pPr>
              <w:pStyle w:val="67"/>
              <w:shd w:val="clear"/>
              <w:ind w:firstLine="315"/>
              <w:rPr>
                <w:color w:val="auto"/>
                <w:sz w:val="21"/>
                <w:highlight w:val="none"/>
              </w:rPr>
            </w:pPr>
          </w:p>
        </w:tc>
        <w:tc>
          <w:tcPr>
            <w:tcW w:w="1469" w:type="dxa"/>
            <w:vMerge w:val="continue"/>
            <w:vAlign w:val="center"/>
          </w:tcPr>
          <w:p>
            <w:pPr>
              <w:pStyle w:val="67"/>
              <w:shd w:val="clear"/>
              <w:ind w:firstLine="315"/>
              <w:rPr>
                <w:color w:val="auto"/>
                <w:sz w:val="21"/>
                <w:highlight w:val="none"/>
              </w:rPr>
            </w:pPr>
          </w:p>
        </w:tc>
        <w:tc>
          <w:tcPr>
            <w:tcW w:w="2198" w:type="dxa"/>
            <w:gridSpan w:val="3"/>
            <w:vAlign w:val="center"/>
          </w:tcPr>
          <w:p>
            <w:pPr>
              <w:pStyle w:val="67"/>
              <w:shd w:val="clear"/>
              <w:ind w:firstLine="315"/>
              <w:rPr>
                <w:color w:val="auto"/>
                <w:sz w:val="21"/>
                <w:highlight w:val="none"/>
              </w:rPr>
            </w:pPr>
            <w:r>
              <w:rPr>
                <w:color w:val="auto"/>
                <w:sz w:val="21"/>
                <w:highlight w:val="none"/>
              </w:rPr>
              <w:t>中级职称人员</w:t>
            </w:r>
          </w:p>
        </w:tc>
        <w:tc>
          <w:tcPr>
            <w:tcW w:w="2162" w:type="dxa"/>
            <w:gridSpan w:val="2"/>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67"/>
              <w:shd w:val="clear"/>
              <w:ind w:firstLineChars="0"/>
              <w:jc w:val="center"/>
              <w:rPr>
                <w:color w:val="auto"/>
                <w:sz w:val="21"/>
                <w:highlight w:val="none"/>
              </w:rPr>
            </w:pPr>
            <w:r>
              <w:rPr>
                <w:color w:val="auto"/>
                <w:sz w:val="21"/>
                <w:highlight w:val="none"/>
              </w:rPr>
              <w:t>基本账户开户</w:t>
            </w:r>
          </w:p>
          <w:p>
            <w:pPr>
              <w:pStyle w:val="67"/>
              <w:shd w:val="clear"/>
              <w:ind w:firstLineChars="0"/>
              <w:jc w:val="center"/>
              <w:rPr>
                <w:color w:val="auto"/>
                <w:sz w:val="21"/>
                <w:highlight w:val="none"/>
              </w:rPr>
            </w:pPr>
            <w:r>
              <w:rPr>
                <w:color w:val="auto"/>
                <w:sz w:val="21"/>
                <w:highlight w:val="none"/>
              </w:rPr>
              <w:t>银行</w:t>
            </w:r>
          </w:p>
        </w:tc>
        <w:tc>
          <w:tcPr>
            <w:tcW w:w="1914" w:type="dxa"/>
            <w:gridSpan w:val="2"/>
            <w:vAlign w:val="center"/>
          </w:tcPr>
          <w:p>
            <w:pPr>
              <w:pStyle w:val="67"/>
              <w:shd w:val="clear"/>
              <w:ind w:firstLine="315"/>
              <w:rPr>
                <w:color w:val="auto"/>
                <w:sz w:val="21"/>
                <w:highlight w:val="none"/>
              </w:rPr>
            </w:pPr>
          </w:p>
        </w:tc>
        <w:tc>
          <w:tcPr>
            <w:tcW w:w="1469" w:type="dxa"/>
            <w:vMerge w:val="continue"/>
            <w:vAlign w:val="center"/>
          </w:tcPr>
          <w:p>
            <w:pPr>
              <w:pStyle w:val="67"/>
              <w:shd w:val="clear"/>
              <w:ind w:firstLine="315"/>
              <w:rPr>
                <w:color w:val="auto"/>
                <w:sz w:val="21"/>
                <w:highlight w:val="none"/>
              </w:rPr>
            </w:pPr>
          </w:p>
        </w:tc>
        <w:tc>
          <w:tcPr>
            <w:tcW w:w="2198" w:type="dxa"/>
            <w:gridSpan w:val="3"/>
            <w:vAlign w:val="center"/>
          </w:tcPr>
          <w:p>
            <w:pPr>
              <w:pStyle w:val="67"/>
              <w:shd w:val="clear"/>
              <w:ind w:firstLine="315"/>
              <w:rPr>
                <w:color w:val="auto"/>
                <w:sz w:val="21"/>
                <w:highlight w:val="none"/>
              </w:rPr>
            </w:pPr>
            <w:r>
              <w:rPr>
                <w:color w:val="auto"/>
                <w:sz w:val="21"/>
                <w:highlight w:val="none"/>
              </w:rPr>
              <w:t>初级职称人员</w:t>
            </w:r>
          </w:p>
        </w:tc>
        <w:tc>
          <w:tcPr>
            <w:tcW w:w="2162" w:type="dxa"/>
            <w:gridSpan w:val="2"/>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pPr>
              <w:pStyle w:val="67"/>
              <w:shd w:val="clear"/>
              <w:ind w:firstLine="210" w:firstLineChars="100"/>
              <w:rPr>
                <w:color w:val="auto"/>
                <w:sz w:val="21"/>
                <w:highlight w:val="none"/>
              </w:rPr>
            </w:pPr>
            <w:r>
              <w:rPr>
                <w:color w:val="auto"/>
                <w:sz w:val="21"/>
                <w:highlight w:val="none"/>
              </w:rPr>
              <w:t>基本账户账号</w:t>
            </w:r>
          </w:p>
        </w:tc>
        <w:tc>
          <w:tcPr>
            <w:tcW w:w="1914" w:type="dxa"/>
            <w:gridSpan w:val="2"/>
            <w:vAlign w:val="center"/>
          </w:tcPr>
          <w:p>
            <w:pPr>
              <w:pStyle w:val="67"/>
              <w:shd w:val="clear"/>
              <w:ind w:firstLine="315"/>
              <w:rPr>
                <w:color w:val="auto"/>
                <w:sz w:val="21"/>
                <w:highlight w:val="none"/>
              </w:rPr>
            </w:pPr>
          </w:p>
        </w:tc>
        <w:tc>
          <w:tcPr>
            <w:tcW w:w="1469" w:type="dxa"/>
            <w:vMerge w:val="continue"/>
            <w:vAlign w:val="center"/>
          </w:tcPr>
          <w:p>
            <w:pPr>
              <w:pStyle w:val="67"/>
              <w:shd w:val="clear"/>
              <w:ind w:firstLine="315"/>
              <w:rPr>
                <w:color w:val="auto"/>
                <w:sz w:val="21"/>
                <w:highlight w:val="none"/>
              </w:rPr>
            </w:pPr>
          </w:p>
        </w:tc>
        <w:tc>
          <w:tcPr>
            <w:tcW w:w="2198" w:type="dxa"/>
            <w:gridSpan w:val="3"/>
            <w:vAlign w:val="center"/>
          </w:tcPr>
          <w:p>
            <w:pPr>
              <w:pStyle w:val="67"/>
              <w:shd w:val="clear"/>
              <w:ind w:firstLine="315"/>
              <w:rPr>
                <w:color w:val="auto"/>
                <w:sz w:val="21"/>
                <w:highlight w:val="none"/>
              </w:rPr>
            </w:pPr>
            <w:r>
              <w:rPr>
                <w:color w:val="auto"/>
                <w:sz w:val="21"/>
                <w:highlight w:val="none"/>
              </w:rPr>
              <w:t>其他</w:t>
            </w:r>
          </w:p>
        </w:tc>
        <w:tc>
          <w:tcPr>
            <w:tcW w:w="2162" w:type="dxa"/>
            <w:gridSpan w:val="2"/>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pPr>
              <w:pStyle w:val="67"/>
              <w:shd w:val="clear"/>
              <w:ind w:firstLine="315"/>
              <w:rPr>
                <w:color w:val="auto"/>
                <w:sz w:val="21"/>
                <w:highlight w:val="none"/>
              </w:rPr>
            </w:pPr>
            <w:r>
              <w:rPr>
                <w:color w:val="auto"/>
                <w:sz w:val="21"/>
                <w:highlight w:val="none"/>
              </w:rPr>
              <w:t>经营范围</w:t>
            </w:r>
          </w:p>
        </w:tc>
        <w:tc>
          <w:tcPr>
            <w:tcW w:w="7743" w:type="dxa"/>
            <w:gridSpan w:val="8"/>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pPr>
              <w:pStyle w:val="67"/>
              <w:shd w:val="clear"/>
              <w:ind w:firstLineChars="0"/>
              <w:jc w:val="center"/>
              <w:rPr>
                <w:color w:val="auto"/>
                <w:sz w:val="21"/>
                <w:highlight w:val="none"/>
              </w:rPr>
            </w:pPr>
            <w:r>
              <w:rPr>
                <w:color w:val="auto"/>
                <w:sz w:val="21"/>
                <w:highlight w:val="none"/>
              </w:rPr>
              <w:t>资产构成情况及投标人投资参股的关联企业情况</w:t>
            </w:r>
          </w:p>
        </w:tc>
        <w:tc>
          <w:tcPr>
            <w:tcW w:w="7743" w:type="dxa"/>
            <w:gridSpan w:val="8"/>
            <w:vAlign w:val="center"/>
          </w:tcPr>
          <w:p>
            <w:pPr>
              <w:pStyle w:val="67"/>
              <w:shd w:val="clear"/>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pPr>
              <w:pStyle w:val="67"/>
              <w:shd w:val="clear"/>
              <w:ind w:firstLine="315"/>
              <w:jc w:val="center"/>
              <w:rPr>
                <w:color w:val="auto"/>
                <w:sz w:val="21"/>
                <w:highlight w:val="none"/>
              </w:rPr>
            </w:pPr>
            <w:r>
              <w:rPr>
                <w:color w:val="auto"/>
                <w:sz w:val="21"/>
                <w:highlight w:val="none"/>
              </w:rPr>
              <w:t>备    注</w:t>
            </w:r>
          </w:p>
        </w:tc>
        <w:tc>
          <w:tcPr>
            <w:tcW w:w="7743" w:type="dxa"/>
            <w:gridSpan w:val="8"/>
            <w:vAlign w:val="center"/>
          </w:tcPr>
          <w:p>
            <w:pPr>
              <w:pStyle w:val="67"/>
              <w:shd w:val="clear"/>
              <w:ind w:firstLine="315"/>
              <w:rPr>
                <w:color w:val="auto"/>
                <w:sz w:val="21"/>
                <w:highlight w:val="none"/>
              </w:rPr>
            </w:pPr>
          </w:p>
        </w:tc>
      </w:tr>
    </w:tbl>
    <w:p>
      <w:pPr>
        <w:widowControl/>
        <w:shd w:val="clear"/>
        <w:jc w:val="left"/>
        <w:rPr>
          <w:rFonts w:ascii="宋体"/>
          <w:b/>
          <w:bCs/>
          <w:sz w:val="28"/>
          <w:szCs w:val="28"/>
          <w:highlight w:val="none"/>
        </w:rPr>
        <w:sectPr>
          <w:headerReference r:id="rId9" w:type="default"/>
          <w:footerReference r:id="rId10" w:type="default"/>
          <w:pgSz w:w="11906" w:h="16838"/>
          <w:pgMar w:top="1170"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hd w:val="clear"/>
        <w:jc w:val="left"/>
        <w:rPr>
          <w:rFonts w:ascii="宋体"/>
          <w:b/>
          <w:bCs/>
          <w:sz w:val="28"/>
          <w:szCs w:val="28"/>
          <w:highlight w:val="none"/>
        </w:rPr>
      </w:pPr>
      <w:r>
        <w:rPr>
          <w:rFonts w:hint="eastAsia" w:ascii="宋体" w:hAnsi="宋体" w:cs="宋体"/>
          <w:b/>
          <w:bCs/>
          <w:sz w:val="24"/>
          <w:szCs w:val="24"/>
          <w:highlight w:val="none"/>
        </w:rPr>
        <w:t>附件3：</w:t>
      </w:r>
    </w:p>
    <w:p>
      <w:pPr>
        <w:pStyle w:val="55"/>
        <w:shd w:val="clear"/>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tbl>
      <w:tblPr>
        <w:tblStyle w:val="22"/>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证书名称</w:t>
            </w:r>
          </w:p>
        </w:tc>
        <w:tc>
          <w:tcPr>
            <w:tcW w:w="2388" w:type="dxa"/>
            <w:tcBorders>
              <w:top w:val="double" w:color="auto" w:sz="4" w:space="0"/>
            </w:tcBorders>
          </w:tcPr>
          <w:p>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发证单位</w:t>
            </w:r>
          </w:p>
        </w:tc>
        <w:tc>
          <w:tcPr>
            <w:tcW w:w="2390" w:type="dxa"/>
            <w:tcBorders>
              <w:top w:val="double" w:color="auto" w:sz="4" w:space="0"/>
            </w:tcBorders>
          </w:tcPr>
          <w:p>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证书等级</w:t>
            </w:r>
          </w:p>
        </w:tc>
        <w:tc>
          <w:tcPr>
            <w:tcW w:w="2165" w:type="dxa"/>
            <w:tcBorders>
              <w:top w:val="double" w:color="auto" w:sz="4" w:space="0"/>
              <w:right w:val="double" w:color="auto" w:sz="4" w:space="0"/>
            </w:tcBorders>
          </w:tcPr>
          <w:p>
            <w:pPr>
              <w:pStyle w:val="55"/>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55"/>
              <w:shd w:val="clear"/>
              <w:spacing w:line="360" w:lineRule="auto"/>
              <w:jc w:val="center"/>
              <w:rPr>
                <w:rFonts w:ascii="宋体"/>
                <w:highlight w:val="none"/>
              </w:rPr>
            </w:pPr>
          </w:p>
        </w:tc>
        <w:tc>
          <w:tcPr>
            <w:tcW w:w="2388" w:type="dxa"/>
          </w:tcPr>
          <w:p>
            <w:pPr>
              <w:pStyle w:val="55"/>
              <w:shd w:val="clear"/>
              <w:spacing w:line="360" w:lineRule="auto"/>
              <w:jc w:val="center"/>
              <w:rPr>
                <w:rFonts w:ascii="宋体"/>
                <w:highlight w:val="none"/>
              </w:rPr>
            </w:pPr>
          </w:p>
        </w:tc>
        <w:tc>
          <w:tcPr>
            <w:tcW w:w="2390" w:type="dxa"/>
          </w:tcPr>
          <w:p>
            <w:pPr>
              <w:pStyle w:val="55"/>
              <w:shd w:val="clear"/>
              <w:spacing w:line="360" w:lineRule="auto"/>
              <w:jc w:val="center"/>
              <w:rPr>
                <w:rFonts w:ascii="宋体"/>
                <w:highlight w:val="none"/>
              </w:rPr>
            </w:pPr>
          </w:p>
        </w:tc>
        <w:tc>
          <w:tcPr>
            <w:tcW w:w="2165" w:type="dxa"/>
            <w:tcBorders>
              <w:right w:val="double" w:color="auto" w:sz="4" w:space="0"/>
            </w:tcBorders>
          </w:tcPr>
          <w:p>
            <w:pPr>
              <w:pStyle w:val="55"/>
              <w:shd w:val="clea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55"/>
              <w:shd w:val="clear"/>
              <w:spacing w:line="360" w:lineRule="auto"/>
              <w:jc w:val="center"/>
              <w:rPr>
                <w:rFonts w:ascii="宋体"/>
                <w:highlight w:val="none"/>
              </w:rPr>
            </w:pPr>
          </w:p>
        </w:tc>
        <w:tc>
          <w:tcPr>
            <w:tcW w:w="2388" w:type="dxa"/>
          </w:tcPr>
          <w:p>
            <w:pPr>
              <w:pStyle w:val="55"/>
              <w:shd w:val="clear"/>
              <w:spacing w:line="360" w:lineRule="auto"/>
              <w:jc w:val="center"/>
              <w:rPr>
                <w:rFonts w:ascii="宋体"/>
                <w:highlight w:val="none"/>
              </w:rPr>
            </w:pPr>
          </w:p>
        </w:tc>
        <w:tc>
          <w:tcPr>
            <w:tcW w:w="2390" w:type="dxa"/>
          </w:tcPr>
          <w:p>
            <w:pPr>
              <w:pStyle w:val="55"/>
              <w:shd w:val="clear"/>
              <w:spacing w:line="360" w:lineRule="auto"/>
              <w:jc w:val="center"/>
              <w:rPr>
                <w:rFonts w:ascii="宋体"/>
                <w:highlight w:val="none"/>
              </w:rPr>
            </w:pPr>
          </w:p>
        </w:tc>
        <w:tc>
          <w:tcPr>
            <w:tcW w:w="2165" w:type="dxa"/>
            <w:tcBorders>
              <w:right w:val="double" w:color="auto" w:sz="4" w:space="0"/>
            </w:tcBorders>
          </w:tcPr>
          <w:p>
            <w:pPr>
              <w:pStyle w:val="55"/>
              <w:shd w:val="clea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55"/>
              <w:shd w:val="clear"/>
              <w:spacing w:line="360" w:lineRule="auto"/>
              <w:jc w:val="center"/>
              <w:rPr>
                <w:rFonts w:ascii="宋体"/>
                <w:highlight w:val="none"/>
              </w:rPr>
            </w:pPr>
          </w:p>
        </w:tc>
        <w:tc>
          <w:tcPr>
            <w:tcW w:w="2388" w:type="dxa"/>
          </w:tcPr>
          <w:p>
            <w:pPr>
              <w:pStyle w:val="55"/>
              <w:shd w:val="clear"/>
              <w:spacing w:line="360" w:lineRule="auto"/>
              <w:jc w:val="center"/>
              <w:rPr>
                <w:rFonts w:ascii="宋体"/>
                <w:highlight w:val="none"/>
              </w:rPr>
            </w:pPr>
          </w:p>
        </w:tc>
        <w:tc>
          <w:tcPr>
            <w:tcW w:w="2390" w:type="dxa"/>
          </w:tcPr>
          <w:p>
            <w:pPr>
              <w:pStyle w:val="55"/>
              <w:shd w:val="clear"/>
              <w:spacing w:line="360" w:lineRule="auto"/>
              <w:jc w:val="center"/>
              <w:rPr>
                <w:rFonts w:ascii="宋体"/>
                <w:highlight w:val="none"/>
              </w:rPr>
            </w:pPr>
          </w:p>
        </w:tc>
        <w:tc>
          <w:tcPr>
            <w:tcW w:w="2165" w:type="dxa"/>
            <w:tcBorders>
              <w:right w:val="double" w:color="auto" w:sz="4" w:space="0"/>
            </w:tcBorders>
          </w:tcPr>
          <w:p>
            <w:pPr>
              <w:pStyle w:val="55"/>
              <w:shd w:val="clea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55"/>
              <w:shd w:val="clear"/>
              <w:spacing w:line="360" w:lineRule="auto"/>
              <w:jc w:val="center"/>
              <w:rPr>
                <w:rFonts w:ascii="宋体"/>
                <w:highlight w:val="none"/>
              </w:rPr>
            </w:pPr>
          </w:p>
        </w:tc>
        <w:tc>
          <w:tcPr>
            <w:tcW w:w="2388" w:type="dxa"/>
          </w:tcPr>
          <w:p>
            <w:pPr>
              <w:pStyle w:val="55"/>
              <w:shd w:val="clear"/>
              <w:spacing w:line="360" w:lineRule="auto"/>
              <w:jc w:val="center"/>
              <w:rPr>
                <w:rFonts w:ascii="宋体"/>
                <w:highlight w:val="none"/>
              </w:rPr>
            </w:pPr>
          </w:p>
        </w:tc>
        <w:tc>
          <w:tcPr>
            <w:tcW w:w="2390" w:type="dxa"/>
          </w:tcPr>
          <w:p>
            <w:pPr>
              <w:pStyle w:val="55"/>
              <w:shd w:val="clear"/>
              <w:spacing w:line="360" w:lineRule="auto"/>
              <w:jc w:val="center"/>
              <w:rPr>
                <w:rFonts w:ascii="宋体"/>
                <w:highlight w:val="none"/>
              </w:rPr>
            </w:pPr>
          </w:p>
        </w:tc>
        <w:tc>
          <w:tcPr>
            <w:tcW w:w="2165" w:type="dxa"/>
            <w:tcBorders>
              <w:right w:val="double" w:color="auto" w:sz="4" w:space="0"/>
            </w:tcBorders>
          </w:tcPr>
          <w:p>
            <w:pPr>
              <w:pStyle w:val="55"/>
              <w:shd w:val="clea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55"/>
              <w:shd w:val="clear"/>
              <w:spacing w:line="360" w:lineRule="auto"/>
              <w:jc w:val="center"/>
              <w:rPr>
                <w:rFonts w:ascii="宋体"/>
                <w:highlight w:val="none"/>
              </w:rPr>
            </w:pPr>
          </w:p>
        </w:tc>
        <w:tc>
          <w:tcPr>
            <w:tcW w:w="2388" w:type="dxa"/>
          </w:tcPr>
          <w:p>
            <w:pPr>
              <w:pStyle w:val="55"/>
              <w:shd w:val="clear"/>
              <w:spacing w:line="360" w:lineRule="auto"/>
              <w:jc w:val="center"/>
              <w:rPr>
                <w:rFonts w:ascii="宋体"/>
                <w:highlight w:val="none"/>
              </w:rPr>
            </w:pPr>
          </w:p>
        </w:tc>
        <w:tc>
          <w:tcPr>
            <w:tcW w:w="2390" w:type="dxa"/>
          </w:tcPr>
          <w:p>
            <w:pPr>
              <w:pStyle w:val="55"/>
              <w:shd w:val="clear"/>
              <w:spacing w:line="360" w:lineRule="auto"/>
              <w:jc w:val="center"/>
              <w:rPr>
                <w:rFonts w:ascii="宋体"/>
                <w:highlight w:val="none"/>
              </w:rPr>
            </w:pPr>
          </w:p>
        </w:tc>
        <w:tc>
          <w:tcPr>
            <w:tcW w:w="2165" w:type="dxa"/>
            <w:tcBorders>
              <w:right w:val="double" w:color="auto" w:sz="4" w:space="0"/>
            </w:tcBorders>
          </w:tcPr>
          <w:p>
            <w:pPr>
              <w:pStyle w:val="55"/>
              <w:shd w:val="clea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pPr>
              <w:pStyle w:val="55"/>
              <w:shd w:val="clear"/>
              <w:spacing w:line="360" w:lineRule="auto"/>
              <w:jc w:val="center"/>
              <w:rPr>
                <w:rFonts w:ascii="宋体"/>
                <w:highlight w:val="none"/>
              </w:rPr>
            </w:pPr>
          </w:p>
        </w:tc>
        <w:tc>
          <w:tcPr>
            <w:tcW w:w="2388" w:type="dxa"/>
          </w:tcPr>
          <w:p>
            <w:pPr>
              <w:pStyle w:val="55"/>
              <w:shd w:val="clear"/>
              <w:spacing w:line="360" w:lineRule="auto"/>
              <w:jc w:val="center"/>
              <w:rPr>
                <w:rFonts w:ascii="宋体"/>
                <w:highlight w:val="none"/>
              </w:rPr>
            </w:pPr>
          </w:p>
        </w:tc>
        <w:tc>
          <w:tcPr>
            <w:tcW w:w="2390" w:type="dxa"/>
          </w:tcPr>
          <w:p>
            <w:pPr>
              <w:pStyle w:val="55"/>
              <w:shd w:val="clear"/>
              <w:spacing w:line="360" w:lineRule="auto"/>
              <w:jc w:val="center"/>
              <w:rPr>
                <w:rFonts w:ascii="宋体"/>
                <w:highlight w:val="none"/>
              </w:rPr>
            </w:pPr>
          </w:p>
        </w:tc>
        <w:tc>
          <w:tcPr>
            <w:tcW w:w="2165" w:type="dxa"/>
            <w:tcBorders>
              <w:right w:val="double" w:color="auto" w:sz="4" w:space="0"/>
            </w:tcBorders>
          </w:tcPr>
          <w:p>
            <w:pPr>
              <w:pStyle w:val="55"/>
              <w:shd w:val="clear"/>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pPr>
              <w:pStyle w:val="55"/>
              <w:shd w:val="clear"/>
              <w:spacing w:line="360" w:lineRule="auto"/>
              <w:jc w:val="center"/>
              <w:rPr>
                <w:rFonts w:ascii="宋体"/>
                <w:highlight w:val="none"/>
              </w:rPr>
            </w:pPr>
          </w:p>
        </w:tc>
        <w:tc>
          <w:tcPr>
            <w:tcW w:w="2388" w:type="dxa"/>
            <w:tcBorders>
              <w:bottom w:val="double" w:color="auto" w:sz="4" w:space="0"/>
            </w:tcBorders>
          </w:tcPr>
          <w:p>
            <w:pPr>
              <w:pStyle w:val="55"/>
              <w:shd w:val="clear"/>
              <w:spacing w:line="360" w:lineRule="auto"/>
              <w:jc w:val="center"/>
              <w:rPr>
                <w:rFonts w:ascii="宋体"/>
                <w:highlight w:val="none"/>
              </w:rPr>
            </w:pPr>
          </w:p>
        </w:tc>
        <w:tc>
          <w:tcPr>
            <w:tcW w:w="2390" w:type="dxa"/>
            <w:tcBorders>
              <w:bottom w:val="double" w:color="auto" w:sz="4" w:space="0"/>
            </w:tcBorders>
          </w:tcPr>
          <w:p>
            <w:pPr>
              <w:pStyle w:val="55"/>
              <w:shd w:val="clear"/>
              <w:spacing w:line="360" w:lineRule="auto"/>
              <w:jc w:val="center"/>
              <w:rPr>
                <w:rFonts w:ascii="宋体"/>
                <w:highlight w:val="none"/>
              </w:rPr>
            </w:pPr>
          </w:p>
        </w:tc>
        <w:tc>
          <w:tcPr>
            <w:tcW w:w="2165" w:type="dxa"/>
            <w:tcBorders>
              <w:bottom w:val="double" w:color="auto" w:sz="4" w:space="0"/>
              <w:right w:val="double" w:color="auto" w:sz="4" w:space="0"/>
            </w:tcBorders>
          </w:tcPr>
          <w:p>
            <w:pPr>
              <w:pStyle w:val="55"/>
              <w:shd w:val="clear"/>
              <w:spacing w:line="360" w:lineRule="auto"/>
              <w:jc w:val="center"/>
              <w:rPr>
                <w:rFonts w:ascii="宋体"/>
                <w:highlight w:val="none"/>
              </w:rPr>
            </w:pPr>
          </w:p>
        </w:tc>
      </w:tr>
    </w:tbl>
    <w:p>
      <w:pPr>
        <w:pStyle w:val="55"/>
        <w:shd w:val="clear"/>
        <w:tabs>
          <w:tab w:val="left" w:pos="1050"/>
        </w:tabs>
        <w:spacing w:line="360" w:lineRule="auto"/>
        <w:rPr>
          <w:rFonts w:ascii="仿宋_GB2312" w:hAnsi="宋体" w:eastAsia="仿宋_GB2312"/>
          <w:sz w:val="24"/>
          <w:szCs w:val="24"/>
          <w:highlight w:val="none"/>
        </w:rPr>
      </w:pPr>
    </w:p>
    <w:p>
      <w:pPr>
        <w:pStyle w:val="55"/>
        <w:shd w:val="clear"/>
        <w:tabs>
          <w:tab w:val="left" w:pos="1050"/>
        </w:tabs>
        <w:spacing w:line="360" w:lineRule="auto"/>
        <w:rPr>
          <w:rFonts w:ascii="宋体"/>
          <w:highlight w:val="none"/>
        </w:rPr>
      </w:pPr>
      <w:r>
        <w:rPr>
          <w:rFonts w:hint="eastAsia" w:ascii="宋体" w:hAnsi="宋体" w:cs="宋体"/>
          <w:b/>
          <w:bCs/>
          <w:highlight w:val="none"/>
        </w:rPr>
        <w:t>要求：</w:t>
      </w:r>
    </w:p>
    <w:p>
      <w:pPr>
        <w:pStyle w:val="55"/>
        <w:shd w:val="clear"/>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填写投标人获得资质、认证或企业信誉证书；</w:t>
      </w:r>
    </w:p>
    <w:p>
      <w:pPr>
        <w:pStyle w:val="55"/>
        <w:shd w:val="clear"/>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pPr>
        <w:pStyle w:val="55"/>
        <w:shd w:val="clear"/>
        <w:tabs>
          <w:tab w:val="left" w:pos="1050"/>
        </w:tabs>
        <w:spacing w:line="360" w:lineRule="auto"/>
        <w:ind w:firstLine="720" w:firstLineChars="300"/>
        <w:rPr>
          <w:rFonts w:ascii="仿宋_GB2312" w:hAnsi="宋体" w:eastAsia="仿宋_GB2312"/>
          <w:sz w:val="24"/>
          <w:szCs w:val="24"/>
          <w:highlight w:val="none"/>
        </w:rPr>
      </w:pPr>
    </w:p>
    <w:p>
      <w:pPr>
        <w:pStyle w:val="55"/>
        <w:shd w:val="clear"/>
        <w:tabs>
          <w:tab w:val="left" w:pos="1050"/>
        </w:tabs>
        <w:spacing w:line="360" w:lineRule="auto"/>
        <w:ind w:firstLine="720" w:firstLineChars="300"/>
        <w:rPr>
          <w:rFonts w:ascii="仿宋_GB2312" w:hAnsi="宋体" w:eastAsia="仿宋_GB2312"/>
          <w:sz w:val="24"/>
          <w:szCs w:val="24"/>
          <w:highlight w:val="none"/>
        </w:rPr>
      </w:pPr>
    </w:p>
    <w:p>
      <w:pPr>
        <w:pStyle w:val="55"/>
        <w:shd w:val="clear"/>
        <w:tabs>
          <w:tab w:val="left" w:pos="1050"/>
        </w:tabs>
        <w:spacing w:line="360" w:lineRule="auto"/>
        <w:ind w:firstLine="720" w:firstLineChars="300"/>
        <w:rPr>
          <w:rFonts w:ascii="仿宋_GB2312" w:hAnsi="宋体" w:eastAsia="仿宋_GB2312"/>
          <w:sz w:val="24"/>
          <w:szCs w:val="24"/>
          <w:highlight w:val="none"/>
        </w:rPr>
      </w:pPr>
    </w:p>
    <w:p>
      <w:pPr>
        <w:shd w:val="clear"/>
        <w:spacing w:line="360" w:lineRule="auto"/>
        <w:ind w:firstLine="424" w:firstLineChars="177"/>
        <w:rPr>
          <w:rFonts w:ascii="宋体"/>
          <w:sz w:val="24"/>
          <w:szCs w:val="24"/>
          <w:highlight w:val="none"/>
          <w:u w:val="single"/>
        </w:rPr>
      </w:pPr>
      <w:r>
        <w:rPr>
          <w:rFonts w:hint="eastAsia" w:ascii="宋体" w:hAnsi="宋体" w:cs="宋体"/>
          <w:sz w:val="24"/>
          <w:szCs w:val="24"/>
          <w:highlight w:val="none"/>
        </w:rPr>
        <w:t>投标人名称（盖章）：</w:t>
      </w:r>
    </w:p>
    <w:p>
      <w:pPr>
        <w:shd w:val="clear"/>
        <w:spacing w:line="360" w:lineRule="auto"/>
        <w:ind w:left="420"/>
        <w:rPr>
          <w:rFonts w:ascii="宋体"/>
          <w:sz w:val="24"/>
          <w:szCs w:val="24"/>
          <w:highlight w:val="none"/>
        </w:rPr>
      </w:pPr>
    </w:p>
    <w:p>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pPr>
        <w:shd w:val="clear"/>
        <w:spacing w:line="360" w:lineRule="auto"/>
        <w:rPr>
          <w:rFonts w:ascii="宋体"/>
          <w:sz w:val="24"/>
          <w:szCs w:val="24"/>
          <w:highlight w:val="none"/>
        </w:rPr>
      </w:pPr>
    </w:p>
    <w:p>
      <w:pPr>
        <w:pStyle w:val="51"/>
        <w:shd w:val="clear" w:color="auto"/>
        <w:spacing w:before="0" w:beforeAutospacing="0" w:after="0" w:afterAutospacing="0" w:line="360" w:lineRule="auto"/>
        <w:ind w:firstLine="424" w:firstLineChars="177"/>
        <w:rPr>
          <w:rFonts w:cs="Times New Roman"/>
          <w:b/>
          <w:bCs/>
          <w:spacing w:val="11"/>
          <w:highlight w:val="none"/>
        </w:rPr>
      </w:pPr>
      <w:r>
        <w:rPr>
          <w:rFonts w:hint="eastAsia"/>
          <w:highlight w:val="none"/>
        </w:rPr>
        <w:t>日</w:t>
      </w:r>
      <w:r>
        <w:rPr>
          <w:highlight w:val="none"/>
        </w:rPr>
        <w:t xml:space="preserve">        </w:t>
      </w:r>
      <w:r>
        <w:rPr>
          <w:rFonts w:hint="eastAsia"/>
          <w:highlight w:val="none"/>
        </w:rPr>
        <w:t>期：</w:t>
      </w:r>
    </w:p>
    <w:p>
      <w:pPr>
        <w:shd w:val="clear"/>
        <w:spacing w:line="360" w:lineRule="auto"/>
        <w:rPr>
          <w:rFonts w:ascii="宋体"/>
          <w:b/>
          <w:bCs/>
          <w:sz w:val="28"/>
          <w:szCs w:val="28"/>
          <w:highlight w:val="none"/>
        </w:rPr>
      </w:pPr>
    </w:p>
    <w:p>
      <w:pPr>
        <w:pStyle w:val="29"/>
        <w:shd w:val="clear"/>
        <w:rPr>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hd w:val="clear"/>
        <w:jc w:val="left"/>
        <w:rPr>
          <w:rFonts w:ascii="宋体"/>
          <w:sz w:val="24"/>
          <w:szCs w:val="24"/>
          <w:highlight w:val="none"/>
        </w:rPr>
      </w:pPr>
      <w:r>
        <w:rPr>
          <w:rFonts w:hint="eastAsia" w:ascii="宋体" w:hAnsi="宋体" w:cs="宋体"/>
          <w:b/>
          <w:bCs/>
          <w:sz w:val="24"/>
          <w:szCs w:val="24"/>
          <w:highlight w:val="none"/>
        </w:rPr>
        <w:t>附件4:</w:t>
      </w:r>
    </w:p>
    <w:p>
      <w:pPr>
        <w:shd w:val="clear"/>
        <w:snapToGrid w:val="0"/>
        <w:spacing w:before="156" w:beforeLines="50" w:after="50" w:line="360" w:lineRule="auto"/>
        <w:jc w:val="center"/>
        <w:rPr>
          <w:rFonts w:hint="eastAsia" w:ascii="宋体" w:eastAsia="宋体"/>
          <w:b/>
          <w:bCs/>
          <w:spacing w:val="21"/>
          <w:kern w:val="0"/>
          <w:sz w:val="32"/>
          <w:szCs w:val="32"/>
          <w:highlight w:val="none"/>
          <w:lang w:eastAsia="zh-CN"/>
        </w:rPr>
      </w:pPr>
      <w:r>
        <w:rPr>
          <w:rFonts w:hint="eastAsia" w:ascii="宋体" w:hAnsi="宋体" w:cs="宋体"/>
          <w:b/>
          <w:bCs/>
          <w:spacing w:val="21"/>
          <w:kern w:val="0"/>
          <w:sz w:val="32"/>
          <w:szCs w:val="32"/>
          <w:highlight w:val="none"/>
          <w:lang w:eastAsia="zh-CN"/>
        </w:rPr>
        <w:t>项目组成员一览表</w:t>
      </w:r>
    </w:p>
    <w:p>
      <w:pPr>
        <w:shd w:val="clear"/>
        <w:snapToGrid w:val="0"/>
        <w:spacing w:before="156" w:beforeLines="50" w:after="50" w:line="360" w:lineRule="auto"/>
        <w:ind w:firstLine="2640" w:firstLineChars="1100"/>
        <w:rPr>
          <w:rFonts w:ascii="宋体"/>
          <w:sz w:val="24"/>
          <w:szCs w:val="24"/>
          <w:highlight w:val="none"/>
        </w:rPr>
      </w:pPr>
      <w:r>
        <w:rPr>
          <w:rFonts w:hint="eastAsia" w:ascii="宋体" w:hAnsi="宋体" w:cs="宋体"/>
          <w:sz w:val="24"/>
          <w:szCs w:val="24"/>
          <w:highlight w:val="none"/>
        </w:rPr>
        <w:t>（主要从业人员及其技术资格）</w:t>
      </w:r>
    </w:p>
    <w:tbl>
      <w:tblPr>
        <w:tblStyle w:val="22"/>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vAlign w:val="center"/>
          </w:tcPr>
          <w:p>
            <w:pPr>
              <w:pStyle w:val="65"/>
              <w:shd w:val="clear"/>
              <w:rPr>
                <w:rFonts w:hAnsi="宋体"/>
                <w:sz w:val="24"/>
                <w:szCs w:val="16"/>
                <w:highlight w:val="none"/>
              </w:rPr>
            </w:pPr>
            <w:r>
              <w:rPr>
                <w:rFonts w:hint="eastAsia" w:hAnsi="宋体"/>
                <w:sz w:val="24"/>
                <w:szCs w:val="16"/>
                <w:highlight w:val="none"/>
              </w:rPr>
              <w:t>岗位名称</w:t>
            </w:r>
          </w:p>
        </w:tc>
        <w:tc>
          <w:tcPr>
            <w:tcW w:w="1455" w:type="dxa"/>
            <w:vAlign w:val="center"/>
          </w:tcPr>
          <w:p>
            <w:pPr>
              <w:pStyle w:val="65"/>
              <w:shd w:val="clear"/>
              <w:rPr>
                <w:rFonts w:hAnsi="宋体"/>
                <w:sz w:val="24"/>
                <w:szCs w:val="16"/>
                <w:highlight w:val="none"/>
              </w:rPr>
            </w:pPr>
            <w:r>
              <w:rPr>
                <w:rFonts w:hint="eastAsia" w:hAnsi="宋体"/>
                <w:sz w:val="24"/>
                <w:szCs w:val="16"/>
                <w:highlight w:val="none"/>
              </w:rPr>
              <w:t>姓名</w:t>
            </w:r>
          </w:p>
        </w:tc>
        <w:tc>
          <w:tcPr>
            <w:tcW w:w="1335" w:type="dxa"/>
            <w:vAlign w:val="center"/>
          </w:tcPr>
          <w:p>
            <w:pPr>
              <w:pStyle w:val="65"/>
              <w:shd w:val="clear"/>
              <w:rPr>
                <w:rFonts w:hAnsi="宋体"/>
                <w:sz w:val="24"/>
                <w:szCs w:val="16"/>
                <w:highlight w:val="none"/>
              </w:rPr>
            </w:pPr>
            <w:r>
              <w:rPr>
                <w:rFonts w:hint="eastAsia" w:hAnsi="宋体"/>
                <w:sz w:val="24"/>
                <w:szCs w:val="16"/>
                <w:highlight w:val="none"/>
              </w:rPr>
              <w:t>职位</w:t>
            </w:r>
          </w:p>
        </w:tc>
        <w:tc>
          <w:tcPr>
            <w:tcW w:w="1183" w:type="dxa"/>
            <w:vAlign w:val="center"/>
          </w:tcPr>
          <w:p>
            <w:pPr>
              <w:pStyle w:val="65"/>
              <w:shd w:val="clear"/>
              <w:rPr>
                <w:rFonts w:hAnsi="宋体"/>
                <w:sz w:val="24"/>
                <w:szCs w:val="16"/>
                <w:highlight w:val="none"/>
              </w:rPr>
            </w:pPr>
            <w:r>
              <w:rPr>
                <w:rFonts w:hint="eastAsia" w:hAnsi="宋体"/>
                <w:sz w:val="24"/>
                <w:szCs w:val="16"/>
                <w:highlight w:val="none"/>
              </w:rPr>
              <w:t>学历</w:t>
            </w:r>
          </w:p>
        </w:tc>
        <w:tc>
          <w:tcPr>
            <w:tcW w:w="1419" w:type="dxa"/>
            <w:vAlign w:val="center"/>
          </w:tcPr>
          <w:p>
            <w:pPr>
              <w:pStyle w:val="65"/>
              <w:shd w:val="clear"/>
              <w:rPr>
                <w:rFonts w:hAnsi="宋体"/>
                <w:sz w:val="24"/>
                <w:szCs w:val="16"/>
                <w:highlight w:val="none"/>
              </w:rPr>
            </w:pPr>
            <w:r>
              <w:rPr>
                <w:rFonts w:hint="eastAsia" w:hAnsi="宋体"/>
                <w:sz w:val="24"/>
                <w:szCs w:val="16"/>
                <w:highlight w:val="none"/>
              </w:rPr>
              <w:t>持何种资格证书</w:t>
            </w:r>
          </w:p>
        </w:tc>
        <w:tc>
          <w:tcPr>
            <w:tcW w:w="1419" w:type="dxa"/>
            <w:vAlign w:val="center"/>
          </w:tcPr>
          <w:p>
            <w:pPr>
              <w:pStyle w:val="65"/>
              <w:shd w:val="clear"/>
              <w:rPr>
                <w:rFonts w:hAnsi="宋体"/>
                <w:sz w:val="24"/>
                <w:szCs w:val="16"/>
                <w:highlight w:val="none"/>
              </w:rPr>
            </w:pPr>
            <w:r>
              <w:rPr>
                <w:rFonts w:hint="eastAsia" w:hAnsi="宋体"/>
                <w:sz w:val="24"/>
                <w:szCs w:val="16"/>
                <w:highlight w:val="none"/>
              </w:rPr>
              <w:t>证书编号</w:t>
            </w:r>
          </w:p>
        </w:tc>
        <w:tc>
          <w:tcPr>
            <w:tcW w:w="1188" w:type="dxa"/>
            <w:vAlign w:val="center"/>
          </w:tcPr>
          <w:p>
            <w:pPr>
              <w:pStyle w:val="65"/>
              <w:shd w:val="clear"/>
              <w:rPr>
                <w:rFonts w:hAnsi="宋体"/>
                <w:sz w:val="24"/>
                <w:szCs w:val="16"/>
                <w:highlight w:val="none"/>
              </w:rPr>
            </w:pPr>
            <w:r>
              <w:rPr>
                <w:rFonts w:hint="eastAsia" w:hAnsi="宋体"/>
                <w:sz w:val="24"/>
                <w:szCs w:val="16"/>
                <w:highlight w:val="none"/>
              </w:rPr>
              <w:t>本岗工龄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vAlign w:val="center"/>
          </w:tcPr>
          <w:p>
            <w:pPr>
              <w:pStyle w:val="65"/>
              <w:shd w:val="clear"/>
              <w:rPr>
                <w:rFonts w:hint="eastAsia" w:hAnsi="宋体" w:eastAsia="宋体"/>
                <w:sz w:val="24"/>
                <w:szCs w:val="16"/>
                <w:highlight w:val="none"/>
                <w:lang w:eastAsia="zh-CN"/>
              </w:rPr>
            </w:pPr>
            <w:r>
              <w:rPr>
                <w:rFonts w:hint="eastAsia" w:hAnsi="宋体"/>
                <w:sz w:val="24"/>
                <w:szCs w:val="16"/>
                <w:highlight w:val="none"/>
              </w:rPr>
              <w:t>项目</w:t>
            </w:r>
            <w:r>
              <w:rPr>
                <w:rFonts w:hint="eastAsia" w:hAnsi="宋体"/>
                <w:sz w:val="24"/>
                <w:szCs w:val="16"/>
                <w:highlight w:val="none"/>
                <w:lang w:val="en-US" w:eastAsia="zh-CN"/>
              </w:rPr>
              <w:t>负责人</w:t>
            </w: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pStyle w:val="65"/>
              <w:shd w:val="clear"/>
              <w:rPr>
                <w:rFonts w:hAnsi="宋体"/>
                <w:sz w:val="24"/>
                <w:szCs w:val="16"/>
                <w:highlight w:val="none"/>
              </w:rPr>
            </w:pPr>
            <w:r>
              <w:rPr>
                <w:rFonts w:hint="eastAsia" w:hAnsi="宋体"/>
                <w:sz w:val="24"/>
                <w:szCs w:val="16"/>
                <w:highlight w:val="none"/>
              </w:rPr>
              <w:t>其他人员</w:t>
            </w: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pStyle w:val="65"/>
              <w:shd w:val="clear"/>
              <w:rPr>
                <w:rFonts w:hAnsi="宋体"/>
                <w:sz w:val="24"/>
                <w:szCs w:val="16"/>
                <w:highlight w:val="none"/>
              </w:rPr>
            </w:pPr>
            <w:r>
              <w:rPr>
                <w:rFonts w:hint="eastAsia" w:hAnsi="宋体"/>
                <w:sz w:val="24"/>
                <w:szCs w:val="16"/>
                <w:highlight w:val="none"/>
              </w:rPr>
              <w:t>……</w:t>
            </w: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pStyle w:val="65"/>
              <w:shd w:val="clear"/>
              <w:rPr>
                <w:rFonts w:hAnsi="宋体"/>
                <w:sz w:val="24"/>
                <w:szCs w:val="16"/>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pStyle w:val="65"/>
              <w:shd w:val="clear"/>
              <w:rPr>
                <w:rFonts w:hAnsi="宋体"/>
                <w:sz w:val="24"/>
                <w:szCs w:val="16"/>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shd w:val="clear"/>
              <w:spacing w:line="600" w:lineRule="exact"/>
              <w:jc w:val="center"/>
              <w:rPr>
                <w:rFonts w:ascii="仿宋_GB2312" w:eastAsia="仿宋_GB2312"/>
                <w:sz w:val="20"/>
                <w:szCs w:val="15"/>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shd w:val="clear"/>
              <w:spacing w:line="600" w:lineRule="exact"/>
              <w:jc w:val="center"/>
              <w:rPr>
                <w:rFonts w:ascii="仿宋_GB2312" w:eastAsia="仿宋_GB2312"/>
                <w:sz w:val="20"/>
                <w:szCs w:val="15"/>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shd w:val="clear"/>
              <w:spacing w:line="600" w:lineRule="exact"/>
              <w:jc w:val="center"/>
              <w:rPr>
                <w:rFonts w:ascii="仿宋_GB2312" w:eastAsia="仿宋_GB2312"/>
                <w:sz w:val="20"/>
                <w:szCs w:val="15"/>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shd w:val="clear"/>
              <w:spacing w:line="600" w:lineRule="exact"/>
              <w:jc w:val="center"/>
              <w:rPr>
                <w:rFonts w:ascii="仿宋_GB2312" w:eastAsia="仿宋_GB2312"/>
                <w:sz w:val="20"/>
                <w:szCs w:val="15"/>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shd w:val="clear"/>
              <w:spacing w:line="600" w:lineRule="exact"/>
              <w:jc w:val="center"/>
              <w:rPr>
                <w:rFonts w:ascii="仿宋_GB2312" w:eastAsia="仿宋_GB2312"/>
                <w:sz w:val="20"/>
                <w:szCs w:val="15"/>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vAlign w:val="center"/>
          </w:tcPr>
          <w:p>
            <w:pPr>
              <w:shd w:val="clear"/>
              <w:spacing w:line="600" w:lineRule="exact"/>
              <w:jc w:val="center"/>
              <w:rPr>
                <w:rFonts w:ascii="仿宋_GB2312" w:eastAsia="仿宋_GB2312"/>
                <w:sz w:val="20"/>
                <w:szCs w:val="15"/>
                <w:highlight w:val="none"/>
              </w:rPr>
            </w:pPr>
          </w:p>
        </w:tc>
        <w:tc>
          <w:tcPr>
            <w:tcW w:w="1455" w:type="dxa"/>
            <w:vAlign w:val="center"/>
          </w:tcPr>
          <w:p>
            <w:pPr>
              <w:shd w:val="clear"/>
              <w:spacing w:line="600" w:lineRule="exact"/>
              <w:jc w:val="center"/>
              <w:rPr>
                <w:rFonts w:ascii="仿宋_GB2312" w:eastAsia="仿宋_GB2312"/>
                <w:sz w:val="20"/>
                <w:szCs w:val="15"/>
                <w:highlight w:val="none"/>
              </w:rPr>
            </w:pPr>
          </w:p>
        </w:tc>
        <w:tc>
          <w:tcPr>
            <w:tcW w:w="1335" w:type="dxa"/>
            <w:vAlign w:val="center"/>
          </w:tcPr>
          <w:p>
            <w:pPr>
              <w:shd w:val="clear"/>
              <w:spacing w:line="600" w:lineRule="exact"/>
              <w:jc w:val="center"/>
              <w:rPr>
                <w:rFonts w:ascii="仿宋_GB2312" w:eastAsia="仿宋_GB2312"/>
                <w:sz w:val="20"/>
                <w:szCs w:val="15"/>
                <w:highlight w:val="none"/>
              </w:rPr>
            </w:pPr>
          </w:p>
        </w:tc>
        <w:tc>
          <w:tcPr>
            <w:tcW w:w="1183"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419" w:type="dxa"/>
            <w:vAlign w:val="center"/>
          </w:tcPr>
          <w:p>
            <w:pPr>
              <w:shd w:val="clear"/>
              <w:spacing w:line="600" w:lineRule="exact"/>
              <w:jc w:val="center"/>
              <w:rPr>
                <w:rFonts w:ascii="仿宋_GB2312" w:eastAsia="仿宋_GB2312"/>
                <w:sz w:val="20"/>
                <w:szCs w:val="15"/>
                <w:highlight w:val="none"/>
              </w:rPr>
            </w:pPr>
          </w:p>
        </w:tc>
        <w:tc>
          <w:tcPr>
            <w:tcW w:w="1188" w:type="dxa"/>
            <w:vAlign w:val="center"/>
          </w:tcPr>
          <w:p>
            <w:pPr>
              <w:shd w:val="clear"/>
              <w:spacing w:line="600" w:lineRule="exact"/>
              <w:jc w:val="center"/>
              <w:rPr>
                <w:rFonts w:ascii="仿宋_GB2312" w:eastAsia="仿宋_GB2312"/>
                <w:sz w:val="20"/>
                <w:szCs w:val="15"/>
                <w:highlight w:val="none"/>
              </w:rPr>
            </w:pPr>
          </w:p>
        </w:tc>
      </w:tr>
    </w:tbl>
    <w:p>
      <w:pPr>
        <w:shd w:val="clear"/>
        <w:spacing w:line="360" w:lineRule="auto"/>
        <w:rPr>
          <w:rFonts w:ascii="宋体"/>
          <w:b/>
          <w:bCs/>
          <w:highlight w:val="none"/>
        </w:rPr>
      </w:pPr>
      <w:r>
        <w:rPr>
          <w:rFonts w:hint="eastAsia" w:ascii="宋体" w:hAnsi="宋体" w:cs="宋体"/>
          <w:b/>
          <w:bCs/>
          <w:highlight w:val="none"/>
        </w:rPr>
        <w:t>要求：</w:t>
      </w:r>
    </w:p>
    <w:p>
      <w:pPr>
        <w:shd w:val="clear"/>
        <w:spacing w:line="360" w:lineRule="auto"/>
        <w:ind w:left="437"/>
        <w:rPr>
          <w:rFonts w:ascii="宋体"/>
          <w:highlight w:val="none"/>
        </w:rPr>
      </w:pPr>
      <w:r>
        <w:rPr>
          <w:rFonts w:hint="eastAsia" w:ascii="宋体" w:hAnsi="宋体" w:cs="宋体"/>
          <w:highlight w:val="none"/>
        </w:rPr>
        <w:t>1.在填写时，如本表格不适合投标人的实际情况，可根据本表格式自行划表填写。</w:t>
      </w:r>
    </w:p>
    <w:p>
      <w:pPr>
        <w:pStyle w:val="52"/>
        <w:shd w:val="clear"/>
        <w:spacing w:line="360" w:lineRule="auto"/>
        <w:ind w:left="424" w:leftChars="202"/>
        <w:rPr>
          <w:rFonts w:ascii="宋体"/>
          <w:highlight w:val="none"/>
        </w:rPr>
      </w:pPr>
      <w:r>
        <w:rPr>
          <w:rFonts w:ascii="宋体" w:hAnsi="宋体" w:cs="宋体"/>
          <w:highlight w:val="none"/>
        </w:rPr>
        <w:t>2.</w:t>
      </w:r>
      <w:r>
        <w:rPr>
          <w:rFonts w:hint="eastAsia" w:ascii="宋体" w:hAnsi="宋体" w:cs="宋体"/>
          <w:highlight w:val="none"/>
        </w:rPr>
        <w:t>附人员证书复印件；</w:t>
      </w:r>
    </w:p>
    <w:p>
      <w:pPr>
        <w:pStyle w:val="52"/>
        <w:shd w:val="clear"/>
        <w:spacing w:line="360" w:lineRule="auto"/>
        <w:ind w:left="424" w:hanging="424" w:hangingChars="202"/>
        <w:rPr>
          <w:rFonts w:ascii="宋体" w:hAnsi="宋体" w:cs="宋体"/>
          <w:sz w:val="24"/>
          <w:szCs w:val="24"/>
          <w:highlight w:val="none"/>
        </w:rPr>
      </w:pPr>
      <w:r>
        <w:rPr>
          <w:rFonts w:hint="eastAsia" w:ascii="宋体" w:hAnsi="宋体" w:cs="宋体"/>
          <w:highlight w:val="none"/>
        </w:rPr>
        <w:t>　　</w:t>
      </w:r>
      <w:r>
        <w:rPr>
          <w:rFonts w:ascii="宋体" w:hAnsi="宋体" w:cs="宋体"/>
          <w:highlight w:val="none"/>
        </w:rPr>
        <w:t>3.</w:t>
      </w:r>
      <w:r>
        <w:rPr>
          <w:rFonts w:hint="eastAsia" w:ascii="宋体" w:hAnsi="宋体" w:cs="宋体"/>
          <w:highlight w:val="none"/>
        </w:rPr>
        <w:t>出具上述人员在本单位服务的外部证明，如：投标截止前三个月的《社会保险参保人员证明》等。</w:t>
      </w:r>
    </w:p>
    <w:p>
      <w:pPr>
        <w:shd w:val="clear"/>
        <w:spacing w:line="360" w:lineRule="auto"/>
        <w:ind w:firstLine="480" w:firstLineChars="200"/>
        <w:rPr>
          <w:rFonts w:ascii="宋体" w:hAnsi="宋体" w:cs="宋体"/>
          <w:sz w:val="24"/>
          <w:szCs w:val="24"/>
          <w:highlight w:val="none"/>
        </w:rPr>
      </w:pPr>
    </w:p>
    <w:p>
      <w:pPr>
        <w:shd w:val="clear"/>
        <w:spacing w:line="360" w:lineRule="auto"/>
        <w:ind w:firstLine="480" w:firstLineChars="200"/>
        <w:rPr>
          <w:rFonts w:ascii="宋体"/>
          <w:sz w:val="24"/>
          <w:szCs w:val="24"/>
          <w:highlight w:val="none"/>
        </w:rPr>
      </w:pPr>
      <w:r>
        <w:rPr>
          <w:rFonts w:hint="eastAsia" w:ascii="宋体" w:hAnsi="宋体" w:cs="宋体"/>
          <w:sz w:val="24"/>
          <w:szCs w:val="24"/>
          <w:highlight w:val="none"/>
        </w:rPr>
        <w:t>投标人名称（盖章）：</w:t>
      </w:r>
    </w:p>
    <w:p>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pPr>
        <w:shd w:val="clea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pPr>
        <w:shd w:val="clear"/>
        <w:spacing w:line="360" w:lineRule="auto"/>
        <w:rPr>
          <w:rFonts w:ascii="宋体" w:hAnsi="宋体" w:cs="宋体"/>
          <w:b/>
          <w:bCs/>
          <w:color w:val="000000"/>
          <w:sz w:val="24"/>
          <w:highlight w:val="none"/>
          <w:lang w:bidi="ar"/>
        </w:rPr>
      </w:pPr>
      <w:r>
        <w:rPr>
          <w:rFonts w:ascii="宋体"/>
          <w:sz w:val="24"/>
          <w:szCs w:val="24"/>
          <w:highlight w:val="none"/>
        </w:rPr>
        <w:br w:type="page"/>
      </w:r>
      <w:r>
        <w:rPr>
          <w:rFonts w:hint="eastAsia" w:ascii="宋体" w:hAnsi="宋体" w:cs="宋体"/>
          <w:b/>
          <w:bCs/>
          <w:color w:val="000000"/>
          <w:sz w:val="24"/>
          <w:highlight w:val="none"/>
          <w:lang w:bidi="ar"/>
        </w:rPr>
        <w:t>附件</w:t>
      </w:r>
      <w:r>
        <w:rPr>
          <w:rFonts w:hint="eastAsia" w:hAnsi="宋体" w:cs="宋体"/>
          <w:b/>
          <w:bCs/>
          <w:color w:val="000000"/>
          <w:sz w:val="24"/>
          <w:highlight w:val="none"/>
          <w:lang w:bidi="ar"/>
        </w:rPr>
        <w:t>5</w:t>
      </w:r>
      <w:r>
        <w:rPr>
          <w:rFonts w:hint="eastAsia" w:ascii="宋体" w:hAnsi="宋体" w:cs="宋体"/>
          <w:b/>
          <w:bCs/>
          <w:color w:val="000000"/>
          <w:sz w:val="24"/>
          <w:highlight w:val="none"/>
          <w:lang w:bidi="ar"/>
        </w:rPr>
        <w:t>：</w:t>
      </w:r>
    </w:p>
    <w:p>
      <w:pPr>
        <w:pStyle w:val="12"/>
        <w:shd w:val="clear"/>
        <w:spacing w:before="120" w:after="120" w:line="480" w:lineRule="auto"/>
        <w:jc w:val="center"/>
        <w:rPr>
          <w:rFonts w:hAnsi="宋体"/>
          <w:b/>
          <w:sz w:val="32"/>
          <w:szCs w:val="32"/>
          <w:highlight w:val="none"/>
          <w:lang w:bidi="ar"/>
        </w:rPr>
      </w:pPr>
      <w:r>
        <w:rPr>
          <w:rFonts w:hint="eastAsia" w:hAnsi="宋体"/>
          <w:b/>
          <w:sz w:val="32"/>
          <w:szCs w:val="32"/>
          <w:highlight w:val="none"/>
          <w:lang w:eastAsia="zh-CN" w:bidi="ar"/>
        </w:rPr>
        <w:t>温岭市2024年度控制性详细规划编制采购</w:t>
      </w:r>
      <w:r>
        <w:rPr>
          <w:rFonts w:hAnsi="宋体"/>
          <w:b/>
          <w:sz w:val="32"/>
          <w:szCs w:val="32"/>
          <w:highlight w:val="none"/>
          <w:lang w:bidi="ar"/>
        </w:rPr>
        <w:t>类似业绩一览表</w:t>
      </w:r>
    </w:p>
    <w:p>
      <w:pPr>
        <w:pStyle w:val="12"/>
        <w:shd w:val="clear"/>
        <w:spacing w:before="120" w:after="120" w:line="480" w:lineRule="auto"/>
        <w:rPr>
          <w:rFonts w:hAnsi="宋体"/>
          <w:b/>
          <w:sz w:val="32"/>
          <w:szCs w:val="32"/>
          <w:highlight w:val="none"/>
          <w:lang w:bidi="ar"/>
        </w:rPr>
      </w:pPr>
      <w:r>
        <w:rPr>
          <w:rFonts w:hint="eastAsia" w:hAnsi="宋体"/>
          <w:color w:val="000000"/>
          <w:sz w:val="24"/>
          <w:highlight w:val="none"/>
        </w:rPr>
        <w:t>项目编号：</w:t>
      </w:r>
      <w:r>
        <w:rPr>
          <w:rFonts w:hint="eastAsia" w:hAnsi="宋体"/>
          <w:sz w:val="24"/>
          <w:highlight w:val="none"/>
        </w:rPr>
        <w:t xml:space="preserve">                                      </w:t>
      </w:r>
    </w:p>
    <w:tbl>
      <w:tblPr>
        <w:tblStyle w:val="22"/>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序号</w:t>
            </w:r>
          </w:p>
        </w:tc>
        <w:tc>
          <w:tcPr>
            <w:tcW w:w="1983"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项目名称</w:t>
            </w:r>
          </w:p>
        </w:tc>
        <w:tc>
          <w:tcPr>
            <w:tcW w:w="1626"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业主名称</w:t>
            </w:r>
          </w:p>
        </w:tc>
        <w:tc>
          <w:tcPr>
            <w:tcW w:w="1468"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合同金额</w:t>
            </w:r>
          </w:p>
        </w:tc>
        <w:tc>
          <w:tcPr>
            <w:tcW w:w="1239"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签约日期</w:t>
            </w:r>
          </w:p>
        </w:tc>
        <w:tc>
          <w:tcPr>
            <w:tcW w:w="1645" w:type="dxa"/>
            <w:vAlign w:val="center"/>
          </w:tcPr>
          <w:p>
            <w:pPr>
              <w:shd w:val="clear"/>
              <w:jc w:val="center"/>
              <w:rPr>
                <w:rFonts w:ascii="宋体" w:hAnsi="宋体"/>
                <w:caps/>
                <w:spacing w:val="20"/>
                <w:highlight w:val="none"/>
              </w:rPr>
            </w:pPr>
            <w:r>
              <w:rPr>
                <w:rFonts w:hint="eastAsia" w:ascii="宋体" w:hAnsi="宋体"/>
                <w:caps/>
                <w:spacing w:val="20"/>
                <w:highlight w:val="none"/>
              </w:rPr>
              <w:t>业主单位联系人及电话</w:t>
            </w:r>
          </w:p>
        </w:tc>
        <w:tc>
          <w:tcPr>
            <w:tcW w:w="1325" w:type="dxa"/>
            <w:vAlign w:val="center"/>
          </w:tcPr>
          <w:p>
            <w:pPr>
              <w:shd w:val="clear"/>
              <w:jc w:val="center"/>
              <w:rPr>
                <w:rFonts w:ascii="宋体" w:hAnsi="宋体"/>
                <w:caps/>
                <w:spacing w:val="20"/>
                <w:highlight w:val="none"/>
              </w:rPr>
            </w:pPr>
            <w:r>
              <w:rPr>
                <w:rFonts w:hint="eastAsia" w:ascii="宋体" w:hAnsi="宋体"/>
                <w:caps/>
                <w:spacing w:val="20"/>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1</w:t>
            </w:r>
          </w:p>
        </w:tc>
        <w:tc>
          <w:tcPr>
            <w:tcW w:w="1983"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26"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2</w:t>
            </w:r>
          </w:p>
        </w:tc>
        <w:tc>
          <w:tcPr>
            <w:tcW w:w="1983" w:type="dxa"/>
            <w:vAlign w:val="center"/>
          </w:tcPr>
          <w:p>
            <w:pPr>
              <w:shd w:val="clear"/>
              <w:spacing w:line="360" w:lineRule="auto"/>
              <w:rPr>
                <w:rFonts w:ascii="宋体" w:hAnsi="宋体"/>
                <w:spacing w:val="20"/>
                <w:sz w:val="24"/>
                <w:highlight w:val="none"/>
              </w:rPr>
            </w:pPr>
          </w:p>
        </w:tc>
        <w:tc>
          <w:tcPr>
            <w:tcW w:w="1626"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3</w:t>
            </w:r>
          </w:p>
        </w:tc>
        <w:tc>
          <w:tcPr>
            <w:tcW w:w="1983" w:type="dxa"/>
            <w:vAlign w:val="center"/>
          </w:tcPr>
          <w:p>
            <w:pPr>
              <w:shd w:val="clear"/>
              <w:spacing w:line="360" w:lineRule="auto"/>
              <w:rPr>
                <w:rFonts w:ascii="宋体" w:hAnsi="宋体"/>
                <w:spacing w:val="20"/>
                <w:sz w:val="24"/>
                <w:highlight w:val="none"/>
              </w:rPr>
            </w:pPr>
            <w:r>
              <w:rPr>
                <w:rFonts w:ascii="宋体" w:hAnsi="宋体"/>
                <w:highlight w:val="none"/>
              </w:rPr>
              <w:t> </w:t>
            </w:r>
            <w:r>
              <w:rPr>
                <w:rFonts w:hint="eastAsia" w:ascii="宋体" w:hAnsi="宋体"/>
                <w:highlight w:val="none"/>
              </w:rPr>
              <w:t>……</w:t>
            </w:r>
          </w:p>
        </w:tc>
        <w:tc>
          <w:tcPr>
            <w:tcW w:w="1626"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4</w:t>
            </w:r>
          </w:p>
        </w:tc>
        <w:tc>
          <w:tcPr>
            <w:tcW w:w="1983"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26"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5</w:t>
            </w:r>
          </w:p>
        </w:tc>
        <w:tc>
          <w:tcPr>
            <w:tcW w:w="1983" w:type="dxa"/>
            <w:vAlign w:val="center"/>
          </w:tcPr>
          <w:p>
            <w:pPr>
              <w:shd w:val="clear"/>
              <w:spacing w:line="360" w:lineRule="auto"/>
              <w:rPr>
                <w:rFonts w:ascii="宋体" w:hAnsi="宋体"/>
                <w:highlight w:val="none"/>
              </w:rPr>
            </w:pPr>
          </w:p>
        </w:tc>
        <w:tc>
          <w:tcPr>
            <w:tcW w:w="1626" w:type="dxa"/>
            <w:vAlign w:val="center"/>
          </w:tcPr>
          <w:p>
            <w:pPr>
              <w:shd w:val="clear"/>
              <w:spacing w:line="360" w:lineRule="auto"/>
              <w:rPr>
                <w:rFonts w:ascii="宋体" w:hAnsi="宋体"/>
                <w:highlight w:val="none"/>
              </w:rPr>
            </w:pPr>
          </w:p>
        </w:tc>
        <w:tc>
          <w:tcPr>
            <w:tcW w:w="1468" w:type="dxa"/>
            <w:vAlign w:val="center"/>
          </w:tcPr>
          <w:p>
            <w:pPr>
              <w:shd w:val="clear"/>
              <w:spacing w:line="360" w:lineRule="auto"/>
              <w:rPr>
                <w:rFonts w:ascii="宋体" w:hAnsi="宋体"/>
                <w:highlight w:val="none"/>
              </w:rPr>
            </w:pPr>
          </w:p>
        </w:tc>
        <w:tc>
          <w:tcPr>
            <w:tcW w:w="1239" w:type="dxa"/>
            <w:vAlign w:val="center"/>
          </w:tcPr>
          <w:p>
            <w:pPr>
              <w:shd w:val="clear"/>
              <w:spacing w:line="360" w:lineRule="auto"/>
              <w:rPr>
                <w:rFonts w:ascii="宋体" w:hAnsi="宋体"/>
                <w:highlight w:val="none"/>
              </w:rPr>
            </w:pPr>
          </w:p>
        </w:tc>
        <w:tc>
          <w:tcPr>
            <w:tcW w:w="1645" w:type="dxa"/>
            <w:vAlign w:val="center"/>
          </w:tcPr>
          <w:p>
            <w:pPr>
              <w:shd w:val="clear"/>
              <w:spacing w:line="360" w:lineRule="auto"/>
              <w:rPr>
                <w:rFonts w:ascii="宋体" w:hAnsi="宋体"/>
                <w:highlight w:val="none"/>
              </w:rPr>
            </w:pP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6</w:t>
            </w:r>
          </w:p>
        </w:tc>
        <w:tc>
          <w:tcPr>
            <w:tcW w:w="1983" w:type="dxa"/>
            <w:vAlign w:val="center"/>
          </w:tcPr>
          <w:p>
            <w:pPr>
              <w:shd w:val="clear"/>
              <w:spacing w:line="360" w:lineRule="auto"/>
              <w:rPr>
                <w:rFonts w:ascii="宋体" w:hAnsi="宋体"/>
                <w:highlight w:val="none"/>
              </w:rPr>
            </w:pPr>
          </w:p>
        </w:tc>
        <w:tc>
          <w:tcPr>
            <w:tcW w:w="1626" w:type="dxa"/>
            <w:vAlign w:val="center"/>
          </w:tcPr>
          <w:p>
            <w:pPr>
              <w:shd w:val="clear"/>
              <w:spacing w:line="360" w:lineRule="auto"/>
              <w:rPr>
                <w:rFonts w:ascii="宋体" w:hAnsi="宋体"/>
                <w:highlight w:val="none"/>
              </w:rPr>
            </w:pPr>
          </w:p>
        </w:tc>
        <w:tc>
          <w:tcPr>
            <w:tcW w:w="1468" w:type="dxa"/>
            <w:vAlign w:val="center"/>
          </w:tcPr>
          <w:p>
            <w:pPr>
              <w:shd w:val="clear"/>
              <w:spacing w:line="360" w:lineRule="auto"/>
              <w:rPr>
                <w:rFonts w:ascii="宋体" w:hAnsi="宋体"/>
                <w:highlight w:val="none"/>
              </w:rPr>
            </w:pPr>
          </w:p>
        </w:tc>
        <w:tc>
          <w:tcPr>
            <w:tcW w:w="1239" w:type="dxa"/>
            <w:vAlign w:val="center"/>
          </w:tcPr>
          <w:p>
            <w:pPr>
              <w:shd w:val="clear"/>
              <w:spacing w:line="360" w:lineRule="auto"/>
              <w:rPr>
                <w:rFonts w:ascii="宋体" w:hAnsi="宋体"/>
                <w:highlight w:val="none"/>
              </w:rPr>
            </w:pPr>
          </w:p>
        </w:tc>
        <w:tc>
          <w:tcPr>
            <w:tcW w:w="1645" w:type="dxa"/>
            <w:vAlign w:val="center"/>
          </w:tcPr>
          <w:p>
            <w:pPr>
              <w:shd w:val="clear"/>
              <w:spacing w:line="360" w:lineRule="auto"/>
              <w:rPr>
                <w:rFonts w:ascii="宋体" w:hAnsi="宋体"/>
                <w:highlight w:val="none"/>
              </w:rPr>
            </w:pP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7</w:t>
            </w:r>
          </w:p>
        </w:tc>
        <w:tc>
          <w:tcPr>
            <w:tcW w:w="1983" w:type="dxa"/>
            <w:vAlign w:val="center"/>
          </w:tcPr>
          <w:p>
            <w:pPr>
              <w:shd w:val="clear"/>
              <w:spacing w:line="360" w:lineRule="auto"/>
              <w:rPr>
                <w:rFonts w:ascii="宋体" w:hAnsi="宋体"/>
                <w:highlight w:val="none"/>
              </w:rPr>
            </w:pPr>
          </w:p>
        </w:tc>
        <w:tc>
          <w:tcPr>
            <w:tcW w:w="1626" w:type="dxa"/>
            <w:vAlign w:val="center"/>
          </w:tcPr>
          <w:p>
            <w:pPr>
              <w:shd w:val="clear"/>
              <w:spacing w:line="360" w:lineRule="auto"/>
              <w:rPr>
                <w:rFonts w:ascii="宋体" w:hAnsi="宋体"/>
                <w:highlight w:val="none"/>
              </w:rPr>
            </w:pPr>
          </w:p>
        </w:tc>
        <w:tc>
          <w:tcPr>
            <w:tcW w:w="1468" w:type="dxa"/>
            <w:vAlign w:val="center"/>
          </w:tcPr>
          <w:p>
            <w:pPr>
              <w:shd w:val="clear"/>
              <w:spacing w:line="360" w:lineRule="auto"/>
              <w:rPr>
                <w:rFonts w:ascii="宋体" w:hAnsi="宋体"/>
                <w:highlight w:val="none"/>
              </w:rPr>
            </w:pPr>
          </w:p>
        </w:tc>
        <w:tc>
          <w:tcPr>
            <w:tcW w:w="1239" w:type="dxa"/>
            <w:vAlign w:val="center"/>
          </w:tcPr>
          <w:p>
            <w:pPr>
              <w:shd w:val="clear"/>
              <w:spacing w:line="360" w:lineRule="auto"/>
              <w:rPr>
                <w:rFonts w:ascii="宋体" w:hAnsi="宋体"/>
                <w:highlight w:val="none"/>
              </w:rPr>
            </w:pPr>
          </w:p>
        </w:tc>
        <w:tc>
          <w:tcPr>
            <w:tcW w:w="1645" w:type="dxa"/>
            <w:vAlign w:val="center"/>
          </w:tcPr>
          <w:p>
            <w:pPr>
              <w:shd w:val="clear"/>
              <w:spacing w:line="360" w:lineRule="auto"/>
              <w:rPr>
                <w:rFonts w:ascii="宋体" w:hAnsi="宋体"/>
                <w:highlight w:val="none"/>
              </w:rPr>
            </w:pPr>
          </w:p>
        </w:tc>
        <w:tc>
          <w:tcPr>
            <w:tcW w:w="1325" w:type="dxa"/>
            <w:vAlign w:val="center"/>
          </w:tcPr>
          <w:p>
            <w:pPr>
              <w:shd w:val="clear"/>
              <w:spacing w:line="360" w:lineRule="auto"/>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hd w:val="clear"/>
              <w:spacing w:line="360" w:lineRule="auto"/>
              <w:jc w:val="center"/>
              <w:rPr>
                <w:rFonts w:ascii="宋体" w:hAnsi="宋体"/>
                <w:caps/>
                <w:spacing w:val="20"/>
                <w:highlight w:val="none"/>
              </w:rPr>
            </w:pPr>
            <w:r>
              <w:rPr>
                <w:rFonts w:hint="eastAsia" w:ascii="宋体" w:hAnsi="宋体"/>
                <w:caps/>
                <w:spacing w:val="20"/>
                <w:highlight w:val="none"/>
              </w:rPr>
              <w:t>8</w:t>
            </w:r>
          </w:p>
        </w:tc>
        <w:tc>
          <w:tcPr>
            <w:tcW w:w="1983"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26"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468"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239"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645" w:type="dxa"/>
            <w:vAlign w:val="center"/>
          </w:tcPr>
          <w:p>
            <w:pPr>
              <w:shd w:val="clear"/>
              <w:spacing w:line="360" w:lineRule="auto"/>
              <w:rPr>
                <w:rFonts w:ascii="宋体" w:hAnsi="宋体"/>
                <w:spacing w:val="20"/>
                <w:sz w:val="24"/>
                <w:highlight w:val="none"/>
              </w:rPr>
            </w:pPr>
            <w:r>
              <w:rPr>
                <w:rFonts w:ascii="宋体" w:hAnsi="宋体"/>
                <w:highlight w:val="none"/>
              </w:rPr>
              <w:t> </w:t>
            </w:r>
          </w:p>
        </w:tc>
        <w:tc>
          <w:tcPr>
            <w:tcW w:w="1325" w:type="dxa"/>
            <w:vAlign w:val="center"/>
          </w:tcPr>
          <w:p>
            <w:pPr>
              <w:shd w:val="clear"/>
              <w:spacing w:line="360" w:lineRule="auto"/>
              <w:rPr>
                <w:rFonts w:ascii="宋体" w:hAnsi="宋体"/>
                <w:highlight w:val="none"/>
              </w:rPr>
            </w:pPr>
          </w:p>
        </w:tc>
      </w:tr>
    </w:tbl>
    <w:p>
      <w:pPr>
        <w:shd w:val="clear"/>
        <w:tabs>
          <w:tab w:val="left" w:pos="4525"/>
        </w:tabs>
        <w:spacing w:line="460" w:lineRule="exact"/>
        <w:jc w:val="left"/>
        <w:rPr>
          <w:rFonts w:hAnsi="宋体"/>
          <w:sz w:val="24"/>
          <w:highlight w:val="none"/>
        </w:rPr>
      </w:pPr>
      <w:r>
        <w:rPr>
          <w:rFonts w:hint="eastAsia" w:hAnsi="宋体"/>
          <w:sz w:val="24"/>
          <w:highlight w:val="none"/>
        </w:rPr>
        <w:t>注：以上内容填写必须完整、真实，需提供相关业绩合同的复印件资料及投标人认为需要提供的证明材料。</w:t>
      </w:r>
    </w:p>
    <w:p>
      <w:pPr>
        <w:shd w:val="clear"/>
        <w:tabs>
          <w:tab w:val="left" w:pos="4525"/>
        </w:tabs>
        <w:spacing w:line="460" w:lineRule="exact"/>
        <w:jc w:val="left"/>
        <w:rPr>
          <w:rFonts w:hAnsi="宋体"/>
          <w:sz w:val="24"/>
          <w:highlight w:val="none"/>
        </w:rPr>
      </w:pPr>
    </w:p>
    <w:p>
      <w:pPr>
        <w:shd w:val="clear"/>
        <w:tabs>
          <w:tab w:val="left" w:pos="4525"/>
        </w:tabs>
        <w:spacing w:line="460" w:lineRule="exact"/>
        <w:jc w:val="left"/>
        <w:rPr>
          <w:rFonts w:hAnsi="宋体"/>
          <w:sz w:val="24"/>
          <w:highlight w:val="none"/>
        </w:rPr>
      </w:pPr>
      <w:r>
        <w:rPr>
          <w:rFonts w:hint="eastAsia" w:hAnsi="宋体"/>
          <w:sz w:val="24"/>
          <w:highlight w:val="none"/>
        </w:rPr>
        <w:t>投标人全称</w:t>
      </w:r>
      <w:r>
        <w:rPr>
          <w:rFonts w:hint="eastAsia" w:hAnsi="宋体"/>
          <w:sz w:val="24"/>
          <w:highlight w:val="none"/>
          <w:lang w:eastAsia="zh-CN"/>
        </w:rPr>
        <w:t>（</w:t>
      </w:r>
      <w:r>
        <w:rPr>
          <w:rFonts w:hint="eastAsia" w:hAnsi="宋体"/>
          <w:sz w:val="24"/>
          <w:highlight w:val="none"/>
        </w:rPr>
        <w:t>单位公章</w:t>
      </w:r>
      <w:r>
        <w:rPr>
          <w:rFonts w:hint="eastAsia" w:hAnsi="宋体"/>
          <w:sz w:val="24"/>
          <w:highlight w:val="none"/>
          <w:lang w:eastAsia="zh-CN"/>
        </w:rPr>
        <w:t>）</w:t>
      </w:r>
      <w:r>
        <w:rPr>
          <w:rFonts w:hint="eastAsia" w:hAnsi="宋体"/>
          <w:sz w:val="24"/>
          <w:highlight w:val="none"/>
        </w:rPr>
        <w:t>：</w:t>
      </w:r>
    </w:p>
    <w:p>
      <w:pPr>
        <w:shd w:val="clea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pPr>
        <w:shd w:val="clear"/>
        <w:tabs>
          <w:tab w:val="left" w:pos="4525"/>
        </w:tabs>
        <w:spacing w:line="460" w:lineRule="exact"/>
        <w:jc w:val="left"/>
        <w:rPr>
          <w:rFonts w:hAnsi="宋体"/>
          <w:sz w:val="24"/>
          <w:highlight w:val="none"/>
        </w:rPr>
      </w:pPr>
      <w:r>
        <w:rPr>
          <w:rFonts w:hint="eastAsia" w:hAnsi="宋体"/>
          <w:sz w:val="24"/>
          <w:highlight w:val="none"/>
        </w:rPr>
        <w:t>日    期：</w:t>
      </w:r>
    </w:p>
    <w:p>
      <w:pPr>
        <w:widowControl/>
        <w:shd w:val="clear"/>
        <w:snapToGrid w:val="0"/>
        <w:spacing w:line="560" w:lineRule="exact"/>
        <w:rPr>
          <w:rFonts w:ascii="宋体" w:hAnsi="宋体" w:cs="宋体"/>
          <w:b/>
          <w:kern w:val="0"/>
          <w:sz w:val="24"/>
          <w:highlight w:val="none"/>
          <w:lang w:bidi="ar"/>
        </w:rPr>
      </w:pPr>
    </w:p>
    <w:p>
      <w:pPr>
        <w:pStyle w:val="12"/>
        <w:shd w:val="clear"/>
        <w:spacing w:before="120" w:after="120" w:line="480" w:lineRule="auto"/>
        <w:rPr>
          <w:rFonts w:hAnsi="宋体"/>
          <w:b/>
          <w:bCs/>
          <w:spacing w:val="21"/>
          <w:kern w:val="0"/>
          <w:sz w:val="32"/>
          <w:szCs w:val="32"/>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hd w:val="clear"/>
        <w:jc w:val="left"/>
        <w:rPr>
          <w:rFonts w:ascii="宋体"/>
          <w:b/>
          <w:bCs/>
          <w:sz w:val="24"/>
          <w:szCs w:val="24"/>
          <w:highlight w:val="none"/>
        </w:rPr>
      </w:pPr>
      <w:r>
        <w:rPr>
          <w:rFonts w:hint="eastAsia" w:ascii="宋体" w:hAnsi="宋体" w:cs="宋体"/>
          <w:b/>
          <w:bCs/>
          <w:sz w:val="24"/>
          <w:szCs w:val="24"/>
          <w:highlight w:val="none"/>
        </w:rPr>
        <w:t>附件6:</w:t>
      </w:r>
    </w:p>
    <w:p>
      <w:pPr>
        <w:pStyle w:val="12"/>
        <w:shd w:val="clear"/>
        <w:spacing w:before="120" w:after="120" w:line="480" w:lineRule="auto"/>
        <w:jc w:val="center"/>
        <w:rPr>
          <w:rFonts w:hAnsi="宋体"/>
          <w:b/>
          <w:bCs/>
          <w:spacing w:val="21"/>
          <w:kern w:val="0"/>
          <w:sz w:val="32"/>
          <w:szCs w:val="32"/>
          <w:highlight w:val="none"/>
        </w:rPr>
      </w:pPr>
      <w:r>
        <w:rPr>
          <w:rFonts w:hint="eastAsia" w:hAnsi="宋体"/>
          <w:b/>
          <w:bCs/>
          <w:spacing w:val="21"/>
          <w:kern w:val="0"/>
          <w:sz w:val="32"/>
          <w:szCs w:val="32"/>
          <w:highlight w:val="none"/>
        </w:rPr>
        <w:t>类似项目情况表</w:t>
      </w:r>
    </w:p>
    <w:p>
      <w:pPr>
        <w:shd w:val="clear"/>
        <w:spacing w:line="360" w:lineRule="auto"/>
        <w:rPr>
          <w:highlight w:val="none"/>
        </w:rPr>
      </w:pPr>
      <w:r>
        <w:rPr>
          <w:rFonts w:hint="eastAsia" w:hAnsi="宋体"/>
          <w:color w:val="000000"/>
          <w:sz w:val="24"/>
          <w:highlight w:val="none"/>
        </w:rPr>
        <w:t xml:space="preserve">项目编号：          </w:t>
      </w:r>
      <w:r>
        <w:rPr>
          <w:rFonts w:hint="eastAsia" w:ascii="宋体" w:hAnsi="宋体"/>
          <w:sz w:val="24"/>
          <w:highlight w:val="none"/>
        </w:rPr>
        <w:t xml:space="preserve">                        </w:t>
      </w:r>
    </w:p>
    <w:tbl>
      <w:tblPr>
        <w:tblStyle w:val="22"/>
        <w:tblW w:w="9719" w:type="dxa"/>
        <w:jc w:val="center"/>
        <w:tblLayout w:type="fixed"/>
        <w:tblCellMar>
          <w:top w:w="0" w:type="dxa"/>
          <w:left w:w="108" w:type="dxa"/>
          <w:bottom w:w="0" w:type="dxa"/>
          <w:right w:w="108" w:type="dxa"/>
        </w:tblCellMar>
      </w:tblPr>
      <w:tblGrid>
        <w:gridCol w:w="2631"/>
        <w:gridCol w:w="7088"/>
      </w:tblGrid>
      <w:tr>
        <w:tblPrEx>
          <w:tblCellMar>
            <w:top w:w="0" w:type="dxa"/>
            <w:left w:w="108" w:type="dxa"/>
            <w:bottom w:w="0" w:type="dxa"/>
            <w:right w:w="108" w:type="dxa"/>
          </w:tblCellMar>
        </w:tblPrEx>
        <w:trPr>
          <w:trHeight w:val="633" w:hRule="atLeast"/>
          <w:jc w:val="center"/>
        </w:trPr>
        <w:tc>
          <w:tcPr>
            <w:tcW w:w="2631" w:type="dxa"/>
            <w:tcBorders>
              <w:top w:val="single" w:color="auto" w:sz="12"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rPr>
              <w:t>项目名称</w:t>
            </w:r>
          </w:p>
        </w:tc>
        <w:tc>
          <w:tcPr>
            <w:tcW w:w="7088" w:type="dxa"/>
            <w:tcBorders>
              <w:top w:val="single" w:color="auto" w:sz="12"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rPr>
              <w:t>项目所在地</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采购人</w:t>
            </w:r>
            <w:r>
              <w:rPr>
                <w:rFonts w:hint="eastAsia" w:ascii="宋体" w:hAnsi="宋体"/>
                <w:color w:val="000000"/>
                <w:highlight w:val="none"/>
              </w:rPr>
              <w:t>名称</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采购人</w:t>
            </w:r>
            <w:r>
              <w:rPr>
                <w:rFonts w:hint="eastAsia" w:ascii="宋体" w:hAnsi="宋体"/>
                <w:color w:val="000000"/>
                <w:highlight w:val="none"/>
              </w:rPr>
              <w:t>地址</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采购人</w:t>
            </w:r>
            <w:r>
              <w:rPr>
                <w:rFonts w:hint="eastAsia" w:ascii="宋体" w:hAnsi="宋体"/>
                <w:color w:val="000000"/>
                <w:highlight w:val="none"/>
              </w:rPr>
              <w:t>电话</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项目负责人</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rPr>
              <w:t>合同价格</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rPr>
              <w:t>合同签订时间</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173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rPr>
              <w:t>项目描述</w:t>
            </w:r>
          </w:p>
        </w:tc>
        <w:tc>
          <w:tcPr>
            <w:tcW w:w="7088" w:type="dxa"/>
            <w:tcBorders>
              <w:top w:val="single" w:color="auto" w:sz="6" w:space="0"/>
              <w:left w:val="nil"/>
              <w:bottom w:val="single" w:color="auto" w:sz="6" w:space="0"/>
              <w:right w:val="single" w:color="auto" w:sz="12" w:space="0"/>
            </w:tcBorders>
            <w:vAlign w:val="center"/>
          </w:tcPr>
          <w:p>
            <w:pPr>
              <w:shd w:val="clear"/>
              <w:wordWrap w:val="0"/>
              <w:spacing w:line="400" w:lineRule="exact"/>
              <w:jc w:val="center"/>
              <w:rPr>
                <w:rFonts w:ascii="宋体" w:hAnsi="宋体"/>
                <w:color w:val="000000"/>
                <w:highlight w:val="none"/>
              </w:rPr>
            </w:pPr>
          </w:p>
        </w:tc>
      </w:tr>
      <w:tr>
        <w:tblPrEx>
          <w:tblCellMar>
            <w:top w:w="0" w:type="dxa"/>
            <w:left w:w="108" w:type="dxa"/>
            <w:bottom w:w="0" w:type="dxa"/>
            <w:right w:w="108" w:type="dxa"/>
          </w:tblCellMar>
        </w:tblPrEx>
        <w:trPr>
          <w:trHeight w:val="779" w:hRule="atLeast"/>
          <w:jc w:val="center"/>
        </w:trPr>
        <w:tc>
          <w:tcPr>
            <w:tcW w:w="2631" w:type="dxa"/>
            <w:tcBorders>
              <w:top w:val="single" w:color="auto" w:sz="6" w:space="0"/>
              <w:left w:val="single" w:color="auto" w:sz="12" w:space="0"/>
              <w:bottom w:val="single" w:color="auto" w:sz="12" w:space="0"/>
              <w:right w:val="single" w:color="auto" w:sz="6" w:space="0"/>
            </w:tcBorders>
            <w:vAlign w:val="center"/>
          </w:tcPr>
          <w:p>
            <w:pPr>
              <w:shd w:val="clear"/>
              <w:wordWrap w:val="0"/>
              <w:spacing w:line="400" w:lineRule="exact"/>
              <w:jc w:val="center"/>
              <w:rPr>
                <w:rFonts w:ascii="宋体" w:hAnsi="宋体"/>
                <w:color w:val="000000"/>
                <w:highlight w:val="none"/>
              </w:rPr>
            </w:pPr>
            <w:r>
              <w:rPr>
                <w:rFonts w:hint="eastAsia" w:ascii="宋体" w:hAnsi="宋体"/>
                <w:color w:val="000000"/>
                <w:highlight w:val="none"/>
              </w:rPr>
              <w:t>备注</w:t>
            </w:r>
          </w:p>
        </w:tc>
        <w:tc>
          <w:tcPr>
            <w:tcW w:w="7088" w:type="dxa"/>
            <w:tcBorders>
              <w:top w:val="single" w:color="auto" w:sz="6" w:space="0"/>
              <w:left w:val="nil"/>
              <w:bottom w:val="single" w:color="auto" w:sz="12" w:space="0"/>
              <w:right w:val="single" w:color="auto" w:sz="12" w:space="0"/>
            </w:tcBorders>
            <w:vAlign w:val="center"/>
          </w:tcPr>
          <w:p>
            <w:pPr>
              <w:shd w:val="clear"/>
              <w:wordWrap w:val="0"/>
              <w:spacing w:line="400" w:lineRule="exact"/>
              <w:jc w:val="center"/>
              <w:rPr>
                <w:rFonts w:ascii="宋体" w:hAnsi="宋体"/>
                <w:color w:val="000000"/>
                <w:highlight w:val="none"/>
              </w:rPr>
            </w:pPr>
          </w:p>
        </w:tc>
      </w:tr>
    </w:tbl>
    <w:p>
      <w:pPr>
        <w:pStyle w:val="66"/>
        <w:shd w:val="clear"/>
        <w:ind w:right="206" w:rightChars="98"/>
        <w:rPr>
          <w:rFonts w:ascii="宋体" w:hAnsi="Courier New"/>
          <w:color w:val="000000"/>
          <w:kern w:val="0"/>
          <w:szCs w:val="21"/>
          <w:highlight w:val="none"/>
        </w:rPr>
      </w:pPr>
      <w:r>
        <w:rPr>
          <w:rFonts w:hint="eastAsia" w:ascii="宋体" w:hAnsi="Courier New"/>
          <w:color w:val="000000"/>
          <w:kern w:val="0"/>
          <w:szCs w:val="21"/>
          <w:highlight w:val="none"/>
        </w:rPr>
        <w:t>注：1.每张表格只填写一个项目，并标明序号。</w:t>
      </w:r>
    </w:p>
    <w:p>
      <w:pPr>
        <w:shd w:val="clear"/>
        <w:ind w:right="206" w:rightChars="98" w:firstLine="420" w:firstLineChars="200"/>
        <w:rPr>
          <w:rFonts w:ascii="宋体" w:hAnsi="Courier New"/>
          <w:color w:val="000000"/>
          <w:kern w:val="0"/>
          <w:highlight w:val="none"/>
        </w:rPr>
      </w:pPr>
      <w:r>
        <w:rPr>
          <w:rFonts w:hint="eastAsia" w:ascii="宋体" w:hAnsi="Courier New"/>
          <w:color w:val="000000"/>
          <w:kern w:val="0"/>
          <w:highlight w:val="none"/>
        </w:rPr>
        <w:t>2.本表后须附相关业绩合同的复印件及投标人认为需要提供的证明材料。</w:t>
      </w:r>
    </w:p>
    <w:p>
      <w:pPr>
        <w:shd w:val="clear"/>
        <w:tabs>
          <w:tab w:val="left" w:pos="4525"/>
        </w:tabs>
        <w:ind w:firstLine="420" w:firstLineChars="200"/>
        <w:jc w:val="left"/>
        <w:rPr>
          <w:rFonts w:ascii="宋体" w:hAnsi="Courier New"/>
          <w:color w:val="000000"/>
          <w:kern w:val="0"/>
          <w:highlight w:val="none"/>
        </w:rPr>
      </w:pPr>
      <w:r>
        <w:rPr>
          <w:rFonts w:hint="eastAsia" w:ascii="宋体" w:hAnsi="Courier New"/>
          <w:color w:val="000000"/>
          <w:kern w:val="0"/>
          <w:highlight w:val="none"/>
        </w:rPr>
        <w:t>3.如近年来，投标人法人机构发生合法变更或重组或法人名称变更时，应提供相关部门的合法批件或其他相关证明材料来证明其所附业绩的继承性。</w:t>
      </w:r>
    </w:p>
    <w:p>
      <w:pPr>
        <w:shd w:val="clear"/>
        <w:tabs>
          <w:tab w:val="left" w:pos="4525"/>
        </w:tabs>
        <w:spacing w:line="460" w:lineRule="exact"/>
        <w:jc w:val="left"/>
        <w:rPr>
          <w:rFonts w:hAnsi="宋体"/>
          <w:sz w:val="24"/>
          <w:highlight w:val="none"/>
        </w:rPr>
      </w:pPr>
    </w:p>
    <w:p>
      <w:pPr>
        <w:shd w:val="clear"/>
        <w:tabs>
          <w:tab w:val="left" w:pos="4525"/>
        </w:tabs>
        <w:spacing w:line="460" w:lineRule="exact"/>
        <w:jc w:val="left"/>
        <w:rPr>
          <w:rFonts w:hAnsi="宋体"/>
          <w:sz w:val="24"/>
          <w:highlight w:val="none"/>
        </w:rPr>
      </w:pPr>
      <w:r>
        <w:rPr>
          <w:rFonts w:hint="eastAsia" w:hAnsi="宋体"/>
          <w:sz w:val="24"/>
          <w:highlight w:val="none"/>
        </w:rPr>
        <w:t>投标人全称（单位公章）：</w:t>
      </w:r>
    </w:p>
    <w:p>
      <w:pPr>
        <w:shd w:val="clea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pPr>
        <w:shd w:val="clear"/>
        <w:tabs>
          <w:tab w:val="left" w:pos="4525"/>
        </w:tabs>
        <w:spacing w:line="460" w:lineRule="exact"/>
        <w:jc w:val="left"/>
        <w:rPr>
          <w:rFonts w:hint="eastAsia" w:hAnsi="宋体"/>
          <w:sz w:val="24"/>
          <w:highlight w:val="none"/>
        </w:rPr>
      </w:pPr>
      <w:r>
        <w:rPr>
          <w:rFonts w:hint="eastAsia" w:hAnsi="宋体"/>
          <w:sz w:val="24"/>
          <w:highlight w:val="none"/>
        </w:rPr>
        <w:t>日  期：</w:t>
      </w:r>
    </w:p>
    <w:p>
      <w:pPr>
        <w:shd w:val="clear"/>
        <w:rPr>
          <w:rFonts w:hint="eastAsia" w:hAnsi="宋体"/>
          <w:sz w:val="24"/>
          <w:highlight w:val="none"/>
        </w:rPr>
      </w:pPr>
      <w:r>
        <w:rPr>
          <w:rFonts w:hint="eastAsia" w:hAnsi="宋体"/>
          <w:sz w:val="24"/>
          <w:highlight w:val="none"/>
        </w:rPr>
        <w:br w:type="page"/>
      </w:r>
    </w:p>
    <w:p>
      <w:pPr>
        <w:pStyle w:val="12"/>
        <w:shd w:val="clear"/>
        <w:spacing w:before="120" w:after="120" w:line="480" w:lineRule="auto"/>
        <w:rPr>
          <w:rFonts w:hAnsi="宋体"/>
          <w:b/>
          <w:bCs/>
          <w:color w:val="000000" w:themeColor="text1"/>
          <w:sz w:val="24"/>
          <w:highlight w:val="none"/>
          <w:lang w:bidi="ar"/>
          <w14:textFill>
            <w14:solidFill>
              <w14:schemeClr w14:val="tx1"/>
            </w14:solidFill>
          </w14:textFill>
        </w:rPr>
      </w:pPr>
      <w:r>
        <w:rPr>
          <w:rFonts w:hint="eastAsia" w:hAnsi="宋体"/>
          <w:b/>
          <w:bCs/>
          <w:color w:val="000000" w:themeColor="text1"/>
          <w:sz w:val="24"/>
          <w:highlight w:val="none"/>
          <w:lang w:bidi="ar"/>
          <w14:textFill>
            <w14:solidFill>
              <w14:schemeClr w14:val="tx1"/>
            </w14:solidFill>
          </w14:textFill>
        </w:rPr>
        <w:t>附件7：</w:t>
      </w:r>
    </w:p>
    <w:p>
      <w:pPr>
        <w:pStyle w:val="2"/>
        <w:shd w:val="clear"/>
        <w:spacing w:line="400" w:lineRule="exact"/>
        <w:jc w:val="center"/>
        <w:rPr>
          <w:rFonts w:hint="default" w:cs="宋体"/>
          <w:bCs/>
          <w:color w:val="000000" w:themeColor="text1"/>
          <w:spacing w:val="21"/>
          <w:sz w:val="32"/>
          <w:szCs w:val="32"/>
          <w:highlight w:val="none"/>
          <w14:textFill>
            <w14:solidFill>
              <w14:schemeClr w14:val="tx1"/>
            </w14:solidFill>
          </w14:textFill>
        </w:rPr>
      </w:pPr>
      <w:r>
        <w:rPr>
          <w:rFonts w:cs="宋体"/>
          <w:bCs/>
          <w:color w:val="000000" w:themeColor="text1"/>
          <w:spacing w:val="21"/>
          <w:sz w:val="32"/>
          <w:szCs w:val="32"/>
          <w:highlight w:val="none"/>
          <w14:textFill>
            <w14:solidFill>
              <w14:schemeClr w14:val="tx1"/>
            </w14:solidFill>
          </w14:textFill>
        </w:rPr>
        <w:t>技术、商务响应表</w:t>
      </w:r>
    </w:p>
    <w:p>
      <w:pPr>
        <w:shd w:val="clear"/>
        <w:autoSpaceDE w:val="0"/>
        <w:autoSpaceDN w:val="0"/>
        <w:adjustRightInd w:val="0"/>
        <w:spacing w:line="450" w:lineRule="exact"/>
        <w:ind w:firstLine="120" w:firstLineChars="5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项目编号：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1" w:hRule="atLeast"/>
          <w:jc w:val="center"/>
        </w:trPr>
        <w:tc>
          <w:tcPr>
            <w:tcW w:w="1549" w:type="dxa"/>
            <w:gridSpan w:val="2"/>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序号</w:t>
            </w:r>
          </w:p>
        </w:tc>
        <w:tc>
          <w:tcPr>
            <w:tcW w:w="1189" w:type="dxa"/>
            <w:vAlign w:val="center"/>
          </w:tcPr>
          <w:p>
            <w:pPr>
              <w:shd w:val="clear"/>
              <w:autoSpaceDE w:val="0"/>
              <w:autoSpaceDN w:val="0"/>
              <w:adjustRightInd w:val="0"/>
              <w:jc w:val="center"/>
              <w:rPr>
                <w:rFonts w:hint="eastAsia" w:hAnsi="宋体" w:eastAsia="宋体"/>
                <w:color w:val="000000" w:themeColor="text1"/>
                <w:sz w:val="24"/>
                <w:highlight w:val="none"/>
                <w:lang w:eastAsia="zh-CN"/>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内容</w:t>
            </w:r>
          </w:p>
        </w:tc>
        <w:tc>
          <w:tcPr>
            <w:tcW w:w="1978" w:type="dxa"/>
            <w:vAlign w:val="center"/>
          </w:tcPr>
          <w:p>
            <w:pPr>
              <w:shd w:val="clear"/>
              <w:autoSpaceDE w:val="0"/>
              <w:autoSpaceDN w:val="0"/>
              <w:adjustRightInd w:val="0"/>
              <w:ind w:left="-105" w:leftChars="-50" w:right="-100"/>
              <w:jc w:val="center"/>
              <w:rPr>
                <w:rFonts w:hAnsi="宋体"/>
                <w:color w:val="000000" w:themeColor="text1"/>
                <w:spacing w:val="-12"/>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采购文件要求</w:t>
            </w: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投标文件响应</w:t>
            </w: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偏离情况</w:t>
            </w: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技术响应情况</w:t>
            </w:r>
          </w:p>
        </w:tc>
        <w:tc>
          <w:tcPr>
            <w:tcW w:w="759" w:type="dxa"/>
            <w:vAlign w:val="center"/>
          </w:tcPr>
          <w:p>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商务响应情况</w:t>
            </w:r>
          </w:p>
        </w:tc>
        <w:tc>
          <w:tcPr>
            <w:tcW w:w="759" w:type="dxa"/>
            <w:vAlign w:val="center"/>
          </w:tcPr>
          <w:p>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pPr>
              <w:pStyle w:val="12"/>
              <w:shd w:val="clear"/>
              <w:spacing w:line="3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75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w:t>
            </w:r>
          </w:p>
        </w:tc>
        <w:tc>
          <w:tcPr>
            <w:tcW w:w="1189"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97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2130"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1468"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c>
          <w:tcPr>
            <w:tcW w:w="986" w:type="dxa"/>
            <w:vAlign w:val="center"/>
          </w:tcPr>
          <w:p>
            <w:pPr>
              <w:shd w:val="clear"/>
              <w:autoSpaceDE w:val="0"/>
              <w:autoSpaceDN w:val="0"/>
              <w:adjustRightInd w:val="0"/>
              <w:jc w:val="center"/>
              <w:rPr>
                <w:rFonts w:hAnsi="宋体"/>
                <w:color w:val="000000" w:themeColor="text1"/>
                <w:sz w:val="24"/>
                <w:highlight w:val="none"/>
                <w14:textFill>
                  <w14:solidFill>
                    <w14:schemeClr w14:val="tx1"/>
                  </w14:solidFill>
                </w14:textFill>
              </w:rPr>
            </w:pPr>
          </w:p>
        </w:tc>
      </w:tr>
    </w:tbl>
    <w:p>
      <w:pPr>
        <w:pStyle w:val="53"/>
        <w:shd w:val="clear"/>
        <w:tabs>
          <w:tab w:val="left" w:pos="360"/>
        </w:tabs>
        <w:spacing w:line="360" w:lineRule="auto"/>
        <w:ind w:right="84" w:rightChars="40"/>
        <w:rPr>
          <w:rFonts w:ascii="宋体"/>
          <w:b/>
          <w:bCs/>
          <w:color w:val="000000" w:themeColor="text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要求：</w:t>
      </w:r>
    </w:p>
    <w:p>
      <w:pPr>
        <w:pStyle w:val="53"/>
        <w:shd w:val="clear"/>
        <w:tabs>
          <w:tab w:val="left" w:pos="360"/>
        </w:tabs>
        <w:spacing w:line="360" w:lineRule="auto"/>
        <w:ind w:right="84" w:rightChars="40" w:firstLine="420" w:firstLineChars="200"/>
        <w:rPr>
          <w:rFonts w:ascii="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1.</w:t>
      </w:r>
      <w:r>
        <w:rPr>
          <w:rFonts w:hint="eastAsia" w:ascii="宋体" w:cs="宋体"/>
          <w:color w:val="000000" w:themeColor="text1"/>
          <w:highlight w:val="none"/>
          <w14:textFill>
            <w14:solidFill>
              <w14:schemeClr w14:val="tx1"/>
            </w14:solidFill>
          </w14:textFill>
        </w:rPr>
        <w:t>本表参照本招标文件要求填制，投标人应根据投标服务指标，对照招标文件要求在“偏离情况”栏注明“正偏离</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14:textFill>
            <w14:solidFill>
              <w14:schemeClr w14:val="tx1"/>
            </w14:solidFill>
          </w14:textFill>
        </w:rPr>
        <w:t>负偏离”或“无偏离”。</w:t>
      </w:r>
    </w:p>
    <w:p>
      <w:pPr>
        <w:pStyle w:val="53"/>
        <w:shd w:val="clear"/>
        <w:spacing w:line="360" w:lineRule="auto"/>
        <w:ind w:right="84" w:rightChars="40" w:firstLine="420" w:firstLineChars="200"/>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2.本项目的付款方式不允许负偏离。</w:t>
      </w:r>
    </w:p>
    <w:p>
      <w:pPr>
        <w:shd w:val="clear"/>
        <w:spacing w:line="360" w:lineRule="auto"/>
        <w:ind w:left="420"/>
        <w:rPr>
          <w:rFonts w:ascii="宋体" w:hAnsi="宋体" w:cs="宋体"/>
          <w:color w:val="000000" w:themeColor="text1"/>
          <w:sz w:val="24"/>
          <w:szCs w:val="24"/>
          <w:highlight w:val="none"/>
          <w14:textFill>
            <w14:solidFill>
              <w14:schemeClr w14:val="tx1"/>
            </w14:solidFill>
          </w14:textFill>
        </w:rPr>
      </w:pPr>
    </w:p>
    <w:p>
      <w:pPr>
        <w:shd w:val="clear"/>
        <w:spacing w:line="360" w:lineRule="auto"/>
        <w:ind w:left="420"/>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pPr>
        <w:shd w:val="clear"/>
        <w:spacing w:line="360" w:lineRule="auto"/>
        <w:ind w:firstLine="424" w:firstLineChars="17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法定代表人或代理人（签名或盖章）：</w:t>
      </w:r>
    </w:p>
    <w:p>
      <w:pPr>
        <w:shd w:val="clear"/>
        <w:spacing w:line="360" w:lineRule="auto"/>
        <w:ind w:firstLine="435"/>
        <w:rPr>
          <w:rFonts w:ascii="宋体" w:hAnsi="宋体" w:cs="宋体"/>
          <w:color w:val="000000" w:themeColor="text1"/>
          <w:sz w:val="24"/>
          <w:szCs w:val="24"/>
          <w:highlight w:val="none"/>
          <w14:textFill>
            <w14:solidFill>
              <w14:schemeClr w14:val="tx1"/>
            </w14:solidFill>
          </w14:textFill>
        </w:rPr>
        <w:sectPr>
          <w:footerReference r:id="rId11"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p>
    <w:p>
      <w:pPr>
        <w:shd w:val="clear"/>
        <w:jc w:val="center"/>
        <w:rPr>
          <w:rFonts w:ascii="宋体"/>
          <w:spacing w:val="40"/>
          <w:sz w:val="52"/>
          <w:szCs w:val="52"/>
          <w:highlight w:val="none"/>
        </w:rPr>
      </w:pPr>
    </w:p>
    <w:p>
      <w:pPr>
        <w:shd w:val="clear"/>
        <w:spacing w:before="312" w:beforeLines="100" w:line="360" w:lineRule="auto"/>
        <w:ind w:right="-108"/>
        <w:jc w:val="center"/>
        <w:rPr>
          <w:rFonts w:hint="eastAsia" w:ascii="宋体" w:hAnsi="宋体" w:cs="宋体"/>
          <w:sz w:val="36"/>
          <w:szCs w:val="36"/>
          <w:highlight w:val="none"/>
        </w:rPr>
      </w:pPr>
      <w:r>
        <w:rPr>
          <w:rFonts w:hint="eastAsia" w:ascii="宋体" w:cs="宋体"/>
          <w:b/>
          <w:bCs/>
          <w:kern w:val="0"/>
          <w:sz w:val="44"/>
          <w:szCs w:val="44"/>
          <w:highlight w:val="none"/>
          <w:lang w:eastAsia="zh-CN"/>
        </w:rPr>
        <w:t>温岭市2024年度控制性详细规划编制采购</w:t>
      </w:r>
    </w:p>
    <w:p>
      <w:pPr>
        <w:shd w:val="clea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JJWL24031982</w:t>
      </w:r>
    </w:p>
    <w:p>
      <w:pPr>
        <w:shd w:val="clear"/>
        <w:spacing w:after="100" w:afterAutospacing="1" w:line="360" w:lineRule="auto"/>
        <w:ind w:right="-108"/>
        <w:jc w:val="center"/>
        <w:outlineLvl w:val="0"/>
        <w:rPr>
          <w:rFonts w:hint="eastAsia" w:ascii="宋体" w:hAnsi="宋体" w:cs="宋体"/>
          <w:b/>
          <w:bCs/>
          <w:spacing w:val="40"/>
          <w:sz w:val="84"/>
          <w:szCs w:val="84"/>
          <w:highlight w:val="none"/>
        </w:rPr>
      </w:pPr>
      <w:bookmarkStart w:id="21" w:name="_Toc22900"/>
    </w:p>
    <w:p>
      <w:pPr>
        <w:shd w:val="clear"/>
        <w:spacing w:after="100" w:afterAutospacing="1" w:line="360" w:lineRule="auto"/>
        <w:ind w:right="-108"/>
        <w:jc w:val="center"/>
        <w:outlineLvl w:val="0"/>
        <w:rPr>
          <w:rFonts w:ascii="宋体"/>
          <w:b/>
          <w:bCs/>
          <w:spacing w:val="40"/>
          <w:sz w:val="84"/>
          <w:szCs w:val="84"/>
          <w:highlight w:val="none"/>
        </w:rPr>
      </w:pPr>
      <w:r>
        <w:rPr>
          <w:rFonts w:hint="eastAsia" w:ascii="宋体" w:hAnsi="宋体" w:cs="宋体"/>
          <w:b/>
          <w:bCs/>
          <w:spacing w:val="40"/>
          <w:sz w:val="84"/>
          <w:szCs w:val="84"/>
          <w:highlight w:val="none"/>
        </w:rPr>
        <w:t>报</w:t>
      </w:r>
      <w:bookmarkEnd w:id="21"/>
    </w:p>
    <w:p>
      <w:pPr>
        <w:shd w:val="clear"/>
        <w:spacing w:after="100" w:afterAutospacing="1" w:line="360" w:lineRule="auto"/>
        <w:ind w:right="-108"/>
        <w:jc w:val="center"/>
        <w:outlineLvl w:val="0"/>
        <w:rPr>
          <w:rFonts w:ascii="宋体"/>
          <w:b/>
          <w:bCs/>
          <w:spacing w:val="40"/>
          <w:sz w:val="84"/>
          <w:szCs w:val="84"/>
          <w:highlight w:val="none"/>
        </w:rPr>
      </w:pPr>
      <w:bookmarkStart w:id="22" w:name="_Toc7031"/>
      <w:r>
        <w:rPr>
          <w:rFonts w:hint="eastAsia" w:ascii="宋体" w:hAnsi="宋体" w:cs="宋体"/>
          <w:b/>
          <w:bCs/>
          <w:spacing w:val="40"/>
          <w:sz w:val="84"/>
          <w:szCs w:val="84"/>
          <w:highlight w:val="none"/>
        </w:rPr>
        <w:t>价</w:t>
      </w:r>
      <w:bookmarkEnd w:id="22"/>
    </w:p>
    <w:p>
      <w:pPr>
        <w:shd w:val="clear"/>
        <w:spacing w:after="100" w:afterAutospacing="1" w:line="360" w:lineRule="auto"/>
        <w:ind w:right="-108"/>
        <w:jc w:val="center"/>
        <w:outlineLvl w:val="0"/>
        <w:rPr>
          <w:rFonts w:ascii="宋体"/>
          <w:b/>
          <w:bCs/>
          <w:spacing w:val="40"/>
          <w:sz w:val="84"/>
          <w:szCs w:val="84"/>
          <w:highlight w:val="none"/>
        </w:rPr>
      </w:pPr>
      <w:bookmarkStart w:id="23" w:name="_Toc13429"/>
      <w:r>
        <w:rPr>
          <w:rFonts w:hint="eastAsia" w:ascii="宋体" w:hAnsi="宋体" w:cs="宋体"/>
          <w:b/>
          <w:bCs/>
          <w:spacing w:val="40"/>
          <w:sz w:val="84"/>
          <w:szCs w:val="84"/>
          <w:highlight w:val="none"/>
        </w:rPr>
        <w:t>文</w:t>
      </w:r>
      <w:bookmarkEnd w:id="23"/>
    </w:p>
    <w:p>
      <w:pPr>
        <w:shd w:val="clear"/>
        <w:spacing w:after="100" w:afterAutospacing="1" w:line="360" w:lineRule="auto"/>
        <w:ind w:right="-108"/>
        <w:jc w:val="center"/>
        <w:outlineLvl w:val="0"/>
        <w:rPr>
          <w:rFonts w:ascii="宋体"/>
          <w:sz w:val="36"/>
          <w:szCs w:val="36"/>
          <w:highlight w:val="none"/>
        </w:rPr>
      </w:pPr>
      <w:bookmarkStart w:id="24" w:name="_Toc31063"/>
      <w:r>
        <w:rPr>
          <w:rFonts w:hint="eastAsia" w:ascii="宋体" w:hAnsi="宋体" w:cs="宋体"/>
          <w:b/>
          <w:bCs/>
          <w:spacing w:val="40"/>
          <w:sz w:val="84"/>
          <w:szCs w:val="84"/>
          <w:highlight w:val="none"/>
        </w:rPr>
        <w:t>件</w:t>
      </w:r>
      <w:bookmarkEnd w:id="24"/>
    </w:p>
    <w:p>
      <w:pPr>
        <w:shd w:val="clear"/>
        <w:spacing w:line="360" w:lineRule="auto"/>
        <w:ind w:right="532"/>
        <w:jc w:val="center"/>
        <w:rPr>
          <w:rFonts w:ascii="宋体"/>
          <w:sz w:val="36"/>
          <w:szCs w:val="36"/>
          <w:highlight w:val="none"/>
        </w:rPr>
      </w:pPr>
    </w:p>
    <w:p>
      <w:pPr>
        <w:shd w:val="clear"/>
        <w:spacing w:line="360" w:lineRule="auto"/>
        <w:ind w:right="532" w:firstLine="720" w:firstLineChars="200"/>
        <w:outlineLvl w:val="0"/>
        <w:rPr>
          <w:rFonts w:ascii="宋体"/>
          <w:sz w:val="36"/>
          <w:szCs w:val="36"/>
          <w:highlight w:val="none"/>
        </w:rPr>
      </w:pPr>
      <w:bookmarkStart w:id="25" w:name="_Toc13389"/>
      <w:r>
        <w:rPr>
          <w:rFonts w:hint="eastAsia" w:ascii="宋体" w:hAnsi="宋体" w:cs="宋体"/>
          <w:sz w:val="36"/>
          <w:szCs w:val="36"/>
          <w:highlight w:val="none"/>
        </w:rPr>
        <w:t>供应商全称（公章）：</w:t>
      </w:r>
      <w:bookmarkEnd w:id="25"/>
    </w:p>
    <w:p>
      <w:pPr>
        <w:shd w:val="clear"/>
        <w:spacing w:line="360" w:lineRule="auto"/>
        <w:ind w:right="-108" w:firstLine="720" w:firstLineChars="200"/>
        <w:outlineLvl w:val="0"/>
        <w:rPr>
          <w:rFonts w:ascii="宋体"/>
          <w:sz w:val="36"/>
          <w:szCs w:val="36"/>
          <w:highlight w:val="none"/>
        </w:rPr>
      </w:pPr>
      <w:bookmarkStart w:id="26" w:name="_Toc31500"/>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26"/>
    </w:p>
    <w:p>
      <w:pPr>
        <w:shd w:val="clear"/>
        <w:spacing w:line="360" w:lineRule="auto"/>
        <w:ind w:right="-108" w:firstLine="720" w:firstLineChars="200"/>
        <w:outlineLvl w:val="0"/>
        <w:rPr>
          <w:rFonts w:ascii="宋体"/>
          <w:sz w:val="36"/>
          <w:szCs w:val="36"/>
          <w:highlight w:val="none"/>
        </w:rPr>
      </w:pPr>
      <w:bookmarkStart w:id="27" w:name="_Toc17050"/>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27"/>
    </w:p>
    <w:p>
      <w:pPr>
        <w:shd w:val="clear"/>
        <w:spacing w:line="360" w:lineRule="auto"/>
        <w:ind w:right="-108"/>
        <w:jc w:val="center"/>
        <w:rPr>
          <w:rFonts w:ascii="宋体"/>
          <w:b/>
          <w:bCs/>
          <w:sz w:val="32"/>
          <w:szCs w:val="32"/>
          <w:highlight w:val="none"/>
          <w:lang w:val="zh-CN"/>
        </w:rPr>
      </w:pPr>
      <w:r>
        <w:rPr>
          <w:rFonts w:hint="eastAsia" w:ascii="宋体" w:hAnsi="宋体" w:cs="宋体"/>
          <w:b/>
          <w:bCs/>
          <w:sz w:val="32"/>
          <w:szCs w:val="32"/>
          <w:highlight w:val="none"/>
          <w:lang w:val="zh-CN"/>
        </w:rPr>
        <w:br w:type="page"/>
      </w:r>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rPr>
        <w:t>（供参考）</w:t>
      </w:r>
    </w:p>
    <w:p>
      <w:pPr>
        <w:shd w:val="clear"/>
        <w:spacing w:line="360" w:lineRule="auto"/>
        <w:rPr>
          <w:rFonts w:ascii="宋体" w:cs="宋体"/>
          <w:sz w:val="28"/>
          <w:szCs w:val="28"/>
          <w:highlight w:val="none"/>
        </w:rPr>
      </w:pPr>
    </w:p>
    <w:p>
      <w:pPr>
        <w:numPr>
          <w:ilvl w:val="0"/>
          <w:numId w:val="28"/>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投标函…………………………………………………………页码；</w:t>
      </w:r>
    </w:p>
    <w:p>
      <w:pPr>
        <w:numPr>
          <w:ilvl w:val="0"/>
          <w:numId w:val="28"/>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开标一览表……………………………………………………页码；</w:t>
      </w:r>
    </w:p>
    <w:p>
      <w:pPr>
        <w:numPr>
          <w:ilvl w:val="0"/>
          <w:numId w:val="28"/>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针对报价投标人认为其他需要说明的………………………页码；</w:t>
      </w:r>
    </w:p>
    <w:p>
      <w:pPr>
        <w:shd w:val="clear"/>
        <w:rPr>
          <w:highlight w:val="none"/>
        </w:rPr>
      </w:pPr>
    </w:p>
    <w:p>
      <w:pPr>
        <w:pStyle w:val="13"/>
        <w:shd w:val="clear"/>
        <w:snapToGrid w:val="0"/>
        <w:spacing w:line="360" w:lineRule="auto"/>
        <w:ind w:left="0" w:leftChars="0"/>
        <w:rPr>
          <w:rFonts w:ascii="宋体" w:hAnsi="宋体" w:eastAsia="宋体" w:cs="Times New Roman"/>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ind w:left="480"/>
        <w:rPr>
          <w:rFonts w:ascii="宋体"/>
          <w:b/>
          <w:bCs/>
          <w:sz w:val="28"/>
          <w:szCs w:val="28"/>
          <w:highlight w:val="none"/>
        </w:rPr>
      </w:pPr>
    </w:p>
    <w:p>
      <w:pPr>
        <w:shd w:val="clear"/>
        <w:spacing w:line="360" w:lineRule="auto"/>
        <w:rPr>
          <w:rFonts w:ascii="宋体"/>
          <w:b/>
          <w:bCs/>
          <w:sz w:val="28"/>
          <w:szCs w:val="28"/>
          <w:highlight w:val="none"/>
        </w:rPr>
      </w:pPr>
      <w:r>
        <w:rPr>
          <w:rFonts w:ascii="宋体" w:hAnsi="宋体" w:cs="宋体"/>
          <w:b/>
          <w:bCs/>
          <w:sz w:val="28"/>
          <w:szCs w:val="28"/>
          <w:highlight w:val="none"/>
        </w:rPr>
        <w:br w:type="page"/>
      </w:r>
      <w:r>
        <w:rPr>
          <w:rFonts w:hint="eastAsia" w:ascii="宋体" w:hAnsi="宋体" w:cs="宋体"/>
          <w:b/>
          <w:bCs/>
          <w:sz w:val="24"/>
          <w:szCs w:val="24"/>
          <w:highlight w:val="none"/>
        </w:rPr>
        <w:t>附件1:</w:t>
      </w:r>
    </w:p>
    <w:p>
      <w:pPr>
        <w:widowControl/>
        <w:shd w:val="clear"/>
        <w:snapToGrid w:val="0"/>
        <w:spacing w:line="560" w:lineRule="exact"/>
        <w:jc w:val="center"/>
        <w:rPr>
          <w:rFonts w:ascii="宋体" w:hAnsi="宋体" w:cs="宋体"/>
          <w:b/>
          <w:color w:val="000000"/>
          <w:sz w:val="44"/>
          <w:szCs w:val="44"/>
          <w:highlight w:val="none"/>
        </w:rPr>
      </w:pPr>
      <w:r>
        <w:rPr>
          <w:rFonts w:hint="eastAsia" w:ascii="宋体" w:hAnsi="宋体" w:cs="宋体"/>
          <w:b/>
          <w:color w:val="000000"/>
          <w:kern w:val="0"/>
          <w:sz w:val="44"/>
          <w:szCs w:val="44"/>
          <w:highlight w:val="none"/>
          <w:lang w:bidi="ar"/>
        </w:rPr>
        <w:t>投   标   函</w:t>
      </w:r>
    </w:p>
    <w:p>
      <w:pPr>
        <w:shd w:val="clear"/>
        <w:spacing w:line="440" w:lineRule="exact"/>
        <w:rPr>
          <w:rFonts w:ascii="宋体" w:hAnsi="宋体" w:cs="宋体"/>
          <w:color w:val="000000"/>
          <w:sz w:val="24"/>
          <w:highlight w:val="none"/>
        </w:rPr>
      </w:pP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致：</w:t>
      </w:r>
      <w:r>
        <w:rPr>
          <w:rFonts w:hint="eastAsia" w:ascii="宋体" w:hAnsi="宋体" w:cs="宋体"/>
          <w:color w:val="000000"/>
          <w:kern w:val="0"/>
          <w:sz w:val="24"/>
          <w:highlight w:val="none"/>
          <w:lang w:eastAsia="zh-CN" w:bidi="ar"/>
        </w:rPr>
        <w:t>温岭市自然资源和规划局</w:t>
      </w:r>
      <w:r>
        <w:rPr>
          <w:rFonts w:hint="eastAsia" w:ascii="宋体" w:hAnsi="宋体" w:cs="宋体"/>
          <w:color w:val="000000"/>
          <w:kern w:val="0"/>
          <w:sz w:val="24"/>
          <w:highlight w:val="none"/>
          <w:lang w:bidi="ar"/>
        </w:rPr>
        <w:t xml:space="preserve">     </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（投标人名称）授权</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（全权代表姓名、职务）为全权代表，参加贵单位组织的</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（招标项目名称）（编号为        ）招标的有关活动，并进行投标。为此：</w:t>
      </w:r>
    </w:p>
    <w:p>
      <w:pPr>
        <w:shd w:val="clear"/>
        <w:spacing w:line="44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l、提供投标人须知规定的全部投标文件。</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2、我方的投标报价详见《开标一览表》。</w:t>
      </w:r>
    </w:p>
    <w:p>
      <w:pPr>
        <w:shd w:val="clear"/>
        <w:spacing w:line="440" w:lineRule="exact"/>
        <w:ind w:firstLine="360" w:firstLineChars="150"/>
        <w:rPr>
          <w:rFonts w:ascii="宋体" w:hAnsi="宋体" w:cs="宋体"/>
          <w:color w:val="000000"/>
          <w:sz w:val="24"/>
          <w:highlight w:val="none"/>
        </w:rPr>
      </w:pPr>
      <w:r>
        <w:rPr>
          <w:rFonts w:hint="eastAsia" w:ascii="宋体" w:hAnsi="宋体" w:cs="宋体"/>
          <w:color w:val="000000"/>
          <w:kern w:val="0"/>
          <w:sz w:val="24"/>
          <w:highlight w:val="none"/>
          <w:lang w:bidi="ar"/>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highlight w:val="none"/>
          <w:lang w:bidi="ar"/>
        </w:rPr>
        <w:t>，对招标文件的合理性、合法性不再有异议。</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4、若中标，</w:t>
      </w:r>
      <w:r>
        <w:rPr>
          <w:rFonts w:hint="eastAsia" w:ascii="宋体" w:hAnsi="宋体" w:cs="宋体"/>
          <w:color w:val="000000"/>
          <w:kern w:val="0"/>
          <w:sz w:val="24"/>
          <w:szCs w:val="20"/>
          <w:highlight w:val="none"/>
          <w:lang w:bidi="ar"/>
        </w:rPr>
        <w:t>本投标文件至本项目合同履行完毕止均保持有效，</w:t>
      </w:r>
      <w:r>
        <w:rPr>
          <w:rFonts w:hint="eastAsia" w:ascii="宋体" w:hAnsi="宋体" w:cs="宋体"/>
          <w:color w:val="000000"/>
          <w:kern w:val="0"/>
          <w:sz w:val="24"/>
          <w:highlight w:val="none"/>
          <w:lang w:bidi="ar"/>
        </w:rPr>
        <w:t>我方将按招标文件规定履行合同责任和义务。</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5、投标文件自开标之日起有效期为90天。</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6、我方同意提供按照贵方可能要求的与本项投标有关的一切数据或资料，并保证其真实性、合法性。</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7、我方与本次投标有关的一切正式来往通讯请寄：</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p>
    <w:p>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地址：</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邮编：</w:t>
      </w:r>
      <w:r>
        <w:rPr>
          <w:rFonts w:hint="eastAsia" w:ascii="宋体" w:hAnsi="宋体" w:cs="宋体"/>
          <w:color w:val="000000"/>
          <w:kern w:val="0"/>
          <w:sz w:val="24"/>
          <w:highlight w:val="none"/>
          <w:u w:val="single"/>
          <w:lang w:bidi="ar"/>
        </w:rPr>
        <w:t xml:space="preserve">                                                  </w:t>
      </w:r>
    </w:p>
    <w:p>
      <w:pPr>
        <w:shd w:val="clear"/>
        <w:spacing w:line="440" w:lineRule="exact"/>
        <w:rPr>
          <w:rFonts w:ascii="宋体" w:hAnsi="宋体" w:cs="宋体"/>
          <w:color w:val="000000"/>
          <w:sz w:val="24"/>
          <w:highlight w:val="none"/>
          <w:u w:val="single"/>
        </w:rPr>
      </w:pPr>
      <w:r>
        <w:rPr>
          <w:rFonts w:hint="eastAsia" w:ascii="宋体" w:hAnsi="宋体" w:cs="宋体"/>
          <w:color w:val="000000"/>
          <w:kern w:val="0"/>
          <w:sz w:val="24"/>
          <w:highlight w:val="none"/>
          <w:lang w:bidi="ar"/>
        </w:rPr>
        <w:t xml:space="preserve">      电话：</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传真：</w:t>
      </w:r>
      <w:r>
        <w:rPr>
          <w:rFonts w:hint="eastAsia" w:ascii="宋体" w:hAnsi="宋体" w:cs="宋体"/>
          <w:color w:val="000000"/>
          <w:kern w:val="0"/>
          <w:sz w:val="24"/>
          <w:highlight w:val="none"/>
          <w:u w:val="single"/>
          <w:lang w:bidi="ar"/>
        </w:rPr>
        <w:t xml:space="preserve">               </w:t>
      </w:r>
    </w:p>
    <w:p>
      <w:pPr>
        <w:shd w:val="clear"/>
        <w:spacing w:line="400" w:lineRule="exact"/>
        <w:rPr>
          <w:rFonts w:ascii="宋体" w:hAnsi="宋体" w:cs="宋体"/>
          <w:color w:val="000000"/>
          <w:sz w:val="24"/>
          <w:highlight w:val="none"/>
        </w:rPr>
      </w:pPr>
    </w:p>
    <w:p>
      <w:pPr>
        <w:shd w:val="clear"/>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投标人名称：</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（公章）</w:t>
      </w:r>
    </w:p>
    <w:p>
      <w:pPr>
        <w:shd w:val="clear"/>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法定代表人或委托代理人</w:t>
      </w:r>
      <w:r>
        <w:rPr>
          <w:rFonts w:hint="eastAsia" w:ascii="宋体" w:hAnsi="宋体" w:cs="宋体"/>
          <w:color w:val="000000"/>
          <w:kern w:val="0"/>
          <w:sz w:val="24"/>
          <w:szCs w:val="20"/>
          <w:highlight w:val="none"/>
          <w:lang w:bidi="ar"/>
        </w:rPr>
        <w:t>（盖章或签名）</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u w:val="single"/>
          <w:lang w:bidi="ar"/>
        </w:rPr>
        <w:t xml:space="preserve">  </w:t>
      </w:r>
    </w:p>
    <w:p>
      <w:pPr>
        <w:shd w:val="clear"/>
        <w:spacing w:line="400" w:lineRule="exact"/>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年</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日</w:t>
      </w:r>
    </w:p>
    <w:p>
      <w:pPr>
        <w:shd w:val="clear"/>
        <w:spacing w:line="360" w:lineRule="auto"/>
        <w:ind w:left="-2" w:hanging="2"/>
        <w:rPr>
          <w:rFonts w:ascii="宋体" w:hAnsi="宋体" w:cs="宋体"/>
          <w:b/>
          <w:bCs/>
          <w:sz w:val="24"/>
          <w:szCs w:val="24"/>
          <w:highlight w:val="none"/>
        </w:rPr>
      </w:pPr>
      <w:r>
        <w:rPr>
          <w:rFonts w:hint="eastAsia" w:ascii="宋体" w:hAnsi="宋体" w:cs="宋体"/>
          <w:b/>
          <w:color w:val="000000"/>
          <w:sz w:val="28"/>
          <w:szCs w:val="28"/>
          <w:highlight w:val="none"/>
          <w:lang w:bidi="ar"/>
        </w:rPr>
        <w:br w:type="page"/>
      </w:r>
      <w:r>
        <w:rPr>
          <w:rFonts w:hint="eastAsia" w:ascii="宋体" w:hAnsi="宋体" w:cs="宋体"/>
          <w:b/>
          <w:bCs/>
          <w:sz w:val="24"/>
          <w:szCs w:val="24"/>
          <w:highlight w:val="none"/>
        </w:rPr>
        <w:t>附件2:</w:t>
      </w:r>
    </w:p>
    <w:p>
      <w:pPr>
        <w:shd w:val="clear"/>
        <w:spacing w:line="360" w:lineRule="auto"/>
        <w:ind w:left="-2" w:hanging="2"/>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开标一览表</w:t>
      </w:r>
      <w:r>
        <w:rPr>
          <w:rFonts w:ascii="宋体" w:hAnsi="宋体" w:cs="宋体"/>
          <w:b/>
          <w:bCs/>
          <w:spacing w:val="21"/>
          <w:kern w:val="0"/>
          <w:sz w:val="32"/>
          <w:szCs w:val="32"/>
          <w:highlight w:val="none"/>
        </w:rPr>
        <w:t xml:space="preserve"> </w:t>
      </w:r>
    </w:p>
    <w:p>
      <w:pPr>
        <w:pStyle w:val="12"/>
        <w:shd w:val="clear"/>
        <w:spacing w:line="320" w:lineRule="exact"/>
        <w:rPr>
          <w:rFonts w:hint="eastAsia" w:hAnsi="宋体" w:eastAsia="宋体" w:cs="Times New Roman"/>
          <w:sz w:val="24"/>
          <w:szCs w:val="24"/>
          <w:highlight w:val="none"/>
          <w:lang w:eastAsia="zh-CN"/>
        </w:rPr>
      </w:pPr>
      <w:r>
        <w:rPr>
          <w:rFonts w:hint="eastAsia" w:hAnsi="宋体"/>
          <w:sz w:val="24"/>
          <w:szCs w:val="24"/>
          <w:highlight w:val="none"/>
        </w:rPr>
        <w:t>项目编号：</w:t>
      </w:r>
      <w:r>
        <w:rPr>
          <w:rFonts w:hint="eastAsia" w:hAnsi="宋体"/>
          <w:sz w:val="24"/>
          <w:szCs w:val="24"/>
          <w:highlight w:val="none"/>
          <w:lang w:eastAsia="zh-CN"/>
        </w:rPr>
        <w:t>JJWL24031982</w:t>
      </w:r>
    </w:p>
    <w:p>
      <w:pPr>
        <w:pStyle w:val="60"/>
        <w:shd w:val="clear"/>
        <w:spacing w:line="360" w:lineRule="auto"/>
        <w:ind w:right="480"/>
        <w:jc w:val="left"/>
        <w:rPr>
          <w:rFonts w:ascii="宋体"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lang w:eastAsia="zh-CN"/>
        </w:rPr>
        <w:t>温岭市2024年度控制性详细规划编制采购</w:t>
      </w:r>
      <w:r>
        <w:rPr>
          <w:rFonts w:ascii="宋体" w:hAnsi="宋体" w:cs="宋体"/>
          <w:sz w:val="24"/>
          <w:szCs w:val="24"/>
          <w:highlight w:val="none"/>
        </w:rPr>
        <w:t xml:space="preserve">  </w:t>
      </w:r>
    </w:p>
    <w:tbl>
      <w:tblPr>
        <w:tblStyle w:val="22"/>
        <w:tblW w:w="9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4"/>
        <w:gridCol w:w="2240"/>
        <w:gridCol w:w="525"/>
        <w:gridCol w:w="712"/>
        <w:gridCol w:w="1950"/>
        <w:gridCol w:w="2060"/>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771" w:hRule="atLeast"/>
        </w:trPr>
        <w:tc>
          <w:tcPr>
            <w:tcW w:w="534"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ascii="宋体" w:hAnsi="宋体" w:cs="宋体"/>
                <w:b/>
                <w:color w:val="000000"/>
                <w:highlight w:val="none"/>
              </w:rPr>
            </w:pPr>
            <w:r>
              <w:rPr>
                <w:rFonts w:hint="eastAsia" w:ascii="宋体" w:hAnsi="宋体" w:cs="宋体"/>
                <w:b/>
                <w:color w:val="000000"/>
                <w:kern w:val="0"/>
                <w:highlight w:val="none"/>
                <w:lang w:bidi="ar"/>
              </w:rPr>
              <w:t>序号</w:t>
            </w:r>
          </w:p>
        </w:tc>
        <w:tc>
          <w:tcPr>
            <w:tcW w:w="224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ascii="宋体" w:hAnsi="宋体" w:cs="宋体"/>
                <w:b/>
                <w:color w:val="000000"/>
                <w:highlight w:val="none"/>
              </w:rPr>
            </w:pPr>
            <w:r>
              <w:rPr>
                <w:rFonts w:hint="eastAsia" w:ascii="宋体" w:hAnsi="宋体" w:cs="宋体"/>
                <w:b/>
                <w:color w:val="000000"/>
                <w:kern w:val="0"/>
                <w:highlight w:val="none"/>
                <w:lang w:bidi="ar"/>
              </w:rPr>
              <w:t>采购内容名称</w:t>
            </w:r>
          </w:p>
        </w:tc>
        <w:tc>
          <w:tcPr>
            <w:tcW w:w="525"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ascii="宋体" w:hAnsi="宋体" w:cs="宋体"/>
                <w:b/>
                <w:color w:val="000000"/>
                <w:highlight w:val="none"/>
              </w:rPr>
            </w:pPr>
            <w:r>
              <w:rPr>
                <w:rFonts w:hint="eastAsia" w:ascii="宋体" w:hAnsi="宋体" w:cs="宋体"/>
                <w:b/>
                <w:color w:val="000000"/>
                <w:kern w:val="0"/>
                <w:highlight w:val="none"/>
                <w:lang w:bidi="ar"/>
              </w:rPr>
              <w:t>数量</w:t>
            </w:r>
          </w:p>
        </w:tc>
        <w:tc>
          <w:tcPr>
            <w:tcW w:w="712"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ascii="宋体" w:hAnsi="宋体" w:cs="宋体"/>
                <w:b/>
                <w:color w:val="000000"/>
                <w:kern w:val="0"/>
                <w:highlight w:val="none"/>
                <w:lang w:bidi="ar"/>
              </w:rPr>
            </w:pPr>
            <w:r>
              <w:rPr>
                <w:rFonts w:hint="eastAsia" w:ascii="宋体" w:hAnsi="宋体" w:cs="宋体"/>
                <w:b/>
                <w:color w:val="000000"/>
                <w:kern w:val="0"/>
                <w:highlight w:val="none"/>
                <w:lang w:bidi="ar"/>
              </w:rPr>
              <w:t>单位</w:t>
            </w:r>
          </w:p>
        </w:tc>
        <w:tc>
          <w:tcPr>
            <w:tcW w:w="195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eastAsia" w:ascii="宋体" w:hAnsi="宋体" w:eastAsia="宋体" w:cs="宋体"/>
                <w:b/>
                <w:color w:val="000000"/>
                <w:kern w:val="0"/>
                <w:highlight w:val="none"/>
                <w:lang w:eastAsia="zh-CN" w:bidi="ar"/>
              </w:rPr>
            </w:pPr>
            <w:r>
              <w:rPr>
                <w:rFonts w:hint="eastAsia" w:ascii="宋体" w:hAnsi="宋体" w:eastAsia="宋体" w:cs="宋体"/>
                <w:b/>
                <w:color w:val="000000"/>
                <w:kern w:val="0"/>
                <w:highlight w:val="none"/>
                <w:lang w:eastAsia="zh-CN" w:bidi="ar"/>
              </w:rPr>
              <w:t>▲</w:t>
            </w:r>
            <w:r>
              <w:rPr>
                <w:rFonts w:hint="eastAsia" w:ascii="宋体" w:hAnsi="宋体" w:cs="宋体"/>
                <w:b/>
                <w:color w:val="000000"/>
                <w:kern w:val="0"/>
                <w:highlight w:val="none"/>
                <w:lang w:eastAsia="zh-CN" w:bidi="ar"/>
              </w:rPr>
              <w:t>上限单价</w:t>
            </w:r>
          </w:p>
        </w:tc>
        <w:tc>
          <w:tcPr>
            <w:tcW w:w="206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default" w:ascii="宋体" w:hAnsi="宋体" w:cs="宋体"/>
                <w:b/>
                <w:color w:val="000000"/>
                <w:kern w:val="0"/>
                <w:highlight w:val="none"/>
                <w:lang w:val="en-US" w:eastAsia="zh-CN" w:bidi="ar"/>
              </w:rPr>
            </w:pPr>
            <w:r>
              <w:rPr>
                <w:rFonts w:hint="eastAsia" w:ascii="宋体" w:hAnsi="宋体" w:cs="宋体"/>
                <w:b/>
                <w:color w:val="000000"/>
                <w:kern w:val="0"/>
                <w:highlight w:val="none"/>
                <w:lang w:val="en-US" w:eastAsia="zh-CN" w:bidi="ar"/>
              </w:rPr>
              <w:t>投标单价</w:t>
            </w:r>
          </w:p>
        </w:tc>
        <w:tc>
          <w:tcPr>
            <w:tcW w:w="1275"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default" w:ascii="宋体" w:hAnsi="宋体" w:eastAsia="宋体" w:cs="宋体"/>
                <w:b/>
                <w:color w:val="000000"/>
                <w:kern w:val="0"/>
                <w:highlight w:val="none"/>
                <w:lang w:val="en-US" w:eastAsia="zh-CN" w:bidi="ar"/>
              </w:rPr>
            </w:pPr>
            <w:r>
              <w:rPr>
                <w:rFonts w:hint="eastAsia" w:ascii="宋体" w:hAnsi="宋体" w:cs="宋体"/>
                <w:b/>
                <w:color w:val="000000"/>
                <w:kern w:val="0"/>
                <w:highlight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224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控规修改论证报告</w:t>
            </w:r>
          </w:p>
        </w:tc>
        <w:tc>
          <w:tcPr>
            <w:tcW w:w="52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1</w:t>
            </w:r>
          </w:p>
        </w:tc>
        <w:tc>
          <w:tcPr>
            <w:tcW w:w="712"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个</w:t>
            </w:r>
          </w:p>
        </w:tc>
        <w:tc>
          <w:tcPr>
            <w:tcW w:w="195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10000元/</w:t>
            </w:r>
            <w:r>
              <w:rPr>
                <w:rFonts w:hint="eastAsia" w:ascii="宋体" w:hAnsi="宋体" w:cs="宋体"/>
                <w:color w:val="000000"/>
                <w:kern w:val="0"/>
                <w:sz w:val="22"/>
                <w:szCs w:val="22"/>
                <w:highlight w:val="none"/>
                <w:lang w:val="en-US" w:eastAsia="zh-CN" w:bidi="ar"/>
              </w:rPr>
              <w:t>个</w:t>
            </w:r>
          </w:p>
        </w:tc>
        <w:tc>
          <w:tcPr>
            <w:tcW w:w="206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ascii="Arial" w:hAnsi="Arial" w:cs="Arial"/>
                <w:color w:val="000000"/>
                <w:kern w:val="0"/>
                <w:sz w:val="22"/>
                <w:szCs w:val="22"/>
                <w:highlight w:val="none"/>
                <w:lang w:bidi="ar"/>
              </w:rPr>
            </w:pPr>
            <w:r>
              <w:rPr>
                <w:rFonts w:hint="eastAsia" w:ascii="宋体" w:hAnsi="宋体" w:cs="宋体"/>
                <w:color w:val="000000"/>
                <w:kern w:val="0"/>
                <w:sz w:val="22"/>
                <w:szCs w:val="22"/>
                <w:highlight w:val="none"/>
                <w:u w:val="single"/>
                <w:lang w:bidi="ar"/>
              </w:rPr>
              <w:t xml:space="preserve">  </w:t>
            </w:r>
            <w:r>
              <w:rPr>
                <w:rFonts w:hint="eastAsia" w:ascii="宋体" w:hAnsi="宋体" w:cs="宋体"/>
                <w:color w:val="000000"/>
                <w:kern w:val="0"/>
                <w:sz w:val="22"/>
                <w:szCs w:val="22"/>
                <w:highlight w:val="none"/>
                <w:u w:val="single"/>
                <w:lang w:val="en-US" w:eastAsia="zh-CN" w:bidi="ar"/>
              </w:rPr>
              <w:t xml:space="preserve"> </w:t>
            </w:r>
            <w:r>
              <w:rPr>
                <w:rFonts w:hint="eastAsia" w:ascii="宋体" w:hAnsi="宋体" w:cs="宋体"/>
                <w:color w:val="000000"/>
                <w:kern w:val="0"/>
                <w:sz w:val="22"/>
                <w:szCs w:val="22"/>
                <w:highlight w:val="none"/>
                <w:u w:val="single"/>
                <w:lang w:bidi="ar"/>
              </w:rPr>
              <w:t xml:space="preserve">   </w:t>
            </w:r>
            <w:r>
              <w:rPr>
                <w:rFonts w:hint="eastAsia" w:ascii="宋体" w:hAnsi="宋体" w:eastAsia="宋体" w:cs="宋体"/>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个</w:t>
            </w:r>
          </w:p>
        </w:tc>
        <w:tc>
          <w:tcPr>
            <w:tcW w:w="127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ascii="Arial" w:hAnsi="Arial" w:cs="Arial"/>
                <w:color w:val="000000"/>
                <w:kern w:val="0"/>
                <w:sz w:val="22"/>
                <w:szCs w:val="22"/>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w:t>
            </w:r>
          </w:p>
        </w:tc>
        <w:tc>
          <w:tcPr>
            <w:tcW w:w="224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控制性详细规划</w:t>
            </w:r>
          </w:p>
        </w:tc>
        <w:tc>
          <w:tcPr>
            <w:tcW w:w="52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12"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cs="宋体"/>
                <w:color w:val="000000"/>
                <w:kern w:val="0"/>
                <w:sz w:val="22"/>
                <w:szCs w:val="22"/>
                <w:highlight w:val="none"/>
                <w:lang w:eastAsia="zh-CN" w:bidi="ar"/>
              </w:rPr>
            </w:pPr>
            <w:r>
              <w:rPr>
                <w:rFonts w:hint="default" w:ascii="Arial" w:hAnsi="Arial" w:eastAsia="宋体" w:cs="Arial"/>
                <w:color w:val="000000"/>
                <w:kern w:val="0"/>
                <w:sz w:val="22"/>
                <w:szCs w:val="22"/>
                <w:highlight w:val="none"/>
                <w:lang w:val="en-US" w:eastAsia="zh-CN" w:bidi="ar"/>
              </w:rPr>
              <w:t>公顷</w:t>
            </w:r>
          </w:p>
        </w:tc>
        <w:tc>
          <w:tcPr>
            <w:tcW w:w="195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宋体" w:hAnsi="宋体" w:cs="宋体"/>
                <w:color w:val="000000"/>
                <w:kern w:val="0"/>
                <w:sz w:val="22"/>
                <w:szCs w:val="22"/>
                <w:highlight w:val="none"/>
                <w:u w:val="none"/>
                <w:lang w:bidi="ar"/>
              </w:rPr>
              <w:t>每公顷</w:t>
            </w:r>
            <w:r>
              <w:rPr>
                <w:rFonts w:hint="eastAsia" w:ascii="宋体" w:hAnsi="宋体" w:cs="宋体"/>
                <w:color w:val="000000"/>
                <w:kern w:val="0"/>
                <w:sz w:val="22"/>
                <w:szCs w:val="22"/>
                <w:highlight w:val="none"/>
                <w:u w:val="none"/>
                <w:lang w:val="en-US" w:eastAsia="zh-CN" w:bidi="ar"/>
              </w:rPr>
              <w:t>2040</w:t>
            </w:r>
            <w:r>
              <w:rPr>
                <w:rFonts w:hint="eastAsia" w:ascii="宋体" w:hAnsi="宋体" w:cs="宋体"/>
                <w:color w:val="000000"/>
                <w:kern w:val="0"/>
                <w:sz w:val="22"/>
                <w:szCs w:val="22"/>
                <w:highlight w:val="none"/>
                <w:u w:val="none"/>
                <w:lang w:bidi="ar"/>
              </w:rPr>
              <w:t>元</w:t>
            </w:r>
          </w:p>
        </w:tc>
        <w:tc>
          <w:tcPr>
            <w:tcW w:w="206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Arial" w:hAnsi="Arial" w:cs="Arial"/>
                <w:color w:val="000000"/>
                <w:kern w:val="0"/>
                <w:sz w:val="22"/>
                <w:szCs w:val="22"/>
                <w:highlight w:val="none"/>
                <w:u w:val="single"/>
                <w:lang w:val="en-US" w:eastAsia="zh-CN" w:bidi="ar"/>
              </w:rPr>
              <w:t xml:space="preserve">       </w:t>
            </w:r>
            <w:r>
              <w:rPr>
                <w:rFonts w:hint="eastAsia" w:ascii="Arial" w:hAnsi="Arial" w:cs="Arial"/>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/公顷</w:t>
            </w:r>
          </w:p>
        </w:tc>
        <w:tc>
          <w:tcPr>
            <w:tcW w:w="127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default" w:ascii="Arial" w:hAnsi="Arial" w:eastAsia="宋体" w:cs="Arial"/>
                <w:color w:val="000000"/>
                <w:kern w:val="0"/>
                <w:sz w:val="22"/>
                <w:szCs w:val="22"/>
                <w:highlight w:val="none"/>
                <w:lang w:val="en-US" w:eastAsia="zh-CN" w:bidi="ar"/>
              </w:rPr>
            </w:pPr>
            <w:r>
              <w:rPr>
                <w:rFonts w:hint="eastAsia" w:ascii="Arial" w:hAnsi="Arial" w:cs="Arial"/>
                <w:color w:val="000000"/>
                <w:kern w:val="0"/>
                <w:sz w:val="22"/>
                <w:szCs w:val="22"/>
                <w:highlight w:val="none"/>
                <w:lang w:val="en-US" w:eastAsia="zh-CN" w:bidi="ar"/>
              </w:rPr>
              <w:t>不足1万元的</w:t>
            </w:r>
            <w:r>
              <w:rPr>
                <w:rFonts w:hint="eastAsia" w:ascii="Arial" w:hAnsi="Arial" w:eastAsia="宋体" w:cs="Arial"/>
                <w:color w:val="000000"/>
                <w:kern w:val="0"/>
                <w:sz w:val="22"/>
                <w:szCs w:val="22"/>
                <w:highlight w:val="none"/>
                <w:lang w:val="en-US" w:eastAsia="zh-CN" w:bidi="ar"/>
              </w:rPr>
              <w:t>按1万元计取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224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局部地块和模拟方案</w:t>
            </w:r>
          </w:p>
        </w:tc>
        <w:tc>
          <w:tcPr>
            <w:tcW w:w="52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12"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平方米</w:t>
            </w:r>
          </w:p>
        </w:tc>
        <w:tc>
          <w:tcPr>
            <w:tcW w:w="195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宋体" w:hAnsi="宋体" w:cs="宋体"/>
                <w:color w:val="000000"/>
                <w:kern w:val="0"/>
                <w:sz w:val="22"/>
                <w:szCs w:val="22"/>
                <w:highlight w:val="none"/>
                <w:u w:val="none"/>
                <w:lang w:eastAsia="zh-CN" w:bidi="ar"/>
              </w:rPr>
              <w:t>按用地面积</w:t>
            </w:r>
            <w:r>
              <w:rPr>
                <w:rFonts w:hint="eastAsia" w:ascii="宋体" w:hAnsi="宋体" w:cs="宋体"/>
                <w:color w:val="000000"/>
                <w:kern w:val="0"/>
                <w:sz w:val="22"/>
                <w:szCs w:val="22"/>
                <w:highlight w:val="none"/>
                <w:u w:val="none"/>
                <w:lang w:bidi="ar"/>
              </w:rPr>
              <w:t>每平方米0.75元</w:t>
            </w:r>
          </w:p>
        </w:tc>
        <w:tc>
          <w:tcPr>
            <w:tcW w:w="206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cs="宋体"/>
                <w:color w:val="000000"/>
                <w:kern w:val="0"/>
                <w:sz w:val="22"/>
                <w:szCs w:val="22"/>
                <w:highlight w:val="none"/>
                <w:u w:val="single"/>
                <w:lang w:bidi="ar"/>
              </w:rPr>
            </w:pPr>
            <w:r>
              <w:rPr>
                <w:rFonts w:hint="eastAsia" w:ascii="Arial" w:hAnsi="Arial" w:cs="Arial"/>
                <w:color w:val="000000"/>
                <w:kern w:val="0"/>
                <w:sz w:val="22"/>
                <w:szCs w:val="22"/>
                <w:highlight w:val="none"/>
                <w:u w:val="single"/>
                <w:lang w:val="en-US" w:eastAsia="zh-CN" w:bidi="ar"/>
              </w:rPr>
              <w:t xml:space="preserve">      </w:t>
            </w:r>
            <w:r>
              <w:rPr>
                <w:rFonts w:hint="eastAsia" w:ascii="Arial" w:hAnsi="Arial" w:cs="Arial"/>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/平方米</w:t>
            </w:r>
          </w:p>
        </w:tc>
        <w:tc>
          <w:tcPr>
            <w:tcW w:w="127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default" w:ascii="Arial" w:hAnsi="Arial" w:eastAsia="宋体" w:cs="Arial"/>
                <w:color w:val="000000"/>
                <w:kern w:val="0"/>
                <w:sz w:val="22"/>
                <w:szCs w:val="22"/>
                <w:highlight w:val="none"/>
                <w:lang w:val="en-US" w:eastAsia="zh-CN" w:bidi="ar"/>
              </w:rPr>
            </w:pPr>
            <w:r>
              <w:rPr>
                <w:rFonts w:hint="eastAsia" w:ascii="Arial" w:hAnsi="Arial" w:eastAsia="宋体" w:cs="Arial"/>
                <w:color w:val="000000"/>
                <w:kern w:val="0"/>
                <w:sz w:val="22"/>
                <w:szCs w:val="22"/>
                <w:highlight w:val="none"/>
                <w:lang w:val="en-US" w:eastAsia="zh-CN" w:bidi="ar"/>
              </w:rPr>
              <w:t>不足1万元的按1万元计取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534"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w:t>
            </w:r>
          </w:p>
        </w:tc>
        <w:tc>
          <w:tcPr>
            <w:tcW w:w="224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地块规划研究</w:t>
            </w:r>
          </w:p>
        </w:tc>
        <w:tc>
          <w:tcPr>
            <w:tcW w:w="52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12"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宋体" w:hAnsi="宋体" w:eastAsia="宋体" w:cs="宋体"/>
                <w:color w:val="000000"/>
                <w:kern w:val="0"/>
                <w:sz w:val="22"/>
                <w:szCs w:val="22"/>
                <w:highlight w:val="none"/>
                <w:lang w:eastAsia="zh-CN" w:bidi="ar"/>
              </w:rPr>
            </w:pPr>
            <w:r>
              <w:rPr>
                <w:rFonts w:hint="default" w:ascii="Arial" w:hAnsi="Arial" w:eastAsia="宋体" w:cs="Arial"/>
                <w:color w:val="000000"/>
                <w:kern w:val="0"/>
                <w:sz w:val="22"/>
                <w:szCs w:val="22"/>
                <w:highlight w:val="none"/>
                <w:lang w:val="en-US" w:eastAsia="zh-CN" w:bidi="ar"/>
              </w:rPr>
              <w:t>公顷</w:t>
            </w:r>
          </w:p>
        </w:tc>
        <w:tc>
          <w:tcPr>
            <w:tcW w:w="195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default" w:ascii="Arial" w:hAnsi="Arial" w:eastAsia="宋体" w:cs="Arial"/>
                <w:color w:val="000000"/>
                <w:kern w:val="0"/>
                <w:sz w:val="22"/>
                <w:szCs w:val="22"/>
                <w:highlight w:val="none"/>
                <w:lang w:val="en-US" w:eastAsia="zh-CN" w:bidi="ar"/>
              </w:rPr>
            </w:pPr>
            <w:r>
              <w:rPr>
                <w:rFonts w:hint="default" w:ascii="Arial" w:hAnsi="Arial" w:eastAsia="宋体" w:cs="Arial"/>
                <w:color w:val="000000"/>
                <w:kern w:val="0"/>
                <w:sz w:val="22"/>
                <w:szCs w:val="22"/>
                <w:highlight w:val="none"/>
                <w:lang w:val="en-US" w:eastAsia="zh-CN" w:bidi="ar"/>
              </w:rPr>
              <w:t>每公顷1万元</w:t>
            </w:r>
          </w:p>
        </w:tc>
        <w:tc>
          <w:tcPr>
            <w:tcW w:w="2060"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ascii="Arial" w:hAnsi="Arial" w:cs="Arial"/>
                <w:color w:val="000000"/>
                <w:kern w:val="0"/>
                <w:sz w:val="22"/>
                <w:szCs w:val="22"/>
                <w:highlight w:val="none"/>
                <w:lang w:bidi="ar"/>
              </w:rPr>
            </w:pPr>
            <w:r>
              <w:rPr>
                <w:rFonts w:hint="eastAsia" w:ascii="Arial" w:hAnsi="Arial" w:cs="Arial"/>
                <w:color w:val="000000"/>
                <w:kern w:val="0"/>
                <w:sz w:val="22"/>
                <w:szCs w:val="22"/>
                <w:highlight w:val="none"/>
                <w:u w:val="single"/>
                <w:lang w:val="en-US" w:eastAsia="zh-CN" w:bidi="ar"/>
              </w:rPr>
              <w:t xml:space="preserve">       </w:t>
            </w:r>
            <w:r>
              <w:rPr>
                <w:rFonts w:hint="eastAsia" w:ascii="Arial" w:hAnsi="Arial" w:cs="Arial"/>
                <w:color w:val="000000"/>
                <w:kern w:val="0"/>
                <w:sz w:val="22"/>
                <w:szCs w:val="22"/>
                <w:highlight w:val="none"/>
                <w:lang w:val="en-US" w:eastAsia="zh-CN" w:bidi="ar"/>
              </w:rPr>
              <w:t>元</w:t>
            </w:r>
            <w:r>
              <w:rPr>
                <w:rFonts w:hint="eastAsia" w:ascii="宋体" w:hAnsi="宋体" w:cs="宋体"/>
                <w:color w:val="000000"/>
                <w:kern w:val="0"/>
                <w:sz w:val="22"/>
                <w:szCs w:val="22"/>
                <w:highlight w:val="none"/>
                <w:lang w:val="en-US" w:eastAsia="zh-CN" w:bidi="ar"/>
              </w:rPr>
              <w:t>/公顷</w:t>
            </w:r>
          </w:p>
        </w:tc>
        <w:tc>
          <w:tcPr>
            <w:tcW w:w="1275"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eastAsia" w:ascii="Arial" w:hAnsi="Arial" w:eastAsia="宋体" w:cs="Arial"/>
                <w:color w:val="000000"/>
                <w:kern w:val="0"/>
                <w:sz w:val="22"/>
                <w:szCs w:val="22"/>
                <w:highlight w:val="none"/>
                <w:lang w:eastAsia="zh-CN" w:bidi="ar"/>
              </w:rPr>
            </w:pPr>
            <w:r>
              <w:rPr>
                <w:rFonts w:hint="eastAsia" w:ascii="Arial" w:hAnsi="Arial" w:cs="Arial"/>
                <w:color w:val="000000"/>
                <w:kern w:val="0"/>
                <w:sz w:val="22"/>
                <w:szCs w:val="22"/>
                <w:highlight w:val="none"/>
                <w:lang w:val="en-US" w:eastAsia="zh-CN" w:bidi="ar"/>
              </w:rPr>
              <w:t>不足3万元的</w:t>
            </w:r>
            <w:r>
              <w:rPr>
                <w:rFonts w:hint="default" w:ascii="Arial" w:hAnsi="Arial" w:eastAsia="宋体" w:cs="Arial"/>
                <w:color w:val="000000"/>
                <w:kern w:val="0"/>
                <w:sz w:val="22"/>
                <w:szCs w:val="22"/>
                <w:highlight w:val="none"/>
                <w:lang w:val="en-US" w:eastAsia="zh-CN" w:bidi="ar"/>
              </w:rPr>
              <w:t>按3万元计取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534" w:type="dxa"/>
            <w:tcBorders>
              <w:tl2br w:val="nil"/>
              <w:tr2bl w:val="nil"/>
            </w:tcBorders>
            <w:shd w:val="clear" w:color="auto" w:fill="auto"/>
            <w:noWrap/>
            <w:tcMar>
              <w:top w:w="15" w:type="dxa"/>
              <w:left w:w="15" w:type="dxa"/>
              <w:right w:w="15" w:type="dxa"/>
            </w:tcMar>
            <w:vAlign w:val="center"/>
          </w:tcPr>
          <w:p>
            <w:pPr>
              <w:widowControl/>
              <w:shd w:val="clear"/>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5</w:t>
            </w:r>
          </w:p>
        </w:tc>
        <w:tc>
          <w:tcPr>
            <w:tcW w:w="2240" w:type="dxa"/>
            <w:tcBorders>
              <w:tl2br w:val="nil"/>
              <w:tr2bl w:val="nil"/>
            </w:tcBorders>
            <w:shd w:val="clear" w:color="auto" w:fill="auto"/>
            <w:tcMar>
              <w:top w:w="15" w:type="dxa"/>
              <w:left w:w="15" w:type="dxa"/>
              <w:right w:w="15" w:type="dxa"/>
            </w:tcMar>
            <w:vAlign w:val="center"/>
          </w:tcPr>
          <w:p>
            <w:pPr>
              <w:widowControl/>
              <w:shd w:val="clea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val="en-US" w:eastAsia="zh-CN"/>
              </w:rPr>
              <w:t>项目负责人</w:t>
            </w:r>
          </w:p>
        </w:tc>
        <w:tc>
          <w:tcPr>
            <w:tcW w:w="6522" w:type="dxa"/>
            <w:gridSpan w:val="5"/>
            <w:tcBorders>
              <w:tl2br w:val="nil"/>
              <w:tr2bl w:val="nil"/>
            </w:tcBorders>
            <w:shd w:val="clear" w:color="auto" w:fill="auto"/>
            <w:noWrap/>
            <w:tcMar>
              <w:top w:w="15" w:type="dxa"/>
              <w:left w:w="15" w:type="dxa"/>
              <w:right w:w="15" w:type="dxa"/>
            </w:tcMar>
            <w:vAlign w:val="center"/>
          </w:tcPr>
          <w:p>
            <w:pPr>
              <w:widowControl/>
              <w:shd w:val="clear"/>
              <w:textAlignment w:val="center"/>
              <w:rPr>
                <w:rFonts w:hint="eastAsia" w:ascii="宋体" w:hAnsi="宋体" w:cs="宋体"/>
                <w:color w:val="000000"/>
                <w:kern w:val="0"/>
                <w:sz w:val="22"/>
                <w:szCs w:val="22"/>
                <w:highlight w:val="none"/>
                <w:lang w:bidi="ar"/>
              </w:rPr>
            </w:pPr>
          </w:p>
        </w:tc>
      </w:tr>
    </w:tbl>
    <w:p>
      <w:pPr>
        <w:shd w:val="clear"/>
        <w:spacing w:line="360" w:lineRule="auto"/>
        <w:rPr>
          <w:rFonts w:ascii="宋体"/>
          <w:sz w:val="24"/>
          <w:szCs w:val="24"/>
          <w:highlight w:val="none"/>
        </w:rPr>
      </w:pPr>
      <w:r>
        <w:rPr>
          <w:rFonts w:hint="eastAsia" w:ascii="宋体" w:hAnsi="宋体" w:cs="宋体"/>
          <w:b/>
          <w:bCs/>
          <w:highlight w:val="none"/>
        </w:rPr>
        <w:t>填报要求：</w:t>
      </w:r>
    </w:p>
    <w:p>
      <w:pPr>
        <w:numPr>
          <w:ilvl w:val="0"/>
          <w:numId w:val="29"/>
        </w:numPr>
        <w:shd w:val="clear"/>
        <w:spacing w:line="360" w:lineRule="auto"/>
        <w:ind w:firstLine="420" w:firstLineChars="200"/>
        <w:rPr>
          <w:rFonts w:ascii="宋体" w:hAnsi="宋体" w:cs="宋体"/>
          <w:kern w:val="0"/>
          <w:highlight w:val="none"/>
        </w:rPr>
      </w:pPr>
      <w:r>
        <w:rPr>
          <w:rFonts w:hint="eastAsia" w:ascii="宋体" w:hAnsi="宋体" w:cs="宋体"/>
          <w:kern w:val="0"/>
          <w:highlight w:val="none"/>
        </w:rPr>
        <w:t>报价一经涂改，应在涂改处加盖单位公章，或者由法定代表人或授权代理人签名或盖章，否则其投标作无效标处理。</w:t>
      </w:r>
    </w:p>
    <w:p>
      <w:pPr>
        <w:numPr>
          <w:ilvl w:val="0"/>
          <w:numId w:val="29"/>
        </w:numPr>
        <w:shd w:val="clea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投标报价应包括招标代理服务费、现场踏勘、资料收集整理、数据调查分析、工作大纲编制、调研报告、方案和所有设计、会务费、餐费、住宿费、最终相关专题及报告的编制、印刷、报相关主管部门审批、咨询费、风险费、保险、利润、规费、税金、政策性文件规定及合同包含的所有风险、责任等所有费用</w:t>
      </w:r>
      <w:r>
        <w:rPr>
          <w:rFonts w:hint="eastAsia" w:ascii="宋体" w:hAnsi="宋体" w:cs="宋体"/>
          <w:kern w:val="0"/>
          <w:highlight w:val="none"/>
          <w:lang w:eastAsia="zh-CN"/>
        </w:rPr>
        <w:t>。</w:t>
      </w:r>
    </w:p>
    <w:p>
      <w:pPr>
        <w:pStyle w:val="21"/>
        <w:shd w:val="clear"/>
        <w:rPr>
          <w:highlight w:val="none"/>
        </w:rPr>
      </w:pPr>
    </w:p>
    <w:p>
      <w:pPr>
        <w:shd w:val="clea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pPr>
        <w:shd w:val="clear"/>
        <w:spacing w:line="360" w:lineRule="auto"/>
        <w:ind w:left="420"/>
        <w:rPr>
          <w:rFonts w:ascii="宋体"/>
          <w:sz w:val="24"/>
          <w:szCs w:val="24"/>
          <w:highlight w:val="none"/>
        </w:rPr>
      </w:pPr>
    </w:p>
    <w:p>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pPr>
        <w:shd w:val="clear"/>
        <w:spacing w:line="360" w:lineRule="auto"/>
        <w:rPr>
          <w:rFonts w:ascii="宋体"/>
          <w:sz w:val="24"/>
          <w:szCs w:val="24"/>
          <w:highlight w:val="none"/>
        </w:rPr>
      </w:pPr>
    </w:p>
    <w:p>
      <w:pPr>
        <w:shd w:val="clea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pPr>
        <w:shd w:val="clear"/>
        <w:tabs>
          <w:tab w:val="left" w:pos="3990"/>
        </w:tabs>
        <w:ind w:firstLine="3640" w:firstLineChars="1300"/>
        <w:rPr>
          <w:highlight w:val="none"/>
        </w:rPr>
        <w:sectPr>
          <w:footerReference r:id="rId12" w:type="default"/>
          <w:pgSz w:w="11915" w:h="16840"/>
          <w:pgMar w:top="1134" w:right="1418" w:bottom="1134" w:left="1418" w:header="851" w:footer="1304" w:gutter="0"/>
          <w:pgBorders>
            <w:top w:val="none" w:sz="0" w:space="0"/>
            <w:left w:val="none" w:sz="0" w:space="0"/>
            <w:bottom w:val="none" w:sz="0" w:space="0"/>
            <w:right w:val="none" w:sz="0" w:space="0"/>
          </w:pgBorders>
          <w:cols w:space="720" w:num="1"/>
          <w:docGrid w:type="linesAndChars" w:linePitch="312" w:charSpace="0"/>
        </w:sectPr>
      </w:pPr>
      <w:r>
        <w:rPr>
          <w:rFonts w:ascii="宋体"/>
          <w:sz w:val="28"/>
          <w:szCs w:val="28"/>
          <w:highlight w:val="none"/>
        </w:rPr>
        <w:br w:type="page"/>
      </w:r>
    </w:p>
    <w:p>
      <w:pPr>
        <w:pStyle w:val="63"/>
        <w:widowControl w:val="0"/>
        <w:shd w:val="clear"/>
        <w:snapToGrid w:val="0"/>
        <w:spacing w:line="500" w:lineRule="exact"/>
        <w:rPr>
          <w:rFonts w:hint="default" w:ascii="方正小标宋简体" w:hAnsi="方正小标宋简体" w:eastAsia="方正小标宋简体" w:cs="方正小标宋简体"/>
          <w:color w:val="000000"/>
          <w:sz w:val="20"/>
          <w:highlight w:val="none"/>
        </w:rPr>
      </w:pPr>
      <w:r>
        <w:rPr>
          <w:rFonts w:ascii="方正小标宋简体" w:hAnsi="方正小标宋简体" w:eastAsia="方正小标宋简体" w:cs="方正小标宋简体"/>
          <w:color w:val="000000"/>
          <w:sz w:val="20"/>
          <w:highlight w:val="none"/>
        </w:rPr>
        <w:t>附件：政府采购活动现场确认声明书</w:t>
      </w:r>
    </w:p>
    <w:p>
      <w:pPr>
        <w:pStyle w:val="63"/>
        <w:widowControl w:val="0"/>
        <w:shd w:val="clear"/>
        <w:snapToGrid w:val="0"/>
        <w:spacing w:line="500" w:lineRule="exact"/>
        <w:jc w:val="center"/>
        <w:rPr>
          <w:rFonts w:hint="default" w:ascii="方正小标宋简体" w:hAnsi="方正小标宋简体" w:eastAsia="方正小标宋简体" w:cs="方正小标宋简体"/>
          <w:color w:val="000000"/>
          <w:sz w:val="36"/>
          <w:szCs w:val="36"/>
          <w:highlight w:val="none"/>
        </w:rPr>
      </w:pPr>
      <w:r>
        <w:rPr>
          <w:rFonts w:ascii="方正小标宋简体" w:hAnsi="方正小标宋简体" w:eastAsia="方正小标宋简体" w:cs="方正小标宋简体"/>
          <w:color w:val="000000"/>
          <w:sz w:val="36"/>
          <w:szCs w:val="36"/>
          <w:highlight w:val="none"/>
        </w:rPr>
        <w:t>政府采购活动现场确认声明书</w:t>
      </w:r>
    </w:p>
    <w:p>
      <w:pPr>
        <w:pStyle w:val="63"/>
        <w:widowControl w:val="0"/>
        <w:shd w:val="clear"/>
        <w:snapToGrid w:val="0"/>
        <w:spacing w:line="500" w:lineRule="exact"/>
        <w:jc w:val="both"/>
        <w:rPr>
          <w:rFonts w:hint="default" w:ascii="仿宋" w:hAnsi="仿宋"/>
          <w:color w:val="000000"/>
          <w:kern w:val="0"/>
          <w:sz w:val="28"/>
          <w:highlight w:val="none"/>
        </w:rPr>
      </w:pPr>
    </w:p>
    <w:p>
      <w:pPr>
        <w:pStyle w:val="63"/>
        <w:widowControl w:val="0"/>
        <w:shd w:val="clear"/>
        <w:snapToGrid w:val="0"/>
        <w:spacing w:line="400" w:lineRule="exact"/>
        <w:jc w:val="both"/>
        <w:rPr>
          <w:rFonts w:hint="default" w:ascii="仿宋" w:hAnsi="仿宋"/>
          <w:b/>
          <w:color w:val="000000"/>
          <w:sz w:val="28"/>
          <w:szCs w:val="21"/>
          <w:highlight w:val="none"/>
        </w:rPr>
      </w:pPr>
      <w:r>
        <w:rPr>
          <w:rFonts w:ascii="仿宋" w:hAnsi="仿宋"/>
          <w:color w:val="000000"/>
          <w:kern w:val="0"/>
          <w:sz w:val="28"/>
          <w:highlight w:val="none"/>
        </w:rPr>
        <w:t xml:space="preserve"> </w:t>
      </w:r>
      <w:r>
        <w:rPr>
          <w:rFonts w:ascii="仿宋" w:hAnsi="仿宋"/>
          <w:color w:val="000000"/>
          <w:kern w:val="0"/>
          <w:sz w:val="28"/>
          <w:highlight w:val="none"/>
          <w:u w:val="single"/>
        </w:rPr>
        <w:t xml:space="preserve">建经投资咨询有限公司 </w:t>
      </w:r>
      <w:r>
        <w:rPr>
          <w:rFonts w:ascii="仿宋" w:hAnsi="仿宋"/>
          <w:color w:val="000000"/>
          <w:kern w:val="0"/>
          <w:sz w:val="28"/>
          <w:szCs w:val="21"/>
          <w:highlight w:val="none"/>
        </w:rPr>
        <w:t>：</w:t>
      </w:r>
    </w:p>
    <w:p>
      <w:pPr>
        <w:pStyle w:val="63"/>
        <w:widowControl w:val="0"/>
        <w:shd w:val="clear"/>
        <w:snapToGrid w:val="0"/>
        <w:spacing w:line="400" w:lineRule="exact"/>
        <w:ind w:firstLine="584" w:firstLineChars="200"/>
        <w:jc w:val="both"/>
        <w:rPr>
          <w:rFonts w:hint="default" w:ascii="仿宋" w:hAnsi="仿宋"/>
          <w:color w:val="000000"/>
          <w:spacing w:val="6"/>
          <w:sz w:val="28"/>
          <w:szCs w:val="21"/>
          <w:highlight w:val="none"/>
        </w:rPr>
      </w:pPr>
      <w:r>
        <w:rPr>
          <w:rFonts w:ascii="仿宋" w:hAnsi="仿宋"/>
          <w:color w:val="000000"/>
          <w:spacing w:val="6"/>
          <w:sz w:val="28"/>
          <w:szCs w:val="21"/>
          <w:highlight w:val="none"/>
        </w:rPr>
        <w:t>本人经由</w:t>
      </w:r>
      <w:r>
        <w:rPr>
          <w:rFonts w:ascii="仿宋" w:hAnsi="仿宋"/>
          <w:color w:val="000000"/>
          <w:spacing w:val="6"/>
          <w:sz w:val="28"/>
          <w:szCs w:val="21"/>
          <w:highlight w:val="none"/>
          <w:u w:val="single"/>
        </w:rPr>
        <w:t xml:space="preserve">               （单位）</w:t>
      </w:r>
      <w:r>
        <w:rPr>
          <w:rFonts w:ascii="仿宋" w:hAnsi="仿宋"/>
          <w:color w:val="000000"/>
          <w:spacing w:val="6"/>
          <w:sz w:val="28"/>
          <w:szCs w:val="21"/>
          <w:highlight w:val="none"/>
        </w:rPr>
        <w:t>法人代表（负责人）</w:t>
      </w:r>
      <w:r>
        <w:rPr>
          <w:rFonts w:ascii="仿宋" w:hAnsi="仿宋"/>
          <w:color w:val="000000"/>
          <w:spacing w:val="6"/>
          <w:sz w:val="28"/>
          <w:szCs w:val="21"/>
          <w:highlight w:val="none"/>
          <w:u w:val="single"/>
        </w:rPr>
        <w:t xml:space="preserve">        （姓名）</w:t>
      </w:r>
      <w:r>
        <w:rPr>
          <w:rFonts w:ascii="仿宋" w:hAnsi="仿宋"/>
          <w:color w:val="000000"/>
          <w:spacing w:val="6"/>
          <w:sz w:val="28"/>
          <w:szCs w:val="21"/>
          <w:highlight w:val="none"/>
        </w:rPr>
        <w:t>合法授权参加</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温岭市2024年度控制性详细规划编制采购</w:t>
      </w:r>
      <w:r>
        <w:rPr>
          <w:rFonts w:ascii="仿宋" w:hAnsi="仿宋"/>
          <w:color w:val="000000"/>
          <w:spacing w:val="6"/>
          <w:sz w:val="28"/>
          <w:szCs w:val="21"/>
          <w:highlight w:val="none"/>
          <w:u w:val="single"/>
        </w:rPr>
        <w:t xml:space="preserve"> </w:t>
      </w:r>
      <w:r>
        <w:rPr>
          <w:rFonts w:ascii="仿宋" w:hAnsi="仿宋"/>
          <w:color w:val="000000"/>
          <w:spacing w:val="6"/>
          <w:sz w:val="28"/>
          <w:szCs w:val="21"/>
          <w:highlight w:val="none"/>
        </w:rPr>
        <w:t>项目（编号：</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JJWL24031982</w:t>
      </w:r>
      <w:r>
        <w:rPr>
          <w:rFonts w:ascii="仿宋" w:hAnsi="仿宋"/>
          <w:color w:val="000000"/>
          <w:spacing w:val="6"/>
          <w:sz w:val="28"/>
          <w:szCs w:val="21"/>
          <w:highlight w:val="none"/>
          <w:u w:val="single"/>
        </w:rPr>
        <w:t xml:space="preserve"> </w:t>
      </w:r>
      <w:r>
        <w:rPr>
          <w:rFonts w:ascii="仿宋" w:hAnsi="仿宋"/>
          <w:color w:val="000000"/>
          <w:spacing w:val="6"/>
          <w:sz w:val="28"/>
          <w:szCs w:val="21"/>
          <w:highlight w:val="none"/>
        </w:rPr>
        <w:t xml:space="preserve">）政府采购活动，经与本单位法人代表（负责人）联系确认，现就有关公平竞争事项郑重声明如下： </w:t>
      </w:r>
    </w:p>
    <w:p>
      <w:pPr>
        <w:pStyle w:val="64"/>
        <w:widowControl/>
        <w:numPr>
          <w:ilvl w:val="0"/>
          <w:numId w:val="30"/>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 xml:space="preserve">本单位与采购人之间 </w:t>
      </w:r>
      <w:r>
        <w:rPr>
          <w:rFonts w:ascii="宋体" w:hAnsi="宋体" w:cs="宋体"/>
          <w:color w:val="000000"/>
          <w:kern w:val="0"/>
          <w:sz w:val="28"/>
          <w:szCs w:val="21"/>
          <w:highlight w:val="none"/>
        </w:rPr>
        <w:t>□</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pPr>
        <w:pStyle w:val="64"/>
        <w:widowControl/>
        <w:shd w:val="clear"/>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A.投资关系    B.行政隶属关系    C.业务指导关系</w:t>
      </w:r>
    </w:p>
    <w:p>
      <w:pPr>
        <w:pStyle w:val="64"/>
        <w:widowControl/>
        <w:shd w:val="clear"/>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D.其他可能</w:t>
      </w:r>
      <w:r>
        <w:rPr>
          <w:rFonts w:ascii="仿宋" w:hAnsi="仿宋"/>
          <w:color w:val="000000"/>
          <w:sz w:val="28"/>
          <w:szCs w:val="21"/>
          <w:highlight w:val="none"/>
        </w:rPr>
        <w:t>影响采购公正的</w:t>
      </w:r>
      <w:r>
        <w:rPr>
          <w:rFonts w:ascii="仿宋" w:hAnsi="仿宋"/>
          <w:color w:val="000000"/>
          <w:kern w:val="0"/>
          <w:sz w:val="28"/>
          <w:szCs w:val="21"/>
          <w:highlight w:val="none"/>
        </w:rPr>
        <w:t>利害关系</w:t>
      </w:r>
      <w:r>
        <w:rPr>
          <w:rFonts w:ascii="仿宋" w:hAnsi="仿宋"/>
          <w:color w:val="000000"/>
          <w:kern w:val="0"/>
          <w:sz w:val="28"/>
          <w:szCs w:val="21"/>
          <w:highlight w:val="none"/>
          <w:u w:val="single"/>
        </w:rPr>
        <w:t xml:space="preserve">（如有，请如实说明）                 </w:t>
      </w:r>
      <w:r>
        <w:rPr>
          <w:rFonts w:ascii="仿宋" w:hAnsi="仿宋"/>
          <w:color w:val="000000"/>
          <w:kern w:val="0"/>
          <w:sz w:val="28"/>
          <w:szCs w:val="21"/>
          <w:highlight w:val="none"/>
        </w:rPr>
        <w:t>。</w:t>
      </w:r>
    </w:p>
    <w:p>
      <w:pPr>
        <w:pStyle w:val="64"/>
        <w:widowControl/>
        <w:shd w:val="clear"/>
        <w:snapToGrid w:val="0"/>
        <w:spacing w:line="400" w:lineRule="exact"/>
        <w:rPr>
          <w:rFonts w:hint="default" w:ascii="仿宋" w:hAnsi="仿宋"/>
          <w:color w:val="000000"/>
          <w:kern w:val="0"/>
          <w:sz w:val="28"/>
          <w:szCs w:val="21"/>
          <w:highlight w:val="none"/>
        </w:rPr>
      </w:pPr>
      <w:r>
        <w:rPr>
          <w:rFonts w:ascii="仿宋" w:hAnsi="仿宋"/>
          <w:color w:val="000000"/>
          <w:spacing w:val="6"/>
          <w:sz w:val="28"/>
          <w:szCs w:val="21"/>
          <w:highlight w:val="none"/>
        </w:rPr>
        <w:t xml:space="preserve">  二、</w:t>
      </w:r>
      <w:r>
        <w:rPr>
          <w:rFonts w:ascii="仿宋" w:hAnsi="仿宋"/>
          <w:color w:val="000000"/>
          <w:kern w:val="0"/>
          <w:sz w:val="28"/>
          <w:szCs w:val="21"/>
          <w:highlight w:val="none"/>
        </w:rPr>
        <w:t xml:space="preserve">现已清楚知道参加本项目采购活动的其他所有供应商名称，本单位 </w:t>
      </w:r>
      <w:r>
        <w:rPr>
          <w:rFonts w:ascii="宋体" w:hAnsi="宋体" w:cs="宋体"/>
          <w:color w:val="000000"/>
          <w:kern w:val="0"/>
          <w:sz w:val="28"/>
          <w:szCs w:val="21"/>
          <w:highlight w:val="none"/>
        </w:rPr>
        <w:t>□与其他所有供应商之间均</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□与</w:t>
      </w:r>
      <w:r>
        <w:rPr>
          <w:rFonts w:ascii="宋体" w:hAnsi="宋体" w:cs="宋体"/>
          <w:color w:val="000000"/>
          <w:kern w:val="0"/>
          <w:sz w:val="28"/>
          <w:szCs w:val="21"/>
          <w:highlight w:val="none"/>
          <w:u w:val="single"/>
        </w:rPr>
        <w:t xml:space="preserve">           （供应商名称）</w:t>
      </w:r>
      <w:r>
        <w:rPr>
          <w:rFonts w:ascii="宋体" w:hAnsi="宋体" w:cs="宋体"/>
          <w:color w:val="000000"/>
          <w:kern w:val="0"/>
          <w:sz w:val="28"/>
          <w:szCs w:val="21"/>
          <w:highlight w:val="none"/>
        </w:rPr>
        <w:t>之间</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pPr>
        <w:pStyle w:val="63"/>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A.法定代表人或负责人或实际控制人是同一人；</w:t>
      </w:r>
    </w:p>
    <w:p>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B.法定代表人或负责人或实际控制人是夫妻关系；</w:t>
      </w:r>
    </w:p>
    <w:p>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C.法定代表人或负责人或实际控制人是直系血亲关系；</w:t>
      </w:r>
    </w:p>
    <w:p>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D.法定代表人或负责人或实际控制人存在三代以内旁系血亲关系；</w:t>
      </w:r>
    </w:p>
    <w:p>
      <w:pPr>
        <w:pStyle w:val="63"/>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E.法定代表人或负责人或实际控制人存在近姻亲关系；</w:t>
      </w:r>
    </w:p>
    <w:p>
      <w:pPr>
        <w:pStyle w:val="63"/>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F.法定代表人或负责人或实际控制人存在股份控制或实际控制关系；</w:t>
      </w:r>
    </w:p>
    <w:p>
      <w:pPr>
        <w:pStyle w:val="63"/>
        <w:widowControl w:val="0"/>
        <w:shd w:val="clear"/>
        <w:snapToGrid w:val="0"/>
        <w:spacing w:line="400" w:lineRule="exact"/>
        <w:jc w:val="both"/>
        <w:outlineLvl w:val="0"/>
        <w:rPr>
          <w:rFonts w:hint="default" w:ascii="仿宋" w:hAnsi="仿宋"/>
          <w:color w:val="000000"/>
          <w:kern w:val="0"/>
          <w:sz w:val="28"/>
          <w:szCs w:val="21"/>
          <w:highlight w:val="none"/>
        </w:rPr>
      </w:pPr>
      <w:r>
        <w:rPr>
          <w:rFonts w:ascii="仿宋" w:hAnsi="仿宋"/>
          <w:color w:val="000000"/>
          <w:kern w:val="0"/>
          <w:sz w:val="28"/>
          <w:szCs w:val="21"/>
          <w:highlight w:val="none"/>
        </w:rPr>
        <w:t xml:space="preserve">  G.存在共同直接或间接投资设立子公司、联营企业和合营企业情况；</w:t>
      </w:r>
    </w:p>
    <w:p>
      <w:pPr>
        <w:pStyle w:val="63"/>
        <w:widowControl w:val="0"/>
        <w:shd w:val="clear"/>
        <w:snapToGrid w:val="0"/>
        <w:spacing w:line="400" w:lineRule="exact"/>
        <w:jc w:val="both"/>
        <w:rPr>
          <w:rFonts w:hint="default" w:ascii="仿宋" w:hAnsi="仿宋"/>
          <w:color w:val="000000"/>
          <w:sz w:val="28"/>
          <w:szCs w:val="21"/>
          <w:highlight w:val="none"/>
        </w:rPr>
      </w:pPr>
      <w:r>
        <w:rPr>
          <w:rFonts w:ascii="仿宋" w:hAnsi="仿宋"/>
          <w:color w:val="000000"/>
          <w:kern w:val="0"/>
          <w:sz w:val="28"/>
          <w:szCs w:val="21"/>
          <w:highlight w:val="none"/>
        </w:rPr>
        <w:t xml:space="preserve">  H.存在分级代理或代销关系、同一生产制造商关系、</w:t>
      </w:r>
      <w:r>
        <w:rPr>
          <w:rFonts w:ascii="仿宋" w:hAnsi="仿宋"/>
          <w:color w:val="000000"/>
          <w:sz w:val="28"/>
          <w:szCs w:val="21"/>
          <w:highlight w:val="none"/>
        </w:rPr>
        <w:t>管理关系、重要业务（占主营业务收入50%以上）或重要财务往来关系（如融资）等其他实质性控制关系；</w:t>
      </w:r>
    </w:p>
    <w:p>
      <w:pPr>
        <w:pStyle w:val="63"/>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sz w:val="28"/>
          <w:szCs w:val="21"/>
          <w:highlight w:val="none"/>
        </w:rPr>
        <w:t xml:space="preserve">  I</w:t>
      </w:r>
      <w:r>
        <w:rPr>
          <w:rFonts w:ascii="仿宋" w:hAnsi="仿宋"/>
          <w:color w:val="000000"/>
          <w:kern w:val="0"/>
          <w:sz w:val="28"/>
          <w:szCs w:val="21"/>
          <w:highlight w:val="none"/>
        </w:rPr>
        <w:t>.</w:t>
      </w:r>
      <w:r>
        <w:rPr>
          <w:rFonts w:ascii="仿宋" w:hAnsi="仿宋"/>
          <w:color w:val="000000"/>
          <w:sz w:val="28"/>
          <w:szCs w:val="21"/>
          <w:highlight w:val="none"/>
        </w:rPr>
        <w:t>其他利害关系情况</w:t>
      </w:r>
      <w:r>
        <w:rPr>
          <w:rFonts w:ascii="仿宋" w:hAnsi="仿宋"/>
          <w:color w:val="000000"/>
          <w:sz w:val="28"/>
          <w:szCs w:val="21"/>
          <w:highlight w:val="none"/>
          <w:u w:val="single"/>
        </w:rPr>
        <w:t xml:space="preserve">                              </w:t>
      </w:r>
      <w:r>
        <w:rPr>
          <w:rFonts w:ascii="仿宋" w:hAnsi="仿宋"/>
          <w:color w:val="000000"/>
          <w:kern w:val="0"/>
          <w:sz w:val="28"/>
          <w:szCs w:val="21"/>
          <w:highlight w:val="none"/>
        </w:rPr>
        <w:t>。</w:t>
      </w:r>
    </w:p>
    <w:p>
      <w:pPr>
        <w:pStyle w:val="64"/>
        <w:widowControl/>
        <w:numPr>
          <w:ilvl w:val="0"/>
          <w:numId w:val="31"/>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sz w:val="28"/>
          <w:szCs w:val="21"/>
          <w:highlight w:val="none"/>
        </w:rPr>
        <w:t>现已清楚知道并</w:t>
      </w:r>
      <w:r>
        <w:rPr>
          <w:rFonts w:ascii="仿宋" w:hAnsi="仿宋"/>
          <w:color w:val="000000"/>
          <w:kern w:val="0"/>
          <w:sz w:val="28"/>
          <w:szCs w:val="21"/>
          <w:highlight w:val="none"/>
        </w:rPr>
        <w:t>严格遵守政府采购法律法规和现场纪律。</w:t>
      </w:r>
    </w:p>
    <w:p>
      <w:pPr>
        <w:pStyle w:val="64"/>
        <w:widowControl/>
        <w:numPr>
          <w:ilvl w:val="0"/>
          <w:numId w:val="31"/>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我发现</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供应商之间存在或可能存在上述第二条第</w:t>
      </w:r>
      <w:r>
        <w:rPr>
          <w:rFonts w:ascii="仿宋" w:hAnsi="仿宋"/>
          <w:color w:val="000000"/>
          <w:kern w:val="0"/>
          <w:sz w:val="28"/>
          <w:szCs w:val="21"/>
          <w:highlight w:val="none"/>
          <w:u w:val="single"/>
        </w:rPr>
        <w:t xml:space="preserve">      </w:t>
      </w:r>
      <w:r>
        <w:rPr>
          <w:rFonts w:hint="default" w:ascii="仿宋" w:hAnsi="仿宋"/>
          <w:color w:val="000000"/>
          <w:kern w:val="0"/>
          <w:sz w:val="28"/>
          <w:szCs w:val="21"/>
          <w:highlight w:val="none"/>
          <w:u w:val="single"/>
        </w:rPr>
        <w:t xml:space="preserve">  </w:t>
      </w:r>
      <w:r>
        <w:rPr>
          <w:rFonts w:ascii="仿宋" w:hAnsi="仿宋"/>
          <w:color w:val="000000"/>
          <w:kern w:val="0"/>
          <w:sz w:val="28"/>
          <w:szCs w:val="21"/>
          <w:highlight w:val="none"/>
        </w:rPr>
        <w:t>项利害关系。</w:t>
      </w:r>
    </w:p>
    <w:p>
      <w:pPr>
        <w:pStyle w:val="63"/>
        <w:widowControl w:val="0"/>
        <w:shd w:val="clear"/>
        <w:snapToGrid w:val="0"/>
        <w:ind w:firstLine="560" w:firstLineChars="200"/>
        <w:jc w:val="both"/>
        <w:rPr>
          <w:rFonts w:hint="default" w:ascii="仿宋" w:hAnsi="仿宋"/>
          <w:color w:val="000000"/>
          <w:sz w:val="28"/>
          <w:szCs w:val="21"/>
          <w:highlight w:val="none"/>
        </w:rPr>
      </w:pPr>
    </w:p>
    <w:p>
      <w:pPr>
        <w:pStyle w:val="63"/>
        <w:widowControl w:val="0"/>
        <w:shd w:val="clear"/>
        <w:snapToGrid w:val="0"/>
        <w:ind w:firstLine="560" w:firstLineChars="200"/>
        <w:jc w:val="both"/>
        <w:rPr>
          <w:rFonts w:hint="default" w:ascii="仿宋" w:hAnsi="仿宋"/>
          <w:color w:val="000000"/>
          <w:sz w:val="28"/>
          <w:szCs w:val="21"/>
          <w:highlight w:val="none"/>
        </w:rPr>
      </w:pPr>
      <w:r>
        <w:rPr>
          <w:rFonts w:ascii="仿宋" w:hAnsi="仿宋"/>
          <w:color w:val="000000"/>
          <w:sz w:val="28"/>
          <w:szCs w:val="21"/>
          <w:highlight w:val="none"/>
        </w:rPr>
        <w:t xml:space="preserve">                               （供应商代表签名）：</w:t>
      </w:r>
    </w:p>
    <w:p>
      <w:pPr>
        <w:pStyle w:val="63"/>
        <w:widowControl w:val="0"/>
        <w:shd w:val="clear"/>
        <w:snapToGrid w:val="0"/>
        <w:ind w:firstLine="560" w:firstLineChars="200"/>
        <w:jc w:val="both"/>
        <w:rPr>
          <w:rFonts w:hint="default" w:ascii="仿宋_GB2312" w:eastAsia="仿宋_GB2312"/>
          <w:b/>
          <w:sz w:val="24"/>
          <w:highlight w:val="none"/>
        </w:rPr>
      </w:pPr>
      <w:r>
        <w:rPr>
          <w:rFonts w:ascii="仿宋" w:hAnsi="仿宋"/>
          <w:color w:val="000000"/>
          <w:sz w:val="28"/>
          <w:szCs w:val="21"/>
          <w:highlight w:val="none"/>
        </w:rPr>
        <w:t xml:space="preserve">                                 </w:t>
      </w:r>
      <w:r>
        <w:rPr>
          <w:rFonts w:hint="eastAsia" w:ascii="仿宋" w:hAnsi="仿宋"/>
          <w:color w:val="000000"/>
          <w:sz w:val="28"/>
          <w:szCs w:val="21"/>
          <w:highlight w:val="none"/>
          <w:lang w:eastAsia="zh-CN"/>
        </w:rPr>
        <w:t>2024年</w:t>
      </w:r>
      <w:r>
        <w:rPr>
          <w:rFonts w:ascii="仿宋" w:hAnsi="仿宋"/>
          <w:color w:val="000000"/>
          <w:sz w:val="28"/>
          <w:szCs w:val="21"/>
          <w:highlight w:val="none"/>
        </w:rPr>
        <w:t xml:space="preserve">  月   日</w:t>
      </w:r>
    </w:p>
    <w:p>
      <w:pPr>
        <w:shd w:val="clear"/>
        <w:rPr>
          <w:highlight w:val="none"/>
        </w:rPr>
      </w:pPr>
    </w:p>
    <w:sectPr>
      <w:headerReference r:id="rId13" w:type="default"/>
      <w:footerReference r:id="rId14" w:type="default"/>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705C89-9AB1-4495-B0DB-ED24E00C7E1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ED66D12C-7CEA-4D50-B41A-DE10BFB551A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9562CFF0-A49D-413B-B970-4BB80FB2F323}"/>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54FF81A2-2C50-4124-A56B-ACC0D339686D}"/>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8BDC29D4-7A10-47B7-908E-8C645A042664}"/>
  </w:font>
  <w:font w:name="仿宋">
    <w:panose1 w:val="02010609060101010101"/>
    <w:charset w:val="86"/>
    <w:family w:val="modern"/>
    <w:pitch w:val="default"/>
    <w:sig w:usb0="800002BF" w:usb1="38CF7CFA" w:usb2="00000016" w:usb3="00000000" w:csb0="00040001" w:csb1="00000000"/>
    <w:embedRegular r:id="rId6" w:fontKey="{E4D57DFD-2B63-412B-83A0-A7D524A80F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p>
  <w:p>
    <w:pPr>
      <w:pStyle w:val="15"/>
      <w:ind w:right="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pPr>
                          <w:r>
                            <w:fldChar w:fldCharType="begin"/>
                          </w:r>
                          <w:r>
                            <w:instrText xml:space="preserve"> PAGE  \* MERGEFORMAT </w:instrText>
                          </w:r>
                          <w:r>
                            <w:fldChar w:fldCharType="separate"/>
                          </w:r>
                          <w:r>
                            <w:t>- 66 -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evESnTAQAApAMAAA4AAAAAAAAAAQAgAAAA&#10;IgEAAGRycy9lMm9Eb2MueG1sUEsFBgAAAAAGAAYAWQEAAGcFAAAAAA==&#10;">
              <v:fill on="f" focussize="0,0"/>
              <v:stroke on="f" weight="1.25pt"/>
              <v:imagedata o:title=""/>
              <o:lock v:ext="edit" aspectratio="f"/>
              <v:textbox inset="0mm,0mm,0mm,0mm" style="mso-fit-shape-to-text:t;">
                <w:txbxContent>
                  <w:p>
                    <w:pPr>
                      <w:pStyle w:val="15"/>
                      <w:ind w:right="360"/>
                      <w:jc w:val="center"/>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p>
  <w:p>
    <w:pPr>
      <w:pStyle w:val="15"/>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izyu/MAQAAmA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eUy6dN7qDHtyWNiHN67Abdmvge8TLQHGUz6IiGCcVT3dFFXDJHw9KhaVVWJIY6x2UH84vm5&#10;DxAfhDMkGQ0NOL6sKjt+gDimzimpmnX3Sus8Qm1Jj6g31dub/OISQnRtsUhiMXabrDjshonazrUn&#10;ZNbjDjTU4spToh8tSpzWZTbCbOwmI5UH/+4QsYXcWUIdoaZiOLDMbVqutBF/+znr+Y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LPK78wBAACYAwAADgAAAAAAAAABACAAAAAiAQAAZHJz&#10;L2Uyb0RvYy54bWxQSwUGAAAAAAYABgBZAQAAYAUAAAAA&#10;">
              <v:fill on="f" focussize="0,0"/>
              <v:stroke on="f" weight="1.25pt"/>
              <v:imagedata o:title=""/>
              <o:lock v:ext="edit" aspectratio="f"/>
              <v:textbox inset="0mm,0mm,0mm,0mm" style="mso-fit-shape-to-text:t;">
                <w:txbxContent>
                  <w:p>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6"/>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- 68 -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- 68 -</w:t>
                    </w:r>
                    <w:r>
                      <w:fldChar w:fldCharType="end"/>
                    </w:r>
                  </w:p>
                </w:txbxContent>
              </v:textbox>
            </v:shape>
          </w:pict>
        </mc:Fallback>
      </mc:AlternateContent>
    </w:r>
  </w:p>
  <w:p>
    <w:pPr>
      <w:pStyle w:val="1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p>
  <w:p>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MZKYywEAAJgDAAAOAAAAAAAAAAEAIAAAACIBAABkcnMv&#10;ZTJvRG9jLnhtbFBLBQYAAAAABgAGAFkBAABfBQAAAAA=&#10;">
              <v:fill on="f" focussize="0,0"/>
              <v:stroke on="f" weight="1.25pt"/>
              <v:imagedata o:title=""/>
              <o:lock v:ext="edit" aspectratio="f"/>
              <v:textbox inset="0mm,0mm,0mm,0mm" style="mso-fit-shape-to-text:t;">
                <w:txbxContent>
                  <w:p>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p>
  <w:p>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ZPxnMAQAAm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wmI5UH/+EQsYXcWUIdoaZiOLDMbVqutBFP/Zz1+ENt/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QFk/GcwBAACYAwAADgAAAAAAAAABACAAAAAiAQAAZHJz&#10;L2Uyb0RvYy54bWxQSwUGAAAAAAYABgBZAQAAYAUAAAAA&#10;">
              <v:fill on="f" focussize="0,0"/>
              <v:stroke on="f" weight="1.25pt"/>
              <v:imagedata o:title=""/>
              <o:lock v:ext="edit" aspectratio="f"/>
              <v:textbox inset="0mm,0mm,0mm,0mm" style="mso-fit-shape-to-text:t;">
                <w:txbxContent>
                  <w:p>
                    <w:pPr>
                      <w:pStyle w:val="15"/>
                      <w:ind w:right="360"/>
                      <w:jc w:val="cente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8A657619"/>
    <w:multiLevelType w:val="singleLevel"/>
    <w:tmpl w:val="8A657619"/>
    <w:lvl w:ilvl="0" w:tentative="0">
      <w:start w:val="1"/>
      <w:numFmt w:val="decimal"/>
      <w:lvlText w:val="(%1)"/>
      <w:lvlJc w:val="left"/>
      <w:pPr>
        <w:ind w:left="425" w:hanging="425"/>
      </w:pPr>
      <w:rPr>
        <w:rFonts w:hint="default"/>
      </w:rPr>
    </w:lvl>
  </w:abstractNum>
  <w:abstractNum w:abstractNumId="2">
    <w:nsid w:val="9AA60DD3"/>
    <w:multiLevelType w:val="singleLevel"/>
    <w:tmpl w:val="9AA60DD3"/>
    <w:lvl w:ilvl="0" w:tentative="0">
      <w:start w:val="1"/>
      <w:numFmt w:val="decimal"/>
      <w:suff w:val="nothing"/>
      <w:lvlText w:val="%1、"/>
      <w:lvlJc w:val="left"/>
    </w:lvl>
  </w:abstractNum>
  <w:abstractNum w:abstractNumId="3">
    <w:nsid w:val="A1BD4009"/>
    <w:multiLevelType w:val="singleLevel"/>
    <w:tmpl w:val="A1BD4009"/>
    <w:lvl w:ilvl="0" w:tentative="0">
      <w:start w:val="1"/>
      <w:numFmt w:val="decimal"/>
      <w:lvlText w:val="(%1)"/>
      <w:lvlJc w:val="left"/>
      <w:pPr>
        <w:ind w:left="425" w:hanging="425"/>
      </w:pPr>
      <w:rPr>
        <w:rFonts w:hint="default"/>
      </w:rPr>
    </w:lvl>
  </w:abstractNum>
  <w:abstractNum w:abstractNumId="4">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5">
    <w:nsid w:val="AFAC851A"/>
    <w:multiLevelType w:val="singleLevel"/>
    <w:tmpl w:val="AFAC851A"/>
    <w:lvl w:ilvl="0" w:tentative="0">
      <w:start w:val="1"/>
      <w:numFmt w:val="decimal"/>
      <w:suff w:val="nothing"/>
      <w:lvlText w:val="%1、"/>
      <w:lvlJc w:val="left"/>
    </w:lvl>
  </w:abstractNum>
  <w:abstractNum w:abstractNumId="6">
    <w:nsid w:val="B023C88B"/>
    <w:multiLevelType w:val="singleLevel"/>
    <w:tmpl w:val="B023C88B"/>
    <w:lvl w:ilvl="0" w:tentative="0">
      <w:start w:val="2"/>
      <w:numFmt w:val="decimal"/>
      <w:suff w:val="nothing"/>
      <w:lvlText w:val="%1、"/>
      <w:lvlJc w:val="left"/>
    </w:lvl>
  </w:abstractNum>
  <w:abstractNum w:abstractNumId="7">
    <w:nsid w:val="C89BAD34"/>
    <w:multiLevelType w:val="singleLevel"/>
    <w:tmpl w:val="C89BAD34"/>
    <w:lvl w:ilvl="0" w:tentative="0">
      <w:start w:val="1"/>
      <w:numFmt w:val="decimal"/>
      <w:lvlText w:val="%1."/>
      <w:lvlJc w:val="left"/>
      <w:pPr>
        <w:ind w:left="425" w:hanging="425"/>
      </w:pPr>
      <w:rPr>
        <w:rFonts w:hint="default"/>
      </w:rPr>
    </w:lvl>
  </w:abstractNum>
  <w:abstractNum w:abstractNumId="8">
    <w:nsid w:val="C9C77C0D"/>
    <w:multiLevelType w:val="singleLevel"/>
    <w:tmpl w:val="C9C77C0D"/>
    <w:lvl w:ilvl="0" w:tentative="0">
      <w:start w:val="1"/>
      <w:numFmt w:val="decimal"/>
      <w:suff w:val="nothing"/>
      <w:lvlText w:val="%1、"/>
      <w:lvlJc w:val="left"/>
    </w:lvl>
  </w:abstractNum>
  <w:abstractNum w:abstractNumId="9">
    <w:nsid w:val="D557B2BB"/>
    <w:multiLevelType w:val="singleLevel"/>
    <w:tmpl w:val="D557B2BB"/>
    <w:lvl w:ilvl="0" w:tentative="0">
      <w:start w:val="1"/>
      <w:numFmt w:val="decimal"/>
      <w:lvlText w:val="%1."/>
      <w:lvlJc w:val="left"/>
      <w:pPr>
        <w:tabs>
          <w:tab w:val="left" w:pos="312"/>
        </w:tabs>
      </w:pPr>
    </w:lvl>
  </w:abstractNum>
  <w:abstractNum w:abstractNumId="10">
    <w:nsid w:val="D885EFCB"/>
    <w:multiLevelType w:val="singleLevel"/>
    <w:tmpl w:val="D885EFCB"/>
    <w:lvl w:ilvl="0" w:tentative="0">
      <w:start w:val="1"/>
      <w:numFmt w:val="decimal"/>
      <w:lvlText w:val="%1)"/>
      <w:lvlJc w:val="left"/>
      <w:pPr>
        <w:ind w:left="425" w:hanging="425"/>
      </w:pPr>
      <w:rPr>
        <w:rFonts w:hint="default"/>
      </w:rPr>
    </w:lvl>
  </w:abstractNum>
  <w:abstractNum w:abstractNumId="11">
    <w:nsid w:val="DA200EBC"/>
    <w:multiLevelType w:val="singleLevel"/>
    <w:tmpl w:val="DA200EBC"/>
    <w:lvl w:ilvl="0" w:tentative="0">
      <w:start w:val="1"/>
      <w:numFmt w:val="decimal"/>
      <w:lvlText w:val="%1."/>
      <w:lvlJc w:val="left"/>
      <w:pPr>
        <w:ind w:left="425" w:hanging="425"/>
      </w:pPr>
      <w:rPr>
        <w:rFonts w:hint="default"/>
      </w:rPr>
    </w:lvl>
  </w:abstractNum>
  <w:abstractNum w:abstractNumId="12">
    <w:nsid w:val="E33B11D4"/>
    <w:multiLevelType w:val="singleLevel"/>
    <w:tmpl w:val="E33B11D4"/>
    <w:lvl w:ilvl="0" w:tentative="0">
      <w:start w:val="3"/>
      <w:numFmt w:val="decimal"/>
      <w:suff w:val="nothing"/>
      <w:lvlText w:val="%1、"/>
      <w:lvlJc w:val="left"/>
    </w:lvl>
  </w:abstractNum>
  <w:abstractNum w:abstractNumId="13">
    <w:nsid w:val="F5643CC1"/>
    <w:multiLevelType w:val="singleLevel"/>
    <w:tmpl w:val="F5643CC1"/>
    <w:lvl w:ilvl="0" w:tentative="0">
      <w:start w:val="1"/>
      <w:numFmt w:val="decimal"/>
      <w:lvlText w:val="%1."/>
      <w:lvlJc w:val="left"/>
      <w:pPr>
        <w:ind w:left="425" w:hanging="425"/>
      </w:pPr>
      <w:rPr>
        <w:rFonts w:hint="default"/>
      </w:rPr>
    </w:lvl>
  </w:abstractNum>
  <w:abstractNum w:abstractNumId="14">
    <w:nsid w:val="F6F9A8DA"/>
    <w:multiLevelType w:val="singleLevel"/>
    <w:tmpl w:val="F6F9A8DA"/>
    <w:lvl w:ilvl="0" w:tentative="0">
      <w:start w:val="2"/>
      <w:numFmt w:val="decimal"/>
      <w:suff w:val="nothing"/>
      <w:lvlText w:val="%1、"/>
      <w:lvlJc w:val="left"/>
    </w:lvl>
  </w:abstractNum>
  <w:abstractNum w:abstractNumId="15">
    <w:nsid w:val="FFDF7A17"/>
    <w:multiLevelType w:val="singleLevel"/>
    <w:tmpl w:val="FFDF7A17"/>
    <w:lvl w:ilvl="0" w:tentative="0">
      <w:start w:val="1"/>
      <w:numFmt w:val="decimal"/>
      <w:lvlText w:val="%1."/>
      <w:lvlJc w:val="left"/>
      <w:pPr>
        <w:ind w:left="425" w:hanging="425"/>
      </w:pPr>
      <w:rPr>
        <w:rFonts w:hint="default"/>
      </w:rPr>
    </w:lvl>
  </w:abstractNum>
  <w:abstractNum w:abstractNumId="16">
    <w:nsid w:val="130D2FFB"/>
    <w:multiLevelType w:val="singleLevel"/>
    <w:tmpl w:val="130D2FFB"/>
    <w:lvl w:ilvl="0" w:tentative="0">
      <w:start w:val="1"/>
      <w:numFmt w:val="decimal"/>
      <w:lvlText w:val="%1."/>
      <w:lvlJc w:val="left"/>
      <w:pPr>
        <w:ind w:left="425" w:hanging="425"/>
      </w:pPr>
      <w:rPr>
        <w:rFonts w:hint="default"/>
      </w:rPr>
    </w:lvl>
  </w:abstractNum>
  <w:abstractNum w:abstractNumId="17">
    <w:nsid w:val="18716D63"/>
    <w:multiLevelType w:val="multilevel"/>
    <w:tmpl w:val="18716D63"/>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245436"/>
    <w:multiLevelType w:val="multilevel"/>
    <w:tmpl w:val="23245436"/>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194334"/>
    <w:multiLevelType w:val="singleLevel"/>
    <w:tmpl w:val="28194334"/>
    <w:lvl w:ilvl="0" w:tentative="0">
      <w:start w:val="1"/>
      <w:numFmt w:val="decimal"/>
      <w:lvlText w:val="%1."/>
      <w:lvlJc w:val="left"/>
      <w:pPr>
        <w:ind w:left="425" w:hanging="425"/>
      </w:pPr>
      <w:rPr>
        <w:rFonts w:hint="default"/>
      </w:rPr>
    </w:lvl>
  </w:abstractNum>
  <w:abstractNum w:abstractNumId="20">
    <w:nsid w:val="29147A61"/>
    <w:multiLevelType w:val="singleLevel"/>
    <w:tmpl w:val="29147A61"/>
    <w:lvl w:ilvl="0" w:tentative="0">
      <w:start w:val="1"/>
      <w:numFmt w:val="decimal"/>
      <w:lvlText w:val="%1."/>
      <w:lvlJc w:val="left"/>
      <w:pPr>
        <w:ind w:left="425" w:hanging="425"/>
      </w:pPr>
      <w:rPr>
        <w:rFonts w:hint="default"/>
      </w:rPr>
    </w:lvl>
  </w:abstractNum>
  <w:abstractNum w:abstractNumId="21">
    <w:nsid w:val="2CEC0CDD"/>
    <w:multiLevelType w:val="multilevel"/>
    <w:tmpl w:val="2CEC0CDD"/>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0A065B6"/>
    <w:multiLevelType w:val="singleLevel"/>
    <w:tmpl w:val="30A065B6"/>
    <w:lvl w:ilvl="0" w:tentative="0">
      <w:start w:val="3"/>
      <w:numFmt w:val="chineseCounting"/>
      <w:suff w:val="nothing"/>
      <w:lvlText w:val="（%1）"/>
      <w:lvlJc w:val="left"/>
      <w:rPr>
        <w:rFonts w:hint="eastAsia"/>
      </w:rPr>
    </w:lvl>
  </w:abstractNum>
  <w:abstractNum w:abstractNumId="23">
    <w:nsid w:val="322C74BC"/>
    <w:multiLevelType w:val="multilevel"/>
    <w:tmpl w:val="322C74BC"/>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2AE7707"/>
    <w:multiLevelType w:val="multilevel"/>
    <w:tmpl w:val="32AE7707"/>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53C7B98"/>
    <w:multiLevelType w:val="multilevel"/>
    <w:tmpl w:val="353C7B98"/>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3821A1F"/>
    <w:multiLevelType w:val="multilevel"/>
    <w:tmpl w:val="43821A1F"/>
    <w:lvl w:ilvl="0" w:tentative="0">
      <w:start w:val="1"/>
      <w:numFmt w:val="decimal"/>
      <w:lvlText w:val="%1"/>
      <w:lvlJc w:val="center"/>
      <w:pPr>
        <w:ind w:left="70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5AD177C"/>
    <w:multiLevelType w:val="singleLevel"/>
    <w:tmpl w:val="45AD177C"/>
    <w:lvl w:ilvl="0" w:tentative="0">
      <w:start w:val="1"/>
      <w:numFmt w:val="decimal"/>
      <w:suff w:val="nothing"/>
      <w:lvlText w:val="%1）"/>
      <w:lvlJc w:val="left"/>
    </w:lvl>
  </w:abstractNum>
  <w:abstractNum w:abstractNumId="28">
    <w:nsid w:val="54F403B5"/>
    <w:multiLevelType w:val="singleLevel"/>
    <w:tmpl w:val="54F403B5"/>
    <w:lvl w:ilvl="0" w:tentative="0">
      <w:start w:val="1"/>
      <w:numFmt w:val="chineseCounting"/>
      <w:suff w:val="nothing"/>
      <w:lvlText w:val="%1、"/>
      <w:lvlJc w:val="left"/>
    </w:lvl>
  </w:abstractNum>
  <w:abstractNum w:abstractNumId="29">
    <w:nsid w:val="557FD3DA"/>
    <w:multiLevelType w:val="singleLevel"/>
    <w:tmpl w:val="557FD3DA"/>
    <w:lvl w:ilvl="0" w:tentative="0">
      <w:start w:val="3"/>
      <w:numFmt w:val="chineseCounting"/>
      <w:suff w:val="nothing"/>
      <w:lvlText w:val="%1、"/>
      <w:lvlJc w:val="left"/>
    </w:lvl>
  </w:abstractNum>
  <w:abstractNum w:abstractNumId="30">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4"/>
  </w:num>
  <w:num w:numId="2">
    <w:abstractNumId w:val="30"/>
  </w:num>
  <w:num w:numId="3">
    <w:abstractNumId w:val="0"/>
  </w:num>
  <w:num w:numId="4">
    <w:abstractNumId w:val="12"/>
  </w:num>
  <w:num w:numId="5">
    <w:abstractNumId w:val="22"/>
  </w:num>
  <w:num w:numId="6">
    <w:abstractNumId w:val="13"/>
  </w:num>
  <w:num w:numId="7">
    <w:abstractNumId w:val="15"/>
  </w:num>
  <w:num w:numId="8">
    <w:abstractNumId w:val="20"/>
  </w:num>
  <w:num w:numId="9">
    <w:abstractNumId w:val="19"/>
  </w:num>
  <w:num w:numId="10">
    <w:abstractNumId w:val="7"/>
  </w:num>
  <w:num w:numId="11">
    <w:abstractNumId w:val="11"/>
  </w:num>
  <w:num w:numId="12">
    <w:abstractNumId w:val="16"/>
  </w:num>
  <w:num w:numId="13">
    <w:abstractNumId w:val="1"/>
  </w:num>
  <w:num w:numId="14">
    <w:abstractNumId w:val="26"/>
  </w:num>
  <w:num w:numId="15">
    <w:abstractNumId w:val="17"/>
  </w:num>
  <w:num w:numId="16">
    <w:abstractNumId w:val="18"/>
  </w:num>
  <w:num w:numId="17">
    <w:abstractNumId w:val="25"/>
  </w:num>
  <w:num w:numId="18">
    <w:abstractNumId w:val="21"/>
  </w:num>
  <w:num w:numId="19">
    <w:abstractNumId w:val="24"/>
  </w:num>
  <w:num w:numId="20">
    <w:abstractNumId w:val="23"/>
  </w:num>
  <w:num w:numId="21">
    <w:abstractNumId w:val="6"/>
  </w:num>
  <w:num w:numId="22">
    <w:abstractNumId w:val="14"/>
  </w:num>
  <w:num w:numId="23">
    <w:abstractNumId w:val="3"/>
  </w:num>
  <w:num w:numId="24">
    <w:abstractNumId w:val="27"/>
  </w:num>
  <w:num w:numId="25">
    <w:abstractNumId w:val="10"/>
  </w:num>
  <w:num w:numId="26">
    <w:abstractNumId w:val="2"/>
  </w:num>
  <w:num w:numId="27">
    <w:abstractNumId w:val="8"/>
  </w:num>
  <w:num w:numId="28">
    <w:abstractNumId w:val="5"/>
  </w:num>
  <w:num w:numId="29">
    <w:abstractNumId w:val="9"/>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YThiYmE0OWRmYzllMTNlMDYwYmVlNWEyZjI0ZWIifQ=="/>
  </w:docVars>
  <w:rsids>
    <w:rsidRoot w:val="0E970358"/>
    <w:rsid w:val="00000F17"/>
    <w:rsid w:val="00001503"/>
    <w:rsid w:val="0002199D"/>
    <w:rsid w:val="0004261B"/>
    <w:rsid w:val="000455D1"/>
    <w:rsid w:val="0004585A"/>
    <w:rsid w:val="00051A10"/>
    <w:rsid w:val="0006294D"/>
    <w:rsid w:val="00062AB3"/>
    <w:rsid w:val="000A36D3"/>
    <w:rsid w:val="000A4198"/>
    <w:rsid w:val="000D067B"/>
    <w:rsid w:val="000E49F9"/>
    <w:rsid w:val="000F06E9"/>
    <w:rsid w:val="000F4673"/>
    <w:rsid w:val="000F4C1C"/>
    <w:rsid w:val="00107BF6"/>
    <w:rsid w:val="00112D0E"/>
    <w:rsid w:val="00116C73"/>
    <w:rsid w:val="00122944"/>
    <w:rsid w:val="00150EAD"/>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A77E6"/>
    <w:rsid w:val="002B1189"/>
    <w:rsid w:val="002D51C5"/>
    <w:rsid w:val="002D5ACF"/>
    <w:rsid w:val="002E3E2F"/>
    <w:rsid w:val="002E4DD6"/>
    <w:rsid w:val="00305CE7"/>
    <w:rsid w:val="003102FB"/>
    <w:rsid w:val="00313638"/>
    <w:rsid w:val="003171FB"/>
    <w:rsid w:val="00332E30"/>
    <w:rsid w:val="00333A32"/>
    <w:rsid w:val="00346584"/>
    <w:rsid w:val="00346DD8"/>
    <w:rsid w:val="003638D8"/>
    <w:rsid w:val="003639DE"/>
    <w:rsid w:val="003645B3"/>
    <w:rsid w:val="0037446B"/>
    <w:rsid w:val="003806B8"/>
    <w:rsid w:val="00381E72"/>
    <w:rsid w:val="003907AB"/>
    <w:rsid w:val="003A0D2A"/>
    <w:rsid w:val="003A1960"/>
    <w:rsid w:val="003B75F0"/>
    <w:rsid w:val="003C5E00"/>
    <w:rsid w:val="003D4ECD"/>
    <w:rsid w:val="003E32CD"/>
    <w:rsid w:val="003F008D"/>
    <w:rsid w:val="003F595C"/>
    <w:rsid w:val="003F78E0"/>
    <w:rsid w:val="0040648F"/>
    <w:rsid w:val="00412872"/>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442D2"/>
    <w:rsid w:val="00655E3C"/>
    <w:rsid w:val="00663E40"/>
    <w:rsid w:val="00670734"/>
    <w:rsid w:val="00674C42"/>
    <w:rsid w:val="00680F4D"/>
    <w:rsid w:val="00683396"/>
    <w:rsid w:val="00683E7C"/>
    <w:rsid w:val="00696B76"/>
    <w:rsid w:val="006A1428"/>
    <w:rsid w:val="006B1685"/>
    <w:rsid w:val="006B1C70"/>
    <w:rsid w:val="006B4465"/>
    <w:rsid w:val="006C01EC"/>
    <w:rsid w:val="006C2786"/>
    <w:rsid w:val="006E0C84"/>
    <w:rsid w:val="006F4DFE"/>
    <w:rsid w:val="00704B23"/>
    <w:rsid w:val="00720551"/>
    <w:rsid w:val="00726E61"/>
    <w:rsid w:val="00767E76"/>
    <w:rsid w:val="00771BFE"/>
    <w:rsid w:val="00792925"/>
    <w:rsid w:val="007A2629"/>
    <w:rsid w:val="007B2F56"/>
    <w:rsid w:val="007B6ECC"/>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A37B9"/>
    <w:rsid w:val="009B3E22"/>
    <w:rsid w:val="009D0731"/>
    <w:rsid w:val="009D576B"/>
    <w:rsid w:val="009D7DF0"/>
    <w:rsid w:val="009E3D2C"/>
    <w:rsid w:val="009F0D00"/>
    <w:rsid w:val="009F3459"/>
    <w:rsid w:val="009F7276"/>
    <w:rsid w:val="00A0183F"/>
    <w:rsid w:val="00A036B3"/>
    <w:rsid w:val="00A14C19"/>
    <w:rsid w:val="00A24CB5"/>
    <w:rsid w:val="00A30B75"/>
    <w:rsid w:val="00A33D3D"/>
    <w:rsid w:val="00A51DC9"/>
    <w:rsid w:val="00A561B9"/>
    <w:rsid w:val="00A730CA"/>
    <w:rsid w:val="00A9111E"/>
    <w:rsid w:val="00A965CA"/>
    <w:rsid w:val="00A96C38"/>
    <w:rsid w:val="00AA1D6F"/>
    <w:rsid w:val="00AC45B4"/>
    <w:rsid w:val="00AD682D"/>
    <w:rsid w:val="00B01964"/>
    <w:rsid w:val="00B10D42"/>
    <w:rsid w:val="00B12F04"/>
    <w:rsid w:val="00B15DDF"/>
    <w:rsid w:val="00B31BFD"/>
    <w:rsid w:val="00B3382E"/>
    <w:rsid w:val="00B5399A"/>
    <w:rsid w:val="00B64974"/>
    <w:rsid w:val="00B72B07"/>
    <w:rsid w:val="00B85EAB"/>
    <w:rsid w:val="00BB3F4B"/>
    <w:rsid w:val="00BC48AA"/>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83A29"/>
    <w:rsid w:val="00CB20E1"/>
    <w:rsid w:val="00CB4902"/>
    <w:rsid w:val="00CB6273"/>
    <w:rsid w:val="00CC1234"/>
    <w:rsid w:val="00CC232E"/>
    <w:rsid w:val="00CC3DE2"/>
    <w:rsid w:val="00CD1804"/>
    <w:rsid w:val="00CE4D1B"/>
    <w:rsid w:val="00CF7AF2"/>
    <w:rsid w:val="00D117BA"/>
    <w:rsid w:val="00D13ADB"/>
    <w:rsid w:val="00D220E4"/>
    <w:rsid w:val="00D603C1"/>
    <w:rsid w:val="00D6553A"/>
    <w:rsid w:val="00D731C1"/>
    <w:rsid w:val="00D869EF"/>
    <w:rsid w:val="00D974D8"/>
    <w:rsid w:val="00DA3EDF"/>
    <w:rsid w:val="00DA5164"/>
    <w:rsid w:val="00DB677B"/>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EF7ADC"/>
    <w:rsid w:val="00F10AC9"/>
    <w:rsid w:val="00F127FF"/>
    <w:rsid w:val="00F21B06"/>
    <w:rsid w:val="00F41457"/>
    <w:rsid w:val="00F4402B"/>
    <w:rsid w:val="00F4419E"/>
    <w:rsid w:val="00F72C48"/>
    <w:rsid w:val="00F7484A"/>
    <w:rsid w:val="00F96DCE"/>
    <w:rsid w:val="00FB6666"/>
    <w:rsid w:val="00FC1944"/>
    <w:rsid w:val="00FC61C8"/>
    <w:rsid w:val="00FD4075"/>
    <w:rsid w:val="00FD457D"/>
    <w:rsid w:val="00FD6DA1"/>
    <w:rsid w:val="00FE4FF9"/>
    <w:rsid w:val="00FF1405"/>
    <w:rsid w:val="01057410"/>
    <w:rsid w:val="010E6E92"/>
    <w:rsid w:val="013838BA"/>
    <w:rsid w:val="015B511D"/>
    <w:rsid w:val="015C76D4"/>
    <w:rsid w:val="016C1AF5"/>
    <w:rsid w:val="0176641C"/>
    <w:rsid w:val="017C6D0A"/>
    <w:rsid w:val="017E7EB5"/>
    <w:rsid w:val="018118A2"/>
    <w:rsid w:val="01816F63"/>
    <w:rsid w:val="018C0833"/>
    <w:rsid w:val="01935887"/>
    <w:rsid w:val="01940AB9"/>
    <w:rsid w:val="01A666DA"/>
    <w:rsid w:val="01C167BF"/>
    <w:rsid w:val="01DD6C03"/>
    <w:rsid w:val="01DF53E0"/>
    <w:rsid w:val="01E23D33"/>
    <w:rsid w:val="021675CF"/>
    <w:rsid w:val="024756ED"/>
    <w:rsid w:val="024D5435"/>
    <w:rsid w:val="025545E0"/>
    <w:rsid w:val="02573360"/>
    <w:rsid w:val="025D793F"/>
    <w:rsid w:val="02615AC4"/>
    <w:rsid w:val="02691A0E"/>
    <w:rsid w:val="02833336"/>
    <w:rsid w:val="028C2587"/>
    <w:rsid w:val="02DB2208"/>
    <w:rsid w:val="02EA40CD"/>
    <w:rsid w:val="02EE3458"/>
    <w:rsid w:val="03212322"/>
    <w:rsid w:val="03354D0D"/>
    <w:rsid w:val="033C4062"/>
    <w:rsid w:val="036068E4"/>
    <w:rsid w:val="0367055C"/>
    <w:rsid w:val="036C2CC6"/>
    <w:rsid w:val="03814815"/>
    <w:rsid w:val="039823F5"/>
    <w:rsid w:val="03A82362"/>
    <w:rsid w:val="03D857BF"/>
    <w:rsid w:val="03DB5CD0"/>
    <w:rsid w:val="03E81CB7"/>
    <w:rsid w:val="03FE3973"/>
    <w:rsid w:val="040C59C6"/>
    <w:rsid w:val="044D7B30"/>
    <w:rsid w:val="04777E7D"/>
    <w:rsid w:val="04C85F46"/>
    <w:rsid w:val="04CC341D"/>
    <w:rsid w:val="04CF653F"/>
    <w:rsid w:val="04E574DE"/>
    <w:rsid w:val="05137CD7"/>
    <w:rsid w:val="052016CE"/>
    <w:rsid w:val="05275126"/>
    <w:rsid w:val="05717035"/>
    <w:rsid w:val="05877E33"/>
    <w:rsid w:val="058C3D75"/>
    <w:rsid w:val="05997116"/>
    <w:rsid w:val="05A3591D"/>
    <w:rsid w:val="05AD164E"/>
    <w:rsid w:val="05BC4260"/>
    <w:rsid w:val="05BE126C"/>
    <w:rsid w:val="060B26E0"/>
    <w:rsid w:val="0619693A"/>
    <w:rsid w:val="063D0FB4"/>
    <w:rsid w:val="064121F6"/>
    <w:rsid w:val="06734DC6"/>
    <w:rsid w:val="06735C14"/>
    <w:rsid w:val="06894391"/>
    <w:rsid w:val="06BD723E"/>
    <w:rsid w:val="06E0784D"/>
    <w:rsid w:val="06E6552F"/>
    <w:rsid w:val="07132E29"/>
    <w:rsid w:val="07152947"/>
    <w:rsid w:val="071C2CF6"/>
    <w:rsid w:val="07571279"/>
    <w:rsid w:val="0759113A"/>
    <w:rsid w:val="0767527F"/>
    <w:rsid w:val="078E5C1A"/>
    <w:rsid w:val="07C719B2"/>
    <w:rsid w:val="07E10CD7"/>
    <w:rsid w:val="07F452F4"/>
    <w:rsid w:val="07F87836"/>
    <w:rsid w:val="07FA2B93"/>
    <w:rsid w:val="080356C3"/>
    <w:rsid w:val="080C2964"/>
    <w:rsid w:val="080E7890"/>
    <w:rsid w:val="08143CCA"/>
    <w:rsid w:val="08235B52"/>
    <w:rsid w:val="0848277D"/>
    <w:rsid w:val="086C4C1D"/>
    <w:rsid w:val="0877513F"/>
    <w:rsid w:val="08777D39"/>
    <w:rsid w:val="087A7558"/>
    <w:rsid w:val="088D3477"/>
    <w:rsid w:val="0890739F"/>
    <w:rsid w:val="08BC485F"/>
    <w:rsid w:val="08BE375E"/>
    <w:rsid w:val="08C76209"/>
    <w:rsid w:val="08EC7CBE"/>
    <w:rsid w:val="08EE7A7B"/>
    <w:rsid w:val="08F13851"/>
    <w:rsid w:val="091C1110"/>
    <w:rsid w:val="0923288D"/>
    <w:rsid w:val="093F5CCD"/>
    <w:rsid w:val="094A7671"/>
    <w:rsid w:val="095D57B8"/>
    <w:rsid w:val="096A2124"/>
    <w:rsid w:val="09896171"/>
    <w:rsid w:val="09B223E2"/>
    <w:rsid w:val="09BC3AD8"/>
    <w:rsid w:val="09C676BC"/>
    <w:rsid w:val="09E32AE9"/>
    <w:rsid w:val="09EF0B4E"/>
    <w:rsid w:val="0A0776AF"/>
    <w:rsid w:val="0A0E7ED6"/>
    <w:rsid w:val="0A244CDF"/>
    <w:rsid w:val="0A3A569A"/>
    <w:rsid w:val="0A482423"/>
    <w:rsid w:val="0A4E7C2D"/>
    <w:rsid w:val="0A560A40"/>
    <w:rsid w:val="0A73034F"/>
    <w:rsid w:val="0A785BBB"/>
    <w:rsid w:val="0A80729F"/>
    <w:rsid w:val="0A8946E5"/>
    <w:rsid w:val="0A945930"/>
    <w:rsid w:val="0A9725C3"/>
    <w:rsid w:val="0ABE742A"/>
    <w:rsid w:val="0AC562AB"/>
    <w:rsid w:val="0AC56FBF"/>
    <w:rsid w:val="0ADD3852"/>
    <w:rsid w:val="0B004762"/>
    <w:rsid w:val="0B0102C0"/>
    <w:rsid w:val="0B1E644E"/>
    <w:rsid w:val="0B2476AB"/>
    <w:rsid w:val="0B4B5811"/>
    <w:rsid w:val="0B6E40A8"/>
    <w:rsid w:val="0BA27631"/>
    <w:rsid w:val="0BD303ED"/>
    <w:rsid w:val="0BE4309B"/>
    <w:rsid w:val="0C16591F"/>
    <w:rsid w:val="0C1E2BA0"/>
    <w:rsid w:val="0C3138B5"/>
    <w:rsid w:val="0C543204"/>
    <w:rsid w:val="0C765CB2"/>
    <w:rsid w:val="0C8974EA"/>
    <w:rsid w:val="0C8B1044"/>
    <w:rsid w:val="0CA214C3"/>
    <w:rsid w:val="0CBF5550"/>
    <w:rsid w:val="0CE074CE"/>
    <w:rsid w:val="0D155BFE"/>
    <w:rsid w:val="0D5236B1"/>
    <w:rsid w:val="0D6274E1"/>
    <w:rsid w:val="0D692272"/>
    <w:rsid w:val="0D6D0804"/>
    <w:rsid w:val="0D7755C7"/>
    <w:rsid w:val="0D801C0C"/>
    <w:rsid w:val="0D9D0F19"/>
    <w:rsid w:val="0DB37DDE"/>
    <w:rsid w:val="0DB625E6"/>
    <w:rsid w:val="0DBA57F1"/>
    <w:rsid w:val="0DCC0013"/>
    <w:rsid w:val="0E5B71DD"/>
    <w:rsid w:val="0E5D6265"/>
    <w:rsid w:val="0E7B1859"/>
    <w:rsid w:val="0E892615"/>
    <w:rsid w:val="0E8F755A"/>
    <w:rsid w:val="0E9561D6"/>
    <w:rsid w:val="0E970358"/>
    <w:rsid w:val="0ED86CE5"/>
    <w:rsid w:val="0EDB32C2"/>
    <w:rsid w:val="0EF905F3"/>
    <w:rsid w:val="0F056B03"/>
    <w:rsid w:val="0F0648FB"/>
    <w:rsid w:val="0F225395"/>
    <w:rsid w:val="0F5321A3"/>
    <w:rsid w:val="0F677BC0"/>
    <w:rsid w:val="0F6B461F"/>
    <w:rsid w:val="0F71557E"/>
    <w:rsid w:val="0F974FD7"/>
    <w:rsid w:val="0FD221B2"/>
    <w:rsid w:val="0FE26A63"/>
    <w:rsid w:val="0FF8220B"/>
    <w:rsid w:val="0FFD23E5"/>
    <w:rsid w:val="100415DC"/>
    <w:rsid w:val="100F75E5"/>
    <w:rsid w:val="10392EAE"/>
    <w:rsid w:val="1049183E"/>
    <w:rsid w:val="104F676C"/>
    <w:rsid w:val="10706EC2"/>
    <w:rsid w:val="108A7775"/>
    <w:rsid w:val="10D97C42"/>
    <w:rsid w:val="10DE34D8"/>
    <w:rsid w:val="10EC6A7E"/>
    <w:rsid w:val="10FB08BA"/>
    <w:rsid w:val="11357B78"/>
    <w:rsid w:val="113A6980"/>
    <w:rsid w:val="11617F02"/>
    <w:rsid w:val="11647622"/>
    <w:rsid w:val="11672873"/>
    <w:rsid w:val="116D04A8"/>
    <w:rsid w:val="11994F5F"/>
    <w:rsid w:val="119B39AA"/>
    <w:rsid w:val="11AE1F19"/>
    <w:rsid w:val="11BD5C6E"/>
    <w:rsid w:val="11E16BFE"/>
    <w:rsid w:val="11F27D2E"/>
    <w:rsid w:val="1200386A"/>
    <w:rsid w:val="1206479B"/>
    <w:rsid w:val="122D487F"/>
    <w:rsid w:val="1233442A"/>
    <w:rsid w:val="12521FD1"/>
    <w:rsid w:val="12662974"/>
    <w:rsid w:val="12807280"/>
    <w:rsid w:val="129B2B36"/>
    <w:rsid w:val="12A33F0A"/>
    <w:rsid w:val="12AC437F"/>
    <w:rsid w:val="12AC5C99"/>
    <w:rsid w:val="12E12E99"/>
    <w:rsid w:val="12F43F1A"/>
    <w:rsid w:val="13145EEE"/>
    <w:rsid w:val="136163A6"/>
    <w:rsid w:val="13641E92"/>
    <w:rsid w:val="13B5316D"/>
    <w:rsid w:val="13CD65B1"/>
    <w:rsid w:val="13D053C0"/>
    <w:rsid w:val="13D5217E"/>
    <w:rsid w:val="13EA169A"/>
    <w:rsid w:val="140B70EB"/>
    <w:rsid w:val="14176E45"/>
    <w:rsid w:val="14257D8E"/>
    <w:rsid w:val="148463E6"/>
    <w:rsid w:val="14A2711D"/>
    <w:rsid w:val="14A45A5B"/>
    <w:rsid w:val="14B23F9A"/>
    <w:rsid w:val="14B60A59"/>
    <w:rsid w:val="14BD7730"/>
    <w:rsid w:val="14D20D9B"/>
    <w:rsid w:val="14ED6FC2"/>
    <w:rsid w:val="15266C1F"/>
    <w:rsid w:val="155E2E9F"/>
    <w:rsid w:val="15736C9C"/>
    <w:rsid w:val="15804BFA"/>
    <w:rsid w:val="158646C4"/>
    <w:rsid w:val="159965F1"/>
    <w:rsid w:val="15A06FFD"/>
    <w:rsid w:val="15A72BED"/>
    <w:rsid w:val="15C154FF"/>
    <w:rsid w:val="15D73BFE"/>
    <w:rsid w:val="15DE6F4A"/>
    <w:rsid w:val="15EB4DA8"/>
    <w:rsid w:val="15FA6F4E"/>
    <w:rsid w:val="161D138F"/>
    <w:rsid w:val="1621170E"/>
    <w:rsid w:val="162E3A67"/>
    <w:rsid w:val="16421670"/>
    <w:rsid w:val="1694674B"/>
    <w:rsid w:val="169C1AEB"/>
    <w:rsid w:val="16AC2B06"/>
    <w:rsid w:val="16C77CF4"/>
    <w:rsid w:val="16EC0CD5"/>
    <w:rsid w:val="16FB52F2"/>
    <w:rsid w:val="17062708"/>
    <w:rsid w:val="170A2ACD"/>
    <w:rsid w:val="17132AEA"/>
    <w:rsid w:val="1735378C"/>
    <w:rsid w:val="17355EC2"/>
    <w:rsid w:val="175265FC"/>
    <w:rsid w:val="175823D6"/>
    <w:rsid w:val="17601E72"/>
    <w:rsid w:val="17772910"/>
    <w:rsid w:val="178B6063"/>
    <w:rsid w:val="179A54EF"/>
    <w:rsid w:val="17A34A25"/>
    <w:rsid w:val="17A37FC3"/>
    <w:rsid w:val="17C57F05"/>
    <w:rsid w:val="17FB43E7"/>
    <w:rsid w:val="1806106E"/>
    <w:rsid w:val="181C3304"/>
    <w:rsid w:val="18235C06"/>
    <w:rsid w:val="182C4E57"/>
    <w:rsid w:val="182F5C8F"/>
    <w:rsid w:val="18355C33"/>
    <w:rsid w:val="184E67D0"/>
    <w:rsid w:val="184F71F9"/>
    <w:rsid w:val="185A295C"/>
    <w:rsid w:val="18603A2C"/>
    <w:rsid w:val="187219FE"/>
    <w:rsid w:val="187E7A7B"/>
    <w:rsid w:val="18851EA2"/>
    <w:rsid w:val="188F2CD2"/>
    <w:rsid w:val="18A330EA"/>
    <w:rsid w:val="18A65827"/>
    <w:rsid w:val="18B21069"/>
    <w:rsid w:val="18B87B08"/>
    <w:rsid w:val="18B91D2B"/>
    <w:rsid w:val="18C40414"/>
    <w:rsid w:val="18CA5C97"/>
    <w:rsid w:val="18E838B9"/>
    <w:rsid w:val="18EC1C1A"/>
    <w:rsid w:val="18FD6D49"/>
    <w:rsid w:val="190064FD"/>
    <w:rsid w:val="19107228"/>
    <w:rsid w:val="19435745"/>
    <w:rsid w:val="1945322E"/>
    <w:rsid w:val="194A053B"/>
    <w:rsid w:val="194F0D00"/>
    <w:rsid w:val="1953527B"/>
    <w:rsid w:val="1962012A"/>
    <w:rsid w:val="19682818"/>
    <w:rsid w:val="196D6A4E"/>
    <w:rsid w:val="197C4DC3"/>
    <w:rsid w:val="19801636"/>
    <w:rsid w:val="19893DF4"/>
    <w:rsid w:val="199A1177"/>
    <w:rsid w:val="199D59EC"/>
    <w:rsid w:val="19AC7318"/>
    <w:rsid w:val="19B57D86"/>
    <w:rsid w:val="19B71C72"/>
    <w:rsid w:val="19BA0374"/>
    <w:rsid w:val="19C158A2"/>
    <w:rsid w:val="19C91082"/>
    <w:rsid w:val="19DB28FC"/>
    <w:rsid w:val="19DE1A34"/>
    <w:rsid w:val="19F64A65"/>
    <w:rsid w:val="1A023528"/>
    <w:rsid w:val="1A1D3D87"/>
    <w:rsid w:val="1A341AD0"/>
    <w:rsid w:val="1A60180F"/>
    <w:rsid w:val="1A665AE7"/>
    <w:rsid w:val="1A6A6D44"/>
    <w:rsid w:val="1A817123"/>
    <w:rsid w:val="1A820650"/>
    <w:rsid w:val="1A864A2A"/>
    <w:rsid w:val="1A8C5323"/>
    <w:rsid w:val="1A9B08A5"/>
    <w:rsid w:val="1AD84F90"/>
    <w:rsid w:val="1AE35F1B"/>
    <w:rsid w:val="1AFF201C"/>
    <w:rsid w:val="1B1A198B"/>
    <w:rsid w:val="1B1E46D8"/>
    <w:rsid w:val="1B2C569C"/>
    <w:rsid w:val="1B3615F9"/>
    <w:rsid w:val="1B706A5F"/>
    <w:rsid w:val="1B801845"/>
    <w:rsid w:val="1BA93B2D"/>
    <w:rsid w:val="1BCA25D5"/>
    <w:rsid w:val="1BD61BB8"/>
    <w:rsid w:val="1C033E58"/>
    <w:rsid w:val="1C093ECB"/>
    <w:rsid w:val="1C136791"/>
    <w:rsid w:val="1C172075"/>
    <w:rsid w:val="1C266F58"/>
    <w:rsid w:val="1C300295"/>
    <w:rsid w:val="1C3C69B6"/>
    <w:rsid w:val="1C57171C"/>
    <w:rsid w:val="1C6F553E"/>
    <w:rsid w:val="1C75795E"/>
    <w:rsid w:val="1CA53161"/>
    <w:rsid w:val="1CAF15DF"/>
    <w:rsid w:val="1CBD4F4F"/>
    <w:rsid w:val="1CC53D48"/>
    <w:rsid w:val="1CE43D62"/>
    <w:rsid w:val="1CE4433A"/>
    <w:rsid w:val="1CE847B6"/>
    <w:rsid w:val="1CFD5CD5"/>
    <w:rsid w:val="1D224F8F"/>
    <w:rsid w:val="1D2E343F"/>
    <w:rsid w:val="1D3669F9"/>
    <w:rsid w:val="1D3D2BC9"/>
    <w:rsid w:val="1DA71417"/>
    <w:rsid w:val="1DA80133"/>
    <w:rsid w:val="1DFB0481"/>
    <w:rsid w:val="1E0A270D"/>
    <w:rsid w:val="1E303F87"/>
    <w:rsid w:val="1E376197"/>
    <w:rsid w:val="1E3D5E86"/>
    <w:rsid w:val="1E3F4285"/>
    <w:rsid w:val="1E596A41"/>
    <w:rsid w:val="1E640B8E"/>
    <w:rsid w:val="1EC52C81"/>
    <w:rsid w:val="1EE84AA8"/>
    <w:rsid w:val="1EF24495"/>
    <w:rsid w:val="1EFB350D"/>
    <w:rsid w:val="1F030917"/>
    <w:rsid w:val="1F143134"/>
    <w:rsid w:val="1F170346"/>
    <w:rsid w:val="1F175F0B"/>
    <w:rsid w:val="1F6A0842"/>
    <w:rsid w:val="1FA1137B"/>
    <w:rsid w:val="1FDF72B6"/>
    <w:rsid w:val="202F346E"/>
    <w:rsid w:val="2046714E"/>
    <w:rsid w:val="20604D66"/>
    <w:rsid w:val="206E30A7"/>
    <w:rsid w:val="20726F64"/>
    <w:rsid w:val="20842233"/>
    <w:rsid w:val="208B4B0C"/>
    <w:rsid w:val="20925798"/>
    <w:rsid w:val="20AA7CFD"/>
    <w:rsid w:val="20B644BB"/>
    <w:rsid w:val="20E1183E"/>
    <w:rsid w:val="20EC5803"/>
    <w:rsid w:val="20FA503B"/>
    <w:rsid w:val="211B6DAF"/>
    <w:rsid w:val="212145AC"/>
    <w:rsid w:val="21296180"/>
    <w:rsid w:val="21360CCA"/>
    <w:rsid w:val="214F472F"/>
    <w:rsid w:val="215D3A7F"/>
    <w:rsid w:val="21615478"/>
    <w:rsid w:val="216435EB"/>
    <w:rsid w:val="21681B68"/>
    <w:rsid w:val="216C45DC"/>
    <w:rsid w:val="217B5D66"/>
    <w:rsid w:val="21822C84"/>
    <w:rsid w:val="21837DBF"/>
    <w:rsid w:val="2192051E"/>
    <w:rsid w:val="21980209"/>
    <w:rsid w:val="21BA460B"/>
    <w:rsid w:val="21C150AA"/>
    <w:rsid w:val="21C81DCC"/>
    <w:rsid w:val="21D564EB"/>
    <w:rsid w:val="21EF792F"/>
    <w:rsid w:val="21FD745F"/>
    <w:rsid w:val="223374AD"/>
    <w:rsid w:val="225E1181"/>
    <w:rsid w:val="228447E5"/>
    <w:rsid w:val="22AC1C94"/>
    <w:rsid w:val="22D60FBA"/>
    <w:rsid w:val="22F51F6F"/>
    <w:rsid w:val="231A0080"/>
    <w:rsid w:val="233169B6"/>
    <w:rsid w:val="23323568"/>
    <w:rsid w:val="23366EC2"/>
    <w:rsid w:val="23395713"/>
    <w:rsid w:val="23424F53"/>
    <w:rsid w:val="23485451"/>
    <w:rsid w:val="236E14E2"/>
    <w:rsid w:val="237F333D"/>
    <w:rsid w:val="23882149"/>
    <w:rsid w:val="238D2FD7"/>
    <w:rsid w:val="239C2661"/>
    <w:rsid w:val="23A43CA5"/>
    <w:rsid w:val="23AF3F5D"/>
    <w:rsid w:val="23B2716A"/>
    <w:rsid w:val="240A5C3D"/>
    <w:rsid w:val="242379FA"/>
    <w:rsid w:val="244666CC"/>
    <w:rsid w:val="24504727"/>
    <w:rsid w:val="24621793"/>
    <w:rsid w:val="24C724C9"/>
    <w:rsid w:val="24D30315"/>
    <w:rsid w:val="24D31FAA"/>
    <w:rsid w:val="25096983"/>
    <w:rsid w:val="25103859"/>
    <w:rsid w:val="254E526C"/>
    <w:rsid w:val="255C5FB0"/>
    <w:rsid w:val="256D1080"/>
    <w:rsid w:val="257707D6"/>
    <w:rsid w:val="25BA0970"/>
    <w:rsid w:val="25C30105"/>
    <w:rsid w:val="25C75866"/>
    <w:rsid w:val="25D24157"/>
    <w:rsid w:val="25E92E34"/>
    <w:rsid w:val="25F76FA7"/>
    <w:rsid w:val="25FC2044"/>
    <w:rsid w:val="26141651"/>
    <w:rsid w:val="261F13EC"/>
    <w:rsid w:val="26240B57"/>
    <w:rsid w:val="262837BC"/>
    <w:rsid w:val="264703AD"/>
    <w:rsid w:val="26607B52"/>
    <w:rsid w:val="26716420"/>
    <w:rsid w:val="26741DCF"/>
    <w:rsid w:val="269E1BFC"/>
    <w:rsid w:val="26D2304D"/>
    <w:rsid w:val="26FE2B18"/>
    <w:rsid w:val="270175B6"/>
    <w:rsid w:val="27256A91"/>
    <w:rsid w:val="27446E7B"/>
    <w:rsid w:val="277E1E75"/>
    <w:rsid w:val="278A06CE"/>
    <w:rsid w:val="279273FF"/>
    <w:rsid w:val="27AD1EDB"/>
    <w:rsid w:val="27DB4E90"/>
    <w:rsid w:val="27F865FE"/>
    <w:rsid w:val="280070DA"/>
    <w:rsid w:val="28161004"/>
    <w:rsid w:val="281C0B58"/>
    <w:rsid w:val="281C7957"/>
    <w:rsid w:val="281F5186"/>
    <w:rsid w:val="28493303"/>
    <w:rsid w:val="28503DBB"/>
    <w:rsid w:val="286F68E1"/>
    <w:rsid w:val="288021B7"/>
    <w:rsid w:val="288822B5"/>
    <w:rsid w:val="28956169"/>
    <w:rsid w:val="28C31858"/>
    <w:rsid w:val="29286B81"/>
    <w:rsid w:val="29322D6F"/>
    <w:rsid w:val="296B45CF"/>
    <w:rsid w:val="29700849"/>
    <w:rsid w:val="29761CEF"/>
    <w:rsid w:val="29AE1A67"/>
    <w:rsid w:val="29C87580"/>
    <w:rsid w:val="29CF181E"/>
    <w:rsid w:val="29D148D0"/>
    <w:rsid w:val="29E72B2B"/>
    <w:rsid w:val="29FA4D75"/>
    <w:rsid w:val="2A095C54"/>
    <w:rsid w:val="2A3A7521"/>
    <w:rsid w:val="2A5230BE"/>
    <w:rsid w:val="2A9A09CF"/>
    <w:rsid w:val="2AAC5BBE"/>
    <w:rsid w:val="2AB56936"/>
    <w:rsid w:val="2AC803DC"/>
    <w:rsid w:val="2ACB14A0"/>
    <w:rsid w:val="2AED60B9"/>
    <w:rsid w:val="2AEF7B6B"/>
    <w:rsid w:val="2AF04F2D"/>
    <w:rsid w:val="2AF155B9"/>
    <w:rsid w:val="2B1062E1"/>
    <w:rsid w:val="2B161D13"/>
    <w:rsid w:val="2B227912"/>
    <w:rsid w:val="2B376BF5"/>
    <w:rsid w:val="2B384847"/>
    <w:rsid w:val="2B520F75"/>
    <w:rsid w:val="2B946DAC"/>
    <w:rsid w:val="2BA1630A"/>
    <w:rsid w:val="2BAE2F3D"/>
    <w:rsid w:val="2BC0124A"/>
    <w:rsid w:val="2BF15C52"/>
    <w:rsid w:val="2BFC108D"/>
    <w:rsid w:val="2BFE6871"/>
    <w:rsid w:val="2C0B795A"/>
    <w:rsid w:val="2C1774A5"/>
    <w:rsid w:val="2C181807"/>
    <w:rsid w:val="2C1A0BC8"/>
    <w:rsid w:val="2C201D36"/>
    <w:rsid w:val="2C24080B"/>
    <w:rsid w:val="2C5C3F49"/>
    <w:rsid w:val="2C5E04E8"/>
    <w:rsid w:val="2C9E4611"/>
    <w:rsid w:val="2CAB0A08"/>
    <w:rsid w:val="2CC52D77"/>
    <w:rsid w:val="2CC655A5"/>
    <w:rsid w:val="2CC67A84"/>
    <w:rsid w:val="2CD029CD"/>
    <w:rsid w:val="2CE003FD"/>
    <w:rsid w:val="2CFC00F6"/>
    <w:rsid w:val="2D0A65F4"/>
    <w:rsid w:val="2D247B4D"/>
    <w:rsid w:val="2D340194"/>
    <w:rsid w:val="2D535831"/>
    <w:rsid w:val="2D6D6CFA"/>
    <w:rsid w:val="2D84684A"/>
    <w:rsid w:val="2D9564C8"/>
    <w:rsid w:val="2D967336"/>
    <w:rsid w:val="2DAD2704"/>
    <w:rsid w:val="2DAF6485"/>
    <w:rsid w:val="2DC1674C"/>
    <w:rsid w:val="2DC842FB"/>
    <w:rsid w:val="2DE232B1"/>
    <w:rsid w:val="2E324BF5"/>
    <w:rsid w:val="2E3842C7"/>
    <w:rsid w:val="2E7876D2"/>
    <w:rsid w:val="2E893DF4"/>
    <w:rsid w:val="2E8D2344"/>
    <w:rsid w:val="2EA652C9"/>
    <w:rsid w:val="2F0A063A"/>
    <w:rsid w:val="2F146650"/>
    <w:rsid w:val="2F4C3BFD"/>
    <w:rsid w:val="2F583F83"/>
    <w:rsid w:val="2F587383"/>
    <w:rsid w:val="2F90386C"/>
    <w:rsid w:val="2F90608B"/>
    <w:rsid w:val="2F945898"/>
    <w:rsid w:val="2FAC068E"/>
    <w:rsid w:val="2FB84779"/>
    <w:rsid w:val="2FBD05AA"/>
    <w:rsid w:val="2FCA72F8"/>
    <w:rsid w:val="2FE27D3F"/>
    <w:rsid w:val="2FE92495"/>
    <w:rsid w:val="2FEF4A12"/>
    <w:rsid w:val="300D5DF2"/>
    <w:rsid w:val="30143D85"/>
    <w:rsid w:val="301B15E5"/>
    <w:rsid w:val="303E2548"/>
    <w:rsid w:val="305B2E68"/>
    <w:rsid w:val="30823A8E"/>
    <w:rsid w:val="30DA7C66"/>
    <w:rsid w:val="30F24435"/>
    <w:rsid w:val="30F34FAB"/>
    <w:rsid w:val="30F41A67"/>
    <w:rsid w:val="313B1992"/>
    <w:rsid w:val="314C1ADD"/>
    <w:rsid w:val="315B7DCF"/>
    <w:rsid w:val="31721AE9"/>
    <w:rsid w:val="31752B09"/>
    <w:rsid w:val="317E332D"/>
    <w:rsid w:val="318167BE"/>
    <w:rsid w:val="31883BE4"/>
    <w:rsid w:val="319C7FD7"/>
    <w:rsid w:val="31A534FE"/>
    <w:rsid w:val="31C939C4"/>
    <w:rsid w:val="31CC7DB0"/>
    <w:rsid w:val="31D6395D"/>
    <w:rsid w:val="31E20C47"/>
    <w:rsid w:val="31E25F04"/>
    <w:rsid w:val="320F27A2"/>
    <w:rsid w:val="321011D8"/>
    <w:rsid w:val="32140631"/>
    <w:rsid w:val="32171FB4"/>
    <w:rsid w:val="32181B6E"/>
    <w:rsid w:val="32224886"/>
    <w:rsid w:val="32541BEC"/>
    <w:rsid w:val="325637CC"/>
    <w:rsid w:val="32770F72"/>
    <w:rsid w:val="328164FC"/>
    <w:rsid w:val="32AF5545"/>
    <w:rsid w:val="32B142EF"/>
    <w:rsid w:val="32DF7D19"/>
    <w:rsid w:val="32EB0FB4"/>
    <w:rsid w:val="32ED1A20"/>
    <w:rsid w:val="32FA333E"/>
    <w:rsid w:val="333741F8"/>
    <w:rsid w:val="334F65EC"/>
    <w:rsid w:val="33767E61"/>
    <w:rsid w:val="33821920"/>
    <w:rsid w:val="338378D6"/>
    <w:rsid w:val="33944142"/>
    <w:rsid w:val="33AE225C"/>
    <w:rsid w:val="33D237F6"/>
    <w:rsid w:val="33E92F26"/>
    <w:rsid w:val="33F93D56"/>
    <w:rsid w:val="33FC5FC5"/>
    <w:rsid w:val="340622E0"/>
    <w:rsid w:val="341548E3"/>
    <w:rsid w:val="341B025E"/>
    <w:rsid w:val="34370F49"/>
    <w:rsid w:val="34676710"/>
    <w:rsid w:val="346C6723"/>
    <w:rsid w:val="34A03B47"/>
    <w:rsid w:val="34A704F3"/>
    <w:rsid w:val="34AB2BEB"/>
    <w:rsid w:val="34AB326B"/>
    <w:rsid w:val="34AB3C19"/>
    <w:rsid w:val="34BD5371"/>
    <w:rsid w:val="34BD5EBA"/>
    <w:rsid w:val="34C25A22"/>
    <w:rsid w:val="34C658AE"/>
    <w:rsid w:val="34D22520"/>
    <w:rsid w:val="34DB06B8"/>
    <w:rsid w:val="34E546C0"/>
    <w:rsid w:val="3507526D"/>
    <w:rsid w:val="350D46DE"/>
    <w:rsid w:val="35204498"/>
    <w:rsid w:val="35223B4B"/>
    <w:rsid w:val="35333921"/>
    <w:rsid w:val="35354043"/>
    <w:rsid w:val="354135C5"/>
    <w:rsid w:val="354A335A"/>
    <w:rsid w:val="355F4FC7"/>
    <w:rsid w:val="357F37E4"/>
    <w:rsid w:val="35891481"/>
    <w:rsid w:val="35A76478"/>
    <w:rsid w:val="35C81A4F"/>
    <w:rsid w:val="36230503"/>
    <w:rsid w:val="36254886"/>
    <w:rsid w:val="365C6BE9"/>
    <w:rsid w:val="366B493E"/>
    <w:rsid w:val="367E2988"/>
    <w:rsid w:val="369E052B"/>
    <w:rsid w:val="36AD57D9"/>
    <w:rsid w:val="36B5516B"/>
    <w:rsid w:val="36BC43BC"/>
    <w:rsid w:val="36BD18C6"/>
    <w:rsid w:val="36C048FC"/>
    <w:rsid w:val="36C4095C"/>
    <w:rsid w:val="36C62117"/>
    <w:rsid w:val="36C92839"/>
    <w:rsid w:val="36D96467"/>
    <w:rsid w:val="37114AE6"/>
    <w:rsid w:val="371E2ABD"/>
    <w:rsid w:val="37345C09"/>
    <w:rsid w:val="373D7800"/>
    <w:rsid w:val="37424D9B"/>
    <w:rsid w:val="374767A1"/>
    <w:rsid w:val="375357D8"/>
    <w:rsid w:val="37712A39"/>
    <w:rsid w:val="377523D1"/>
    <w:rsid w:val="377B74B6"/>
    <w:rsid w:val="377C4239"/>
    <w:rsid w:val="377C6A88"/>
    <w:rsid w:val="37901CF0"/>
    <w:rsid w:val="379C495A"/>
    <w:rsid w:val="37A8415B"/>
    <w:rsid w:val="37C27C02"/>
    <w:rsid w:val="37ED442B"/>
    <w:rsid w:val="37EF2081"/>
    <w:rsid w:val="38057780"/>
    <w:rsid w:val="38254EA2"/>
    <w:rsid w:val="382B0481"/>
    <w:rsid w:val="382B6D20"/>
    <w:rsid w:val="382F5D5E"/>
    <w:rsid w:val="383C2A01"/>
    <w:rsid w:val="384E7BEB"/>
    <w:rsid w:val="384F3B36"/>
    <w:rsid w:val="3862034D"/>
    <w:rsid w:val="387C3EF0"/>
    <w:rsid w:val="38930034"/>
    <w:rsid w:val="38A70F1B"/>
    <w:rsid w:val="38C0108B"/>
    <w:rsid w:val="38F16D52"/>
    <w:rsid w:val="390C3C2C"/>
    <w:rsid w:val="39100D52"/>
    <w:rsid w:val="391264F2"/>
    <w:rsid w:val="391527DB"/>
    <w:rsid w:val="391D2B72"/>
    <w:rsid w:val="39A97762"/>
    <w:rsid w:val="39BC591B"/>
    <w:rsid w:val="39F06458"/>
    <w:rsid w:val="3A247BB8"/>
    <w:rsid w:val="3A3A243F"/>
    <w:rsid w:val="3A403E2C"/>
    <w:rsid w:val="3A54400F"/>
    <w:rsid w:val="3A7D7891"/>
    <w:rsid w:val="3AC23905"/>
    <w:rsid w:val="3AD62A0C"/>
    <w:rsid w:val="3AE47DFB"/>
    <w:rsid w:val="3AE50133"/>
    <w:rsid w:val="3AEF5C77"/>
    <w:rsid w:val="3AF22E8E"/>
    <w:rsid w:val="3B1108C4"/>
    <w:rsid w:val="3B142CA0"/>
    <w:rsid w:val="3B2621E7"/>
    <w:rsid w:val="3B345EA5"/>
    <w:rsid w:val="3B3C3C64"/>
    <w:rsid w:val="3B5E190D"/>
    <w:rsid w:val="3B927B77"/>
    <w:rsid w:val="3BC74C1D"/>
    <w:rsid w:val="3C0767A7"/>
    <w:rsid w:val="3C247C3C"/>
    <w:rsid w:val="3C2761EF"/>
    <w:rsid w:val="3C2D6F1A"/>
    <w:rsid w:val="3C51571B"/>
    <w:rsid w:val="3C5F1072"/>
    <w:rsid w:val="3C804FA5"/>
    <w:rsid w:val="3C8C6A7E"/>
    <w:rsid w:val="3CA043ED"/>
    <w:rsid w:val="3CA55182"/>
    <w:rsid w:val="3CB00351"/>
    <w:rsid w:val="3CB86AE4"/>
    <w:rsid w:val="3CBB5AF8"/>
    <w:rsid w:val="3CC46CAB"/>
    <w:rsid w:val="3CD446E5"/>
    <w:rsid w:val="3CE5417C"/>
    <w:rsid w:val="3CEA45B2"/>
    <w:rsid w:val="3D2F15BA"/>
    <w:rsid w:val="3D6177CE"/>
    <w:rsid w:val="3D64069B"/>
    <w:rsid w:val="3D653E5D"/>
    <w:rsid w:val="3D675C77"/>
    <w:rsid w:val="3D6A3A62"/>
    <w:rsid w:val="3D6F7549"/>
    <w:rsid w:val="3D83006A"/>
    <w:rsid w:val="3D950774"/>
    <w:rsid w:val="3DB531EC"/>
    <w:rsid w:val="3DBF7131"/>
    <w:rsid w:val="3DC610E6"/>
    <w:rsid w:val="3DC963B5"/>
    <w:rsid w:val="3DE14804"/>
    <w:rsid w:val="3DF23514"/>
    <w:rsid w:val="3E052699"/>
    <w:rsid w:val="3E4354B8"/>
    <w:rsid w:val="3E863273"/>
    <w:rsid w:val="3EB44ADB"/>
    <w:rsid w:val="3EB72A1D"/>
    <w:rsid w:val="3EC453E3"/>
    <w:rsid w:val="3EDD0C8D"/>
    <w:rsid w:val="3EE02797"/>
    <w:rsid w:val="3EF27713"/>
    <w:rsid w:val="3F052175"/>
    <w:rsid w:val="3F0D01A2"/>
    <w:rsid w:val="3F0D3A65"/>
    <w:rsid w:val="3F5E430F"/>
    <w:rsid w:val="3F740A54"/>
    <w:rsid w:val="3FA37B20"/>
    <w:rsid w:val="3FAC56D3"/>
    <w:rsid w:val="401E7F5D"/>
    <w:rsid w:val="40312C29"/>
    <w:rsid w:val="404A661B"/>
    <w:rsid w:val="40654C3D"/>
    <w:rsid w:val="40741A2F"/>
    <w:rsid w:val="408F47A3"/>
    <w:rsid w:val="40BF2194"/>
    <w:rsid w:val="40E918A0"/>
    <w:rsid w:val="40F01779"/>
    <w:rsid w:val="41013860"/>
    <w:rsid w:val="41062A75"/>
    <w:rsid w:val="411D4AE9"/>
    <w:rsid w:val="412226F6"/>
    <w:rsid w:val="4137444B"/>
    <w:rsid w:val="413E633E"/>
    <w:rsid w:val="416326F1"/>
    <w:rsid w:val="41662173"/>
    <w:rsid w:val="41B22415"/>
    <w:rsid w:val="41C40CB5"/>
    <w:rsid w:val="41DC0B96"/>
    <w:rsid w:val="41DC0BC6"/>
    <w:rsid w:val="41EA20A4"/>
    <w:rsid w:val="4221669C"/>
    <w:rsid w:val="423F44FE"/>
    <w:rsid w:val="42665C2B"/>
    <w:rsid w:val="426E3E72"/>
    <w:rsid w:val="42862797"/>
    <w:rsid w:val="428A13CD"/>
    <w:rsid w:val="42907DEC"/>
    <w:rsid w:val="42DC0480"/>
    <w:rsid w:val="42ED1682"/>
    <w:rsid w:val="42EF0F1C"/>
    <w:rsid w:val="42F60FDF"/>
    <w:rsid w:val="42F8373B"/>
    <w:rsid w:val="43036342"/>
    <w:rsid w:val="43351F2A"/>
    <w:rsid w:val="433D1546"/>
    <w:rsid w:val="435C3CCA"/>
    <w:rsid w:val="43765DE7"/>
    <w:rsid w:val="437E09D9"/>
    <w:rsid w:val="43952F6B"/>
    <w:rsid w:val="43BA6E91"/>
    <w:rsid w:val="43BB0C9A"/>
    <w:rsid w:val="43C94D23"/>
    <w:rsid w:val="43D877F5"/>
    <w:rsid w:val="43DB36BB"/>
    <w:rsid w:val="43F5066D"/>
    <w:rsid w:val="43FA79B1"/>
    <w:rsid w:val="440123D2"/>
    <w:rsid w:val="441870DB"/>
    <w:rsid w:val="44251601"/>
    <w:rsid w:val="442C0C55"/>
    <w:rsid w:val="44351ADA"/>
    <w:rsid w:val="443941AE"/>
    <w:rsid w:val="44461B08"/>
    <w:rsid w:val="446E7B66"/>
    <w:rsid w:val="44733E1C"/>
    <w:rsid w:val="447E4B46"/>
    <w:rsid w:val="4487548A"/>
    <w:rsid w:val="449016B5"/>
    <w:rsid w:val="44AC62A0"/>
    <w:rsid w:val="44C17A0F"/>
    <w:rsid w:val="44E5795A"/>
    <w:rsid w:val="44F57F73"/>
    <w:rsid w:val="455B5197"/>
    <w:rsid w:val="455C511E"/>
    <w:rsid w:val="45616914"/>
    <w:rsid w:val="4563730C"/>
    <w:rsid w:val="457C14BF"/>
    <w:rsid w:val="45A86688"/>
    <w:rsid w:val="45AE15E1"/>
    <w:rsid w:val="45B41B6B"/>
    <w:rsid w:val="45BC7750"/>
    <w:rsid w:val="45D47DAF"/>
    <w:rsid w:val="45F90D43"/>
    <w:rsid w:val="46007CB3"/>
    <w:rsid w:val="46020E7B"/>
    <w:rsid w:val="460E7EEE"/>
    <w:rsid w:val="46103076"/>
    <w:rsid w:val="461461E0"/>
    <w:rsid w:val="461F06E9"/>
    <w:rsid w:val="4630324B"/>
    <w:rsid w:val="463A1123"/>
    <w:rsid w:val="46520FD9"/>
    <w:rsid w:val="465549FC"/>
    <w:rsid w:val="465877D2"/>
    <w:rsid w:val="466A70B5"/>
    <w:rsid w:val="4676706E"/>
    <w:rsid w:val="46956AE5"/>
    <w:rsid w:val="46AC689D"/>
    <w:rsid w:val="46E42A17"/>
    <w:rsid w:val="46E779E7"/>
    <w:rsid w:val="46F77037"/>
    <w:rsid w:val="473269A5"/>
    <w:rsid w:val="475505CA"/>
    <w:rsid w:val="47617B01"/>
    <w:rsid w:val="47724C48"/>
    <w:rsid w:val="47846AB4"/>
    <w:rsid w:val="47B173A9"/>
    <w:rsid w:val="47C2207E"/>
    <w:rsid w:val="47DD34AC"/>
    <w:rsid w:val="47F8612D"/>
    <w:rsid w:val="480142C9"/>
    <w:rsid w:val="480C3963"/>
    <w:rsid w:val="4816300A"/>
    <w:rsid w:val="481876CC"/>
    <w:rsid w:val="481E59D1"/>
    <w:rsid w:val="484D6C28"/>
    <w:rsid w:val="48611F55"/>
    <w:rsid w:val="48694FA0"/>
    <w:rsid w:val="486C5F17"/>
    <w:rsid w:val="486C747C"/>
    <w:rsid w:val="488E768B"/>
    <w:rsid w:val="4898548E"/>
    <w:rsid w:val="48B07229"/>
    <w:rsid w:val="48E54DD9"/>
    <w:rsid w:val="48FD2DFC"/>
    <w:rsid w:val="49053014"/>
    <w:rsid w:val="490B51D3"/>
    <w:rsid w:val="49123C82"/>
    <w:rsid w:val="492837E3"/>
    <w:rsid w:val="492F61FD"/>
    <w:rsid w:val="493860BD"/>
    <w:rsid w:val="498A1E6F"/>
    <w:rsid w:val="498C4801"/>
    <w:rsid w:val="499F2B63"/>
    <w:rsid w:val="49AA5D59"/>
    <w:rsid w:val="49B354B4"/>
    <w:rsid w:val="49B97E29"/>
    <w:rsid w:val="49E2737A"/>
    <w:rsid w:val="49F41D5E"/>
    <w:rsid w:val="4A3051B8"/>
    <w:rsid w:val="4A5E15DE"/>
    <w:rsid w:val="4A69721E"/>
    <w:rsid w:val="4A6A4060"/>
    <w:rsid w:val="4A7D6392"/>
    <w:rsid w:val="4A8031BD"/>
    <w:rsid w:val="4AAD0B1D"/>
    <w:rsid w:val="4ABC6F3C"/>
    <w:rsid w:val="4B1E31F7"/>
    <w:rsid w:val="4B323807"/>
    <w:rsid w:val="4B3C7646"/>
    <w:rsid w:val="4B5160DF"/>
    <w:rsid w:val="4B6E106E"/>
    <w:rsid w:val="4B710089"/>
    <w:rsid w:val="4B8962DB"/>
    <w:rsid w:val="4B94736D"/>
    <w:rsid w:val="4BC863A1"/>
    <w:rsid w:val="4BCB3573"/>
    <w:rsid w:val="4BDD4C70"/>
    <w:rsid w:val="4BE41144"/>
    <w:rsid w:val="4C012A4B"/>
    <w:rsid w:val="4C03742D"/>
    <w:rsid w:val="4C1A2021"/>
    <w:rsid w:val="4C2E46AD"/>
    <w:rsid w:val="4C5B5467"/>
    <w:rsid w:val="4C6E5600"/>
    <w:rsid w:val="4C7E174F"/>
    <w:rsid w:val="4C805D55"/>
    <w:rsid w:val="4C812F0C"/>
    <w:rsid w:val="4C9B3A94"/>
    <w:rsid w:val="4C9B3C7F"/>
    <w:rsid w:val="4C9F3127"/>
    <w:rsid w:val="4CA73684"/>
    <w:rsid w:val="4CA8057D"/>
    <w:rsid w:val="4CC9059A"/>
    <w:rsid w:val="4CCC5AD8"/>
    <w:rsid w:val="4CCF7961"/>
    <w:rsid w:val="4CD234BD"/>
    <w:rsid w:val="4CE75373"/>
    <w:rsid w:val="4CF37766"/>
    <w:rsid w:val="4CFF747F"/>
    <w:rsid w:val="4D0A7AEE"/>
    <w:rsid w:val="4D0D22B1"/>
    <w:rsid w:val="4D165520"/>
    <w:rsid w:val="4D1F5AA9"/>
    <w:rsid w:val="4D2131EB"/>
    <w:rsid w:val="4D4E000D"/>
    <w:rsid w:val="4D53333A"/>
    <w:rsid w:val="4D5B6EF2"/>
    <w:rsid w:val="4D623574"/>
    <w:rsid w:val="4D7973FC"/>
    <w:rsid w:val="4D8F255C"/>
    <w:rsid w:val="4DA858DE"/>
    <w:rsid w:val="4DBA5311"/>
    <w:rsid w:val="4DC648FC"/>
    <w:rsid w:val="4DCD5F3C"/>
    <w:rsid w:val="4E0272EF"/>
    <w:rsid w:val="4E0A397F"/>
    <w:rsid w:val="4E29729B"/>
    <w:rsid w:val="4E69218A"/>
    <w:rsid w:val="4E6A1EB9"/>
    <w:rsid w:val="4E8C1C16"/>
    <w:rsid w:val="4EC43201"/>
    <w:rsid w:val="4EE65A9B"/>
    <w:rsid w:val="4F0F7D42"/>
    <w:rsid w:val="4F1B0539"/>
    <w:rsid w:val="4F3360EB"/>
    <w:rsid w:val="4F3A5050"/>
    <w:rsid w:val="4F3E2FE4"/>
    <w:rsid w:val="4F62422F"/>
    <w:rsid w:val="4F9A067E"/>
    <w:rsid w:val="4F9B4AC6"/>
    <w:rsid w:val="4FA10596"/>
    <w:rsid w:val="4FA400EE"/>
    <w:rsid w:val="4FB15886"/>
    <w:rsid w:val="4FB477EE"/>
    <w:rsid w:val="4FB629B4"/>
    <w:rsid w:val="4FCE2551"/>
    <w:rsid w:val="4FE949E8"/>
    <w:rsid w:val="4FEC30D8"/>
    <w:rsid w:val="4FF03707"/>
    <w:rsid w:val="501734E8"/>
    <w:rsid w:val="50216218"/>
    <w:rsid w:val="50A5505F"/>
    <w:rsid w:val="50B560F4"/>
    <w:rsid w:val="50E948A3"/>
    <w:rsid w:val="511669A6"/>
    <w:rsid w:val="514564D7"/>
    <w:rsid w:val="514E3768"/>
    <w:rsid w:val="515D2714"/>
    <w:rsid w:val="516E738A"/>
    <w:rsid w:val="519F1664"/>
    <w:rsid w:val="51C468F8"/>
    <w:rsid w:val="51C76D9E"/>
    <w:rsid w:val="51C861C6"/>
    <w:rsid w:val="51CE5592"/>
    <w:rsid w:val="520342A6"/>
    <w:rsid w:val="520E2C10"/>
    <w:rsid w:val="52556ED6"/>
    <w:rsid w:val="526112FB"/>
    <w:rsid w:val="52623179"/>
    <w:rsid w:val="526D4181"/>
    <w:rsid w:val="5275047F"/>
    <w:rsid w:val="528D1D76"/>
    <w:rsid w:val="52A96AE6"/>
    <w:rsid w:val="52B83D9A"/>
    <w:rsid w:val="52CC6656"/>
    <w:rsid w:val="52CE6C70"/>
    <w:rsid w:val="52E15FFB"/>
    <w:rsid w:val="52F0469B"/>
    <w:rsid w:val="52FD5ECE"/>
    <w:rsid w:val="53033090"/>
    <w:rsid w:val="53184928"/>
    <w:rsid w:val="531B14AC"/>
    <w:rsid w:val="532F22A6"/>
    <w:rsid w:val="534B4829"/>
    <w:rsid w:val="535938E1"/>
    <w:rsid w:val="5361260F"/>
    <w:rsid w:val="536F5ABC"/>
    <w:rsid w:val="53777935"/>
    <w:rsid w:val="53BE6BF7"/>
    <w:rsid w:val="53E62644"/>
    <w:rsid w:val="53F51472"/>
    <w:rsid w:val="5414481D"/>
    <w:rsid w:val="545029BD"/>
    <w:rsid w:val="545D60C9"/>
    <w:rsid w:val="546D0F70"/>
    <w:rsid w:val="54740E51"/>
    <w:rsid w:val="547873B0"/>
    <w:rsid w:val="549D05F3"/>
    <w:rsid w:val="54FD04AC"/>
    <w:rsid w:val="55055297"/>
    <w:rsid w:val="551553E4"/>
    <w:rsid w:val="55166F45"/>
    <w:rsid w:val="551E564F"/>
    <w:rsid w:val="55245CAA"/>
    <w:rsid w:val="553B6702"/>
    <w:rsid w:val="554041A9"/>
    <w:rsid w:val="554B131F"/>
    <w:rsid w:val="554D5B23"/>
    <w:rsid w:val="55625CCE"/>
    <w:rsid w:val="55730066"/>
    <w:rsid w:val="55D22986"/>
    <w:rsid w:val="55D47CA3"/>
    <w:rsid w:val="56060383"/>
    <w:rsid w:val="56152F2D"/>
    <w:rsid w:val="562E3037"/>
    <w:rsid w:val="565D1DDC"/>
    <w:rsid w:val="566D4B95"/>
    <w:rsid w:val="56AB27BE"/>
    <w:rsid w:val="56B52A13"/>
    <w:rsid w:val="56CA3EBA"/>
    <w:rsid w:val="56FF03B2"/>
    <w:rsid w:val="57072AB6"/>
    <w:rsid w:val="571838EA"/>
    <w:rsid w:val="572656D4"/>
    <w:rsid w:val="57482A8C"/>
    <w:rsid w:val="5763708B"/>
    <w:rsid w:val="57790340"/>
    <w:rsid w:val="578E7E4A"/>
    <w:rsid w:val="57922A7F"/>
    <w:rsid w:val="579654F6"/>
    <w:rsid w:val="57AE5161"/>
    <w:rsid w:val="57BC3A17"/>
    <w:rsid w:val="57D01DEC"/>
    <w:rsid w:val="57E81B4D"/>
    <w:rsid w:val="57F120AC"/>
    <w:rsid w:val="58336B39"/>
    <w:rsid w:val="584D07F8"/>
    <w:rsid w:val="58685DA7"/>
    <w:rsid w:val="587474CA"/>
    <w:rsid w:val="58981B63"/>
    <w:rsid w:val="58A64848"/>
    <w:rsid w:val="58CB70A7"/>
    <w:rsid w:val="58E0634A"/>
    <w:rsid w:val="58EB320E"/>
    <w:rsid w:val="59054D17"/>
    <w:rsid w:val="590F07DC"/>
    <w:rsid w:val="59116F02"/>
    <w:rsid w:val="59137433"/>
    <w:rsid w:val="59474766"/>
    <w:rsid w:val="594B0990"/>
    <w:rsid w:val="594C28DC"/>
    <w:rsid w:val="594F1160"/>
    <w:rsid w:val="595C0122"/>
    <w:rsid w:val="596C3200"/>
    <w:rsid w:val="596C4891"/>
    <w:rsid w:val="597E5FAB"/>
    <w:rsid w:val="59AD06A4"/>
    <w:rsid w:val="59B12F6A"/>
    <w:rsid w:val="59C363FA"/>
    <w:rsid w:val="59D00E5D"/>
    <w:rsid w:val="59D732E1"/>
    <w:rsid w:val="59FA2DC3"/>
    <w:rsid w:val="5A00690C"/>
    <w:rsid w:val="5A1A74A5"/>
    <w:rsid w:val="5A3C47D2"/>
    <w:rsid w:val="5A4D586D"/>
    <w:rsid w:val="5A6249B0"/>
    <w:rsid w:val="5A755C08"/>
    <w:rsid w:val="5A825510"/>
    <w:rsid w:val="5A8F7386"/>
    <w:rsid w:val="5A9C50C4"/>
    <w:rsid w:val="5AFE1FB2"/>
    <w:rsid w:val="5B1E1290"/>
    <w:rsid w:val="5B70393D"/>
    <w:rsid w:val="5BC03DAA"/>
    <w:rsid w:val="5BC565B7"/>
    <w:rsid w:val="5BD90D9C"/>
    <w:rsid w:val="5BEA3506"/>
    <w:rsid w:val="5BEA4759"/>
    <w:rsid w:val="5BF444D2"/>
    <w:rsid w:val="5BF50434"/>
    <w:rsid w:val="5BF97583"/>
    <w:rsid w:val="5C0C2014"/>
    <w:rsid w:val="5C1C5E65"/>
    <w:rsid w:val="5C4B6AED"/>
    <w:rsid w:val="5C693288"/>
    <w:rsid w:val="5CB011D2"/>
    <w:rsid w:val="5CB419B0"/>
    <w:rsid w:val="5CD53B9E"/>
    <w:rsid w:val="5CEE6039"/>
    <w:rsid w:val="5D1506A2"/>
    <w:rsid w:val="5D1E2E23"/>
    <w:rsid w:val="5D4F5A62"/>
    <w:rsid w:val="5D52018C"/>
    <w:rsid w:val="5D6F0D72"/>
    <w:rsid w:val="5D7F2D5A"/>
    <w:rsid w:val="5D894C62"/>
    <w:rsid w:val="5D8C7A5E"/>
    <w:rsid w:val="5D9C35D1"/>
    <w:rsid w:val="5DBD0A87"/>
    <w:rsid w:val="5E051A70"/>
    <w:rsid w:val="5E204C9C"/>
    <w:rsid w:val="5E272270"/>
    <w:rsid w:val="5E3F0C96"/>
    <w:rsid w:val="5E434C88"/>
    <w:rsid w:val="5E442C50"/>
    <w:rsid w:val="5E504B79"/>
    <w:rsid w:val="5E5932DD"/>
    <w:rsid w:val="5E6948E2"/>
    <w:rsid w:val="5E6F5118"/>
    <w:rsid w:val="5E867F9B"/>
    <w:rsid w:val="5EDD631A"/>
    <w:rsid w:val="5EE84C68"/>
    <w:rsid w:val="5EF374A5"/>
    <w:rsid w:val="5EF8093C"/>
    <w:rsid w:val="5F045A13"/>
    <w:rsid w:val="5F10165A"/>
    <w:rsid w:val="5F3E04FA"/>
    <w:rsid w:val="5F4A7AC0"/>
    <w:rsid w:val="5F5222CE"/>
    <w:rsid w:val="5F7565C0"/>
    <w:rsid w:val="5F786E10"/>
    <w:rsid w:val="5F96439A"/>
    <w:rsid w:val="5FAD16DE"/>
    <w:rsid w:val="5FCA6B48"/>
    <w:rsid w:val="5FEF68C3"/>
    <w:rsid w:val="60002155"/>
    <w:rsid w:val="600E378D"/>
    <w:rsid w:val="603469DC"/>
    <w:rsid w:val="60472306"/>
    <w:rsid w:val="6089383E"/>
    <w:rsid w:val="60970B86"/>
    <w:rsid w:val="60981427"/>
    <w:rsid w:val="60981622"/>
    <w:rsid w:val="60993935"/>
    <w:rsid w:val="609E0524"/>
    <w:rsid w:val="60D32379"/>
    <w:rsid w:val="60E5452F"/>
    <w:rsid w:val="60EF739A"/>
    <w:rsid w:val="60F754E8"/>
    <w:rsid w:val="61117495"/>
    <w:rsid w:val="61145035"/>
    <w:rsid w:val="6115117A"/>
    <w:rsid w:val="612E4190"/>
    <w:rsid w:val="61493688"/>
    <w:rsid w:val="6157493F"/>
    <w:rsid w:val="615C11AA"/>
    <w:rsid w:val="616715F3"/>
    <w:rsid w:val="6170541E"/>
    <w:rsid w:val="6182038E"/>
    <w:rsid w:val="61AA312D"/>
    <w:rsid w:val="61CF346B"/>
    <w:rsid w:val="61FA0983"/>
    <w:rsid w:val="620F4EC3"/>
    <w:rsid w:val="621D5BA4"/>
    <w:rsid w:val="621E760A"/>
    <w:rsid w:val="624442BC"/>
    <w:rsid w:val="62815992"/>
    <w:rsid w:val="628A753E"/>
    <w:rsid w:val="62947502"/>
    <w:rsid w:val="62A255A8"/>
    <w:rsid w:val="62A56A1F"/>
    <w:rsid w:val="62F46046"/>
    <w:rsid w:val="63001EFA"/>
    <w:rsid w:val="6309501A"/>
    <w:rsid w:val="631B36DC"/>
    <w:rsid w:val="63331B76"/>
    <w:rsid w:val="633F3346"/>
    <w:rsid w:val="63526B0D"/>
    <w:rsid w:val="635B6748"/>
    <w:rsid w:val="63780255"/>
    <w:rsid w:val="637A33F8"/>
    <w:rsid w:val="637D23F9"/>
    <w:rsid w:val="638667CB"/>
    <w:rsid w:val="63947A95"/>
    <w:rsid w:val="639A55A9"/>
    <w:rsid w:val="63B314A6"/>
    <w:rsid w:val="63B361C6"/>
    <w:rsid w:val="63CD5521"/>
    <w:rsid w:val="63CE0748"/>
    <w:rsid w:val="63D542CE"/>
    <w:rsid w:val="63EC6027"/>
    <w:rsid w:val="644E53B4"/>
    <w:rsid w:val="64A525EE"/>
    <w:rsid w:val="64AB4DB9"/>
    <w:rsid w:val="64B318E3"/>
    <w:rsid w:val="64C1762E"/>
    <w:rsid w:val="64C953BF"/>
    <w:rsid w:val="64D66927"/>
    <w:rsid w:val="64E72CDB"/>
    <w:rsid w:val="64F5538E"/>
    <w:rsid w:val="65153E5C"/>
    <w:rsid w:val="653B4160"/>
    <w:rsid w:val="654C35A5"/>
    <w:rsid w:val="655A2655"/>
    <w:rsid w:val="656F7A22"/>
    <w:rsid w:val="65772B8D"/>
    <w:rsid w:val="6589499B"/>
    <w:rsid w:val="658C10AC"/>
    <w:rsid w:val="65A12B5F"/>
    <w:rsid w:val="65AB5639"/>
    <w:rsid w:val="65B04F76"/>
    <w:rsid w:val="65C41FC1"/>
    <w:rsid w:val="65CA49CF"/>
    <w:rsid w:val="65CD0D2C"/>
    <w:rsid w:val="661F2C0A"/>
    <w:rsid w:val="662136A0"/>
    <w:rsid w:val="663C1F8C"/>
    <w:rsid w:val="664452BF"/>
    <w:rsid w:val="66472F59"/>
    <w:rsid w:val="664C4D63"/>
    <w:rsid w:val="666A4346"/>
    <w:rsid w:val="666B093E"/>
    <w:rsid w:val="667875E7"/>
    <w:rsid w:val="66BC09F3"/>
    <w:rsid w:val="66CD3E2A"/>
    <w:rsid w:val="66EA1469"/>
    <w:rsid w:val="6723554C"/>
    <w:rsid w:val="675535AA"/>
    <w:rsid w:val="67644680"/>
    <w:rsid w:val="678307F6"/>
    <w:rsid w:val="679265C0"/>
    <w:rsid w:val="67B167D1"/>
    <w:rsid w:val="67C7094E"/>
    <w:rsid w:val="67CA0AAC"/>
    <w:rsid w:val="67EC4100"/>
    <w:rsid w:val="67F04C85"/>
    <w:rsid w:val="681F010B"/>
    <w:rsid w:val="684B5059"/>
    <w:rsid w:val="685F1C50"/>
    <w:rsid w:val="68693C57"/>
    <w:rsid w:val="68996CA3"/>
    <w:rsid w:val="68A02565"/>
    <w:rsid w:val="68CC0367"/>
    <w:rsid w:val="68E1064A"/>
    <w:rsid w:val="68F16CFC"/>
    <w:rsid w:val="68FB2ABD"/>
    <w:rsid w:val="690A769E"/>
    <w:rsid w:val="690D41A2"/>
    <w:rsid w:val="69162D3D"/>
    <w:rsid w:val="691C6844"/>
    <w:rsid w:val="691D3CA0"/>
    <w:rsid w:val="6925672C"/>
    <w:rsid w:val="694078ED"/>
    <w:rsid w:val="69454029"/>
    <w:rsid w:val="699022E9"/>
    <w:rsid w:val="699166F0"/>
    <w:rsid w:val="69AC00C0"/>
    <w:rsid w:val="69B51F48"/>
    <w:rsid w:val="69D87B81"/>
    <w:rsid w:val="69F63F6B"/>
    <w:rsid w:val="6A1B7E64"/>
    <w:rsid w:val="6A3008E1"/>
    <w:rsid w:val="6A714498"/>
    <w:rsid w:val="6A752B16"/>
    <w:rsid w:val="6A7A07D1"/>
    <w:rsid w:val="6A845374"/>
    <w:rsid w:val="6A9C42EC"/>
    <w:rsid w:val="6AA307CE"/>
    <w:rsid w:val="6AF82AC5"/>
    <w:rsid w:val="6AF857FE"/>
    <w:rsid w:val="6AFD3C02"/>
    <w:rsid w:val="6B1932A2"/>
    <w:rsid w:val="6B2D401B"/>
    <w:rsid w:val="6B351524"/>
    <w:rsid w:val="6B580622"/>
    <w:rsid w:val="6B5E3CCB"/>
    <w:rsid w:val="6B6D1C63"/>
    <w:rsid w:val="6B727AAD"/>
    <w:rsid w:val="6B992734"/>
    <w:rsid w:val="6BA67537"/>
    <w:rsid w:val="6BF62A43"/>
    <w:rsid w:val="6C033C17"/>
    <w:rsid w:val="6C1E0A24"/>
    <w:rsid w:val="6C1E5B9B"/>
    <w:rsid w:val="6C421D0B"/>
    <w:rsid w:val="6C464D18"/>
    <w:rsid w:val="6C551346"/>
    <w:rsid w:val="6CCD79CA"/>
    <w:rsid w:val="6D133958"/>
    <w:rsid w:val="6D632046"/>
    <w:rsid w:val="6D6B5948"/>
    <w:rsid w:val="6D844AD1"/>
    <w:rsid w:val="6D8E238B"/>
    <w:rsid w:val="6DC16C40"/>
    <w:rsid w:val="6DC657A7"/>
    <w:rsid w:val="6DCD6174"/>
    <w:rsid w:val="6DE31E07"/>
    <w:rsid w:val="6DF00B8F"/>
    <w:rsid w:val="6E0928AB"/>
    <w:rsid w:val="6E1B4027"/>
    <w:rsid w:val="6E1D4A1D"/>
    <w:rsid w:val="6E254719"/>
    <w:rsid w:val="6E2E4D16"/>
    <w:rsid w:val="6E3C0C09"/>
    <w:rsid w:val="6E3F5920"/>
    <w:rsid w:val="6E4B56AE"/>
    <w:rsid w:val="6E977946"/>
    <w:rsid w:val="6EA24716"/>
    <w:rsid w:val="6EC7233D"/>
    <w:rsid w:val="6EEC44C8"/>
    <w:rsid w:val="6EEC72A3"/>
    <w:rsid w:val="6F124789"/>
    <w:rsid w:val="6F1B18FB"/>
    <w:rsid w:val="6F1D2B27"/>
    <w:rsid w:val="6F1D63C8"/>
    <w:rsid w:val="6F2A7052"/>
    <w:rsid w:val="6F4F27B2"/>
    <w:rsid w:val="6FC15409"/>
    <w:rsid w:val="6FC77FAE"/>
    <w:rsid w:val="6FD042F1"/>
    <w:rsid w:val="6FD92FE6"/>
    <w:rsid w:val="6FDD7679"/>
    <w:rsid w:val="6FE62BC3"/>
    <w:rsid w:val="6FE70416"/>
    <w:rsid w:val="70061711"/>
    <w:rsid w:val="703E424C"/>
    <w:rsid w:val="70512FE0"/>
    <w:rsid w:val="70525F88"/>
    <w:rsid w:val="70555BA8"/>
    <w:rsid w:val="70630925"/>
    <w:rsid w:val="706A1A49"/>
    <w:rsid w:val="70A10CF5"/>
    <w:rsid w:val="70AA2434"/>
    <w:rsid w:val="70BB12FF"/>
    <w:rsid w:val="70BE05C9"/>
    <w:rsid w:val="70E1019D"/>
    <w:rsid w:val="70E777FF"/>
    <w:rsid w:val="71053890"/>
    <w:rsid w:val="71075D20"/>
    <w:rsid w:val="71571F91"/>
    <w:rsid w:val="71624A26"/>
    <w:rsid w:val="71920D47"/>
    <w:rsid w:val="71972B99"/>
    <w:rsid w:val="71A8362C"/>
    <w:rsid w:val="71B50105"/>
    <w:rsid w:val="71CB25AE"/>
    <w:rsid w:val="71CF53A1"/>
    <w:rsid w:val="71ED0D7A"/>
    <w:rsid w:val="71EF2CA8"/>
    <w:rsid w:val="71F24E09"/>
    <w:rsid w:val="7203217F"/>
    <w:rsid w:val="720C1270"/>
    <w:rsid w:val="720E3B62"/>
    <w:rsid w:val="72226C98"/>
    <w:rsid w:val="72365DF2"/>
    <w:rsid w:val="723916FF"/>
    <w:rsid w:val="723D3377"/>
    <w:rsid w:val="724A58BF"/>
    <w:rsid w:val="724A7F50"/>
    <w:rsid w:val="726A0FFB"/>
    <w:rsid w:val="72710C91"/>
    <w:rsid w:val="72901B1D"/>
    <w:rsid w:val="72962E43"/>
    <w:rsid w:val="72A14B54"/>
    <w:rsid w:val="72C44E87"/>
    <w:rsid w:val="72C61A65"/>
    <w:rsid w:val="72CC0F8D"/>
    <w:rsid w:val="72CE5658"/>
    <w:rsid w:val="72D64AE7"/>
    <w:rsid w:val="72FD4686"/>
    <w:rsid w:val="72FD4827"/>
    <w:rsid w:val="73410663"/>
    <w:rsid w:val="734808C6"/>
    <w:rsid w:val="735C549D"/>
    <w:rsid w:val="737B26A1"/>
    <w:rsid w:val="737C0F84"/>
    <w:rsid w:val="73F954EE"/>
    <w:rsid w:val="73FD43C9"/>
    <w:rsid w:val="7419513C"/>
    <w:rsid w:val="741B6F2D"/>
    <w:rsid w:val="741C0DC4"/>
    <w:rsid w:val="741C4C2C"/>
    <w:rsid w:val="742304A1"/>
    <w:rsid w:val="74290E12"/>
    <w:rsid w:val="74393501"/>
    <w:rsid w:val="743C23C7"/>
    <w:rsid w:val="745919C6"/>
    <w:rsid w:val="746633FE"/>
    <w:rsid w:val="74702A9A"/>
    <w:rsid w:val="74711DF1"/>
    <w:rsid w:val="7489103F"/>
    <w:rsid w:val="74A97023"/>
    <w:rsid w:val="74B11020"/>
    <w:rsid w:val="74B41A12"/>
    <w:rsid w:val="74BB7697"/>
    <w:rsid w:val="74BE32A8"/>
    <w:rsid w:val="74CF18FC"/>
    <w:rsid w:val="74E7523A"/>
    <w:rsid w:val="750A2CD7"/>
    <w:rsid w:val="750A6315"/>
    <w:rsid w:val="751E0DF2"/>
    <w:rsid w:val="753010AB"/>
    <w:rsid w:val="754D03C3"/>
    <w:rsid w:val="75637081"/>
    <w:rsid w:val="75813B80"/>
    <w:rsid w:val="75922EDB"/>
    <w:rsid w:val="759D63E0"/>
    <w:rsid w:val="759E3B4B"/>
    <w:rsid w:val="75A263AA"/>
    <w:rsid w:val="75BA0227"/>
    <w:rsid w:val="75BA3914"/>
    <w:rsid w:val="75DB7B99"/>
    <w:rsid w:val="75DC2BE1"/>
    <w:rsid w:val="75DD6ED1"/>
    <w:rsid w:val="76050101"/>
    <w:rsid w:val="760E5965"/>
    <w:rsid w:val="761C2BBB"/>
    <w:rsid w:val="76256893"/>
    <w:rsid w:val="762D36F0"/>
    <w:rsid w:val="763D3927"/>
    <w:rsid w:val="764D731F"/>
    <w:rsid w:val="76965874"/>
    <w:rsid w:val="76C51CC8"/>
    <w:rsid w:val="76DA32A9"/>
    <w:rsid w:val="76DA70A9"/>
    <w:rsid w:val="76EA37FB"/>
    <w:rsid w:val="76EC7055"/>
    <w:rsid w:val="77074966"/>
    <w:rsid w:val="77075720"/>
    <w:rsid w:val="77102312"/>
    <w:rsid w:val="7711214E"/>
    <w:rsid w:val="772630FD"/>
    <w:rsid w:val="772720EE"/>
    <w:rsid w:val="77472401"/>
    <w:rsid w:val="774B51D4"/>
    <w:rsid w:val="77516051"/>
    <w:rsid w:val="775F1BD6"/>
    <w:rsid w:val="776125DC"/>
    <w:rsid w:val="776A1DE8"/>
    <w:rsid w:val="777C69BD"/>
    <w:rsid w:val="778F33F5"/>
    <w:rsid w:val="77A15683"/>
    <w:rsid w:val="77BA1751"/>
    <w:rsid w:val="77CD14F2"/>
    <w:rsid w:val="77CD332D"/>
    <w:rsid w:val="77ED0B73"/>
    <w:rsid w:val="78036CE6"/>
    <w:rsid w:val="783B64A4"/>
    <w:rsid w:val="785D00CA"/>
    <w:rsid w:val="78A94AB8"/>
    <w:rsid w:val="78AE3C72"/>
    <w:rsid w:val="790C6A64"/>
    <w:rsid w:val="79122BB7"/>
    <w:rsid w:val="791E5503"/>
    <w:rsid w:val="7929591C"/>
    <w:rsid w:val="792D65B5"/>
    <w:rsid w:val="79447755"/>
    <w:rsid w:val="795D0736"/>
    <w:rsid w:val="7979079B"/>
    <w:rsid w:val="798F64CA"/>
    <w:rsid w:val="79AE6381"/>
    <w:rsid w:val="79D66E61"/>
    <w:rsid w:val="7A547A52"/>
    <w:rsid w:val="7A6223B7"/>
    <w:rsid w:val="7A860A4A"/>
    <w:rsid w:val="7A9B6047"/>
    <w:rsid w:val="7AB03B90"/>
    <w:rsid w:val="7AB362AE"/>
    <w:rsid w:val="7AFD6E85"/>
    <w:rsid w:val="7AFE6D10"/>
    <w:rsid w:val="7AFF4A3E"/>
    <w:rsid w:val="7B046594"/>
    <w:rsid w:val="7B0852CA"/>
    <w:rsid w:val="7B161DBC"/>
    <w:rsid w:val="7B3F7195"/>
    <w:rsid w:val="7B725821"/>
    <w:rsid w:val="7B883CE0"/>
    <w:rsid w:val="7B924664"/>
    <w:rsid w:val="7B9B3234"/>
    <w:rsid w:val="7BAC3D28"/>
    <w:rsid w:val="7BB975A9"/>
    <w:rsid w:val="7BBD458C"/>
    <w:rsid w:val="7BD23CE8"/>
    <w:rsid w:val="7BE704A0"/>
    <w:rsid w:val="7BFB6EBF"/>
    <w:rsid w:val="7BFF300D"/>
    <w:rsid w:val="7C002197"/>
    <w:rsid w:val="7C2F6DB7"/>
    <w:rsid w:val="7C3C3700"/>
    <w:rsid w:val="7C403D7C"/>
    <w:rsid w:val="7C535045"/>
    <w:rsid w:val="7C5A401D"/>
    <w:rsid w:val="7C986C5B"/>
    <w:rsid w:val="7C9C7128"/>
    <w:rsid w:val="7D0C4EAB"/>
    <w:rsid w:val="7D1765E7"/>
    <w:rsid w:val="7D2B1193"/>
    <w:rsid w:val="7D3522C4"/>
    <w:rsid w:val="7D4F2810"/>
    <w:rsid w:val="7D5D078F"/>
    <w:rsid w:val="7D872E89"/>
    <w:rsid w:val="7D88520A"/>
    <w:rsid w:val="7D902913"/>
    <w:rsid w:val="7DC36587"/>
    <w:rsid w:val="7DDD6CEA"/>
    <w:rsid w:val="7DEC0D1F"/>
    <w:rsid w:val="7E532E74"/>
    <w:rsid w:val="7E594DE6"/>
    <w:rsid w:val="7E636E14"/>
    <w:rsid w:val="7E716E53"/>
    <w:rsid w:val="7E7F2812"/>
    <w:rsid w:val="7E835C2C"/>
    <w:rsid w:val="7E8C5F6D"/>
    <w:rsid w:val="7EAA15AE"/>
    <w:rsid w:val="7EB62103"/>
    <w:rsid w:val="7ED51702"/>
    <w:rsid w:val="7F4D668A"/>
    <w:rsid w:val="7F546D2D"/>
    <w:rsid w:val="7F5A773F"/>
    <w:rsid w:val="7FAE4688"/>
    <w:rsid w:val="7FC51C02"/>
    <w:rsid w:val="7FC8578C"/>
    <w:rsid w:val="7FF60A27"/>
    <w:rsid w:val="7FF66A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hint="eastAsia" w:ascii="宋体" w:hAnsi="宋体"/>
      <w:b/>
      <w:color w:val="000000"/>
      <w:kern w:val="0"/>
      <w:sz w:val="36"/>
      <w:szCs w:val="20"/>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link w:val="36"/>
    <w:autoRedefine/>
    <w:qFormat/>
    <w:uiPriority w:val="99"/>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99"/>
    <w:pPr>
      <w:numPr>
        <w:ilvl w:val="0"/>
        <w:numId w:val="1"/>
      </w:numPr>
    </w:pPr>
  </w:style>
  <w:style w:type="paragraph" w:styleId="6">
    <w:name w:val="Normal Indent"/>
    <w:basedOn w:val="1"/>
    <w:autoRedefine/>
    <w:qFormat/>
    <w:uiPriority w:val="99"/>
    <w:pPr>
      <w:ind w:firstLine="420"/>
    </w:pPr>
  </w:style>
  <w:style w:type="paragraph" w:styleId="7">
    <w:name w:val="annotation text"/>
    <w:basedOn w:val="1"/>
    <w:link w:val="37"/>
    <w:autoRedefine/>
    <w:semiHidden/>
    <w:qFormat/>
    <w:uiPriority w:val="99"/>
    <w:pPr>
      <w:jc w:val="left"/>
    </w:pPr>
  </w:style>
  <w:style w:type="paragraph" w:styleId="8">
    <w:name w:val="Body Text"/>
    <w:basedOn w:val="1"/>
    <w:next w:val="9"/>
    <w:link w:val="39"/>
    <w:autoRedefine/>
    <w:qFormat/>
    <w:uiPriority w:val="99"/>
    <w:pPr>
      <w:spacing w:line="360" w:lineRule="exact"/>
    </w:pPr>
    <w:rPr>
      <w:sz w:val="24"/>
      <w:szCs w:val="24"/>
    </w:rPr>
  </w:style>
  <w:style w:type="paragraph" w:customStyle="1" w:styleId="9">
    <w:name w:val="正文首行缩进1"/>
    <w:basedOn w:val="8"/>
    <w:autoRedefine/>
    <w:qFormat/>
    <w:uiPriority w:val="0"/>
    <w:pPr>
      <w:spacing w:after="120"/>
      <w:ind w:firstLine="420" w:firstLineChars="100"/>
    </w:pPr>
    <w:rPr>
      <w:rFonts w:ascii="Calibri" w:hAnsi="Calibri"/>
      <w:sz w:val="21"/>
    </w:rPr>
  </w:style>
  <w:style w:type="paragraph" w:styleId="10">
    <w:name w:val="Body Text Indent"/>
    <w:basedOn w:val="1"/>
    <w:link w:val="40"/>
    <w:autoRedefine/>
    <w:qFormat/>
    <w:uiPriority w:val="99"/>
    <w:pPr>
      <w:spacing w:after="120"/>
      <w:ind w:left="420" w:leftChars="200"/>
    </w:pPr>
  </w:style>
  <w:style w:type="paragraph" w:styleId="11">
    <w:name w:val="Block Text"/>
    <w:basedOn w:val="1"/>
    <w:autoRedefine/>
    <w:qFormat/>
    <w:locked/>
    <w:uiPriority w:val="0"/>
    <w:pPr>
      <w:spacing w:after="120"/>
      <w:ind w:left="1440" w:leftChars="700" w:right="700" w:rightChars="700"/>
    </w:pPr>
  </w:style>
  <w:style w:type="paragraph" w:styleId="12">
    <w:name w:val="Plain Text"/>
    <w:basedOn w:val="1"/>
    <w:next w:val="1"/>
    <w:link w:val="41"/>
    <w:autoRedefine/>
    <w:qFormat/>
    <w:uiPriority w:val="99"/>
    <w:rPr>
      <w:rFonts w:ascii="宋体" w:hAnsi="Courier New" w:cs="宋体"/>
    </w:rPr>
  </w:style>
  <w:style w:type="paragraph" w:styleId="13">
    <w:name w:val="Date"/>
    <w:basedOn w:val="1"/>
    <w:next w:val="1"/>
    <w:link w:val="42"/>
    <w:autoRedefine/>
    <w:qFormat/>
    <w:uiPriority w:val="99"/>
    <w:pPr>
      <w:ind w:left="2500" w:leftChars="2500"/>
    </w:pPr>
    <w:rPr>
      <w:rFonts w:ascii="Calibri" w:hAnsi="Calibri" w:eastAsia="楷体_GB2312" w:cs="Calibri"/>
      <w:sz w:val="32"/>
      <w:szCs w:val="32"/>
    </w:rPr>
  </w:style>
  <w:style w:type="paragraph" w:styleId="14">
    <w:name w:val="Balloon Text"/>
    <w:basedOn w:val="1"/>
    <w:link w:val="43"/>
    <w:autoRedefine/>
    <w:semiHidden/>
    <w:qFormat/>
    <w:uiPriority w:val="99"/>
    <w:rPr>
      <w:sz w:val="18"/>
      <w:szCs w:val="18"/>
    </w:rPr>
  </w:style>
  <w:style w:type="paragraph" w:styleId="15">
    <w:name w:val="footer"/>
    <w:basedOn w:val="1"/>
    <w:link w:val="44"/>
    <w:autoRedefine/>
    <w:qFormat/>
    <w:uiPriority w:val="99"/>
    <w:pPr>
      <w:tabs>
        <w:tab w:val="center" w:pos="4153"/>
        <w:tab w:val="right" w:pos="8306"/>
      </w:tabs>
      <w:snapToGrid w:val="0"/>
      <w:jc w:val="left"/>
    </w:pPr>
    <w:rPr>
      <w:sz w:val="18"/>
      <w:szCs w:val="18"/>
    </w:rPr>
  </w:style>
  <w:style w:type="paragraph" w:styleId="16">
    <w:name w:val="header"/>
    <w:basedOn w:val="1"/>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annotation subject"/>
    <w:basedOn w:val="7"/>
    <w:next w:val="7"/>
    <w:link w:val="38"/>
    <w:autoRedefine/>
    <w:semiHidden/>
    <w:qFormat/>
    <w:uiPriority w:val="99"/>
    <w:rPr>
      <w:b/>
      <w:bCs/>
    </w:rPr>
  </w:style>
  <w:style w:type="paragraph" w:styleId="20">
    <w:name w:val="Body Text First Indent"/>
    <w:basedOn w:val="8"/>
    <w:next w:val="1"/>
    <w:autoRedefine/>
    <w:qFormat/>
    <w:locked/>
    <w:uiPriority w:val="0"/>
    <w:pPr>
      <w:autoSpaceDE w:val="0"/>
      <w:autoSpaceDN w:val="0"/>
      <w:adjustRightInd w:val="0"/>
      <w:spacing w:line="360" w:lineRule="auto"/>
      <w:ind w:firstLine="420" w:firstLineChars="100"/>
    </w:pPr>
  </w:style>
  <w:style w:type="paragraph" w:styleId="21">
    <w:name w:val="Body Text First Indent 2"/>
    <w:basedOn w:val="10"/>
    <w:autoRedefine/>
    <w:qFormat/>
    <w:locked/>
    <w:uiPriority w:val="0"/>
    <w:pPr>
      <w:autoSpaceDE w:val="0"/>
      <w:autoSpaceDN w:val="0"/>
      <w:adjustRightInd w:val="0"/>
      <w:ind w:firstLine="420" w:firstLineChars="200"/>
      <w:jc w:val="left"/>
    </w:pPr>
  </w:style>
  <w:style w:type="table" w:styleId="23">
    <w:name w:val="Table Grid"/>
    <w:basedOn w:val="2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style>
  <w:style w:type="character" w:styleId="26">
    <w:name w:val="page number"/>
    <w:basedOn w:val="24"/>
    <w:autoRedefine/>
    <w:qFormat/>
    <w:locked/>
    <w:uiPriority w:val="0"/>
  </w:style>
  <w:style w:type="character" w:styleId="27">
    <w:name w:val="Hyperlink"/>
    <w:basedOn w:val="24"/>
    <w:autoRedefine/>
    <w:qFormat/>
    <w:locked/>
    <w:uiPriority w:val="0"/>
    <w:rPr>
      <w:color w:val="0000FF"/>
      <w:u w:val="single"/>
    </w:rPr>
  </w:style>
  <w:style w:type="character" w:styleId="28">
    <w:name w:val="annotation reference"/>
    <w:basedOn w:val="24"/>
    <w:autoRedefine/>
    <w:semiHidden/>
    <w:qFormat/>
    <w:uiPriority w:val="99"/>
    <w:rPr>
      <w:rFonts w:cs="Times New Roman"/>
      <w:sz w:val="21"/>
      <w:szCs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4、正文"/>
    <w:basedOn w:val="1"/>
    <w:autoRedefine/>
    <w:qFormat/>
    <w:uiPriority w:val="0"/>
    <w:pPr>
      <w:ind w:firstLine="200" w:firstLineChars="200"/>
    </w:pPr>
    <w:rPr>
      <w:rFonts w:ascii="宋体"/>
      <w:sz w:val="24"/>
      <w:szCs w:val="28"/>
    </w:rPr>
  </w:style>
  <w:style w:type="paragraph" w:customStyle="1" w:styleId="31">
    <w:name w:val="Char"/>
    <w:basedOn w:val="1"/>
    <w:autoRedefine/>
    <w:qFormat/>
    <w:uiPriority w:val="0"/>
    <w:rPr>
      <w:rFonts w:ascii="仿宋_GB2312" w:eastAsia="仿宋_GB2312" w:cs="仿宋_GB2312"/>
      <w:b/>
      <w:bCs/>
      <w:sz w:val="32"/>
      <w:szCs w:val="32"/>
    </w:rPr>
  </w:style>
  <w:style w:type="paragraph" w:customStyle="1" w:styleId="32">
    <w:name w:val="表格文字"/>
    <w:basedOn w:val="10"/>
    <w:next w:val="8"/>
    <w:autoRedefine/>
    <w:qFormat/>
    <w:uiPriority w:val="99"/>
    <w:pPr>
      <w:spacing w:line="420" w:lineRule="atLeast"/>
      <w:textAlignment w:val="baseline"/>
    </w:pPr>
    <w:rPr>
      <w:rFonts w:ascii="Calibri" w:hAnsi="Calibri"/>
    </w:rPr>
  </w:style>
  <w:style w:type="paragraph" w:customStyle="1" w:styleId="33">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34">
    <w:name w:val="正文首行缩进 21"/>
    <w:basedOn w:val="35"/>
    <w:autoRedefine/>
    <w:qFormat/>
    <w:uiPriority w:val="0"/>
    <w:pPr>
      <w:ind w:firstLine="420"/>
    </w:pPr>
    <w:rPr>
      <w:rFonts w:cs="宋体"/>
    </w:rPr>
  </w:style>
  <w:style w:type="paragraph" w:customStyle="1" w:styleId="35">
    <w:name w:val="正文文本缩进1"/>
    <w:basedOn w:val="1"/>
    <w:next w:val="1"/>
    <w:autoRedefine/>
    <w:qFormat/>
    <w:uiPriority w:val="0"/>
    <w:pPr>
      <w:spacing w:after="120"/>
      <w:ind w:left="420" w:leftChars="200"/>
    </w:pPr>
    <w:rPr>
      <w:color w:val="000000"/>
    </w:rPr>
  </w:style>
  <w:style w:type="character" w:customStyle="1" w:styleId="36">
    <w:name w:val="标题 3 Char"/>
    <w:basedOn w:val="24"/>
    <w:link w:val="4"/>
    <w:autoRedefine/>
    <w:semiHidden/>
    <w:qFormat/>
    <w:locked/>
    <w:uiPriority w:val="99"/>
    <w:rPr>
      <w:rFonts w:cs="Times New Roman"/>
      <w:sz w:val="32"/>
      <w:szCs w:val="32"/>
    </w:rPr>
  </w:style>
  <w:style w:type="character" w:customStyle="1" w:styleId="37">
    <w:name w:val="批注文字 Char"/>
    <w:basedOn w:val="24"/>
    <w:link w:val="7"/>
    <w:autoRedefine/>
    <w:qFormat/>
    <w:locked/>
    <w:uiPriority w:val="99"/>
    <w:rPr>
      <w:rFonts w:ascii="Times New Roman" w:hAnsi="Times New Roman" w:eastAsia="宋体" w:cs="Times New Roman"/>
      <w:kern w:val="2"/>
      <w:sz w:val="24"/>
      <w:szCs w:val="24"/>
    </w:rPr>
  </w:style>
  <w:style w:type="character" w:customStyle="1" w:styleId="38">
    <w:name w:val="批注主题 Char"/>
    <w:basedOn w:val="37"/>
    <w:link w:val="19"/>
    <w:autoRedefine/>
    <w:qFormat/>
    <w:locked/>
    <w:uiPriority w:val="99"/>
    <w:rPr>
      <w:rFonts w:ascii="Times New Roman" w:hAnsi="Times New Roman" w:eastAsia="宋体" w:cs="Times New Roman"/>
      <w:kern w:val="2"/>
      <w:sz w:val="24"/>
      <w:szCs w:val="24"/>
    </w:rPr>
  </w:style>
  <w:style w:type="character" w:customStyle="1" w:styleId="39">
    <w:name w:val="正文文本 Char"/>
    <w:basedOn w:val="24"/>
    <w:link w:val="8"/>
    <w:autoRedefine/>
    <w:semiHidden/>
    <w:qFormat/>
    <w:locked/>
    <w:uiPriority w:val="99"/>
    <w:rPr>
      <w:rFonts w:cs="Times New Roman"/>
      <w:sz w:val="21"/>
      <w:szCs w:val="21"/>
    </w:rPr>
  </w:style>
  <w:style w:type="character" w:customStyle="1" w:styleId="40">
    <w:name w:val="正文文本缩进 Char"/>
    <w:basedOn w:val="24"/>
    <w:link w:val="10"/>
    <w:autoRedefine/>
    <w:qFormat/>
    <w:locked/>
    <w:uiPriority w:val="99"/>
    <w:rPr>
      <w:rFonts w:cs="Times New Roman"/>
      <w:kern w:val="2"/>
      <w:sz w:val="24"/>
      <w:szCs w:val="24"/>
    </w:rPr>
  </w:style>
  <w:style w:type="character" w:customStyle="1" w:styleId="41">
    <w:name w:val="纯文本 Char"/>
    <w:basedOn w:val="24"/>
    <w:link w:val="12"/>
    <w:autoRedefine/>
    <w:semiHidden/>
    <w:qFormat/>
    <w:locked/>
    <w:uiPriority w:val="99"/>
    <w:rPr>
      <w:rFonts w:ascii="宋体" w:hAnsi="Courier New" w:cs="Courier New"/>
      <w:sz w:val="21"/>
      <w:szCs w:val="21"/>
    </w:rPr>
  </w:style>
  <w:style w:type="character" w:customStyle="1" w:styleId="42">
    <w:name w:val="日期 Char"/>
    <w:basedOn w:val="24"/>
    <w:link w:val="13"/>
    <w:autoRedefine/>
    <w:semiHidden/>
    <w:qFormat/>
    <w:locked/>
    <w:uiPriority w:val="99"/>
    <w:rPr>
      <w:rFonts w:cs="Times New Roman"/>
      <w:sz w:val="21"/>
      <w:szCs w:val="21"/>
    </w:rPr>
  </w:style>
  <w:style w:type="character" w:customStyle="1" w:styleId="43">
    <w:name w:val="批注框文本 Char"/>
    <w:basedOn w:val="24"/>
    <w:link w:val="14"/>
    <w:autoRedefine/>
    <w:qFormat/>
    <w:locked/>
    <w:uiPriority w:val="99"/>
    <w:rPr>
      <w:rFonts w:ascii="Times New Roman" w:hAnsi="Times New Roman" w:eastAsia="宋体" w:cs="Times New Roman"/>
      <w:kern w:val="2"/>
      <w:sz w:val="18"/>
      <w:szCs w:val="18"/>
    </w:rPr>
  </w:style>
  <w:style w:type="character" w:customStyle="1" w:styleId="44">
    <w:name w:val="页脚 Char"/>
    <w:basedOn w:val="24"/>
    <w:link w:val="15"/>
    <w:autoRedefine/>
    <w:semiHidden/>
    <w:qFormat/>
    <w:locked/>
    <w:uiPriority w:val="99"/>
    <w:rPr>
      <w:rFonts w:cs="Times New Roman"/>
      <w:sz w:val="18"/>
      <w:szCs w:val="18"/>
    </w:rPr>
  </w:style>
  <w:style w:type="character" w:customStyle="1" w:styleId="45">
    <w:name w:val="页眉 Char"/>
    <w:basedOn w:val="24"/>
    <w:link w:val="16"/>
    <w:autoRedefine/>
    <w:semiHidden/>
    <w:qFormat/>
    <w:locked/>
    <w:uiPriority w:val="99"/>
    <w:rPr>
      <w:rFonts w:cs="Times New Roman"/>
      <w:sz w:val="18"/>
      <w:szCs w:val="18"/>
    </w:rPr>
  </w:style>
  <w:style w:type="paragraph" w:customStyle="1" w:styleId="46">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47">
    <w:name w:val="List Paragraph"/>
    <w:basedOn w:val="1"/>
    <w:autoRedefine/>
    <w:qFormat/>
    <w:uiPriority w:val="99"/>
    <w:pPr>
      <w:ind w:firstLine="420" w:firstLineChars="200"/>
    </w:pPr>
    <w:rPr>
      <w:rFonts w:ascii="Calibri" w:hAnsi="Calibri" w:cs="Calibri"/>
    </w:rPr>
  </w:style>
  <w:style w:type="paragraph" w:customStyle="1" w:styleId="48">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列出段落1"/>
    <w:basedOn w:val="1"/>
    <w:autoRedefine/>
    <w:qFormat/>
    <w:uiPriority w:val="99"/>
    <w:pPr>
      <w:ind w:firstLine="420" w:firstLineChars="200"/>
    </w:pPr>
    <w:rPr>
      <w:rFonts w:ascii="Calibri" w:hAnsi="Calibri" w:cs="Calibri"/>
      <w:kern w:val="0"/>
    </w:rPr>
  </w:style>
  <w:style w:type="paragraph" w:customStyle="1" w:styleId="50">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4"/>
    <w:autoRedefine/>
    <w:qFormat/>
    <w:uiPriority w:val="99"/>
    <w:rPr>
      <w:rFonts w:ascii="Times New Roman" w:hAnsi="Times New Roman" w:eastAsia="宋体" w:cs="Times New Roman"/>
      <w:sz w:val="21"/>
      <w:szCs w:val="21"/>
      <w:lang w:val="en-US" w:eastAsia="zh-CN" w:bidi="ar-SA"/>
    </w:rPr>
  </w:style>
  <w:style w:type="paragraph" w:customStyle="1" w:styleId="54">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纯文本_3"/>
    <w:basedOn w:val="56"/>
    <w:autoRedefine/>
    <w:qFormat/>
    <w:uiPriority w:val="99"/>
    <w:pPr>
      <w:widowControl/>
      <w:jc w:val="left"/>
    </w:pPr>
    <w:rPr>
      <w:rFonts w:ascii="宋体" w:hAnsi="Courier New" w:cs="宋体"/>
    </w:rPr>
  </w:style>
  <w:style w:type="paragraph" w:customStyle="1" w:styleId="58">
    <w:name w:val="纯文本_0_1"/>
    <w:basedOn w:val="1"/>
    <w:autoRedefine/>
    <w:qFormat/>
    <w:uiPriority w:val="99"/>
    <w:pPr>
      <w:widowControl/>
      <w:jc w:val="left"/>
    </w:pPr>
    <w:rPr>
      <w:rFonts w:ascii="宋体" w:hAnsi="Courier New" w:cs="宋体"/>
    </w:rPr>
  </w:style>
  <w:style w:type="paragraph" w:customStyle="1" w:styleId="59">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纯文本1"/>
    <w:basedOn w:val="64"/>
    <w:autoRedefine/>
    <w:qFormat/>
    <w:uiPriority w:val="0"/>
    <w:pPr>
      <w:widowControl/>
      <w:jc w:val="left"/>
    </w:pPr>
    <w:rPr>
      <w:rFonts w:ascii="宋体" w:hAnsi="Courier New"/>
    </w:rPr>
  </w:style>
  <w:style w:type="paragraph" w:customStyle="1" w:styleId="6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表格标题"/>
    <w:basedOn w:val="1"/>
    <w:autoRedefine/>
    <w:qFormat/>
    <w:uiPriority w:val="0"/>
    <w:pPr>
      <w:jc w:val="center"/>
    </w:pPr>
    <w:rPr>
      <w:b/>
    </w:rPr>
  </w:style>
  <w:style w:type="paragraph" w:customStyle="1" w:styleId="66">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附件文字"/>
    <w:basedOn w:val="12"/>
    <w:autoRedefine/>
    <w:qFormat/>
    <w:uiPriority w:val="0"/>
    <w:pPr>
      <w:adjustRightInd w:val="0"/>
      <w:snapToGrid w:val="0"/>
      <w:ind w:firstLine="150" w:firstLineChars="150"/>
    </w:pPr>
    <w:rPr>
      <w:rFonts w:ascii="Arial" w:hAnsi="Times New Roman"/>
      <w:snapToGrid w:val="0"/>
      <w:color w:val="000000"/>
      <w:sz w:val="24"/>
    </w:rPr>
  </w:style>
  <w:style w:type="character" w:customStyle="1" w:styleId="68">
    <w:name w:val="font41"/>
    <w:basedOn w:val="24"/>
    <w:autoRedefine/>
    <w:qFormat/>
    <w:uiPriority w:val="0"/>
    <w:rPr>
      <w:rFonts w:hint="eastAsia" w:ascii="宋体" w:hAnsi="宋体" w:eastAsia="宋体" w:cs="宋体"/>
      <w:color w:val="000000"/>
      <w:sz w:val="24"/>
      <w:szCs w:val="24"/>
      <w:u w:val="none"/>
    </w:rPr>
  </w:style>
  <w:style w:type="character" w:customStyle="1" w:styleId="69">
    <w:name w:val="font01"/>
    <w:basedOn w:val="24"/>
    <w:autoRedefine/>
    <w:qFormat/>
    <w:uiPriority w:val="0"/>
    <w:rPr>
      <w:rFonts w:hint="eastAsia" w:ascii="宋体" w:hAnsi="宋体" w:eastAsia="宋体" w:cs="宋体"/>
      <w:color w:val="000000"/>
      <w:sz w:val="18"/>
      <w:szCs w:val="18"/>
      <w:u w:val="none"/>
    </w:rPr>
  </w:style>
  <w:style w:type="character" w:customStyle="1" w:styleId="70">
    <w:name w:val="NormalCharacter"/>
    <w:autoRedefine/>
    <w:qFormat/>
    <w:uiPriority w:val="0"/>
  </w:style>
  <w:style w:type="paragraph" w:customStyle="1" w:styleId="71">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72">
    <w:name w:val="WPSOffice手动目录 1"/>
    <w:autoRedefine/>
    <w:qFormat/>
    <w:uiPriority w:val="0"/>
    <w:rPr>
      <w:rFonts w:ascii="Times New Roman" w:hAnsi="Times New Roman" w:eastAsia="宋体" w:cs="Times New Roman"/>
      <w:lang w:val="en-US" w:eastAsia="zh-CN" w:bidi="ar-SA"/>
    </w:rPr>
  </w:style>
  <w:style w:type="paragraph" w:customStyle="1" w:styleId="73">
    <w:name w:val="Table Paragraph"/>
    <w:basedOn w:val="1"/>
    <w:autoRedefine/>
    <w:qFormat/>
    <w:uiPriority w:val="1"/>
    <w:rPr>
      <w:rFonts w:ascii="宋体" w:hAnsi="宋体" w:cs="宋体"/>
      <w:lang w:val="zh-CN" w:bidi="zh-CN"/>
    </w:rPr>
  </w:style>
  <w:style w:type="paragraph" w:customStyle="1" w:styleId="7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5">
    <w:name w:val="_Style 1"/>
    <w:basedOn w:val="1"/>
    <w:autoRedefine/>
    <w:qFormat/>
    <w:uiPriority w:val="0"/>
    <w:pPr>
      <w:ind w:firstLine="420" w:firstLineChars="200"/>
    </w:pPr>
    <w:rPr>
      <w:rFonts w:ascii="Calibri" w:hAnsi="Calibri"/>
      <w:szCs w:val="22"/>
    </w:rPr>
  </w:style>
  <w:style w:type="paragraph" w:customStyle="1" w:styleId="76">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77">
    <w:name w:val="样式 标题 3 + (中文) 黑体 小四 非加粗 段前: 7.8 磅 段后: 0 磅 行距: 固定值 20 磅"/>
    <w:basedOn w:val="4"/>
    <w:autoRedefine/>
    <w:qFormat/>
    <w:uiPriority w:val="0"/>
    <w:pPr>
      <w:numPr>
        <w:ilvl w:val="0"/>
        <w:numId w:val="0"/>
      </w:numPr>
      <w:spacing w:before="0" w:after="0" w:line="400" w:lineRule="exact"/>
    </w:pPr>
    <w:rPr>
      <w:rFonts w:eastAsia="黑体" w:cs="宋体"/>
      <w:b w:val="0"/>
      <w:bCs w:val="0"/>
      <w:sz w:val="24"/>
      <w:szCs w:val="20"/>
    </w:rPr>
  </w:style>
  <w:style w:type="table" w:customStyle="1" w:styleId="7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C57DA-8F3C-43D8-B250-6E71BF5A7BB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80</Pages>
  <Words>36994</Words>
  <Characters>42892</Characters>
  <Lines>270</Lines>
  <Paragraphs>76</Paragraphs>
  <TotalTime>1</TotalTime>
  <ScaleCrop>false</ScaleCrop>
  <LinksUpToDate>false</LinksUpToDate>
  <CharactersWithSpaces>44996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2020-06-05T10:04:00Z</dcterms:created>
  <dc:creator>S-mile</dc:creator>
  <cp:lastModifiedBy>qx</cp:lastModifiedBy>
  <cp:lastPrinted>2023-03-15T04:39:00Z</cp:lastPrinted>
  <dcterms:modified xsi:type="dcterms:W3CDTF">2024-05-11T08:02:33Z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D73FA7330F9F453C9DE78F852674D0F0</vt:lpwstr>
  </property>
</Properties>
</file>