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cs="宋体"/>
          <w:b/>
          <w:bCs/>
          <w:kern w:val="0"/>
          <w:sz w:val="48"/>
          <w:szCs w:val="48"/>
          <w:lang w:eastAsia="zh-CN"/>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rightChars="0"/>
        <w:jc w:val="center"/>
        <w:rPr>
          <w:rFonts w:hint="eastAsia" w:ascii="微软雅黑" w:hAnsi="微软雅黑" w:eastAsia="微软雅黑" w:cs="微软雅黑"/>
          <w:b/>
          <w:bCs/>
          <w:kern w:val="0"/>
          <w:sz w:val="48"/>
          <w:szCs w:val="48"/>
          <w:lang w:eastAsia="zh-CN"/>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rightChars="0"/>
        <w:jc w:val="center"/>
        <w:rPr>
          <w:rFonts w:hint="eastAsia" w:ascii="微软雅黑" w:hAnsi="微软雅黑" w:eastAsia="微软雅黑" w:cs="微软雅黑"/>
          <w:b/>
          <w:bCs/>
          <w:kern w:val="0"/>
          <w:sz w:val="48"/>
          <w:szCs w:val="48"/>
          <w:lang w:eastAsia="zh-CN"/>
        </w:rPr>
      </w:pPr>
      <w:r>
        <w:rPr>
          <w:rFonts w:hint="eastAsia" w:ascii="微软雅黑" w:hAnsi="微软雅黑" w:eastAsia="微软雅黑" w:cs="微软雅黑"/>
          <w:b/>
          <w:bCs/>
          <w:kern w:val="0"/>
          <w:sz w:val="48"/>
          <w:szCs w:val="48"/>
          <w:lang w:val="en-US" w:eastAsia="zh-CN"/>
        </w:rPr>
        <w:t>温岭市住房和城乡建设局2022年-2025年绿化及道路养护采购（重新发布）</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cs="宋体"/>
          <w:b/>
          <w:bCs/>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cs="宋体"/>
          <w:b/>
          <w:bCs/>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bCs/>
          <w:kern w:val="0"/>
          <w:sz w:val="96"/>
          <w:szCs w:val="96"/>
        </w:rPr>
      </w:pPr>
      <w:r>
        <w:rPr>
          <w:rFonts w:hint="eastAsia" w:ascii="宋体" w:cs="宋体"/>
          <w:b/>
          <w:bCs/>
          <w:kern w:val="0"/>
          <w:sz w:val="72"/>
          <w:szCs w:val="72"/>
        </w:rPr>
        <w:t>招</w:t>
      </w:r>
      <w:r>
        <w:rPr>
          <w:rFonts w:hint="eastAsia" w:ascii="宋体" w:cs="宋体"/>
          <w:b/>
          <w:bCs/>
          <w:kern w:val="0"/>
          <w:sz w:val="72"/>
          <w:szCs w:val="72"/>
          <w:lang w:val="en-US" w:eastAsia="zh-CN"/>
        </w:rPr>
        <w:t xml:space="preserve"> </w:t>
      </w:r>
      <w:r>
        <w:rPr>
          <w:rFonts w:hint="eastAsia" w:ascii="宋体" w:cs="宋体"/>
          <w:b/>
          <w:bCs/>
          <w:kern w:val="0"/>
          <w:sz w:val="72"/>
          <w:szCs w:val="72"/>
        </w:rPr>
        <w:t>标</w:t>
      </w:r>
      <w:r>
        <w:rPr>
          <w:rFonts w:hint="eastAsia" w:ascii="宋体" w:cs="宋体"/>
          <w:b/>
          <w:bCs/>
          <w:kern w:val="0"/>
          <w:sz w:val="72"/>
          <w:szCs w:val="72"/>
          <w:lang w:val="en-US" w:eastAsia="zh-CN"/>
        </w:rPr>
        <w:t xml:space="preserve"> </w:t>
      </w:r>
      <w:r>
        <w:rPr>
          <w:rFonts w:hint="eastAsia" w:ascii="宋体" w:cs="宋体"/>
          <w:b/>
          <w:bCs/>
          <w:kern w:val="0"/>
          <w:sz w:val="72"/>
          <w:szCs w:val="72"/>
        </w:rPr>
        <w:t>文</w:t>
      </w:r>
      <w:r>
        <w:rPr>
          <w:rFonts w:hint="eastAsia" w:ascii="宋体" w:cs="宋体"/>
          <w:b/>
          <w:bCs/>
          <w:kern w:val="0"/>
          <w:sz w:val="72"/>
          <w:szCs w:val="72"/>
          <w:lang w:val="en-US" w:eastAsia="zh-CN"/>
        </w:rPr>
        <w:t xml:space="preserve"> </w:t>
      </w:r>
      <w:r>
        <w:rPr>
          <w:rFonts w:hint="eastAsia" w:ascii="宋体" w:cs="宋体"/>
          <w:b/>
          <w:bCs/>
          <w:kern w:val="0"/>
          <w:sz w:val="72"/>
          <w:szCs w:val="72"/>
        </w:rPr>
        <w:t>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sz w:val="22"/>
          <w:szCs w:val="22"/>
        </w:rPr>
      </w:pPr>
      <w:r>
        <w:rPr>
          <w:rFonts w:hint="eastAsia" w:ascii="宋体" w:hAnsi="宋体"/>
          <w:b/>
          <w:color w:val="auto"/>
          <w:sz w:val="32"/>
          <w:szCs w:val="20"/>
          <w:highlight w:val="none"/>
          <w:lang w:val="en-US" w:eastAsia="zh-CN"/>
        </w:rPr>
        <w:t xml:space="preserve">  </w:t>
      </w:r>
      <w:r>
        <w:rPr>
          <w:rFonts w:hint="eastAsia" w:ascii="宋体" w:hAnsi="宋体"/>
          <w:b/>
          <w:color w:val="auto"/>
          <w:sz w:val="32"/>
          <w:szCs w:val="20"/>
          <w:highlight w:val="none"/>
        </w:rPr>
        <w:t>（线上电子招投标）</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cs="宋体"/>
          <w:kern w:val="0"/>
          <w:sz w:val="32"/>
          <w:szCs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560" w:firstLineChars="800"/>
        <w:jc w:val="left"/>
        <w:rPr>
          <w:rFonts w:ascii="宋体"/>
          <w:kern w:val="0"/>
          <w:sz w:val="32"/>
          <w:szCs w:val="32"/>
          <w:highlight w:val="yellow"/>
        </w:rPr>
      </w:pPr>
      <w:r>
        <w:rPr>
          <w:rFonts w:hint="eastAsia" w:ascii="宋体" w:cs="宋体"/>
          <w:kern w:val="0"/>
          <w:sz w:val="32"/>
          <w:szCs w:val="32"/>
        </w:rPr>
        <w:t>项目编号：</w:t>
      </w:r>
      <w:r>
        <w:rPr>
          <w:rFonts w:hint="eastAsia" w:ascii="宋体" w:hAnsi="宋体" w:cs="宋体"/>
          <w:color w:val="auto"/>
          <w:kern w:val="0"/>
          <w:sz w:val="32"/>
          <w:szCs w:val="32"/>
          <w:highlight w:val="none"/>
          <w:lang w:eastAsia="zh-CN" w:bidi="ar"/>
        </w:rPr>
        <w:t>JJWL220509129-1</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szCs w:val="24"/>
        </w:rPr>
      </w:pPr>
    </w:p>
    <w:p>
      <w:pPr>
        <w:autoSpaceDE w:val="0"/>
        <w:autoSpaceDN w:val="0"/>
        <w:adjustRightInd w:val="0"/>
        <w:spacing w:line="360" w:lineRule="auto"/>
        <w:rPr>
          <w:rFonts w:ascii="宋体"/>
          <w:b/>
          <w:bCs/>
          <w:kern w:val="0"/>
          <w:sz w:val="52"/>
          <w:szCs w:val="52"/>
        </w:rPr>
      </w:pPr>
    </w:p>
    <w:p>
      <w:pPr>
        <w:pStyle w:val="34"/>
      </w:pPr>
    </w:p>
    <w:p>
      <w:pPr>
        <w:autoSpaceDE w:val="0"/>
        <w:autoSpaceDN w:val="0"/>
        <w:adjustRightInd w:val="0"/>
        <w:spacing w:line="360" w:lineRule="auto"/>
        <w:jc w:val="left"/>
        <w:rPr>
          <w:rFonts w:ascii="宋体"/>
          <w:kern w:val="0"/>
          <w:sz w:val="32"/>
          <w:szCs w:val="32"/>
        </w:rPr>
      </w:pPr>
    </w:p>
    <w:tbl>
      <w:tblPr>
        <w:tblStyle w:val="28"/>
        <w:tblW w:w="7085" w:type="dxa"/>
        <w:tblInd w:w="1137" w:type="dxa"/>
        <w:tblLayout w:type="fixed"/>
        <w:tblCellMar>
          <w:top w:w="0" w:type="dxa"/>
          <w:left w:w="108" w:type="dxa"/>
          <w:bottom w:w="0" w:type="dxa"/>
          <w:right w:w="108" w:type="dxa"/>
        </w:tblCellMar>
      </w:tblPr>
      <w:tblGrid>
        <w:gridCol w:w="2340"/>
        <w:gridCol w:w="4745"/>
      </w:tblGrid>
      <w:tr>
        <w:tblPrEx>
          <w:tblCellMar>
            <w:top w:w="0" w:type="dxa"/>
            <w:left w:w="108" w:type="dxa"/>
            <w:bottom w:w="0" w:type="dxa"/>
            <w:right w:w="108" w:type="dxa"/>
          </w:tblCellMar>
        </w:tblPrEx>
        <w:tc>
          <w:tcPr>
            <w:tcW w:w="2340" w:type="dxa"/>
          </w:tcPr>
          <w:p>
            <w:pPr>
              <w:widowControl/>
              <w:snapToGrid w:val="0"/>
              <w:spacing w:line="500" w:lineRule="exact"/>
              <w:jc w:val="distribute"/>
              <w:rPr>
                <w:rFonts w:ascii="宋体" w:hAnsi="宋体" w:cs="宋体"/>
                <w:sz w:val="32"/>
                <w:szCs w:val="32"/>
              </w:rPr>
            </w:pPr>
            <w:r>
              <w:rPr>
                <w:rFonts w:hint="eastAsia" w:ascii="宋体" w:hAnsi="宋体" w:cs="宋体"/>
                <w:kern w:val="0"/>
                <w:sz w:val="32"/>
                <w:szCs w:val="32"/>
                <w:lang w:bidi="ar"/>
              </w:rPr>
              <w:t>采购人：</w:t>
            </w:r>
          </w:p>
        </w:tc>
        <w:tc>
          <w:tcPr>
            <w:tcW w:w="4745" w:type="dxa"/>
          </w:tcPr>
          <w:p>
            <w:pPr>
              <w:widowControl/>
              <w:snapToGrid w:val="0"/>
              <w:spacing w:line="500" w:lineRule="exact"/>
              <w:rPr>
                <w:rFonts w:ascii="宋体" w:hAnsi="宋体" w:cs="宋体"/>
                <w:sz w:val="32"/>
                <w:szCs w:val="32"/>
              </w:rPr>
            </w:pPr>
            <w:r>
              <w:rPr>
                <w:rFonts w:hint="eastAsia" w:ascii="宋体" w:hAnsi="宋体" w:cs="宋体"/>
                <w:kern w:val="0"/>
                <w:sz w:val="32"/>
                <w:szCs w:val="32"/>
                <w:lang w:eastAsia="zh-CN" w:bidi="ar"/>
              </w:rPr>
              <w:t>温岭市住房和城乡建设局</w:t>
            </w:r>
            <w:r>
              <w:rPr>
                <w:rFonts w:hint="eastAsia" w:ascii="宋体" w:hAnsi="宋体" w:cs="宋体"/>
                <w:kern w:val="0"/>
                <w:sz w:val="32"/>
                <w:szCs w:val="32"/>
                <w:lang w:bidi="ar"/>
              </w:rPr>
              <w:t xml:space="preserve">         </w:t>
            </w:r>
          </w:p>
        </w:tc>
      </w:tr>
      <w:tr>
        <w:tblPrEx>
          <w:tblCellMar>
            <w:top w:w="0" w:type="dxa"/>
            <w:left w:w="108" w:type="dxa"/>
            <w:bottom w:w="0" w:type="dxa"/>
            <w:right w:w="108" w:type="dxa"/>
          </w:tblCellMar>
        </w:tblPrEx>
        <w:trPr>
          <w:trHeight w:val="516" w:hRule="atLeast"/>
        </w:trPr>
        <w:tc>
          <w:tcPr>
            <w:tcW w:w="2340" w:type="dxa"/>
          </w:tcPr>
          <w:p>
            <w:pPr>
              <w:widowControl/>
              <w:snapToGrid w:val="0"/>
              <w:spacing w:line="500" w:lineRule="exact"/>
              <w:jc w:val="distribute"/>
              <w:rPr>
                <w:rFonts w:ascii="宋体" w:hAnsi="宋体" w:cs="宋体"/>
                <w:sz w:val="32"/>
                <w:szCs w:val="32"/>
              </w:rPr>
            </w:pPr>
            <w:r>
              <w:rPr>
                <w:rFonts w:hint="eastAsia" w:ascii="宋体" w:hAnsi="宋体" w:cs="宋体"/>
                <w:kern w:val="0"/>
                <w:sz w:val="32"/>
                <w:szCs w:val="32"/>
                <w:lang w:bidi="ar"/>
              </w:rPr>
              <w:t>采购代理机构：</w:t>
            </w:r>
          </w:p>
        </w:tc>
        <w:tc>
          <w:tcPr>
            <w:tcW w:w="4745" w:type="dxa"/>
          </w:tcPr>
          <w:p>
            <w:pPr>
              <w:widowControl/>
              <w:snapToGrid w:val="0"/>
              <w:spacing w:line="500" w:lineRule="exact"/>
              <w:rPr>
                <w:rFonts w:ascii="宋体" w:hAnsi="宋体" w:cs="宋体"/>
                <w:b/>
                <w:sz w:val="32"/>
                <w:szCs w:val="32"/>
              </w:rPr>
            </w:pPr>
            <w:r>
              <w:rPr>
                <w:rFonts w:hint="eastAsia" w:ascii="宋体" w:hAnsi="宋体" w:cs="宋体"/>
                <w:kern w:val="0"/>
                <w:sz w:val="32"/>
                <w:szCs w:val="32"/>
                <w:lang w:bidi="ar"/>
              </w:rPr>
              <w:t>建经投资咨询有限公司</w:t>
            </w:r>
          </w:p>
        </w:tc>
      </w:tr>
      <w:tr>
        <w:tblPrEx>
          <w:tblCellMar>
            <w:top w:w="0" w:type="dxa"/>
            <w:left w:w="108" w:type="dxa"/>
            <w:bottom w:w="0" w:type="dxa"/>
            <w:right w:w="108" w:type="dxa"/>
          </w:tblCellMar>
        </w:tblPrEx>
        <w:tc>
          <w:tcPr>
            <w:tcW w:w="2340" w:type="dxa"/>
          </w:tcPr>
          <w:p>
            <w:pPr>
              <w:widowControl/>
              <w:snapToGrid w:val="0"/>
              <w:spacing w:line="500" w:lineRule="exact"/>
              <w:jc w:val="distribute"/>
              <w:rPr>
                <w:rFonts w:ascii="宋体" w:hAnsi="宋体" w:cs="宋体"/>
                <w:sz w:val="32"/>
                <w:szCs w:val="32"/>
              </w:rPr>
            </w:pPr>
            <w:r>
              <w:rPr>
                <w:rFonts w:hint="eastAsia" w:ascii="宋体" w:hAnsi="宋体" w:cs="宋体"/>
                <w:kern w:val="0"/>
                <w:sz w:val="32"/>
                <w:szCs w:val="32"/>
                <w:lang w:bidi="ar"/>
              </w:rPr>
              <w:t>备案单位：</w:t>
            </w:r>
          </w:p>
        </w:tc>
        <w:tc>
          <w:tcPr>
            <w:tcW w:w="4745" w:type="dxa"/>
          </w:tcPr>
          <w:p>
            <w:pPr>
              <w:widowControl/>
              <w:snapToGrid w:val="0"/>
              <w:spacing w:line="500" w:lineRule="exact"/>
              <w:rPr>
                <w:rFonts w:ascii="宋体" w:hAnsi="宋体" w:cs="宋体"/>
                <w:sz w:val="32"/>
                <w:szCs w:val="32"/>
              </w:rPr>
            </w:pPr>
            <w:r>
              <w:rPr>
                <w:rFonts w:hint="eastAsia" w:ascii="宋体" w:hAnsi="宋体" w:cs="宋体"/>
                <w:kern w:val="0"/>
                <w:sz w:val="32"/>
                <w:szCs w:val="32"/>
                <w:lang w:bidi="ar"/>
              </w:rPr>
              <w:t>温岭市财政局政府采购监管科</w:t>
            </w:r>
          </w:p>
        </w:tc>
      </w:tr>
      <w:tr>
        <w:tblPrEx>
          <w:tblCellMar>
            <w:top w:w="0" w:type="dxa"/>
            <w:left w:w="108" w:type="dxa"/>
            <w:bottom w:w="0" w:type="dxa"/>
            <w:right w:w="108" w:type="dxa"/>
          </w:tblCellMar>
        </w:tblPrEx>
        <w:trPr>
          <w:trHeight w:val="716" w:hRule="atLeast"/>
        </w:trPr>
        <w:tc>
          <w:tcPr>
            <w:tcW w:w="7085" w:type="dxa"/>
            <w:gridSpan w:val="2"/>
          </w:tcPr>
          <w:p>
            <w:pPr>
              <w:widowControl/>
              <w:snapToGrid w:val="0"/>
              <w:spacing w:before="156" w:beforeLines="50" w:line="500" w:lineRule="exact"/>
              <w:jc w:val="center"/>
              <w:rPr>
                <w:rFonts w:ascii="宋体" w:hAnsi="宋体" w:cs="宋体"/>
                <w:spacing w:val="24"/>
                <w:sz w:val="32"/>
                <w:szCs w:val="32"/>
              </w:rPr>
            </w:pPr>
            <w:r>
              <w:rPr>
                <w:rFonts w:hint="eastAsia" w:ascii="宋体" w:hAnsi="宋体" w:cs="宋体"/>
                <w:spacing w:val="24"/>
                <w:kern w:val="0"/>
                <w:sz w:val="32"/>
                <w:szCs w:val="32"/>
                <w:lang w:bidi="ar"/>
              </w:rPr>
              <w:t>二○二</w:t>
            </w:r>
            <w:r>
              <w:rPr>
                <w:rFonts w:hint="eastAsia" w:ascii="宋体" w:hAnsi="宋体" w:cs="宋体"/>
                <w:spacing w:val="24"/>
                <w:kern w:val="0"/>
                <w:sz w:val="32"/>
                <w:szCs w:val="32"/>
                <w:lang w:val="en-US" w:eastAsia="zh-CN" w:bidi="ar"/>
              </w:rPr>
              <w:t>二</w:t>
            </w:r>
            <w:r>
              <w:rPr>
                <w:rFonts w:hint="eastAsia" w:ascii="宋体" w:hAnsi="宋体" w:cs="宋体"/>
                <w:spacing w:val="24"/>
                <w:kern w:val="0"/>
                <w:sz w:val="32"/>
                <w:szCs w:val="32"/>
                <w:lang w:bidi="ar"/>
              </w:rPr>
              <w:t>年</w:t>
            </w:r>
            <w:r>
              <w:rPr>
                <w:rFonts w:hint="eastAsia" w:ascii="宋体" w:hAnsi="宋体" w:cs="宋体"/>
                <w:spacing w:val="24"/>
                <w:kern w:val="0"/>
                <w:sz w:val="32"/>
                <w:szCs w:val="32"/>
                <w:lang w:val="en-US" w:eastAsia="zh-CN" w:bidi="ar"/>
              </w:rPr>
              <w:t>七</w:t>
            </w:r>
            <w:bookmarkStart w:id="50" w:name="_GoBack"/>
            <w:bookmarkEnd w:id="50"/>
            <w:r>
              <w:rPr>
                <w:rFonts w:hint="eastAsia" w:ascii="宋体" w:hAnsi="宋体" w:cs="宋体"/>
                <w:spacing w:val="24"/>
                <w:kern w:val="0"/>
                <w:sz w:val="32"/>
                <w:szCs w:val="32"/>
                <w:lang w:bidi="ar"/>
              </w:rPr>
              <w:t>月</w:t>
            </w:r>
          </w:p>
        </w:tc>
      </w:tr>
    </w:tbl>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kern w:val="0"/>
          <w:sz w:val="32"/>
          <w:szCs w:val="32"/>
        </w:rPr>
      </w:pPr>
    </w:p>
    <w:p>
      <w:pPr>
        <w:jc w:val="center"/>
        <w:rPr>
          <w:rFonts w:hint="eastAsia" w:ascii="宋体" w:hAnsi="宋体" w:cs="宋体"/>
          <w:b/>
          <w:bCs/>
          <w:sz w:val="48"/>
          <w:szCs w:val="48"/>
        </w:rPr>
        <w:sectPr>
          <w:headerReference r:id="rId3" w:type="default"/>
          <w:pgSz w:w="11906" w:h="16838"/>
          <w:pgMar w:top="1588" w:right="1797" w:bottom="1304" w:left="1797" w:header="1304" w:footer="1077" w:gutter="0"/>
          <w:pgBorders>
            <w:top w:val="none" w:sz="0" w:space="0"/>
            <w:left w:val="none" w:sz="0" w:space="0"/>
            <w:bottom w:val="none" w:sz="0" w:space="0"/>
            <w:right w:val="none" w:sz="0" w:space="0"/>
          </w:pgBorders>
          <w:pgNumType w:fmt="decimal" w:start="1"/>
          <w:cols w:space="720" w:num="1"/>
          <w:docGrid w:type="lines" w:linePitch="312" w:charSpace="0"/>
        </w:sectPr>
      </w:pPr>
    </w:p>
    <w:sdt>
      <w:sdtPr>
        <w:rPr>
          <w:rFonts w:hint="eastAsia" w:ascii="宋体" w:hAnsi="宋体" w:cs="宋体"/>
          <w:b/>
          <w:bCs/>
          <w:sz w:val="48"/>
          <w:szCs w:val="48"/>
          <w:lang w:val="en-US" w:eastAsia="zh-CN"/>
        </w:rPr>
        <w:id w:val="147481734"/>
        <w15:color w:val="DBDBDB"/>
      </w:sdtPr>
      <w:sdtEndPr>
        <w:rPr>
          <w:rFonts w:hint="eastAsia" w:ascii="Times New Roman" w:hAnsi="Times New Roman" w:eastAsia="宋体" w:cs="Times New Roman"/>
          <w:b/>
          <w:bCs/>
          <w:kern w:val="2"/>
          <w:sz w:val="21"/>
          <w:szCs w:val="21"/>
          <w:lang w:val="en-US" w:eastAsia="zh-CN" w:bidi="ar-SA"/>
        </w:rPr>
      </w:sdtEndPr>
      <w:sdtContent>
        <w:p>
          <w:pPr>
            <w:jc w:val="center"/>
            <w:rPr>
              <w:rFonts w:hint="eastAsia" w:ascii="宋体" w:hAnsi="宋体" w:cs="宋体"/>
              <w:b/>
              <w:bCs/>
              <w:sz w:val="48"/>
              <w:szCs w:val="48"/>
              <w:lang w:val="en-US" w:eastAsia="zh-CN"/>
            </w:rPr>
          </w:pPr>
        </w:p>
        <w:p>
          <w:pPr>
            <w:jc w:val="center"/>
            <w:rPr>
              <w:rFonts w:hint="eastAsia" w:ascii="宋体" w:hAnsi="宋体" w:cs="宋体"/>
              <w:b/>
              <w:bCs/>
              <w:sz w:val="40"/>
              <w:szCs w:val="40"/>
            </w:rPr>
          </w:pPr>
          <w:r>
            <w:rPr>
              <w:rFonts w:hint="eastAsia" w:ascii="宋体" w:hAnsi="宋体" w:cs="宋体"/>
              <w:b/>
              <w:bCs/>
              <w:sz w:val="40"/>
              <w:szCs w:val="40"/>
            </w:rPr>
            <w:t>目</w:t>
          </w:r>
          <w:r>
            <w:rPr>
              <w:rFonts w:hint="eastAsia" w:ascii="宋体" w:hAnsi="宋体" w:cs="宋体"/>
              <w:b/>
              <w:bCs/>
              <w:sz w:val="40"/>
              <w:szCs w:val="40"/>
              <w:lang w:val="en-US" w:eastAsia="zh-CN"/>
            </w:rPr>
            <w:t xml:space="preserve">  </w:t>
          </w:r>
          <w:r>
            <w:rPr>
              <w:rFonts w:hint="eastAsia" w:ascii="宋体" w:hAnsi="宋体" w:cs="宋体"/>
              <w:b/>
              <w:bCs/>
              <w:sz w:val="40"/>
              <w:szCs w:val="40"/>
            </w:rPr>
            <w:t>录</w:t>
          </w:r>
        </w:p>
        <w:p>
          <w:pPr>
            <w:pStyle w:val="67"/>
            <w:tabs>
              <w:tab w:val="right" w:leader="dot" w:pos="8448"/>
            </w:tabs>
            <w:spacing w:line="480" w:lineRule="auto"/>
          </w:pPr>
        </w:p>
        <w:p>
          <w:pPr>
            <w:pStyle w:val="67"/>
            <w:tabs>
              <w:tab w:val="right" w:leader="dot" w:pos="8448"/>
            </w:tabs>
            <w:spacing w:line="480" w:lineRule="auto"/>
            <w:rPr>
              <w:sz w:val="28"/>
              <w:szCs w:val="28"/>
            </w:rPr>
          </w:pPr>
          <w:r>
            <w:fldChar w:fldCharType="begin"/>
          </w:r>
          <w:r>
            <w:instrText xml:space="preserve">TOC \o "1-1" \h \u </w:instrText>
          </w:r>
          <w:r>
            <w:fldChar w:fldCharType="separate"/>
          </w:r>
          <w:r>
            <w:rPr>
              <w:sz w:val="28"/>
              <w:szCs w:val="28"/>
            </w:rPr>
            <w:fldChar w:fldCharType="begin"/>
          </w:r>
          <w:r>
            <w:rPr>
              <w:sz w:val="28"/>
              <w:szCs w:val="28"/>
            </w:rPr>
            <w:instrText xml:space="preserve"> HYPERLINK \l _Toc30135 </w:instrText>
          </w:r>
          <w:r>
            <w:rPr>
              <w:sz w:val="28"/>
              <w:szCs w:val="28"/>
            </w:rPr>
            <w:fldChar w:fldCharType="separate"/>
          </w:r>
          <w:r>
            <w:rPr>
              <w:rFonts w:hint="eastAsia" w:ascii="宋体" w:hAnsi="宋体" w:cs="宋体"/>
              <w:bCs/>
              <w:kern w:val="0"/>
              <w:sz w:val="28"/>
              <w:szCs w:val="52"/>
            </w:rPr>
            <w:t>第一章</w:t>
          </w:r>
          <w:r>
            <w:rPr>
              <w:rFonts w:ascii="宋体" w:hAnsi="宋体" w:cs="宋体"/>
              <w:bCs/>
              <w:kern w:val="0"/>
              <w:sz w:val="28"/>
              <w:szCs w:val="52"/>
            </w:rPr>
            <w:t xml:space="preserve"> </w:t>
          </w:r>
          <w:r>
            <w:rPr>
              <w:rFonts w:hint="eastAsia" w:ascii="宋体" w:hAnsi="宋体" w:cs="宋体"/>
              <w:bCs/>
              <w:sz w:val="28"/>
              <w:szCs w:val="52"/>
            </w:rPr>
            <w:t>招标公告</w:t>
          </w:r>
          <w:r>
            <w:rPr>
              <w:sz w:val="28"/>
              <w:szCs w:val="28"/>
            </w:rPr>
            <w:tab/>
          </w:r>
          <w:r>
            <w:rPr>
              <w:rFonts w:hint="eastAsia"/>
              <w:sz w:val="28"/>
              <w:szCs w:val="28"/>
              <w:lang w:val="en-US" w:eastAsia="zh-CN"/>
            </w:rPr>
            <w:t>2</w:t>
          </w:r>
          <w:r>
            <w:rPr>
              <w:sz w:val="28"/>
              <w:szCs w:val="28"/>
            </w:rPr>
            <w:fldChar w:fldCharType="end"/>
          </w:r>
        </w:p>
        <w:p>
          <w:pPr>
            <w:pStyle w:val="67"/>
            <w:tabs>
              <w:tab w:val="right" w:leader="dot" w:pos="8448"/>
            </w:tabs>
            <w:spacing w:line="480" w:lineRule="auto"/>
            <w:rPr>
              <w:sz w:val="28"/>
              <w:szCs w:val="28"/>
            </w:rPr>
          </w:pPr>
          <w:r>
            <w:rPr>
              <w:sz w:val="28"/>
              <w:szCs w:val="28"/>
            </w:rPr>
            <w:fldChar w:fldCharType="begin"/>
          </w:r>
          <w:r>
            <w:rPr>
              <w:sz w:val="28"/>
              <w:szCs w:val="28"/>
            </w:rPr>
            <w:instrText xml:space="preserve"> HYPERLINK \l _Toc32386 </w:instrText>
          </w:r>
          <w:r>
            <w:rPr>
              <w:sz w:val="28"/>
              <w:szCs w:val="28"/>
            </w:rPr>
            <w:fldChar w:fldCharType="separate"/>
          </w:r>
          <w:r>
            <w:rPr>
              <w:rFonts w:hint="eastAsia" w:ascii="宋体" w:hAnsi="宋体" w:cs="宋体"/>
              <w:bCs/>
              <w:kern w:val="0"/>
              <w:sz w:val="28"/>
              <w:szCs w:val="52"/>
            </w:rPr>
            <w:t>第二章 投标人须知</w:t>
          </w:r>
          <w:r>
            <w:rPr>
              <w:sz w:val="28"/>
              <w:szCs w:val="28"/>
            </w:rPr>
            <w:tab/>
          </w:r>
          <w:r>
            <w:rPr>
              <w:rFonts w:hint="eastAsia"/>
              <w:sz w:val="28"/>
              <w:szCs w:val="28"/>
              <w:lang w:val="en-US" w:eastAsia="zh-CN"/>
            </w:rPr>
            <w:t>7</w:t>
          </w:r>
          <w:r>
            <w:rPr>
              <w:sz w:val="28"/>
              <w:szCs w:val="28"/>
            </w:rPr>
            <w:fldChar w:fldCharType="end"/>
          </w:r>
        </w:p>
        <w:p>
          <w:pPr>
            <w:pStyle w:val="67"/>
            <w:tabs>
              <w:tab w:val="right" w:leader="dot" w:pos="8448"/>
            </w:tabs>
            <w:spacing w:line="480" w:lineRule="auto"/>
            <w:rPr>
              <w:rFonts w:hint="eastAsia" w:eastAsia="宋体"/>
              <w:sz w:val="28"/>
              <w:szCs w:val="28"/>
              <w:lang w:val="en-US" w:eastAsia="zh-CN"/>
            </w:rPr>
          </w:pPr>
          <w:r>
            <w:rPr>
              <w:sz w:val="28"/>
              <w:szCs w:val="28"/>
            </w:rPr>
            <w:fldChar w:fldCharType="begin"/>
          </w:r>
          <w:r>
            <w:rPr>
              <w:sz w:val="28"/>
              <w:szCs w:val="28"/>
            </w:rPr>
            <w:instrText xml:space="preserve"> HYPERLINK \l _Toc11236 </w:instrText>
          </w:r>
          <w:r>
            <w:rPr>
              <w:sz w:val="28"/>
              <w:szCs w:val="28"/>
            </w:rPr>
            <w:fldChar w:fldCharType="separate"/>
          </w:r>
          <w:r>
            <w:rPr>
              <w:rFonts w:hint="eastAsia" w:ascii="宋体" w:hAnsi="宋体" w:cs="宋体"/>
              <w:bCs/>
              <w:sz w:val="28"/>
              <w:szCs w:val="52"/>
            </w:rPr>
            <w:t>第三章</w:t>
          </w:r>
          <w:r>
            <w:rPr>
              <w:rFonts w:ascii="宋体" w:hAnsi="宋体" w:cs="宋体"/>
              <w:bCs/>
              <w:sz w:val="28"/>
              <w:szCs w:val="52"/>
            </w:rPr>
            <w:t xml:space="preserve"> </w:t>
          </w:r>
          <w:r>
            <w:rPr>
              <w:rFonts w:hint="eastAsia" w:ascii="宋体" w:hAnsi="宋体" w:cs="宋体"/>
              <w:bCs/>
              <w:sz w:val="28"/>
              <w:szCs w:val="52"/>
            </w:rPr>
            <w:t>评标办法及评分标准</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1</w:t>
          </w:r>
        </w:p>
        <w:p>
          <w:pPr>
            <w:pStyle w:val="67"/>
            <w:tabs>
              <w:tab w:val="right" w:leader="dot" w:pos="8448"/>
            </w:tabs>
            <w:spacing w:line="480" w:lineRule="auto"/>
            <w:rPr>
              <w:rFonts w:hint="eastAsia" w:eastAsia="宋体"/>
              <w:sz w:val="28"/>
              <w:szCs w:val="28"/>
              <w:lang w:val="en-US" w:eastAsia="zh-CN"/>
            </w:rPr>
          </w:pPr>
          <w:r>
            <w:rPr>
              <w:sz w:val="28"/>
              <w:szCs w:val="28"/>
            </w:rPr>
            <w:fldChar w:fldCharType="begin"/>
          </w:r>
          <w:r>
            <w:rPr>
              <w:sz w:val="28"/>
              <w:szCs w:val="28"/>
            </w:rPr>
            <w:instrText xml:space="preserve"> HYPERLINK \l _Toc24146 </w:instrText>
          </w:r>
          <w:r>
            <w:rPr>
              <w:sz w:val="28"/>
              <w:szCs w:val="28"/>
            </w:rPr>
            <w:fldChar w:fldCharType="separate"/>
          </w:r>
          <w:r>
            <w:rPr>
              <w:rFonts w:hint="eastAsia" w:ascii="宋体" w:hAnsi="宋体" w:cs="宋体"/>
              <w:bCs/>
              <w:sz w:val="28"/>
              <w:szCs w:val="52"/>
            </w:rPr>
            <w:t>第四章</w:t>
          </w:r>
          <w:r>
            <w:rPr>
              <w:rFonts w:ascii="宋体" w:hAnsi="宋体" w:cs="宋体"/>
              <w:bCs/>
              <w:sz w:val="28"/>
              <w:szCs w:val="52"/>
            </w:rPr>
            <w:t xml:space="preserve"> </w:t>
          </w:r>
          <w:r>
            <w:rPr>
              <w:rFonts w:hint="eastAsia" w:ascii="宋体" w:hAnsi="宋体" w:cs="宋体"/>
              <w:bCs/>
              <w:sz w:val="28"/>
              <w:szCs w:val="52"/>
              <w:lang w:eastAsia="zh-CN"/>
            </w:rPr>
            <w:t>采购需求</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5</w:t>
          </w:r>
        </w:p>
        <w:p>
          <w:pPr>
            <w:pStyle w:val="67"/>
            <w:tabs>
              <w:tab w:val="right" w:leader="dot" w:pos="8448"/>
            </w:tabs>
            <w:spacing w:line="480" w:lineRule="auto"/>
            <w:rPr>
              <w:rFonts w:hint="eastAsia" w:eastAsia="宋体"/>
              <w:sz w:val="28"/>
              <w:szCs w:val="28"/>
              <w:lang w:val="en-US" w:eastAsia="zh-CN"/>
            </w:rPr>
          </w:pPr>
          <w:r>
            <w:rPr>
              <w:sz w:val="28"/>
              <w:szCs w:val="28"/>
            </w:rPr>
            <w:fldChar w:fldCharType="begin"/>
          </w:r>
          <w:r>
            <w:rPr>
              <w:sz w:val="28"/>
              <w:szCs w:val="28"/>
            </w:rPr>
            <w:instrText xml:space="preserve"> HYPERLINK \l _Toc3866 </w:instrText>
          </w:r>
          <w:r>
            <w:rPr>
              <w:sz w:val="28"/>
              <w:szCs w:val="28"/>
            </w:rPr>
            <w:fldChar w:fldCharType="separate"/>
          </w:r>
          <w:r>
            <w:rPr>
              <w:rFonts w:hint="eastAsia" w:ascii="宋体" w:hAnsi="宋体" w:cs="宋体"/>
              <w:bCs/>
              <w:sz w:val="28"/>
              <w:szCs w:val="52"/>
            </w:rPr>
            <w:t>第五章</w:t>
          </w:r>
          <w:r>
            <w:rPr>
              <w:rFonts w:ascii="宋体" w:hAnsi="宋体" w:cs="宋体"/>
              <w:bCs/>
              <w:sz w:val="28"/>
              <w:szCs w:val="52"/>
            </w:rPr>
            <w:t xml:space="preserve"> </w:t>
          </w:r>
          <w:r>
            <w:rPr>
              <w:rFonts w:hint="eastAsia" w:ascii="宋体" w:hAnsi="宋体" w:cs="宋体"/>
              <w:bCs/>
              <w:sz w:val="28"/>
              <w:szCs w:val="52"/>
              <w:lang w:val="en-US" w:eastAsia="zh-CN"/>
            </w:rPr>
            <w:t>合同文本</w:t>
          </w:r>
          <w:r>
            <w:rPr>
              <w:sz w:val="28"/>
              <w:szCs w:val="28"/>
            </w:rPr>
            <w:tab/>
          </w:r>
          <w:r>
            <w:rPr>
              <w:rFonts w:hint="eastAsia"/>
              <w:sz w:val="28"/>
              <w:szCs w:val="28"/>
              <w:lang w:val="en-US" w:eastAsia="zh-CN"/>
            </w:rPr>
            <w:t>3</w:t>
          </w:r>
          <w:r>
            <w:rPr>
              <w:sz w:val="28"/>
              <w:szCs w:val="28"/>
            </w:rPr>
            <w:fldChar w:fldCharType="end"/>
          </w:r>
          <w:r>
            <w:rPr>
              <w:rFonts w:hint="eastAsia"/>
              <w:sz w:val="28"/>
              <w:szCs w:val="28"/>
              <w:lang w:val="en-US" w:eastAsia="zh-CN"/>
            </w:rPr>
            <w:t>0</w:t>
          </w:r>
        </w:p>
        <w:p>
          <w:pPr>
            <w:pStyle w:val="67"/>
            <w:tabs>
              <w:tab w:val="right" w:leader="dot" w:pos="8448"/>
            </w:tabs>
            <w:spacing w:line="480" w:lineRule="auto"/>
            <w:rPr>
              <w:rFonts w:hint="eastAsia" w:eastAsia="宋体"/>
              <w:sz w:val="21"/>
              <w:szCs w:val="21"/>
              <w:lang w:val="en-US" w:eastAsia="zh-CN"/>
            </w:rPr>
          </w:pPr>
          <w:r>
            <w:rPr>
              <w:sz w:val="28"/>
              <w:szCs w:val="28"/>
            </w:rPr>
            <w:fldChar w:fldCharType="begin"/>
          </w:r>
          <w:r>
            <w:rPr>
              <w:sz w:val="28"/>
              <w:szCs w:val="28"/>
            </w:rPr>
            <w:instrText xml:space="preserve"> HYPERLINK \l _Toc19126 </w:instrText>
          </w:r>
          <w:r>
            <w:rPr>
              <w:sz w:val="28"/>
              <w:szCs w:val="28"/>
            </w:rPr>
            <w:fldChar w:fldCharType="separate"/>
          </w:r>
          <w:r>
            <w:rPr>
              <w:rFonts w:hint="eastAsia" w:ascii="宋体" w:hAnsi="宋体" w:cs="宋体"/>
              <w:bCs/>
              <w:sz w:val="28"/>
              <w:szCs w:val="52"/>
            </w:rPr>
            <w:t>第六章</w:t>
          </w:r>
          <w:r>
            <w:rPr>
              <w:rFonts w:ascii="宋体" w:hAnsi="宋体" w:cs="宋体"/>
              <w:bCs/>
              <w:sz w:val="28"/>
              <w:szCs w:val="52"/>
            </w:rPr>
            <w:t xml:space="preserve"> </w:t>
          </w:r>
          <w:r>
            <w:rPr>
              <w:rFonts w:hint="eastAsia" w:ascii="宋体" w:hAnsi="宋体" w:cs="宋体"/>
              <w:bCs/>
              <w:sz w:val="28"/>
              <w:szCs w:val="52"/>
            </w:rPr>
            <w:t>投标文件格式附件</w:t>
          </w:r>
          <w:r>
            <w:rPr>
              <w:sz w:val="28"/>
              <w:szCs w:val="28"/>
            </w:rPr>
            <w:tab/>
          </w:r>
          <w:r>
            <w:rPr>
              <w:rFonts w:hint="eastAsia"/>
              <w:sz w:val="28"/>
              <w:szCs w:val="28"/>
              <w:lang w:val="en-US" w:eastAsia="zh-CN"/>
            </w:rPr>
            <w:t>5</w:t>
          </w:r>
          <w:r>
            <w:rPr>
              <w:sz w:val="28"/>
              <w:szCs w:val="28"/>
            </w:rPr>
            <w:fldChar w:fldCharType="end"/>
          </w:r>
          <w:r>
            <w:rPr>
              <w:rFonts w:hint="eastAsia"/>
              <w:sz w:val="28"/>
              <w:szCs w:val="28"/>
              <w:lang w:val="en-US" w:eastAsia="zh-CN"/>
            </w:rPr>
            <w:t>8</w:t>
          </w:r>
        </w:p>
        <w:p>
          <w:pPr>
            <w:pStyle w:val="67"/>
            <w:tabs>
              <w:tab w:val="right" w:leader="dot" w:pos="8448"/>
            </w:tabs>
          </w:pPr>
        </w:p>
        <w:p>
          <w:pPr>
            <w:spacing w:line="360" w:lineRule="auto"/>
          </w:pPr>
          <w:r>
            <w:fldChar w:fldCharType="end"/>
          </w:r>
        </w:p>
      </w:sdtContent>
    </w:sdt>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widowControl/>
        <w:jc w:val="center"/>
        <w:outlineLvl w:val="0"/>
        <w:rPr>
          <w:rFonts w:ascii="宋体" w:cs="宋体"/>
          <w:b/>
          <w:bCs/>
          <w:kern w:val="0"/>
          <w:sz w:val="32"/>
          <w:szCs w:val="32"/>
        </w:rPr>
      </w:pPr>
      <w:r>
        <w:rPr>
          <w:rFonts w:ascii="宋体" w:cs="宋体"/>
          <w:b/>
          <w:bCs/>
          <w:kern w:val="0"/>
          <w:sz w:val="36"/>
          <w:szCs w:val="36"/>
        </w:rPr>
        <w:br w:type="page"/>
      </w:r>
      <w:bookmarkStart w:id="0" w:name="_Toc30135"/>
      <w:r>
        <w:rPr>
          <w:rFonts w:hint="eastAsia" w:ascii="宋体" w:hAnsi="宋体" w:cs="宋体"/>
          <w:b/>
          <w:bCs/>
          <w:kern w:val="0"/>
          <w:sz w:val="32"/>
          <w:szCs w:val="32"/>
        </w:rPr>
        <w:t>第一章</w:t>
      </w:r>
      <w:r>
        <w:rPr>
          <w:rFonts w:ascii="宋体" w:hAnsi="宋体" w:cs="宋体"/>
          <w:b/>
          <w:bCs/>
          <w:kern w:val="0"/>
          <w:sz w:val="32"/>
          <w:szCs w:val="32"/>
        </w:rPr>
        <w:t xml:space="preserve"> </w:t>
      </w:r>
      <w:r>
        <w:rPr>
          <w:rFonts w:hint="eastAsia" w:ascii="宋体" w:hAnsi="宋体" w:cs="宋体"/>
          <w:b/>
          <w:bCs/>
          <w:sz w:val="32"/>
          <w:szCs w:val="32"/>
        </w:rPr>
        <w:t>招标公告</w:t>
      </w:r>
      <w:bookmarkEnd w:id="0"/>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cs="宋体"/>
          <w:kern w:val="0"/>
          <w:sz w:val="24"/>
          <w:szCs w:val="24"/>
        </w:rPr>
      </w:pPr>
    </w:p>
    <w:tbl>
      <w:tblPr>
        <w:tblStyle w:val="29"/>
        <w:tblpPr w:leftFromText="180" w:rightFromText="180" w:vertAnchor="text" w:horzAnchor="page" w:tblpX="2001" w:tblpY="127"/>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4" w:type="dxa"/>
          </w:tcPr>
          <w:p>
            <w:pPr>
              <w:tabs>
                <w:tab w:val="left" w:pos="180"/>
                <w:tab w:val="left" w:pos="360"/>
                <w:tab w:val="left" w:pos="540"/>
                <w:tab w:val="left" w:pos="8280"/>
              </w:tabs>
              <w:autoSpaceDE w:val="0"/>
              <w:autoSpaceDN w:val="0"/>
              <w:adjustRightInd w:val="0"/>
              <w:snapToGrid w:val="0"/>
              <w:spacing w:line="440" w:lineRule="exact"/>
              <w:jc w:val="left"/>
              <w:rPr>
                <w:rFonts w:ascii="宋体" w:hAnsi="宋体" w:cs="宋体"/>
                <w:kern w:val="0"/>
                <w:sz w:val="24"/>
                <w:szCs w:val="24"/>
              </w:rPr>
            </w:pPr>
            <w:r>
              <w:rPr>
                <w:rFonts w:hint="eastAsia" w:ascii="宋体" w:hAnsi="宋体" w:cs="宋体"/>
                <w:kern w:val="0"/>
                <w:sz w:val="24"/>
                <w:szCs w:val="24"/>
              </w:rPr>
              <w:t>项目概况</w:t>
            </w:r>
          </w:p>
          <w:p>
            <w:pPr>
              <w:pStyle w:val="2"/>
              <w:snapToGrid w:val="0"/>
              <w:ind w:firstLine="480" w:firstLineChars="200"/>
              <w:rPr>
                <w:lang w:val="en-US"/>
              </w:rPr>
            </w:pPr>
            <w:r>
              <w:rPr>
                <w:rFonts w:hint="eastAsia" w:cs="宋体"/>
                <w:szCs w:val="24"/>
                <w:lang w:val="en-US" w:eastAsia="zh-CN"/>
              </w:rPr>
              <w:t>温岭市住房和城乡建设局2022年-2025年绿化及道路养护采购（重新发布）</w:t>
            </w:r>
            <w:r>
              <w:rPr>
                <w:rFonts w:hint="eastAsia" w:cs="宋体"/>
                <w:szCs w:val="24"/>
                <w:lang w:val="en-US"/>
              </w:rPr>
              <w:t>招标项目的潜在投标人应在浙江政府采购网本项目公告附件获取（下载）招标文件，并于</w:t>
            </w:r>
            <w:r>
              <w:rPr>
                <w:rFonts w:hint="eastAsia" w:cs="宋体"/>
                <w:szCs w:val="24"/>
                <w:lang w:val="en-US" w:eastAsia="zh-CN"/>
              </w:rPr>
              <w:t xml:space="preserve">2022年8月11日 09:00:00  </w:t>
            </w:r>
            <w:r>
              <w:rPr>
                <w:rFonts w:hint="eastAsia" w:cs="宋体"/>
                <w:szCs w:val="24"/>
                <w:lang w:val="en-US"/>
              </w:rPr>
              <w:t xml:space="preserve">（北京时间）前递交（上传）投标文件。    </w:t>
            </w:r>
          </w:p>
        </w:tc>
      </w:tr>
    </w:tbl>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b/>
          <w:bCs/>
          <w:kern w:val="0"/>
          <w:sz w:val="24"/>
          <w:szCs w:val="24"/>
        </w:rPr>
      </w:pPr>
      <w:r>
        <w:rPr>
          <w:rFonts w:hint="eastAsia" w:ascii="宋体" w:hAnsi="宋体" w:cs="宋体"/>
          <w:b/>
          <w:bCs/>
          <w:kern w:val="0"/>
          <w:sz w:val="24"/>
          <w:szCs w:val="24"/>
        </w:rPr>
        <w:t xml:space="preserve">一、项目基本情况           </w:t>
      </w:r>
    </w:p>
    <w:p>
      <w:pPr>
        <w:snapToGrid w:val="0"/>
        <w:spacing w:line="440" w:lineRule="exact"/>
        <w:ind w:right="-170" w:rightChars="-81" w:firstLine="480" w:firstLineChars="200"/>
        <w:rPr>
          <w:rFonts w:ascii="宋体" w:hAnsi="宋体" w:cs="宋体"/>
          <w:sz w:val="24"/>
          <w:szCs w:val="24"/>
        </w:rPr>
      </w:pPr>
      <w:r>
        <w:rPr>
          <w:rFonts w:hint="eastAsia" w:ascii="宋体" w:hAnsi="宋体" w:cs="宋体"/>
          <w:sz w:val="24"/>
          <w:szCs w:val="24"/>
        </w:rPr>
        <w:t>项目编号：</w:t>
      </w:r>
      <w:r>
        <w:rPr>
          <w:rFonts w:hint="eastAsia" w:ascii="宋体" w:hAnsi="宋体" w:cs="宋体"/>
          <w:sz w:val="24"/>
          <w:szCs w:val="24"/>
          <w:lang w:eastAsia="zh-CN"/>
        </w:rPr>
        <w:t>JJWL220509129-1</w:t>
      </w:r>
      <w:r>
        <w:rPr>
          <w:rFonts w:hint="eastAsia" w:ascii="宋体" w:hAnsi="宋体" w:cs="宋体"/>
          <w:sz w:val="24"/>
          <w:szCs w:val="24"/>
        </w:rPr>
        <w:t> </w:t>
      </w:r>
    </w:p>
    <w:p>
      <w:pPr>
        <w:snapToGrid w:val="0"/>
        <w:spacing w:line="440" w:lineRule="exact"/>
        <w:ind w:right="-170" w:rightChars="-81" w:firstLine="480" w:firstLineChars="200"/>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温岭市住房和城乡建设局2022年-2025年绿化及道路养护采购（重新发布）</w:t>
      </w:r>
    </w:p>
    <w:p>
      <w:pPr>
        <w:snapToGrid w:val="0"/>
        <w:spacing w:line="440" w:lineRule="exact"/>
        <w:ind w:right="-170" w:rightChars="-81" w:firstLine="480" w:firstLineChars="200"/>
        <w:rPr>
          <w:rFonts w:ascii="宋体" w:hAnsi="宋体" w:cs="宋体"/>
          <w:sz w:val="24"/>
          <w:szCs w:val="24"/>
          <w:highlight w:val="none"/>
        </w:rPr>
      </w:pPr>
      <w:r>
        <w:rPr>
          <w:rFonts w:hint="eastAsia" w:ascii="宋体" w:hAnsi="宋体" w:cs="宋体"/>
          <w:sz w:val="24"/>
          <w:szCs w:val="24"/>
          <w:highlight w:val="none"/>
        </w:rPr>
        <w:t>预算金额（元）：</w:t>
      </w:r>
      <w:r>
        <w:rPr>
          <w:rFonts w:hint="eastAsia" w:ascii="宋体" w:hAnsi="宋体" w:cs="宋体"/>
          <w:sz w:val="24"/>
          <w:szCs w:val="24"/>
          <w:highlight w:val="none"/>
          <w:lang w:val="en-US" w:eastAsia="zh-CN"/>
        </w:rPr>
        <w:t>6300000</w:t>
      </w:r>
      <w:r>
        <w:rPr>
          <w:rFonts w:hint="eastAsia" w:ascii="宋体" w:hAnsi="宋体" w:cs="宋体"/>
          <w:sz w:val="24"/>
          <w:szCs w:val="24"/>
          <w:highlight w:val="none"/>
        </w:rPr>
        <w:t> </w:t>
      </w:r>
    </w:p>
    <w:p>
      <w:pPr>
        <w:snapToGrid w:val="0"/>
        <w:spacing w:line="440" w:lineRule="exact"/>
        <w:ind w:right="-170" w:rightChars="-81" w:firstLine="480" w:firstLineChars="200"/>
        <w:rPr>
          <w:rFonts w:ascii="宋体" w:hAnsi="宋体" w:cs="宋体"/>
          <w:sz w:val="24"/>
          <w:szCs w:val="24"/>
          <w:highlight w:val="none"/>
        </w:rPr>
      </w:pPr>
      <w:r>
        <w:rPr>
          <w:rFonts w:hint="eastAsia" w:ascii="宋体" w:hAnsi="宋体" w:cs="宋体"/>
          <w:sz w:val="24"/>
          <w:szCs w:val="24"/>
          <w:highlight w:val="none"/>
        </w:rPr>
        <w:t>最高限价（元）：无 </w:t>
      </w:r>
    </w:p>
    <w:p>
      <w:pPr>
        <w:snapToGrid w:val="0"/>
        <w:spacing w:line="440" w:lineRule="exact"/>
        <w:ind w:left="478" w:leftChars="228" w:right="-170" w:rightChars="-81" w:firstLine="0" w:firstLineChars="0"/>
        <w:rPr>
          <w:rFonts w:hint="eastAsia" w:ascii="宋体" w:hAnsi="宋体" w:cs="宋体"/>
          <w:sz w:val="24"/>
          <w:szCs w:val="24"/>
          <w:highlight w:val="none"/>
          <w:lang w:val="en-US" w:eastAsia="zh-CN"/>
        </w:rPr>
      </w:pPr>
      <w:r>
        <w:rPr>
          <w:rFonts w:hint="eastAsia" w:ascii="宋体" w:hAnsi="宋体" w:cs="宋体"/>
          <w:sz w:val="24"/>
          <w:szCs w:val="24"/>
          <w:highlight w:val="none"/>
        </w:rPr>
        <w:t>采购需求：/ </w:t>
      </w:r>
      <w:r>
        <w:rPr>
          <w:rFonts w:hint="eastAsia" w:ascii="宋体" w:hAnsi="宋体" w:cs="宋体"/>
          <w:sz w:val="24"/>
          <w:szCs w:val="24"/>
          <w:highlight w:val="none"/>
        </w:rPr>
        <w:br w:type="textWrapping"/>
      </w:r>
      <w:r>
        <w:rPr>
          <w:rFonts w:hint="eastAsia" w:ascii="宋体" w:hAnsi="宋体" w:cs="宋体"/>
          <w:sz w:val="24"/>
          <w:szCs w:val="24"/>
          <w:highlight w:val="none"/>
        </w:rPr>
        <w:t>数量: 1  </w:t>
      </w:r>
    </w:p>
    <w:p>
      <w:pPr>
        <w:snapToGrid w:val="0"/>
        <w:spacing w:line="440" w:lineRule="exact"/>
        <w:ind w:left="478" w:leftChars="228" w:right="-170" w:rightChars="-81" w:firstLine="0" w:firstLineChars="0"/>
        <w:rPr>
          <w:rFonts w:hint="eastAsia" w:ascii="宋体" w:hAnsi="宋体" w:cs="宋体"/>
          <w:b w:val="0"/>
          <w:bCs w:val="0"/>
          <w:sz w:val="24"/>
          <w:szCs w:val="24"/>
        </w:rPr>
      </w:pPr>
      <w:r>
        <w:rPr>
          <w:rFonts w:hint="eastAsia" w:ascii="宋体" w:hAnsi="宋体" w:eastAsia="宋体" w:cs="宋体"/>
          <w:sz w:val="24"/>
          <w:szCs w:val="24"/>
        </w:rPr>
        <w:t>简要规格描述或项目基本概况介绍、用途：</w:t>
      </w:r>
      <w:r>
        <w:rPr>
          <w:rFonts w:hint="eastAsia" w:ascii="宋体" w:hAnsi="宋体" w:cs="宋体"/>
          <w:b w:val="0"/>
          <w:bCs w:val="0"/>
          <w:sz w:val="24"/>
          <w:szCs w:val="24"/>
        </w:rPr>
        <w:t>本次</w:t>
      </w:r>
      <w:r>
        <w:rPr>
          <w:rFonts w:hint="eastAsia" w:ascii="宋体" w:hAnsi="宋体" w:cs="宋体"/>
          <w:b w:val="0"/>
          <w:bCs w:val="0"/>
          <w:sz w:val="24"/>
          <w:szCs w:val="24"/>
          <w:lang w:val="en-US" w:eastAsia="zh-CN"/>
        </w:rPr>
        <w:t>绿化养护</w:t>
      </w:r>
      <w:r>
        <w:rPr>
          <w:rFonts w:hint="eastAsia" w:ascii="宋体" w:hAnsi="宋体" w:cs="宋体"/>
          <w:b w:val="0"/>
          <w:bCs w:val="0"/>
          <w:sz w:val="24"/>
          <w:szCs w:val="24"/>
        </w:rPr>
        <w:t>主要范围为植物园1</w:t>
      </w:r>
    </w:p>
    <w:p>
      <w:pPr>
        <w:snapToGrid w:val="0"/>
        <w:spacing w:line="440" w:lineRule="exact"/>
        <w:ind w:right="-170" w:rightChars="-81"/>
        <w:rPr>
          <w:rFonts w:hint="eastAsia" w:ascii="宋体" w:hAnsi="宋体" w:eastAsia="宋体" w:cs="宋体"/>
          <w:sz w:val="24"/>
          <w:szCs w:val="24"/>
        </w:rPr>
      </w:pPr>
      <w:r>
        <w:rPr>
          <w:rFonts w:hint="eastAsia" w:ascii="宋体" w:hAnsi="宋体" w:cs="宋体"/>
          <w:b w:val="0"/>
          <w:bCs w:val="0"/>
          <w:sz w:val="24"/>
          <w:szCs w:val="24"/>
        </w:rPr>
        <w:t>期、2期以及入口处停车场，要求绿化养护质量全部达到《温岭市园林绿化养护管理技术要求》及招标文件、国家和地方的相关技术规范、规程、标准的要求。</w:t>
      </w:r>
      <w:r>
        <w:rPr>
          <w:rFonts w:hint="eastAsia" w:ascii="宋体" w:hAnsi="宋体" w:cs="宋体"/>
          <w:sz w:val="24"/>
          <w:szCs w:val="24"/>
        </w:rPr>
        <w:t>详见第四章采购需求。</w:t>
      </w:r>
    </w:p>
    <w:p>
      <w:pPr>
        <w:snapToGrid w:val="0"/>
        <w:spacing w:line="440" w:lineRule="exact"/>
        <w:ind w:firstLine="480" w:firstLineChars="200"/>
        <w:rPr>
          <w:rFonts w:hint="eastAsia" w:ascii="宋体" w:hAnsi="宋体" w:eastAsia="宋体" w:cs="宋体"/>
          <w:sz w:val="24"/>
          <w:szCs w:val="24"/>
          <w:lang w:val="en-US" w:eastAsia="zh-CN"/>
        </w:rPr>
      </w:pPr>
      <w:r>
        <w:rPr>
          <w:rFonts w:hint="eastAsia" w:ascii="宋体" w:hAnsi="宋体" w:cs="宋体"/>
          <w:sz w:val="24"/>
          <w:szCs w:val="24"/>
        </w:rPr>
        <w:t>服务期限：</w:t>
      </w:r>
      <w:r>
        <w:rPr>
          <w:rFonts w:hint="eastAsia" w:ascii="宋体" w:hAnsi="宋体" w:cs="宋体"/>
          <w:sz w:val="24"/>
          <w:szCs w:val="24"/>
          <w:lang w:eastAsia="zh-CN"/>
        </w:rPr>
        <w:t>本项目</w:t>
      </w:r>
      <w:r>
        <w:rPr>
          <w:rFonts w:hint="eastAsia" w:ascii="宋体" w:hAnsi="宋体" w:cs="宋体"/>
          <w:sz w:val="24"/>
          <w:szCs w:val="24"/>
        </w:rPr>
        <w:t>采用 1+1+1</w:t>
      </w:r>
      <w:r>
        <w:rPr>
          <w:rFonts w:hint="eastAsia" w:ascii="宋体" w:hAnsi="宋体" w:cs="宋体"/>
          <w:sz w:val="24"/>
          <w:szCs w:val="24"/>
          <w:lang w:eastAsia="zh-CN"/>
        </w:rPr>
        <w:t>（即</w:t>
      </w:r>
      <w:r>
        <w:rPr>
          <w:rFonts w:hint="eastAsia" w:ascii="宋体" w:hAnsi="宋体" w:cs="宋体"/>
          <w:sz w:val="24"/>
          <w:szCs w:val="24"/>
          <w:lang w:val="en-US" w:eastAsia="zh-CN"/>
        </w:rPr>
        <w:t>3年</w:t>
      </w:r>
      <w:r>
        <w:rPr>
          <w:rFonts w:hint="eastAsia" w:ascii="宋体" w:hAnsi="宋体" w:cs="宋体"/>
          <w:sz w:val="24"/>
          <w:szCs w:val="24"/>
          <w:lang w:eastAsia="zh-CN"/>
        </w:rPr>
        <w:t>）</w:t>
      </w:r>
      <w:r>
        <w:rPr>
          <w:rFonts w:hint="eastAsia" w:ascii="宋体" w:hAnsi="宋体" w:cs="宋体"/>
          <w:sz w:val="24"/>
          <w:szCs w:val="24"/>
        </w:rPr>
        <w:t>模式，服务期</w:t>
      </w:r>
      <w:r>
        <w:rPr>
          <w:rFonts w:hint="eastAsia" w:ascii="宋体" w:hAnsi="宋体" w:cs="宋体"/>
          <w:sz w:val="24"/>
          <w:szCs w:val="24"/>
          <w:lang w:val="en-US" w:eastAsia="zh-CN"/>
        </w:rPr>
        <w:t>1</w:t>
      </w:r>
      <w:r>
        <w:rPr>
          <w:rFonts w:hint="eastAsia" w:ascii="宋体" w:hAnsi="宋体" w:cs="宋体"/>
          <w:sz w:val="24"/>
          <w:szCs w:val="24"/>
        </w:rPr>
        <w:t>年合同期限到期后再根据该年度综合考核情况由采购人决定是否与中标单位再续签,续签也是一年一签</w:t>
      </w:r>
      <w:r>
        <w:rPr>
          <w:rFonts w:hint="eastAsia" w:ascii="宋体" w:hAnsi="宋体" w:cs="宋体"/>
          <w:sz w:val="24"/>
          <w:szCs w:val="24"/>
          <w:lang w:eastAsia="zh-CN"/>
        </w:rPr>
        <w:t>。</w:t>
      </w:r>
    </w:p>
    <w:p>
      <w:pPr>
        <w:shd w:val="clear"/>
        <w:snapToGrid w:val="0"/>
        <w:spacing w:line="440" w:lineRule="exact"/>
        <w:ind w:firstLine="480" w:firstLineChars="200"/>
        <w:rPr>
          <w:rFonts w:ascii="宋体" w:hAnsi="宋体" w:cs="宋体"/>
          <w:sz w:val="24"/>
          <w:szCs w:val="24"/>
        </w:rPr>
      </w:pPr>
      <w:r>
        <w:rPr>
          <w:rFonts w:hint="eastAsia" w:ascii="宋体" w:hAnsi="宋体" w:cs="宋体"/>
          <w:sz w:val="24"/>
          <w:szCs w:val="24"/>
        </w:rPr>
        <w:t>本项目不接受联合体投标。</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b/>
          <w:bCs/>
          <w:kern w:val="0"/>
          <w:sz w:val="24"/>
          <w:szCs w:val="24"/>
        </w:rPr>
      </w:pPr>
      <w:r>
        <w:rPr>
          <w:rFonts w:hint="eastAsia" w:ascii="宋体" w:hAnsi="宋体" w:cs="宋体"/>
          <w:b/>
          <w:bCs/>
          <w:kern w:val="0"/>
          <w:sz w:val="24"/>
          <w:szCs w:val="24"/>
        </w:rPr>
        <w:t>二、申请人的资格要求：</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一）符合《中华人民共和国政府采购法》第二十二条规定的投标人资格条件。截止投标截止时间前（北京时间），投标人未被“信用中国”（www.creditchina.gov.cn）、“中国政府采购网”（www.ccgp.gov.cn）列入失信被执行人、</w:t>
      </w:r>
      <w:r>
        <w:rPr>
          <w:rFonts w:hint="eastAsia" w:ascii="宋体" w:hAnsi="宋体" w:cs="宋体"/>
          <w:sz w:val="24"/>
          <w:szCs w:val="24"/>
          <w:lang w:eastAsia="zh-CN"/>
        </w:rPr>
        <w:t>税收违法黑名单</w:t>
      </w:r>
      <w:r>
        <w:rPr>
          <w:rFonts w:hint="eastAsia" w:ascii="宋体" w:hAnsi="宋体" w:cs="宋体"/>
          <w:sz w:val="24"/>
          <w:szCs w:val="24"/>
        </w:rPr>
        <w:t>、政府采购严重违法失信行为记录名单。</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（二）本项目的特定资格要求：</w:t>
      </w:r>
      <w:r>
        <w:rPr>
          <w:rFonts w:hint="eastAsia" w:ascii="宋体" w:hAnsi="宋体" w:cs="宋体"/>
          <w:sz w:val="24"/>
          <w:szCs w:val="24"/>
        </w:rPr>
        <w:t>对本项目具有履约服务能力。</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b/>
          <w:bCs/>
          <w:color w:val="FF0000"/>
          <w:kern w:val="0"/>
          <w:sz w:val="24"/>
          <w:szCs w:val="24"/>
          <w:lang w:val="en-US" w:eastAsia="zh-CN"/>
        </w:rPr>
      </w:pPr>
      <w:r>
        <w:rPr>
          <w:rFonts w:hint="eastAsia" w:ascii="宋体" w:hAnsi="宋体" w:cs="宋体"/>
          <w:color w:val="auto"/>
          <w:kern w:val="0"/>
          <w:sz w:val="24"/>
          <w:szCs w:val="24"/>
          <w:lang w:val="en-US" w:eastAsia="zh-CN"/>
        </w:rPr>
        <w:t>（三）</w:t>
      </w:r>
      <w:r>
        <w:rPr>
          <w:rFonts w:hint="eastAsia" w:ascii="宋体" w:hAnsi="宋体" w:cs="宋体"/>
          <w:b/>
          <w:bCs/>
          <w:color w:val="FF0000"/>
          <w:kern w:val="0"/>
          <w:sz w:val="24"/>
          <w:szCs w:val="24"/>
          <w:lang w:val="en-US" w:eastAsia="zh-CN"/>
        </w:rPr>
        <w:t>落实政府采购政策需满足的资格要求：本项目按照《政府采购促进中小企业发展管理办法》【财库（2020）46号】第七条规定：专门面向中小企业采购。</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color w:val="auto"/>
          <w:kern w:val="0"/>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四</w:t>
      </w:r>
      <w:r>
        <w:rPr>
          <w:rFonts w:hint="eastAsia" w:ascii="宋体" w:hAnsi="宋体" w:cs="宋体"/>
          <w:color w:val="auto"/>
          <w:kern w:val="0"/>
          <w:sz w:val="24"/>
          <w:szCs w:val="24"/>
        </w:rPr>
        <w:t>）单位负责人为同一人或者存在直接控股、管理关系的不同供应商，不得参加同一合同项下的政府采购活动。</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五</w:t>
      </w:r>
      <w:r>
        <w:rPr>
          <w:rFonts w:hint="eastAsia" w:ascii="宋体" w:hAnsi="宋体" w:cs="宋体"/>
          <w:color w:val="auto"/>
          <w:sz w:val="24"/>
          <w:szCs w:val="24"/>
        </w:rPr>
        <w:t>）为采购项目提供整体设计、规范编制或者项目管理、监理、检测等服务的供应商，不得再参加该采购项目的其他采购活动。</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（六）公益一类事业单位不属于政府购买服务的承接主体，不得参与承接政府购买服务。</w:t>
      </w:r>
    </w:p>
    <w:p>
      <w:pPr>
        <w:keepNext w:val="0"/>
        <w:keepLines w:val="0"/>
        <w:pageBreakBefore w:val="0"/>
        <w:kinsoku/>
        <w:wordWrap/>
        <w:overflowPunct/>
        <w:topLinePunct w:val="0"/>
        <w:autoSpaceDE/>
        <w:autoSpaceDN/>
        <w:bidi w:val="0"/>
        <w:spacing w:line="440" w:lineRule="exact"/>
        <w:textAlignment w:val="auto"/>
        <w:outlineLvl w:val="0"/>
        <w:rPr>
          <w:rFonts w:hint="eastAsia" w:ascii="宋体" w:hAnsi="宋体" w:eastAsia="宋体" w:cs="宋体"/>
          <w:b/>
          <w:bCs/>
          <w:color w:val="auto"/>
          <w:sz w:val="24"/>
          <w:szCs w:val="24"/>
          <w:highlight w:val="none"/>
          <w:lang w:eastAsia="zh-CN"/>
        </w:rPr>
      </w:pPr>
      <w:bookmarkStart w:id="1" w:name="_Toc19020"/>
      <w:bookmarkStart w:id="2" w:name="_Toc14504"/>
      <w:bookmarkStart w:id="3" w:name="_Toc21256"/>
      <w:r>
        <w:rPr>
          <w:rFonts w:hint="eastAsia" w:ascii="宋体" w:hAnsi="宋体" w:eastAsia="宋体" w:cs="宋体"/>
          <w:b/>
          <w:bCs/>
          <w:color w:val="auto"/>
          <w:sz w:val="24"/>
          <w:szCs w:val="24"/>
          <w:highlight w:val="none"/>
        </w:rPr>
        <w:t>三、获取招标文件</w:t>
      </w:r>
      <w:r>
        <w:rPr>
          <w:rFonts w:hint="eastAsia" w:ascii="宋体" w:hAnsi="宋体" w:eastAsia="宋体" w:cs="宋体"/>
          <w:b/>
          <w:bCs/>
          <w:color w:val="auto"/>
          <w:sz w:val="24"/>
          <w:szCs w:val="24"/>
          <w:highlight w:val="none"/>
          <w:lang w:eastAsia="zh-CN"/>
        </w:rPr>
        <w:t>：</w:t>
      </w:r>
      <w:bookmarkEnd w:id="1"/>
      <w:bookmarkEnd w:id="2"/>
      <w:bookmarkEnd w:id="3"/>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bookmarkStart w:id="4" w:name="_Toc28359082"/>
      <w:bookmarkStart w:id="5" w:name="_Toc28359005"/>
      <w:bookmarkStart w:id="6" w:name="_Toc35393793"/>
      <w:bookmarkStart w:id="7" w:name="_Toc35393624"/>
      <w:r>
        <w:rPr>
          <w:rFonts w:hint="eastAsia" w:ascii="宋体" w:hAnsi="宋体" w:eastAsia="宋体" w:cs="宋体"/>
          <w:color w:val="auto"/>
          <w:sz w:val="24"/>
          <w:szCs w:val="24"/>
          <w:highlight w:val="none"/>
        </w:rPr>
        <w:t>（一）获取时间：获取时间：/至2022年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日，每天上午00:00至12:00，下午12:00至23:59（北京时间，线上获取法定节假日均可）</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（二）获取地址：浙江政府采购网本项目公告附件</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（三）获取方式：</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尚未注册浙江政府采购网正式供应商的应先进行注册申请，注册流程详见“浙江政府采购网—网上办事指南—供应商注册申请”，注册申请免费。</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供应商注册成功后，登录“政采云”平台进入“项目采购”应用模块，点击菜单的“申请获取采购文件”，填写获取采购文件的申请信息。点击“下载采购文件”即可获取采购文件。</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采购公告上附件里的采购文件仅供阅览使用，供应商应当在“政采云”平台注册登记后再获取采购文件，没有通过注册登记而获取采购文件的潜在供应商，对采购文件提起质疑投诉的，不予受理。</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采购代理机构将拒绝接受非通过以上方式获取采购文件的供应商投标文件。</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售价：0（元）</w:t>
      </w:r>
    </w:p>
    <w:p>
      <w:pPr>
        <w:keepNext w:val="0"/>
        <w:keepLines w:val="0"/>
        <w:pageBreakBefore w:val="0"/>
        <w:kinsoku/>
        <w:wordWrap/>
        <w:overflowPunct/>
        <w:topLinePunct w:val="0"/>
        <w:autoSpaceDE/>
        <w:autoSpaceDN/>
        <w:bidi w:val="0"/>
        <w:spacing w:line="440" w:lineRule="exact"/>
        <w:textAlignment w:val="auto"/>
        <w:outlineLvl w:val="0"/>
        <w:rPr>
          <w:rFonts w:hint="eastAsia" w:ascii="宋体" w:hAnsi="宋体" w:eastAsia="宋体" w:cs="宋体"/>
          <w:b/>
          <w:bCs/>
          <w:color w:val="auto"/>
          <w:sz w:val="24"/>
          <w:szCs w:val="24"/>
          <w:highlight w:val="none"/>
        </w:rPr>
      </w:pPr>
      <w:bookmarkStart w:id="8" w:name="_Toc13979"/>
      <w:bookmarkStart w:id="9" w:name="_Toc10299"/>
      <w:bookmarkStart w:id="10" w:name="_Toc24308"/>
      <w:r>
        <w:rPr>
          <w:rFonts w:hint="eastAsia" w:ascii="宋体" w:hAnsi="宋体" w:eastAsia="宋体" w:cs="宋体"/>
          <w:b/>
          <w:bCs/>
          <w:color w:val="auto"/>
          <w:sz w:val="24"/>
          <w:szCs w:val="24"/>
          <w:highlight w:val="none"/>
        </w:rPr>
        <w:t>四、提交投标文件</w:t>
      </w:r>
      <w:bookmarkEnd w:id="4"/>
      <w:bookmarkEnd w:id="5"/>
      <w:r>
        <w:rPr>
          <w:rFonts w:hint="eastAsia" w:ascii="宋体" w:hAnsi="宋体" w:eastAsia="宋体" w:cs="宋体"/>
          <w:b/>
          <w:bCs/>
          <w:color w:val="auto"/>
          <w:sz w:val="24"/>
          <w:szCs w:val="24"/>
          <w:highlight w:val="none"/>
        </w:rPr>
        <w:t>截止时间、开标时间和地点</w:t>
      </w:r>
      <w:bookmarkEnd w:id="6"/>
      <w:bookmarkEnd w:id="7"/>
      <w:bookmarkEnd w:id="8"/>
      <w:bookmarkEnd w:id="9"/>
      <w:bookmarkEnd w:id="10"/>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宋体" w:hAnsi="宋体" w:cs="宋体"/>
          <w:sz w:val="24"/>
          <w:szCs w:val="24"/>
          <w:highlight w:val="none"/>
        </w:rPr>
      </w:pPr>
      <w:bookmarkStart w:id="11" w:name="_Toc28359084"/>
      <w:bookmarkStart w:id="12" w:name="_Toc28359007"/>
      <w:bookmarkStart w:id="13" w:name="_Toc35393794"/>
      <w:bookmarkStart w:id="14" w:name="_Toc35393625"/>
      <w:r>
        <w:rPr>
          <w:rFonts w:hint="eastAsia" w:ascii="宋体" w:hAnsi="宋体" w:cs="宋体"/>
          <w:sz w:val="24"/>
          <w:szCs w:val="24"/>
          <w:highlight w:val="none"/>
        </w:rPr>
        <w:t>提交投标文件截止时间：</w:t>
      </w:r>
      <w:r>
        <w:rPr>
          <w:rFonts w:hint="eastAsia" w:ascii="宋体" w:hAnsi="宋体" w:cs="宋体"/>
          <w:sz w:val="24"/>
          <w:szCs w:val="24"/>
          <w:highlight w:val="none"/>
          <w:lang w:eastAsia="zh-CN"/>
        </w:rPr>
        <w:t>2022年</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11</w:t>
      </w:r>
      <w:r>
        <w:rPr>
          <w:rFonts w:hint="eastAsia" w:ascii="宋体" w:hAnsi="宋体" w:cs="宋体"/>
          <w:sz w:val="24"/>
          <w:szCs w:val="24"/>
          <w:highlight w:val="none"/>
          <w:lang w:eastAsia="zh-CN"/>
        </w:rPr>
        <w:t>日</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 xml:space="preserve"> </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 xml:space="preserve">：00 </w:t>
      </w:r>
      <w:r>
        <w:rPr>
          <w:rFonts w:hint="eastAsia" w:ascii="宋体" w:hAnsi="宋体" w:cs="宋体"/>
          <w:sz w:val="24"/>
          <w:szCs w:val="24"/>
          <w:highlight w:val="none"/>
        </w:rPr>
        <w:t>（北京时间）</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投标地点（网址）：“政府采购云平台”线上上传 </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开标时间：</w:t>
      </w:r>
      <w:r>
        <w:rPr>
          <w:rFonts w:hint="eastAsia" w:ascii="宋体" w:hAnsi="宋体" w:cs="宋体"/>
          <w:sz w:val="24"/>
          <w:szCs w:val="24"/>
          <w:highlight w:val="none"/>
          <w:lang w:eastAsia="zh-CN"/>
        </w:rPr>
        <w:t>2022年</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11</w:t>
      </w:r>
      <w:r>
        <w:rPr>
          <w:rFonts w:hint="eastAsia" w:ascii="宋体" w:hAnsi="宋体" w:cs="宋体"/>
          <w:sz w:val="24"/>
          <w:szCs w:val="24"/>
          <w:highlight w:val="none"/>
          <w:lang w:eastAsia="zh-CN"/>
        </w:rPr>
        <w:t>日</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 xml:space="preserve"> </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 xml:space="preserve">：00 </w:t>
      </w:r>
      <w:r>
        <w:rPr>
          <w:rFonts w:hint="eastAsia" w:ascii="宋体" w:hAnsi="宋体" w:cs="宋体"/>
          <w:sz w:val="24"/>
          <w:szCs w:val="24"/>
          <w:highlight w:val="none"/>
        </w:rPr>
        <w:t>（北京时间）</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开标地点（网址）：“政府采购云平台”线上开标</w:t>
      </w:r>
    </w:p>
    <w:p>
      <w:pPr>
        <w:keepNext w:val="0"/>
        <w:keepLines w:val="0"/>
        <w:pageBreakBefore w:val="0"/>
        <w:kinsoku/>
        <w:wordWrap/>
        <w:overflowPunct/>
        <w:topLinePunct w:val="0"/>
        <w:autoSpaceDE/>
        <w:autoSpaceDN/>
        <w:bidi w:val="0"/>
        <w:spacing w:line="440" w:lineRule="exact"/>
        <w:textAlignment w:val="auto"/>
        <w:outlineLvl w:val="0"/>
        <w:rPr>
          <w:rFonts w:hint="eastAsia" w:ascii="宋体" w:hAnsi="宋体" w:eastAsia="宋体" w:cs="宋体"/>
          <w:b/>
          <w:bCs/>
          <w:color w:val="auto"/>
          <w:sz w:val="24"/>
          <w:szCs w:val="24"/>
          <w:highlight w:val="none"/>
          <w:lang w:eastAsia="zh-CN"/>
        </w:rPr>
      </w:pPr>
      <w:bookmarkStart w:id="15" w:name="_Toc30700"/>
      <w:bookmarkStart w:id="16" w:name="_Toc9548"/>
      <w:bookmarkStart w:id="17" w:name="_Toc13197"/>
      <w:r>
        <w:rPr>
          <w:rFonts w:hint="eastAsia" w:ascii="宋体" w:hAnsi="宋体" w:eastAsia="宋体" w:cs="宋体"/>
          <w:b/>
          <w:bCs/>
          <w:color w:val="auto"/>
          <w:sz w:val="24"/>
          <w:szCs w:val="24"/>
          <w:highlight w:val="none"/>
          <w:lang w:val="en-US" w:eastAsia="zh-CN"/>
        </w:rPr>
        <w:t>五、公告期限</w:t>
      </w:r>
      <w:bookmarkEnd w:id="11"/>
      <w:bookmarkEnd w:id="12"/>
      <w:bookmarkEnd w:id="13"/>
      <w:bookmarkEnd w:id="14"/>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highlight w:val="none"/>
        </w:rPr>
        <w:t>自本公告发布之日起5个工作日。</w:t>
      </w:r>
      <w:bookmarkEnd w:id="15"/>
      <w:bookmarkEnd w:id="16"/>
      <w:bookmarkEnd w:id="17"/>
      <w:bookmarkStart w:id="18" w:name="_Toc35393795"/>
      <w:bookmarkStart w:id="19" w:name="_Toc35393626"/>
    </w:p>
    <w:p>
      <w:pPr>
        <w:keepNext w:val="0"/>
        <w:keepLines w:val="0"/>
        <w:pageBreakBefore w:val="0"/>
        <w:kinsoku/>
        <w:wordWrap/>
        <w:overflowPunct/>
        <w:topLinePunct w:val="0"/>
        <w:autoSpaceDE/>
        <w:autoSpaceDN/>
        <w:bidi w:val="0"/>
        <w:spacing w:line="440" w:lineRule="exact"/>
        <w:textAlignment w:val="auto"/>
        <w:outlineLvl w:val="0"/>
        <w:rPr>
          <w:rFonts w:hint="eastAsia" w:ascii="宋体" w:hAnsi="宋体" w:eastAsia="宋体" w:cs="宋体"/>
          <w:b/>
          <w:bCs/>
          <w:color w:val="auto"/>
          <w:sz w:val="24"/>
          <w:szCs w:val="24"/>
          <w:highlight w:val="none"/>
        </w:rPr>
      </w:pPr>
      <w:bookmarkStart w:id="20" w:name="_Toc27005"/>
      <w:bookmarkStart w:id="21" w:name="_Toc15948"/>
      <w:bookmarkStart w:id="22" w:name="_Toc7785"/>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其他补充事宜</w:t>
      </w:r>
      <w:bookmarkEnd w:id="18"/>
      <w:bookmarkEnd w:id="19"/>
      <w:bookmarkEnd w:id="20"/>
      <w:bookmarkEnd w:id="21"/>
      <w:bookmarkEnd w:id="22"/>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4.其他事项：</w:t>
      </w:r>
    </w:p>
    <w:p>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（一）电子招投标相关事宜：</w:t>
      </w:r>
    </w:p>
    <w:p>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eastAsia="宋体" w:cs="宋体"/>
          <w:color w:val="auto"/>
          <w:kern w:val="0"/>
          <w:sz w:val="24"/>
          <w:szCs w:val="24"/>
          <w:highlight w:val="none"/>
        </w:rPr>
        <w:t>供应商注册：投标人应为浙江政府采购注册供应商，如尚未注册，务必在投标截止</w:t>
      </w:r>
      <w:r>
        <w:rPr>
          <w:rFonts w:hint="eastAsia" w:ascii="宋体" w:hAnsi="宋体" w:eastAsia="宋体" w:cs="宋体"/>
          <w:color w:val="auto"/>
          <w:kern w:val="0"/>
          <w:sz w:val="24"/>
          <w:szCs w:val="24"/>
          <w:highlight w:val="none"/>
          <w:lang w:val="en-US" w:eastAsia="zh-CN"/>
        </w:rPr>
        <w:t>时间</w:t>
      </w:r>
      <w:r>
        <w:rPr>
          <w:rFonts w:hint="eastAsia" w:ascii="宋体" w:hAnsi="宋体" w:eastAsia="宋体" w:cs="宋体"/>
          <w:color w:val="auto"/>
          <w:kern w:val="0"/>
          <w:sz w:val="24"/>
          <w:szCs w:val="24"/>
          <w:highlight w:val="none"/>
        </w:rPr>
        <w:t>前登陆浙江政府采购网进行注册。</w:t>
      </w:r>
    </w:p>
    <w:p>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 xml:space="preserve"> 本项目采取电子招投标，</w:t>
      </w:r>
      <w:r>
        <w:rPr>
          <w:rFonts w:hint="eastAsia" w:ascii="宋体" w:hAnsi="宋体" w:eastAsia="宋体" w:cs="宋体"/>
          <w:color w:val="auto"/>
          <w:kern w:val="0"/>
          <w:sz w:val="24"/>
          <w:szCs w:val="24"/>
          <w:highlight w:val="none"/>
        </w:rPr>
        <w:t>电子招投标有关事项说明</w:t>
      </w:r>
      <w:r>
        <w:rPr>
          <w:rFonts w:hint="eastAsia" w:ascii="宋体" w:hAnsi="宋体" w:eastAsia="宋体" w:cs="宋体"/>
          <w:color w:val="auto"/>
          <w:kern w:val="0"/>
          <w:sz w:val="24"/>
          <w:szCs w:val="24"/>
          <w:highlight w:val="none"/>
          <w:lang w:val="en-US" w:eastAsia="zh-CN"/>
        </w:rPr>
        <w:t>如下</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通过“政府采购云平台（www.zcygov.cn）”实行电子投标，供应商须安装客户端软件，并按照采购文件和电子交易平台的要求编制并加密投标、响应文件。供应商未按规定加密的投标、响应文件，电子交易平台</w:t>
      </w:r>
      <w:r>
        <w:rPr>
          <w:rFonts w:hint="eastAsia" w:ascii="宋体" w:hAnsi="宋体" w:eastAsia="宋体" w:cs="宋体"/>
          <w:color w:val="auto"/>
          <w:kern w:val="0"/>
          <w:sz w:val="24"/>
          <w:szCs w:val="24"/>
          <w:highlight w:val="none"/>
          <w:lang w:val="en-US" w:eastAsia="zh-CN"/>
        </w:rPr>
        <w:t>将</w:t>
      </w:r>
      <w:r>
        <w:rPr>
          <w:rFonts w:hint="eastAsia" w:ascii="宋体" w:hAnsi="宋体" w:eastAsia="宋体" w:cs="宋体"/>
          <w:color w:val="auto"/>
          <w:kern w:val="0"/>
          <w:sz w:val="24"/>
          <w:szCs w:val="24"/>
          <w:highlight w:val="none"/>
        </w:rPr>
        <w:t>拒收并提示。</w:t>
      </w:r>
    </w:p>
    <w:p>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客户端软件下载方式：供应商可通过“浙江政府采购网-下载专区-电子交易客户端”进行下载。</w:t>
      </w:r>
    </w:p>
    <w:p>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2）供应商须申领CA，并在政采云平台完成绑定方可进行投标文件的编制，CA相关操作可参考“浙江政府采购网-下载专区-电子交易客户端-CA驱动和申领流程”。</w:t>
      </w:r>
    </w:p>
    <w:p>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供应商在进行上述操作时，如遇技术问题可致电400-881-7190进行咨询</w:t>
      </w:r>
      <w:r>
        <w:rPr>
          <w:rFonts w:hint="eastAsia" w:ascii="宋体" w:hAnsi="宋体" w:cs="宋体"/>
          <w:color w:val="auto"/>
          <w:kern w:val="0"/>
          <w:sz w:val="24"/>
          <w:szCs w:val="24"/>
          <w:highlight w:val="none"/>
          <w:lang w:eastAsia="zh-CN"/>
        </w:rPr>
        <w:t>，</w:t>
      </w:r>
      <w:r>
        <w:rPr>
          <w:rFonts w:hint="eastAsia" w:ascii="宋体" w:hAnsi="宋体" w:cs="宋体"/>
          <w:b/>
          <w:bCs/>
          <w:color w:val="FF0000"/>
          <w:sz w:val="24"/>
          <w:szCs w:val="24"/>
          <w:highlight w:val="none"/>
        </w:rPr>
        <w:t>在项目开、评标活动过程中，投标人需保持联系渠道畅通</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投标保证金</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rPr>
        <w:t>本项目不收取投标保证金。</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公告发布媒体：</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浙江省政府采购网（http://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"http://www.zjzfcg.gov.cn）和温岭市公共资源交易中心网（http:/new.wl.gov.cn/col/col1402172/index.html）。"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www.zjzfcg.gov.cn）和温岭市公共资源交易中心网（http://new.wl.gov.cn/col/col1402172/index.html）。</w:t>
      </w:r>
      <w:r>
        <w:rPr>
          <w:rFonts w:hint="eastAsia" w:ascii="宋体" w:hAnsi="宋体" w:eastAsia="宋体" w:cs="宋体"/>
          <w:color w:val="auto"/>
          <w:sz w:val="24"/>
          <w:szCs w:val="24"/>
          <w:highlight w:val="none"/>
        </w:rPr>
        <w:fldChar w:fldCharType="end"/>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其他事项：</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为优化政府采购营商环境，缓解供应商资金难题，政采云平台已推广应用“政采贷”服务，中标供应商如有融资需求，可使用以下政采贷及政采保服务。</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bCs/>
          <w:color w:val="auto"/>
          <w:sz w:val="24"/>
          <w:szCs w:val="24"/>
          <w:highlight w:val="none"/>
          <w:lang w:val="en-US" w:eastAsia="zh-CN"/>
        </w:rPr>
      </w:pPr>
      <w:bookmarkStart w:id="23" w:name="_Toc1092"/>
      <w:bookmarkStart w:id="24" w:name="_Toc9871"/>
      <w:bookmarkStart w:id="25" w:name="_Toc18253"/>
      <w:r>
        <w:rPr>
          <w:rFonts w:hint="eastAsia" w:ascii="宋体" w:hAnsi="宋体" w:eastAsia="宋体" w:cs="宋体"/>
          <w:b/>
          <w:bCs/>
          <w:color w:val="auto"/>
          <w:sz w:val="24"/>
          <w:szCs w:val="24"/>
          <w:highlight w:val="none"/>
          <w:lang w:val="en-US" w:eastAsia="zh-CN"/>
        </w:rPr>
        <w:t>政采贷服务：</w:t>
      </w:r>
      <w:bookmarkEnd w:id="23"/>
      <w:bookmarkEnd w:id="24"/>
      <w:bookmarkEnd w:id="25"/>
    </w:p>
    <w:tbl>
      <w:tblPr>
        <w:tblStyle w:val="28"/>
        <w:tblW w:w="9559" w:type="dxa"/>
        <w:tblInd w:w="19" w:type="dxa"/>
        <w:tblLayout w:type="autofit"/>
        <w:tblCellMar>
          <w:top w:w="0" w:type="dxa"/>
          <w:left w:w="0" w:type="dxa"/>
          <w:bottom w:w="0" w:type="dxa"/>
          <w:right w:w="0" w:type="dxa"/>
        </w:tblCellMar>
      </w:tblPr>
      <w:tblGrid>
        <w:gridCol w:w="2764"/>
        <w:gridCol w:w="2221"/>
        <w:gridCol w:w="2126"/>
        <w:gridCol w:w="2448"/>
      </w:tblGrid>
      <w:tr>
        <w:tblPrEx>
          <w:tblCellMar>
            <w:top w:w="0" w:type="dxa"/>
            <w:left w:w="0" w:type="dxa"/>
            <w:bottom w:w="0" w:type="dxa"/>
            <w:right w:w="0" w:type="dxa"/>
          </w:tblCellMar>
        </w:tblPrEx>
        <w:trPr>
          <w:trHeight w:val="492" w:hRule="atLeast"/>
        </w:trPr>
        <w:tc>
          <w:tcPr>
            <w:tcW w:w="2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840" w:firstLineChars="400"/>
              <w:textAlignment w:val="auto"/>
              <w:rPr>
                <w:rFonts w:hint="eastAsia" w:ascii="宋体" w:hAnsi="宋体" w:eastAsia="宋体" w:cs="宋体"/>
                <w:color w:val="auto"/>
                <w:highlight w:val="none"/>
              </w:rPr>
            </w:pPr>
            <w:r>
              <w:rPr>
                <w:rFonts w:hint="eastAsia" w:ascii="宋体" w:hAnsi="宋体" w:eastAsia="宋体" w:cs="宋体"/>
                <w:color w:val="auto"/>
                <w:highlight w:val="none"/>
              </w:rPr>
              <w:t>银  行</w:t>
            </w:r>
          </w:p>
        </w:tc>
        <w:tc>
          <w:tcPr>
            <w:tcW w:w="2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贷款年利率</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2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w:t>
            </w:r>
          </w:p>
        </w:tc>
      </w:tr>
      <w:tr>
        <w:tblPrEx>
          <w:tblCellMar>
            <w:top w:w="0" w:type="dxa"/>
            <w:left w:w="0" w:type="dxa"/>
            <w:bottom w:w="0" w:type="dxa"/>
            <w:right w:w="0" w:type="dxa"/>
          </w:tblCellMar>
        </w:tblPrEx>
        <w:trPr>
          <w:trHeight w:val="492" w:hRule="atLeast"/>
        </w:trPr>
        <w:tc>
          <w:tcPr>
            <w:tcW w:w="2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中国农业银行</w:t>
            </w:r>
          </w:p>
        </w:tc>
        <w:tc>
          <w:tcPr>
            <w:tcW w:w="2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3.8%起</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赵莉鹏</w:t>
            </w:r>
          </w:p>
        </w:tc>
        <w:tc>
          <w:tcPr>
            <w:tcW w:w="2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15267630808</w:t>
            </w:r>
          </w:p>
        </w:tc>
      </w:tr>
      <w:tr>
        <w:tblPrEx>
          <w:tblCellMar>
            <w:top w:w="0" w:type="dxa"/>
            <w:left w:w="0" w:type="dxa"/>
            <w:bottom w:w="0" w:type="dxa"/>
            <w:right w:w="0" w:type="dxa"/>
          </w:tblCellMar>
        </w:tblPrEx>
        <w:trPr>
          <w:trHeight w:val="492" w:hRule="atLeast"/>
        </w:trPr>
        <w:tc>
          <w:tcPr>
            <w:tcW w:w="2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中国交通银行</w:t>
            </w:r>
          </w:p>
        </w:tc>
        <w:tc>
          <w:tcPr>
            <w:tcW w:w="2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3.8%起</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王培洁</w:t>
            </w:r>
          </w:p>
        </w:tc>
        <w:tc>
          <w:tcPr>
            <w:tcW w:w="2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13819666299</w:t>
            </w:r>
          </w:p>
        </w:tc>
      </w:tr>
      <w:tr>
        <w:tblPrEx>
          <w:tblCellMar>
            <w:top w:w="0" w:type="dxa"/>
            <w:left w:w="0" w:type="dxa"/>
            <w:bottom w:w="0" w:type="dxa"/>
            <w:right w:w="0" w:type="dxa"/>
          </w:tblCellMar>
        </w:tblPrEx>
        <w:trPr>
          <w:trHeight w:val="492" w:hRule="atLeast"/>
        </w:trPr>
        <w:tc>
          <w:tcPr>
            <w:tcW w:w="2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中国建设银行</w:t>
            </w:r>
          </w:p>
        </w:tc>
        <w:tc>
          <w:tcPr>
            <w:tcW w:w="2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基准利率</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范  融</w:t>
            </w:r>
          </w:p>
        </w:tc>
        <w:tc>
          <w:tcPr>
            <w:tcW w:w="2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13958680866</w:t>
            </w:r>
          </w:p>
        </w:tc>
      </w:tr>
      <w:tr>
        <w:tblPrEx>
          <w:tblCellMar>
            <w:top w:w="0" w:type="dxa"/>
            <w:left w:w="0" w:type="dxa"/>
            <w:bottom w:w="0" w:type="dxa"/>
            <w:right w:w="0" w:type="dxa"/>
          </w:tblCellMar>
        </w:tblPrEx>
        <w:trPr>
          <w:trHeight w:val="492" w:hRule="atLeast"/>
        </w:trPr>
        <w:tc>
          <w:tcPr>
            <w:tcW w:w="2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中国工商银行</w:t>
            </w:r>
          </w:p>
        </w:tc>
        <w:tc>
          <w:tcPr>
            <w:tcW w:w="2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3.8%起</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王晨晓</w:t>
            </w:r>
          </w:p>
        </w:tc>
        <w:tc>
          <w:tcPr>
            <w:tcW w:w="2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18858658025</w:t>
            </w:r>
          </w:p>
        </w:tc>
      </w:tr>
      <w:tr>
        <w:tblPrEx>
          <w:tblCellMar>
            <w:top w:w="0" w:type="dxa"/>
            <w:left w:w="0" w:type="dxa"/>
            <w:bottom w:w="0" w:type="dxa"/>
            <w:right w:w="0" w:type="dxa"/>
          </w:tblCellMar>
        </w:tblPrEx>
        <w:trPr>
          <w:trHeight w:val="492" w:hRule="atLeast"/>
        </w:trPr>
        <w:tc>
          <w:tcPr>
            <w:tcW w:w="2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中国银行</w:t>
            </w:r>
          </w:p>
        </w:tc>
        <w:tc>
          <w:tcPr>
            <w:tcW w:w="2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3.85%起</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朱  虹</w:t>
            </w:r>
          </w:p>
        </w:tc>
        <w:tc>
          <w:tcPr>
            <w:tcW w:w="2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13806588208</w:t>
            </w:r>
          </w:p>
        </w:tc>
      </w:tr>
      <w:tr>
        <w:tblPrEx>
          <w:tblCellMar>
            <w:top w:w="0" w:type="dxa"/>
            <w:left w:w="0" w:type="dxa"/>
            <w:bottom w:w="0" w:type="dxa"/>
            <w:right w:w="0" w:type="dxa"/>
          </w:tblCellMar>
        </w:tblPrEx>
        <w:trPr>
          <w:trHeight w:val="504" w:hRule="atLeast"/>
        </w:trPr>
        <w:tc>
          <w:tcPr>
            <w:tcW w:w="2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中国邮政储蓄银行</w:t>
            </w:r>
          </w:p>
        </w:tc>
        <w:tc>
          <w:tcPr>
            <w:tcW w:w="2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3.85%起</w:t>
            </w:r>
          </w:p>
        </w:tc>
        <w:tc>
          <w:tcPr>
            <w:tcW w:w="21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王彬彬</w:t>
            </w:r>
          </w:p>
        </w:tc>
        <w:tc>
          <w:tcPr>
            <w:tcW w:w="24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13173718881</w:t>
            </w:r>
          </w:p>
        </w:tc>
      </w:tr>
    </w:tbl>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政采保</w:t>
      </w:r>
      <w:r>
        <w:rPr>
          <w:rFonts w:hint="eastAsia" w:ascii="宋体" w:hAnsi="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lang w:val="en-US" w:eastAsia="zh-CN"/>
        </w:rPr>
        <w:t>：</w:t>
      </w:r>
    </w:p>
    <w:tbl>
      <w:tblPr>
        <w:tblStyle w:val="28"/>
        <w:tblW w:w="9555" w:type="dxa"/>
        <w:tblInd w:w="55" w:type="dxa"/>
        <w:tblLayout w:type="autofit"/>
        <w:tblCellMar>
          <w:top w:w="0" w:type="dxa"/>
          <w:left w:w="0" w:type="dxa"/>
          <w:bottom w:w="0" w:type="dxa"/>
          <w:right w:w="0" w:type="dxa"/>
        </w:tblCellMar>
      </w:tblPr>
      <w:tblGrid>
        <w:gridCol w:w="4233"/>
        <w:gridCol w:w="2519"/>
        <w:gridCol w:w="1108"/>
        <w:gridCol w:w="1695"/>
      </w:tblGrid>
      <w:tr>
        <w:tblPrEx>
          <w:tblCellMar>
            <w:top w:w="0" w:type="dxa"/>
            <w:left w:w="0" w:type="dxa"/>
            <w:bottom w:w="0" w:type="dxa"/>
            <w:right w:w="0" w:type="dxa"/>
          </w:tblCellMar>
        </w:tblPrEx>
        <w:trPr>
          <w:trHeight w:val="669" w:hRule="atLeast"/>
        </w:trPr>
        <w:tc>
          <w:tcPr>
            <w:tcW w:w="42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中国人民财产保险股份有限公司温岭市支公司</w:t>
            </w:r>
          </w:p>
        </w:tc>
        <w:tc>
          <w:tcPr>
            <w:tcW w:w="25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合同（质量）履约按履约保证金年费率1%（1.5%），每单保函最低保险费为500元（300元）</w:t>
            </w: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李微微</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13605861319</w:t>
            </w:r>
          </w:p>
        </w:tc>
      </w:tr>
      <w:tr>
        <w:tblPrEx>
          <w:tblCellMar>
            <w:top w:w="0" w:type="dxa"/>
            <w:left w:w="0" w:type="dxa"/>
            <w:bottom w:w="0" w:type="dxa"/>
            <w:right w:w="0" w:type="dxa"/>
          </w:tblCellMar>
        </w:tblPrEx>
        <w:trPr>
          <w:trHeight w:val="669" w:hRule="atLeast"/>
        </w:trPr>
        <w:tc>
          <w:tcPr>
            <w:tcW w:w="42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中国平安财产保险股份有限公司温岭支公司</w:t>
            </w:r>
          </w:p>
        </w:tc>
        <w:tc>
          <w:tcPr>
            <w:tcW w:w="25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郑海珍</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13906560678</w:t>
            </w:r>
          </w:p>
        </w:tc>
      </w:tr>
      <w:tr>
        <w:tblPrEx>
          <w:tblCellMar>
            <w:top w:w="0" w:type="dxa"/>
            <w:left w:w="0" w:type="dxa"/>
            <w:bottom w:w="0" w:type="dxa"/>
            <w:right w:w="0" w:type="dxa"/>
          </w:tblCellMar>
        </w:tblPrEx>
        <w:trPr>
          <w:trHeight w:val="685" w:hRule="atLeast"/>
        </w:trPr>
        <w:tc>
          <w:tcPr>
            <w:tcW w:w="42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阳光财产保险股份有限公司温岭支公司</w:t>
            </w:r>
          </w:p>
        </w:tc>
        <w:tc>
          <w:tcPr>
            <w:tcW w:w="25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王巧萍</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13967691616</w:t>
            </w:r>
          </w:p>
        </w:tc>
      </w:tr>
    </w:tbl>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宋体" w:hAnsi="宋体" w:cs="宋体"/>
          <w:b/>
          <w:bCs/>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、对本次采购提出询问、质疑、投诉，请按以下方式联系</w:t>
      </w:r>
    </w:p>
    <w:p>
      <w:pPr>
        <w:keepNext w:val="0"/>
        <w:keepLines w:val="0"/>
        <w:pageBreakBefore w:val="0"/>
        <w:kinsoku/>
        <w:wordWrap/>
        <w:overflowPunct/>
        <w:topLinePunct w:val="0"/>
        <w:autoSpaceDE/>
        <w:autoSpaceDN/>
        <w:bidi w:val="0"/>
        <w:snapToGrid w:val="0"/>
        <w:spacing w:line="440" w:lineRule="exact"/>
        <w:ind w:firstLine="600" w:firstLineChars="250"/>
        <w:textAlignment w:val="auto"/>
        <w:rPr>
          <w:rFonts w:ascii="宋体" w:cs="宋体"/>
          <w:b/>
          <w:bCs/>
          <w:sz w:val="24"/>
          <w:szCs w:val="24"/>
        </w:rPr>
      </w:pPr>
      <w:r>
        <w:rPr>
          <w:rFonts w:hint="eastAsia" w:ascii="宋体" w:cs="宋体"/>
          <w:b/>
          <w:bCs/>
          <w:sz w:val="24"/>
          <w:szCs w:val="24"/>
        </w:rPr>
        <w:t>1.采购人信息</w:t>
      </w:r>
    </w:p>
    <w:p>
      <w:pPr>
        <w:keepNext w:val="0"/>
        <w:keepLines w:val="0"/>
        <w:pageBreakBefore w:val="0"/>
        <w:kinsoku/>
        <w:wordWrap/>
        <w:overflowPunct/>
        <w:topLinePunct w:val="0"/>
        <w:autoSpaceDE/>
        <w:autoSpaceDN/>
        <w:bidi w:val="0"/>
        <w:snapToGrid w:val="0"/>
        <w:spacing w:line="440" w:lineRule="exact"/>
        <w:ind w:firstLine="600" w:firstLineChars="250"/>
        <w:textAlignment w:val="auto"/>
        <w:rPr>
          <w:rFonts w:hint="eastAsia" w:ascii="宋体" w:cs="宋体"/>
          <w:sz w:val="24"/>
          <w:szCs w:val="24"/>
        </w:rPr>
      </w:pPr>
      <w:r>
        <w:rPr>
          <w:rFonts w:hint="eastAsia" w:ascii="宋体" w:cs="宋体"/>
          <w:sz w:val="24"/>
          <w:szCs w:val="24"/>
        </w:rPr>
        <w:t>名    称：</w:t>
      </w:r>
      <w:r>
        <w:rPr>
          <w:rFonts w:hint="eastAsia" w:ascii="宋体" w:cs="宋体"/>
          <w:sz w:val="24"/>
          <w:szCs w:val="24"/>
          <w:lang w:eastAsia="zh-CN"/>
        </w:rPr>
        <w:t>温岭市住房和城乡建设局</w:t>
      </w:r>
      <w:r>
        <w:rPr>
          <w:rFonts w:hint="eastAsia" w:ascii="宋体" w:cs="宋体"/>
          <w:sz w:val="24"/>
          <w:szCs w:val="24"/>
        </w:rPr>
        <w:t> </w:t>
      </w:r>
    </w:p>
    <w:p>
      <w:pPr>
        <w:snapToGrid w:val="0"/>
        <w:spacing w:line="440" w:lineRule="exact"/>
        <w:ind w:firstLine="600" w:firstLineChars="250"/>
        <w:rPr>
          <w:rFonts w:hint="eastAsia" w:ascii="宋体" w:eastAsia="宋体" w:cs="宋体"/>
          <w:sz w:val="24"/>
          <w:szCs w:val="24"/>
          <w:lang w:eastAsia="zh-CN"/>
        </w:rPr>
      </w:pPr>
      <w:r>
        <w:rPr>
          <w:rFonts w:hint="eastAsia" w:ascii="宋体" w:cs="宋体"/>
          <w:sz w:val="24"/>
          <w:szCs w:val="24"/>
        </w:rPr>
        <w:t>项目联系人（询问）：</w:t>
      </w:r>
      <w:r>
        <w:rPr>
          <w:rFonts w:hint="eastAsia" w:ascii="宋体" w:cs="宋体"/>
          <w:sz w:val="24"/>
          <w:szCs w:val="24"/>
          <w:lang w:val="en-US" w:eastAsia="zh-CN"/>
        </w:rPr>
        <w:t>叶女士</w:t>
      </w:r>
      <w:r>
        <w:rPr>
          <w:rFonts w:hint="eastAsia" w:ascii="宋体" w:cs="宋体"/>
          <w:color w:val="auto"/>
          <w:sz w:val="24"/>
          <w:szCs w:val="24"/>
          <w:lang w:val="en-US" w:eastAsia="zh-CN"/>
        </w:rPr>
        <w:t xml:space="preserve"> </w:t>
      </w:r>
    </w:p>
    <w:p>
      <w:pPr>
        <w:snapToGrid w:val="0"/>
        <w:spacing w:line="440" w:lineRule="exact"/>
        <w:ind w:firstLine="600" w:firstLineChars="250"/>
        <w:rPr>
          <w:rFonts w:ascii="宋体" w:cs="宋体"/>
          <w:sz w:val="24"/>
          <w:szCs w:val="24"/>
        </w:rPr>
      </w:pPr>
      <w:r>
        <w:rPr>
          <w:rFonts w:hint="eastAsia" w:ascii="宋体" w:cs="宋体"/>
          <w:sz w:val="24"/>
          <w:szCs w:val="24"/>
        </w:rPr>
        <w:t>项目联系方式（询问）：</w:t>
      </w:r>
      <w:r>
        <w:rPr>
          <w:rFonts w:hint="eastAsia" w:ascii="宋体" w:hAnsi="宋体" w:cs="宋体"/>
          <w:kern w:val="0"/>
          <w:sz w:val="24"/>
          <w:lang w:val="en-US" w:eastAsia="zh-CN"/>
        </w:rPr>
        <w:t>0576-</w:t>
      </w:r>
      <w:r>
        <w:rPr>
          <w:rFonts w:hint="eastAsia" w:ascii="宋体" w:hAnsi="宋体" w:cs="宋体"/>
          <w:kern w:val="0"/>
          <w:sz w:val="24"/>
          <w:lang w:eastAsia="zh-CN"/>
        </w:rPr>
        <w:t>86101722</w:t>
      </w:r>
    </w:p>
    <w:p>
      <w:pPr>
        <w:keepNext w:val="0"/>
        <w:keepLines w:val="0"/>
        <w:pageBreakBefore w:val="0"/>
        <w:kinsoku/>
        <w:wordWrap/>
        <w:overflowPunct/>
        <w:topLinePunct w:val="0"/>
        <w:autoSpaceDE/>
        <w:autoSpaceDN/>
        <w:bidi w:val="0"/>
        <w:snapToGrid w:val="0"/>
        <w:spacing w:line="440" w:lineRule="exact"/>
        <w:ind w:firstLine="600" w:firstLineChars="250"/>
        <w:textAlignment w:val="auto"/>
        <w:rPr>
          <w:rFonts w:ascii="宋体" w:cs="宋体"/>
          <w:sz w:val="24"/>
          <w:szCs w:val="24"/>
        </w:rPr>
      </w:pPr>
      <w:r>
        <w:rPr>
          <w:rFonts w:hint="eastAsia" w:ascii="宋体" w:cs="宋体"/>
          <w:b/>
          <w:bCs/>
          <w:sz w:val="24"/>
          <w:szCs w:val="24"/>
        </w:rPr>
        <w:t>2.采购代理机构信息 </w:t>
      </w:r>
      <w:r>
        <w:rPr>
          <w:rFonts w:hint="eastAsia" w:ascii="宋体" w:cs="宋体"/>
          <w:sz w:val="24"/>
          <w:szCs w:val="24"/>
        </w:rPr>
        <w:t>           </w:t>
      </w:r>
    </w:p>
    <w:p>
      <w:pPr>
        <w:keepNext w:val="0"/>
        <w:keepLines w:val="0"/>
        <w:pageBreakBefore w:val="0"/>
        <w:kinsoku/>
        <w:wordWrap/>
        <w:overflowPunct/>
        <w:topLinePunct w:val="0"/>
        <w:autoSpaceDE/>
        <w:autoSpaceDN/>
        <w:bidi w:val="0"/>
        <w:snapToGrid w:val="0"/>
        <w:spacing w:line="440" w:lineRule="exact"/>
        <w:ind w:firstLine="600" w:firstLineChars="250"/>
        <w:textAlignment w:val="auto"/>
        <w:rPr>
          <w:rFonts w:ascii="宋体" w:cs="宋体"/>
          <w:sz w:val="24"/>
          <w:szCs w:val="24"/>
        </w:rPr>
      </w:pPr>
      <w:r>
        <w:rPr>
          <w:rFonts w:hint="eastAsia" w:ascii="宋体" w:cs="宋体"/>
          <w:sz w:val="24"/>
          <w:szCs w:val="24"/>
        </w:rPr>
        <w:t>名    称：建经投资咨询有限公司             </w:t>
      </w:r>
    </w:p>
    <w:p>
      <w:pPr>
        <w:keepNext w:val="0"/>
        <w:keepLines w:val="0"/>
        <w:pageBreakBefore w:val="0"/>
        <w:kinsoku/>
        <w:wordWrap/>
        <w:overflowPunct/>
        <w:topLinePunct w:val="0"/>
        <w:autoSpaceDE/>
        <w:autoSpaceDN/>
        <w:bidi w:val="0"/>
        <w:snapToGrid w:val="0"/>
        <w:spacing w:line="440" w:lineRule="exact"/>
        <w:ind w:firstLine="600" w:firstLineChars="250"/>
        <w:textAlignment w:val="auto"/>
        <w:rPr>
          <w:rFonts w:ascii="宋体" w:cs="宋体"/>
          <w:sz w:val="24"/>
          <w:szCs w:val="24"/>
        </w:rPr>
      </w:pPr>
      <w:r>
        <w:rPr>
          <w:rFonts w:hint="eastAsia" w:ascii="宋体" w:cs="宋体"/>
          <w:sz w:val="24"/>
          <w:szCs w:val="24"/>
        </w:rPr>
        <w:t>地    址：浙江省温岭市万昌路服务业大厦8楼             </w:t>
      </w:r>
    </w:p>
    <w:p>
      <w:pPr>
        <w:keepNext w:val="0"/>
        <w:keepLines w:val="0"/>
        <w:pageBreakBefore w:val="0"/>
        <w:kinsoku/>
        <w:wordWrap/>
        <w:overflowPunct/>
        <w:topLinePunct w:val="0"/>
        <w:autoSpaceDE/>
        <w:autoSpaceDN/>
        <w:bidi w:val="0"/>
        <w:snapToGrid w:val="0"/>
        <w:spacing w:line="440" w:lineRule="exact"/>
        <w:ind w:firstLine="600" w:firstLineChars="250"/>
        <w:textAlignment w:val="auto"/>
        <w:rPr>
          <w:rFonts w:ascii="宋体" w:cs="宋体"/>
          <w:sz w:val="24"/>
          <w:szCs w:val="24"/>
        </w:rPr>
      </w:pPr>
      <w:r>
        <w:rPr>
          <w:rFonts w:hint="eastAsia" w:ascii="宋体" w:cs="宋体"/>
          <w:sz w:val="24"/>
          <w:szCs w:val="24"/>
        </w:rPr>
        <w:t>传    真：0576-86087802             </w:t>
      </w:r>
    </w:p>
    <w:p>
      <w:pPr>
        <w:keepNext w:val="0"/>
        <w:keepLines w:val="0"/>
        <w:pageBreakBefore w:val="0"/>
        <w:kinsoku/>
        <w:wordWrap/>
        <w:overflowPunct/>
        <w:topLinePunct w:val="0"/>
        <w:autoSpaceDE/>
        <w:autoSpaceDN/>
        <w:bidi w:val="0"/>
        <w:snapToGrid w:val="0"/>
        <w:spacing w:line="440" w:lineRule="exact"/>
        <w:ind w:firstLine="600" w:firstLineChars="250"/>
        <w:textAlignment w:val="auto"/>
        <w:rPr>
          <w:rFonts w:ascii="宋体" w:cs="宋体"/>
          <w:sz w:val="24"/>
          <w:szCs w:val="24"/>
        </w:rPr>
      </w:pPr>
      <w:r>
        <w:rPr>
          <w:rFonts w:hint="eastAsia" w:ascii="宋体" w:cs="宋体"/>
          <w:sz w:val="24"/>
          <w:szCs w:val="24"/>
        </w:rPr>
        <w:t>项目联系人（询问）：夏汾汾</w:t>
      </w:r>
      <w:r>
        <w:rPr>
          <w:rFonts w:hint="eastAsia" w:ascii="宋体" w:cs="宋体"/>
          <w:sz w:val="24"/>
          <w:szCs w:val="24"/>
          <w:lang w:eastAsia="zh-CN"/>
        </w:rPr>
        <w:t>、</w:t>
      </w:r>
      <w:r>
        <w:rPr>
          <w:rFonts w:hint="eastAsia" w:ascii="宋体" w:cs="宋体"/>
          <w:sz w:val="24"/>
          <w:szCs w:val="24"/>
          <w:lang w:val="en-US" w:eastAsia="zh-CN"/>
        </w:rPr>
        <w:t>金凤娟</w:t>
      </w:r>
      <w:r>
        <w:rPr>
          <w:rFonts w:hint="eastAsia" w:ascii="宋体" w:cs="宋体"/>
          <w:sz w:val="24"/>
          <w:szCs w:val="24"/>
        </w:rPr>
        <w:t>              </w:t>
      </w:r>
    </w:p>
    <w:p>
      <w:pPr>
        <w:keepNext w:val="0"/>
        <w:keepLines w:val="0"/>
        <w:pageBreakBefore w:val="0"/>
        <w:kinsoku/>
        <w:wordWrap/>
        <w:overflowPunct/>
        <w:topLinePunct w:val="0"/>
        <w:autoSpaceDE/>
        <w:autoSpaceDN/>
        <w:bidi w:val="0"/>
        <w:snapToGrid w:val="0"/>
        <w:spacing w:line="440" w:lineRule="exact"/>
        <w:ind w:firstLine="600" w:firstLineChars="250"/>
        <w:textAlignment w:val="auto"/>
        <w:rPr>
          <w:rFonts w:ascii="宋体" w:cs="宋体"/>
          <w:sz w:val="24"/>
          <w:szCs w:val="24"/>
        </w:rPr>
      </w:pPr>
      <w:r>
        <w:rPr>
          <w:rFonts w:hint="eastAsia" w:ascii="宋体" w:cs="宋体"/>
          <w:sz w:val="24"/>
          <w:szCs w:val="24"/>
        </w:rPr>
        <w:t>项目联系方式（询问）：0576-81761099</w:t>
      </w:r>
      <w:r>
        <w:rPr>
          <w:rFonts w:hint="eastAsia" w:ascii="宋体" w:cs="宋体"/>
          <w:sz w:val="24"/>
          <w:szCs w:val="24"/>
          <w:lang w:eastAsia="zh-CN"/>
        </w:rPr>
        <w:t>、</w:t>
      </w:r>
      <w:r>
        <w:rPr>
          <w:rFonts w:hint="eastAsia" w:ascii="宋体" w:cs="宋体"/>
          <w:sz w:val="24"/>
          <w:szCs w:val="24"/>
        </w:rPr>
        <w:t>0576-817610</w:t>
      </w:r>
      <w:r>
        <w:rPr>
          <w:rFonts w:hint="eastAsia" w:ascii="宋体" w:cs="宋体"/>
          <w:sz w:val="24"/>
          <w:szCs w:val="24"/>
          <w:lang w:val="en-US" w:eastAsia="zh-CN"/>
        </w:rPr>
        <w:t>87</w:t>
      </w:r>
      <w:r>
        <w:rPr>
          <w:rFonts w:hint="eastAsia" w:ascii="宋体" w:cs="宋体"/>
          <w:sz w:val="24"/>
          <w:szCs w:val="24"/>
        </w:rPr>
        <w:t> </w:t>
      </w:r>
    </w:p>
    <w:p>
      <w:pPr>
        <w:keepNext w:val="0"/>
        <w:keepLines w:val="0"/>
        <w:pageBreakBefore w:val="0"/>
        <w:kinsoku/>
        <w:wordWrap/>
        <w:overflowPunct/>
        <w:topLinePunct w:val="0"/>
        <w:autoSpaceDE/>
        <w:autoSpaceDN/>
        <w:bidi w:val="0"/>
        <w:snapToGrid w:val="0"/>
        <w:spacing w:line="440" w:lineRule="exact"/>
        <w:ind w:firstLine="600" w:firstLineChars="250"/>
        <w:textAlignment w:val="auto"/>
        <w:rPr>
          <w:rFonts w:ascii="宋体" w:cs="宋体"/>
          <w:sz w:val="24"/>
          <w:szCs w:val="24"/>
        </w:rPr>
      </w:pPr>
      <w:r>
        <w:rPr>
          <w:rFonts w:hint="eastAsia" w:ascii="宋体" w:cs="宋体"/>
          <w:sz w:val="24"/>
          <w:szCs w:val="24"/>
        </w:rPr>
        <w:t>质疑联系人：吕玉平             </w:t>
      </w:r>
    </w:p>
    <w:p>
      <w:pPr>
        <w:keepNext w:val="0"/>
        <w:keepLines w:val="0"/>
        <w:pageBreakBefore w:val="0"/>
        <w:kinsoku/>
        <w:wordWrap/>
        <w:overflowPunct/>
        <w:topLinePunct w:val="0"/>
        <w:autoSpaceDE/>
        <w:autoSpaceDN/>
        <w:bidi w:val="0"/>
        <w:snapToGrid w:val="0"/>
        <w:spacing w:line="440" w:lineRule="exact"/>
        <w:ind w:firstLine="600" w:firstLineChars="250"/>
        <w:textAlignment w:val="auto"/>
        <w:rPr>
          <w:rFonts w:ascii="宋体" w:cs="宋体"/>
          <w:sz w:val="24"/>
          <w:szCs w:val="24"/>
        </w:rPr>
      </w:pPr>
      <w:r>
        <w:rPr>
          <w:rFonts w:hint="eastAsia" w:ascii="宋体" w:cs="宋体"/>
          <w:sz w:val="24"/>
          <w:szCs w:val="24"/>
        </w:rPr>
        <w:t>质疑联系方式：0576-81761099 　　　　　　     </w:t>
      </w:r>
    </w:p>
    <w:p>
      <w:pPr>
        <w:keepNext w:val="0"/>
        <w:keepLines w:val="0"/>
        <w:pageBreakBefore w:val="0"/>
        <w:kinsoku/>
        <w:wordWrap/>
        <w:overflowPunct/>
        <w:topLinePunct w:val="0"/>
        <w:autoSpaceDE/>
        <w:autoSpaceDN/>
        <w:bidi w:val="0"/>
        <w:snapToGrid w:val="0"/>
        <w:spacing w:line="440" w:lineRule="exact"/>
        <w:ind w:firstLine="600" w:firstLineChars="250"/>
        <w:textAlignment w:val="auto"/>
        <w:rPr>
          <w:rFonts w:ascii="宋体" w:cs="宋体"/>
          <w:sz w:val="24"/>
          <w:szCs w:val="24"/>
        </w:rPr>
      </w:pPr>
      <w:r>
        <w:rPr>
          <w:rFonts w:hint="eastAsia" w:ascii="宋体" w:cs="宋体"/>
          <w:b/>
          <w:bCs/>
          <w:sz w:val="24"/>
          <w:szCs w:val="24"/>
        </w:rPr>
        <w:t>3.同级政府采购监督管理部门</w:t>
      </w:r>
      <w:r>
        <w:rPr>
          <w:rFonts w:hint="eastAsia" w:ascii="宋体" w:cs="宋体"/>
          <w:sz w:val="24"/>
          <w:szCs w:val="24"/>
        </w:rPr>
        <w:t>            </w:t>
      </w:r>
    </w:p>
    <w:p>
      <w:pPr>
        <w:keepNext w:val="0"/>
        <w:keepLines w:val="0"/>
        <w:pageBreakBefore w:val="0"/>
        <w:kinsoku/>
        <w:wordWrap/>
        <w:overflowPunct/>
        <w:topLinePunct w:val="0"/>
        <w:autoSpaceDE/>
        <w:autoSpaceDN/>
        <w:bidi w:val="0"/>
        <w:snapToGrid w:val="0"/>
        <w:spacing w:line="440" w:lineRule="exact"/>
        <w:ind w:firstLine="600" w:firstLineChars="250"/>
        <w:textAlignment w:val="auto"/>
        <w:rPr>
          <w:rFonts w:ascii="宋体" w:cs="宋体"/>
          <w:sz w:val="24"/>
          <w:szCs w:val="24"/>
        </w:rPr>
      </w:pPr>
      <w:r>
        <w:rPr>
          <w:rFonts w:hint="eastAsia" w:ascii="宋体" w:cs="宋体"/>
          <w:sz w:val="24"/>
          <w:szCs w:val="24"/>
        </w:rPr>
        <w:t>名    称：温岭市财政局             </w:t>
      </w:r>
    </w:p>
    <w:p>
      <w:pPr>
        <w:keepNext w:val="0"/>
        <w:keepLines w:val="0"/>
        <w:pageBreakBefore w:val="0"/>
        <w:kinsoku/>
        <w:wordWrap/>
        <w:overflowPunct/>
        <w:topLinePunct w:val="0"/>
        <w:autoSpaceDE/>
        <w:autoSpaceDN/>
        <w:bidi w:val="0"/>
        <w:snapToGrid w:val="0"/>
        <w:spacing w:line="440" w:lineRule="exact"/>
        <w:ind w:firstLine="600" w:firstLineChars="250"/>
        <w:textAlignment w:val="auto"/>
        <w:rPr>
          <w:rFonts w:ascii="宋体" w:cs="宋体"/>
          <w:sz w:val="24"/>
          <w:szCs w:val="24"/>
        </w:rPr>
      </w:pPr>
      <w:r>
        <w:rPr>
          <w:rFonts w:hint="eastAsia" w:ascii="宋体" w:cs="宋体"/>
          <w:sz w:val="24"/>
          <w:szCs w:val="24"/>
        </w:rPr>
        <w:t>地    址：浙江省温岭市太平街道中华路29号                      </w:t>
      </w:r>
    </w:p>
    <w:p>
      <w:pPr>
        <w:keepNext w:val="0"/>
        <w:keepLines w:val="0"/>
        <w:pageBreakBefore w:val="0"/>
        <w:kinsoku/>
        <w:wordWrap/>
        <w:overflowPunct/>
        <w:topLinePunct w:val="0"/>
        <w:autoSpaceDE/>
        <w:autoSpaceDN/>
        <w:bidi w:val="0"/>
        <w:snapToGrid w:val="0"/>
        <w:spacing w:line="440" w:lineRule="exact"/>
        <w:ind w:firstLine="600" w:firstLineChars="250"/>
        <w:textAlignment w:val="auto"/>
        <w:rPr>
          <w:rFonts w:ascii="宋体" w:cs="宋体"/>
          <w:sz w:val="24"/>
          <w:szCs w:val="24"/>
        </w:rPr>
      </w:pPr>
      <w:r>
        <w:rPr>
          <w:rFonts w:hint="eastAsia" w:ascii="宋体" w:cs="宋体"/>
          <w:sz w:val="24"/>
          <w:szCs w:val="24"/>
        </w:rPr>
        <w:t>联系人 ：温岭市财政局政府采购监管科             </w:t>
      </w:r>
    </w:p>
    <w:p>
      <w:pPr>
        <w:keepNext w:val="0"/>
        <w:keepLines w:val="0"/>
        <w:pageBreakBefore w:val="0"/>
        <w:kinsoku/>
        <w:wordWrap/>
        <w:overflowPunct/>
        <w:topLinePunct w:val="0"/>
        <w:autoSpaceDE/>
        <w:autoSpaceDN/>
        <w:bidi w:val="0"/>
        <w:snapToGrid w:val="0"/>
        <w:spacing w:line="440" w:lineRule="exact"/>
        <w:ind w:firstLine="600" w:firstLineChars="250"/>
        <w:textAlignment w:val="auto"/>
        <w:rPr>
          <w:rFonts w:ascii="宋体" w:cs="宋体"/>
          <w:sz w:val="24"/>
          <w:szCs w:val="24"/>
        </w:rPr>
      </w:pPr>
      <w:r>
        <w:rPr>
          <w:rFonts w:hint="eastAsia" w:ascii="宋体" w:cs="宋体"/>
          <w:sz w:val="24"/>
          <w:szCs w:val="24"/>
        </w:rPr>
        <w:t>监督投诉电话：0576-86086511          </w:t>
      </w:r>
    </w:p>
    <w:p>
      <w:pPr>
        <w:snapToGrid w:val="0"/>
        <w:spacing w:line="440" w:lineRule="exact"/>
        <w:ind w:firstLine="900" w:firstLineChars="250"/>
        <w:rPr>
          <w:rFonts w:ascii="宋体" w:cs="宋体"/>
          <w:b/>
          <w:bCs/>
          <w:kern w:val="0"/>
          <w:sz w:val="32"/>
          <w:szCs w:val="32"/>
        </w:rPr>
      </w:pPr>
      <w:r>
        <w:rPr>
          <w:rFonts w:hint="eastAsia" w:ascii="宋体" w:hAnsi="宋体" w:cs="宋体"/>
          <w:b/>
          <w:bCs/>
          <w:kern w:val="0"/>
          <w:sz w:val="36"/>
          <w:szCs w:val="36"/>
        </w:rPr>
        <w:br w:type="page"/>
      </w:r>
      <w:bookmarkStart w:id="26" w:name="_Toc32386"/>
      <w:r>
        <w:rPr>
          <w:rFonts w:hint="eastAsia" w:ascii="宋体" w:hAnsi="宋体" w:cs="宋体"/>
          <w:b/>
          <w:bCs/>
          <w:kern w:val="0"/>
          <w:sz w:val="36"/>
          <w:szCs w:val="36"/>
          <w:lang w:val="en-US" w:eastAsia="zh-CN"/>
        </w:rPr>
        <w:t xml:space="preserve">          </w:t>
      </w:r>
      <w:r>
        <w:rPr>
          <w:rFonts w:hint="eastAsia" w:ascii="宋体" w:hAnsi="宋体" w:cs="宋体"/>
          <w:b/>
          <w:bCs/>
          <w:kern w:val="0"/>
          <w:sz w:val="32"/>
          <w:szCs w:val="32"/>
        </w:rPr>
        <w:t>第二章 投标人须知</w:t>
      </w:r>
      <w:bookmarkEnd w:id="26"/>
    </w:p>
    <w:p>
      <w:pPr>
        <w:spacing w:line="360" w:lineRule="auto"/>
        <w:jc w:val="center"/>
        <w:rPr>
          <w:rFonts w:ascii="宋体" w:cs="宋体"/>
          <w:b/>
          <w:bCs/>
          <w:sz w:val="28"/>
          <w:szCs w:val="28"/>
        </w:rPr>
      </w:pPr>
      <w:r>
        <w:rPr>
          <w:rFonts w:hint="eastAsia" w:ascii="宋体" w:hAnsi="宋体" w:cs="宋体"/>
          <w:b/>
          <w:bCs/>
          <w:sz w:val="28"/>
          <w:szCs w:val="28"/>
        </w:rPr>
        <w:t>前</w:t>
      </w:r>
      <w:r>
        <w:rPr>
          <w:rFonts w:hint="eastAsia" w:ascii="宋体" w:hAnsi="宋体" w:cs="宋体"/>
          <w:b/>
          <w:bCs/>
          <w:sz w:val="28"/>
          <w:szCs w:val="28"/>
          <w:lang w:val="en-US" w:eastAsia="zh-CN"/>
        </w:rPr>
        <w:t xml:space="preserve"> </w:t>
      </w:r>
      <w:r>
        <w:rPr>
          <w:rFonts w:hint="eastAsia" w:ascii="宋体" w:hAnsi="宋体" w:cs="宋体"/>
          <w:b/>
          <w:bCs/>
          <w:sz w:val="28"/>
          <w:szCs w:val="28"/>
        </w:rPr>
        <w:t>附</w:t>
      </w:r>
      <w:r>
        <w:rPr>
          <w:rFonts w:hint="eastAsia" w:ascii="宋体" w:hAnsi="宋体" w:cs="宋体"/>
          <w:b/>
          <w:bCs/>
          <w:sz w:val="28"/>
          <w:szCs w:val="28"/>
          <w:lang w:val="en-US" w:eastAsia="zh-CN"/>
        </w:rPr>
        <w:t xml:space="preserve"> </w:t>
      </w:r>
      <w:r>
        <w:rPr>
          <w:rFonts w:hint="eastAsia" w:ascii="宋体" w:hAnsi="宋体" w:cs="宋体"/>
          <w:b/>
          <w:bCs/>
          <w:sz w:val="28"/>
          <w:szCs w:val="28"/>
        </w:rPr>
        <w:t>表</w:t>
      </w:r>
    </w:p>
    <w:tbl>
      <w:tblPr>
        <w:tblStyle w:val="28"/>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950"/>
        <w:gridCol w:w="2551"/>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blHeader/>
          <w:jc w:val="center"/>
        </w:trPr>
        <w:tc>
          <w:tcPr>
            <w:tcW w:w="786" w:type="dxa"/>
            <w:tcBorders>
              <w:tl2br w:val="nil"/>
              <w:tr2bl w:val="nil"/>
            </w:tcBorders>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序号</w:t>
            </w:r>
          </w:p>
        </w:tc>
        <w:tc>
          <w:tcPr>
            <w:tcW w:w="1950" w:type="dxa"/>
            <w:tcBorders>
              <w:tl2br w:val="nil"/>
              <w:tr2bl w:val="nil"/>
            </w:tcBorders>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项    目</w:t>
            </w:r>
          </w:p>
        </w:tc>
        <w:tc>
          <w:tcPr>
            <w:tcW w:w="6648" w:type="dxa"/>
            <w:gridSpan w:val="2"/>
            <w:tcBorders>
              <w:tl2br w:val="nil"/>
              <w:tr2bl w:val="nil"/>
            </w:tcBorders>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1</w:t>
            </w:r>
          </w:p>
        </w:tc>
        <w:tc>
          <w:tcPr>
            <w:tcW w:w="1950" w:type="dxa"/>
            <w:tcBorders>
              <w:tl2br w:val="nil"/>
              <w:tr2bl w:val="nil"/>
            </w:tcBorders>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采购项目</w:t>
            </w:r>
          </w:p>
        </w:tc>
        <w:tc>
          <w:tcPr>
            <w:tcW w:w="6648" w:type="dxa"/>
            <w:gridSpan w:val="2"/>
            <w:tcBorders>
              <w:tl2br w:val="nil"/>
              <w:tr2bl w:val="nil"/>
            </w:tcBorders>
            <w:vAlign w:val="center"/>
          </w:tcPr>
          <w:p>
            <w:pPr>
              <w:pStyle w:val="24"/>
              <w:tabs>
                <w:tab w:val="left" w:pos="6930"/>
              </w:tabs>
              <w:spacing w:before="0" w:beforeAutospacing="0" w:after="0" w:afterAutospacing="0" w:line="360" w:lineRule="exact"/>
              <w:ind w:left="1200" w:hanging="1100" w:hangingChars="500"/>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项目名称：</w:t>
            </w:r>
            <w:r>
              <w:rPr>
                <w:rFonts w:hint="eastAsia" w:cs="宋体"/>
                <w:kern w:val="2"/>
                <w:sz w:val="22"/>
                <w:szCs w:val="22"/>
                <w:lang w:val="zh-CN" w:eastAsia="zh-CN" w:bidi="ar-SA"/>
              </w:rPr>
              <w:t>温岭市住房和城乡建设局2022年-2025年绿化及道路养护采购（重新发布）</w:t>
            </w:r>
          </w:p>
          <w:p>
            <w:pPr>
              <w:pStyle w:val="24"/>
              <w:tabs>
                <w:tab w:val="left" w:pos="6930"/>
              </w:tabs>
              <w:spacing w:before="0" w:beforeAutospacing="0" w:after="0" w:afterAutospacing="0" w:line="360" w:lineRule="exac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项目编号：</w:t>
            </w:r>
            <w:r>
              <w:rPr>
                <w:rFonts w:hint="eastAsia" w:cs="宋体"/>
                <w:kern w:val="2"/>
                <w:sz w:val="22"/>
                <w:szCs w:val="22"/>
                <w:lang w:val="zh-CN" w:eastAsia="zh-CN" w:bidi="ar-SA"/>
              </w:rPr>
              <w:t>JJWL220509129-1</w:t>
            </w:r>
            <w:r>
              <w:rPr>
                <w:rFonts w:hint="eastAsia" w:ascii="宋体" w:hAnsi="宋体" w:eastAsia="宋体" w:cs="宋体"/>
                <w:kern w:val="2"/>
                <w:sz w:val="22"/>
                <w:szCs w:val="22"/>
                <w:lang w:val="zh-CN" w:eastAsia="zh-CN" w:bidi="ar-SA"/>
              </w:rPr>
              <w:t xml:space="preserve"> </w:t>
            </w:r>
          </w:p>
          <w:p>
            <w:pPr>
              <w:pStyle w:val="24"/>
              <w:tabs>
                <w:tab w:val="left" w:pos="6930"/>
              </w:tabs>
              <w:spacing w:before="0" w:beforeAutospacing="0" w:after="0" w:afterAutospacing="0" w:line="360" w:lineRule="exac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项目内容：详见第</w:t>
            </w:r>
            <w:r>
              <w:rPr>
                <w:rFonts w:hint="eastAsia" w:ascii="宋体" w:hAnsi="宋体" w:eastAsia="宋体" w:cs="宋体"/>
                <w:kern w:val="2"/>
                <w:sz w:val="22"/>
                <w:szCs w:val="22"/>
                <w:lang w:val="en-US" w:eastAsia="zh-CN" w:bidi="ar-SA"/>
              </w:rPr>
              <w:t>四</w:t>
            </w:r>
            <w:r>
              <w:rPr>
                <w:rFonts w:hint="eastAsia" w:ascii="宋体" w:hAnsi="宋体" w:eastAsia="宋体" w:cs="宋体"/>
                <w:kern w:val="2"/>
                <w:sz w:val="22"/>
                <w:szCs w:val="22"/>
                <w:lang w:val="zh-CN" w:eastAsia="zh-CN" w:bidi="ar-SA"/>
              </w:rPr>
              <w:t>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2</w:t>
            </w:r>
          </w:p>
        </w:tc>
        <w:tc>
          <w:tcPr>
            <w:tcW w:w="1950" w:type="dxa"/>
            <w:tcBorders>
              <w:tl2br w:val="nil"/>
              <w:tr2bl w:val="nil"/>
            </w:tcBorders>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采购方式</w:t>
            </w:r>
          </w:p>
        </w:tc>
        <w:tc>
          <w:tcPr>
            <w:tcW w:w="6648" w:type="dxa"/>
            <w:gridSpan w:val="2"/>
            <w:tcBorders>
              <w:tl2br w:val="nil"/>
              <w:tr2bl w:val="nil"/>
            </w:tcBorders>
            <w:vAlign w:val="center"/>
          </w:tcPr>
          <w:p>
            <w:pPr>
              <w:spacing w:line="360" w:lineRule="exact"/>
              <w:rPr>
                <w:rFonts w:hint="eastAsia" w:ascii="宋体" w:hAnsi="宋体" w:eastAsia="宋体" w:cs="宋体"/>
                <w:sz w:val="22"/>
                <w:szCs w:val="22"/>
              </w:rPr>
            </w:pPr>
            <w:r>
              <w:rPr>
                <w:rFonts w:hint="eastAsia" w:ascii="宋体" w:hAnsi="宋体" w:eastAsia="宋体" w:cs="宋体"/>
                <w:sz w:val="22"/>
                <w:szCs w:val="22"/>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3</w:t>
            </w:r>
          </w:p>
        </w:tc>
        <w:tc>
          <w:tcPr>
            <w:tcW w:w="1950" w:type="dxa"/>
            <w:tcBorders>
              <w:tl2br w:val="nil"/>
              <w:tr2bl w:val="nil"/>
            </w:tcBorders>
            <w:vAlign w:val="center"/>
          </w:tcPr>
          <w:p>
            <w:pPr>
              <w:pStyle w:val="24"/>
              <w:tabs>
                <w:tab w:val="left" w:pos="6930"/>
              </w:tabs>
              <w:spacing w:before="0" w:beforeAutospacing="0" w:after="0" w:afterAutospacing="0" w:line="360" w:lineRule="exact"/>
              <w:jc w:val="center"/>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投标文件形式、组成及制作</w:t>
            </w:r>
          </w:p>
          <w:p>
            <w:pPr>
              <w:pStyle w:val="24"/>
              <w:tabs>
                <w:tab w:val="left" w:pos="6930"/>
              </w:tabs>
              <w:spacing w:before="0" w:beforeAutospacing="0" w:after="0" w:afterAutospacing="0" w:line="360" w:lineRule="exact"/>
              <w:rPr>
                <w:rFonts w:hint="eastAsia" w:ascii="宋体" w:hAnsi="宋体" w:eastAsia="宋体" w:cs="宋体"/>
                <w:b/>
                <w:bCs/>
                <w:sz w:val="22"/>
                <w:szCs w:val="22"/>
              </w:rPr>
            </w:pPr>
          </w:p>
        </w:tc>
        <w:tc>
          <w:tcPr>
            <w:tcW w:w="6648" w:type="dxa"/>
            <w:gridSpan w:val="2"/>
            <w:tcBorders>
              <w:tl2br w:val="nil"/>
              <w:tr2bl w:val="nil"/>
            </w:tcBorders>
            <w:vAlign w:val="center"/>
          </w:tcPr>
          <w:p>
            <w:pPr>
              <w:pStyle w:val="24"/>
              <w:tabs>
                <w:tab w:val="left" w:pos="6930"/>
              </w:tabs>
              <w:spacing w:before="0" w:beforeAutospacing="0" w:after="0" w:afterAutospacing="0" w:line="360" w:lineRule="exact"/>
              <w:ind w:firstLine="220" w:firstLineChars="100"/>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1.投标文件的形式：电子投标文件（包括“电子加密投标文件”和“备份投标文件”，在投标文件编制完成后同时生成）；</w:t>
            </w:r>
          </w:p>
          <w:p>
            <w:pPr>
              <w:pStyle w:val="24"/>
              <w:tabs>
                <w:tab w:val="left" w:pos="6930"/>
              </w:tabs>
              <w:spacing w:before="0" w:beforeAutospacing="0" w:after="0" w:afterAutospacing="0" w:line="360" w:lineRule="exac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1）“电子加密投标文件”是指通过“政采云电子交易客户端”完成投标文件编制后生成并加密的数据电文形式的投标文件。</w:t>
            </w:r>
          </w:p>
          <w:p>
            <w:pPr>
              <w:pStyle w:val="24"/>
              <w:tabs>
                <w:tab w:val="left" w:pos="6930"/>
              </w:tabs>
              <w:spacing w:before="0" w:beforeAutospacing="0" w:after="0" w:afterAutospacing="0" w:line="360" w:lineRule="exac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2）“备份投标文件”是指与“电子加密投标文件”同时生成的数据电文形式的电子文件（备份标书），其他方式编制的“备份投标文件”视为无效“备份投标文件”。</w:t>
            </w:r>
          </w:p>
          <w:p>
            <w:pPr>
              <w:pStyle w:val="24"/>
              <w:tabs>
                <w:tab w:val="left" w:pos="6930"/>
              </w:tabs>
              <w:spacing w:before="0" w:beforeAutospacing="0" w:after="0" w:afterAutospacing="0" w:line="360" w:lineRule="exact"/>
              <w:ind w:firstLine="220" w:firstLineChars="100"/>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2.投标文件由资格证明文件、商务技术文件、报价文件组成；</w:t>
            </w:r>
          </w:p>
          <w:p>
            <w:pPr>
              <w:pStyle w:val="24"/>
              <w:tabs>
                <w:tab w:val="left" w:pos="6930"/>
              </w:tabs>
              <w:spacing w:before="0" w:beforeAutospacing="0" w:after="0" w:afterAutospacing="0" w:line="360" w:lineRule="exact"/>
              <w:ind w:firstLine="220" w:firstLineChars="100"/>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3.电子加密投标文件制作：应按政采云平台供应商项目采购-电子招投标操作指南（网址：</w:t>
            </w:r>
            <w:r>
              <w:rPr>
                <w:rFonts w:hint="eastAsia" w:ascii="宋体" w:hAnsi="宋体" w:eastAsia="宋体" w:cs="宋体"/>
                <w:kern w:val="2"/>
                <w:sz w:val="22"/>
                <w:szCs w:val="22"/>
                <w:lang w:val="zh-CN" w:eastAsia="zh-CN" w:bidi="ar-SA"/>
              </w:rPr>
              <w:fldChar w:fldCharType="begin"/>
            </w:r>
            <w:r>
              <w:rPr>
                <w:rFonts w:hint="eastAsia" w:ascii="宋体" w:hAnsi="宋体" w:eastAsia="宋体" w:cs="宋体"/>
                <w:kern w:val="2"/>
                <w:sz w:val="22"/>
                <w:szCs w:val="22"/>
                <w:lang w:val="zh-CN" w:eastAsia="zh-CN" w:bidi="ar-SA"/>
              </w:rPr>
              <w:instrText xml:space="preserve"> HYPERLINK "https://help.zcy.gov.cn/web/site_2/2018/12-28/2573.html）及本采购文件要求制作" </w:instrText>
            </w:r>
            <w:r>
              <w:rPr>
                <w:rFonts w:hint="eastAsia" w:ascii="宋体" w:hAnsi="宋体" w:eastAsia="宋体" w:cs="宋体"/>
                <w:kern w:val="2"/>
                <w:sz w:val="22"/>
                <w:szCs w:val="22"/>
                <w:lang w:val="zh-CN" w:eastAsia="zh-CN" w:bidi="ar-SA"/>
              </w:rPr>
              <w:fldChar w:fldCharType="separate"/>
            </w:r>
            <w:r>
              <w:rPr>
                <w:rFonts w:hint="eastAsia"/>
                <w:sz w:val="22"/>
                <w:szCs w:val="22"/>
                <w:lang w:val="zh-CN" w:eastAsia="zh-CN"/>
              </w:rPr>
              <w:t>https://help.zcy.gov.cn/web/site_2/2018/12-28/2573.html</w:t>
            </w:r>
            <w:r>
              <w:rPr>
                <w:rFonts w:hint="eastAsia" w:ascii="宋体" w:hAnsi="宋体" w:eastAsia="宋体" w:cs="宋体"/>
                <w:kern w:val="2"/>
                <w:sz w:val="22"/>
                <w:szCs w:val="22"/>
                <w:lang w:val="zh-CN" w:eastAsia="zh-CN" w:bidi="ar-SA"/>
              </w:rPr>
              <w:t>）及本招标文件要求制作</w:t>
            </w:r>
            <w:r>
              <w:rPr>
                <w:rFonts w:hint="eastAsia" w:ascii="宋体" w:hAnsi="宋体" w:eastAsia="宋体" w:cs="宋体"/>
                <w:kern w:val="2"/>
                <w:sz w:val="22"/>
                <w:szCs w:val="22"/>
                <w:lang w:val="zh-CN" w:eastAsia="zh-CN" w:bidi="ar-SA"/>
              </w:rPr>
              <w:fldChar w:fldCharType="end"/>
            </w:r>
            <w:r>
              <w:rPr>
                <w:rFonts w:hint="eastAsia" w:ascii="宋体" w:hAnsi="宋体" w:eastAsia="宋体" w:cs="宋体"/>
                <w:kern w:val="2"/>
                <w:sz w:val="22"/>
                <w:szCs w:val="22"/>
                <w:lang w:val="zh-CN" w:eastAsia="zh-CN" w:bidi="ar-SA"/>
              </w:rPr>
              <w:t>、加密并递交。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4</w:t>
            </w:r>
          </w:p>
        </w:tc>
        <w:tc>
          <w:tcPr>
            <w:tcW w:w="1950" w:type="dxa"/>
            <w:tcBorders>
              <w:tl2br w:val="nil"/>
              <w:tr2bl w:val="nil"/>
            </w:tcBorders>
            <w:vAlign w:val="center"/>
          </w:tcPr>
          <w:p>
            <w:pPr>
              <w:snapToGrid w:val="0"/>
              <w:spacing w:line="360" w:lineRule="exact"/>
              <w:jc w:val="center"/>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投标文件递交截止时间（开标时间）及地点</w:t>
            </w:r>
          </w:p>
        </w:tc>
        <w:tc>
          <w:tcPr>
            <w:tcW w:w="6648" w:type="dxa"/>
            <w:gridSpan w:val="2"/>
            <w:tcBorders>
              <w:tl2br w:val="nil"/>
              <w:tr2bl w:val="nil"/>
            </w:tcBorders>
            <w:vAlign w:val="center"/>
          </w:tcPr>
          <w:p>
            <w:pPr>
              <w:pStyle w:val="24"/>
              <w:tabs>
                <w:tab w:val="left" w:pos="6930"/>
              </w:tabs>
              <w:spacing w:before="0" w:beforeAutospacing="0" w:after="0" w:afterAutospacing="0" w:line="240" w:lineRule="auto"/>
              <w:ind w:firstLine="220" w:firstLineChars="100"/>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1.“电子加密投标文件”递交：投标人应于投标截止时间之前将“电子加密投标文件”上传至“政府采购云平台”，逾期未上传的，视为不参加。</w:t>
            </w:r>
          </w:p>
          <w:p>
            <w:pPr>
              <w:pStyle w:val="24"/>
              <w:tabs>
                <w:tab w:val="left" w:pos="6930"/>
              </w:tabs>
              <w:spacing w:before="0" w:beforeAutospacing="0" w:after="0" w:afterAutospacing="0" w:line="240" w:lineRule="auto"/>
              <w:ind w:firstLine="220" w:firstLineChars="100"/>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fldChar w:fldCharType="begin"/>
            </w:r>
            <w:r>
              <w:rPr>
                <w:rFonts w:hint="eastAsia" w:ascii="宋体" w:hAnsi="宋体" w:eastAsia="宋体" w:cs="宋体"/>
                <w:kern w:val="2"/>
                <w:sz w:val="22"/>
                <w:szCs w:val="22"/>
                <w:lang w:val="zh-CN" w:eastAsia="zh-CN" w:bidi="ar-SA"/>
              </w:rPr>
              <w:instrText xml:space="preserve"> HYPERLINK "mailto:2.备份投标文件在开标时间后15分钟内以电子邮件形式递交至采购代理机构邮箱（103874679@qq.com）。" </w:instrText>
            </w:r>
            <w:r>
              <w:rPr>
                <w:rFonts w:hint="eastAsia" w:ascii="宋体" w:hAnsi="宋体" w:eastAsia="宋体" w:cs="宋体"/>
                <w:kern w:val="2"/>
                <w:sz w:val="22"/>
                <w:szCs w:val="22"/>
                <w:lang w:val="zh-CN" w:eastAsia="zh-CN" w:bidi="ar-SA"/>
              </w:rPr>
              <w:fldChar w:fldCharType="separate"/>
            </w:r>
            <w:r>
              <w:rPr>
                <w:rFonts w:hint="eastAsia" w:ascii="宋体" w:hAnsi="宋体" w:eastAsia="宋体" w:cs="宋体"/>
                <w:kern w:val="2"/>
                <w:sz w:val="22"/>
                <w:szCs w:val="22"/>
                <w:lang w:val="zh-CN" w:eastAsia="zh-CN" w:bidi="ar-SA"/>
              </w:rPr>
              <w:t>2.“备份投标文件”递交：</w:t>
            </w:r>
          </w:p>
          <w:p>
            <w:pPr>
              <w:pStyle w:val="24"/>
              <w:tabs>
                <w:tab w:val="left" w:pos="6930"/>
              </w:tabs>
              <w:spacing w:before="0" w:beforeAutospacing="0" w:after="0" w:afterAutospacing="0" w:line="240" w:lineRule="auto"/>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en-US" w:eastAsia="zh-CN" w:bidi="ar-SA"/>
              </w:rPr>
              <w:t>1）</w:t>
            </w:r>
            <w:r>
              <w:rPr>
                <w:rFonts w:hint="eastAsia" w:ascii="宋体" w:hAnsi="宋体" w:eastAsia="宋体" w:cs="宋体"/>
                <w:kern w:val="2"/>
                <w:sz w:val="22"/>
                <w:szCs w:val="22"/>
                <w:lang w:val="zh-CN" w:eastAsia="zh-CN" w:bidi="ar-SA"/>
              </w:rPr>
              <w:t>投标人在“政府采购云平台”完成“电子加密投标文件”的上传递交后，还可以（以电子邮件的形式）在投标截止时间前发送</w:t>
            </w:r>
            <w:r>
              <w:rPr>
                <w:rFonts w:hint="eastAsia" w:ascii="宋体" w:hAnsi="宋体" w:eastAsia="宋体" w:cs="宋体"/>
                <w:b/>
                <w:bCs/>
                <w:color w:val="FF0000"/>
                <w:kern w:val="2"/>
                <w:sz w:val="22"/>
                <w:szCs w:val="22"/>
                <w:lang w:val="zh-CN" w:eastAsia="zh-CN" w:bidi="ar-SA"/>
              </w:rPr>
              <w:t>加密压缩文件</w:t>
            </w:r>
            <w:r>
              <w:rPr>
                <w:rFonts w:hint="eastAsia" w:ascii="宋体" w:hAnsi="宋体" w:eastAsia="宋体" w:cs="宋体"/>
                <w:kern w:val="2"/>
                <w:sz w:val="22"/>
                <w:szCs w:val="22"/>
                <w:lang w:val="zh-CN" w:eastAsia="zh-CN" w:bidi="ar-SA"/>
              </w:rPr>
              <w:t>的“备份投标文件”（一份）；</w:t>
            </w:r>
          </w:p>
          <w:p>
            <w:pPr>
              <w:pStyle w:val="24"/>
              <w:tabs>
                <w:tab w:val="left" w:pos="6930"/>
              </w:tabs>
              <w:spacing w:before="0" w:beforeAutospacing="0" w:after="0" w:afterAutospacing="0" w:line="240" w:lineRule="auto"/>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en-US" w:eastAsia="zh-CN" w:bidi="ar-SA"/>
              </w:rPr>
              <w:t>2）</w:t>
            </w:r>
            <w:r>
              <w:rPr>
                <w:rFonts w:hint="eastAsia" w:ascii="宋体" w:hAnsi="宋体" w:eastAsia="宋体" w:cs="宋体"/>
                <w:kern w:val="2"/>
                <w:sz w:val="22"/>
                <w:szCs w:val="22"/>
                <w:lang w:val="zh-CN" w:eastAsia="zh-CN" w:bidi="ar-SA"/>
              </w:rPr>
              <w:t>“备份投标文件”以压缩文件形式加密发送至采购代理机构邮箱，压缩文件命名为：投标项目编号和投标单位简称。接到在线解密通知后</w:t>
            </w:r>
            <w:r>
              <w:rPr>
                <w:rFonts w:hint="eastAsia" w:ascii="宋体" w:hAnsi="宋体" w:eastAsia="宋体" w:cs="宋体"/>
                <w:kern w:val="2"/>
                <w:sz w:val="22"/>
                <w:szCs w:val="22"/>
                <w:lang w:val="en-US" w:eastAsia="zh-CN" w:bidi="ar-SA"/>
              </w:rPr>
              <w:t>30分钟</w:t>
            </w:r>
            <w:r>
              <w:rPr>
                <w:rFonts w:hint="eastAsia" w:ascii="宋体" w:hAnsi="宋体" w:eastAsia="宋体" w:cs="宋体"/>
                <w:kern w:val="2"/>
                <w:sz w:val="22"/>
                <w:szCs w:val="22"/>
                <w:lang w:val="zh-CN" w:eastAsia="zh-CN" w:bidi="ar-SA"/>
              </w:rPr>
              <w:t>内发送压缩文件密码至采购代理机构邮箱（邮箱号码：</w:t>
            </w:r>
            <w:r>
              <w:rPr>
                <w:rFonts w:hint="eastAsia" w:cs="宋体"/>
                <w:kern w:val="2"/>
                <w:sz w:val="22"/>
                <w:szCs w:val="22"/>
                <w:lang w:val="en-US" w:eastAsia="zh-CN" w:bidi="ar-SA"/>
              </w:rPr>
              <w:t>1187271673@qq.com</w:t>
            </w:r>
            <w:r>
              <w:rPr>
                <w:rFonts w:hint="eastAsia" w:ascii="宋体" w:hAnsi="宋体" w:eastAsia="宋体" w:cs="宋体"/>
                <w:kern w:val="2"/>
                <w:sz w:val="22"/>
                <w:szCs w:val="22"/>
                <w:lang w:val="zh-CN" w:eastAsia="zh-CN" w:bidi="ar-SA"/>
              </w:rPr>
              <w:t>）。</w:t>
            </w:r>
          </w:p>
          <w:p>
            <w:pPr>
              <w:pStyle w:val="24"/>
              <w:tabs>
                <w:tab w:val="left" w:pos="6930"/>
              </w:tabs>
              <w:spacing w:before="0" w:beforeAutospacing="0" w:after="0" w:afterAutospacing="0" w:line="240" w:lineRule="auto"/>
              <w:ind w:firstLine="220" w:firstLineChars="100"/>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en-US" w:eastAsia="zh-CN" w:bidi="ar-SA"/>
              </w:rPr>
              <w:t>3.</w:t>
            </w:r>
            <w:r>
              <w:rPr>
                <w:rFonts w:hint="eastAsia" w:ascii="宋体" w:hAnsi="宋体" w:eastAsia="宋体" w:cs="宋体"/>
                <w:kern w:val="2"/>
                <w:sz w:val="22"/>
                <w:szCs w:val="22"/>
                <w:lang w:val="zh-CN" w:eastAsia="zh-CN" w:bidi="ar-SA"/>
              </w:rPr>
              <w:t>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传成功后，“电子加密投标文件”自动失效），否则视为投标文件撤回。</w:t>
            </w:r>
          </w:p>
          <w:p>
            <w:pPr>
              <w:pStyle w:val="24"/>
              <w:tabs>
                <w:tab w:val="left" w:pos="6930"/>
              </w:tabs>
              <w:spacing w:before="0" w:beforeAutospacing="0" w:after="0" w:afterAutospacing="0" w:line="240" w:lineRule="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zh-CN" w:eastAsia="zh-CN" w:bidi="ar-SA"/>
              </w:rPr>
              <w:fldChar w:fldCharType="end"/>
            </w:r>
            <w:r>
              <w:rPr>
                <w:rFonts w:hint="eastAsia" w:cs="宋体"/>
                <w:kern w:val="2"/>
                <w:sz w:val="22"/>
                <w:szCs w:val="22"/>
                <w:lang w:val="en-US" w:eastAsia="zh-CN" w:bidi="ar-SA"/>
              </w:rPr>
              <w:t xml:space="preserve">  </w:t>
            </w:r>
            <w:r>
              <w:rPr>
                <w:rFonts w:hint="eastAsia" w:ascii="宋体" w:hAnsi="宋体" w:eastAsia="宋体" w:cs="宋体"/>
                <w:kern w:val="2"/>
                <w:sz w:val="22"/>
                <w:szCs w:val="22"/>
                <w:lang w:val="en-US" w:eastAsia="zh-CN" w:bidi="ar-SA"/>
              </w:rPr>
              <w:t>4</w:t>
            </w:r>
            <w:r>
              <w:rPr>
                <w:rFonts w:hint="eastAsia" w:ascii="宋体" w:hAnsi="宋体" w:eastAsia="宋体" w:cs="宋体"/>
                <w:kern w:val="2"/>
                <w:sz w:val="22"/>
                <w:szCs w:val="22"/>
                <w:lang w:val="zh-CN" w:eastAsia="zh-CN" w:bidi="ar-SA"/>
              </w:rPr>
              <w:t>.如投标人未在投标截止时间前完成“电子加密投标文件”传输递交的，或仅提交“备份投标文件”的，其投标无效。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5</w:t>
            </w:r>
          </w:p>
        </w:tc>
        <w:tc>
          <w:tcPr>
            <w:tcW w:w="1950" w:type="dxa"/>
            <w:tcBorders>
              <w:tl2br w:val="nil"/>
              <w:tr2bl w:val="nil"/>
            </w:tcBorders>
            <w:vAlign w:val="center"/>
          </w:tcPr>
          <w:p>
            <w:pPr>
              <w:pStyle w:val="24"/>
              <w:tabs>
                <w:tab w:val="left" w:pos="6930"/>
              </w:tabs>
              <w:spacing w:before="0" w:beforeAutospacing="0" w:after="0" w:afterAutospacing="0" w:line="360" w:lineRule="exact"/>
              <w:jc w:val="center"/>
              <w:rPr>
                <w:rFonts w:hint="eastAsia" w:ascii="宋体" w:hAnsi="宋体" w:eastAsia="宋体" w:cs="宋体"/>
                <w:b/>
                <w:bCs/>
                <w:kern w:val="2"/>
                <w:sz w:val="22"/>
                <w:szCs w:val="22"/>
                <w:lang w:val="en-US" w:eastAsia="zh-CN" w:bidi="ar-SA"/>
              </w:rPr>
            </w:pPr>
            <w:r>
              <w:rPr>
                <w:rFonts w:hint="eastAsia" w:ascii="宋体" w:hAnsi="宋体" w:eastAsia="宋体" w:cs="宋体"/>
                <w:b/>
                <w:bCs/>
                <w:color w:val="000000"/>
                <w:sz w:val="22"/>
                <w:szCs w:val="22"/>
              </w:rPr>
              <w:t>投标文件的修改（补充）和撤回</w:t>
            </w:r>
          </w:p>
        </w:tc>
        <w:tc>
          <w:tcPr>
            <w:tcW w:w="6648" w:type="dxa"/>
            <w:gridSpan w:val="2"/>
            <w:tcBorders>
              <w:tl2br w:val="nil"/>
              <w:tr2bl w:val="nil"/>
            </w:tcBorders>
            <w:vAlign w:val="center"/>
          </w:tcPr>
          <w:p>
            <w:pPr>
              <w:pStyle w:val="24"/>
              <w:tabs>
                <w:tab w:val="left" w:pos="6930"/>
              </w:tabs>
              <w:spacing w:before="0" w:beforeAutospacing="0" w:after="0" w:afterAutospacing="0" w:line="240" w:lineRule="auto"/>
              <w:ind w:firstLine="220" w:firstLineChars="100"/>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1.投标截止时间前可以修改（补充）或撤回“电子加密投标文件”。补充或者修改“电子加密投标文件”的，应当先行撤回原文件，补充、修改后重新传输递交。投标截止时间前未完成传输递交的，视为撤回投标文件。</w:t>
            </w:r>
          </w:p>
          <w:p>
            <w:pPr>
              <w:pStyle w:val="24"/>
              <w:tabs>
                <w:tab w:val="left" w:pos="6930"/>
              </w:tabs>
              <w:spacing w:before="0" w:beforeAutospacing="0" w:after="0" w:afterAutospacing="0" w:line="240" w:lineRule="auto"/>
              <w:ind w:firstLine="220" w:firstLineChars="100"/>
              <w:rPr>
                <w:rFonts w:hint="eastAsia" w:ascii="宋体" w:hAnsi="宋体" w:eastAsia="宋体" w:cs="宋体"/>
                <w:b/>
                <w:kern w:val="0"/>
                <w:sz w:val="22"/>
                <w:szCs w:val="22"/>
                <w:lang w:val="en-US" w:eastAsia="zh-CN" w:bidi="ar-SA"/>
              </w:rPr>
            </w:pPr>
            <w:r>
              <w:rPr>
                <w:rFonts w:hint="eastAsia" w:ascii="宋体" w:hAnsi="宋体" w:eastAsia="宋体" w:cs="宋体"/>
                <w:kern w:val="2"/>
                <w:sz w:val="22"/>
                <w:szCs w:val="22"/>
                <w:lang w:val="zh-CN" w:eastAsia="zh-CN" w:bidi="ar-SA"/>
              </w:rPr>
              <w:t>2.投标截止时间后，投标人不得修改（补充）或撤回其投标文件。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6</w:t>
            </w:r>
          </w:p>
        </w:tc>
        <w:tc>
          <w:tcPr>
            <w:tcW w:w="1950" w:type="dxa"/>
            <w:tcBorders>
              <w:tl2br w:val="nil"/>
              <w:tr2bl w:val="nil"/>
            </w:tcBorders>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投标报价</w:t>
            </w:r>
          </w:p>
        </w:tc>
        <w:tc>
          <w:tcPr>
            <w:tcW w:w="6648" w:type="dxa"/>
            <w:gridSpan w:val="2"/>
            <w:tcBorders>
              <w:tl2br w:val="nil"/>
              <w:tr2bl w:val="nil"/>
            </w:tcBorders>
            <w:vAlign w:val="center"/>
          </w:tcPr>
          <w:p>
            <w:pPr>
              <w:numPr>
                <w:ilvl w:val="0"/>
                <w:numId w:val="0"/>
              </w:numPr>
              <w:spacing w:line="360" w:lineRule="exact"/>
              <w:rPr>
                <w:rFonts w:hint="eastAsia" w:ascii="宋体" w:hAnsi="宋体" w:eastAsia="宋体" w:cs="宋体"/>
                <w:sz w:val="22"/>
                <w:szCs w:val="22"/>
              </w:rPr>
            </w:pPr>
            <w:r>
              <w:rPr>
                <w:rFonts w:hint="eastAsia" w:ascii="宋体" w:hAnsi="宋体" w:cs="宋体"/>
                <w:sz w:val="22"/>
                <w:szCs w:val="22"/>
                <w:lang w:val="en-US" w:eastAsia="zh-CN"/>
              </w:rPr>
              <w:t>1.</w:t>
            </w:r>
            <w:r>
              <w:rPr>
                <w:rFonts w:hint="eastAsia" w:ascii="宋体" w:hAnsi="宋体" w:eastAsia="宋体" w:cs="宋体"/>
                <w:sz w:val="22"/>
                <w:szCs w:val="22"/>
              </w:rPr>
              <w:t>本项目投标应以人民币报价；</w:t>
            </w:r>
          </w:p>
          <w:p>
            <w:pPr>
              <w:numPr>
                <w:ilvl w:val="0"/>
                <w:numId w:val="0"/>
              </w:numPr>
              <w:spacing w:line="360" w:lineRule="exact"/>
              <w:rPr>
                <w:rFonts w:hint="eastAsia" w:ascii="宋体" w:hAnsi="宋体" w:eastAsia="宋体" w:cs="宋体"/>
                <w:sz w:val="22"/>
                <w:szCs w:val="22"/>
              </w:rPr>
            </w:pPr>
            <w:r>
              <w:rPr>
                <w:rFonts w:hint="eastAsia" w:ascii="宋体" w:hAnsi="宋体" w:cs="宋体"/>
                <w:sz w:val="22"/>
                <w:szCs w:val="22"/>
                <w:lang w:val="en-US" w:eastAsia="zh-CN"/>
              </w:rPr>
              <w:t>2.</w:t>
            </w:r>
            <w:r>
              <w:rPr>
                <w:rFonts w:hint="eastAsia" w:ascii="宋体" w:hAnsi="宋体" w:eastAsia="宋体" w:cs="宋体"/>
                <w:sz w:val="22"/>
                <w:szCs w:val="22"/>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7</w:t>
            </w:r>
          </w:p>
        </w:tc>
        <w:tc>
          <w:tcPr>
            <w:tcW w:w="1950" w:type="dxa"/>
            <w:tcBorders>
              <w:tl2br w:val="nil"/>
              <w:tr2bl w:val="nil"/>
            </w:tcBorders>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踏勘现场</w:t>
            </w:r>
          </w:p>
        </w:tc>
        <w:tc>
          <w:tcPr>
            <w:tcW w:w="6648" w:type="dxa"/>
            <w:gridSpan w:val="2"/>
            <w:tcBorders>
              <w:tl2br w:val="nil"/>
              <w:tr2bl w:val="nil"/>
            </w:tcBorders>
            <w:vAlign w:val="center"/>
          </w:tcPr>
          <w:p>
            <w:pPr>
              <w:spacing w:line="360" w:lineRule="exact"/>
              <w:rPr>
                <w:rFonts w:hint="eastAsia" w:ascii="宋体" w:hAnsi="宋体" w:eastAsia="宋体" w:cs="宋体"/>
                <w:sz w:val="22"/>
                <w:szCs w:val="22"/>
              </w:rPr>
            </w:pPr>
            <w:r>
              <w:rPr>
                <w:rFonts w:hint="eastAsia" w:ascii="宋体" w:hAnsi="宋体" w:eastAsia="宋体" w:cs="宋体"/>
                <w:sz w:val="22"/>
                <w:szCs w:val="22"/>
              </w:rPr>
              <w:t>□ 组织</w:t>
            </w:r>
          </w:p>
          <w:p>
            <w:pPr>
              <w:spacing w:line="360" w:lineRule="exact"/>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rPr>
              <w:t xml:space="preserve"> 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8</w:t>
            </w:r>
          </w:p>
        </w:tc>
        <w:tc>
          <w:tcPr>
            <w:tcW w:w="1950" w:type="dxa"/>
            <w:tcBorders>
              <w:tl2br w:val="nil"/>
              <w:tr2bl w:val="nil"/>
            </w:tcBorders>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样品</w:t>
            </w:r>
          </w:p>
        </w:tc>
        <w:tc>
          <w:tcPr>
            <w:tcW w:w="6648" w:type="dxa"/>
            <w:gridSpan w:val="2"/>
            <w:tcBorders>
              <w:tl2br w:val="nil"/>
              <w:tr2bl w:val="nil"/>
            </w:tcBorders>
            <w:vAlign w:val="center"/>
          </w:tcPr>
          <w:p>
            <w:pPr>
              <w:spacing w:line="360" w:lineRule="exact"/>
              <w:rPr>
                <w:rFonts w:hint="eastAsia" w:ascii="宋体" w:hAnsi="宋体" w:eastAsia="宋体" w:cs="宋体"/>
                <w:sz w:val="22"/>
                <w:szCs w:val="22"/>
              </w:rPr>
            </w:pPr>
            <w:r>
              <w:rPr>
                <w:rFonts w:hint="eastAsia" w:ascii="宋体" w:hAnsi="宋体" w:eastAsia="宋体" w:cs="宋体"/>
                <w:sz w:val="22"/>
                <w:szCs w:val="22"/>
              </w:rPr>
              <w:t>□ 提供，具体详见招标文件，中标人提供的样品将由采购人保管、封存并作为履约验收的参考</w:t>
            </w:r>
          </w:p>
          <w:p>
            <w:pPr>
              <w:spacing w:line="360" w:lineRule="exact"/>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rPr>
              <w:t xml:space="preserve"> 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9</w:t>
            </w:r>
          </w:p>
        </w:tc>
        <w:tc>
          <w:tcPr>
            <w:tcW w:w="1950" w:type="dxa"/>
            <w:tcBorders>
              <w:tl2br w:val="nil"/>
              <w:tr2bl w:val="nil"/>
            </w:tcBorders>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演示</w:t>
            </w:r>
          </w:p>
        </w:tc>
        <w:tc>
          <w:tcPr>
            <w:tcW w:w="6648" w:type="dxa"/>
            <w:gridSpan w:val="2"/>
            <w:tcBorders>
              <w:tl2br w:val="nil"/>
              <w:tr2bl w:val="nil"/>
            </w:tcBorders>
            <w:vAlign w:val="center"/>
          </w:tcPr>
          <w:p>
            <w:pPr>
              <w:spacing w:line="360" w:lineRule="exact"/>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eastAsia="宋体" w:cs="宋体"/>
                <w:sz w:val="22"/>
                <w:szCs w:val="22"/>
              </w:rPr>
              <w:t xml:space="preserve"> 要求，具体详见招标文件</w:t>
            </w:r>
          </w:p>
          <w:p>
            <w:pPr>
              <w:spacing w:line="360" w:lineRule="exact"/>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rPr>
              <w:t xml:space="preserve"> 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10</w:t>
            </w:r>
          </w:p>
        </w:tc>
        <w:tc>
          <w:tcPr>
            <w:tcW w:w="1950" w:type="dxa"/>
            <w:tcBorders>
              <w:tl2br w:val="nil"/>
              <w:tr2bl w:val="nil"/>
            </w:tcBorders>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评标办法</w:t>
            </w:r>
          </w:p>
        </w:tc>
        <w:tc>
          <w:tcPr>
            <w:tcW w:w="6648" w:type="dxa"/>
            <w:gridSpan w:val="2"/>
            <w:tcBorders>
              <w:tl2br w:val="nil"/>
              <w:tr2bl w:val="nil"/>
            </w:tcBorders>
            <w:vAlign w:val="center"/>
          </w:tcPr>
          <w:p>
            <w:pPr>
              <w:spacing w:line="360" w:lineRule="exact"/>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eastAsia="宋体" w:cs="宋体"/>
                <w:sz w:val="22"/>
                <w:szCs w:val="22"/>
              </w:rPr>
              <w:t xml:space="preserve"> 综合评分法</w:t>
            </w:r>
          </w:p>
          <w:p>
            <w:pPr>
              <w:spacing w:line="360" w:lineRule="exact"/>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eastAsia="宋体" w:cs="宋体"/>
                <w:sz w:val="22"/>
                <w:szCs w:val="22"/>
              </w:rPr>
              <w:t xml:space="preserve"> 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11</w:t>
            </w:r>
          </w:p>
        </w:tc>
        <w:tc>
          <w:tcPr>
            <w:tcW w:w="1950" w:type="dxa"/>
            <w:tcBorders>
              <w:tl2br w:val="nil"/>
              <w:tr2bl w:val="nil"/>
            </w:tcBorders>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是否进口</w:t>
            </w:r>
          </w:p>
        </w:tc>
        <w:tc>
          <w:tcPr>
            <w:tcW w:w="6648" w:type="dxa"/>
            <w:gridSpan w:val="2"/>
            <w:tcBorders>
              <w:tl2br w:val="nil"/>
              <w:tr2bl w:val="nil"/>
            </w:tcBorders>
            <w:vAlign w:val="center"/>
          </w:tcPr>
          <w:p>
            <w:pPr>
              <w:spacing w:line="360" w:lineRule="exact"/>
              <w:rPr>
                <w:rFonts w:hint="eastAsia" w:ascii="宋体" w:hAnsi="宋体" w:eastAsia="宋体" w:cs="宋体"/>
                <w:sz w:val="22"/>
                <w:szCs w:val="22"/>
              </w:rPr>
            </w:pPr>
            <w:r>
              <w:rPr>
                <w:rFonts w:hint="eastAsia" w:ascii="宋体" w:hAnsi="宋体" w:eastAsia="宋体" w:cs="宋体"/>
                <w:sz w:val="22"/>
                <w:szCs w:val="22"/>
              </w:rPr>
              <w:t>□ 允许进口</w:t>
            </w:r>
          </w:p>
          <w:p>
            <w:pPr>
              <w:spacing w:line="360" w:lineRule="exact"/>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rPr>
              <w:t xml:space="preserve"> 不允许进口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12</w:t>
            </w:r>
          </w:p>
        </w:tc>
        <w:tc>
          <w:tcPr>
            <w:tcW w:w="1950" w:type="dxa"/>
            <w:tcBorders>
              <w:tl2br w:val="nil"/>
              <w:tr2bl w:val="nil"/>
            </w:tcBorders>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节能产品</w:t>
            </w:r>
          </w:p>
        </w:tc>
        <w:tc>
          <w:tcPr>
            <w:tcW w:w="2551" w:type="dxa"/>
            <w:tcBorders>
              <w:right w:val="single" w:color="000000" w:sz="4" w:space="0"/>
              <w:tl2br w:val="nil"/>
              <w:tr2bl w:val="nil"/>
            </w:tcBorders>
            <w:vAlign w:val="center"/>
          </w:tcPr>
          <w:p>
            <w:pPr>
              <w:spacing w:line="360" w:lineRule="exact"/>
              <w:rPr>
                <w:rFonts w:hint="eastAsia" w:ascii="宋体" w:hAnsi="宋体" w:eastAsia="宋体" w:cs="宋体"/>
                <w:sz w:val="22"/>
                <w:szCs w:val="22"/>
              </w:rPr>
            </w:pPr>
            <w:r>
              <w:rPr>
                <w:rFonts w:hint="eastAsia" w:ascii="宋体" w:hAnsi="宋体" w:eastAsia="宋体" w:cs="宋体"/>
                <w:sz w:val="22"/>
                <w:szCs w:val="22"/>
              </w:rPr>
              <w:t>□ 强制采购节能产品</w:t>
            </w:r>
          </w:p>
          <w:p>
            <w:pPr>
              <w:spacing w:line="360" w:lineRule="exact"/>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eastAsia="宋体" w:cs="宋体"/>
                <w:sz w:val="22"/>
                <w:szCs w:val="22"/>
              </w:rPr>
              <w:t xml:space="preserve"> 优先采购节能产品</w:t>
            </w:r>
          </w:p>
          <w:p>
            <w:pPr>
              <w:spacing w:line="360" w:lineRule="exact"/>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eastAsia="宋体" w:cs="宋体"/>
                <w:sz w:val="22"/>
                <w:szCs w:val="22"/>
              </w:rPr>
              <w:t xml:space="preserve"> 不适用</w:t>
            </w:r>
          </w:p>
        </w:tc>
        <w:tc>
          <w:tcPr>
            <w:tcW w:w="4097" w:type="dxa"/>
            <w:vMerge w:val="restart"/>
            <w:tcBorders>
              <w:left w:val="single" w:color="000000" w:sz="4" w:space="0"/>
              <w:tl2br w:val="nil"/>
              <w:tr2bl w:val="nil"/>
            </w:tcBorders>
            <w:vAlign w:val="center"/>
          </w:tcPr>
          <w:p>
            <w:pPr>
              <w:spacing w:line="360" w:lineRule="exact"/>
              <w:rPr>
                <w:rFonts w:hint="eastAsia" w:ascii="宋体" w:hAnsi="宋体" w:eastAsia="宋体" w:cs="宋体"/>
                <w:sz w:val="22"/>
                <w:szCs w:val="22"/>
                <w:lang w:eastAsia="zh-CN"/>
              </w:rPr>
            </w:pPr>
            <w:r>
              <w:rPr>
                <w:rFonts w:hint="eastAsia" w:ascii="宋体" w:hAnsi="宋体" w:eastAsia="宋体" w:cs="宋体"/>
                <w:sz w:val="22"/>
                <w:szCs w:val="22"/>
                <w:lang w:eastAsia="zh-CN"/>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13</w:t>
            </w:r>
          </w:p>
        </w:tc>
        <w:tc>
          <w:tcPr>
            <w:tcW w:w="1950" w:type="dxa"/>
            <w:tcBorders>
              <w:tl2br w:val="nil"/>
              <w:tr2bl w:val="nil"/>
            </w:tcBorders>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环境标志产品</w:t>
            </w:r>
          </w:p>
        </w:tc>
        <w:tc>
          <w:tcPr>
            <w:tcW w:w="2551" w:type="dxa"/>
            <w:tcBorders>
              <w:right w:val="single" w:color="000000" w:sz="4" w:space="0"/>
              <w:tl2br w:val="nil"/>
              <w:tr2bl w:val="nil"/>
            </w:tcBorders>
            <w:vAlign w:val="center"/>
          </w:tcPr>
          <w:p>
            <w:pPr>
              <w:spacing w:line="360" w:lineRule="exact"/>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eastAsia="宋体" w:cs="宋体"/>
                <w:sz w:val="22"/>
                <w:szCs w:val="22"/>
              </w:rPr>
              <w:t>优先采购环境标志产品</w:t>
            </w:r>
          </w:p>
          <w:p>
            <w:pPr>
              <w:spacing w:line="360" w:lineRule="exact"/>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cs="宋体"/>
                <w:sz w:val="22"/>
                <w:szCs w:val="22"/>
                <w:lang w:val="en-US" w:eastAsia="zh-CN"/>
              </w:rPr>
              <w:t xml:space="preserve"> </w:t>
            </w:r>
            <w:r>
              <w:rPr>
                <w:rFonts w:hint="eastAsia" w:ascii="宋体" w:hAnsi="宋体" w:eastAsia="宋体" w:cs="宋体"/>
                <w:sz w:val="22"/>
                <w:szCs w:val="22"/>
              </w:rPr>
              <w:t>不适用</w:t>
            </w:r>
          </w:p>
        </w:tc>
        <w:tc>
          <w:tcPr>
            <w:tcW w:w="4097" w:type="dxa"/>
            <w:vMerge w:val="continue"/>
            <w:tcBorders>
              <w:left w:val="single" w:color="000000" w:sz="4" w:space="0"/>
              <w:tl2br w:val="nil"/>
              <w:tr2bl w:val="nil"/>
            </w:tcBorders>
            <w:vAlign w:val="center"/>
          </w:tcPr>
          <w:p>
            <w:pPr>
              <w:spacing w:line="360" w:lineRule="exact"/>
              <w:rPr>
                <w:rFonts w:hint="eastAsia" w:ascii="宋体" w:hAnsi="宋体" w:eastAsia="宋体" w:cs="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14</w:t>
            </w:r>
          </w:p>
        </w:tc>
        <w:tc>
          <w:tcPr>
            <w:tcW w:w="1950" w:type="dxa"/>
            <w:tcBorders>
              <w:tl2br w:val="nil"/>
              <w:tr2bl w:val="nil"/>
            </w:tcBorders>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促进</w:t>
            </w:r>
            <w:r>
              <w:rPr>
                <w:rFonts w:hint="eastAsia" w:ascii="宋体" w:hAnsi="宋体" w:cs="宋体"/>
                <w:b/>
                <w:bCs/>
                <w:sz w:val="22"/>
                <w:szCs w:val="22"/>
                <w:lang w:eastAsia="zh-CN"/>
              </w:rPr>
              <w:t>中小</w:t>
            </w:r>
            <w:r>
              <w:rPr>
                <w:rFonts w:hint="eastAsia" w:ascii="宋体" w:hAnsi="宋体" w:eastAsia="宋体" w:cs="宋体"/>
                <w:b/>
                <w:bCs/>
                <w:sz w:val="22"/>
                <w:szCs w:val="22"/>
              </w:rPr>
              <w:t>企业发展</w:t>
            </w:r>
          </w:p>
        </w:tc>
        <w:tc>
          <w:tcPr>
            <w:tcW w:w="664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本项目执行促进中小企业发展政策，监狱企业、残疾人福利性单位视同</w:t>
            </w:r>
            <w:r>
              <w:rPr>
                <w:rFonts w:hint="eastAsia" w:ascii="宋体" w:hAnsi="宋体" w:cs="宋体"/>
                <w:kern w:val="2"/>
                <w:sz w:val="22"/>
                <w:szCs w:val="22"/>
                <w:lang w:val="en-US" w:eastAsia="zh-CN" w:bidi="ar-SA"/>
              </w:rPr>
              <w:t>中</w:t>
            </w:r>
            <w:r>
              <w:rPr>
                <w:rFonts w:hint="eastAsia" w:ascii="宋体" w:hAnsi="宋体" w:eastAsia="宋体" w:cs="宋体"/>
                <w:kern w:val="2"/>
                <w:sz w:val="22"/>
                <w:szCs w:val="22"/>
                <w:lang w:val="en-US" w:eastAsia="zh-CN" w:bidi="ar-SA"/>
              </w:rPr>
              <w:t>小型企业。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15</w:t>
            </w:r>
          </w:p>
        </w:tc>
        <w:tc>
          <w:tcPr>
            <w:tcW w:w="1950" w:type="dxa"/>
            <w:tcBorders>
              <w:tl2br w:val="nil"/>
              <w:tr2bl w:val="nil"/>
            </w:tcBorders>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合同签订</w:t>
            </w:r>
          </w:p>
        </w:tc>
        <w:tc>
          <w:tcPr>
            <w:tcW w:w="664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采购人与中标人应当在《中标通知书》发出之日起30日内签订政府采购合同。同时，采购代理机构对合同内容进行审查，如发现与采购结果和投标承诺内容不一致的，应予以纠正。中标人拖延、拒签合同的,将被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16</w:t>
            </w:r>
          </w:p>
        </w:tc>
        <w:tc>
          <w:tcPr>
            <w:tcW w:w="1950" w:type="dxa"/>
            <w:tcBorders>
              <w:tl2br w:val="nil"/>
              <w:tr2bl w:val="nil"/>
            </w:tcBorders>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供应商注册事项</w:t>
            </w:r>
          </w:p>
        </w:tc>
        <w:tc>
          <w:tcPr>
            <w:tcW w:w="6648" w:type="dxa"/>
            <w:gridSpan w:val="2"/>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根据《浙江省政府采购供应商注册及诚信管理暂行办法》（浙财采监字〔2009〕28号），供应商中标后必须注册成为浙江政府采购网（http://www.zjzfcg.gov.cn/）的正式供应商，否则可以不与中标人签订合同，如未能按时签订合同，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17</w:t>
            </w:r>
          </w:p>
        </w:tc>
        <w:tc>
          <w:tcPr>
            <w:tcW w:w="1950" w:type="dxa"/>
            <w:tcBorders>
              <w:tl2br w:val="nil"/>
              <w:tr2bl w:val="nil"/>
            </w:tcBorders>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履约保证金</w:t>
            </w:r>
          </w:p>
        </w:tc>
        <w:tc>
          <w:tcPr>
            <w:tcW w:w="6648" w:type="dxa"/>
            <w:gridSpan w:val="2"/>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详见合同文本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18</w:t>
            </w:r>
          </w:p>
        </w:tc>
        <w:tc>
          <w:tcPr>
            <w:tcW w:w="1950" w:type="dxa"/>
            <w:tcBorders>
              <w:tl2br w:val="nil"/>
              <w:tr2bl w:val="nil"/>
            </w:tcBorders>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代理服务费</w:t>
            </w:r>
          </w:p>
        </w:tc>
        <w:tc>
          <w:tcPr>
            <w:tcW w:w="664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本项目采购代理服务费按国家计委计价[2011]534号文的收费标准（见附表）计取；采购代理服务费须包含在总报价中，中标单位在收到中标通知书后 5 个工作日内支付至招标代理机构处；本项目按服务招标类型的80%收费，不足捌仟元按捌仟元计取。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19</w:t>
            </w:r>
          </w:p>
        </w:tc>
        <w:tc>
          <w:tcPr>
            <w:tcW w:w="1950" w:type="dxa"/>
            <w:tcBorders>
              <w:tl2br w:val="nil"/>
              <w:tr2bl w:val="nil"/>
            </w:tcBorders>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现场组织实施</w:t>
            </w:r>
          </w:p>
        </w:tc>
        <w:tc>
          <w:tcPr>
            <w:tcW w:w="6648" w:type="dxa"/>
            <w:gridSpan w:val="2"/>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根据浙江省财政厅文件浙财采监〔2015〕13号文件《关于印发浙江省政府采购活动现场组织管理办法的通知》实施。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20</w:t>
            </w:r>
          </w:p>
        </w:tc>
        <w:tc>
          <w:tcPr>
            <w:tcW w:w="1950" w:type="dxa"/>
            <w:tcBorders>
              <w:tl2br w:val="nil"/>
              <w:tr2bl w:val="nil"/>
            </w:tcBorders>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解释权</w:t>
            </w:r>
          </w:p>
        </w:tc>
        <w:tc>
          <w:tcPr>
            <w:tcW w:w="6648" w:type="dxa"/>
            <w:gridSpan w:val="2"/>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本招标文件的解释权属于采购人和采购代理机构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21</w:t>
            </w:r>
          </w:p>
        </w:tc>
        <w:tc>
          <w:tcPr>
            <w:tcW w:w="1950" w:type="dxa"/>
            <w:tcBorders>
              <w:tl2br w:val="nil"/>
              <w:tr2bl w:val="nil"/>
            </w:tcBorders>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其他说明</w:t>
            </w:r>
          </w:p>
        </w:tc>
        <w:tc>
          <w:tcPr>
            <w:tcW w:w="6648" w:type="dxa"/>
            <w:gridSpan w:val="2"/>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根据《浙江省财政厅关于规范政府采购供应商资格设定及资格审查的通知》浙财采监〔2013〕24号文件，金融、保险、通讯等特定行业的全国性企业所设立的区域性分支机构投标时应提供该单位负责人签署的相关文件材料，与其他法人单位法定代表人签署的文件材料具有同等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22</w:t>
            </w:r>
          </w:p>
        </w:tc>
        <w:tc>
          <w:tcPr>
            <w:tcW w:w="1950" w:type="dxa"/>
            <w:tcBorders>
              <w:tl2br w:val="nil"/>
              <w:tr2bl w:val="nil"/>
            </w:tcBorders>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注意事项</w:t>
            </w:r>
          </w:p>
        </w:tc>
        <w:tc>
          <w:tcPr>
            <w:tcW w:w="6648" w:type="dxa"/>
            <w:gridSpan w:val="2"/>
            <w:tcBorders>
              <w:tl2br w:val="nil"/>
              <w:tr2bl w:val="nil"/>
            </w:tcBorders>
            <w:vAlign w:val="center"/>
          </w:tcPr>
          <w:p>
            <w:pPr>
              <w:pStyle w:val="18"/>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投标人应严格按照招标文件及补充文件的规定和要求编制投标文件。在编制投标文件过程中,应严格遵循实事求是、诚信投标的原则,如有偏离,应如实填写响应偏离。</w:t>
            </w:r>
          </w:p>
          <w:p>
            <w:pPr>
              <w:pStyle w:val="18"/>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如果发现本招标文件中存在歧视性不公正条款或违法违规等内容时,请投标人在获取招标文件后,在招标文件的质疑有效期内及时书面提出。</w:t>
            </w:r>
          </w:p>
          <w:p>
            <w:pPr>
              <w:pStyle w:val="18"/>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采购结果公告期间,投标人不得通过非正当途径获取法律法规规定评标委员会(包括其他相关人员)应当保密的相关内容。</w:t>
            </w:r>
          </w:p>
        </w:tc>
      </w:tr>
    </w:tbl>
    <w:p>
      <w:pPr>
        <w:pStyle w:val="17"/>
        <w:snapToGrid w:val="0"/>
        <w:spacing w:line="440" w:lineRule="exact"/>
        <w:jc w:val="center"/>
        <w:rPr>
          <w:rFonts w:hint="eastAsia" w:hAnsi="宋体"/>
          <w:b/>
          <w:bCs/>
          <w:sz w:val="28"/>
          <w:szCs w:val="28"/>
        </w:rPr>
      </w:pPr>
      <w:r>
        <w:rPr>
          <w:rFonts w:hint="eastAsia" w:hAnsi="宋体"/>
          <w:b/>
          <w:bCs/>
          <w:sz w:val="28"/>
          <w:szCs w:val="28"/>
        </w:rPr>
        <w:br w:type="page"/>
      </w:r>
    </w:p>
    <w:p>
      <w:pPr>
        <w:pStyle w:val="17"/>
        <w:snapToGrid w:val="0"/>
        <w:spacing w:line="440" w:lineRule="exact"/>
        <w:jc w:val="center"/>
        <w:rPr>
          <w:rFonts w:hAnsi="宋体" w:cs="Times New Roman"/>
          <w:b/>
          <w:bCs/>
          <w:sz w:val="28"/>
          <w:szCs w:val="28"/>
        </w:rPr>
      </w:pPr>
      <w:r>
        <w:rPr>
          <w:rFonts w:hint="eastAsia" w:hAnsi="宋体"/>
          <w:b/>
          <w:bCs/>
          <w:sz w:val="28"/>
          <w:szCs w:val="28"/>
        </w:rPr>
        <w:t>一、总则</w:t>
      </w:r>
    </w:p>
    <w:p>
      <w:pPr>
        <w:keepNext w:val="0"/>
        <w:keepLines w:val="0"/>
        <w:pageBreakBefore w:val="0"/>
        <w:kinsoku/>
        <w:wordWrap/>
        <w:overflowPunct/>
        <w:topLinePunct w:val="0"/>
        <w:bidi w:val="0"/>
        <w:snapToGrid w:val="0"/>
        <w:spacing w:line="360" w:lineRule="exact"/>
        <w:ind w:firstLine="480" w:firstLineChars="200"/>
        <w:jc w:val="left"/>
        <w:textAlignment w:val="auto"/>
        <w:outlineLvl w:val="1"/>
        <w:rPr>
          <w:rFonts w:ascii="宋体" w:cs="宋体"/>
          <w:b/>
          <w:bCs/>
          <w:sz w:val="24"/>
          <w:szCs w:val="24"/>
        </w:rPr>
      </w:pPr>
      <w:r>
        <w:rPr>
          <w:rFonts w:hint="eastAsia" w:ascii="宋体" w:hAnsi="宋体" w:cs="宋体"/>
          <w:b/>
          <w:bCs/>
          <w:sz w:val="24"/>
          <w:szCs w:val="24"/>
        </w:rPr>
        <w:t>（一）适用范围</w:t>
      </w:r>
    </w:p>
    <w:p>
      <w:pPr>
        <w:keepNext w:val="0"/>
        <w:keepLines w:val="0"/>
        <w:pageBreakBefore w:val="0"/>
        <w:kinsoku/>
        <w:wordWrap/>
        <w:overflowPunct/>
        <w:topLinePunct w:val="0"/>
        <w:bidi w:val="0"/>
        <w:snapToGrid w:val="0"/>
        <w:spacing w:line="360" w:lineRule="exact"/>
        <w:ind w:firstLine="480" w:firstLineChars="200"/>
        <w:jc w:val="left"/>
        <w:textAlignment w:val="auto"/>
        <w:rPr>
          <w:rFonts w:ascii="宋体" w:cs="宋体"/>
          <w:sz w:val="24"/>
          <w:szCs w:val="24"/>
        </w:rPr>
      </w:pPr>
      <w:r>
        <w:rPr>
          <w:rFonts w:hint="eastAsia" w:ascii="宋体" w:hAnsi="宋体" w:cs="宋体"/>
          <w:sz w:val="24"/>
          <w:szCs w:val="24"/>
        </w:rPr>
        <w:t>本招标文件适用于本次项目的招标、投标、评标、定标、验收、合同履约、付款等行为（法律、法规另有规定的，从其规定）。</w:t>
      </w:r>
    </w:p>
    <w:p>
      <w:pPr>
        <w:keepNext w:val="0"/>
        <w:keepLines w:val="0"/>
        <w:pageBreakBefore w:val="0"/>
        <w:kinsoku/>
        <w:wordWrap/>
        <w:overflowPunct/>
        <w:topLinePunct w:val="0"/>
        <w:bidi w:val="0"/>
        <w:snapToGrid w:val="0"/>
        <w:spacing w:line="360" w:lineRule="exact"/>
        <w:ind w:firstLine="480" w:firstLineChars="200"/>
        <w:jc w:val="left"/>
        <w:textAlignment w:val="auto"/>
        <w:outlineLvl w:val="1"/>
        <w:rPr>
          <w:rFonts w:ascii="宋体" w:cs="宋体"/>
          <w:b/>
          <w:bCs/>
          <w:sz w:val="24"/>
          <w:szCs w:val="24"/>
        </w:rPr>
      </w:pPr>
      <w:r>
        <w:rPr>
          <w:rFonts w:hint="eastAsia" w:ascii="宋体" w:hAnsi="宋体" w:cs="宋体"/>
          <w:b/>
          <w:bCs/>
          <w:sz w:val="24"/>
          <w:szCs w:val="24"/>
        </w:rPr>
        <w:t>（二）定义</w:t>
      </w:r>
    </w:p>
    <w:p>
      <w:pPr>
        <w:keepNext w:val="0"/>
        <w:keepLines w:val="0"/>
        <w:pageBreakBefore w:val="0"/>
        <w:kinsoku/>
        <w:wordWrap/>
        <w:overflowPunct/>
        <w:topLinePunct w:val="0"/>
        <w:bidi w:val="0"/>
        <w:snapToGrid w:val="0"/>
        <w:spacing w:line="360" w:lineRule="exact"/>
        <w:ind w:firstLine="480" w:firstLineChars="200"/>
        <w:textAlignment w:val="auto"/>
        <w:rPr>
          <w:rFonts w:hint="eastAsia" w:ascii="宋体" w:hAnsi="宋体" w:cs="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、采购代理机构：</w:t>
      </w:r>
      <w:r>
        <w:rPr>
          <w:rFonts w:hint="eastAsia" w:ascii="宋体" w:hAnsi="宋体" w:cs="宋体"/>
          <w:b w:val="0"/>
          <w:bCs w:val="0"/>
          <w:sz w:val="24"/>
          <w:szCs w:val="24"/>
          <w:lang w:val="en-US" w:eastAsia="zh-CN"/>
        </w:rPr>
        <w:t>是</w:t>
      </w:r>
      <w:r>
        <w:rPr>
          <w:rFonts w:hint="eastAsia" w:ascii="宋体" w:hAnsi="宋体" w:cs="宋体"/>
          <w:b w:val="0"/>
          <w:bCs w:val="0"/>
          <w:sz w:val="24"/>
          <w:szCs w:val="24"/>
        </w:rPr>
        <w:t>指组织本次招标的机构，即建经投资咨询有限公司。</w:t>
      </w:r>
    </w:p>
    <w:p>
      <w:pPr>
        <w:keepNext w:val="0"/>
        <w:keepLines w:val="0"/>
        <w:pageBreakBefore w:val="0"/>
        <w:kinsoku/>
        <w:wordWrap/>
        <w:overflowPunct/>
        <w:topLinePunct w:val="0"/>
        <w:bidi w:val="0"/>
        <w:snapToGrid w:val="0"/>
        <w:spacing w:line="360" w:lineRule="exact"/>
        <w:ind w:firstLine="480" w:firstLineChars="200"/>
        <w:textAlignment w:val="auto"/>
        <w:rPr>
          <w:rFonts w:ascii="宋体" w:cs="宋体"/>
          <w:sz w:val="24"/>
          <w:szCs w:val="24"/>
        </w:rPr>
      </w:pPr>
      <w:r>
        <w:rPr>
          <w:rFonts w:ascii="宋体" w:hAnsi="宋体" w:cs="宋体"/>
          <w:sz w:val="24"/>
          <w:szCs w:val="24"/>
        </w:rPr>
        <w:t>2</w:t>
      </w:r>
      <w:r>
        <w:rPr>
          <w:rFonts w:hint="eastAsia" w:ascii="宋体" w:hAnsi="宋体" w:cs="宋体"/>
          <w:sz w:val="24"/>
          <w:szCs w:val="24"/>
        </w:rPr>
        <w:t>、采购人：</w:t>
      </w:r>
      <w:r>
        <w:rPr>
          <w:rFonts w:hint="eastAsia" w:ascii="宋体" w:hAnsi="宋体" w:cs="宋体"/>
          <w:sz w:val="24"/>
          <w:szCs w:val="24"/>
          <w:lang w:val="en-US" w:eastAsia="zh-CN"/>
        </w:rPr>
        <w:t>是</w:t>
      </w:r>
      <w:r>
        <w:rPr>
          <w:rFonts w:hint="eastAsia" w:ascii="宋体" w:hAnsi="宋体" w:cs="宋体"/>
          <w:sz w:val="24"/>
          <w:szCs w:val="24"/>
        </w:rPr>
        <w:t>指</w:t>
      </w:r>
      <w:r>
        <w:rPr>
          <w:rFonts w:hint="eastAsia" w:ascii="宋体" w:hAnsi="宋体" w:cs="宋体"/>
          <w:sz w:val="24"/>
          <w:szCs w:val="24"/>
          <w:lang w:eastAsia="zh-CN"/>
        </w:rPr>
        <w:t>温岭市住房和城乡建设局</w:t>
      </w:r>
      <w:r>
        <w:rPr>
          <w:rFonts w:hint="eastAsia" w:ascii="宋体" w:hAnsi="宋体" w:cs="宋体"/>
          <w:sz w:val="24"/>
          <w:szCs w:val="24"/>
        </w:rPr>
        <w:t>。</w:t>
      </w:r>
    </w:p>
    <w:p>
      <w:pPr>
        <w:keepNext w:val="0"/>
        <w:keepLines w:val="0"/>
        <w:pageBreakBefore w:val="0"/>
        <w:kinsoku/>
        <w:wordWrap/>
        <w:overflowPunct/>
        <w:topLinePunct w:val="0"/>
        <w:bidi w:val="0"/>
        <w:snapToGrid w:val="0"/>
        <w:spacing w:line="360" w:lineRule="exact"/>
        <w:ind w:firstLine="480" w:firstLineChars="200"/>
        <w:jc w:val="left"/>
        <w:textAlignment w:val="auto"/>
        <w:rPr>
          <w:rFonts w:ascii="宋体" w:cs="宋体"/>
          <w:sz w:val="24"/>
          <w:szCs w:val="24"/>
        </w:rPr>
      </w:pPr>
      <w:r>
        <w:rPr>
          <w:rFonts w:ascii="宋体" w:hAnsi="宋体" w:cs="宋体"/>
          <w:sz w:val="24"/>
          <w:szCs w:val="24"/>
        </w:rPr>
        <w:t>3</w:t>
      </w:r>
      <w:r>
        <w:rPr>
          <w:rFonts w:hint="eastAsia" w:ascii="宋体" w:hAnsi="宋体" w:cs="宋体"/>
          <w:sz w:val="24"/>
          <w:szCs w:val="24"/>
        </w:rPr>
        <w:t>、投标人：是指参加本政府采购项目投标的供应商。</w:t>
      </w:r>
    </w:p>
    <w:p>
      <w:pPr>
        <w:keepNext w:val="0"/>
        <w:keepLines w:val="0"/>
        <w:pageBreakBefore w:val="0"/>
        <w:kinsoku/>
        <w:wordWrap/>
        <w:overflowPunct/>
        <w:topLinePunct w:val="0"/>
        <w:bidi w:val="0"/>
        <w:snapToGrid w:val="0"/>
        <w:spacing w:line="360" w:lineRule="exact"/>
        <w:ind w:firstLine="480" w:firstLineChars="200"/>
        <w:jc w:val="left"/>
        <w:textAlignment w:val="auto"/>
        <w:rPr>
          <w:rFonts w:ascii="宋体" w:cs="宋体"/>
          <w:sz w:val="24"/>
          <w:szCs w:val="24"/>
        </w:rPr>
      </w:pPr>
      <w:r>
        <w:rPr>
          <w:rFonts w:ascii="宋体" w:hAnsi="宋体" w:cs="宋体"/>
          <w:sz w:val="24"/>
          <w:szCs w:val="24"/>
        </w:rPr>
        <w:t>4</w:t>
      </w:r>
      <w:r>
        <w:rPr>
          <w:rFonts w:hint="eastAsia" w:ascii="宋体" w:hAnsi="宋体" w:cs="宋体"/>
          <w:sz w:val="24"/>
          <w:szCs w:val="24"/>
        </w:rPr>
        <w:t>、货物：是指各种形态和种类的物品，包括原材料、燃料、设备、产品等。</w:t>
      </w:r>
    </w:p>
    <w:p>
      <w:pPr>
        <w:keepNext w:val="0"/>
        <w:keepLines w:val="0"/>
        <w:pageBreakBefore w:val="0"/>
        <w:kinsoku/>
        <w:wordWrap/>
        <w:overflowPunct/>
        <w:topLinePunct w:val="0"/>
        <w:bidi w:val="0"/>
        <w:snapToGrid w:val="0"/>
        <w:spacing w:line="360" w:lineRule="exact"/>
        <w:ind w:firstLine="480" w:firstLineChars="200"/>
        <w:jc w:val="left"/>
        <w:textAlignment w:val="auto"/>
        <w:rPr>
          <w:rFonts w:ascii="宋体" w:cs="宋体"/>
          <w:sz w:val="24"/>
          <w:szCs w:val="24"/>
        </w:rPr>
      </w:pPr>
      <w:r>
        <w:rPr>
          <w:rFonts w:ascii="宋体" w:hAnsi="宋体" w:cs="宋体"/>
          <w:sz w:val="24"/>
          <w:szCs w:val="24"/>
        </w:rPr>
        <w:t>5</w:t>
      </w:r>
      <w:r>
        <w:rPr>
          <w:rFonts w:hint="eastAsia" w:ascii="宋体" w:hAnsi="宋体" w:cs="宋体"/>
          <w:sz w:val="24"/>
          <w:szCs w:val="24"/>
        </w:rPr>
        <w:t>、服务：是指除货物和工程以外的其他政府采购对象，包括各类专业服务、信息网络开发服务、金融保险服务、运输服务，以及维修与维护服务等。</w:t>
      </w:r>
    </w:p>
    <w:p>
      <w:pPr>
        <w:keepNext w:val="0"/>
        <w:keepLines w:val="0"/>
        <w:pageBreakBefore w:val="0"/>
        <w:kinsoku/>
        <w:wordWrap/>
        <w:overflowPunct/>
        <w:topLinePunct w:val="0"/>
        <w:bidi w:val="0"/>
        <w:snapToGrid w:val="0"/>
        <w:spacing w:line="360" w:lineRule="exact"/>
        <w:ind w:firstLine="480" w:firstLineChars="200"/>
        <w:jc w:val="left"/>
        <w:textAlignment w:val="auto"/>
        <w:rPr>
          <w:rFonts w:ascii="宋体" w:cs="宋体"/>
          <w:sz w:val="24"/>
          <w:szCs w:val="24"/>
        </w:rPr>
      </w:pPr>
      <w:r>
        <w:rPr>
          <w:rFonts w:ascii="宋体" w:hAnsi="宋体" w:cs="宋体"/>
          <w:sz w:val="24"/>
          <w:szCs w:val="24"/>
        </w:rPr>
        <w:t>6</w:t>
      </w:r>
      <w:r>
        <w:rPr>
          <w:rFonts w:hint="eastAsia" w:ascii="宋体" w:hAnsi="宋体" w:cs="宋体"/>
          <w:sz w:val="24"/>
          <w:szCs w:val="24"/>
        </w:rPr>
        <w:t>、“书面形式”包括信函、传真等。</w:t>
      </w:r>
    </w:p>
    <w:p>
      <w:pPr>
        <w:keepNext w:val="0"/>
        <w:keepLines w:val="0"/>
        <w:pageBreakBefore w:val="0"/>
        <w:kinsoku/>
        <w:wordWrap/>
        <w:overflowPunct/>
        <w:topLinePunct w:val="0"/>
        <w:bidi w:val="0"/>
        <w:snapToGrid w:val="0"/>
        <w:spacing w:line="360" w:lineRule="exact"/>
        <w:ind w:firstLine="480" w:firstLineChars="200"/>
        <w:jc w:val="left"/>
        <w:textAlignment w:val="auto"/>
        <w:rPr>
          <w:rFonts w:ascii="宋体" w:cs="宋体"/>
          <w:sz w:val="24"/>
          <w:szCs w:val="24"/>
        </w:rPr>
      </w:pPr>
      <w:r>
        <w:rPr>
          <w:rFonts w:ascii="宋体" w:hAnsi="宋体" w:cs="宋体"/>
          <w:sz w:val="24"/>
          <w:szCs w:val="24"/>
        </w:rPr>
        <w:t>7</w:t>
      </w:r>
      <w:r>
        <w:rPr>
          <w:rFonts w:hint="eastAsia" w:ascii="宋体" w:hAnsi="宋体" w:cs="宋体"/>
          <w:sz w:val="24"/>
          <w:szCs w:val="24"/>
        </w:rPr>
        <w:t>、“▲”系指实质性要求条款。</w:t>
      </w:r>
    </w:p>
    <w:p>
      <w:pPr>
        <w:keepNext w:val="0"/>
        <w:keepLines w:val="0"/>
        <w:pageBreakBefore w:val="0"/>
        <w:kinsoku/>
        <w:wordWrap/>
        <w:overflowPunct/>
        <w:topLinePunct w:val="0"/>
        <w:bidi w:val="0"/>
        <w:snapToGrid w:val="0"/>
        <w:spacing w:line="360" w:lineRule="exact"/>
        <w:ind w:firstLine="480" w:firstLineChars="200"/>
        <w:jc w:val="left"/>
        <w:textAlignment w:val="auto"/>
        <w:outlineLvl w:val="1"/>
        <w:rPr>
          <w:rFonts w:ascii="宋体" w:cs="宋体"/>
          <w:b/>
          <w:bCs/>
          <w:sz w:val="24"/>
          <w:szCs w:val="24"/>
        </w:rPr>
      </w:pPr>
      <w:r>
        <w:rPr>
          <w:rFonts w:hint="eastAsia" w:ascii="宋体" w:hAnsi="宋体" w:cs="宋体"/>
          <w:b/>
          <w:bCs/>
          <w:sz w:val="24"/>
          <w:szCs w:val="24"/>
        </w:rPr>
        <w:t>（三）投标费用</w:t>
      </w:r>
    </w:p>
    <w:p>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cs="宋体"/>
          <w:color w:val="auto"/>
          <w:sz w:val="24"/>
        </w:rPr>
      </w:pPr>
      <w:r>
        <w:rPr>
          <w:rFonts w:hint="eastAsia" w:ascii="宋体" w:hAnsi="宋体" w:cs="宋体"/>
          <w:color w:val="auto"/>
          <w:kern w:val="0"/>
          <w:sz w:val="24"/>
          <w:lang w:bidi="ar"/>
        </w:rPr>
        <w:t>1</w:t>
      </w:r>
      <w:r>
        <w:rPr>
          <w:rFonts w:hint="eastAsia" w:ascii="宋体" w:hAnsi="宋体" w:cs="宋体"/>
          <w:color w:val="auto"/>
          <w:kern w:val="0"/>
          <w:sz w:val="24"/>
          <w:lang w:eastAsia="zh-CN" w:bidi="ar"/>
        </w:rPr>
        <w:t>、</w:t>
      </w:r>
      <w:r>
        <w:rPr>
          <w:rFonts w:hint="eastAsia" w:ascii="宋体" w:hAnsi="宋体" w:cs="宋体"/>
          <w:sz w:val="24"/>
          <w:szCs w:val="24"/>
        </w:rPr>
        <w:t>不论投标结果如何，投标人均应自行承担所有与投标有关的全部费用（招标文件有相关规定除外）。</w:t>
      </w:r>
    </w:p>
    <w:p>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cs="宋体"/>
          <w:color w:val="auto"/>
          <w:kern w:val="0"/>
          <w:sz w:val="24"/>
          <w:lang w:bidi="ar"/>
        </w:rPr>
      </w:pPr>
      <w:r>
        <w:rPr>
          <w:rFonts w:hint="eastAsia" w:ascii="宋体" w:hAnsi="宋体" w:cs="宋体"/>
          <w:color w:val="auto"/>
          <w:kern w:val="0"/>
          <w:sz w:val="24"/>
          <w:lang w:bidi="ar"/>
        </w:rPr>
        <w:t>2、招标代理服务费</w:t>
      </w:r>
    </w:p>
    <w:p>
      <w:pPr>
        <w:widowControl/>
        <w:snapToGrid w:val="0"/>
        <w:spacing w:line="340" w:lineRule="exact"/>
        <w:ind w:firstLine="480" w:firstLineChars="200"/>
        <w:jc w:val="left"/>
        <w:rPr>
          <w:rFonts w:hint="eastAsia" w:hAnsi="宋体" w:cs="仿宋_GB2312"/>
          <w:b/>
          <w:bCs/>
          <w:sz w:val="24"/>
          <w:u w:val="single"/>
        </w:rPr>
      </w:pPr>
      <w:r>
        <w:rPr>
          <w:rFonts w:hint="eastAsia" w:hAnsi="宋体" w:cs="仿宋_GB2312"/>
          <w:b/>
          <w:bCs/>
          <w:sz w:val="24"/>
          <w:u w:val="single"/>
        </w:rPr>
        <w:t>本项目采购代理服务费按国家计委计价[2011]534号文的收费标准（见附表）计取；采购代理服务费须包含在总报价中，中标单位在收到中标通知书后 5 个工作日内支付至招标代理机构处；本项目按</w:t>
      </w:r>
      <w:r>
        <w:rPr>
          <w:rFonts w:hint="eastAsia" w:hAnsi="宋体" w:cs="仿宋_GB2312"/>
          <w:b/>
          <w:bCs/>
          <w:sz w:val="24"/>
          <w:u w:val="single"/>
          <w:lang w:val="en-US" w:eastAsia="zh-CN"/>
        </w:rPr>
        <w:t>服务</w:t>
      </w:r>
      <w:r>
        <w:rPr>
          <w:rFonts w:hint="eastAsia" w:hAnsi="宋体" w:cs="仿宋_GB2312"/>
          <w:b/>
          <w:bCs/>
          <w:sz w:val="24"/>
          <w:u w:val="single"/>
        </w:rPr>
        <w:t>招标类型的</w:t>
      </w:r>
      <w:r>
        <w:rPr>
          <w:rFonts w:hint="eastAsia" w:hAnsi="宋体" w:cs="仿宋_GB2312"/>
          <w:b/>
          <w:bCs/>
          <w:sz w:val="24"/>
          <w:u w:val="single"/>
          <w:lang w:val="en-US" w:eastAsia="zh-CN"/>
        </w:rPr>
        <w:t>80%</w:t>
      </w:r>
      <w:r>
        <w:rPr>
          <w:rFonts w:hint="eastAsia" w:hAnsi="宋体" w:cs="仿宋_GB2312"/>
          <w:b/>
          <w:bCs/>
          <w:sz w:val="24"/>
          <w:u w:val="single"/>
        </w:rPr>
        <w:t>收费，不足捌仟元按捌仟元计取。</w:t>
      </w:r>
    </w:p>
    <w:p>
      <w:pPr>
        <w:jc w:val="center"/>
        <w:rPr>
          <w:rFonts w:hint="eastAsia" w:hAnsi="宋体" w:cs="仿宋_GB2312"/>
          <w:b/>
          <w:bCs/>
          <w:sz w:val="24"/>
        </w:rPr>
      </w:pPr>
      <w:r>
        <w:rPr>
          <w:b/>
          <w:sz w:val="22"/>
          <w:szCs w:val="22"/>
        </w:rPr>
        <mc:AlternateContent>
          <mc:Choice Requires="wps">
            <w:drawing>
              <wp:anchor distT="0" distB="0" distL="114300" distR="114300" simplePos="0" relativeHeight="251661312" behindDoc="0" locked="0" layoutInCell="0" allowOverlap="1">
                <wp:simplePos x="0" y="0"/>
                <wp:positionH relativeFrom="column">
                  <wp:posOffset>687070</wp:posOffset>
                </wp:positionH>
                <wp:positionV relativeFrom="paragraph">
                  <wp:posOffset>191770</wp:posOffset>
                </wp:positionV>
                <wp:extent cx="800100" cy="821690"/>
                <wp:effectExtent l="3175" t="3175" r="15875" b="13335"/>
                <wp:wrapNone/>
                <wp:docPr id="4" name="直接连接符 4"/>
                <wp:cNvGraphicFramePr/>
                <a:graphic xmlns:a="http://schemas.openxmlformats.org/drawingml/2006/main">
                  <a:graphicData uri="http://schemas.microsoft.com/office/word/2010/wordprocessingShape">
                    <wps:wsp>
                      <wps:cNvCnPr/>
                      <wps:spPr>
                        <a:xfrm flipH="1" flipV="1">
                          <a:off x="0" y="0"/>
                          <a:ext cx="800100" cy="8216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54.1pt;margin-top:15.1pt;height:64.7pt;width:63pt;z-index:251661312;mso-width-relative:page;mso-height-relative:page;" filled="f" stroked="t" coordsize="21600,21600" o:allowincell="f" o:gfxdata="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5YSotMAAAAKAQAADwAAAAAAAAABACAAAAAiAAAAZHJzL2Rv&#10;d25yZXYueG1sUEsBAhQAFAAAAAgAh07iQJRRLUwGAgAA/AMAAA4AAAAAAAAAAQAgAAAAIgEAAGRy&#10;cy9lMm9Eb2MueG1sUEsFBgAAAAAGAAYAWQEAAJoFAAAAAA==&#10;">
                <v:fill on="f" focussize="0,0"/>
                <v:stroke color="#000000" joinstyle="round"/>
                <v:imagedata o:title=""/>
                <o:lock v:ext="edit" aspectratio="f"/>
              </v:line>
            </w:pict>
          </mc:Fallback>
        </mc:AlternateContent>
      </w:r>
      <w:r>
        <w:rPr>
          <w:rFonts w:hint="eastAsia" w:hAnsi="宋体" w:cs="仿宋_GB2312"/>
          <w:b/>
          <w:bCs/>
          <w:sz w:val="24"/>
        </w:rPr>
        <w:t>附表：招标代理服务收费标准</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2448" w:type="dxa"/>
            <w:noWrap w:val="0"/>
            <w:vAlign w:val="top"/>
          </w:tcPr>
          <w:p>
            <w:pPr>
              <w:ind w:firstLine="1540" w:firstLineChars="700"/>
              <w:rPr>
                <w:rFonts w:hint="eastAsia"/>
                <w:b/>
                <w:sz w:val="22"/>
                <w:szCs w:val="22"/>
              </w:rPr>
            </w:pPr>
            <w:r>
              <w:rPr>
                <w:b/>
                <w:sz w:val="22"/>
                <w:szCs w:val="22"/>
              </w:rPr>
              <mc:AlternateContent>
                <mc:Choice Requires="wps">
                  <w:drawing>
                    <wp:anchor distT="0" distB="0" distL="114300" distR="114300" simplePos="0" relativeHeight="251660288" behindDoc="0" locked="0" layoutInCell="0" allowOverlap="1">
                      <wp:simplePos x="0" y="0"/>
                      <wp:positionH relativeFrom="column">
                        <wp:posOffset>-84455</wp:posOffset>
                      </wp:positionH>
                      <wp:positionV relativeFrom="paragraph">
                        <wp:posOffset>66040</wp:posOffset>
                      </wp:positionV>
                      <wp:extent cx="1571625" cy="749300"/>
                      <wp:effectExtent l="1905" t="4445" r="7620" b="8255"/>
                      <wp:wrapNone/>
                      <wp:docPr id="3" name="直接连接符 3"/>
                      <wp:cNvGraphicFramePr/>
                      <a:graphic xmlns:a="http://schemas.openxmlformats.org/drawingml/2006/main">
                        <a:graphicData uri="http://schemas.microsoft.com/office/word/2010/wordprocessingShape">
                          <wps:wsp>
                            <wps:cNvCnPr/>
                            <wps:spPr>
                              <a:xfrm flipH="1" flipV="1">
                                <a:off x="0" y="0"/>
                                <a:ext cx="1571625" cy="749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6.65pt;margin-top:5.2pt;height:59pt;width:123.75pt;z-index:251660288;mso-width-relative:page;mso-height-relative:page;" filled="f" stroked="t" coordsize="21600,21600" o:allowincell="f" o:gfxdata="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8JKFzUAAAACgEAAA8AAAAAAAAAAQAgAAAAIgAAAGRycy9k&#10;b3ducmV2LnhtbFBLAQIUABQAAAAIAIdO4kBk/km+BgIAAP0DAAAOAAAAAAAAAAEAIAAAACMBAABk&#10;cnMvZTJvRG9jLnhtbFBLBQYAAAAABgAGAFkBAACbBQAAAAA=&#10;">
                      <v:fill on="f" focussize="0,0"/>
                      <v:stroke color="#000000" joinstyle="round"/>
                      <v:imagedata o:title=""/>
                      <o:lock v:ext="edit" aspectratio="f"/>
                    </v:line>
                  </w:pict>
                </mc:Fallback>
              </mc:AlternateContent>
            </w:r>
            <w:r>
              <w:rPr>
                <w:b/>
                <w:sz w:val="22"/>
                <w:szCs w:val="22"/>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2D0IyvE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7Lhc84cWGr47ecf&#10;vz59vfv5hdbb79/YPIs0BKwp9tqt43GHYR0z430bbf4TF7Yvwh5Owqp9YoKcl88vOBP3/urhUoiY&#10;XitvWTYabrTLfKGG3RtMlIhC70Oy2zg2NPzlxTzDAQ1fS00n0wYigK4rd9EbLW+0MfkGxm5zbSLb&#10;QR6A8mU6hPtXWE6yAuzHuHI0jkavQL5ykqVDIGkcvQieS7BKcmYUPaBsESDUCbQ5J5JSG0cVZEVH&#10;DbO18fJAjdiGqLuelJiVKvMJNb7UexzSPFl/7gvSw8N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kdN+1QAAAAkBAAAPAAAAAAAAAAEAIAAAACIAAABkcnMvZG93bnJldi54bWxQSwECFAAUAAAA&#10;CACHTuJA2D0IyvEBAADgAwAADgAAAAAAAAABACAAAAAkAQAAZHJzL2Uyb0RvYy54bWxQSwUGAAAA&#10;AAYABgBZAQAAhwUAAAAA&#10;">
                      <v:fill on="f" focussize="0,0"/>
                      <v:stroke color="#000000" joinstyle="round"/>
                      <v:imagedata o:title=""/>
                      <o:lock v:ext="edit" aspectratio="f"/>
                    </v:line>
                  </w:pict>
                </mc:Fallback>
              </mc:AlternateContent>
            </w:r>
            <w:r>
              <w:rPr>
                <w:rFonts w:hint="eastAsia"/>
                <w:b/>
                <w:sz w:val="22"/>
                <w:szCs w:val="22"/>
              </w:rPr>
              <w:t>服务</w:t>
            </w:r>
          </w:p>
          <w:p>
            <w:pPr>
              <w:ind w:firstLine="1100" w:firstLineChars="500"/>
              <w:rPr>
                <w:rFonts w:hint="eastAsia"/>
                <w:b/>
                <w:sz w:val="22"/>
                <w:szCs w:val="22"/>
              </w:rPr>
            </w:pPr>
            <w:r>
              <w:rPr>
                <w:rFonts w:hint="eastAsia"/>
                <w:b/>
                <w:sz w:val="22"/>
                <w:szCs w:val="22"/>
              </w:rPr>
              <w:t>费　　类型</w:t>
            </w:r>
          </w:p>
          <w:p>
            <w:pPr>
              <w:ind w:firstLine="1540" w:firstLineChars="700"/>
              <w:rPr>
                <w:rFonts w:hint="eastAsia"/>
                <w:b/>
                <w:sz w:val="22"/>
                <w:szCs w:val="22"/>
              </w:rPr>
            </w:pPr>
            <w:r>
              <w:rPr>
                <w:rFonts w:hint="eastAsia"/>
                <w:b/>
                <w:sz w:val="22"/>
                <w:szCs w:val="22"/>
              </w:rPr>
              <w:t>率</w:t>
            </w:r>
          </w:p>
          <w:p>
            <w:pPr>
              <w:rPr>
                <w:rFonts w:hint="eastAsia"/>
                <w:b/>
                <w:sz w:val="22"/>
                <w:szCs w:val="22"/>
              </w:rPr>
            </w:pPr>
            <w:r>
              <w:rPr>
                <w:rFonts w:hint="eastAsia"/>
                <w:b/>
                <w:sz w:val="22"/>
                <w:szCs w:val="22"/>
              </w:rPr>
              <w:t>中标金额（万元）</w:t>
            </w:r>
          </w:p>
        </w:tc>
        <w:tc>
          <w:tcPr>
            <w:tcW w:w="1980" w:type="dxa"/>
            <w:noWrap w:val="0"/>
            <w:vAlign w:val="center"/>
          </w:tcPr>
          <w:p>
            <w:pPr>
              <w:jc w:val="center"/>
              <w:rPr>
                <w:rFonts w:hint="eastAsia"/>
                <w:b/>
                <w:sz w:val="22"/>
                <w:szCs w:val="22"/>
              </w:rPr>
            </w:pPr>
            <w:r>
              <w:rPr>
                <w:rFonts w:hint="eastAsia"/>
                <w:b/>
                <w:sz w:val="22"/>
                <w:szCs w:val="22"/>
              </w:rPr>
              <w:t>货物招标</w:t>
            </w:r>
          </w:p>
        </w:tc>
        <w:tc>
          <w:tcPr>
            <w:tcW w:w="1980" w:type="dxa"/>
            <w:noWrap w:val="0"/>
            <w:vAlign w:val="center"/>
          </w:tcPr>
          <w:p>
            <w:pPr>
              <w:jc w:val="center"/>
              <w:rPr>
                <w:rFonts w:hint="eastAsia"/>
                <w:b/>
                <w:sz w:val="22"/>
                <w:szCs w:val="22"/>
              </w:rPr>
            </w:pPr>
            <w:r>
              <w:rPr>
                <w:rFonts w:hint="eastAsia"/>
                <w:b/>
                <w:sz w:val="22"/>
                <w:szCs w:val="22"/>
              </w:rPr>
              <w:t>服务招标</w:t>
            </w:r>
          </w:p>
        </w:tc>
        <w:tc>
          <w:tcPr>
            <w:tcW w:w="1980" w:type="dxa"/>
            <w:noWrap w:val="0"/>
            <w:vAlign w:val="center"/>
          </w:tcPr>
          <w:p>
            <w:pPr>
              <w:jc w:val="center"/>
              <w:rPr>
                <w:rFonts w:hint="eastAsia"/>
                <w:b/>
                <w:sz w:val="22"/>
                <w:szCs w:val="22"/>
              </w:rPr>
            </w:pPr>
            <w:r>
              <w:rPr>
                <w:rFonts w:hint="eastAsia"/>
                <w:b/>
                <w:sz w:val="22"/>
                <w:szCs w:val="22"/>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jc w:val="center"/>
              <w:rPr>
                <w:rFonts w:hint="eastAsia"/>
                <w:sz w:val="22"/>
                <w:szCs w:val="22"/>
              </w:rPr>
            </w:pPr>
            <w:r>
              <w:rPr>
                <w:rFonts w:hint="eastAsia"/>
                <w:sz w:val="22"/>
                <w:szCs w:val="22"/>
              </w:rPr>
              <w:t>100以下</w:t>
            </w:r>
          </w:p>
        </w:tc>
        <w:tc>
          <w:tcPr>
            <w:tcW w:w="1980" w:type="dxa"/>
            <w:noWrap w:val="0"/>
            <w:vAlign w:val="top"/>
          </w:tcPr>
          <w:p>
            <w:pPr>
              <w:jc w:val="center"/>
              <w:rPr>
                <w:rFonts w:hint="eastAsia"/>
                <w:sz w:val="22"/>
                <w:szCs w:val="22"/>
              </w:rPr>
            </w:pPr>
            <w:r>
              <w:rPr>
                <w:rFonts w:hint="eastAsia"/>
                <w:sz w:val="22"/>
                <w:szCs w:val="22"/>
              </w:rPr>
              <w:t>1.5%</w:t>
            </w:r>
          </w:p>
        </w:tc>
        <w:tc>
          <w:tcPr>
            <w:tcW w:w="1980" w:type="dxa"/>
            <w:noWrap w:val="0"/>
            <w:vAlign w:val="top"/>
          </w:tcPr>
          <w:p>
            <w:pPr>
              <w:jc w:val="center"/>
              <w:rPr>
                <w:rFonts w:hint="eastAsia"/>
                <w:sz w:val="22"/>
                <w:szCs w:val="22"/>
              </w:rPr>
            </w:pPr>
            <w:r>
              <w:rPr>
                <w:rFonts w:hint="eastAsia"/>
                <w:sz w:val="22"/>
                <w:szCs w:val="22"/>
              </w:rPr>
              <w:t>1.5%</w:t>
            </w:r>
          </w:p>
        </w:tc>
        <w:tc>
          <w:tcPr>
            <w:tcW w:w="1980" w:type="dxa"/>
            <w:noWrap w:val="0"/>
            <w:vAlign w:val="top"/>
          </w:tcPr>
          <w:p>
            <w:pPr>
              <w:jc w:val="center"/>
              <w:rPr>
                <w:rFonts w:hint="eastAsia"/>
                <w:sz w:val="22"/>
                <w:szCs w:val="22"/>
              </w:rPr>
            </w:pPr>
            <w:r>
              <w:rPr>
                <w:rFonts w:hint="eastAsia"/>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jc w:val="center"/>
              <w:rPr>
                <w:rFonts w:hint="eastAsia"/>
                <w:sz w:val="22"/>
                <w:szCs w:val="22"/>
              </w:rPr>
            </w:pPr>
            <w:r>
              <w:rPr>
                <w:rFonts w:hint="eastAsia"/>
                <w:sz w:val="22"/>
                <w:szCs w:val="22"/>
              </w:rPr>
              <w:t>100-500</w:t>
            </w:r>
          </w:p>
        </w:tc>
        <w:tc>
          <w:tcPr>
            <w:tcW w:w="1980" w:type="dxa"/>
            <w:noWrap w:val="0"/>
            <w:vAlign w:val="top"/>
          </w:tcPr>
          <w:p>
            <w:pPr>
              <w:jc w:val="center"/>
              <w:rPr>
                <w:rFonts w:hint="eastAsia"/>
                <w:sz w:val="22"/>
                <w:szCs w:val="22"/>
              </w:rPr>
            </w:pPr>
            <w:r>
              <w:rPr>
                <w:rFonts w:hint="eastAsia"/>
                <w:sz w:val="22"/>
                <w:szCs w:val="22"/>
              </w:rPr>
              <w:t>1.1%</w:t>
            </w:r>
          </w:p>
        </w:tc>
        <w:tc>
          <w:tcPr>
            <w:tcW w:w="1980" w:type="dxa"/>
            <w:noWrap w:val="0"/>
            <w:vAlign w:val="top"/>
          </w:tcPr>
          <w:p>
            <w:pPr>
              <w:jc w:val="center"/>
              <w:rPr>
                <w:rFonts w:hint="eastAsia"/>
                <w:sz w:val="22"/>
                <w:szCs w:val="22"/>
              </w:rPr>
            </w:pPr>
            <w:r>
              <w:rPr>
                <w:rFonts w:hint="eastAsia"/>
                <w:sz w:val="22"/>
                <w:szCs w:val="22"/>
              </w:rPr>
              <w:t>0.8%</w:t>
            </w:r>
          </w:p>
        </w:tc>
        <w:tc>
          <w:tcPr>
            <w:tcW w:w="1980" w:type="dxa"/>
            <w:noWrap w:val="0"/>
            <w:vAlign w:val="top"/>
          </w:tcPr>
          <w:p>
            <w:pPr>
              <w:jc w:val="center"/>
              <w:rPr>
                <w:rFonts w:hint="eastAsia"/>
                <w:sz w:val="22"/>
                <w:szCs w:val="22"/>
              </w:rPr>
            </w:pPr>
            <w:r>
              <w:rPr>
                <w:rFonts w:hint="eastAsia"/>
                <w:sz w:val="22"/>
                <w:szCs w:val="2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jc w:val="center"/>
              <w:rPr>
                <w:rFonts w:hint="eastAsia"/>
                <w:sz w:val="22"/>
                <w:szCs w:val="22"/>
              </w:rPr>
            </w:pPr>
            <w:r>
              <w:rPr>
                <w:rFonts w:hint="eastAsia"/>
                <w:sz w:val="22"/>
                <w:szCs w:val="22"/>
              </w:rPr>
              <w:t>500-1000</w:t>
            </w:r>
          </w:p>
        </w:tc>
        <w:tc>
          <w:tcPr>
            <w:tcW w:w="1980" w:type="dxa"/>
            <w:noWrap w:val="0"/>
            <w:vAlign w:val="top"/>
          </w:tcPr>
          <w:p>
            <w:pPr>
              <w:jc w:val="center"/>
              <w:rPr>
                <w:rFonts w:hint="eastAsia"/>
                <w:sz w:val="22"/>
                <w:szCs w:val="22"/>
              </w:rPr>
            </w:pPr>
            <w:r>
              <w:rPr>
                <w:rFonts w:hint="eastAsia"/>
                <w:sz w:val="22"/>
                <w:szCs w:val="22"/>
              </w:rPr>
              <w:t>0.8%</w:t>
            </w:r>
          </w:p>
        </w:tc>
        <w:tc>
          <w:tcPr>
            <w:tcW w:w="1980" w:type="dxa"/>
            <w:noWrap w:val="0"/>
            <w:vAlign w:val="top"/>
          </w:tcPr>
          <w:p>
            <w:pPr>
              <w:jc w:val="center"/>
              <w:rPr>
                <w:rFonts w:hint="eastAsia"/>
                <w:sz w:val="22"/>
                <w:szCs w:val="22"/>
              </w:rPr>
            </w:pPr>
            <w:r>
              <w:rPr>
                <w:rFonts w:hint="eastAsia"/>
                <w:sz w:val="22"/>
                <w:szCs w:val="22"/>
              </w:rPr>
              <w:t>0.45%</w:t>
            </w:r>
          </w:p>
        </w:tc>
        <w:tc>
          <w:tcPr>
            <w:tcW w:w="1980" w:type="dxa"/>
            <w:noWrap w:val="0"/>
            <w:vAlign w:val="top"/>
          </w:tcPr>
          <w:p>
            <w:pPr>
              <w:jc w:val="center"/>
              <w:rPr>
                <w:rFonts w:hint="eastAsia"/>
                <w:sz w:val="22"/>
                <w:szCs w:val="22"/>
              </w:rPr>
            </w:pPr>
            <w:r>
              <w:rPr>
                <w:rFonts w:hint="eastAsia"/>
                <w:sz w:val="22"/>
                <w:szCs w:val="22"/>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jc w:val="center"/>
              <w:rPr>
                <w:rFonts w:hint="eastAsia"/>
                <w:sz w:val="22"/>
                <w:szCs w:val="22"/>
              </w:rPr>
            </w:pPr>
            <w:r>
              <w:rPr>
                <w:rFonts w:hint="eastAsia"/>
                <w:sz w:val="22"/>
                <w:szCs w:val="22"/>
              </w:rPr>
              <w:t>1000-5000</w:t>
            </w:r>
          </w:p>
        </w:tc>
        <w:tc>
          <w:tcPr>
            <w:tcW w:w="1980" w:type="dxa"/>
            <w:noWrap w:val="0"/>
            <w:vAlign w:val="top"/>
          </w:tcPr>
          <w:p>
            <w:pPr>
              <w:jc w:val="center"/>
              <w:rPr>
                <w:rFonts w:hint="eastAsia"/>
                <w:sz w:val="22"/>
                <w:szCs w:val="22"/>
              </w:rPr>
            </w:pPr>
            <w:r>
              <w:rPr>
                <w:rFonts w:hint="eastAsia"/>
                <w:sz w:val="22"/>
                <w:szCs w:val="22"/>
              </w:rPr>
              <w:t>0.5%</w:t>
            </w:r>
          </w:p>
        </w:tc>
        <w:tc>
          <w:tcPr>
            <w:tcW w:w="1980" w:type="dxa"/>
            <w:noWrap w:val="0"/>
            <w:vAlign w:val="top"/>
          </w:tcPr>
          <w:p>
            <w:pPr>
              <w:jc w:val="center"/>
              <w:rPr>
                <w:rFonts w:hint="eastAsia"/>
                <w:sz w:val="22"/>
                <w:szCs w:val="22"/>
              </w:rPr>
            </w:pPr>
            <w:r>
              <w:rPr>
                <w:rFonts w:hint="eastAsia"/>
                <w:sz w:val="22"/>
                <w:szCs w:val="22"/>
              </w:rPr>
              <w:t>0.25%</w:t>
            </w:r>
          </w:p>
        </w:tc>
        <w:tc>
          <w:tcPr>
            <w:tcW w:w="1980" w:type="dxa"/>
            <w:noWrap w:val="0"/>
            <w:vAlign w:val="top"/>
          </w:tcPr>
          <w:p>
            <w:pPr>
              <w:jc w:val="center"/>
              <w:rPr>
                <w:rFonts w:hint="eastAsia"/>
                <w:sz w:val="22"/>
                <w:szCs w:val="22"/>
              </w:rPr>
            </w:pPr>
            <w:r>
              <w:rPr>
                <w:rFonts w:hint="eastAsia"/>
                <w:sz w:val="22"/>
                <w:szCs w:val="22"/>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jc w:val="center"/>
              <w:rPr>
                <w:rFonts w:hint="eastAsia"/>
                <w:sz w:val="22"/>
                <w:szCs w:val="22"/>
              </w:rPr>
            </w:pPr>
            <w:r>
              <w:rPr>
                <w:rFonts w:hint="eastAsia"/>
                <w:sz w:val="22"/>
                <w:szCs w:val="22"/>
              </w:rPr>
              <w:t>5000-10000</w:t>
            </w:r>
          </w:p>
        </w:tc>
        <w:tc>
          <w:tcPr>
            <w:tcW w:w="1980" w:type="dxa"/>
            <w:noWrap w:val="0"/>
            <w:vAlign w:val="top"/>
          </w:tcPr>
          <w:p>
            <w:pPr>
              <w:jc w:val="center"/>
              <w:rPr>
                <w:rFonts w:hint="eastAsia"/>
                <w:sz w:val="22"/>
                <w:szCs w:val="22"/>
              </w:rPr>
            </w:pPr>
            <w:r>
              <w:rPr>
                <w:rFonts w:hint="eastAsia"/>
                <w:sz w:val="22"/>
                <w:szCs w:val="22"/>
              </w:rPr>
              <w:t>0.25%</w:t>
            </w:r>
          </w:p>
        </w:tc>
        <w:tc>
          <w:tcPr>
            <w:tcW w:w="1980" w:type="dxa"/>
            <w:noWrap w:val="0"/>
            <w:vAlign w:val="top"/>
          </w:tcPr>
          <w:p>
            <w:pPr>
              <w:jc w:val="center"/>
              <w:rPr>
                <w:rFonts w:hint="eastAsia"/>
                <w:sz w:val="22"/>
                <w:szCs w:val="22"/>
              </w:rPr>
            </w:pPr>
            <w:r>
              <w:rPr>
                <w:rFonts w:hint="eastAsia"/>
                <w:sz w:val="22"/>
                <w:szCs w:val="22"/>
              </w:rPr>
              <w:t>0.1%</w:t>
            </w:r>
          </w:p>
        </w:tc>
        <w:tc>
          <w:tcPr>
            <w:tcW w:w="1980" w:type="dxa"/>
            <w:noWrap w:val="0"/>
            <w:vAlign w:val="top"/>
          </w:tcPr>
          <w:p>
            <w:pPr>
              <w:jc w:val="center"/>
              <w:rPr>
                <w:rFonts w:hint="eastAsia"/>
                <w:sz w:val="22"/>
                <w:szCs w:val="22"/>
              </w:rPr>
            </w:pPr>
            <w:r>
              <w:rPr>
                <w:rFonts w:hint="eastAsia"/>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jc w:val="center"/>
              <w:rPr>
                <w:rFonts w:hint="eastAsia"/>
                <w:sz w:val="22"/>
                <w:szCs w:val="22"/>
              </w:rPr>
            </w:pPr>
            <w:r>
              <w:rPr>
                <w:rFonts w:hint="eastAsia"/>
                <w:sz w:val="22"/>
                <w:szCs w:val="22"/>
              </w:rPr>
              <w:t>10000-100000</w:t>
            </w:r>
          </w:p>
        </w:tc>
        <w:tc>
          <w:tcPr>
            <w:tcW w:w="1980" w:type="dxa"/>
            <w:noWrap w:val="0"/>
            <w:vAlign w:val="top"/>
          </w:tcPr>
          <w:p>
            <w:pPr>
              <w:jc w:val="center"/>
              <w:rPr>
                <w:rFonts w:hint="eastAsia"/>
                <w:sz w:val="22"/>
                <w:szCs w:val="22"/>
              </w:rPr>
            </w:pPr>
            <w:r>
              <w:rPr>
                <w:rFonts w:hint="eastAsia"/>
                <w:sz w:val="22"/>
                <w:szCs w:val="22"/>
              </w:rPr>
              <w:t>0.05%</w:t>
            </w:r>
          </w:p>
        </w:tc>
        <w:tc>
          <w:tcPr>
            <w:tcW w:w="1980" w:type="dxa"/>
            <w:noWrap w:val="0"/>
            <w:vAlign w:val="top"/>
          </w:tcPr>
          <w:p>
            <w:pPr>
              <w:jc w:val="center"/>
              <w:rPr>
                <w:rFonts w:hint="eastAsia"/>
                <w:sz w:val="22"/>
                <w:szCs w:val="22"/>
              </w:rPr>
            </w:pPr>
            <w:r>
              <w:rPr>
                <w:rFonts w:hint="eastAsia"/>
                <w:sz w:val="22"/>
                <w:szCs w:val="22"/>
              </w:rPr>
              <w:t>0.05%</w:t>
            </w:r>
          </w:p>
        </w:tc>
        <w:tc>
          <w:tcPr>
            <w:tcW w:w="1980" w:type="dxa"/>
            <w:noWrap w:val="0"/>
            <w:vAlign w:val="top"/>
          </w:tcPr>
          <w:p>
            <w:pPr>
              <w:jc w:val="center"/>
              <w:rPr>
                <w:rFonts w:hint="eastAsia"/>
                <w:sz w:val="22"/>
                <w:szCs w:val="22"/>
              </w:rPr>
            </w:pPr>
            <w:r>
              <w:rPr>
                <w:rFonts w:hint="eastAsia"/>
                <w:sz w:val="22"/>
                <w:szCs w:val="2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jc w:val="center"/>
              <w:rPr>
                <w:rFonts w:hint="eastAsia"/>
                <w:sz w:val="22"/>
                <w:szCs w:val="22"/>
              </w:rPr>
            </w:pPr>
            <w:r>
              <w:rPr>
                <w:rFonts w:hint="eastAsia"/>
                <w:sz w:val="22"/>
                <w:szCs w:val="22"/>
              </w:rPr>
              <w:t>100000以上</w:t>
            </w:r>
          </w:p>
        </w:tc>
        <w:tc>
          <w:tcPr>
            <w:tcW w:w="1980" w:type="dxa"/>
            <w:noWrap w:val="0"/>
            <w:vAlign w:val="top"/>
          </w:tcPr>
          <w:p>
            <w:pPr>
              <w:jc w:val="center"/>
              <w:rPr>
                <w:rFonts w:hint="eastAsia"/>
                <w:sz w:val="22"/>
                <w:szCs w:val="22"/>
              </w:rPr>
            </w:pPr>
            <w:r>
              <w:rPr>
                <w:rFonts w:hint="eastAsia"/>
                <w:sz w:val="22"/>
                <w:szCs w:val="22"/>
              </w:rPr>
              <w:t>0.01%</w:t>
            </w:r>
          </w:p>
        </w:tc>
        <w:tc>
          <w:tcPr>
            <w:tcW w:w="1980" w:type="dxa"/>
            <w:noWrap w:val="0"/>
            <w:vAlign w:val="top"/>
          </w:tcPr>
          <w:p>
            <w:pPr>
              <w:jc w:val="center"/>
              <w:rPr>
                <w:rFonts w:hint="eastAsia"/>
                <w:sz w:val="22"/>
                <w:szCs w:val="22"/>
              </w:rPr>
            </w:pPr>
            <w:r>
              <w:rPr>
                <w:rFonts w:hint="eastAsia"/>
                <w:sz w:val="22"/>
                <w:szCs w:val="22"/>
              </w:rPr>
              <w:t>0.01%</w:t>
            </w:r>
          </w:p>
        </w:tc>
        <w:tc>
          <w:tcPr>
            <w:tcW w:w="1980" w:type="dxa"/>
            <w:noWrap w:val="0"/>
            <w:vAlign w:val="top"/>
          </w:tcPr>
          <w:p>
            <w:pPr>
              <w:jc w:val="center"/>
              <w:rPr>
                <w:rFonts w:hint="eastAsia"/>
                <w:sz w:val="22"/>
                <w:szCs w:val="22"/>
              </w:rPr>
            </w:pPr>
            <w:r>
              <w:rPr>
                <w:rFonts w:hint="eastAsia"/>
                <w:sz w:val="22"/>
                <w:szCs w:val="22"/>
              </w:rPr>
              <w:t>0.01%</w:t>
            </w:r>
          </w:p>
        </w:tc>
      </w:tr>
    </w:tbl>
    <w:p>
      <w:pPr>
        <w:pStyle w:val="17"/>
        <w:keepNext w:val="0"/>
        <w:keepLines w:val="0"/>
        <w:pageBreakBefore w:val="0"/>
        <w:kinsoku/>
        <w:wordWrap/>
        <w:overflowPunct/>
        <w:topLinePunct w:val="0"/>
        <w:bidi w:val="0"/>
        <w:snapToGrid w:val="0"/>
        <w:spacing w:line="360" w:lineRule="exact"/>
        <w:ind w:firstLine="480" w:firstLineChars="200"/>
        <w:textAlignment w:val="auto"/>
        <w:rPr>
          <w:rFonts w:hAnsi="宋体" w:cs="Times New Roman"/>
          <w:b/>
          <w:bCs/>
          <w:sz w:val="24"/>
          <w:szCs w:val="24"/>
        </w:rPr>
      </w:pPr>
      <w:r>
        <w:rPr>
          <w:rFonts w:hint="eastAsia" w:hAnsi="宋体"/>
          <w:b/>
          <w:bCs/>
          <w:sz w:val="24"/>
          <w:szCs w:val="24"/>
        </w:rPr>
        <w:t>（四）特别说明</w:t>
      </w:r>
    </w:p>
    <w:p>
      <w:pPr>
        <w:pStyle w:val="17"/>
        <w:keepNext w:val="0"/>
        <w:keepLines w:val="0"/>
        <w:pageBreakBefore w:val="0"/>
        <w:kinsoku/>
        <w:wordWrap/>
        <w:overflowPunct/>
        <w:topLinePunct w:val="0"/>
        <w:bidi w:val="0"/>
        <w:snapToGrid w:val="0"/>
        <w:spacing w:line="360" w:lineRule="exact"/>
        <w:ind w:firstLine="480" w:firstLineChars="200"/>
        <w:textAlignment w:val="auto"/>
        <w:rPr>
          <w:rFonts w:hAnsi="宋体" w:cs="Times New Roman"/>
          <w:sz w:val="24"/>
          <w:szCs w:val="24"/>
        </w:rPr>
      </w:pPr>
      <w:r>
        <w:rPr>
          <w:rFonts w:hAnsi="宋体"/>
          <w:sz w:val="24"/>
          <w:szCs w:val="24"/>
        </w:rPr>
        <w:t>1</w:t>
      </w:r>
      <w:r>
        <w:rPr>
          <w:rFonts w:hint="eastAsia" w:hAnsi="宋体"/>
          <w:sz w:val="24"/>
          <w:szCs w:val="24"/>
        </w:rPr>
        <w:t>、投标人投标所使用的资格、信誉、荣誉、业绩与企业认证必须为本法人所拥有。投标人投标所使用的采购项目实施人员必须为本法人员工（指本法人或控股公司正式员工）。</w:t>
      </w:r>
    </w:p>
    <w:p>
      <w:pPr>
        <w:keepNext w:val="0"/>
        <w:keepLines w:val="0"/>
        <w:pageBreakBefore w:val="0"/>
        <w:kinsoku/>
        <w:wordWrap/>
        <w:overflowPunct/>
        <w:topLinePunct w:val="0"/>
        <w:bidi w:val="0"/>
        <w:spacing w:line="360" w:lineRule="exact"/>
        <w:ind w:firstLine="480" w:firstLineChars="200"/>
        <w:textAlignment w:val="auto"/>
        <w:rPr>
          <w:rFonts w:ascii="宋体" w:cs="宋体"/>
          <w:sz w:val="24"/>
          <w:szCs w:val="24"/>
        </w:rPr>
      </w:pPr>
      <w:r>
        <w:rPr>
          <w:rFonts w:ascii="宋体" w:hAnsi="宋体" w:cs="宋体"/>
          <w:sz w:val="24"/>
          <w:szCs w:val="24"/>
        </w:rPr>
        <w:t>2</w:t>
      </w:r>
      <w:r>
        <w:rPr>
          <w:rFonts w:hint="eastAsia" w:ascii="宋体" w:hAnsi="宋体" w:cs="宋体"/>
          <w:sz w:val="24"/>
          <w:szCs w:val="24"/>
        </w:rPr>
        <w:t>、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供应商所投产品、投标文件技术参数与</w:t>
      </w:r>
      <w:r>
        <w:rPr>
          <w:rFonts w:hint="eastAsia" w:ascii="宋体" w:hAnsi="宋体" w:cs="宋体"/>
          <w:sz w:val="24"/>
          <w:szCs w:val="24"/>
          <w:lang w:eastAsia="zh-CN"/>
        </w:rPr>
        <w:t>采购需求</w:t>
      </w:r>
      <w:r>
        <w:rPr>
          <w:rFonts w:hint="eastAsia" w:ascii="宋体" w:hAnsi="宋体" w:cs="宋体"/>
          <w:sz w:val="24"/>
          <w:szCs w:val="24"/>
        </w:rPr>
        <w:t>存在重大偏离、错误、甚至造假的情况，应提供具体有效的证明材料。</w:t>
      </w:r>
    </w:p>
    <w:p>
      <w:pPr>
        <w:pStyle w:val="46"/>
        <w:keepNext w:val="0"/>
        <w:keepLines w:val="0"/>
        <w:pageBreakBefore w:val="0"/>
        <w:kinsoku/>
        <w:wordWrap/>
        <w:overflowPunct/>
        <w:topLinePunct w:val="0"/>
        <w:bidi w:val="0"/>
        <w:snapToGrid w:val="0"/>
        <w:spacing w:line="360" w:lineRule="exact"/>
        <w:ind w:firstLine="480"/>
        <w:textAlignment w:val="auto"/>
        <w:rPr>
          <w:rFonts w:ascii="宋体" w:cs="宋体"/>
          <w:sz w:val="24"/>
          <w:szCs w:val="24"/>
        </w:rPr>
      </w:pPr>
      <w:r>
        <w:rPr>
          <w:rFonts w:ascii="宋体" w:hAnsi="宋体" w:cs="宋体"/>
          <w:sz w:val="24"/>
          <w:szCs w:val="24"/>
        </w:rPr>
        <w:t>3</w:t>
      </w:r>
      <w:r>
        <w:rPr>
          <w:rFonts w:hint="eastAsia" w:ascii="宋体" w:hAnsi="宋体" w:cs="宋体"/>
          <w:sz w:val="24"/>
          <w:szCs w:val="24"/>
        </w:rPr>
        <w:t>、投标人在投标活动中提供任何虚假材料</w:t>
      </w:r>
      <w:r>
        <w:rPr>
          <w:rFonts w:ascii="宋体" w:cs="宋体"/>
          <w:sz w:val="24"/>
          <w:szCs w:val="24"/>
        </w:rPr>
        <w:t>,</w:t>
      </w:r>
      <w:r>
        <w:rPr>
          <w:rFonts w:hint="eastAsia" w:ascii="宋体" w:hAnsi="宋体" w:cs="宋体"/>
          <w:sz w:val="24"/>
          <w:szCs w:val="24"/>
        </w:rPr>
        <w:t>其投标无效，并报监管部门查处；中标后发现的</w:t>
      </w:r>
      <w:r>
        <w:rPr>
          <w:rFonts w:ascii="宋体" w:cs="宋体"/>
          <w:sz w:val="24"/>
          <w:szCs w:val="24"/>
        </w:rPr>
        <w:t>,</w:t>
      </w:r>
      <w:r>
        <w:rPr>
          <w:rFonts w:hint="eastAsia" w:ascii="宋体" w:hAnsi="宋体" w:cs="宋体"/>
          <w:sz w:val="24"/>
          <w:szCs w:val="24"/>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after="0" w:line="360" w:lineRule="exact"/>
        <w:ind w:firstLine="480" w:firstLineChars="200"/>
        <w:textAlignment w:val="auto"/>
        <w:rPr>
          <w:rFonts w:ascii="宋体" w:cs="宋体"/>
          <w:b w:val="0"/>
          <w:bCs w:val="0"/>
          <w:sz w:val="24"/>
          <w:szCs w:val="24"/>
        </w:rPr>
      </w:pPr>
      <w:r>
        <w:rPr>
          <w:rFonts w:ascii="宋体" w:hAnsi="宋体" w:cs="宋体"/>
          <w:b w:val="0"/>
          <w:bCs w:val="0"/>
          <w:sz w:val="24"/>
          <w:szCs w:val="24"/>
        </w:rPr>
        <w:t>4</w:t>
      </w:r>
      <w:r>
        <w:rPr>
          <w:rFonts w:hint="eastAsia" w:ascii="宋体" w:hAnsi="宋体" w:cs="宋体"/>
          <w:b w:val="0"/>
          <w:bCs w:val="0"/>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after="0" w:line="360" w:lineRule="exact"/>
        <w:ind w:firstLine="480" w:firstLineChars="200"/>
        <w:textAlignment w:val="auto"/>
        <w:rPr>
          <w:rFonts w:ascii="宋体" w:cs="宋体"/>
          <w:b w:val="0"/>
          <w:bCs w:val="0"/>
          <w:sz w:val="24"/>
          <w:szCs w:val="24"/>
        </w:rPr>
      </w:pPr>
      <w:r>
        <w:rPr>
          <w:rFonts w:ascii="宋体" w:hAnsi="宋体" w:cs="宋体"/>
          <w:b w:val="0"/>
          <w:bCs w:val="0"/>
          <w:sz w:val="24"/>
          <w:szCs w:val="24"/>
        </w:rPr>
        <w:t>5</w:t>
      </w:r>
      <w:r>
        <w:rPr>
          <w:rFonts w:hint="eastAsia" w:ascii="宋体" w:hAnsi="宋体" w:cs="宋体"/>
          <w:b w:val="0"/>
          <w:bCs w:val="0"/>
          <w:sz w:val="24"/>
          <w:szCs w:val="24"/>
        </w:rPr>
        <w:t>、投标文件格式中的表格式样可以根据项目差别做适当调整</w:t>
      </w:r>
      <w:r>
        <w:rPr>
          <w:rFonts w:ascii="宋体" w:cs="宋体"/>
          <w:b w:val="0"/>
          <w:bCs w:val="0"/>
          <w:sz w:val="24"/>
          <w:szCs w:val="24"/>
        </w:rPr>
        <w:t>,</w:t>
      </w:r>
      <w:r>
        <w:rPr>
          <w:rFonts w:hint="eastAsia" w:ascii="宋体" w:hAnsi="宋体" w:cs="宋体"/>
          <w:b w:val="0"/>
          <w:bCs w:val="0"/>
          <w:sz w:val="24"/>
          <w:szCs w:val="24"/>
        </w:rPr>
        <w:t>但应当保持表格样式基本形态不变。</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after="0" w:line="360" w:lineRule="exact"/>
        <w:ind w:firstLine="480" w:firstLineChars="200"/>
        <w:textAlignment w:val="auto"/>
        <w:rPr>
          <w:rFonts w:ascii="宋体" w:cs="宋体"/>
          <w:b w:val="0"/>
          <w:bCs w:val="0"/>
          <w:sz w:val="24"/>
          <w:szCs w:val="24"/>
        </w:rPr>
      </w:pPr>
      <w:r>
        <w:rPr>
          <w:rFonts w:ascii="宋体" w:hAnsi="宋体" w:cs="宋体"/>
          <w:b w:val="0"/>
          <w:bCs w:val="0"/>
          <w:sz w:val="24"/>
          <w:szCs w:val="24"/>
        </w:rPr>
        <w:t>6</w:t>
      </w:r>
      <w:r>
        <w:rPr>
          <w:rFonts w:hint="eastAsia" w:ascii="宋体" w:hAnsi="宋体" w:cs="宋体"/>
          <w:b w:val="0"/>
          <w:bCs w:val="0"/>
          <w:sz w:val="24"/>
          <w:szCs w:val="24"/>
        </w:rPr>
        <w:t>、本项目不允许分包。</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60" w:lineRule="exact"/>
        <w:jc w:val="center"/>
        <w:textAlignment w:val="auto"/>
        <w:rPr>
          <w:rFonts w:ascii="宋体" w:cs="宋体"/>
          <w:b/>
          <w:bCs/>
          <w:sz w:val="28"/>
          <w:szCs w:val="28"/>
        </w:rPr>
      </w:pP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60" w:lineRule="exact"/>
        <w:jc w:val="center"/>
        <w:textAlignment w:val="auto"/>
        <w:rPr>
          <w:rFonts w:ascii="宋体" w:cs="宋体"/>
          <w:b/>
          <w:bCs/>
          <w:sz w:val="28"/>
          <w:szCs w:val="28"/>
        </w:rPr>
      </w:pPr>
      <w:r>
        <w:rPr>
          <w:rFonts w:hint="eastAsia" w:ascii="宋体" w:hAnsi="宋体" w:cs="宋体"/>
          <w:b/>
          <w:bCs/>
          <w:sz w:val="28"/>
          <w:szCs w:val="28"/>
        </w:rPr>
        <w:t>二、招标文件</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ascii="宋体" w:cs="宋体"/>
          <w:kern w:val="0"/>
          <w:sz w:val="24"/>
          <w:szCs w:val="24"/>
        </w:rPr>
      </w:pPr>
      <w:r>
        <w:rPr>
          <w:rFonts w:hint="eastAsia" w:ascii="宋体" w:hAnsi="宋体" w:cs="宋体"/>
          <w:kern w:val="0"/>
          <w:sz w:val="24"/>
          <w:szCs w:val="24"/>
        </w:rPr>
        <w:t>（一）招标文件由招标文件目录所列内容组成。</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（二）招标文件的澄清或修改</w:t>
      </w:r>
      <w:r>
        <w:rPr>
          <w:rFonts w:ascii="宋体" w:hAnsi="宋体" w:cs="宋体"/>
          <w:kern w:val="0"/>
          <w:sz w:val="24"/>
          <w:szCs w:val="24"/>
        </w:rPr>
        <w:t xml:space="preserve"> </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、采购人或采购代理机构可以对已发出的招标文件进行必要的澄清或者修改</w:t>
      </w:r>
      <w:r>
        <w:rPr>
          <w:rFonts w:ascii="宋体" w:cs="宋体"/>
          <w:kern w:val="0"/>
          <w:sz w:val="24"/>
          <w:szCs w:val="24"/>
        </w:rPr>
        <w:t>,</w:t>
      </w:r>
      <w:r>
        <w:rPr>
          <w:rFonts w:hint="eastAsia" w:ascii="宋体" w:hAnsi="宋体" w:cs="宋体"/>
          <w:kern w:val="0"/>
          <w:sz w:val="24"/>
          <w:szCs w:val="24"/>
        </w:rPr>
        <w:t>但不得改变采购标的和资格条件。澄清或者修改应当在原公告发布媒体上发布澄清公告。澄清或者修改的内容为招标文件的组成部分。</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、澄清或者修改的内容可能影响投标文件编制的，采购人或者采购代理机构应当在投标截止时间至少</w:t>
      </w:r>
      <w:r>
        <w:rPr>
          <w:rFonts w:ascii="宋体" w:hAnsi="宋体" w:cs="宋体"/>
          <w:kern w:val="0"/>
          <w:sz w:val="24"/>
          <w:szCs w:val="24"/>
        </w:rPr>
        <w:t>15</w:t>
      </w:r>
      <w:r>
        <w:rPr>
          <w:rFonts w:hint="eastAsia" w:ascii="宋体" w:hAnsi="宋体" w:cs="宋体"/>
          <w:kern w:val="0"/>
          <w:sz w:val="24"/>
          <w:szCs w:val="24"/>
        </w:rPr>
        <w:t>日前，以书面形式通知所有获取招标文件的潜在投标人；不足</w:t>
      </w:r>
      <w:r>
        <w:rPr>
          <w:rFonts w:ascii="宋体" w:hAnsi="宋体" w:cs="宋体"/>
          <w:kern w:val="0"/>
          <w:sz w:val="24"/>
          <w:szCs w:val="24"/>
        </w:rPr>
        <w:t>15</w:t>
      </w:r>
      <w:r>
        <w:rPr>
          <w:rFonts w:hint="eastAsia" w:ascii="宋体" w:hAnsi="宋体" w:cs="宋体"/>
          <w:kern w:val="0"/>
          <w:sz w:val="24"/>
          <w:szCs w:val="24"/>
        </w:rPr>
        <w:t>日的，采购人或者采购代理机构应当顺延提交投标文件的截止时间。</w:t>
      </w:r>
      <w:r>
        <w:rPr>
          <w:rFonts w:ascii="宋体" w:hAnsi="宋体" w:cs="宋体"/>
          <w:kern w:val="0"/>
          <w:sz w:val="24"/>
          <w:szCs w:val="24"/>
        </w:rPr>
        <w:t xml:space="preserve"> </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pPr>
        <w:keepNext w:val="0"/>
        <w:keepLines w:val="0"/>
        <w:pageBreakBefore w:val="0"/>
        <w:tabs>
          <w:tab w:val="left" w:pos="1418"/>
        </w:tabs>
        <w:kinsoku/>
        <w:wordWrap/>
        <w:overflowPunct/>
        <w:topLinePunct w:val="0"/>
        <w:autoSpaceDE w:val="0"/>
        <w:autoSpaceDN w:val="0"/>
        <w:bidi w:val="0"/>
        <w:adjustRightInd w:val="0"/>
        <w:spacing w:line="360" w:lineRule="exact"/>
        <w:ind w:firstLine="560" w:firstLineChars="200"/>
        <w:jc w:val="center"/>
        <w:textAlignment w:val="auto"/>
        <w:rPr>
          <w:rFonts w:ascii="宋体" w:cs="宋体"/>
          <w:b/>
          <w:bCs/>
          <w:sz w:val="28"/>
          <w:szCs w:val="28"/>
        </w:rPr>
      </w:pPr>
    </w:p>
    <w:p>
      <w:pPr>
        <w:keepNext w:val="0"/>
        <w:keepLines w:val="0"/>
        <w:pageBreakBefore w:val="0"/>
        <w:tabs>
          <w:tab w:val="left" w:pos="1418"/>
        </w:tabs>
        <w:kinsoku/>
        <w:wordWrap/>
        <w:overflowPunct/>
        <w:topLinePunct w:val="0"/>
        <w:autoSpaceDE w:val="0"/>
        <w:autoSpaceDN w:val="0"/>
        <w:bidi w:val="0"/>
        <w:adjustRightInd w:val="0"/>
        <w:spacing w:line="360" w:lineRule="exact"/>
        <w:jc w:val="center"/>
        <w:textAlignment w:val="auto"/>
        <w:rPr>
          <w:rFonts w:ascii="宋体" w:cs="宋体"/>
          <w:b/>
          <w:bCs/>
          <w:sz w:val="28"/>
          <w:szCs w:val="28"/>
        </w:rPr>
      </w:pPr>
      <w:r>
        <w:rPr>
          <w:rFonts w:hint="eastAsia" w:ascii="宋体" w:hAnsi="宋体" w:cs="宋体"/>
          <w:b/>
          <w:bCs/>
          <w:sz w:val="28"/>
          <w:szCs w:val="28"/>
        </w:rPr>
        <w:t>三、投标文件</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cs="宋体"/>
          <w:b/>
          <w:bCs/>
          <w:sz w:val="24"/>
          <w:szCs w:val="24"/>
          <w:lang w:val="zh-CN"/>
        </w:rPr>
      </w:pPr>
      <w:r>
        <w:rPr>
          <w:rFonts w:hint="eastAsia" w:ascii="宋体" w:cs="宋体"/>
          <w:b/>
          <w:bCs/>
          <w:sz w:val="24"/>
          <w:szCs w:val="24"/>
          <w:lang w:val="zh-CN"/>
        </w:rPr>
        <w:t>（一）投标文件的形式和效力：</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cs="宋体"/>
          <w:b/>
          <w:bCs/>
          <w:sz w:val="24"/>
          <w:szCs w:val="24"/>
          <w:lang w:val="zh-CN" w:eastAsia="zh-CN"/>
        </w:rPr>
      </w:pPr>
      <w:r>
        <w:rPr>
          <w:rFonts w:hint="eastAsia" w:ascii="宋体" w:cs="宋体"/>
          <w:b/>
          <w:bCs/>
          <w:sz w:val="24"/>
          <w:szCs w:val="24"/>
          <w:lang w:val="zh-CN" w:eastAsia="zh-CN"/>
        </w:rPr>
        <w:t>1、投标文件的形式：</w:t>
      </w:r>
    </w:p>
    <w:p>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电子投标文件（包括“电子加密投标文件”和“备份投标文件”，在投标文件编制完成后同时生成）；</w:t>
      </w:r>
    </w:p>
    <w:p>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1</w:t>
      </w:r>
      <w:r>
        <w:rPr>
          <w:rFonts w:hint="eastAsia" w:ascii="宋体" w:hAnsi="宋体" w:cs="宋体"/>
          <w:kern w:val="0"/>
          <w:sz w:val="24"/>
          <w:szCs w:val="24"/>
          <w:lang w:val="zh-CN"/>
        </w:rPr>
        <w:t>）“电子加密投标文件”是指通过“政采云电子交易客户端”完成投标文件编制后生成并加密的数据电文形式的投标文件。</w:t>
      </w:r>
    </w:p>
    <w:p>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2</w:t>
      </w:r>
      <w:r>
        <w:rPr>
          <w:rFonts w:hint="eastAsia" w:ascii="宋体" w:hAnsi="宋体" w:cs="宋体"/>
          <w:kern w:val="0"/>
          <w:sz w:val="24"/>
          <w:szCs w:val="24"/>
          <w:lang w:val="zh-CN"/>
        </w:rPr>
        <w:t>）“备份投标文件”是指与“电子加密投标文件”同时生成的数据电文形式的电子文件（备份标书），其他方式编制的“备份投标文件”视为无效“备份投标文件”。</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cs="宋体"/>
          <w:b/>
          <w:bCs/>
          <w:sz w:val="24"/>
          <w:szCs w:val="24"/>
          <w:lang w:val="zh-CN"/>
        </w:rPr>
      </w:pPr>
      <w:r>
        <w:rPr>
          <w:rFonts w:hint="eastAsia" w:ascii="宋体" w:cs="宋体"/>
          <w:b/>
          <w:bCs/>
          <w:sz w:val="24"/>
          <w:szCs w:val="24"/>
          <w:lang w:val="en-US" w:eastAsia="zh-CN"/>
        </w:rPr>
        <w:t>2、</w:t>
      </w:r>
      <w:r>
        <w:rPr>
          <w:rFonts w:hint="eastAsia" w:ascii="宋体" w:cs="宋体"/>
          <w:b/>
          <w:bCs/>
          <w:sz w:val="24"/>
          <w:szCs w:val="24"/>
          <w:lang w:val="zh-CN"/>
        </w:rPr>
        <w:t>投标文件的效力:</w:t>
      </w:r>
    </w:p>
    <w:p>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1</w:t>
      </w:r>
      <w:r>
        <w:rPr>
          <w:rFonts w:hint="eastAsia" w:ascii="宋体" w:hAnsi="宋体" w:cs="宋体"/>
          <w:kern w:val="0"/>
          <w:sz w:val="24"/>
          <w:szCs w:val="24"/>
          <w:lang w:val="zh-CN"/>
        </w:rPr>
        <w:t>）投标文件的启用，按先后顺位分别为“电子加密投标文件”、“备份投标文件”。</w:t>
      </w:r>
    </w:p>
    <w:p>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2</w:t>
      </w:r>
      <w:r>
        <w:rPr>
          <w:rFonts w:hint="eastAsia" w:ascii="宋体" w:hAnsi="宋体" w:cs="宋体"/>
          <w:kern w:val="0"/>
          <w:sz w:val="24"/>
          <w:szCs w:val="24"/>
          <w:lang w:val="zh-CN"/>
        </w:rPr>
        <w:t>）通过“政府采购云平台”上传递交的“电子加密投标文件”已按时解密的，“备份投标文件”自动失效。</w:t>
      </w:r>
    </w:p>
    <w:p>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3</w:t>
      </w:r>
      <w:r>
        <w:rPr>
          <w:rFonts w:hint="eastAsia" w:ascii="宋体" w:hAnsi="宋体" w:cs="宋体"/>
          <w:kern w:val="0"/>
          <w:sz w:val="24"/>
          <w:szCs w:val="24"/>
          <w:lang w:val="zh-CN"/>
        </w:rPr>
        <w:t>）通过“政府采购云平台”上传递交的“电子加密投标文件”无法按时解密，投标供应商递交了“备份投标文件”的，以“备份投标文件”为依据；未提交“备份投标文件”的，视为无效投标。</w:t>
      </w:r>
    </w:p>
    <w:p>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4</w:t>
      </w:r>
      <w:r>
        <w:rPr>
          <w:rFonts w:hint="eastAsia" w:ascii="宋体" w:hAnsi="宋体" w:cs="宋体"/>
          <w:kern w:val="0"/>
          <w:sz w:val="24"/>
          <w:szCs w:val="24"/>
          <w:lang w:val="zh-CN"/>
        </w:rPr>
        <w:t>）投标供应商仅递交“备份投标文件”，未递交“电子加密投标文件”的，视为无效投标。</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ascii="宋体" w:cs="宋体"/>
          <w:b/>
          <w:bCs/>
          <w:kern w:val="0"/>
          <w:sz w:val="24"/>
          <w:szCs w:val="24"/>
        </w:rPr>
      </w:pPr>
      <w:r>
        <w:rPr>
          <w:rFonts w:hint="eastAsia" w:ascii="宋体" w:cs="宋体"/>
          <w:b/>
          <w:bCs/>
          <w:sz w:val="24"/>
          <w:szCs w:val="24"/>
          <w:lang w:val="zh-CN"/>
        </w:rPr>
        <w:t>（二）</w:t>
      </w:r>
      <w:r>
        <w:rPr>
          <w:rFonts w:hint="eastAsia" w:ascii="宋体" w:hAnsi="宋体" w:cs="宋体"/>
          <w:b/>
          <w:bCs/>
          <w:kern w:val="0"/>
          <w:sz w:val="24"/>
          <w:szCs w:val="24"/>
        </w:rPr>
        <w:t>投标文件的组成</w:t>
      </w:r>
    </w:p>
    <w:p>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ascii="仿宋_GB2312" w:hAnsi="仿宋_GB2312" w:eastAsia="仿宋_GB2312"/>
          <w:sz w:val="24"/>
          <w:szCs w:val="24"/>
          <w:lang w:val="zh-CN"/>
        </w:rPr>
      </w:pPr>
      <w:r>
        <w:rPr>
          <w:rFonts w:hint="eastAsia" w:ascii="宋体" w:hAnsi="宋体" w:cs="宋体"/>
          <w:kern w:val="0"/>
          <w:sz w:val="24"/>
          <w:szCs w:val="24"/>
        </w:rPr>
        <w:t>投标人获取招标文件后，按照招标文件的要求提供：资格证明文件、商务技术文件和报价文件。</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ascii="宋体"/>
          <w:b/>
          <w:bCs/>
          <w:sz w:val="24"/>
          <w:szCs w:val="24"/>
        </w:rPr>
      </w:pPr>
      <w:r>
        <w:rPr>
          <w:rFonts w:ascii="宋体" w:hAnsi="宋体" w:cs="宋体"/>
          <w:b/>
          <w:bCs/>
          <w:color w:val="FF0000"/>
          <w:sz w:val="24"/>
          <w:szCs w:val="24"/>
        </w:rPr>
        <w:t>1</w:t>
      </w:r>
      <w:r>
        <w:rPr>
          <w:rFonts w:hint="eastAsia" w:ascii="宋体" w:hAnsi="宋体" w:cs="宋体"/>
          <w:b/>
          <w:bCs/>
          <w:color w:val="FF0000"/>
          <w:sz w:val="24"/>
          <w:szCs w:val="24"/>
        </w:rPr>
        <w:t>、资格证明文件的组成：</w:t>
      </w:r>
      <w:r>
        <w:rPr>
          <w:rFonts w:hint="eastAsia" w:ascii="宋体" w:hAnsi="宋体" w:cs="宋体"/>
          <w:b/>
          <w:bCs w:val="0"/>
          <w:color w:val="FF0000"/>
          <w:kern w:val="0"/>
          <w:sz w:val="24"/>
        </w:rPr>
        <w:t xml:space="preserve"> </w:t>
      </w:r>
      <w:r>
        <w:rPr>
          <w:rFonts w:hint="eastAsia" w:ascii="宋体" w:hAnsi="宋体" w:cs="宋体"/>
          <w:b/>
          <w:bCs w:val="0"/>
          <w:color w:val="FF0000"/>
          <w:kern w:val="0"/>
          <w:sz w:val="24"/>
          <w:lang w:eastAsia="zh-CN"/>
        </w:rPr>
        <w:t>（</w:t>
      </w:r>
      <w:r>
        <w:rPr>
          <w:rFonts w:hint="eastAsia" w:ascii="宋体" w:hAnsi="宋体" w:cs="宋体"/>
          <w:b/>
          <w:bCs w:val="0"/>
          <w:color w:val="FF0000"/>
          <w:kern w:val="0"/>
          <w:sz w:val="24"/>
        </w:rPr>
        <w:t>未提供下列</w:t>
      </w:r>
      <w:r>
        <w:rPr>
          <w:rFonts w:hint="eastAsia" w:ascii="宋体" w:hAnsi="宋体" w:cs="宋体"/>
          <w:b/>
          <w:bCs w:val="0"/>
          <w:color w:val="FF0000"/>
          <w:kern w:val="0"/>
          <w:sz w:val="24"/>
          <w:lang w:eastAsia="zh-CN"/>
        </w:rPr>
        <w:t>标“</w:t>
      </w:r>
      <w:r>
        <w:rPr>
          <w:rFonts w:hint="eastAsia" w:ascii="宋体" w:hAnsi="宋体" w:cs="宋体"/>
          <w:b/>
          <w:bCs/>
          <w:color w:val="FF0000"/>
          <w:sz w:val="24"/>
          <w:szCs w:val="24"/>
        </w:rPr>
        <w:t>▲</w:t>
      </w:r>
      <w:r>
        <w:rPr>
          <w:rFonts w:hint="eastAsia" w:ascii="宋体" w:hAnsi="宋体" w:cs="宋体"/>
          <w:b/>
          <w:bCs w:val="0"/>
          <w:color w:val="FF0000"/>
          <w:kern w:val="0"/>
          <w:sz w:val="24"/>
          <w:lang w:eastAsia="zh-CN"/>
        </w:rPr>
        <w:t>”</w:t>
      </w:r>
      <w:r>
        <w:rPr>
          <w:rFonts w:hint="eastAsia" w:ascii="宋体" w:hAnsi="宋体" w:cs="宋体"/>
          <w:b/>
          <w:bCs w:val="0"/>
          <w:color w:val="FF0000"/>
          <w:kern w:val="0"/>
          <w:sz w:val="24"/>
        </w:rPr>
        <w:t>材料的资格审查认定为无效</w:t>
      </w:r>
      <w:r>
        <w:rPr>
          <w:rFonts w:hint="eastAsia" w:ascii="宋体" w:hAnsi="宋体" w:cs="宋体"/>
          <w:b/>
          <w:bCs w:val="0"/>
          <w:color w:val="FF0000"/>
          <w:kern w:val="0"/>
          <w:sz w:val="24"/>
          <w:lang w:eastAsia="zh-CN"/>
        </w:rPr>
        <w:t>）</w:t>
      </w:r>
    </w:p>
    <w:tbl>
      <w:tblPr>
        <w:tblStyle w:val="28"/>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389"/>
        <w:gridCol w:w="5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93"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3389"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c>
          <w:tcPr>
            <w:tcW w:w="5139"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pPr>
              <w:widowControl/>
              <w:snapToGrid w:val="0"/>
              <w:spacing w:line="340" w:lineRule="exact"/>
              <w:jc w:val="center"/>
              <w:rPr>
                <w:rFonts w:ascii="宋体" w:hAnsi="宋体" w:cs="宋体"/>
                <w:sz w:val="24"/>
                <w:szCs w:val="24"/>
              </w:rPr>
            </w:pPr>
            <w:r>
              <w:rPr>
                <w:rFonts w:hint="eastAsia" w:ascii="宋体" w:hAnsi="宋体" w:cs="宋体"/>
                <w:b/>
                <w:bCs/>
                <w:color w:val="000000" w:themeColor="text1"/>
                <w:sz w:val="24"/>
                <w:szCs w:val="24"/>
                <w14:textFill>
                  <w14:solidFill>
                    <w14:schemeClr w14:val="tx1"/>
                  </w14:solidFill>
                </w14:textFill>
              </w:rPr>
              <w:t>▲</w:t>
            </w:r>
            <w:r>
              <w:rPr>
                <w:rFonts w:ascii="宋体" w:hAnsi="宋体" w:cs="宋体"/>
                <w:sz w:val="24"/>
                <w:szCs w:val="24"/>
              </w:rPr>
              <w:t>1</w:t>
            </w:r>
          </w:p>
        </w:tc>
        <w:tc>
          <w:tcPr>
            <w:tcW w:w="3389" w:type="dxa"/>
            <w:vAlign w:val="center"/>
          </w:tcPr>
          <w:p>
            <w:pPr>
              <w:widowControl/>
              <w:snapToGrid w:val="0"/>
              <w:spacing w:line="340" w:lineRule="exact"/>
              <w:rPr>
                <w:rFonts w:ascii="宋体" w:hAnsi="Times New Roman" w:eastAsia="宋体" w:cs="宋体"/>
                <w:kern w:val="0"/>
                <w:sz w:val="24"/>
                <w:szCs w:val="24"/>
                <w:lang w:val="en-US" w:eastAsia="zh-CN" w:bidi="ar-SA"/>
              </w:rPr>
            </w:pPr>
            <w:r>
              <w:rPr>
                <w:rFonts w:hint="eastAsia" w:ascii="宋体" w:hAnsi="宋体" w:cs="宋体"/>
                <w:kern w:val="0"/>
                <w:sz w:val="24"/>
                <w:szCs w:val="24"/>
              </w:rPr>
              <w:t>投标声明书</w:t>
            </w:r>
          </w:p>
        </w:tc>
        <w:tc>
          <w:tcPr>
            <w:tcW w:w="5139" w:type="dxa"/>
            <w:vAlign w:val="center"/>
          </w:tcPr>
          <w:p>
            <w:pPr>
              <w:widowControl/>
              <w:snapToGrid w:val="0"/>
              <w:spacing w:line="340" w:lineRule="exact"/>
              <w:rPr>
                <w:rFonts w:ascii="宋体" w:hAnsi="Times New Roman" w:eastAsia="宋体" w:cs="宋体"/>
                <w:kern w:val="2"/>
                <w:sz w:val="24"/>
                <w:szCs w:val="24"/>
                <w:lang w:val="en-US" w:eastAsia="zh-CN" w:bidi="ar-SA"/>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pPr>
              <w:widowControl/>
              <w:snapToGrid w:val="0"/>
              <w:spacing w:line="340" w:lineRule="exact"/>
              <w:jc w:val="center"/>
              <w:rPr>
                <w:rFonts w:ascii="宋体" w:hAnsi="宋体" w:cs="宋体"/>
                <w:sz w:val="24"/>
                <w:szCs w:val="24"/>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sz w:val="24"/>
                <w:szCs w:val="24"/>
              </w:rPr>
              <w:t>2</w:t>
            </w:r>
          </w:p>
        </w:tc>
        <w:tc>
          <w:tcPr>
            <w:tcW w:w="3389" w:type="dxa"/>
            <w:vAlign w:val="center"/>
          </w:tcPr>
          <w:p>
            <w:pPr>
              <w:widowControl/>
              <w:snapToGrid w:val="0"/>
              <w:spacing w:line="340" w:lineRule="exact"/>
              <w:rPr>
                <w:rFonts w:ascii="宋体" w:hAnsi="宋体" w:eastAsia="宋体" w:cs="宋体"/>
                <w:kern w:val="0"/>
                <w:sz w:val="24"/>
                <w:szCs w:val="24"/>
                <w:lang w:val="en-US" w:eastAsia="zh-CN" w:bidi="ar-SA"/>
              </w:rPr>
            </w:pPr>
            <w:r>
              <w:rPr>
                <w:rFonts w:hint="eastAsia" w:ascii="宋体" w:hAnsi="宋体" w:cs="宋体"/>
                <w:kern w:val="0"/>
                <w:sz w:val="24"/>
                <w:szCs w:val="24"/>
              </w:rPr>
              <w:t>法定代表人身份证明书</w:t>
            </w:r>
            <w:r>
              <w:rPr>
                <w:rFonts w:hint="eastAsia" w:ascii="宋体" w:hAnsi="宋体" w:cs="宋体"/>
                <w:kern w:val="0"/>
                <w:sz w:val="24"/>
                <w:szCs w:val="24"/>
                <w:lang w:val="en-US" w:eastAsia="zh-CN"/>
              </w:rPr>
              <w:t>或</w:t>
            </w:r>
            <w:r>
              <w:rPr>
                <w:rFonts w:hint="eastAsia" w:ascii="宋体" w:hAnsi="宋体" w:cs="宋体"/>
                <w:kern w:val="0"/>
                <w:sz w:val="24"/>
                <w:szCs w:val="24"/>
              </w:rPr>
              <w:t>授权委托书</w:t>
            </w:r>
          </w:p>
        </w:tc>
        <w:tc>
          <w:tcPr>
            <w:tcW w:w="5139" w:type="dxa"/>
            <w:vAlign w:val="center"/>
          </w:tcPr>
          <w:p>
            <w:pPr>
              <w:widowControl/>
              <w:snapToGrid w:val="0"/>
              <w:spacing w:line="340" w:lineRule="exact"/>
              <w:rPr>
                <w:rFonts w:hint="eastAsia" w:ascii="宋体" w:hAnsi="宋体" w:eastAsia="宋体" w:cs="宋体"/>
                <w:kern w:val="0"/>
                <w:sz w:val="24"/>
                <w:szCs w:val="24"/>
                <w:lang w:val="en-US" w:eastAsia="zh-CN" w:bidi="ar-SA"/>
              </w:rPr>
            </w:pPr>
            <w:r>
              <w:rPr>
                <w:rFonts w:hint="eastAsia" w:ascii="宋体" w:hAnsi="宋体" w:cs="宋体"/>
                <w:kern w:val="0"/>
                <w:sz w:val="24"/>
                <w:szCs w:val="24"/>
              </w:rPr>
              <w:t>格式附后</w:t>
            </w:r>
            <w:r>
              <w:rPr>
                <w:rFonts w:hint="eastAsia" w:ascii="宋体" w:hAnsi="宋体" w:cs="宋体"/>
                <w:kern w:val="0"/>
                <w:sz w:val="24"/>
                <w:szCs w:val="24"/>
                <w:lang w:eastAsia="zh-CN"/>
              </w:rPr>
              <w:t>，</w:t>
            </w:r>
            <w:r>
              <w:rPr>
                <w:rFonts w:hint="eastAsia" w:ascii="宋体" w:hAnsi="宋体" w:cs="宋体"/>
                <w:kern w:val="0"/>
                <w:sz w:val="24"/>
                <w:szCs w:val="24"/>
              </w:rPr>
              <w:t>如授权委托代理人的则需提供授权委托书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pPr>
              <w:widowControl/>
              <w:snapToGrid w:val="0"/>
              <w:spacing w:line="340" w:lineRule="exact"/>
              <w:jc w:val="center"/>
              <w:rPr>
                <w:rFonts w:hint="eastAsia" w:ascii="宋体" w:hAnsi="宋体" w:eastAsia="宋体" w:cs="宋体"/>
                <w:sz w:val="24"/>
                <w:szCs w:val="24"/>
                <w:lang w:eastAsia="zh-CN"/>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sz w:val="24"/>
                <w:szCs w:val="24"/>
                <w:lang w:val="en-US" w:eastAsia="zh-CN"/>
              </w:rPr>
              <w:t>3</w:t>
            </w:r>
          </w:p>
        </w:tc>
        <w:tc>
          <w:tcPr>
            <w:tcW w:w="3389" w:type="dxa"/>
            <w:vAlign w:val="center"/>
          </w:tcPr>
          <w:p>
            <w:pPr>
              <w:widowControl/>
              <w:snapToGrid w:val="0"/>
              <w:spacing w:line="340" w:lineRule="exact"/>
              <w:rPr>
                <w:rFonts w:ascii="宋体" w:hAnsi="Times New Roman" w:eastAsia="宋体" w:cs="宋体"/>
                <w:kern w:val="0"/>
                <w:sz w:val="24"/>
                <w:szCs w:val="24"/>
                <w:lang w:val="en-US" w:eastAsia="zh-CN" w:bidi="ar-SA"/>
              </w:rPr>
            </w:pPr>
            <w:r>
              <w:rPr>
                <w:rFonts w:hint="eastAsia" w:ascii="宋体" w:hAnsi="宋体" w:cs="宋体"/>
                <w:kern w:val="0"/>
                <w:sz w:val="24"/>
                <w:szCs w:val="24"/>
              </w:rPr>
              <w:t>法人或者其他组织的营业执照等证明文件，自然人的身份证明</w:t>
            </w:r>
          </w:p>
        </w:tc>
        <w:tc>
          <w:tcPr>
            <w:tcW w:w="5139" w:type="dxa"/>
            <w:vAlign w:val="center"/>
          </w:tcPr>
          <w:p>
            <w:pPr>
              <w:widowControl/>
              <w:snapToGrid w:val="0"/>
              <w:spacing w:line="340" w:lineRule="exact"/>
              <w:rPr>
                <w:rFonts w:ascii="宋体" w:hAnsi="Times New Roman" w:eastAsia="宋体" w:cs="宋体"/>
                <w:kern w:val="2"/>
                <w:sz w:val="24"/>
                <w:szCs w:val="24"/>
                <w:lang w:val="en-US" w:eastAsia="zh-CN" w:bidi="ar-SA"/>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93" w:type="dxa"/>
            <w:vAlign w:val="center"/>
          </w:tcPr>
          <w:p>
            <w:pPr>
              <w:widowControl/>
              <w:snapToGrid w:val="0"/>
              <w:spacing w:line="340" w:lineRule="exact"/>
              <w:jc w:val="center"/>
              <w:rPr>
                <w:rFonts w:hint="eastAsia" w:ascii="宋体" w:hAnsi="宋体" w:eastAsia="宋体" w:cs="宋体"/>
                <w:sz w:val="24"/>
                <w:szCs w:val="24"/>
                <w:lang w:eastAsia="zh-CN"/>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sz w:val="24"/>
                <w:szCs w:val="24"/>
                <w:lang w:val="en-US" w:eastAsia="zh-CN"/>
              </w:rPr>
              <w:t>4</w:t>
            </w:r>
          </w:p>
        </w:tc>
        <w:tc>
          <w:tcPr>
            <w:tcW w:w="3389" w:type="dxa"/>
            <w:vAlign w:val="center"/>
          </w:tcPr>
          <w:p>
            <w:pPr>
              <w:widowControl/>
              <w:snapToGrid w:val="0"/>
              <w:spacing w:line="340" w:lineRule="exact"/>
              <w:rPr>
                <w:rFonts w:ascii="宋体" w:hAnsi="Times New Roman" w:eastAsia="宋体" w:cs="宋体"/>
                <w:kern w:val="0"/>
                <w:sz w:val="24"/>
                <w:szCs w:val="24"/>
                <w:lang w:val="en-US" w:eastAsia="zh-CN" w:bidi="ar-SA"/>
              </w:rPr>
            </w:pPr>
            <w:r>
              <w:rPr>
                <w:rFonts w:hint="eastAsia" w:ascii="宋体" w:hAnsi="宋体" w:cs="宋体"/>
                <w:kern w:val="0"/>
                <w:sz w:val="24"/>
                <w:szCs w:val="24"/>
              </w:rPr>
              <w:t>具备履行合同所必需的设备和专业技术能力的证明材料</w:t>
            </w:r>
          </w:p>
        </w:tc>
        <w:tc>
          <w:tcPr>
            <w:tcW w:w="5139" w:type="dxa"/>
            <w:vAlign w:val="center"/>
          </w:tcPr>
          <w:p>
            <w:pPr>
              <w:widowControl/>
              <w:snapToGrid w:val="0"/>
              <w:spacing w:line="340" w:lineRule="exact"/>
              <w:rPr>
                <w:rFonts w:ascii="宋体" w:hAnsi="Times New Roman" w:eastAsia="宋体" w:cs="宋体"/>
                <w:kern w:val="0"/>
                <w:sz w:val="24"/>
                <w:szCs w:val="24"/>
                <w:lang w:val="en-US" w:eastAsia="zh-CN" w:bidi="ar-SA"/>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pPr>
              <w:widowControl/>
              <w:snapToGrid w:val="0"/>
              <w:spacing w:line="340" w:lineRule="exact"/>
              <w:jc w:val="center"/>
              <w:rPr>
                <w:rFonts w:hint="eastAsia" w:ascii="宋体" w:hAnsi="宋体" w:eastAsia="宋体" w:cs="宋体"/>
                <w:sz w:val="24"/>
                <w:szCs w:val="24"/>
                <w:lang w:eastAsia="zh-CN"/>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sz w:val="24"/>
                <w:szCs w:val="24"/>
                <w:lang w:val="en-US" w:eastAsia="zh-CN"/>
              </w:rPr>
              <w:t>5</w:t>
            </w:r>
          </w:p>
        </w:tc>
        <w:tc>
          <w:tcPr>
            <w:tcW w:w="3389" w:type="dxa"/>
            <w:vAlign w:val="center"/>
          </w:tcPr>
          <w:p>
            <w:pPr>
              <w:widowControl/>
              <w:snapToGrid w:val="0"/>
              <w:spacing w:line="340" w:lineRule="exact"/>
              <w:rPr>
                <w:rFonts w:hint="eastAsia" w:ascii="宋体" w:hAnsi="宋体" w:eastAsia="宋体" w:cs="宋体"/>
                <w:kern w:val="0"/>
                <w:sz w:val="24"/>
                <w:szCs w:val="24"/>
                <w:lang w:val="en-US" w:eastAsia="zh-CN" w:bidi="ar-SA"/>
              </w:rPr>
            </w:pPr>
            <w:r>
              <w:rPr>
                <w:rFonts w:hint="eastAsia" w:ascii="宋体" w:hAnsi="宋体" w:cs="宋体"/>
                <w:kern w:val="0"/>
                <w:sz w:val="24"/>
                <w:szCs w:val="24"/>
              </w:rPr>
              <w:t>投标人的《</w:t>
            </w:r>
            <w:r>
              <w:rPr>
                <w:rFonts w:hint="eastAsia" w:ascii="宋体" w:hAnsi="宋体" w:cs="宋体"/>
                <w:kern w:val="0"/>
                <w:sz w:val="24"/>
                <w:szCs w:val="24"/>
                <w:lang w:eastAsia="zh-CN"/>
              </w:rPr>
              <w:t>中小企业声明函（服务）</w:t>
            </w:r>
            <w:r>
              <w:rPr>
                <w:rFonts w:hint="eastAsia" w:ascii="宋体" w:hAnsi="宋体" w:cs="宋体"/>
                <w:kern w:val="0"/>
                <w:sz w:val="24"/>
                <w:szCs w:val="24"/>
              </w:rPr>
              <w:t>》</w:t>
            </w:r>
            <w:r>
              <w:rPr>
                <w:rFonts w:hint="eastAsia" w:ascii="宋体" w:hAnsi="宋体" w:cs="宋体"/>
                <w:kern w:val="0"/>
                <w:sz w:val="24"/>
                <w:szCs w:val="24"/>
                <w:lang w:val="en-US" w:eastAsia="zh-CN"/>
              </w:rPr>
              <w:t>等</w:t>
            </w:r>
            <w:r>
              <w:rPr>
                <w:rFonts w:hint="eastAsia" w:ascii="宋体" w:hAnsi="宋体" w:cs="宋体"/>
                <w:kern w:val="0"/>
                <w:sz w:val="24"/>
                <w:szCs w:val="24"/>
                <w:lang w:val="zh-CN"/>
              </w:rPr>
              <w:t>相关证明材料</w:t>
            </w:r>
          </w:p>
        </w:tc>
        <w:tc>
          <w:tcPr>
            <w:tcW w:w="5139" w:type="dxa"/>
            <w:vAlign w:val="center"/>
          </w:tcPr>
          <w:p>
            <w:pPr>
              <w:widowControl/>
              <w:snapToGrid w:val="0"/>
              <w:spacing w:line="340" w:lineRule="exact"/>
              <w:rPr>
                <w:rFonts w:hint="eastAsia" w:ascii="宋体" w:hAnsi="宋体" w:eastAsia="宋体" w:cs="宋体"/>
                <w:kern w:val="0"/>
                <w:sz w:val="24"/>
                <w:szCs w:val="24"/>
                <w:lang w:val="en-US" w:eastAsia="zh-CN" w:bidi="ar-SA"/>
              </w:rPr>
            </w:pPr>
            <w:r>
              <w:rPr>
                <w:rFonts w:hint="eastAsia" w:ascii="宋体" w:hAnsi="宋体" w:cs="宋体"/>
                <w:kern w:val="0"/>
                <w:sz w:val="24"/>
                <w:szCs w:val="24"/>
              </w:rPr>
              <w:t>格式附后</w:t>
            </w:r>
            <w:r>
              <w:rPr>
                <w:rFonts w:hint="eastAsia" w:ascii="宋体" w:hAnsi="宋体" w:cs="宋体"/>
                <w:kern w:val="0"/>
                <w:sz w:val="24"/>
                <w:szCs w:val="24"/>
                <w:lang w:eastAsia="zh-CN"/>
              </w:rPr>
              <w:t>；</w:t>
            </w:r>
            <w:r>
              <w:rPr>
                <w:rFonts w:hint="eastAsia" w:ascii="宋体"/>
                <w:b/>
                <w:bCs/>
                <w:color w:val="FF0000"/>
                <w:sz w:val="24"/>
                <w:szCs w:val="24"/>
                <w:lang w:val="en-US" w:eastAsia="zh-CN"/>
              </w:rPr>
              <w:t>监狱企业、残疾人福利性单位视同中小型企业，若为残疾人福利性单位请提供残疾人福利性单位声明函（格式附后）；若为监狱企业，请提供省级以上监狱管理局、戒毒管理局（含新疆生产建设兵团）开具的属于监狱企业的证明文件（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pPr>
              <w:widowControl/>
              <w:snapToGrid w:val="0"/>
              <w:spacing w:line="340" w:lineRule="exact"/>
              <w:jc w:val="center"/>
              <w:rPr>
                <w:rFonts w:hint="default" w:ascii="宋体" w:hAnsi="宋体" w:cs="宋体"/>
                <w:sz w:val="24"/>
                <w:szCs w:val="24"/>
                <w:lang w:val="en-US" w:eastAsia="zh-CN"/>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sz w:val="24"/>
                <w:szCs w:val="24"/>
                <w:lang w:val="en-US" w:eastAsia="zh-CN"/>
              </w:rPr>
              <w:t>6</w:t>
            </w:r>
          </w:p>
        </w:tc>
        <w:tc>
          <w:tcPr>
            <w:tcW w:w="3389" w:type="dxa"/>
            <w:vAlign w:val="center"/>
          </w:tcPr>
          <w:p>
            <w:pPr>
              <w:widowControl/>
              <w:snapToGrid w:val="0"/>
              <w:spacing w:line="340" w:lineRule="exact"/>
              <w:rPr>
                <w:rFonts w:hint="eastAsia" w:ascii="宋体" w:hAnsi="Times New Roman" w:eastAsia="宋体" w:cs="宋体"/>
                <w:kern w:val="0"/>
                <w:sz w:val="24"/>
                <w:szCs w:val="24"/>
                <w:lang w:val="en-US" w:eastAsia="zh-CN" w:bidi="ar-SA"/>
              </w:rPr>
            </w:pPr>
            <w:r>
              <w:rPr>
                <w:rFonts w:hint="eastAsia" w:ascii="宋体" w:cs="宋体"/>
                <w:kern w:val="0"/>
                <w:sz w:val="24"/>
                <w:szCs w:val="24"/>
              </w:rPr>
              <w:t>投标人认为需要提供的其它文件和资料</w:t>
            </w:r>
          </w:p>
        </w:tc>
        <w:tc>
          <w:tcPr>
            <w:tcW w:w="5139" w:type="dxa"/>
            <w:vAlign w:val="center"/>
          </w:tcPr>
          <w:p>
            <w:pPr>
              <w:widowControl/>
              <w:snapToGrid w:val="0"/>
              <w:spacing w:line="340" w:lineRule="exact"/>
              <w:rPr>
                <w:rFonts w:hint="eastAsia" w:ascii="宋体" w:hAnsi="Times New Roman" w:eastAsia="宋体" w:cs="宋体"/>
                <w:kern w:val="0"/>
                <w:sz w:val="24"/>
                <w:szCs w:val="24"/>
                <w:lang w:val="en-US" w:eastAsia="zh-CN" w:bidi="ar-SA"/>
              </w:rPr>
            </w:pPr>
            <w:r>
              <w:rPr>
                <w:rFonts w:hint="eastAsia" w:ascii="宋体" w:hAnsi="宋体" w:cs="宋体"/>
                <w:kern w:val="0"/>
                <w:sz w:val="24"/>
                <w:szCs w:val="24"/>
              </w:rPr>
              <w:t>格式、内容自拟</w:t>
            </w:r>
          </w:p>
        </w:tc>
      </w:tr>
    </w:tbl>
    <w:p>
      <w:pPr>
        <w:snapToGrid w:val="0"/>
        <w:spacing w:line="440" w:lineRule="exact"/>
        <w:ind w:firstLine="480" w:firstLineChars="200"/>
        <w:rPr>
          <w:rFonts w:ascii="宋体"/>
          <w:sz w:val="24"/>
          <w:szCs w:val="24"/>
          <w:u w:val="single"/>
        </w:rPr>
      </w:pPr>
      <w:r>
        <w:rPr>
          <w:rFonts w:ascii="宋体" w:hAnsi="宋体" w:cs="宋体"/>
          <w:b/>
          <w:bCs/>
          <w:sz w:val="24"/>
          <w:szCs w:val="24"/>
        </w:rPr>
        <w:t>2</w:t>
      </w:r>
      <w:r>
        <w:rPr>
          <w:rFonts w:hint="eastAsia" w:ascii="宋体" w:hAnsi="宋体" w:cs="宋体"/>
          <w:b/>
          <w:bCs/>
          <w:sz w:val="24"/>
          <w:szCs w:val="24"/>
        </w:rPr>
        <w:t>、商务技术文件的组成：</w:t>
      </w:r>
    </w:p>
    <w:tbl>
      <w:tblPr>
        <w:tblStyle w:val="28"/>
        <w:tblW w:w="9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12"/>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17"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8603" w:type="dxa"/>
            <w:gridSpan w:val="2"/>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trPr>
        <w:tc>
          <w:tcPr>
            <w:tcW w:w="817" w:type="dxa"/>
            <w:vAlign w:val="center"/>
          </w:tcPr>
          <w:p>
            <w:pPr>
              <w:widowControl/>
              <w:snapToGrid w:val="0"/>
              <w:spacing w:line="3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6012" w:type="dxa"/>
            <w:tcBorders>
              <w:right w:val="single" w:color="000000" w:sz="8" w:space="0"/>
            </w:tcBorders>
            <w:vAlign w:val="center"/>
          </w:tcPr>
          <w:p>
            <w:pPr>
              <w:widowControl/>
              <w:snapToGrid w:val="0"/>
              <w:spacing w:line="340" w:lineRule="exact"/>
              <w:rPr>
                <w:rFonts w:hint="default" w:ascii="宋体" w:cs="宋体"/>
                <w:sz w:val="24"/>
                <w:szCs w:val="24"/>
                <w:lang w:val="en-US" w:eastAsia="zh-CN"/>
              </w:rPr>
            </w:pPr>
            <w:r>
              <w:rPr>
                <w:rFonts w:hint="eastAsia" w:ascii="宋体" w:cs="宋体"/>
                <w:sz w:val="24"/>
                <w:szCs w:val="24"/>
                <w:lang w:val="en-US" w:eastAsia="zh-CN"/>
              </w:rPr>
              <w:t>供应商自评表</w:t>
            </w:r>
          </w:p>
        </w:tc>
        <w:tc>
          <w:tcPr>
            <w:tcW w:w="2591" w:type="dxa"/>
            <w:tcBorders>
              <w:left w:val="single" w:color="000000" w:sz="8" w:space="0"/>
            </w:tcBorders>
            <w:vAlign w:val="center"/>
          </w:tcPr>
          <w:p>
            <w:pPr>
              <w:widowControl/>
              <w:snapToGrid w:val="0"/>
              <w:spacing w:line="340" w:lineRule="exact"/>
              <w:rPr>
                <w:rFonts w:hint="eastAsia" w:ascii="宋体" w:cs="宋体"/>
                <w:sz w:val="24"/>
                <w:szCs w:val="24"/>
                <w:lang w:val="en-US" w:eastAsia="zh-CN"/>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trPr>
        <w:tc>
          <w:tcPr>
            <w:tcW w:w="817" w:type="dxa"/>
            <w:vAlign w:val="center"/>
          </w:tcPr>
          <w:p>
            <w:pPr>
              <w:widowControl/>
              <w:snapToGrid w:val="0"/>
              <w:spacing w:line="340" w:lineRule="exact"/>
              <w:jc w:val="center"/>
              <w:rPr>
                <w:rFonts w:ascii="宋体" w:hAnsi="宋体" w:cs="宋体"/>
                <w:sz w:val="24"/>
                <w:szCs w:val="24"/>
              </w:rPr>
            </w:pPr>
            <w:r>
              <w:rPr>
                <w:rFonts w:hint="eastAsia" w:ascii="宋体" w:hAnsi="宋体" w:cs="宋体"/>
                <w:sz w:val="24"/>
                <w:szCs w:val="24"/>
                <w:lang w:val="en-US" w:eastAsia="zh-CN"/>
              </w:rPr>
              <w:t>2</w:t>
            </w:r>
          </w:p>
        </w:tc>
        <w:tc>
          <w:tcPr>
            <w:tcW w:w="6012" w:type="dxa"/>
            <w:tcBorders>
              <w:right w:val="single" w:color="000000" w:sz="8" w:space="0"/>
            </w:tcBorders>
            <w:vAlign w:val="center"/>
          </w:tcPr>
          <w:p>
            <w:pPr>
              <w:widowControl/>
              <w:snapToGrid w:val="0"/>
              <w:spacing w:line="340" w:lineRule="exact"/>
              <w:rPr>
                <w:rFonts w:hint="eastAsia" w:ascii="宋体" w:cs="宋体"/>
                <w:sz w:val="24"/>
                <w:szCs w:val="24"/>
                <w:lang w:val="en-US" w:eastAsia="zh-CN"/>
              </w:rPr>
            </w:pPr>
            <w:r>
              <w:rPr>
                <w:rFonts w:hint="eastAsia" w:ascii="宋体" w:cs="宋体"/>
                <w:sz w:val="24"/>
                <w:szCs w:val="24"/>
                <w:lang w:val="en-US" w:eastAsia="zh-CN"/>
              </w:rPr>
              <w:t>投标人基本情况表</w:t>
            </w:r>
          </w:p>
        </w:tc>
        <w:tc>
          <w:tcPr>
            <w:tcW w:w="2591" w:type="dxa"/>
            <w:tcBorders>
              <w:left w:val="single" w:color="000000" w:sz="8" w:space="0"/>
            </w:tcBorders>
            <w:vAlign w:val="center"/>
          </w:tcPr>
          <w:p>
            <w:pPr>
              <w:widowControl/>
              <w:snapToGrid w:val="0"/>
              <w:spacing w:line="340" w:lineRule="exact"/>
              <w:rPr>
                <w:rFonts w:hint="eastAsia" w:ascii="宋体" w:cs="宋体"/>
                <w:sz w:val="24"/>
                <w:szCs w:val="24"/>
                <w:lang w:val="en-US" w:eastAsia="zh-CN"/>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pPr>
              <w:snapToGrid w:val="0"/>
              <w:spacing w:line="340" w:lineRule="exact"/>
              <w:jc w:val="center"/>
              <w:rPr>
                <w:rFonts w:hint="eastAsia" w:ascii="宋体" w:hAnsi="宋体" w:eastAsia="宋体" w:cs="宋体"/>
                <w:kern w:val="2"/>
                <w:sz w:val="24"/>
                <w:szCs w:val="24"/>
                <w:lang w:val="en-US" w:eastAsia="zh-CN" w:bidi="ar-SA"/>
              </w:rPr>
            </w:pPr>
            <w:r>
              <w:rPr>
                <w:rFonts w:hint="eastAsia" w:ascii="宋体" w:cs="宋体"/>
                <w:sz w:val="24"/>
                <w:szCs w:val="24"/>
                <w:lang w:val="en-US" w:eastAsia="zh-CN"/>
              </w:rPr>
              <w:t>3</w:t>
            </w:r>
          </w:p>
        </w:tc>
        <w:tc>
          <w:tcPr>
            <w:tcW w:w="6012" w:type="dxa"/>
            <w:tcBorders>
              <w:right w:val="single" w:color="000000" w:sz="8" w:space="0"/>
            </w:tcBorders>
            <w:vAlign w:val="center"/>
          </w:tcPr>
          <w:p>
            <w:pPr>
              <w:widowControl/>
              <w:snapToGrid w:val="0"/>
              <w:spacing w:line="340" w:lineRule="exact"/>
              <w:rPr>
                <w:rFonts w:hint="eastAsia" w:ascii="宋体" w:hAnsi="Times New Roman" w:eastAsia="宋体" w:cs="宋体"/>
                <w:kern w:val="2"/>
                <w:sz w:val="24"/>
                <w:szCs w:val="24"/>
                <w:lang w:val="en-US" w:eastAsia="zh-CN" w:bidi="ar-SA"/>
              </w:rPr>
            </w:pPr>
            <w:r>
              <w:rPr>
                <w:rFonts w:hint="eastAsia" w:ascii="宋体" w:cs="宋体"/>
                <w:sz w:val="24"/>
                <w:szCs w:val="24"/>
                <w:lang w:val="en-US" w:eastAsia="zh-CN"/>
              </w:rPr>
              <w:t>证书一览表</w:t>
            </w:r>
          </w:p>
        </w:tc>
        <w:tc>
          <w:tcPr>
            <w:tcW w:w="2591" w:type="dxa"/>
            <w:tcBorders>
              <w:left w:val="single" w:color="000000" w:sz="8" w:space="0"/>
            </w:tcBorders>
            <w:vAlign w:val="center"/>
          </w:tcPr>
          <w:p>
            <w:pPr>
              <w:widowControl/>
              <w:snapToGrid w:val="0"/>
              <w:spacing w:line="340" w:lineRule="exact"/>
              <w:rPr>
                <w:rFonts w:hint="eastAsia" w:ascii="宋体" w:hAnsi="宋体" w:eastAsia="宋体" w:cs="宋体"/>
                <w:kern w:val="2"/>
                <w:sz w:val="24"/>
                <w:szCs w:val="24"/>
                <w:lang w:val="en-US" w:eastAsia="zh-CN" w:bidi="ar-SA"/>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trPr>
        <w:tc>
          <w:tcPr>
            <w:tcW w:w="817" w:type="dxa"/>
            <w:vAlign w:val="center"/>
          </w:tcPr>
          <w:p>
            <w:pPr>
              <w:snapToGrid w:val="0"/>
              <w:spacing w:line="340" w:lineRule="exact"/>
              <w:jc w:val="center"/>
              <w:rPr>
                <w:rFonts w:hint="eastAsia" w:ascii="宋体" w:hAnsi="Times New Roman" w:eastAsia="宋体" w:cs="宋体"/>
                <w:kern w:val="2"/>
                <w:sz w:val="24"/>
                <w:szCs w:val="24"/>
                <w:lang w:val="en-US" w:eastAsia="zh-CN" w:bidi="ar-SA"/>
              </w:rPr>
            </w:pPr>
            <w:r>
              <w:rPr>
                <w:rFonts w:hint="eastAsia" w:ascii="宋体" w:cs="宋体"/>
                <w:sz w:val="24"/>
                <w:szCs w:val="24"/>
                <w:lang w:val="en-US" w:eastAsia="zh-CN"/>
              </w:rPr>
              <w:t>4</w:t>
            </w:r>
          </w:p>
        </w:tc>
        <w:tc>
          <w:tcPr>
            <w:tcW w:w="6012" w:type="dxa"/>
            <w:tcBorders>
              <w:right w:val="single" w:color="000000" w:sz="8" w:space="0"/>
            </w:tcBorders>
            <w:vAlign w:val="center"/>
          </w:tcPr>
          <w:p>
            <w:pPr>
              <w:widowControl/>
              <w:snapToGrid w:val="0"/>
              <w:spacing w:line="340" w:lineRule="exact"/>
              <w:rPr>
                <w:rFonts w:hint="eastAsia" w:ascii="宋体" w:cs="宋体"/>
                <w:sz w:val="24"/>
                <w:szCs w:val="24"/>
                <w:lang w:val="en-US" w:eastAsia="zh-CN"/>
              </w:rPr>
            </w:pPr>
            <w:r>
              <w:rPr>
                <w:rFonts w:hint="eastAsia" w:ascii="宋体" w:cs="宋体"/>
                <w:sz w:val="24"/>
                <w:szCs w:val="24"/>
                <w:lang w:val="en-US" w:eastAsia="zh-CN"/>
              </w:rPr>
              <w:t>项目负责人资格情况表</w:t>
            </w:r>
          </w:p>
        </w:tc>
        <w:tc>
          <w:tcPr>
            <w:tcW w:w="2591" w:type="dxa"/>
            <w:tcBorders>
              <w:left w:val="single" w:color="000000" w:sz="8" w:space="0"/>
            </w:tcBorders>
            <w:vAlign w:val="center"/>
          </w:tcPr>
          <w:p>
            <w:pPr>
              <w:widowControl/>
              <w:snapToGrid w:val="0"/>
              <w:spacing w:line="340" w:lineRule="exact"/>
              <w:rPr>
                <w:rFonts w:hint="eastAsia" w:ascii="宋体" w:cs="宋体"/>
                <w:sz w:val="24"/>
                <w:szCs w:val="24"/>
                <w:lang w:val="en-US" w:eastAsia="zh-CN"/>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trPr>
        <w:tc>
          <w:tcPr>
            <w:tcW w:w="817" w:type="dxa"/>
            <w:vAlign w:val="center"/>
          </w:tcPr>
          <w:p>
            <w:pPr>
              <w:snapToGrid w:val="0"/>
              <w:spacing w:line="340" w:lineRule="exact"/>
              <w:jc w:val="center"/>
              <w:rPr>
                <w:rFonts w:hint="default" w:ascii="宋体" w:hAnsi="Times New Roman" w:eastAsia="宋体" w:cs="宋体"/>
                <w:kern w:val="2"/>
                <w:sz w:val="24"/>
                <w:szCs w:val="24"/>
                <w:lang w:val="en-US" w:eastAsia="zh-CN" w:bidi="ar-SA"/>
              </w:rPr>
            </w:pPr>
            <w:r>
              <w:rPr>
                <w:rFonts w:hint="eastAsia" w:ascii="宋体" w:cs="宋体"/>
                <w:sz w:val="24"/>
                <w:szCs w:val="24"/>
                <w:lang w:val="en-US" w:eastAsia="zh-CN"/>
              </w:rPr>
              <w:t>5</w:t>
            </w:r>
          </w:p>
        </w:tc>
        <w:tc>
          <w:tcPr>
            <w:tcW w:w="6012" w:type="dxa"/>
            <w:tcBorders>
              <w:right w:val="single" w:color="000000" w:sz="8" w:space="0"/>
            </w:tcBorders>
            <w:vAlign w:val="center"/>
          </w:tcPr>
          <w:p>
            <w:pPr>
              <w:widowControl/>
              <w:snapToGrid w:val="0"/>
              <w:spacing w:line="340" w:lineRule="exact"/>
              <w:rPr>
                <w:rFonts w:hint="default" w:ascii="宋体" w:cs="宋体"/>
                <w:sz w:val="24"/>
                <w:szCs w:val="24"/>
                <w:lang w:val="en-US" w:eastAsia="zh-CN"/>
              </w:rPr>
            </w:pPr>
            <w:r>
              <w:rPr>
                <w:rFonts w:hint="eastAsia" w:ascii="宋体" w:cs="宋体"/>
                <w:sz w:val="24"/>
                <w:szCs w:val="24"/>
                <w:lang w:val="en-US" w:eastAsia="zh-CN"/>
              </w:rPr>
              <w:t>拟投入主要人员配备表</w:t>
            </w:r>
          </w:p>
        </w:tc>
        <w:tc>
          <w:tcPr>
            <w:tcW w:w="2591" w:type="dxa"/>
            <w:tcBorders>
              <w:left w:val="single" w:color="000000" w:sz="8" w:space="0"/>
            </w:tcBorders>
            <w:vAlign w:val="center"/>
          </w:tcPr>
          <w:p>
            <w:pPr>
              <w:widowControl/>
              <w:snapToGrid w:val="0"/>
              <w:spacing w:line="340" w:lineRule="exact"/>
              <w:rPr>
                <w:rFonts w:hint="eastAsia" w:ascii="宋体" w:cs="宋体"/>
                <w:sz w:val="24"/>
                <w:szCs w:val="24"/>
                <w:lang w:val="en-US" w:eastAsia="zh-CN"/>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17" w:type="dxa"/>
            <w:vAlign w:val="center"/>
          </w:tcPr>
          <w:p>
            <w:pPr>
              <w:snapToGrid w:val="0"/>
              <w:spacing w:line="340" w:lineRule="exact"/>
              <w:jc w:val="center"/>
              <w:rPr>
                <w:rFonts w:hint="eastAsia" w:ascii="宋体" w:hAnsi="Times New Roman" w:eastAsia="宋体" w:cs="宋体"/>
                <w:kern w:val="2"/>
                <w:sz w:val="24"/>
                <w:szCs w:val="24"/>
                <w:lang w:val="en-US" w:eastAsia="zh-CN" w:bidi="ar-SA"/>
              </w:rPr>
            </w:pPr>
            <w:r>
              <w:rPr>
                <w:rFonts w:hint="eastAsia" w:ascii="宋体" w:cs="宋体"/>
                <w:sz w:val="24"/>
                <w:szCs w:val="24"/>
                <w:lang w:val="en-US" w:eastAsia="zh-CN"/>
              </w:rPr>
              <w:t>6</w:t>
            </w:r>
          </w:p>
        </w:tc>
        <w:tc>
          <w:tcPr>
            <w:tcW w:w="6012" w:type="dxa"/>
            <w:tcBorders>
              <w:right w:val="single" w:color="000000" w:sz="8" w:space="0"/>
            </w:tcBorders>
            <w:vAlign w:val="center"/>
          </w:tcPr>
          <w:p>
            <w:pPr>
              <w:widowControl/>
              <w:snapToGrid w:val="0"/>
              <w:spacing w:line="340" w:lineRule="exact"/>
              <w:rPr>
                <w:rFonts w:hint="default" w:ascii="宋体" w:cs="宋体"/>
                <w:sz w:val="24"/>
                <w:szCs w:val="24"/>
                <w:lang w:val="en-US" w:eastAsia="zh-CN"/>
              </w:rPr>
            </w:pPr>
            <w:r>
              <w:rPr>
                <w:rFonts w:hint="eastAsia" w:ascii="宋体" w:cs="宋体"/>
                <w:sz w:val="24"/>
                <w:szCs w:val="24"/>
                <w:lang w:val="en-US" w:eastAsia="zh-CN"/>
              </w:rPr>
              <w:t>拟投入机械设施、工具及各类型车辆设备一览表</w:t>
            </w:r>
          </w:p>
        </w:tc>
        <w:tc>
          <w:tcPr>
            <w:tcW w:w="2591" w:type="dxa"/>
            <w:tcBorders>
              <w:left w:val="single" w:color="000000" w:sz="8" w:space="0"/>
            </w:tcBorders>
            <w:vAlign w:val="center"/>
          </w:tcPr>
          <w:p>
            <w:pPr>
              <w:widowControl/>
              <w:snapToGrid w:val="0"/>
              <w:spacing w:line="340" w:lineRule="exact"/>
              <w:rPr>
                <w:rFonts w:hint="eastAsia" w:ascii="宋体" w:cs="宋体"/>
                <w:sz w:val="24"/>
                <w:szCs w:val="24"/>
                <w:lang w:val="en-US" w:eastAsia="zh-CN"/>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17" w:type="dxa"/>
            <w:vAlign w:val="center"/>
          </w:tcPr>
          <w:p>
            <w:pPr>
              <w:widowControl/>
              <w:snapToGrid w:val="0"/>
              <w:spacing w:line="340" w:lineRule="exact"/>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7</w:t>
            </w:r>
          </w:p>
        </w:tc>
        <w:tc>
          <w:tcPr>
            <w:tcW w:w="6012" w:type="dxa"/>
            <w:tcBorders>
              <w:right w:val="single" w:color="000000" w:sz="8" w:space="0"/>
            </w:tcBorders>
            <w:vAlign w:val="center"/>
          </w:tcPr>
          <w:p>
            <w:pPr>
              <w:widowControl/>
              <w:snapToGrid w:val="0"/>
              <w:spacing w:line="340" w:lineRule="exact"/>
              <w:rPr>
                <w:rFonts w:hint="eastAsia" w:ascii="宋体" w:hAnsi="Times New Roman" w:eastAsia="宋体" w:cs="宋体"/>
                <w:kern w:val="2"/>
                <w:sz w:val="24"/>
                <w:szCs w:val="24"/>
                <w:lang w:val="en-US" w:eastAsia="zh-CN" w:bidi="ar-SA"/>
              </w:rPr>
            </w:pPr>
            <w:r>
              <w:rPr>
                <w:rFonts w:hint="eastAsia" w:ascii="宋体" w:cs="宋体"/>
                <w:sz w:val="24"/>
                <w:szCs w:val="24"/>
                <w:lang w:val="en-US" w:eastAsia="zh-CN"/>
              </w:rPr>
              <w:t>类似业绩一览表</w:t>
            </w:r>
          </w:p>
        </w:tc>
        <w:tc>
          <w:tcPr>
            <w:tcW w:w="2591" w:type="dxa"/>
            <w:tcBorders>
              <w:left w:val="single" w:color="000000" w:sz="8" w:space="0"/>
            </w:tcBorders>
            <w:vAlign w:val="center"/>
          </w:tcPr>
          <w:p>
            <w:pPr>
              <w:widowControl/>
              <w:snapToGrid w:val="0"/>
              <w:spacing w:line="340" w:lineRule="exact"/>
              <w:rPr>
                <w:rFonts w:hint="eastAsia" w:ascii="宋体" w:cs="宋体"/>
                <w:sz w:val="24"/>
                <w:szCs w:val="24"/>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817" w:type="dxa"/>
            <w:vAlign w:val="center"/>
          </w:tcPr>
          <w:p>
            <w:pPr>
              <w:widowControl/>
              <w:snapToGrid w:val="0"/>
              <w:spacing w:line="34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8</w:t>
            </w:r>
          </w:p>
        </w:tc>
        <w:tc>
          <w:tcPr>
            <w:tcW w:w="6012" w:type="dxa"/>
            <w:tcBorders>
              <w:right w:val="single" w:color="000000" w:sz="8" w:space="0"/>
            </w:tcBorders>
            <w:vAlign w:val="center"/>
          </w:tcPr>
          <w:p>
            <w:pPr>
              <w:widowControl/>
              <w:snapToGrid w:val="0"/>
              <w:spacing w:line="340" w:lineRule="exact"/>
              <w:rPr>
                <w:rFonts w:hint="eastAsia" w:ascii="宋体" w:hAnsi="Times New Roman" w:eastAsia="宋体" w:cs="宋体"/>
                <w:kern w:val="2"/>
                <w:sz w:val="24"/>
                <w:szCs w:val="24"/>
                <w:lang w:val="en-US" w:eastAsia="zh-CN" w:bidi="ar-SA"/>
              </w:rPr>
            </w:pPr>
            <w:r>
              <w:rPr>
                <w:rFonts w:hint="eastAsia" w:ascii="宋体" w:cs="宋体"/>
                <w:sz w:val="24"/>
                <w:szCs w:val="24"/>
                <w:lang w:val="en-US" w:eastAsia="zh-CN"/>
              </w:rPr>
              <w:t>技术、商务偏离表</w:t>
            </w:r>
          </w:p>
        </w:tc>
        <w:tc>
          <w:tcPr>
            <w:tcW w:w="2591" w:type="dxa"/>
            <w:tcBorders>
              <w:left w:val="single" w:color="000000" w:sz="8" w:space="0"/>
            </w:tcBorders>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17" w:type="dxa"/>
            <w:vAlign w:val="center"/>
          </w:tcPr>
          <w:p>
            <w:pPr>
              <w:widowControl/>
              <w:snapToGrid w:val="0"/>
              <w:spacing w:line="34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9</w:t>
            </w:r>
          </w:p>
        </w:tc>
        <w:tc>
          <w:tcPr>
            <w:tcW w:w="6012" w:type="dxa"/>
            <w:tcBorders>
              <w:right w:val="single" w:color="000000" w:sz="8" w:space="0"/>
            </w:tcBorders>
            <w:vAlign w:val="center"/>
          </w:tcPr>
          <w:p>
            <w:pPr>
              <w:widowControl/>
              <w:snapToGrid w:val="0"/>
              <w:spacing w:line="340" w:lineRule="exac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投标人根据投标文件评分内容自行编制</w:t>
            </w:r>
          </w:p>
        </w:tc>
        <w:tc>
          <w:tcPr>
            <w:tcW w:w="2591" w:type="dxa"/>
            <w:tcBorders>
              <w:left w:val="single" w:color="000000" w:sz="8" w:space="0"/>
            </w:tcBorders>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17" w:type="dxa"/>
            <w:vAlign w:val="center"/>
          </w:tcPr>
          <w:p>
            <w:pPr>
              <w:widowControl/>
              <w:snapToGrid w:val="0"/>
              <w:spacing w:line="340" w:lineRule="exact"/>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10</w:t>
            </w:r>
          </w:p>
        </w:tc>
        <w:tc>
          <w:tcPr>
            <w:tcW w:w="6012" w:type="dxa"/>
            <w:tcBorders>
              <w:right w:val="single" w:color="000000" w:sz="8" w:space="0"/>
            </w:tcBorders>
            <w:vAlign w:val="center"/>
          </w:tcPr>
          <w:p>
            <w:pPr>
              <w:widowControl/>
              <w:snapToGrid w:val="0"/>
              <w:spacing w:line="340" w:lineRule="exact"/>
              <w:rPr>
                <w:rFonts w:hint="eastAsia" w:ascii="宋体" w:hAnsi="Times New Roman" w:eastAsia="宋体" w:cs="宋体"/>
                <w:kern w:val="0"/>
                <w:sz w:val="24"/>
                <w:szCs w:val="24"/>
                <w:lang w:val="en-US" w:eastAsia="zh-CN" w:bidi="ar-SA"/>
              </w:rPr>
            </w:pPr>
            <w:r>
              <w:rPr>
                <w:rFonts w:hint="eastAsia" w:ascii="宋体" w:hAnsi="宋体" w:cs="宋体"/>
                <w:sz w:val="24"/>
                <w:szCs w:val="24"/>
              </w:rPr>
              <w:t>投标人认为需要提供的其他资料</w:t>
            </w:r>
            <w:r>
              <w:rPr>
                <w:rFonts w:hint="eastAsia" w:ascii="宋体" w:hAnsi="宋体" w:cs="宋体"/>
                <w:sz w:val="24"/>
                <w:szCs w:val="24"/>
                <w:lang w:eastAsia="zh-CN"/>
              </w:rPr>
              <w:t>；</w:t>
            </w:r>
            <w:r>
              <w:rPr>
                <w:rFonts w:hint="eastAsia" w:ascii="宋体" w:hAnsi="宋体" w:cs="宋体"/>
                <w:sz w:val="24"/>
                <w:szCs w:val="24"/>
              </w:rPr>
              <w:t>包括可能影响投标人商务技术文件评分的各类证明材料</w:t>
            </w:r>
          </w:p>
        </w:tc>
        <w:tc>
          <w:tcPr>
            <w:tcW w:w="2591" w:type="dxa"/>
            <w:tcBorders>
              <w:left w:val="single" w:color="000000" w:sz="8" w:space="0"/>
            </w:tcBorders>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内容自拟</w:t>
            </w:r>
          </w:p>
        </w:tc>
      </w:tr>
    </w:tbl>
    <w:p>
      <w:pPr>
        <w:autoSpaceDE w:val="0"/>
        <w:autoSpaceDN w:val="0"/>
        <w:adjustRightInd w:val="0"/>
        <w:spacing w:line="360" w:lineRule="auto"/>
        <w:ind w:left="426" w:firstLine="64" w:firstLineChars="27"/>
        <w:rPr>
          <w:rFonts w:ascii="宋体" w:cs="宋体"/>
          <w:b/>
          <w:bCs/>
          <w:kern w:val="0"/>
          <w:sz w:val="24"/>
          <w:szCs w:val="24"/>
        </w:rPr>
      </w:pPr>
      <w:r>
        <w:rPr>
          <w:rFonts w:ascii="宋体" w:hAnsi="宋体" w:cs="宋体"/>
          <w:b/>
          <w:bCs/>
          <w:kern w:val="0"/>
          <w:sz w:val="24"/>
          <w:szCs w:val="24"/>
        </w:rPr>
        <w:t>3</w:t>
      </w:r>
      <w:r>
        <w:rPr>
          <w:rFonts w:hint="eastAsia" w:ascii="宋体" w:hAnsi="宋体" w:cs="宋体"/>
          <w:b/>
          <w:bCs/>
          <w:kern w:val="0"/>
          <w:sz w:val="24"/>
          <w:szCs w:val="24"/>
        </w:rPr>
        <w:t>、报价文件的组成</w:t>
      </w:r>
    </w:p>
    <w:tbl>
      <w:tblPr>
        <w:tblStyle w:val="28"/>
        <w:tblW w:w="94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389"/>
        <w:gridCol w:w="4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4389"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c>
          <w:tcPr>
            <w:tcW w:w="4209"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pPr>
              <w:widowControl/>
              <w:snapToGrid w:val="0"/>
              <w:spacing w:line="340" w:lineRule="exact"/>
              <w:jc w:val="center"/>
              <w:rPr>
                <w:rFonts w:ascii="宋体" w:cs="宋体"/>
                <w:sz w:val="24"/>
                <w:szCs w:val="24"/>
              </w:rPr>
            </w:pPr>
            <w:r>
              <w:rPr>
                <w:rFonts w:ascii="宋体" w:hAnsi="宋体" w:cs="宋体"/>
                <w:sz w:val="24"/>
                <w:szCs w:val="24"/>
              </w:rPr>
              <w:t>1</w:t>
            </w:r>
          </w:p>
        </w:tc>
        <w:tc>
          <w:tcPr>
            <w:tcW w:w="4389" w:type="dxa"/>
            <w:vAlign w:val="center"/>
          </w:tcPr>
          <w:p>
            <w:pPr>
              <w:widowControl/>
              <w:snapToGrid w:val="0"/>
              <w:spacing w:line="340" w:lineRule="exact"/>
              <w:rPr>
                <w:rFonts w:hint="eastAsia" w:ascii="宋体" w:hAnsi="Times New Roman" w:eastAsia="宋体" w:cs="宋体"/>
                <w:kern w:val="0"/>
                <w:sz w:val="24"/>
                <w:szCs w:val="24"/>
                <w:lang w:val="en-US" w:eastAsia="zh-CN" w:bidi="ar-SA"/>
              </w:rPr>
            </w:pPr>
            <w:r>
              <w:rPr>
                <w:rFonts w:hint="eastAsia" w:ascii="宋体" w:cs="宋体"/>
                <w:kern w:val="0"/>
                <w:sz w:val="24"/>
                <w:szCs w:val="24"/>
              </w:rPr>
              <w:t>投标函</w:t>
            </w:r>
          </w:p>
        </w:tc>
        <w:tc>
          <w:tcPr>
            <w:tcW w:w="4209" w:type="dxa"/>
            <w:vAlign w:val="center"/>
          </w:tcPr>
          <w:p>
            <w:pPr>
              <w:widowControl/>
              <w:snapToGrid w:val="0"/>
              <w:spacing w:line="340" w:lineRule="exact"/>
              <w:rPr>
                <w:rFonts w:ascii="宋体" w:hAnsi="Times New Roman" w:eastAsia="宋体" w:cs="宋体"/>
                <w:kern w:val="0"/>
                <w:sz w:val="24"/>
                <w:szCs w:val="24"/>
                <w:lang w:val="en-US" w:eastAsia="zh-CN" w:bidi="ar-SA"/>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pPr>
              <w:widowControl/>
              <w:snapToGrid w:val="0"/>
              <w:spacing w:line="340" w:lineRule="exact"/>
              <w:jc w:val="center"/>
              <w:rPr>
                <w:rFonts w:hint="eastAsia" w:ascii="宋体" w:eastAsia="宋体" w:cs="宋体"/>
                <w:sz w:val="24"/>
                <w:szCs w:val="24"/>
                <w:lang w:eastAsia="zh-CN"/>
              </w:rPr>
            </w:pPr>
            <w:r>
              <w:rPr>
                <w:rFonts w:hint="eastAsia" w:ascii="宋体" w:hAnsi="宋体" w:cs="宋体"/>
                <w:sz w:val="24"/>
                <w:szCs w:val="24"/>
                <w:lang w:val="en-US" w:eastAsia="zh-CN"/>
              </w:rPr>
              <w:t>2</w:t>
            </w:r>
          </w:p>
        </w:tc>
        <w:tc>
          <w:tcPr>
            <w:tcW w:w="4389" w:type="dxa"/>
            <w:vAlign w:val="center"/>
          </w:tcPr>
          <w:p>
            <w:pPr>
              <w:widowControl/>
              <w:snapToGrid w:val="0"/>
              <w:spacing w:line="340" w:lineRule="exact"/>
              <w:rPr>
                <w:rFonts w:ascii="宋体" w:hAnsi="Times New Roman" w:eastAsia="宋体" w:cs="宋体"/>
                <w:kern w:val="0"/>
                <w:sz w:val="24"/>
                <w:szCs w:val="24"/>
                <w:lang w:val="en-US" w:eastAsia="zh-CN" w:bidi="ar-SA"/>
              </w:rPr>
            </w:pPr>
            <w:r>
              <w:rPr>
                <w:rFonts w:hint="eastAsia" w:ascii="宋体" w:hAnsi="宋体" w:cs="宋体"/>
                <w:kern w:val="0"/>
                <w:sz w:val="24"/>
                <w:szCs w:val="24"/>
              </w:rPr>
              <w:t>开标一览表</w:t>
            </w:r>
          </w:p>
        </w:tc>
        <w:tc>
          <w:tcPr>
            <w:tcW w:w="4209" w:type="dxa"/>
            <w:vAlign w:val="center"/>
          </w:tcPr>
          <w:p>
            <w:pPr>
              <w:widowControl/>
              <w:snapToGrid w:val="0"/>
              <w:spacing w:line="340" w:lineRule="exact"/>
              <w:rPr>
                <w:rFonts w:ascii="宋体" w:hAnsi="Times New Roman" w:eastAsia="宋体" w:cs="宋体"/>
                <w:kern w:val="0"/>
                <w:sz w:val="24"/>
                <w:szCs w:val="24"/>
                <w:lang w:val="en-US" w:eastAsia="zh-CN" w:bidi="ar-SA"/>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pPr>
              <w:widowControl/>
              <w:snapToGrid w:val="0"/>
              <w:spacing w:line="34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3</w:t>
            </w:r>
          </w:p>
        </w:tc>
        <w:tc>
          <w:tcPr>
            <w:tcW w:w="4389" w:type="dxa"/>
            <w:vAlign w:val="center"/>
          </w:tcPr>
          <w:p>
            <w:pPr>
              <w:widowControl/>
              <w:snapToGrid w:val="0"/>
              <w:spacing w:line="340" w:lineRule="exac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投标报价明细表</w:t>
            </w:r>
          </w:p>
        </w:tc>
        <w:tc>
          <w:tcPr>
            <w:tcW w:w="4209" w:type="dxa"/>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pPr>
              <w:widowControl/>
              <w:snapToGrid w:val="0"/>
              <w:spacing w:line="34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4389" w:type="dxa"/>
            <w:vAlign w:val="center"/>
          </w:tcPr>
          <w:p>
            <w:pPr>
              <w:widowControl/>
              <w:snapToGrid w:val="0"/>
              <w:spacing w:line="340" w:lineRule="exact"/>
              <w:rPr>
                <w:rFonts w:hint="eastAsia" w:ascii="宋体" w:hAnsi="Times New Roman" w:eastAsia="宋体" w:cs="宋体"/>
                <w:kern w:val="2"/>
                <w:sz w:val="24"/>
                <w:szCs w:val="24"/>
                <w:lang w:val="en-US" w:eastAsia="zh-CN" w:bidi="ar-SA"/>
              </w:rPr>
            </w:pPr>
            <w:r>
              <w:rPr>
                <w:rFonts w:hint="eastAsia" w:ascii="宋体" w:hAnsi="宋体" w:cs="宋体"/>
                <w:kern w:val="0"/>
                <w:sz w:val="24"/>
                <w:szCs w:val="24"/>
              </w:rPr>
              <w:t>投标人认为需要提供的其它文件和资料</w:t>
            </w:r>
          </w:p>
        </w:tc>
        <w:tc>
          <w:tcPr>
            <w:tcW w:w="4209" w:type="dxa"/>
            <w:vAlign w:val="center"/>
          </w:tcPr>
          <w:p>
            <w:pPr>
              <w:widowControl/>
              <w:snapToGrid w:val="0"/>
              <w:spacing w:line="340" w:lineRule="exact"/>
              <w:rPr>
                <w:rFonts w:hint="eastAsia" w:ascii="宋体" w:hAnsi="Times New Roman" w:eastAsia="宋体" w:cs="宋体"/>
                <w:kern w:val="2"/>
                <w:sz w:val="24"/>
                <w:szCs w:val="24"/>
                <w:lang w:val="en-US" w:eastAsia="zh-CN" w:bidi="ar-SA"/>
              </w:rPr>
            </w:pPr>
            <w:r>
              <w:rPr>
                <w:rFonts w:hint="eastAsia" w:ascii="宋体" w:hAnsi="宋体" w:cs="宋体"/>
                <w:sz w:val="24"/>
                <w:szCs w:val="24"/>
              </w:rPr>
              <w:t>自行提供</w:t>
            </w:r>
          </w:p>
        </w:tc>
      </w:tr>
    </w:tbl>
    <w:p>
      <w:pPr>
        <w:pageBreakBefore w:val="0"/>
        <w:kinsoku/>
        <w:wordWrap/>
        <w:overflowPunct/>
        <w:topLinePunct w:val="0"/>
        <w:bidi w:val="0"/>
        <w:spacing w:line="360" w:lineRule="exact"/>
        <w:textAlignment w:val="auto"/>
        <w:rPr>
          <w:rFonts w:ascii="宋体" w:cs="宋体"/>
          <w:b/>
          <w:bCs/>
          <w:kern w:val="0"/>
          <w:sz w:val="24"/>
          <w:szCs w:val="24"/>
        </w:rPr>
      </w:pPr>
      <w:r>
        <w:rPr>
          <w:rFonts w:hint="eastAsia" w:ascii="宋体" w:hAnsi="宋体" w:cs="宋体"/>
          <w:b/>
          <w:bCs/>
          <w:kern w:val="0"/>
          <w:sz w:val="24"/>
          <w:szCs w:val="24"/>
        </w:rPr>
        <w:t>（</w:t>
      </w:r>
      <w:r>
        <w:rPr>
          <w:rFonts w:hint="eastAsia" w:ascii="宋体" w:hAnsi="宋体" w:cs="宋体"/>
          <w:b/>
          <w:bCs/>
          <w:kern w:val="0"/>
          <w:sz w:val="24"/>
          <w:szCs w:val="24"/>
          <w:lang w:eastAsia="zh-CN"/>
        </w:rPr>
        <w:t>三</w:t>
      </w:r>
      <w:r>
        <w:rPr>
          <w:rFonts w:hint="eastAsia" w:ascii="宋体" w:hAnsi="宋体" w:cs="宋体"/>
          <w:b/>
          <w:bCs/>
          <w:kern w:val="0"/>
          <w:sz w:val="24"/>
          <w:szCs w:val="24"/>
        </w:rPr>
        <w:t>）投标文件的制作、封装及递交要求</w:t>
      </w:r>
    </w:p>
    <w:p>
      <w:pPr>
        <w:pageBreakBefore w:val="0"/>
        <w:kinsoku/>
        <w:wordWrap/>
        <w:overflowPunct/>
        <w:topLinePunct w:val="0"/>
        <w:autoSpaceDE w:val="0"/>
        <w:autoSpaceDN w:val="0"/>
        <w:bidi w:val="0"/>
        <w:adjustRightInd w:val="0"/>
        <w:spacing w:line="360" w:lineRule="exact"/>
        <w:ind w:firstLine="480" w:firstLineChars="200"/>
        <w:textAlignment w:val="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、投标文件的制作要求</w:t>
      </w:r>
    </w:p>
    <w:p>
      <w:pPr>
        <w:pageBreakBefore w:val="0"/>
        <w:kinsoku/>
        <w:wordWrap/>
        <w:overflowPunct/>
        <w:topLinePunct w:val="0"/>
        <w:autoSpaceDE w:val="0"/>
        <w:autoSpaceDN w:val="0"/>
        <w:bidi w:val="0"/>
        <w:adjustRightInd w:val="0"/>
        <w:spacing w:line="360" w:lineRule="exact"/>
        <w:ind w:firstLine="480" w:firstLineChars="200"/>
        <w:textAlignment w:val="auto"/>
        <w:rPr>
          <w:rFonts w:ascii="宋体" w:cs="宋体"/>
          <w:kern w:val="0"/>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）投标人应按照投标文件组成内容及项目</w:t>
      </w:r>
      <w:r>
        <w:rPr>
          <w:rFonts w:hint="eastAsia" w:ascii="宋体" w:hAnsi="宋体" w:cs="宋体"/>
          <w:sz w:val="24"/>
          <w:szCs w:val="24"/>
          <w:lang w:eastAsia="zh-CN"/>
        </w:rPr>
        <w:t>采购需求</w:t>
      </w:r>
      <w:r>
        <w:rPr>
          <w:rFonts w:hint="eastAsia" w:ascii="宋体" w:hAnsi="宋体" w:cs="宋体"/>
          <w:sz w:val="24"/>
          <w:szCs w:val="24"/>
        </w:rPr>
        <w:t>制作投标文件，</w:t>
      </w:r>
      <w:r>
        <w:rPr>
          <w:rFonts w:hint="eastAsia" w:ascii="宋体" w:hAnsi="宋体" w:cs="宋体"/>
          <w:kern w:val="0"/>
          <w:sz w:val="24"/>
          <w:szCs w:val="24"/>
        </w:rPr>
        <w:t>不按招标文件要求制作投标文件的将视情处理，责任由投标人自行承担。</w:t>
      </w:r>
    </w:p>
    <w:p>
      <w:pPr>
        <w:pageBreakBefore w:val="0"/>
        <w:kinsoku/>
        <w:wordWrap/>
        <w:overflowPunct/>
        <w:topLinePunct w:val="0"/>
        <w:autoSpaceDE w:val="0"/>
        <w:autoSpaceDN w:val="0"/>
        <w:bidi w:val="0"/>
        <w:adjustRightInd w:val="0"/>
        <w:spacing w:line="360" w:lineRule="exact"/>
        <w:ind w:firstLine="480" w:firstLineChars="200"/>
        <w:textAlignment w:val="auto"/>
        <w:rPr>
          <w:rFonts w:hint="default" w:ascii="宋体" w:eastAsia="宋体" w:cs="宋体"/>
          <w:kern w:val="0"/>
          <w:sz w:val="24"/>
          <w:szCs w:val="24"/>
          <w:highlight w:val="none"/>
          <w:lang w:val="en-US" w:eastAsia="zh-CN"/>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）投标人应对所提供的全部资料的真实性承担法律责任</w:t>
      </w: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 xml:space="preserve">     </w:t>
      </w:r>
    </w:p>
    <w:p>
      <w:pPr>
        <w:pageBreakBefore w:val="0"/>
        <w:kinsoku/>
        <w:wordWrap/>
        <w:overflowPunct/>
        <w:topLinePunct w:val="0"/>
        <w:bidi w:val="0"/>
        <w:snapToGrid w:val="0"/>
        <w:spacing w:line="360" w:lineRule="exact"/>
        <w:ind w:firstLine="480" w:firstLineChars="200"/>
        <w:jc w:val="left"/>
        <w:textAlignment w:val="auto"/>
        <w:rPr>
          <w:rFonts w:ascii="宋体" w:cs="宋体"/>
          <w:sz w:val="24"/>
          <w:szCs w:val="24"/>
        </w:rPr>
      </w:pPr>
      <w:r>
        <w:rPr>
          <w:rFonts w:hint="eastAsia" w:ascii="宋体" w:hAnsi="宋体" w:cs="宋体"/>
          <w:kern w:val="0"/>
          <w:sz w:val="24"/>
          <w:szCs w:val="24"/>
          <w:lang w:val="zh-CN"/>
        </w:rPr>
        <w:t>（</w:t>
      </w:r>
      <w:r>
        <w:rPr>
          <w:rFonts w:ascii="宋体" w:hAnsi="宋体" w:cs="宋体"/>
          <w:kern w:val="0"/>
          <w:sz w:val="24"/>
          <w:szCs w:val="24"/>
        </w:rPr>
        <w:t>3</w:t>
      </w:r>
      <w:r>
        <w:rPr>
          <w:rFonts w:hint="eastAsia" w:ascii="宋体" w:hAnsi="宋体" w:cs="宋体"/>
          <w:kern w:val="0"/>
          <w:sz w:val="24"/>
          <w:szCs w:val="24"/>
          <w:lang w:val="zh-CN"/>
        </w:rPr>
        <w:t>）</w:t>
      </w:r>
      <w:r>
        <w:rPr>
          <w:rFonts w:hint="eastAsia" w:ascii="宋体" w:hAnsi="宋体" w:cs="宋体"/>
          <w:sz w:val="24"/>
          <w:szCs w:val="24"/>
        </w:rPr>
        <w:t>投标文件以及投标人与采购代理机构就有关投标事宜的所有来往函电，均应以中文汉语书写。除签字、盖章、专用名称等特殊情形外，以中文汉语以外的文字表述的投标文件视同未提供。</w:t>
      </w:r>
    </w:p>
    <w:p>
      <w:pPr>
        <w:pageBreakBefore w:val="0"/>
        <w:kinsoku/>
        <w:wordWrap/>
        <w:overflowPunct/>
        <w:topLinePunct w:val="0"/>
        <w:bidi w:val="0"/>
        <w:snapToGrid w:val="0"/>
        <w:spacing w:line="360" w:lineRule="exact"/>
        <w:ind w:firstLine="480" w:firstLineChars="200"/>
        <w:jc w:val="left"/>
        <w:textAlignment w:val="auto"/>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）投标计量单位，招标文件已有明确规定的，使用招标文件规定的计量单位；招标文件没有规定的，应采用中华人民共和国法定计量单位（货币单位：人民币元）。</w:t>
      </w:r>
    </w:p>
    <w:p>
      <w:pPr>
        <w:pageBreakBefore w:val="0"/>
        <w:kinsoku/>
        <w:wordWrap/>
        <w:overflowPunct/>
        <w:topLinePunct w:val="0"/>
        <w:autoSpaceDE w:val="0"/>
        <w:autoSpaceDN w:val="0"/>
        <w:bidi w:val="0"/>
        <w:adjustRightInd w:val="0"/>
        <w:spacing w:line="360" w:lineRule="exact"/>
        <w:ind w:firstLine="480" w:firstLineChars="200"/>
        <w:textAlignment w:val="auto"/>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）若投标人不按招标文件的要求提供资格审查材料，其责任由投标人自行承担。</w:t>
      </w:r>
    </w:p>
    <w:p>
      <w:pPr>
        <w:pageBreakBefore w:val="0"/>
        <w:kinsoku/>
        <w:wordWrap/>
        <w:overflowPunct/>
        <w:topLinePunct w:val="0"/>
        <w:autoSpaceDE w:val="0"/>
        <w:autoSpaceDN w:val="0"/>
        <w:bidi w:val="0"/>
        <w:adjustRightInd w:val="0"/>
        <w:spacing w:line="360" w:lineRule="exact"/>
        <w:ind w:firstLine="480" w:firstLineChars="200"/>
        <w:textAlignment w:val="auto"/>
        <w:rPr>
          <w:rFonts w:ascii="宋体" w:cs="宋体"/>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）投标人应在认真阅读招标文件所有内容的基础上，按照招标文件的要求编制完整的投标文件。投标文件应按照招标文件中规定的统一格式填写：（1）</w:t>
      </w:r>
      <w:r>
        <w:rPr>
          <w:rFonts w:hint="eastAsia" w:ascii="宋体" w:hAnsi="宋体" w:cs="宋体"/>
          <w:kern w:val="0"/>
          <w:sz w:val="24"/>
          <w:szCs w:val="24"/>
          <w:lang w:eastAsia="zh-CN"/>
        </w:rPr>
        <w:t>“电子加密投标文件”</w:t>
      </w:r>
      <w:r>
        <w:rPr>
          <w:rFonts w:hint="eastAsia" w:ascii="宋体" w:hAnsi="宋体" w:cs="宋体"/>
          <w:kern w:val="0"/>
          <w:sz w:val="24"/>
          <w:szCs w:val="24"/>
        </w:rPr>
        <w:t>按政采云平台供应商项目采购-电子招投标操作指南（网址：</w:t>
      </w:r>
      <w:r>
        <w:rPr>
          <w:rFonts w:hint="eastAsia"/>
        </w:rPr>
        <w:t>https://help.zcy.gov.cn/web/site_2/2018/12-28/2573.html</w:t>
      </w:r>
      <w:r>
        <w:rPr>
          <w:rFonts w:hint="eastAsia" w:ascii="宋体" w:hAnsi="宋体" w:cs="宋体"/>
          <w:kern w:val="0"/>
          <w:sz w:val="24"/>
          <w:szCs w:val="24"/>
        </w:rPr>
        <w:t>）及本招标文件要求制作、关联定位、加密。</w:t>
      </w:r>
    </w:p>
    <w:p>
      <w:pPr>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cs="宋体"/>
          <w:b/>
          <w:bCs/>
          <w:sz w:val="24"/>
          <w:szCs w:val="24"/>
          <w:lang w:val="zh-CN"/>
        </w:rPr>
      </w:pPr>
      <w:r>
        <w:rPr>
          <w:rFonts w:hint="eastAsia" w:ascii="宋体" w:hAnsi="宋体" w:cs="宋体"/>
          <w:b/>
          <w:bCs/>
          <w:sz w:val="24"/>
          <w:szCs w:val="24"/>
          <w:lang w:val="en-US" w:eastAsia="zh-CN"/>
        </w:rPr>
        <w:t>2、</w:t>
      </w:r>
      <w:r>
        <w:rPr>
          <w:rFonts w:hint="eastAsia" w:ascii="宋体" w:hAnsi="宋体" w:cs="宋体"/>
          <w:b/>
          <w:bCs/>
          <w:sz w:val="24"/>
          <w:szCs w:val="24"/>
          <w:lang w:val="zh-CN"/>
        </w:rPr>
        <w:t>投标文件的编制、签署、份数</w:t>
      </w:r>
    </w:p>
    <w:p>
      <w:pPr>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1</w:t>
      </w:r>
      <w:r>
        <w:rPr>
          <w:rFonts w:hint="eastAsia" w:ascii="宋体" w:hAnsi="宋体" w:cs="宋体"/>
          <w:kern w:val="0"/>
          <w:sz w:val="24"/>
          <w:szCs w:val="24"/>
          <w:lang w:val="zh-CN"/>
        </w:rPr>
        <w:t>）投标文件包括“资格证明文件”、“商务技术文件”和“报价文件”三部分。投标人应按“政府采购云平台”供应商项目采购-电子招投标操作指南（网址：</w:t>
      </w:r>
      <w:r>
        <w:rPr>
          <w:rFonts w:hint="eastAsia" w:ascii="宋体" w:hAnsi="宋体" w:cs="宋体"/>
          <w:kern w:val="0"/>
          <w:sz w:val="24"/>
          <w:szCs w:val="24"/>
          <w:lang w:val="zh-CN"/>
        </w:rPr>
        <w:fldChar w:fldCharType="begin"/>
      </w:r>
      <w:r>
        <w:rPr>
          <w:rFonts w:hint="eastAsia" w:ascii="宋体" w:hAnsi="宋体" w:cs="宋体"/>
          <w:kern w:val="0"/>
          <w:sz w:val="24"/>
          <w:szCs w:val="24"/>
          <w:lang w:val="zh-CN"/>
        </w:rPr>
        <w:instrText xml:space="preserve"> HYPERLINK "https://help.zcy.gov.cn/web/site_2/2018/12-28/2573.html）及本采购文件要求制作" </w:instrText>
      </w:r>
      <w:r>
        <w:rPr>
          <w:rFonts w:hint="eastAsia" w:ascii="宋体" w:hAnsi="宋体" w:cs="宋体"/>
          <w:kern w:val="0"/>
          <w:sz w:val="24"/>
          <w:szCs w:val="24"/>
          <w:lang w:val="zh-CN"/>
        </w:rPr>
        <w:fldChar w:fldCharType="separate"/>
      </w:r>
      <w:r>
        <w:rPr>
          <w:rFonts w:hint="eastAsia"/>
          <w:lang w:val="zh-CN"/>
        </w:rPr>
        <w:t>https://help.zcy.gov.cn/web/site_2/2018/12-28/2573.html</w:t>
      </w:r>
      <w:r>
        <w:rPr>
          <w:rFonts w:hint="eastAsia" w:ascii="宋体" w:hAnsi="宋体" w:cs="宋体"/>
          <w:kern w:val="0"/>
          <w:sz w:val="24"/>
          <w:szCs w:val="24"/>
          <w:lang w:val="zh-CN"/>
        </w:rPr>
        <w:t>）及本招标文件要求制作</w:t>
      </w:r>
      <w:r>
        <w:rPr>
          <w:rFonts w:hint="eastAsia" w:ascii="宋体" w:hAnsi="宋体" w:cs="宋体"/>
          <w:kern w:val="0"/>
          <w:sz w:val="24"/>
          <w:szCs w:val="24"/>
          <w:lang w:val="zh-CN"/>
        </w:rPr>
        <w:fldChar w:fldCharType="end"/>
      </w:r>
      <w:r>
        <w:rPr>
          <w:rFonts w:hint="eastAsia" w:ascii="宋体" w:hAnsi="宋体" w:cs="宋体"/>
          <w:kern w:val="0"/>
          <w:sz w:val="24"/>
          <w:szCs w:val="24"/>
          <w:lang w:val="zh-CN"/>
        </w:rPr>
        <w:t>。</w:t>
      </w:r>
    </w:p>
    <w:p>
      <w:pPr>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cs="宋体"/>
          <w:b/>
          <w:bCs/>
          <w:color w:val="auto"/>
          <w:kern w:val="0"/>
          <w:sz w:val="24"/>
          <w:szCs w:val="24"/>
          <w:lang w:val="zh-CN"/>
        </w:rPr>
      </w:pPr>
      <w:r>
        <w:rPr>
          <w:rFonts w:hint="eastAsia" w:ascii="宋体" w:hAnsi="宋体" w:cs="宋体"/>
          <w:b/>
          <w:bCs/>
          <w:color w:val="auto"/>
          <w:kern w:val="0"/>
          <w:sz w:val="24"/>
          <w:szCs w:val="24"/>
          <w:lang w:val="en-US" w:eastAsia="zh-CN"/>
        </w:rPr>
        <w:t>（2）</w:t>
      </w:r>
      <w:r>
        <w:rPr>
          <w:rFonts w:hint="eastAsia" w:ascii="宋体" w:hAnsi="宋体" w:cs="宋体"/>
          <w:b/>
          <w:bCs/>
          <w:color w:val="auto"/>
          <w:kern w:val="0"/>
          <w:sz w:val="24"/>
          <w:szCs w:val="24"/>
          <w:lang w:val="zh-CN"/>
        </w:rPr>
        <w:t>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pPr>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3</w:t>
      </w:r>
      <w:r>
        <w:rPr>
          <w:rFonts w:hint="eastAsia" w:ascii="宋体" w:hAnsi="宋体" w:cs="宋体"/>
          <w:kern w:val="0"/>
          <w:sz w:val="24"/>
          <w:szCs w:val="24"/>
          <w:lang w:val="zh-CN"/>
        </w:rPr>
        <w:t>）份数：</w:t>
      </w:r>
    </w:p>
    <w:p>
      <w:pPr>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en-US" w:eastAsia="zh-CN"/>
        </w:rPr>
        <w:t>3.1</w:t>
      </w:r>
      <w:r>
        <w:rPr>
          <w:rFonts w:hint="eastAsia" w:ascii="宋体" w:hAnsi="宋体" w:cs="宋体"/>
          <w:kern w:val="0"/>
          <w:sz w:val="24"/>
          <w:szCs w:val="24"/>
          <w:lang w:val="zh-CN"/>
        </w:rPr>
        <w:t>“电子加密投标文件”（后缀格式为.jmbs）：在线上传递交一份。</w:t>
      </w:r>
    </w:p>
    <w:p>
      <w:pPr>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en-US" w:eastAsia="zh-CN"/>
        </w:rPr>
        <w:t>3.2</w:t>
      </w:r>
      <w:r>
        <w:rPr>
          <w:rFonts w:hint="eastAsia" w:ascii="宋体" w:hAnsi="宋体" w:cs="宋体"/>
          <w:kern w:val="0"/>
          <w:sz w:val="24"/>
          <w:szCs w:val="24"/>
          <w:lang w:val="zh-CN"/>
        </w:rPr>
        <w:t>“备份投标文件”（后缀格式为.bfbs）：发送一份至邮箱：</w:t>
      </w:r>
      <w:r>
        <w:rPr>
          <w:rFonts w:hint="eastAsia" w:ascii="宋体" w:hAnsi="宋体" w:cs="宋体"/>
          <w:kern w:val="0"/>
          <w:sz w:val="24"/>
          <w:szCs w:val="24"/>
          <w:lang w:val="en-US" w:eastAsia="zh-CN"/>
        </w:rPr>
        <w:t>1187271673@qq.com</w:t>
      </w:r>
      <w:r>
        <w:rPr>
          <w:rFonts w:hint="eastAsia" w:ascii="宋体" w:hAnsi="宋体" w:cs="宋体"/>
          <w:kern w:val="0"/>
          <w:sz w:val="24"/>
          <w:szCs w:val="24"/>
          <w:lang w:val="zh-CN"/>
        </w:rPr>
        <w:t>，以接收方邮箱收件箱所显示时间为准。</w:t>
      </w:r>
    </w:p>
    <w:p>
      <w:pPr>
        <w:pageBreakBefore w:val="0"/>
        <w:kinsoku/>
        <w:wordWrap/>
        <w:overflowPunct/>
        <w:topLinePunct w:val="0"/>
        <w:autoSpaceDE w:val="0"/>
        <w:autoSpaceDN w:val="0"/>
        <w:bidi w:val="0"/>
        <w:adjustRightInd w:val="0"/>
        <w:spacing w:line="360" w:lineRule="exact"/>
        <w:ind w:firstLine="480" w:firstLineChars="200"/>
        <w:textAlignment w:val="auto"/>
        <w:rPr>
          <w:rFonts w:ascii="宋体"/>
          <w:b/>
          <w:bCs/>
          <w:sz w:val="24"/>
          <w:szCs w:val="24"/>
        </w:rPr>
      </w:pPr>
      <w:r>
        <w:rPr>
          <w:rFonts w:ascii="宋体" w:hAnsi="宋体" w:cs="宋体"/>
          <w:b/>
          <w:bCs/>
          <w:sz w:val="24"/>
          <w:szCs w:val="24"/>
        </w:rPr>
        <w:t>3</w:t>
      </w:r>
      <w:r>
        <w:rPr>
          <w:rFonts w:hint="eastAsia" w:ascii="宋体" w:hAnsi="宋体" w:cs="宋体"/>
          <w:b/>
          <w:bCs/>
          <w:sz w:val="24"/>
          <w:szCs w:val="24"/>
        </w:rPr>
        <w:t>、投标文件的递交要求</w:t>
      </w:r>
    </w:p>
    <w:p>
      <w:pPr>
        <w:pageBreakBefore w:val="0"/>
        <w:tabs>
          <w:tab w:val="left" w:pos="1418"/>
        </w:tabs>
        <w:kinsoku/>
        <w:wordWrap/>
        <w:overflowPunct/>
        <w:topLinePunct w:val="0"/>
        <w:autoSpaceDE w:val="0"/>
        <w:autoSpaceDN w:val="0"/>
        <w:bidi w:val="0"/>
        <w:adjustRightInd w:val="0"/>
        <w:spacing w:line="36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）投标人应当在</w:t>
      </w:r>
      <w:r>
        <w:rPr>
          <w:rFonts w:hint="eastAsia" w:ascii="宋体" w:hAnsi="宋体" w:cs="宋体"/>
          <w:kern w:val="0"/>
          <w:sz w:val="24"/>
          <w:szCs w:val="24"/>
          <w:lang w:eastAsia="zh-CN"/>
        </w:rPr>
        <w:t>招标文件</w:t>
      </w:r>
      <w:r>
        <w:rPr>
          <w:rFonts w:hint="eastAsia" w:ascii="宋体" w:hAnsi="宋体" w:cs="宋体"/>
          <w:kern w:val="0"/>
          <w:sz w:val="24"/>
          <w:szCs w:val="24"/>
        </w:rPr>
        <w:t>规定的截止时间前完成</w:t>
      </w:r>
      <w:r>
        <w:rPr>
          <w:rFonts w:hint="eastAsia" w:ascii="宋体" w:hAnsi="宋体" w:cs="宋体"/>
          <w:kern w:val="0"/>
          <w:sz w:val="24"/>
          <w:szCs w:val="24"/>
          <w:lang w:eastAsia="zh-CN"/>
        </w:rPr>
        <w:t>“电子加密投标文件”</w:t>
      </w:r>
      <w:r>
        <w:rPr>
          <w:rFonts w:hint="eastAsia" w:ascii="宋体" w:hAnsi="宋体" w:cs="宋体"/>
          <w:kern w:val="0"/>
          <w:sz w:val="24"/>
          <w:szCs w:val="24"/>
        </w:rPr>
        <w:t>及</w:t>
      </w:r>
      <w:r>
        <w:rPr>
          <w:rFonts w:hint="eastAsia" w:ascii="宋体" w:hAnsi="宋体" w:cs="宋体"/>
          <w:kern w:val="0"/>
          <w:sz w:val="24"/>
          <w:szCs w:val="24"/>
          <w:lang w:eastAsia="zh-CN"/>
        </w:rPr>
        <w:t>“备份投标文件”</w:t>
      </w:r>
      <w:r>
        <w:rPr>
          <w:rFonts w:hint="eastAsia" w:ascii="宋体" w:hAnsi="宋体" w:cs="宋体"/>
          <w:kern w:val="0"/>
          <w:sz w:val="24"/>
          <w:szCs w:val="24"/>
        </w:rPr>
        <w:t>的递交，截止时间后递交的投标文件，将被拒收。</w:t>
      </w:r>
    </w:p>
    <w:p>
      <w:pPr>
        <w:pageBreakBefore w:val="0"/>
        <w:tabs>
          <w:tab w:val="left" w:pos="1418"/>
        </w:tabs>
        <w:kinsoku/>
        <w:wordWrap/>
        <w:overflowPunct/>
        <w:topLinePunct w:val="0"/>
        <w:autoSpaceDE w:val="0"/>
        <w:autoSpaceDN w:val="0"/>
        <w:bidi w:val="0"/>
        <w:adjustRightInd w:val="0"/>
        <w:spacing w:line="360" w:lineRule="exact"/>
        <w:ind w:firstLine="480" w:firstLineChars="200"/>
        <w:textAlignment w:val="auto"/>
        <w:rPr>
          <w:rFonts w:asci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2</w:t>
      </w:r>
      <w:r>
        <w:rPr>
          <w:rFonts w:hint="eastAsia" w:ascii="宋体" w:hAnsi="宋体" w:cs="宋体"/>
          <w:kern w:val="0"/>
          <w:sz w:val="24"/>
          <w:szCs w:val="24"/>
        </w:rPr>
        <w:t>）如有特殊情况，采购代理机构延长截止时间和开标时间，采购代理机构和投标人的权利和义务将受到新的截止时间和开标时间的约束。</w:t>
      </w:r>
    </w:p>
    <w:p>
      <w:pPr>
        <w:pageBreakBefore w:val="0"/>
        <w:tabs>
          <w:tab w:val="left" w:pos="1898"/>
        </w:tabs>
        <w:kinsoku/>
        <w:wordWrap/>
        <w:overflowPunct/>
        <w:topLinePunct w:val="0"/>
        <w:autoSpaceDE w:val="0"/>
        <w:autoSpaceDN w:val="0"/>
        <w:bidi w:val="0"/>
        <w:adjustRightInd w:val="0"/>
        <w:spacing w:line="360" w:lineRule="exact"/>
        <w:ind w:firstLine="480" w:firstLineChars="200"/>
        <w:textAlignment w:val="auto"/>
        <w:rPr>
          <w:rFonts w:ascii="宋体"/>
          <w:b/>
          <w:bCs/>
          <w:sz w:val="24"/>
          <w:szCs w:val="24"/>
        </w:rPr>
      </w:pPr>
      <w:r>
        <w:rPr>
          <w:rFonts w:ascii="宋体" w:hAnsi="宋体" w:cs="宋体"/>
          <w:b/>
          <w:bCs/>
          <w:sz w:val="24"/>
          <w:szCs w:val="24"/>
        </w:rPr>
        <w:t>4</w:t>
      </w:r>
      <w:r>
        <w:rPr>
          <w:rFonts w:hint="eastAsia" w:ascii="宋体" w:hAnsi="宋体" w:cs="宋体"/>
          <w:b/>
          <w:bCs/>
          <w:sz w:val="24"/>
          <w:szCs w:val="24"/>
        </w:rPr>
        <w:t>、投标文件的补充、修改和撤回</w:t>
      </w:r>
    </w:p>
    <w:p>
      <w:pPr>
        <w:pageBreakBefore w:val="0"/>
        <w:tabs>
          <w:tab w:val="left" w:pos="1418"/>
        </w:tabs>
        <w:kinsoku/>
        <w:wordWrap/>
        <w:overflowPunct/>
        <w:topLinePunct w:val="0"/>
        <w:autoSpaceDE w:val="0"/>
        <w:autoSpaceDN w:val="0"/>
        <w:bidi w:val="0"/>
        <w:adjustRightInd w:val="0"/>
        <w:spacing w:line="36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1</w:t>
      </w:r>
      <w:r>
        <w:rPr>
          <w:rFonts w:hint="eastAsia" w:ascii="宋体" w:hAnsi="宋体" w:cs="宋体"/>
          <w:kern w:val="0"/>
          <w:sz w:val="24"/>
          <w:szCs w:val="24"/>
          <w:lang w:eastAsia="zh-CN"/>
        </w:rPr>
        <w:t>）投标人在</w:t>
      </w:r>
      <w:r>
        <w:rPr>
          <w:rFonts w:hint="eastAsia" w:ascii="宋体" w:hAnsi="宋体" w:cs="宋体"/>
          <w:kern w:val="0"/>
          <w:sz w:val="24"/>
          <w:szCs w:val="24"/>
        </w:rPr>
        <w:t>投标截止时间前可以补充、修改或撤回投标文件。补充或者修改投标文件的，应当先行撤回原文件，补充、修改后重新递交。投标截止时间前未完成递交的，视为撤回投标文件。</w:t>
      </w:r>
    </w:p>
    <w:p>
      <w:pPr>
        <w:pageBreakBefore w:val="0"/>
        <w:tabs>
          <w:tab w:val="left" w:pos="1418"/>
        </w:tabs>
        <w:kinsoku/>
        <w:wordWrap/>
        <w:overflowPunct/>
        <w:topLinePunct w:val="0"/>
        <w:autoSpaceDE w:val="0"/>
        <w:autoSpaceDN w:val="0"/>
        <w:bidi w:val="0"/>
        <w:adjustRightInd w:val="0"/>
        <w:spacing w:line="36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投标截止时间后，投标人不得修改（补充）或撤回其投标文件。</w:t>
      </w:r>
    </w:p>
    <w:p>
      <w:pPr>
        <w:pageBreakBefore w:val="0"/>
        <w:tabs>
          <w:tab w:val="left" w:pos="1898"/>
        </w:tabs>
        <w:kinsoku/>
        <w:wordWrap/>
        <w:overflowPunct/>
        <w:topLinePunct w:val="0"/>
        <w:autoSpaceDE w:val="0"/>
        <w:autoSpaceDN w:val="0"/>
        <w:bidi w:val="0"/>
        <w:adjustRightInd w:val="0"/>
        <w:spacing w:line="360" w:lineRule="exact"/>
        <w:ind w:firstLine="480" w:firstLineChars="200"/>
        <w:textAlignment w:val="auto"/>
        <w:rPr>
          <w:rFonts w:hint="eastAsia" w:ascii="宋体" w:hAnsi="宋体" w:cs="宋体"/>
          <w:b/>
          <w:bCs/>
          <w:sz w:val="24"/>
          <w:szCs w:val="24"/>
        </w:rPr>
      </w:pPr>
      <w:r>
        <w:rPr>
          <w:rFonts w:hint="eastAsia" w:ascii="宋体" w:hAnsi="宋体" w:cs="宋体"/>
          <w:b/>
          <w:bCs/>
          <w:sz w:val="24"/>
          <w:szCs w:val="24"/>
          <w:lang w:val="en-US" w:eastAsia="zh-CN"/>
        </w:rPr>
        <w:t>5、</w:t>
      </w:r>
      <w:r>
        <w:rPr>
          <w:rFonts w:hint="eastAsia" w:ascii="宋体" w:hAnsi="宋体" w:cs="宋体"/>
          <w:b/>
          <w:bCs/>
          <w:sz w:val="24"/>
          <w:szCs w:val="24"/>
        </w:rPr>
        <w:t>电子加密投标文件的解密及异常情况处理</w:t>
      </w:r>
    </w:p>
    <w:p>
      <w:pPr>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en-US" w:eastAsia="zh-CN"/>
        </w:rPr>
        <w:t>（1）</w:t>
      </w:r>
      <w:r>
        <w:rPr>
          <w:rFonts w:hint="eastAsia" w:ascii="宋体" w:hAnsi="宋体" w:cs="宋体"/>
          <w:kern w:val="0"/>
          <w:sz w:val="24"/>
          <w:szCs w:val="24"/>
          <w:lang w:val="zh-CN"/>
        </w:rPr>
        <w:t>开标后，采购代理机构将向各投标人发出“电子加密投标文件”的解密通知，各供应商代表应当在接到解密通知后</w:t>
      </w:r>
      <w:r>
        <w:rPr>
          <w:rFonts w:hint="eastAsia" w:ascii="宋体" w:hAnsi="宋体" w:cs="宋体"/>
          <w:kern w:val="0"/>
          <w:sz w:val="24"/>
          <w:szCs w:val="24"/>
          <w:lang w:val="en-US" w:eastAsia="zh-CN"/>
        </w:rPr>
        <w:t>30分钟</w:t>
      </w:r>
      <w:r>
        <w:rPr>
          <w:rFonts w:hint="eastAsia" w:ascii="宋体" w:hAnsi="宋体" w:cs="宋体"/>
          <w:kern w:val="0"/>
          <w:sz w:val="24"/>
          <w:szCs w:val="24"/>
          <w:lang w:val="zh-CN"/>
        </w:rPr>
        <w:t>内自行完成“电子加密投标文件”的在线解密。</w:t>
      </w:r>
    </w:p>
    <w:p>
      <w:pPr>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eastAsia="zh-CN"/>
        </w:rPr>
        <w:t>（</w:t>
      </w:r>
      <w:r>
        <w:rPr>
          <w:rFonts w:hint="eastAsia" w:ascii="宋体" w:hAnsi="宋体" w:cs="宋体"/>
          <w:kern w:val="0"/>
          <w:sz w:val="24"/>
          <w:szCs w:val="24"/>
          <w:lang w:val="en-US" w:eastAsia="zh-CN"/>
        </w:rPr>
        <w:t>2</w:t>
      </w:r>
      <w:r>
        <w:rPr>
          <w:rFonts w:hint="eastAsia" w:ascii="宋体" w:hAnsi="宋体" w:cs="宋体"/>
          <w:kern w:val="0"/>
          <w:sz w:val="24"/>
          <w:szCs w:val="24"/>
          <w:lang w:val="zh-CN" w:eastAsia="zh-CN"/>
        </w:rPr>
        <w:t>）</w:t>
      </w:r>
      <w:r>
        <w:rPr>
          <w:rFonts w:hint="eastAsia" w:ascii="宋体" w:hAnsi="宋体" w:cs="宋体"/>
          <w:kern w:val="0"/>
          <w:sz w:val="24"/>
          <w:szCs w:val="24"/>
          <w:lang w:val="zh-CN"/>
        </w:rPr>
        <w:t>因网络或者其他问题造成“电子加密投标文件”在规定时间内无法正常解密的，投标人提供了“备份投标文件”的，将由采购代理机构按“政府采购云平台”操作规范将“备份投标文件”上传至“政府采购云平台”，完成解密。</w:t>
      </w:r>
    </w:p>
    <w:p>
      <w:pPr>
        <w:pageBreakBefore w:val="0"/>
        <w:kinsoku/>
        <w:wordWrap/>
        <w:overflowPunct/>
        <w:topLinePunct w:val="0"/>
        <w:autoSpaceDE w:val="0"/>
        <w:autoSpaceDN w:val="0"/>
        <w:bidi w:val="0"/>
        <w:adjustRightInd w:val="0"/>
        <w:spacing w:line="360" w:lineRule="exact"/>
        <w:ind w:firstLine="480" w:firstLineChars="200"/>
        <w:textAlignment w:val="auto"/>
      </w:pPr>
      <w:r>
        <w:rPr>
          <w:rFonts w:hint="eastAsia" w:ascii="宋体" w:hAnsi="宋体" w:cs="宋体"/>
          <w:kern w:val="0"/>
          <w:sz w:val="24"/>
          <w:szCs w:val="24"/>
          <w:lang w:val="zh-CN" w:eastAsia="zh-CN"/>
        </w:rPr>
        <w:t>（</w:t>
      </w:r>
      <w:r>
        <w:rPr>
          <w:rFonts w:hint="eastAsia" w:ascii="宋体" w:hAnsi="宋体" w:cs="宋体"/>
          <w:kern w:val="0"/>
          <w:sz w:val="24"/>
          <w:szCs w:val="24"/>
          <w:lang w:val="en-US" w:eastAsia="zh-CN"/>
        </w:rPr>
        <w:t>3</w:t>
      </w:r>
      <w:r>
        <w:rPr>
          <w:rFonts w:hint="eastAsia" w:ascii="宋体" w:hAnsi="宋体" w:cs="宋体"/>
          <w:kern w:val="0"/>
          <w:sz w:val="24"/>
          <w:szCs w:val="24"/>
          <w:lang w:val="zh-CN" w:eastAsia="zh-CN"/>
        </w:rPr>
        <w:t>）</w:t>
      </w:r>
      <w:r>
        <w:rPr>
          <w:rFonts w:hint="eastAsia" w:ascii="宋体" w:hAnsi="宋体" w:cs="宋体"/>
          <w:kern w:val="0"/>
          <w:sz w:val="24"/>
          <w:szCs w:val="24"/>
          <w:lang w:val="zh-CN"/>
        </w:rPr>
        <w:t>投标人未在规定时间内完成解密且未提供“备份投标文件”的，默认投标人自动放弃。</w:t>
      </w:r>
    </w:p>
    <w:p>
      <w:pPr>
        <w:pageBreakBefore w:val="0"/>
        <w:tabs>
          <w:tab w:val="left" w:pos="0"/>
        </w:tabs>
        <w:kinsoku/>
        <w:wordWrap/>
        <w:overflowPunct/>
        <w:topLinePunct w:val="0"/>
        <w:autoSpaceDE w:val="0"/>
        <w:autoSpaceDN w:val="0"/>
        <w:bidi w:val="0"/>
        <w:adjustRightInd w:val="0"/>
        <w:spacing w:line="360" w:lineRule="exact"/>
        <w:ind w:firstLine="240" w:firstLineChars="100"/>
        <w:textAlignment w:val="auto"/>
        <w:rPr>
          <w:rFonts w:ascii="宋体" w:cs="宋体"/>
          <w:b/>
          <w:bCs/>
          <w:kern w:val="0"/>
          <w:sz w:val="24"/>
          <w:szCs w:val="24"/>
        </w:rPr>
      </w:pPr>
      <w:r>
        <w:rPr>
          <w:rFonts w:hint="eastAsia" w:ascii="宋体" w:hAnsi="宋体" w:cs="宋体"/>
          <w:b/>
          <w:bCs/>
          <w:kern w:val="0"/>
          <w:sz w:val="24"/>
          <w:szCs w:val="24"/>
        </w:rPr>
        <w:t>（</w:t>
      </w:r>
      <w:r>
        <w:rPr>
          <w:rFonts w:hint="eastAsia" w:ascii="宋体" w:hAnsi="宋体" w:cs="宋体"/>
          <w:b/>
          <w:bCs/>
          <w:kern w:val="0"/>
          <w:sz w:val="24"/>
          <w:szCs w:val="24"/>
          <w:lang w:eastAsia="zh-CN"/>
        </w:rPr>
        <w:t>四</w:t>
      </w:r>
      <w:r>
        <w:rPr>
          <w:rFonts w:hint="eastAsia" w:ascii="宋体" w:hAnsi="宋体" w:cs="宋体"/>
          <w:b/>
          <w:bCs/>
          <w:kern w:val="0"/>
          <w:sz w:val="24"/>
          <w:szCs w:val="24"/>
        </w:rPr>
        <w:t>）投标文件的有效期</w:t>
      </w:r>
    </w:p>
    <w:p>
      <w:pPr>
        <w:pStyle w:val="10"/>
        <w:pageBreakBefore w:val="0"/>
        <w:numPr>
          <w:ilvl w:val="0"/>
          <w:numId w:val="0"/>
        </w:numPr>
        <w:tabs>
          <w:tab w:val="left" w:pos="0"/>
          <w:tab w:val="clear" w:pos="1070"/>
        </w:tabs>
        <w:kinsoku/>
        <w:wordWrap/>
        <w:overflowPunct/>
        <w:topLinePunct w:val="0"/>
        <w:bidi w:val="0"/>
        <w:snapToGrid w:val="0"/>
        <w:spacing w:line="360" w:lineRule="exact"/>
        <w:ind w:firstLine="480" w:firstLineChars="200"/>
        <w:textAlignment w:val="auto"/>
        <w:rPr>
          <w:rFonts w:ascii="仿宋_GB2312" w:hAnsi="仿宋_GB2312" w:eastAsia="仿宋_GB2312"/>
          <w:sz w:val="24"/>
          <w:szCs w:val="24"/>
          <w:lang w:val="en-GB"/>
        </w:rPr>
      </w:pPr>
      <w:r>
        <w:rPr>
          <w:rFonts w:ascii="宋体" w:hAnsi="宋体" w:cs="宋体"/>
          <w:sz w:val="24"/>
          <w:szCs w:val="24"/>
          <w:lang w:val="en-GB"/>
        </w:rPr>
        <w:t>1</w:t>
      </w:r>
      <w:r>
        <w:rPr>
          <w:rFonts w:hint="eastAsia" w:ascii="宋体" w:hAnsi="宋体" w:cs="宋体"/>
          <w:sz w:val="24"/>
          <w:szCs w:val="24"/>
          <w:lang w:val="en-GB"/>
        </w:rPr>
        <w:t>、自投标截止日起</w:t>
      </w:r>
      <w:r>
        <w:rPr>
          <w:rFonts w:ascii="宋体" w:hAnsi="宋体" w:cs="宋体"/>
          <w:sz w:val="24"/>
          <w:szCs w:val="24"/>
          <w:lang w:val="en-GB"/>
        </w:rPr>
        <w:t>90</w:t>
      </w:r>
      <w:r>
        <w:rPr>
          <w:rFonts w:hint="eastAsia" w:ascii="宋体" w:hAnsi="宋体" w:cs="宋体"/>
          <w:sz w:val="24"/>
          <w:szCs w:val="24"/>
          <w:lang w:val="en-GB"/>
        </w:rPr>
        <w:t>天投标文件应保持有效。有效期不足的投标文件将被拒绝。</w:t>
      </w:r>
    </w:p>
    <w:p>
      <w:pPr>
        <w:pStyle w:val="10"/>
        <w:pageBreakBefore w:val="0"/>
        <w:numPr>
          <w:ilvl w:val="0"/>
          <w:numId w:val="0"/>
        </w:numPr>
        <w:tabs>
          <w:tab w:val="left" w:pos="0"/>
          <w:tab w:val="clear" w:pos="1070"/>
        </w:tabs>
        <w:kinsoku/>
        <w:wordWrap/>
        <w:overflowPunct/>
        <w:topLinePunct w:val="0"/>
        <w:bidi w:val="0"/>
        <w:snapToGrid w:val="0"/>
        <w:spacing w:line="360" w:lineRule="exact"/>
        <w:ind w:firstLine="480" w:firstLineChars="200"/>
        <w:textAlignment w:val="auto"/>
        <w:rPr>
          <w:rFonts w:ascii="宋体" w:hAnsi="宋体" w:cs="宋体"/>
          <w:sz w:val="24"/>
          <w:szCs w:val="24"/>
          <w:lang w:val="en-GB"/>
        </w:rPr>
      </w:pPr>
      <w:r>
        <w:rPr>
          <w:rFonts w:ascii="宋体" w:hAnsi="宋体" w:cs="宋体"/>
          <w:sz w:val="24"/>
          <w:szCs w:val="24"/>
          <w:lang w:val="en-GB"/>
        </w:rPr>
        <w:t>2</w:t>
      </w:r>
      <w:r>
        <w:rPr>
          <w:rFonts w:hint="eastAsia" w:ascii="宋体" w:hAnsi="宋体" w:cs="宋体"/>
          <w:sz w:val="24"/>
          <w:szCs w:val="24"/>
          <w:lang w:val="en-GB"/>
        </w:rPr>
        <w:t>、在特殊情况下，采购人可与投标人协商延长投标文件的有效期，这种要求和答复均以书面形式进行。</w:t>
      </w:r>
    </w:p>
    <w:p>
      <w:pPr>
        <w:pageBreakBefore w:val="0"/>
        <w:kinsoku/>
        <w:wordWrap/>
        <w:overflowPunct/>
        <w:topLinePunct w:val="0"/>
        <w:bidi w:val="0"/>
        <w:snapToGrid w:val="0"/>
        <w:spacing w:line="360" w:lineRule="exact"/>
        <w:ind w:firstLine="480" w:firstLineChars="200"/>
        <w:jc w:val="left"/>
        <w:textAlignment w:val="auto"/>
        <w:outlineLvl w:val="0"/>
        <w:rPr>
          <w:rFonts w:ascii="宋体" w:cs="宋体"/>
          <w:b/>
          <w:bCs/>
          <w:sz w:val="24"/>
          <w:szCs w:val="24"/>
        </w:rPr>
      </w:pPr>
      <w:bookmarkStart w:id="27" w:name="_Toc17741"/>
      <w:r>
        <w:rPr>
          <w:rFonts w:ascii="宋体" w:hAnsi="宋体" w:cs="宋体"/>
          <w:sz w:val="24"/>
          <w:szCs w:val="24"/>
        </w:rPr>
        <w:t>3</w:t>
      </w:r>
      <w:r>
        <w:rPr>
          <w:rFonts w:hint="eastAsia" w:ascii="宋体" w:hAnsi="宋体" w:cs="宋体"/>
          <w:sz w:val="24"/>
          <w:szCs w:val="24"/>
        </w:rPr>
        <w:t>、中标人的投标文件自开标之日起至合同履行完毕均应保持有效。</w:t>
      </w:r>
      <w:bookmarkEnd w:id="27"/>
    </w:p>
    <w:p>
      <w:pPr>
        <w:pageBreakBefore w:val="0"/>
        <w:kinsoku/>
        <w:wordWrap/>
        <w:overflowPunct/>
        <w:topLinePunct w:val="0"/>
        <w:bidi w:val="0"/>
        <w:snapToGrid w:val="0"/>
        <w:spacing w:line="360" w:lineRule="exact"/>
        <w:jc w:val="center"/>
        <w:textAlignment w:val="auto"/>
        <w:rPr>
          <w:rFonts w:ascii="宋体" w:cs="宋体"/>
          <w:b/>
          <w:bCs/>
          <w:sz w:val="28"/>
          <w:szCs w:val="28"/>
        </w:rPr>
      </w:pPr>
    </w:p>
    <w:p>
      <w:pPr>
        <w:pageBreakBefore w:val="0"/>
        <w:kinsoku/>
        <w:wordWrap/>
        <w:overflowPunct/>
        <w:topLinePunct w:val="0"/>
        <w:bidi w:val="0"/>
        <w:snapToGrid w:val="0"/>
        <w:spacing w:line="360" w:lineRule="exact"/>
        <w:jc w:val="center"/>
        <w:textAlignment w:val="auto"/>
        <w:rPr>
          <w:rFonts w:ascii="宋体" w:cs="宋体"/>
          <w:b/>
          <w:bCs/>
          <w:sz w:val="28"/>
          <w:szCs w:val="28"/>
        </w:rPr>
      </w:pPr>
      <w:r>
        <w:rPr>
          <w:rFonts w:hint="eastAsia" w:ascii="宋体" w:hAnsi="宋体" w:cs="宋体"/>
          <w:b/>
          <w:bCs/>
          <w:sz w:val="28"/>
          <w:szCs w:val="28"/>
        </w:rPr>
        <w:t>四、开标</w:t>
      </w:r>
    </w:p>
    <w:p>
      <w:pPr>
        <w:numPr>
          <w:ilvl w:val="0"/>
          <w:numId w:val="3"/>
        </w:numPr>
        <w:autoSpaceDE w:val="0"/>
        <w:autoSpaceDN w:val="0"/>
        <w:adjustRightInd w:val="0"/>
        <w:spacing w:line="440" w:lineRule="exact"/>
        <w:ind w:firstLine="480" w:firstLineChars="200"/>
        <w:rPr>
          <w:rFonts w:ascii="宋体" w:hAnsi="宋体" w:cs="宋体"/>
          <w:b/>
          <w:bCs/>
          <w:sz w:val="24"/>
          <w:szCs w:val="24"/>
        </w:rPr>
      </w:pPr>
      <w:r>
        <w:rPr>
          <w:rFonts w:hint="eastAsia" w:ascii="宋体" w:hAnsi="宋体" w:cs="宋体"/>
          <w:b/>
          <w:bCs/>
          <w:sz w:val="24"/>
          <w:szCs w:val="24"/>
        </w:rPr>
        <w:t>开标程序</w:t>
      </w:r>
    </w:p>
    <w:p>
      <w:pPr>
        <w:spacing w:line="360" w:lineRule="auto"/>
        <w:ind w:firstLine="422" w:firstLineChars="176"/>
        <w:rPr>
          <w:rFonts w:ascii="宋体" w:hAnsi="宋体" w:cs="Arial"/>
          <w:kern w:val="0"/>
          <w:sz w:val="24"/>
        </w:rPr>
      </w:pPr>
      <w:r>
        <w:rPr>
          <w:rFonts w:hint="eastAsia" w:ascii="宋体" w:hAnsi="宋体" w:cs="宋体"/>
          <w:sz w:val="24"/>
          <w:szCs w:val="24"/>
        </w:rPr>
        <w:t>1、</w:t>
      </w:r>
      <w:r>
        <w:rPr>
          <w:rFonts w:hint="eastAsia" w:ascii="宋体" w:hAnsi="宋体"/>
          <w:b/>
          <w:sz w:val="24"/>
        </w:rPr>
        <w:t>采购组织机构将按照招标文件规定的时间通过“政府采购云平台”组织开标、开启投标文件，所有供应商均应当准时在线参加。</w:t>
      </w:r>
      <w:r>
        <w:rPr>
          <w:rFonts w:hint="eastAsia" w:ascii="宋体" w:hAnsi="宋体" w:cs="Arial"/>
          <w:b/>
          <w:kern w:val="0"/>
          <w:sz w:val="24"/>
        </w:rPr>
        <w:t>投标供应商</w:t>
      </w:r>
      <w:r>
        <w:rPr>
          <w:rFonts w:ascii="宋体" w:hAnsi="宋体" w:cs="Arial"/>
          <w:b/>
          <w:kern w:val="0"/>
          <w:sz w:val="24"/>
        </w:rPr>
        <w:t>如不</w:t>
      </w:r>
      <w:r>
        <w:rPr>
          <w:rFonts w:hint="eastAsia" w:ascii="宋体" w:hAnsi="宋体" w:cs="Arial"/>
          <w:b/>
          <w:kern w:val="0"/>
          <w:sz w:val="24"/>
        </w:rPr>
        <w:t>参加在线</w:t>
      </w:r>
      <w:r>
        <w:rPr>
          <w:rFonts w:ascii="宋体" w:hAnsi="宋体" w:cs="Arial"/>
          <w:b/>
          <w:kern w:val="0"/>
          <w:sz w:val="24"/>
        </w:rPr>
        <w:t>开标大会的，</w:t>
      </w:r>
      <w:r>
        <w:rPr>
          <w:rFonts w:hint="eastAsia" w:ascii="宋体" w:hAnsi="宋体" w:cs="Arial"/>
          <w:b/>
          <w:kern w:val="0"/>
          <w:sz w:val="24"/>
        </w:rPr>
        <w:t>视同认可开标结果，</w:t>
      </w:r>
      <w:r>
        <w:rPr>
          <w:rFonts w:ascii="宋体" w:hAnsi="宋体" w:cs="Arial"/>
          <w:b/>
          <w:kern w:val="0"/>
          <w:sz w:val="24"/>
        </w:rPr>
        <w:t>事后不得对采购相关人员、开标过程和开标结果提出异议</w:t>
      </w:r>
      <w:r>
        <w:rPr>
          <w:rFonts w:hint="eastAsia" w:ascii="宋体" w:hAnsi="宋体" w:cs="Arial"/>
          <w:b/>
          <w:kern w:val="0"/>
          <w:sz w:val="24"/>
        </w:rPr>
        <w:t>，同时投标供应商因未在线参加开标而导致投标文件无法按时解密等一切后果由供应商自行承担。</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2、向各投标人发出“电子加密投标文件”【开始解密】通知，由供应商在招标文件规定的时间内自行进行投标文件解密。供应商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3、投标文件解密结束，供应商通过邮件形式将经授权代表签署的《政府采购活动现场确认声明书》（</w:t>
      </w:r>
      <w:r>
        <w:rPr>
          <w:rFonts w:hint="eastAsia" w:ascii="宋体" w:hAnsi="宋体" w:cs="宋体"/>
          <w:b/>
          <w:bCs/>
          <w:sz w:val="24"/>
          <w:szCs w:val="24"/>
        </w:rPr>
        <w:t>格式见招标文件最后一页内容</w:t>
      </w:r>
      <w:r>
        <w:rPr>
          <w:rFonts w:hint="eastAsia" w:ascii="宋体" w:hAnsi="宋体" w:cs="宋体"/>
          <w:sz w:val="24"/>
          <w:szCs w:val="24"/>
        </w:rPr>
        <w:t>）的</w:t>
      </w:r>
      <w:r>
        <w:rPr>
          <w:rFonts w:hint="eastAsia" w:ascii="宋体" w:hAnsi="宋体" w:cs="宋体"/>
          <w:sz w:val="24"/>
          <w:szCs w:val="24"/>
          <w:lang w:eastAsia="zh-CN"/>
        </w:rPr>
        <w:t>扫描件（或复印件）</w:t>
      </w:r>
      <w:r>
        <w:rPr>
          <w:rFonts w:hint="eastAsia" w:ascii="宋体" w:hAnsi="宋体" w:cs="宋体"/>
          <w:sz w:val="24"/>
          <w:szCs w:val="24"/>
        </w:rPr>
        <w:t>或（图片）发至代理机构经办人邮箱（邮箱地址：</w:t>
      </w:r>
      <w:r>
        <w:rPr>
          <w:rFonts w:hint="eastAsia" w:ascii="宋体" w:hAnsi="宋体" w:cs="宋体"/>
          <w:sz w:val="24"/>
          <w:szCs w:val="24"/>
          <w:lang w:eastAsia="zh-CN"/>
        </w:rPr>
        <w:t>1187271673@qq.com</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4、由采购人或者采购代理机构评审资格证明文件，若资格审查不符合招标文件要求，通过“政府采购云平台”线上告知其原因并由投标人签章确认</w:t>
      </w:r>
      <w:r>
        <w:rPr>
          <w:rFonts w:hint="eastAsia" w:ascii="宋体" w:hAnsi="宋体" w:cs="宋体"/>
          <w:color w:val="000000" w:themeColor="text1"/>
          <w:sz w:val="24"/>
          <w:szCs w:val="24"/>
          <w14:textFill>
            <w14:solidFill>
              <w14:schemeClr w14:val="tx1"/>
            </w14:solidFill>
          </w14:textFill>
        </w:rPr>
        <w:t>（不予确认的应说明理由，否则视为无异议）</w:t>
      </w:r>
      <w:r>
        <w:rPr>
          <w:rFonts w:hint="eastAsia" w:ascii="宋体" w:hAnsi="宋体" w:cs="宋体"/>
          <w:sz w:val="24"/>
          <w:szCs w:val="24"/>
        </w:rPr>
        <w:t>。资格审查未获通过的投标人，其商务技术文件及报价文件不进入评审。</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5、评标委员会对商务技术文件进行评审，评审内容包括符合性审查，技术、商务评估及比较等。符合性及商务商务技术审查不通过的，通过“政府采购云平台”线上告知其原因并由投标人签章确认</w:t>
      </w:r>
      <w:r>
        <w:rPr>
          <w:rFonts w:hint="eastAsia" w:ascii="宋体" w:hAnsi="宋体" w:cs="宋体"/>
          <w:color w:val="000000" w:themeColor="text1"/>
          <w:sz w:val="24"/>
          <w:szCs w:val="24"/>
          <w14:textFill>
            <w14:solidFill>
              <w14:schemeClr w14:val="tx1"/>
            </w14:solidFill>
          </w14:textFill>
        </w:rPr>
        <w:t>（不予确认的应说明理由，否则视为无异议），</w:t>
      </w:r>
      <w:r>
        <w:rPr>
          <w:rFonts w:hint="eastAsia" w:ascii="宋体" w:hAnsi="宋体" w:cs="宋体"/>
          <w:sz w:val="24"/>
          <w:szCs w:val="24"/>
        </w:rPr>
        <w:t>其报价文件不再进入评审。</w:t>
      </w:r>
    </w:p>
    <w:p>
      <w:pPr>
        <w:spacing w:line="360" w:lineRule="auto"/>
        <w:ind w:firstLine="424" w:firstLineChars="177"/>
        <w:jc w:val="left"/>
        <w:rPr>
          <w:rFonts w:ascii="宋体" w:hAnsi="宋体" w:cs="Arial"/>
          <w:kern w:val="0"/>
          <w:sz w:val="24"/>
        </w:rPr>
      </w:pPr>
      <w:r>
        <w:rPr>
          <w:rFonts w:hint="eastAsia" w:ascii="宋体" w:hAnsi="宋体" w:cs="宋体"/>
          <w:sz w:val="24"/>
          <w:szCs w:val="24"/>
        </w:rPr>
        <w:t>6、</w:t>
      </w:r>
      <w:r>
        <w:rPr>
          <w:rFonts w:hint="eastAsia" w:ascii="宋体" w:hAnsi="宋体" w:cs="Arial"/>
          <w:kern w:val="0"/>
          <w:sz w:val="24"/>
        </w:rPr>
        <w:t>开启符合性审查、商务技术评审有效投标供应商的《报价文件》，通过“政府采购云平台”公布开标一览表有关内容，同时当场制作开标记录表，</w:t>
      </w:r>
      <w:r>
        <w:rPr>
          <w:rFonts w:hint="eastAsia" w:ascii="宋体" w:hAnsi="宋体" w:cs="Arial"/>
          <w:kern w:val="0"/>
          <w:sz w:val="24"/>
          <w:u w:val="single"/>
        </w:rPr>
        <w:t>供应商通过“政府采购云平台”</w:t>
      </w:r>
      <w:r>
        <w:rPr>
          <w:rFonts w:ascii="宋体" w:hAnsi="宋体" w:cs="Arial"/>
          <w:kern w:val="0"/>
          <w:sz w:val="24"/>
          <w:u w:val="single"/>
        </w:rPr>
        <w:t>签</w:t>
      </w:r>
      <w:r>
        <w:rPr>
          <w:rFonts w:hint="eastAsia" w:ascii="宋体" w:hAnsi="宋体" w:cs="Arial"/>
          <w:kern w:val="0"/>
          <w:sz w:val="24"/>
          <w:u w:val="single"/>
        </w:rPr>
        <w:t>章</w:t>
      </w:r>
      <w:r>
        <w:rPr>
          <w:rFonts w:ascii="宋体" w:hAnsi="宋体" w:cs="Arial"/>
          <w:kern w:val="0"/>
          <w:sz w:val="24"/>
          <w:u w:val="single"/>
        </w:rPr>
        <w:t>确认</w:t>
      </w:r>
      <w:r>
        <w:rPr>
          <w:rFonts w:ascii="宋体" w:hAnsi="宋体" w:cs="Arial"/>
          <w:kern w:val="0"/>
          <w:sz w:val="24"/>
        </w:rPr>
        <w:t>（不予确认的应说明理由，否则视为无异议）。</w:t>
      </w:r>
      <w:r>
        <w:rPr>
          <w:rFonts w:hint="eastAsia" w:ascii="宋体" w:hAnsi="宋体" w:cs="Arial"/>
          <w:kern w:val="0"/>
          <w:sz w:val="24"/>
        </w:rPr>
        <w:t>报价文件开启</w:t>
      </w:r>
      <w:r>
        <w:rPr>
          <w:rFonts w:ascii="宋体" w:hAnsi="宋体" w:cs="Arial"/>
          <w:kern w:val="0"/>
          <w:sz w:val="24"/>
        </w:rPr>
        <w:t>后，由评标委员会对报价的合理性、准确性等进行审查核实</w:t>
      </w:r>
      <w:r>
        <w:rPr>
          <w:rFonts w:hint="eastAsia" w:ascii="宋体" w:hAnsi="宋体" w:cs="Arial"/>
          <w:kern w:val="0"/>
          <w:sz w:val="24"/>
        </w:rPr>
        <w:t>。</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7、评审结束后，由评标委员会编写并签署评审报告，评审报告应当根据评标办法及评分标准推荐中标候选人；</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8、采购代理机构将通过“政府采购云平台”线上公布中标（成交）候选供应商名单并出具开标记录，由主持人、记录人、现场监督员当场签字确认；</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9、开标会议结束。</w:t>
      </w:r>
    </w:p>
    <w:p>
      <w:pPr>
        <w:snapToGrid w:val="0"/>
        <w:spacing w:line="440" w:lineRule="exact"/>
        <w:ind w:firstLine="480" w:firstLineChars="200"/>
        <w:rPr>
          <w:rFonts w:ascii="宋体" w:hAnsi="宋体" w:cs="宋体"/>
          <w:b/>
          <w:bCs/>
          <w:color w:val="FF0000"/>
          <w:sz w:val="24"/>
          <w:szCs w:val="24"/>
        </w:rPr>
      </w:pPr>
      <w:r>
        <w:rPr>
          <w:rFonts w:hint="eastAsia" w:ascii="宋体" w:hAnsi="宋体" w:cs="宋体"/>
          <w:b/>
          <w:bCs/>
          <w:color w:val="FF0000"/>
          <w:sz w:val="24"/>
          <w:szCs w:val="24"/>
        </w:rPr>
        <w:t>特别说明：政府采购云平台如对电子化开标及评审程序有调整的，按调整后的程序操作。</w:t>
      </w:r>
    </w:p>
    <w:p>
      <w:pPr>
        <w:pStyle w:val="17"/>
        <w:pageBreakBefore w:val="0"/>
        <w:kinsoku/>
        <w:wordWrap/>
        <w:overflowPunct/>
        <w:topLinePunct w:val="0"/>
        <w:bidi w:val="0"/>
        <w:snapToGrid w:val="0"/>
        <w:spacing w:line="360" w:lineRule="exact"/>
        <w:jc w:val="center"/>
        <w:textAlignment w:val="auto"/>
        <w:outlineLvl w:val="1"/>
        <w:rPr>
          <w:rFonts w:hAnsi="宋体" w:cs="Times New Roman"/>
          <w:b/>
          <w:bCs/>
          <w:sz w:val="28"/>
          <w:szCs w:val="28"/>
        </w:rPr>
      </w:pPr>
      <w:r>
        <w:rPr>
          <w:rFonts w:hint="eastAsia" w:hAnsi="宋体"/>
          <w:b/>
          <w:bCs/>
          <w:sz w:val="28"/>
          <w:szCs w:val="28"/>
        </w:rPr>
        <w:t>五、评标</w:t>
      </w:r>
    </w:p>
    <w:p>
      <w:pPr>
        <w:pStyle w:val="5"/>
        <w:pageBreakBefore w:val="0"/>
        <w:numPr>
          <w:ilvl w:val="2"/>
          <w:numId w:val="0"/>
        </w:numPr>
        <w:kinsoku/>
        <w:wordWrap/>
        <w:overflowPunct/>
        <w:topLinePunct w:val="0"/>
        <w:bidi w:val="0"/>
        <w:spacing w:before="0" w:after="0" w:line="360" w:lineRule="exact"/>
        <w:ind w:left="728" w:leftChars="185" w:hanging="340" w:hangingChars="142"/>
        <w:jc w:val="both"/>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olor w:val="auto"/>
          <w:sz w:val="24"/>
          <w:szCs w:val="24"/>
          <w:highlight w:val="none"/>
        </w:rPr>
        <w:t>评审工作的组织</w:t>
      </w:r>
    </w:p>
    <w:p>
      <w:pPr>
        <w:pageBreakBefore w:val="0"/>
        <w:kinsoku/>
        <w:wordWrap/>
        <w:overflowPunct/>
        <w:topLinePunct w:val="0"/>
        <w:bidi w:val="0"/>
        <w:spacing w:line="360" w:lineRule="exact"/>
        <w:ind w:firstLine="422" w:firstLineChars="176"/>
        <w:textAlignment w:val="auto"/>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1、</w:t>
      </w:r>
      <w:r>
        <w:rPr>
          <w:rFonts w:hint="eastAsia" w:ascii="宋体" w:hAnsi="宋体" w:cs="Arial"/>
          <w:color w:val="auto"/>
          <w:kern w:val="0"/>
          <w:sz w:val="24"/>
          <w:highlight w:val="none"/>
        </w:rPr>
        <w:t>采购人或采购代理机构负责组织本项目的评审工作，并依据《政府采购货物和服务招标投标管理办法（财政部第87号令）》第四十五条的相关规定履行职责。</w:t>
      </w:r>
    </w:p>
    <w:p>
      <w:pPr>
        <w:pStyle w:val="5"/>
        <w:pageBreakBefore w:val="0"/>
        <w:numPr>
          <w:ilvl w:val="2"/>
          <w:numId w:val="0"/>
        </w:numPr>
        <w:kinsoku/>
        <w:wordWrap/>
        <w:overflowPunct/>
        <w:topLinePunct w:val="0"/>
        <w:bidi w:val="0"/>
        <w:spacing w:before="0" w:after="0" w:line="360" w:lineRule="exact"/>
        <w:ind w:left="728" w:leftChars="185" w:hanging="340" w:hangingChars="142"/>
        <w:jc w:val="both"/>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olor w:val="auto"/>
          <w:sz w:val="24"/>
          <w:szCs w:val="24"/>
          <w:highlight w:val="none"/>
        </w:rPr>
        <w:t>评标委员会的组建</w:t>
      </w:r>
    </w:p>
    <w:p>
      <w:pPr>
        <w:pageBreakBefore w:val="0"/>
        <w:kinsoku/>
        <w:wordWrap/>
        <w:overflowPunct/>
        <w:topLinePunct w:val="0"/>
        <w:bidi w:val="0"/>
        <w:spacing w:line="360" w:lineRule="exact"/>
        <w:ind w:firstLine="422" w:firstLineChars="176"/>
        <w:textAlignment w:val="auto"/>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1、</w:t>
      </w:r>
      <w:r>
        <w:rPr>
          <w:rFonts w:hint="eastAsia" w:ascii="宋体" w:hAnsi="宋体" w:cs="Arial"/>
          <w:color w:val="auto"/>
          <w:kern w:val="0"/>
          <w:sz w:val="24"/>
          <w:highlight w:val="none"/>
        </w:rPr>
        <w:t>评标委员会由采购人或采购代理机构依法组建，成员包括采购人代表和评审专家，成员人数</w:t>
      </w:r>
      <w:r>
        <w:rPr>
          <w:rFonts w:ascii="宋体" w:hAnsi="宋体" w:cs="Arial"/>
          <w:color w:val="auto"/>
          <w:kern w:val="0"/>
          <w:sz w:val="24"/>
          <w:highlight w:val="none"/>
        </w:rPr>
        <w:t>为</w:t>
      </w:r>
      <w:r>
        <w:rPr>
          <w:rFonts w:hint="eastAsia" w:ascii="宋体" w:hAnsi="宋体" w:cs="Arial"/>
          <w:color w:val="auto"/>
          <w:kern w:val="0"/>
          <w:sz w:val="24"/>
          <w:highlight w:val="none"/>
        </w:rPr>
        <w:t>五</w:t>
      </w:r>
      <w:r>
        <w:rPr>
          <w:rFonts w:ascii="宋体" w:hAnsi="宋体" w:cs="Arial"/>
          <w:color w:val="auto"/>
          <w:kern w:val="0"/>
          <w:sz w:val="24"/>
          <w:highlight w:val="none"/>
        </w:rPr>
        <w:t>人</w:t>
      </w:r>
      <w:r>
        <w:rPr>
          <w:rFonts w:hint="eastAsia" w:ascii="宋体" w:hAnsi="宋体" w:cs="Arial"/>
          <w:color w:val="auto"/>
          <w:kern w:val="0"/>
          <w:sz w:val="24"/>
          <w:highlight w:val="none"/>
        </w:rPr>
        <w:t>或以上单数，其中评审专家不少于成员总数的三分之二。</w:t>
      </w:r>
    </w:p>
    <w:p>
      <w:pPr>
        <w:pageBreakBefore w:val="0"/>
        <w:kinsoku/>
        <w:wordWrap/>
        <w:overflowPunct/>
        <w:topLinePunct w:val="0"/>
        <w:bidi w:val="0"/>
        <w:spacing w:line="360" w:lineRule="exact"/>
        <w:ind w:firstLine="422" w:firstLineChars="176"/>
        <w:textAlignment w:val="auto"/>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2、</w:t>
      </w:r>
      <w:r>
        <w:rPr>
          <w:rFonts w:hint="eastAsia" w:ascii="宋体" w:hAnsi="宋体" w:cs="Arial"/>
          <w:color w:val="auto"/>
          <w:kern w:val="0"/>
          <w:sz w:val="24"/>
          <w:highlight w:val="none"/>
        </w:rPr>
        <w:t>评标委员会成员名单在评审结果（采购结果）公告前保密。</w:t>
      </w:r>
    </w:p>
    <w:p>
      <w:pPr>
        <w:pStyle w:val="5"/>
        <w:pageBreakBefore w:val="0"/>
        <w:numPr>
          <w:ilvl w:val="2"/>
          <w:numId w:val="0"/>
        </w:numPr>
        <w:kinsoku/>
        <w:wordWrap/>
        <w:overflowPunct/>
        <w:topLinePunct w:val="0"/>
        <w:bidi w:val="0"/>
        <w:spacing w:before="0" w:after="0" w:line="360" w:lineRule="exact"/>
        <w:ind w:left="728" w:leftChars="185" w:hanging="340" w:hangingChars="142"/>
        <w:jc w:val="both"/>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olor w:val="auto"/>
          <w:sz w:val="24"/>
          <w:szCs w:val="24"/>
          <w:highlight w:val="none"/>
        </w:rPr>
        <w:t>评标委员会的职责</w:t>
      </w:r>
    </w:p>
    <w:p>
      <w:pPr>
        <w:pageBreakBefore w:val="0"/>
        <w:kinsoku/>
        <w:wordWrap/>
        <w:overflowPunct/>
        <w:topLinePunct w:val="0"/>
        <w:bidi w:val="0"/>
        <w:spacing w:line="360" w:lineRule="exact"/>
        <w:ind w:firstLine="422" w:firstLineChars="176"/>
        <w:textAlignment w:val="auto"/>
        <w:rPr>
          <w:rFonts w:hint="eastAsia" w:ascii="宋体" w:hAnsi="宋体" w:cs="Arial"/>
          <w:b/>
          <w:color w:val="auto"/>
          <w:kern w:val="0"/>
          <w:sz w:val="24"/>
          <w:highlight w:val="none"/>
        </w:rPr>
      </w:pPr>
      <w:r>
        <w:rPr>
          <w:rFonts w:hint="eastAsia" w:ascii="宋体" w:hAnsi="宋体" w:cs="Arial"/>
          <w:b/>
          <w:color w:val="auto"/>
          <w:kern w:val="0"/>
          <w:sz w:val="24"/>
          <w:highlight w:val="none"/>
          <w:lang w:val="en-US" w:eastAsia="zh-CN"/>
        </w:rPr>
        <w:t>1、</w:t>
      </w:r>
      <w:r>
        <w:rPr>
          <w:rFonts w:hint="eastAsia" w:ascii="宋体" w:hAnsi="宋体" w:cs="Arial"/>
          <w:b/>
          <w:color w:val="auto"/>
          <w:kern w:val="0"/>
          <w:sz w:val="24"/>
          <w:highlight w:val="none"/>
        </w:rPr>
        <w:t>评标委员会负责具体评审事务，并独立履行下列职责：</w:t>
      </w:r>
    </w:p>
    <w:p>
      <w:pPr>
        <w:pageBreakBefore w:val="0"/>
        <w:kinsoku/>
        <w:wordWrap/>
        <w:overflowPunct/>
        <w:topLinePunct w:val="0"/>
        <w:bidi w:val="0"/>
        <w:spacing w:line="360" w:lineRule="exact"/>
        <w:ind w:firstLine="422" w:firstLineChars="176"/>
        <w:textAlignment w:val="auto"/>
        <w:rPr>
          <w:rFonts w:hint="eastAsia" w:ascii="宋体" w:hAnsi="宋体" w:cs="Arial"/>
          <w:color w:val="auto"/>
          <w:kern w:val="0"/>
          <w:sz w:val="24"/>
          <w:highlight w:val="none"/>
        </w:rPr>
      </w:pPr>
      <w:r>
        <w:rPr>
          <w:rFonts w:hint="eastAsia" w:ascii="宋体" w:hAnsi="宋体" w:cs="Arial"/>
          <w:color w:val="auto"/>
          <w:kern w:val="0"/>
          <w:sz w:val="24"/>
          <w:highlight w:val="none"/>
        </w:rPr>
        <w:t>（1）审查、评价投标文件是否符合招标文件的商务、技术等实质性要求；</w:t>
      </w:r>
    </w:p>
    <w:p>
      <w:pPr>
        <w:pageBreakBefore w:val="0"/>
        <w:kinsoku/>
        <w:wordWrap/>
        <w:overflowPunct/>
        <w:topLinePunct w:val="0"/>
        <w:bidi w:val="0"/>
        <w:spacing w:line="360" w:lineRule="exact"/>
        <w:ind w:firstLine="422" w:firstLineChars="176"/>
        <w:textAlignment w:val="auto"/>
        <w:rPr>
          <w:rFonts w:hint="eastAsia" w:ascii="宋体" w:hAnsi="宋体" w:cs="Arial"/>
          <w:color w:val="auto"/>
          <w:kern w:val="0"/>
          <w:sz w:val="24"/>
          <w:highlight w:val="none"/>
        </w:rPr>
      </w:pPr>
      <w:r>
        <w:rPr>
          <w:rFonts w:hint="eastAsia" w:ascii="宋体" w:hAnsi="宋体" w:cs="Arial"/>
          <w:color w:val="auto"/>
          <w:kern w:val="0"/>
          <w:sz w:val="24"/>
          <w:highlight w:val="none"/>
        </w:rPr>
        <w:t>（2）要求投标人对投标文件有关事项作出澄清或者说明；</w:t>
      </w:r>
    </w:p>
    <w:p>
      <w:pPr>
        <w:pageBreakBefore w:val="0"/>
        <w:kinsoku/>
        <w:wordWrap/>
        <w:overflowPunct/>
        <w:topLinePunct w:val="0"/>
        <w:bidi w:val="0"/>
        <w:spacing w:line="360" w:lineRule="exact"/>
        <w:ind w:firstLine="422" w:firstLineChars="176"/>
        <w:textAlignment w:val="auto"/>
        <w:rPr>
          <w:rFonts w:hint="eastAsia" w:ascii="宋体" w:hAnsi="宋体" w:cs="Arial"/>
          <w:color w:val="auto"/>
          <w:kern w:val="0"/>
          <w:sz w:val="24"/>
          <w:highlight w:val="none"/>
        </w:rPr>
      </w:pPr>
      <w:r>
        <w:rPr>
          <w:rFonts w:hint="eastAsia" w:ascii="宋体" w:hAnsi="宋体" w:cs="Arial"/>
          <w:color w:val="auto"/>
          <w:kern w:val="0"/>
          <w:sz w:val="24"/>
          <w:highlight w:val="none"/>
        </w:rPr>
        <w:t>（3）对投标文件进行比较和评价；</w:t>
      </w:r>
    </w:p>
    <w:p>
      <w:pPr>
        <w:pageBreakBefore w:val="0"/>
        <w:kinsoku/>
        <w:wordWrap/>
        <w:overflowPunct/>
        <w:topLinePunct w:val="0"/>
        <w:bidi w:val="0"/>
        <w:spacing w:line="360" w:lineRule="exact"/>
        <w:ind w:firstLine="422" w:firstLineChars="176"/>
        <w:textAlignment w:val="auto"/>
        <w:rPr>
          <w:rFonts w:hint="eastAsia" w:ascii="宋体" w:hAnsi="宋体" w:eastAsia="宋体" w:cs="Arial"/>
          <w:color w:val="auto"/>
          <w:kern w:val="0"/>
          <w:sz w:val="24"/>
          <w:highlight w:val="none"/>
          <w:lang w:eastAsia="zh-CN"/>
        </w:rPr>
      </w:pPr>
      <w:r>
        <w:rPr>
          <w:rFonts w:hint="eastAsia" w:ascii="宋体" w:hAnsi="宋体" w:cs="Arial"/>
          <w:color w:val="auto"/>
          <w:kern w:val="0"/>
          <w:sz w:val="24"/>
          <w:highlight w:val="none"/>
        </w:rPr>
        <w:t>（4）确定中标候选人名单，以及根据采购人委托直接确定中标人</w:t>
      </w:r>
      <w:r>
        <w:rPr>
          <w:rFonts w:hint="eastAsia" w:ascii="宋体" w:hAnsi="宋体" w:cs="Arial"/>
          <w:color w:val="auto"/>
          <w:kern w:val="0"/>
          <w:sz w:val="24"/>
          <w:highlight w:val="none"/>
          <w:lang w:eastAsia="zh-CN"/>
        </w:rPr>
        <w:t>。</w:t>
      </w:r>
    </w:p>
    <w:p>
      <w:pPr>
        <w:pStyle w:val="5"/>
        <w:pageBreakBefore w:val="0"/>
        <w:numPr>
          <w:ilvl w:val="2"/>
          <w:numId w:val="0"/>
        </w:numPr>
        <w:kinsoku/>
        <w:wordWrap/>
        <w:overflowPunct/>
        <w:topLinePunct w:val="0"/>
        <w:bidi w:val="0"/>
        <w:spacing w:before="0" w:after="0" w:line="360" w:lineRule="exact"/>
        <w:ind w:left="728" w:leftChars="185" w:hanging="340" w:hangingChars="142"/>
        <w:jc w:val="both"/>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olor w:val="auto"/>
          <w:sz w:val="24"/>
          <w:szCs w:val="24"/>
          <w:highlight w:val="none"/>
        </w:rPr>
        <w:t>评审原则</w:t>
      </w:r>
    </w:p>
    <w:p>
      <w:pPr>
        <w:pageBreakBefore w:val="0"/>
        <w:kinsoku/>
        <w:wordWrap/>
        <w:overflowPunct/>
        <w:topLinePunct w:val="0"/>
        <w:bidi w:val="0"/>
        <w:spacing w:line="360" w:lineRule="exact"/>
        <w:ind w:firstLine="424" w:firstLineChars="177"/>
        <w:textAlignment w:val="auto"/>
        <w:rPr>
          <w:rFonts w:hint="eastAsia" w:ascii="宋体" w:hAnsi="宋体" w:cs="Arial"/>
          <w:color w:val="auto"/>
          <w:sz w:val="24"/>
          <w:highlight w:val="none"/>
        </w:rPr>
      </w:pPr>
      <w:r>
        <w:rPr>
          <w:rFonts w:hint="eastAsia" w:ascii="宋体" w:hAnsi="宋体" w:cs="Arial"/>
          <w:color w:val="auto"/>
          <w:sz w:val="24"/>
          <w:highlight w:val="none"/>
          <w:lang w:val="en-US" w:eastAsia="zh-CN"/>
        </w:rPr>
        <w:t>1、</w:t>
      </w:r>
      <w:r>
        <w:rPr>
          <w:rFonts w:hint="eastAsia" w:ascii="宋体" w:hAnsi="宋体" w:cs="Arial"/>
          <w:color w:val="auto"/>
          <w:sz w:val="24"/>
          <w:highlight w:val="none"/>
        </w:rPr>
        <w:t>评审原则：</w:t>
      </w:r>
      <w:r>
        <w:rPr>
          <w:rFonts w:hint="eastAsia" w:ascii="宋体" w:hAnsi="宋体" w:cs="Arial"/>
          <w:color w:val="auto"/>
          <w:kern w:val="0"/>
          <w:sz w:val="24"/>
          <w:highlight w:val="none"/>
        </w:rPr>
        <w:t>评标委员会</w:t>
      </w:r>
      <w:r>
        <w:rPr>
          <w:rFonts w:hint="eastAsia" w:ascii="宋体" w:hAnsi="宋体" w:cs="Arial"/>
          <w:color w:val="auto"/>
          <w:sz w:val="24"/>
          <w:highlight w:val="none"/>
        </w:rPr>
        <w:t>按照客观、公正、审慎、</w:t>
      </w:r>
      <w:r>
        <w:rPr>
          <w:rFonts w:ascii="宋体" w:hAnsi="宋体" w:cs="Arial"/>
          <w:color w:val="auto"/>
          <w:sz w:val="24"/>
          <w:highlight w:val="none"/>
        </w:rPr>
        <w:t>择优的</w:t>
      </w:r>
      <w:r>
        <w:rPr>
          <w:rFonts w:hint="eastAsia" w:ascii="宋体" w:hAnsi="宋体" w:cs="Arial"/>
          <w:color w:val="auto"/>
          <w:sz w:val="24"/>
          <w:highlight w:val="none"/>
        </w:rPr>
        <w:t>原则，根据招标文件规定的评审程序、评审方法和评审标准进行独立评审。</w:t>
      </w:r>
    </w:p>
    <w:p>
      <w:pPr>
        <w:pageBreakBefore w:val="0"/>
        <w:kinsoku/>
        <w:wordWrap/>
        <w:overflowPunct/>
        <w:topLinePunct w:val="0"/>
        <w:bidi w:val="0"/>
        <w:spacing w:line="360" w:lineRule="exact"/>
        <w:ind w:firstLine="424" w:firstLineChars="177"/>
        <w:textAlignment w:val="auto"/>
        <w:rPr>
          <w:rFonts w:hint="eastAsia" w:ascii="宋体" w:hAnsi="宋体" w:cs="Arial"/>
          <w:color w:val="auto"/>
          <w:sz w:val="24"/>
          <w:highlight w:val="none"/>
        </w:rPr>
      </w:pPr>
      <w:r>
        <w:rPr>
          <w:rFonts w:hint="eastAsia" w:ascii="宋体" w:hAnsi="宋体" w:cs="Arial"/>
          <w:color w:val="auto"/>
          <w:sz w:val="24"/>
          <w:highlight w:val="none"/>
          <w:lang w:val="en-US" w:eastAsia="zh-CN"/>
        </w:rPr>
        <w:t>2、</w:t>
      </w:r>
      <w:r>
        <w:rPr>
          <w:rFonts w:hint="eastAsia" w:ascii="宋体" w:hAnsi="宋体" w:cs="Arial"/>
          <w:color w:val="auto"/>
          <w:sz w:val="24"/>
          <w:highlight w:val="none"/>
        </w:rPr>
        <w:t>评审工作将依据</w:t>
      </w:r>
      <w:r>
        <w:rPr>
          <w:rFonts w:ascii="宋体" w:hAnsi="宋体" w:cs="Arial"/>
          <w:color w:val="auto"/>
          <w:kern w:val="0"/>
          <w:sz w:val="24"/>
          <w:highlight w:val="none"/>
        </w:rPr>
        <w:t>招标文件</w:t>
      </w:r>
      <w:r>
        <w:rPr>
          <w:rFonts w:hint="eastAsia" w:ascii="宋体" w:hAnsi="宋体" w:cs="Arial"/>
          <w:color w:val="auto"/>
          <w:kern w:val="0"/>
          <w:sz w:val="24"/>
          <w:highlight w:val="none"/>
        </w:rPr>
        <w:t>、</w:t>
      </w:r>
      <w:r>
        <w:rPr>
          <w:rFonts w:ascii="宋体" w:hAnsi="宋体" w:cs="Arial"/>
          <w:color w:val="auto"/>
          <w:kern w:val="0"/>
          <w:sz w:val="24"/>
          <w:highlight w:val="none"/>
        </w:rPr>
        <w:t>投标文件</w:t>
      </w:r>
      <w:r>
        <w:rPr>
          <w:rFonts w:hint="eastAsia" w:ascii="宋体" w:hAnsi="宋体" w:cs="Arial"/>
          <w:color w:val="auto"/>
          <w:kern w:val="0"/>
          <w:sz w:val="24"/>
          <w:highlight w:val="none"/>
        </w:rPr>
        <w:t>及招标文件中事先已列明的内容进行（如现场方案讲解、演示等）。</w:t>
      </w:r>
    </w:p>
    <w:p>
      <w:pPr>
        <w:pStyle w:val="5"/>
        <w:pageBreakBefore w:val="0"/>
        <w:numPr>
          <w:ilvl w:val="2"/>
          <w:numId w:val="0"/>
        </w:numPr>
        <w:kinsoku/>
        <w:wordWrap/>
        <w:overflowPunct/>
        <w:topLinePunct w:val="0"/>
        <w:bidi w:val="0"/>
        <w:spacing w:before="0" w:after="0" w:line="360" w:lineRule="exact"/>
        <w:ind w:left="728" w:leftChars="185" w:hanging="340" w:hangingChars="142"/>
        <w:jc w:val="both"/>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olor w:val="auto"/>
          <w:sz w:val="24"/>
          <w:szCs w:val="24"/>
          <w:highlight w:val="none"/>
        </w:rPr>
        <w:t>评审意见的争议处理</w:t>
      </w:r>
    </w:p>
    <w:p>
      <w:pPr>
        <w:pageBreakBefore w:val="0"/>
        <w:kinsoku/>
        <w:wordWrap/>
        <w:overflowPunct/>
        <w:topLinePunct w:val="0"/>
        <w:bidi w:val="0"/>
        <w:spacing w:line="360" w:lineRule="exact"/>
        <w:ind w:firstLine="424" w:firstLineChars="177"/>
        <w:textAlignment w:val="auto"/>
        <w:rPr>
          <w:rFonts w:hint="eastAsia" w:ascii="宋体" w:hAnsi="宋体" w:cs="Arial"/>
          <w:bCs/>
          <w:color w:val="auto"/>
          <w:sz w:val="24"/>
          <w:highlight w:val="none"/>
        </w:rPr>
      </w:pPr>
      <w:r>
        <w:rPr>
          <w:rFonts w:hint="eastAsia" w:ascii="宋体" w:hAnsi="宋体" w:cs="Arial"/>
          <w:bCs/>
          <w:color w:val="auto"/>
          <w:sz w:val="24"/>
          <w:highlight w:val="none"/>
          <w:lang w:val="en-US" w:eastAsia="zh-CN"/>
        </w:rPr>
        <w:t>1、</w:t>
      </w:r>
      <w:r>
        <w:rPr>
          <w:rFonts w:hint="eastAsia" w:ascii="宋体" w:hAnsi="宋体" w:cs="Arial"/>
          <w:bCs/>
          <w:color w:val="auto"/>
          <w:sz w:val="24"/>
          <w:highlight w:val="none"/>
        </w:rPr>
        <w:t>评标委员会</w:t>
      </w:r>
      <w:r>
        <w:rPr>
          <w:rFonts w:ascii="宋体" w:hAnsi="宋体" w:cs="Arial"/>
          <w:bCs/>
          <w:color w:val="auto"/>
          <w:sz w:val="24"/>
          <w:highlight w:val="none"/>
        </w:rPr>
        <w:t>成员对需要共同认定的事项存在争议的，按照少数服从多数的原则作出结论。持不同意见的</w:t>
      </w:r>
      <w:r>
        <w:rPr>
          <w:rFonts w:hint="eastAsia" w:ascii="宋体" w:hAnsi="宋体" w:cs="Arial"/>
          <w:bCs/>
          <w:color w:val="auto"/>
          <w:sz w:val="24"/>
          <w:highlight w:val="none"/>
        </w:rPr>
        <w:t>评标委员会</w:t>
      </w:r>
      <w:r>
        <w:rPr>
          <w:rFonts w:ascii="宋体" w:hAnsi="宋体" w:cs="Arial"/>
          <w:bCs/>
          <w:color w:val="auto"/>
          <w:sz w:val="24"/>
          <w:highlight w:val="none"/>
        </w:rPr>
        <w:t>成员应当在评</w:t>
      </w:r>
      <w:r>
        <w:rPr>
          <w:rFonts w:hint="eastAsia" w:ascii="宋体" w:hAnsi="宋体" w:cs="Arial"/>
          <w:bCs/>
          <w:color w:val="auto"/>
          <w:sz w:val="24"/>
          <w:highlight w:val="none"/>
        </w:rPr>
        <w:t>审</w:t>
      </w:r>
      <w:r>
        <w:rPr>
          <w:rFonts w:ascii="宋体" w:hAnsi="宋体" w:cs="Arial"/>
          <w:bCs/>
          <w:color w:val="auto"/>
          <w:sz w:val="24"/>
          <w:highlight w:val="none"/>
        </w:rPr>
        <w:t>报告上签署不同意见及理由，否则视为同意评</w:t>
      </w:r>
      <w:r>
        <w:rPr>
          <w:rFonts w:hint="eastAsia" w:ascii="宋体" w:hAnsi="宋体" w:cs="Arial"/>
          <w:bCs/>
          <w:color w:val="auto"/>
          <w:sz w:val="24"/>
          <w:highlight w:val="none"/>
        </w:rPr>
        <w:t>审</w:t>
      </w:r>
      <w:r>
        <w:rPr>
          <w:rFonts w:ascii="宋体" w:hAnsi="宋体" w:cs="Arial"/>
          <w:bCs/>
          <w:color w:val="auto"/>
          <w:sz w:val="24"/>
          <w:highlight w:val="none"/>
        </w:rPr>
        <w:t>报告。</w:t>
      </w:r>
    </w:p>
    <w:p>
      <w:pPr>
        <w:pStyle w:val="5"/>
        <w:pageBreakBefore w:val="0"/>
        <w:numPr>
          <w:ilvl w:val="2"/>
          <w:numId w:val="0"/>
        </w:numPr>
        <w:kinsoku/>
        <w:wordWrap/>
        <w:overflowPunct/>
        <w:topLinePunct w:val="0"/>
        <w:bidi w:val="0"/>
        <w:spacing w:before="0" w:after="0" w:line="360" w:lineRule="exact"/>
        <w:ind w:left="728" w:leftChars="185" w:hanging="340" w:hangingChars="142"/>
        <w:jc w:val="both"/>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olor w:val="auto"/>
          <w:sz w:val="24"/>
          <w:szCs w:val="24"/>
          <w:highlight w:val="none"/>
        </w:rPr>
        <w:t>评委纪律</w:t>
      </w:r>
    </w:p>
    <w:p>
      <w:pPr>
        <w:pageBreakBefore w:val="0"/>
        <w:kinsoku/>
        <w:wordWrap/>
        <w:overflowPunct/>
        <w:topLinePunct w:val="0"/>
        <w:bidi w:val="0"/>
        <w:spacing w:line="360" w:lineRule="exact"/>
        <w:ind w:firstLine="424" w:firstLineChars="177"/>
        <w:textAlignment w:val="auto"/>
        <w:rPr>
          <w:rFonts w:ascii="宋体" w:hAnsi="宋体" w:cs="Arial"/>
          <w:color w:val="auto"/>
          <w:kern w:val="0"/>
          <w:sz w:val="24"/>
          <w:highlight w:val="none"/>
        </w:rPr>
      </w:pPr>
      <w:r>
        <w:rPr>
          <w:rFonts w:hint="eastAsia" w:ascii="宋体" w:hAnsi="宋体" w:cs="Arial"/>
          <w:color w:val="auto"/>
          <w:sz w:val="24"/>
          <w:highlight w:val="none"/>
          <w:lang w:val="en-US" w:eastAsia="zh-CN"/>
        </w:rPr>
        <w:t>1、</w:t>
      </w:r>
      <w:r>
        <w:rPr>
          <w:rFonts w:hint="eastAsia" w:ascii="宋体" w:hAnsi="宋体" w:cs="Arial"/>
          <w:color w:val="auto"/>
          <w:sz w:val="24"/>
          <w:highlight w:val="none"/>
        </w:rPr>
        <w:t>评标委员会成员</w:t>
      </w:r>
      <w:r>
        <w:rPr>
          <w:rFonts w:ascii="宋体" w:hAnsi="宋体" w:cs="Arial"/>
          <w:color w:val="auto"/>
          <w:sz w:val="24"/>
          <w:highlight w:val="none"/>
        </w:rPr>
        <w:t>必须严格遵守保密规定，不得泄露评</w:t>
      </w:r>
      <w:r>
        <w:rPr>
          <w:rFonts w:hint="eastAsia" w:ascii="宋体" w:hAnsi="宋体" w:cs="Arial"/>
          <w:color w:val="auto"/>
          <w:sz w:val="24"/>
          <w:highlight w:val="none"/>
        </w:rPr>
        <w:t>审</w:t>
      </w:r>
      <w:r>
        <w:rPr>
          <w:rFonts w:ascii="宋体" w:hAnsi="宋体" w:cs="Arial"/>
          <w:color w:val="auto"/>
          <w:sz w:val="24"/>
          <w:highlight w:val="none"/>
        </w:rPr>
        <w:t>的有关情况</w:t>
      </w:r>
      <w:r>
        <w:rPr>
          <w:rFonts w:hint="eastAsia" w:ascii="宋体" w:hAnsi="宋体" w:cs="Arial"/>
          <w:color w:val="auto"/>
          <w:kern w:val="0"/>
          <w:sz w:val="24"/>
          <w:highlight w:val="none"/>
        </w:rPr>
        <w:t>，</w:t>
      </w:r>
      <w:r>
        <w:rPr>
          <w:rFonts w:ascii="宋体" w:hAnsi="宋体" w:cs="Arial"/>
          <w:color w:val="auto"/>
          <w:kern w:val="0"/>
          <w:sz w:val="24"/>
          <w:highlight w:val="none"/>
        </w:rPr>
        <w:t>任何单位和个人不得干扰、影响评标的正常进行</w:t>
      </w:r>
      <w:r>
        <w:rPr>
          <w:rFonts w:hint="eastAsia" w:ascii="宋体" w:hAnsi="宋体" w:cs="Arial"/>
          <w:color w:val="auto"/>
          <w:kern w:val="0"/>
          <w:sz w:val="24"/>
          <w:highlight w:val="none"/>
        </w:rPr>
        <w:t>，</w:t>
      </w:r>
      <w:r>
        <w:rPr>
          <w:rFonts w:ascii="宋体" w:hAnsi="宋体" w:cs="Arial"/>
          <w:color w:val="auto"/>
          <w:kern w:val="0"/>
          <w:sz w:val="24"/>
          <w:highlight w:val="none"/>
        </w:rPr>
        <w:t>评标委员会</w:t>
      </w:r>
      <w:r>
        <w:rPr>
          <w:rFonts w:hint="eastAsia" w:ascii="宋体" w:hAnsi="宋体" w:cs="Arial"/>
          <w:color w:val="auto"/>
          <w:kern w:val="0"/>
          <w:sz w:val="24"/>
          <w:highlight w:val="none"/>
        </w:rPr>
        <w:t>成员</w:t>
      </w:r>
      <w:r>
        <w:rPr>
          <w:rFonts w:ascii="宋体" w:hAnsi="宋体" w:cs="Arial"/>
          <w:color w:val="auto"/>
          <w:kern w:val="0"/>
          <w:sz w:val="24"/>
          <w:highlight w:val="none"/>
        </w:rPr>
        <w:t>不得私下与投标供应商接触</w:t>
      </w:r>
      <w:r>
        <w:rPr>
          <w:rFonts w:hint="eastAsia" w:ascii="宋体" w:hAnsi="宋体" w:cs="Arial"/>
          <w:color w:val="auto"/>
          <w:kern w:val="0"/>
          <w:sz w:val="24"/>
          <w:highlight w:val="none"/>
        </w:rPr>
        <w:t>，不得出现浙江省政府采购活动现场组织管理办法中规定的其他禁止行为。</w:t>
      </w:r>
    </w:p>
    <w:p>
      <w:pPr>
        <w:pStyle w:val="5"/>
        <w:pageBreakBefore w:val="0"/>
        <w:numPr>
          <w:ilvl w:val="2"/>
          <w:numId w:val="0"/>
        </w:numPr>
        <w:kinsoku/>
        <w:wordWrap/>
        <w:overflowPunct/>
        <w:topLinePunct w:val="0"/>
        <w:bidi w:val="0"/>
        <w:spacing w:before="0" w:after="0" w:line="360" w:lineRule="exact"/>
        <w:ind w:left="728" w:leftChars="185" w:hanging="340" w:hangingChars="142"/>
        <w:jc w:val="both"/>
        <w:textAlignment w:val="auto"/>
        <w:rPr>
          <w:rFonts w:hint="eastAsia" w:ascii="宋体" w:hAnsi="宋体" w:eastAsia="宋体" w:cs="宋体"/>
          <w:color w:val="auto"/>
          <w:sz w:val="24"/>
          <w:szCs w:val="24"/>
          <w:highlight w:val="none"/>
        </w:rPr>
      </w:pPr>
      <w:bookmarkStart w:id="28" w:name="_Toc24550043"/>
      <w:bookmarkStart w:id="29" w:name="_Toc33194395"/>
      <w:r>
        <w:rPr>
          <w:rFonts w:hint="eastAsia" w:ascii="宋体" w:hAnsi="宋体" w:eastAsia="宋体" w:cs="宋体"/>
          <w:color w:val="auto"/>
          <w:sz w:val="24"/>
          <w:szCs w:val="24"/>
          <w:highlight w:val="none"/>
        </w:rPr>
        <w:t>（七）</w:t>
      </w:r>
      <w:bookmarkEnd w:id="28"/>
      <w:bookmarkStart w:id="30" w:name="_Toc24550044"/>
      <w:r>
        <w:rPr>
          <w:rFonts w:hint="eastAsia" w:ascii="宋体" w:hAnsi="宋体" w:eastAsia="宋体" w:cs="宋体"/>
          <w:color w:val="auto"/>
          <w:sz w:val="24"/>
          <w:szCs w:val="24"/>
          <w:highlight w:val="none"/>
        </w:rPr>
        <w:t>评审流程及内容</w:t>
      </w:r>
      <w:bookmarkEnd w:id="29"/>
      <w:bookmarkEnd w:id="30"/>
    </w:p>
    <w:p>
      <w:pPr>
        <w:pageBreakBefore w:val="0"/>
        <w:kinsoku/>
        <w:wordWrap/>
        <w:overflowPunct/>
        <w:topLinePunct w:val="0"/>
        <w:bidi w:val="0"/>
        <w:spacing w:line="360" w:lineRule="exact"/>
        <w:ind w:firstLine="422" w:firstLineChars="176"/>
        <w:textAlignment w:val="auto"/>
        <w:rPr>
          <w:rFonts w:hint="eastAsia" w:ascii="宋体" w:hAnsi="宋体"/>
          <w:color w:val="auto"/>
          <w:sz w:val="24"/>
          <w:highlight w:val="none"/>
        </w:rPr>
      </w:pPr>
      <w:r>
        <w:rPr>
          <w:rFonts w:hint="eastAsia" w:ascii="宋体" w:hAnsi="宋体" w:cs="Arial"/>
          <w:b/>
          <w:color w:val="auto"/>
          <w:kern w:val="0"/>
          <w:sz w:val="24"/>
          <w:highlight w:val="none"/>
        </w:rPr>
        <w:t>本项目具体的评审事务由评标委员会负责，评审流程及内容如下：</w:t>
      </w:r>
    </w:p>
    <w:p>
      <w:pPr>
        <w:pStyle w:val="5"/>
        <w:pageBreakBefore w:val="0"/>
        <w:numPr>
          <w:ilvl w:val="2"/>
          <w:numId w:val="0"/>
        </w:numPr>
        <w:kinsoku/>
        <w:wordWrap/>
        <w:overflowPunct/>
        <w:topLinePunct w:val="0"/>
        <w:bidi w:val="0"/>
        <w:spacing w:before="0" w:after="0" w:line="360" w:lineRule="exact"/>
        <w:ind w:left="728" w:leftChars="185" w:hanging="340" w:hangingChars="142"/>
        <w:jc w:val="both"/>
        <w:textAlignment w:val="auto"/>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eastAsia="宋体"/>
          <w:color w:val="auto"/>
          <w:sz w:val="24"/>
          <w:szCs w:val="24"/>
          <w:highlight w:val="none"/>
        </w:rPr>
        <w:t>评审前准备</w:t>
      </w:r>
    </w:p>
    <w:p>
      <w:pPr>
        <w:pageBreakBefore w:val="0"/>
        <w:kinsoku/>
        <w:wordWrap/>
        <w:overflowPunct/>
        <w:topLinePunct w:val="0"/>
        <w:bidi w:val="0"/>
        <w:spacing w:line="360" w:lineRule="exact"/>
        <w:ind w:firstLine="240" w:firstLineChars="100"/>
        <w:textAlignment w:val="auto"/>
        <w:rPr>
          <w:rFonts w:hint="eastAsia" w:ascii="宋体" w:hAnsi="宋体" w:cs="Arial"/>
          <w:color w:val="auto"/>
          <w:kern w:val="0"/>
          <w:sz w:val="24"/>
          <w:highlight w:val="none"/>
        </w:rPr>
      </w:pP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1</w:t>
      </w: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rPr>
        <w:t>由评审专家推选评审小组组长，采购人代表不得担任评审小组组长。</w:t>
      </w:r>
    </w:p>
    <w:p>
      <w:pPr>
        <w:pageBreakBefore w:val="0"/>
        <w:kinsoku/>
        <w:wordWrap/>
        <w:overflowPunct/>
        <w:topLinePunct w:val="0"/>
        <w:bidi w:val="0"/>
        <w:spacing w:line="360" w:lineRule="exact"/>
        <w:ind w:firstLine="240" w:firstLineChars="100"/>
        <w:textAlignment w:val="auto"/>
        <w:rPr>
          <w:rFonts w:hint="eastAsia" w:ascii="宋体" w:hAnsi="宋体" w:cs="Arial"/>
          <w:b/>
          <w:color w:val="auto"/>
          <w:kern w:val="0"/>
          <w:sz w:val="24"/>
          <w:highlight w:val="none"/>
        </w:rPr>
      </w:pP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2</w:t>
      </w: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rPr>
        <w:t>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5"/>
        <w:pageBreakBefore w:val="0"/>
        <w:numPr>
          <w:ilvl w:val="2"/>
          <w:numId w:val="0"/>
        </w:numPr>
        <w:kinsoku/>
        <w:wordWrap/>
        <w:overflowPunct/>
        <w:topLinePunct w:val="0"/>
        <w:bidi w:val="0"/>
        <w:spacing w:before="0" w:after="0" w:line="360" w:lineRule="exact"/>
        <w:ind w:left="728" w:leftChars="185" w:hanging="340" w:hangingChars="142"/>
        <w:jc w:val="both"/>
        <w:textAlignment w:val="auto"/>
        <w:rPr>
          <w:rFonts w:ascii="宋体" w:hAnsi="宋体" w:eastAsia="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olor w:val="auto"/>
          <w:sz w:val="24"/>
          <w:szCs w:val="24"/>
          <w:highlight w:val="none"/>
        </w:rPr>
        <w:t>投标文件的初步审查、符合性审查</w:t>
      </w:r>
    </w:p>
    <w:p>
      <w:pPr>
        <w:pageBreakBefore w:val="0"/>
        <w:kinsoku/>
        <w:wordWrap/>
        <w:overflowPunct/>
        <w:topLinePunct w:val="0"/>
        <w:bidi w:val="0"/>
        <w:spacing w:line="360" w:lineRule="exact"/>
        <w:ind w:firstLine="424" w:firstLineChars="177"/>
        <w:textAlignment w:val="auto"/>
        <w:rPr>
          <w:rFonts w:hint="eastAsia" w:ascii="宋体" w:hAnsi="宋体" w:cs="Arial"/>
          <w:b/>
          <w:color w:val="auto"/>
          <w:kern w:val="0"/>
          <w:sz w:val="24"/>
          <w:highlight w:val="none"/>
        </w:rPr>
      </w:pPr>
      <w:r>
        <w:rPr>
          <w:rFonts w:hint="eastAsia" w:ascii="宋体" w:hAnsi="宋体" w:cs="Arial"/>
          <w:b/>
          <w:color w:val="auto"/>
          <w:kern w:val="0"/>
          <w:sz w:val="24"/>
          <w:highlight w:val="none"/>
        </w:rPr>
        <w:t>对所有通过资格审查的投标供应商的投标文件进行初步审查，审查、评价投标文件是否符合招标文件的商务、技术、服务等实质性要求。</w:t>
      </w:r>
    </w:p>
    <w:p>
      <w:pPr>
        <w:pageBreakBefore w:val="0"/>
        <w:kinsoku/>
        <w:wordWrap/>
        <w:overflowPunct/>
        <w:topLinePunct w:val="0"/>
        <w:bidi w:val="0"/>
        <w:spacing w:line="360" w:lineRule="exact"/>
        <w:ind w:firstLine="424" w:firstLineChars="177"/>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评标委员会</w:t>
      </w:r>
      <w:r>
        <w:rPr>
          <w:rFonts w:ascii="宋体" w:hAnsi="宋体"/>
          <w:color w:val="auto"/>
          <w:sz w:val="24"/>
          <w:highlight w:val="none"/>
        </w:rPr>
        <w:t>首先</w:t>
      </w:r>
      <w:r>
        <w:rPr>
          <w:rFonts w:hint="eastAsia" w:ascii="宋体" w:hAnsi="宋体"/>
          <w:color w:val="auto"/>
          <w:sz w:val="24"/>
          <w:highlight w:val="none"/>
        </w:rPr>
        <w:t>对所有通过资格审查的投标供应商的</w:t>
      </w:r>
      <w:r>
        <w:rPr>
          <w:rFonts w:ascii="宋体" w:hAnsi="宋体"/>
          <w:color w:val="auto"/>
          <w:sz w:val="24"/>
          <w:highlight w:val="none"/>
        </w:rPr>
        <w:t>投标文件</w:t>
      </w:r>
      <w:r>
        <w:rPr>
          <w:rFonts w:hint="eastAsia" w:ascii="宋体" w:hAnsi="宋体"/>
          <w:color w:val="auto"/>
          <w:sz w:val="24"/>
          <w:highlight w:val="none"/>
        </w:rPr>
        <w:t>进行符合性审查，审查每份投标文件</w:t>
      </w:r>
      <w:r>
        <w:rPr>
          <w:rFonts w:ascii="宋体" w:hAnsi="宋体"/>
          <w:color w:val="auto"/>
          <w:sz w:val="24"/>
          <w:highlight w:val="none"/>
        </w:rPr>
        <w:t>是否实质上响应了招标文件的要求</w:t>
      </w:r>
      <w:r>
        <w:rPr>
          <w:rFonts w:hint="eastAsia" w:ascii="宋体" w:hAnsi="宋体"/>
          <w:color w:val="auto"/>
          <w:sz w:val="24"/>
          <w:highlight w:val="none"/>
        </w:rPr>
        <w:t>（</w:t>
      </w:r>
      <w:r>
        <w:rPr>
          <w:rFonts w:ascii="宋体" w:hAnsi="宋体"/>
          <w:color w:val="auto"/>
          <w:sz w:val="24"/>
          <w:highlight w:val="none"/>
        </w:rPr>
        <w:t>实质性响应的投标文件是指投标文件符合招标文件规定的实质性内容、条件和规定</w:t>
      </w:r>
      <w:r>
        <w:rPr>
          <w:rFonts w:hint="eastAsia" w:ascii="宋体" w:hAnsi="宋体"/>
          <w:color w:val="auto"/>
          <w:sz w:val="24"/>
          <w:highlight w:val="none"/>
        </w:rPr>
        <w:t>）</w:t>
      </w:r>
      <w:r>
        <w:rPr>
          <w:rFonts w:ascii="宋体" w:hAnsi="宋体"/>
          <w:color w:val="auto"/>
          <w:sz w:val="24"/>
          <w:highlight w:val="none"/>
        </w:rPr>
        <w:t>。</w:t>
      </w:r>
    </w:p>
    <w:p>
      <w:pPr>
        <w:pStyle w:val="5"/>
        <w:pageBreakBefore w:val="0"/>
        <w:numPr>
          <w:ilvl w:val="0"/>
          <w:numId w:val="4"/>
        </w:numPr>
        <w:kinsoku/>
        <w:wordWrap/>
        <w:overflowPunct/>
        <w:topLinePunct w:val="0"/>
        <w:bidi w:val="0"/>
        <w:spacing w:before="0" w:after="0" w:line="360" w:lineRule="exact"/>
        <w:ind w:firstLine="480" w:firstLineChars="200"/>
        <w:jc w:val="both"/>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投标文件的澄清、说明或补正</w:t>
      </w:r>
    </w:p>
    <w:p>
      <w:pPr>
        <w:pStyle w:val="24"/>
        <w:pageBreakBefore w:val="0"/>
        <w:kinsoku/>
        <w:wordWrap/>
        <w:overflowPunct/>
        <w:topLinePunct w:val="0"/>
        <w:bidi w:val="0"/>
        <w:spacing w:before="0" w:beforeAutospacing="0" w:after="0" w:afterAutospacing="0" w:line="360" w:lineRule="exact"/>
        <w:ind w:left="0" w:leftChars="0" w:firstLine="420" w:firstLineChars="175"/>
        <w:jc w:val="both"/>
        <w:textAlignment w:val="auto"/>
        <w:rPr>
          <w:rFonts w:hint="eastAsia"/>
          <w:lang w:val="en-US" w:eastAsia="zh-CN"/>
        </w:rPr>
      </w:pPr>
      <w:r>
        <w:rPr>
          <w:rFonts w:hint="eastAsia"/>
          <w:lang w:val="en-US" w:eastAsia="zh-CN"/>
        </w:rPr>
        <w:t>（1）对于投标文件中含义不明确、同类问题表述不一致或者有明显文字和计算错误的内容，评标委员会将</w:t>
      </w:r>
      <w:r>
        <w:rPr>
          <w:rFonts w:hint="eastAsia"/>
          <w:b/>
          <w:bCs/>
          <w:lang w:val="en-US" w:eastAsia="zh-CN"/>
        </w:rPr>
        <w:t>通过邮件形式</w:t>
      </w:r>
      <w:r>
        <w:rPr>
          <w:rFonts w:hint="eastAsia"/>
          <w:lang w:val="en-US" w:eastAsia="zh-CN"/>
        </w:rPr>
        <w:t>要求投标供应商在规定的时间内作出必要的澄清、说明或者补正，投标供应商澄清、说明或补正时间为30分钟内，未在规定时间内澄清、说明或补正说明的，视为无异议。</w:t>
      </w:r>
    </w:p>
    <w:p>
      <w:pPr>
        <w:pageBreakBefore w:val="0"/>
        <w:kinsoku/>
        <w:wordWrap/>
        <w:overflowPunct/>
        <w:topLinePunct w:val="0"/>
        <w:bidi w:val="0"/>
        <w:spacing w:line="360" w:lineRule="exact"/>
        <w:ind w:left="0" w:leftChars="0" w:firstLine="420" w:firstLineChars="175"/>
        <w:textAlignment w:val="auto"/>
        <w:rPr>
          <w:rFonts w:hint="eastAsia" w:ascii="宋体" w:hAnsi="宋体" w:cs="Arial"/>
          <w:color w:val="auto"/>
          <w:kern w:val="0"/>
          <w:sz w:val="24"/>
          <w:highlight w:val="none"/>
        </w:rPr>
      </w:pP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2</w:t>
      </w:r>
      <w:r>
        <w:rPr>
          <w:rFonts w:hint="eastAsia" w:ascii="宋体" w:hAnsi="宋体" w:cs="Arial"/>
          <w:color w:val="auto"/>
          <w:kern w:val="0"/>
          <w:sz w:val="24"/>
          <w:highlight w:val="none"/>
          <w:lang w:eastAsia="zh-CN"/>
        </w:rPr>
        <w:t>）</w:t>
      </w:r>
      <w:r>
        <w:rPr>
          <w:rFonts w:ascii="宋体" w:hAnsi="宋体" w:cs="Arial"/>
          <w:color w:val="auto"/>
          <w:kern w:val="0"/>
          <w:sz w:val="24"/>
          <w:highlight w:val="none"/>
        </w:rPr>
        <w:t>投标供应商</w:t>
      </w:r>
      <w:r>
        <w:rPr>
          <w:rFonts w:hint="eastAsia" w:ascii="宋体" w:hAnsi="宋体" w:cs="Arial"/>
          <w:color w:val="auto"/>
          <w:kern w:val="0"/>
          <w:sz w:val="24"/>
          <w:highlight w:val="none"/>
        </w:rPr>
        <w:t>的澄清、说明或者补正应当</w:t>
      </w:r>
      <w:r>
        <w:rPr>
          <w:rFonts w:hint="eastAsia" w:ascii="宋体" w:hAnsi="宋体" w:cs="Arial"/>
          <w:color w:val="auto"/>
          <w:kern w:val="0"/>
          <w:sz w:val="24"/>
          <w:highlight w:val="none"/>
          <w:lang w:eastAsia="zh-CN"/>
        </w:rPr>
        <w:t>通过邮件形式书面</w:t>
      </w:r>
      <w:r>
        <w:rPr>
          <w:rFonts w:hint="eastAsia" w:ascii="宋体" w:hAnsi="宋体" w:cs="Arial"/>
          <w:color w:val="auto"/>
          <w:kern w:val="0"/>
          <w:sz w:val="24"/>
          <w:highlight w:val="none"/>
        </w:rPr>
        <w:t>提交，并加盖公章，或者由法定代表人或其授权的代表签字。</w:t>
      </w:r>
      <w:r>
        <w:rPr>
          <w:rFonts w:ascii="宋体" w:hAnsi="宋体" w:cs="Arial"/>
          <w:color w:val="auto"/>
          <w:kern w:val="0"/>
          <w:sz w:val="24"/>
          <w:highlight w:val="none"/>
        </w:rPr>
        <w:t>投标供应商</w:t>
      </w:r>
      <w:r>
        <w:rPr>
          <w:rFonts w:hint="eastAsia" w:ascii="宋体" w:hAnsi="宋体" w:cs="Arial"/>
          <w:color w:val="auto"/>
          <w:kern w:val="0"/>
          <w:sz w:val="24"/>
          <w:highlight w:val="none"/>
        </w:rPr>
        <w:t>的澄清、说明或者补正不得超出投标文件的范围或者改变投标文件的实质性内容。</w:t>
      </w:r>
    </w:p>
    <w:p>
      <w:pPr>
        <w:pStyle w:val="17"/>
        <w:pageBreakBefore w:val="0"/>
        <w:kinsoku/>
        <w:wordWrap/>
        <w:overflowPunct/>
        <w:topLinePunct w:val="0"/>
        <w:bidi w:val="0"/>
        <w:snapToGrid w:val="0"/>
        <w:spacing w:line="360" w:lineRule="exact"/>
        <w:ind w:firstLine="480" w:firstLineChars="200"/>
        <w:textAlignment w:val="auto"/>
        <w:rPr>
          <w:rFonts w:hAnsi="宋体" w:cs="Times New Roman"/>
          <w:b/>
          <w:bCs/>
          <w:sz w:val="24"/>
          <w:szCs w:val="24"/>
        </w:rPr>
      </w:pPr>
      <w:r>
        <w:rPr>
          <w:rFonts w:hint="eastAsia" w:hAnsi="宋体"/>
          <w:b/>
          <w:bCs/>
          <w:sz w:val="24"/>
          <w:szCs w:val="24"/>
        </w:rPr>
        <w:t>（</w:t>
      </w:r>
      <w:r>
        <w:rPr>
          <w:rFonts w:hint="eastAsia" w:hAnsi="宋体"/>
          <w:b/>
          <w:bCs/>
          <w:sz w:val="24"/>
          <w:szCs w:val="24"/>
          <w:lang w:eastAsia="zh-CN"/>
        </w:rPr>
        <w:t>八</w:t>
      </w:r>
      <w:r>
        <w:rPr>
          <w:rFonts w:hint="eastAsia" w:hAnsi="宋体"/>
          <w:b/>
          <w:bCs/>
          <w:sz w:val="24"/>
          <w:szCs w:val="24"/>
        </w:rPr>
        <w:t>）错误修正</w:t>
      </w:r>
    </w:p>
    <w:p>
      <w:pPr>
        <w:pStyle w:val="24"/>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rPr>
      </w:pPr>
      <w:r>
        <w:rPr>
          <w:rFonts w:hint="eastAsia"/>
        </w:rPr>
        <w:t>投标文件报价出现前后不一致的，除招标文件另有规定外，按照下列规定修正：</w:t>
      </w:r>
    </w:p>
    <w:p>
      <w:pPr>
        <w:pStyle w:val="24"/>
        <w:spacing w:before="0" w:beforeAutospacing="0" w:after="0" w:afterAutospacing="0" w:line="440" w:lineRule="exact"/>
        <w:ind w:firstLine="480" w:firstLineChars="200"/>
        <w:jc w:val="both"/>
        <w:rPr>
          <w:rFonts w:cs="Times New Roman"/>
        </w:rPr>
      </w:pPr>
      <w:r>
        <w:t>1</w:t>
      </w:r>
      <w:r>
        <w:rPr>
          <w:rFonts w:hint="eastAsia"/>
        </w:rPr>
        <w:t>、投标文件中开标一览表（报价表）内容与投标文件中相应内容不一致的，以开标一览表（报价表）为准；若电子投标文件中“开标一览表（报价表）”中报价与“政府采购云平台”中的报价两者不一致的，以电子投标文件中“开标一览表（报价表）”中报价为准。</w:t>
      </w:r>
    </w:p>
    <w:p>
      <w:pPr>
        <w:pStyle w:val="24"/>
        <w:spacing w:before="0" w:beforeAutospacing="0" w:after="0" w:afterAutospacing="0" w:line="440" w:lineRule="exact"/>
        <w:ind w:firstLine="480" w:firstLineChars="200"/>
        <w:jc w:val="both"/>
        <w:rPr>
          <w:rFonts w:cs="Times New Roman"/>
        </w:rPr>
      </w:pPr>
      <w:r>
        <w:t>2</w:t>
      </w:r>
      <w:r>
        <w:rPr>
          <w:rFonts w:hint="eastAsia"/>
        </w:rPr>
        <w:t>、大写金额和小写金额不一致的，以大写金额为准；</w:t>
      </w:r>
    </w:p>
    <w:p>
      <w:pPr>
        <w:pStyle w:val="24"/>
        <w:spacing w:before="0" w:beforeAutospacing="0" w:after="0" w:afterAutospacing="0" w:line="440" w:lineRule="exact"/>
        <w:ind w:firstLine="480" w:firstLineChars="200"/>
        <w:jc w:val="both"/>
        <w:rPr>
          <w:rFonts w:cs="Times New Roman"/>
        </w:rPr>
      </w:pPr>
      <w:r>
        <w:t>3</w:t>
      </w:r>
      <w:r>
        <w:rPr>
          <w:rFonts w:hint="eastAsia"/>
        </w:rPr>
        <w:t>、单价金额小数点或者百分比有明显错位的，以开标一览表的总价为准，并修改单价；</w:t>
      </w:r>
    </w:p>
    <w:p>
      <w:pPr>
        <w:pStyle w:val="24"/>
        <w:spacing w:before="0" w:beforeAutospacing="0" w:after="0" w:afterAutospacing="0" w:line="440" w:lineRule="exact"/>
        <w:ind w:firstLine="480" w:firstLineChars="200"/>
        <w:jc w:val="both"/>
        <w:rPr>
          <w:rFonts w:cs="Times New Roman"/>
        </w:rPr>
      </w:pPr>
      <w:r>
        <w:t>4</w:t>
      </w:r>
      <w:r>
        <w:rPr>
          <w:rFonts w:hint="eastAsia"/>
        </w:rPr>
        <w:t>、总价金额与按单价汇总金额不一致的，以单价金额计算结果为准。</w:t>
      </w:r>
    </w:p>
    <w:p>
      <w:pPr>
        <w:pStyle w:val="24"/>
        <w:spacing w:before="0" w:beforeAutospacing="0" w:after="0" w:afterAutospacing="0" w:line="440" w:lineRule="exact"/>
        <w:ind w:firstLine="480" w:firstLineChars="200"/>
        <w:jc w:val="both"/>
        <w:rPr>
          <w:rFonts w:cs="Times New Roman"/>
        </w:rPr>
      </w:pPr>
      <w:r>
        <w:rPr>
          <w:rFonts w:hint="eastAsia"/>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24"/>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b/>
          <w:bCs/>
        </w:rPr>
      </w:pPr>
      <w:r>
        <w:rPr>
          <w:rFonts w:hint="eastAsia"/>
          <w:b/>
          <w:bCs/>
        </w:rPr>
        <w:t>（</w:t>
      </w:r>
      <w:r>
        <w:rPr>
          <w:rFonts w:hint="eastAsia"/>
          <w:b/>
          <w:bCs/>
          <w:lang w:eastAsia="zh-CN"/>
        </w:rPr>
        <w:t>九</w:t>
      </w:r>
      <w:r>
        <w:rPr>
          <w:rFonts w:hint="eastAsia"/>
          <w:b/>
          <w:bCs/>
        </w:rPr>
        <w:t>）投标人存在下列情况之一的，投标无效</w:t>
      </w:r>
    </w:p>
    <w:p>
      <w:pPr>
        <w:pageBreakBefore w:val="0"/>
        <w:kinsoku/>
        <w:wordWrap/>
        <w:overflowPunct/>
        <w:topLinePunct w:val="0"/>
        <w:bidi w:val="0"/>
        <w:spacing w:line="36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投标文件未按招标文件规定的要求提交的；</w:t>
      </w:r>
    </w:p>
    <w:p>
      <w:pPr>
        <w:pageBreakBefore w:val="0"/>
        <w:kinsoku/>
        <w:wordWrap/>
        <w:overflowPunct/>
        <w:topLinePunct w:val="0"/>
        <w:bidi w:val="0"/>
        <w:spacing w:line="36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lang w:val="en-US" w:eastAsia="zh-CN"/>
        </w:rPr>
        <w:t>2、电子加密投标文件解密失败且未按要求提交“备份投标文件”的；</w:t>
      </w:r>
    </w:p>
    <w:p>
      <w:pPr>
        <w:pageBreakBefore w:val="0"/>
        <w:kinsoku/>
        <w:wordWrap/>
        <w:overflowPunct/>
        <w:topLinePunct w:val="0"/>
        <w:bidi w:val="0"/>
        <w:spacing w:line="36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eastAsia="zh-CN"/>
        </w:rPr>
        <w:t>、</w:t>
      </w:r>
      <w:r>
        <w:rPr>
          <w:rFonts w:hint="eastAsia" w:ascii="宋体" w:hAnsi="宋体" w:cs="宋体"/>
          <w:color w:val="auto"/>
          <w:kern w:val="0"/>
          <w:sz w:val="24"/>
        </w:rPr>
        <w:t>资格证明文件、商务技术文件、报价文件出现混</w:t>
      </w:r>
      <w:r>
        <w:rPr>
          <w:rFonts w:hint="eastAsia" w:ascii="宋体" w:hAnsi="宋体" w:cs="宋体"/>
          <w:color w:val="auto"/>
          <w:kern w:val="0"/>
          <w:sz w:val="24"/>
          <w:lang w:eastAsia="zh-CN"/>
        </w:rPr>
        <w:t>传</w:t>
      </w:r>
      <w:r>
        <w:rPr>
          <w:rFonts w:hint="eastAsia" w:ascii="宋体" w:hAnsi="宋体" w:cs="宋体"/>
          <w:color w:val="auto"/>
          <w:kern w:val="0"/>
          <w:sz w:val="24"/>
        </w:rPr>
        <w:t>或在资格证明文件或商务技术文件中出现投标报价的；</w:t>
      </w:r>
    </w:p>
    <w:p>
      <w:pPr>
        <w:pageBreakBefore w:val="0"/>
        <w:kinsoku/>
        <w:wordWrap/>
        <w:overflowPunct/>
        <w:topLinePunct w:val="0"/>
        <w:bidi w:val="0"/>
        <w:spacing w:line="36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4</w:t>
      </w:r>
      <w:r>
        <w:rPr>
          <w:rFonts w:hint="eastAsia" w:ascii="宋体" w:hAnsi="宋体" w:cs="宋体"/>
          <w:color w:val="auto"/>
          <w:kern w:val="0"/>
          <w:sz w:val="24"/>
          <w:lang w:eastAsia="zh-CN"/>
        </w:rPr>
        <w:t>、</w:t>
      </w:r>
      <w:r>
        <w:rPr>
          <w:rFonts w:hint="eastAsia" w:ascii="宋体" w:hAnsi="宋体" w:cs="宋体"/>
          <w:color w:val="auto"/>
          <w:kern w:val="0"/>
          <w:sz w:val="24"/>
        </w:rPr>
        <w:t>投标人没有提供合法、有效的“授权委托书”或“法定代表人身份证明书”</w:t>
      </w:r>
      <w:r>
        <w:rPr>
          <w:rFonts w:hint="eastAsia" w:ascii="宋体" w:hAnsi="宋体" w:cs="宋体"/>
          <w:color w:val="auto"/>
          <w:kern w:val="0"/>
          <w:sz w:val="24"/>
          <w:lang w:eastAsia="zh-CN"/>
        </w:rPr>
        <w:t>的</w:t>
      </w:r>
      <w:r>
        <w:rPr>
          <w:rFonts w:hint="eastAsia" w:ascii="宋体" w:hAnsi="宋体" w:cs="宋体"/>
          <w:color w:val="auto"/>
          <w:kern w:val="0"/>
          <w:sz w:val="24"/>
        </w:rPr>
        <w:t xml:space="preserve">； </w:t>
      </w:r>
    </w:p>
    <w:p>
      <w:pPr>
        <w:pageBreakBefore w:val="0"/>
        <w:kinsoku/>
        <w:wordWrap/>
        <w:overflowPunct/>
        <w:topLinePunct w:val="0"/>
        <w:bidi w:val="0"/>
        <w:spacing w:line="36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5</w:t>
      </w:r>
      <w:r>
        <w:rPr>
          <w:rFonts w:hint="eastAsia" w:ascii="宋体" w:hAnsi="宋体" w:cs="宋体"/>
          <w:color w:val="auto"/>
          <w:kern w:val="0"/>
          <w:sz w:val="24"/>
          <w:lang w:eastAsia="zh-CN"/>
        </w:rPr>
        <w:t>、</w:t>
      </w:r>
      <w:r>
        <w:rPr>
          <w:rFonts w:hint="eastAsia" w:ascii="宋体" w:hAnsi="宋体" w:cs="宋体"/>
          <w:color w:val="auto"/>
          <w:kern w:val="0"/>
          <w:sz w:val="24"/>
        </w:rPr>
        <w:t>投标文件的实质性内容未使用中文表述、意思表述不明确、前后矛盾或者使用计量单位不符合招标文件要求的；</w:t>
      </w:r>
    </w:p>
    <w:p>
      <w:pPr>
        <w:pageBreakBefore w:val="0"/>
        <w:kinsoku/>
        <w:wordWrap/>
        <w:overflowPunct/>
        <w:topLinePunct w:val="0"/>
        <w:bidi w:val="0"/>
        <w:spacing w:line="36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6</w:t>
      </w:r>
      <w:r>
        <w:rPr>
          <w:rFonts w:hint="eastAsia" w:ascii="宋体" w:hAnsi="宋体" w:cs="宋体"/>
          <w:color w:val="auto"/>
          <w:kern w:val="0"/>
          <w:sz w:val="24"/>
          <w:lang w:eastAsia="zh-CN"/>
        </w:rPr>
        <w:t>、</w:t>
      </w:r>
      <w:r>
        <w:rPr>
          <w:rFonts w:hint="eastAsia" w:ascii="宋体" w:hAnsi="宋体" w:cs="宋体"/>
          <w:color w:val="auto"/>
          <w:kern w:val="0"/>
          <w:sz w:val="24"/>
        </w:rPr>
        <w:t>未实质性响应招标文件要求或者投标文件有采购人不能接受的附加条件的；</w:t>
      </w:r>
    </w:p>
    <w:p>
      <w:pPr>
        <w:pageBreakBefore w:val="0"/>
        <w:kinsoku/>
        <w:wordWrap/>
        <w:overflowPunct/>
        <w:topLinePunct w:val="0"/>
        <w:bidi w:val="0"/>
        <w:spacing w:line="36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7</w:t>
      </w:r>
      <w:r>
        <w:rPr>
          <w:rFonts w:hint="eastAsia" w:ascii="宋体" w:hAnsi="宋体" w:cs="宋体"/>
          <w:color w:val="auto"/>
          <w:kern w:val="0"/>
          <w:sz w:val="24"/>
          <w:lang w:eastAsia="zh-CN"/>
        </w:rPr>
        <w:t>、</w:t>
      </w:r>
      <w:r>
        <w:rPr>
          <w:rFonts w:hint="eastAsia" w:ascii="宋体" w:hAnsi="宋体" w:cs="宋体"/>
          <w:color w:val="auto"/>
          <w:kern w:val="0"/>
          <w:sz w:val="24"/>
        </w:rPr>
        <w:t>明显不符合招标文件要求的技术参数、质量标准，或者与招标文件中的技术指标、主要功能项目发生实质性偏离的；</w:t>
      </w:r>
    </w:p>
    <w:p>
      <w:pPr>
        <w:pageBreakBefore w:val="0"/>
        <w:kinsoku/>
        <w:wordWrap/>
        <w:overflowPunct/>
        <w:topLinePunct w:val="0"/>
        <w:bidi w:val="0"/>
        <w:adjustRightInd w:val="0"/>
        <w:snapToGrid w:val="0"/>
        <w:spacing w:line="360" w:lineRule="exact"/>
        <w:ind w:firstLine="480" w:firstLineChars="200"/>
        <w:jc w:val="left"/>
        <w:textAlignment w:val="auto"/>
        <w:rPr>
          <w:rFonts w:ascii="宋体" w:cs="宋体"/>
          <w:kern w:val="0"/>
          <w:sz w:val="24"/>
          <w:szCs w:val="24"/>
        </w:rPr>
      </w:pPr>
      <w:r>
        <w:rPr>
          <w:rFonts w:hint="eastAsia" w:ascii="宋体" w:hAnsi="宋体" w:cs="宋体"/>
          <w:kern w:val="0"/>
          <w:sz w:val="24"/>
          <w:szCs w:val="24"/>
          <w:lang w:val="en-US" w:eastAsia="zh-CN"/>
        </w:rPr>
        <w:t>8、</w:t>
      </w:r>
      <w:r>
        <w:rPr>
          <w:rFonts w:hint="eastAsia" w:ascii="宋体" w:hAnsi="宋体" w:cs="宋体"/>
          <w:kern w:val="0"/>
          <w:sz w:val="24"/>
          <w:szCs w:val="24"/>
        </w:rPr>
        <w:t>不具备招标文件中规定的资格要求的；</w:t>
      </w:r>
    </w:p>
    <w:p>
      <w:pPr>
        <w:pStyle w:val="24"/>
        <w:pageBreakBefore w:val="0"/>
        <w:tabs>
          <w:tab w:val="left" w:pos="7380"/>
        </w:tabs>
        <w:kinsoku/>
        <w:wordWrap/>
        <w:overflowPunct/>
        <w:topLinePunct w:val="0"/>
        <w:bidi w:val="0"/>
        <w:adjustRightInd w:val="0"/>
        <w:snapToGrid w:val="0"/>
        <w:spacing w:before="0" w:beforeAutospacing="0" w:after="0" w:afterAutospacing="0" w:line="360" w:lineRule="exact"/>
        <w:ind w:firstLine="480" w:firstLineChars="200"/>
        <w:jc w:val="both"/>
        <w:textAlignment w:val="auto"/>
        <w:rPr>
          <w:rFonts w:cs="Times New Roman"/>
        </w:rPr>
      </w:pPr>
      <w:r>
        <w:rPr>
          <w:rFonts w:hint="eastAsia"/>
          <w:lang w:val="en-US" w:eastAsia="zh-CN"/>
        </w:rPr>
        <w:t>9、</w:t>
      </w:r>
      <w:r>
        <w:rPr>
          <w:rFonts w:hint="eastAsia"/>
        </w:rPr>
        <w:t>投标文件含有采购人不能接受的附加条件的；</w:t>
      </w:r>
      <w:r>
        <w:rPr>
          <w:rFonts w:cs="Times New Roman"/>
        </w:rPr>
        <w:tab/>
      </w:r>
    </w:p>
    <w:p>
      <w:pPr>
        <w:pageBreakBefore w:val="0"/>
        <w:kinsoku/>
        <w:wordWrap/>
        <w:overflowPunct/>
        <w:topLinePunct w:val="0"/>
        <w:bidi w:val="0"/>
        <w:adjustRightInd w:val="0"/>
        <w:snapToGrid w:val="0"/>
        <w:spacing w:line="360" w:lineRule="exact"/>
        <w:ind w:firstLine="480" w:firstLineChars="200"/>
        <w:textAlignment w:val="auto"/>
        <w:rPr>
          <w:rFonts w:ascii="宋体" w:cs="宋体"/>
          <w:kern w:val="0"/>
          <w:sz w:val="24"/>
          <w:szCs w:val="24"/>
        </w:rPr>
      </w:pPr>
      <w:r>
        <w:rPr>
          <w:rFonts w:hint="eastAsia" w:ascii="宋体" w:hAnsi="宋体" w:cs="宋体"/>
          <w:kern w:val="0"/>
          <w:sz w:val="24"/>
          <w:szCs w:val="24"/>
          <w:lang w:val="en-US" w:eastAsia="zh-CN"/>
        </w:rPr>
        <w:t>10、</w:t>
      </w: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4"/>
        <w:pageBreakBefore w:val="0"/>
        <w:kinsoku/>
        <w:wordWrap/>
        <w:overflowPunct/>
        <w:topLinePunct w:val="0"/>
        <w:bidi w:val="0"/>
        <w:spacing w:before="0" w:beforeAutospacing="0" w:after="0" w:afterAutospacing="0" w:line="360" w:lineRule="exact"/>
        <w:ind w:firstLine="480" w:firstLineChars="200"/>
        <w:jc w:val="both"/>
        <w:textAlignment w:val="auto"/>
        <w:rPr>
          <w:rFonts w:hint="eastAsia"/>
        </w:rPr>
      </w:pPr>
      <w:r>
        <w:rPr>
          <w:rFonts w:hint="eastAsia"/>
          <w:lang w:val="en-US" w:eastAsia="zh-CN"/>
        </w:rPr>
        <w:t>11、</w:t>
      </w:r>
      <w:r>
        <w:rPr>
          <w:rFonts w:hint="eastAsia"/>
        </w:rPr>
        <w:t>报价超过招标文件中规定的预算金额或最高限价；</w:t>
      </w:r>
    </w:p>
    <w:p>
      <w:pPr>
        <w:pageBreakBefore w:val="0"/>
        <w:kinsoku/>
        <w:wordWrap/>
        <w:overflowPunct/>
        <w:topLinePunct w:val="0"/>
        <w:bidi w:val="0"/>
        <w:adjustRightInd w:val="0"/>
        <w:snapToGrid w:val="0"/>
        <w:spacing w:line="36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lang w:val="en-US" w:eastAsia="zh-CN"/>
        </w:rPr>
        <w:t>12、</w:t>
      </w:r>
      <w:r>
        <w:rPr>
          <w:rFonts w:hint="eastAsia" w:ascii="宋体" w:hAnsi="宋体" w:cs="宋体"/>
          <w:kern w:val="0"/>
          <w:sz w:val="24"/>
          <w:szCs w:val="24"/>
        </w:rPr>
        <w:t>投标文件提供虚假材料的；</w:t>
      </w:r>
    </w:p>
    <w:p>
      <w:pPr>
        <w:pageBreakBefore w:val="0"/>
        <w:kinsoku/>
        <w:wordWrap/>
        <w:overflowPunct/>
        <w:topLinePunct w:val="0"/>
        <w:bidi w:val="0"/>
        <w:adjustRightInd w:val="0"/>
        <w:snapToGrid w:val="0"/>
        <w:spacing w:line="36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lang w:val="en-US" w:eastAsia="zh-CN"/>
        </w:rPr>
        <w:t>13、投标人上传的电子加密投标文件解密成功的，电子加密投标文件中法定代表人电子章（或委托代理人签字）、投标人的单位电子公章盖章不齐全，不符合招标文件规定的；</w:t>
      </w:r>
    </w:p>
    <w:p>
      <w:pPr>
        <w:pStyle w:val="24"/>
        <w:pageBreakBefore w:val="0"/>
        <w:kinsoku/>
        <w:wordWrap/>
        <w:overflowPunct/>
        <w:topLinePunct w:val="0"/>
        <w:bidi w:val="0"/>
        <w:spacing w:before="0" w:beforeAutospacing="0" w:after="0" w:afterAutospacing="0" w:line="360" w:lineRule="exact"/>
        <w:ind w:firstLine="480" w:firstLineChars="200"/>
        <w:jc w:val="both"/>
        <w:textAlignment w:val="auto"/>
        <w:rPr>
          <w:rFonts w:hint="eastAsia"/>
        </w:rPr>
      </w:pPr>
      <w:r>
        <w:rPr>
          <w:rFonts w:hint="eastAsia"/>
          <w:lang w:val="en-US" w:eastAsia="zh-CN"/>
        </w:rPr>
        <w:t>14、</w:t>
      </w:r>
      <w:r>
        <w:rPr>
          <w:rFonts w:hint="eastAsia"/>
        </w:rPr>
        <w:t>投标报价关键内容字迹模糊、无法辨认的或投标报价大写不符合国家有关</w:t>
      </w:r>
    </w:p>
    <w:p>
      <w:pPr>
        <w:pStyle w:val="24"/>
        <w:pageBreakBefore w:val="0"/>
        <w:kinsoku/>
        <w:wordWrap/>
        <w:overflowPunct/>
        <w:topLinePunct w:val="0"/>
        <w:bidi w:val="0"/>
        <w:spacing w:before="0" w:beforeAutospacing="0" w:after="0" w:afterAutospacing="0" w:line="360" w:lineRule="exact"/>
        <w:jc w:val="both"/>
        <w:textAlignment w:val="auto"/>
        <w:rPr>
          <w:rFonts w:hint="eastAsia"/>
        </w:rPr>
      </w:pPr>
      <w:r>
        <w:rPr>
          <w:rFonts w:hint="eastAsia"/>
        </w:rPr>
        <w:t>规定的；</w:t>
      </w:r>
    </w:p>
    <w:p>
      <w:pPr>
        <w:pStyle w:val="24"/>
        <w:pageBreakBefore w:val="0"/>
        <w:kinsoku/>
        <w:wordWrap/>
        <w:overflowPunct/>
        <w:topLinePunct w:val="0"/>
        <w:bidi w:val="0"/>
        <w:spacing w:before="0" w:beforeAutospacing="0" w:after="0" w:afterAutospacing="0" w:line="360" w:lineRule="exact"/>
        <w:ind w:firstLine="480" w:firstLineChars="200"/>
        <w:jc w:val="both"/>
        <w:textAlignment w:val="auto"/>
        <w:rPr>
          <w:rFonts w:hint="eastAsia"/>
        </w:rPr>
      </w:pPr>
      <w:r>
        <w:rPr>
          <w:rFonts w:hint="eastAsia"/>
          <w:lang w:val="en-US" w:eastAsia="zh-CN"/>
        </w:rPr>
        <w:t>15、</w:t>
      </w:r>
      <w:r>
        <w:rPr>
          <w:rFonts w:hint="eastAsia"/>
        </w:rPr>
        <w:t>符合中华人民共和国财政部令第87号《政府采购货物和服务招标投标管理办法》第三十七条情形之一的，视为投标人串通投标，其投标无效，并移送采购监管部门：</w:t>
      </w:r>
    </w:p>
    <w:p>
      <w:pPr>
        <w:pStyle w:val="24"/>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rPr>
      </w:pPr>
      <w:r>
        <w:rPr>
          <w:rFonts w:hint="eastAsia"/>
        </w:rPr>
        <w:t>（</w:t>
      </w:r>
      <w:r>
        <w:t>1</w:t>
      </w:r>
      <w:r>
        <w:rPr>
          <w:rFonts w:hint="eastAsia"/>
        </w:rPr>
        <w:t>）不同投标人的投标文件由同一单位或者个人编制；</w:t>
      </w:r>
    </w:p>
    <w:p>
      <w:pPr>
        <w:pStyle w:val="24"/>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rPr>
      </w:pPr>
      <w:r>
        <w:rPr>
          <w:rFonts w:hint="eastAsia"/>
        </w:rPr>
        <w:t>（</w:t>
      </w:r>
      <w:r>
        <w:t>2</w:t>
      </w:r>
      <w:r>
        <w:rPr>
          <w:rFonts w:hint="eastAsia"/>
        </w:rPr>
        <w:t>）不同投标人委托同一单位或者个人办理投标事宜；</w:t>
      </w:r>
    </w:p>
    <w:p>
      <w:pPr>
        <w:pStyle w:val="24"/>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rPr>
      </w:pPr>
      <w:r>
        <w:rPr>
          <w:rFonts w:hint="eastAsia"/>
        </w:rPr>
        <w:t>（</w:t>
      </w:r>
      <w:r>
        <w:t>3</w:t>
      </w:r>
      <w:r>
        <w:rPr>
          <w:rFonts w:hint="eastAsia"/>
        </w:rPr>
        <w:t>）不同投标人的投标文件载明的项目管理成员或者联系人员为同一人；</w:t>
      </w:r>
    </w:p>
    <w:p>
      <w:pPr>
        <w:pStyle w:val="24"/>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rPr>
      </w:pPr>
      <w:r>
        <w:rPr>
          <w:rFonts w:hint="eastAsia"/>
        </w:rPr>
        <w:t>（</w:t>
      </w:r>
      <w:r>
        <w:t>4</w:t>
      </w:r>
      <w:r>
        <w:rPr>
          <w:rFonts w:hint="eastAsia"/>
        </w:rPr>
        <w:t>）不同投标人的投标文件异常一致或者投标报价呈规律性差异；</w:t>
      </w:r>
    </w:p>
    <w:p>
      <w:pPr>
        <w:pStyle w:val="24"/>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rPr>
      </w:pPr>
      <w:r>
        <w:rPr>
          <w:rFonts w:hint="eastAsia"/>
        </w:rPr>
        <w:t>（</w:t>
      </w:r>
      <w:r>
        <w:t>5</w:t>
      </w:r>
      <w:r>
        <w:rPr>
          <w:rFonts w:hint="eastAsia"/>
        </w:rPr>
        <w:t>）不同投标人的投标文件相互混装；</w:t>
      </w:r>
    </w:p>
    <w:p>
      <w:pPr>
        <w:pageBreakBefore w:val="0"/>
        <w:kinsoku/>
        <w:wordWrap/>
        <w:overflowPunct/>
        <w:topLinePunct w:val="0"/>
        <w:autoSpaceDE w:val="0"/>
        <w:autoSpaceDN w:val="0"/>
        <w:bidi w:val="0"/>
        <w:adjustRightInd w:val="0"/>
        <w:spacing w:line="360" w:lineRule="exact"/>
        <w:ind w:firstLine="480" w:firstLineChars="200"/>
        <w:textAlignment w:val="auto"/>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lang w:val="en-US" w:eastAsia="zh-CN"/>
        </w:rPr>
        <w:t>6</w:t>
      </w:r>
      <w:r>
        <w:rPr>
          <w:rFonts w:hint="eastAsia" w:ascii="宋体" w:hAnsi="宋体" w:cs="宋体"/>
          <w:kern w:val="0"/>
          <w:sz w:val="24"/>
          <w:szCs w:val="24"/>
        </w:rPr>
        <w:t>、不符合法律、法规和招标文件中规定的其他实质性要求的（招标文件中打“▲”内容及被拒绝的条款）。</w:t>
      </w:r>
    </w:p>
    <w:p>
      <w:pPr>
        <w:pageBreakBefore w:val="0"/>
        <w:kinsoku/>
        <w:wordWrap/>
        <w:overflowPunct/>
        <w:topLinePunct w:val="0"/>
        <w:autoSpaceDE w:val="0"/>
        <w:autoSpaceDN w:val="0"/>
        <w:bidi w:val="0"/>
        <w:adjustRightInd w:val="0"/>
        <w:spacing w:line="360" w:lineRule="exact"/>
        <w:ind w:firstLine="480" w:firstLineChars="200"/>
        <w:textAlignment w:val="auto"/>
        <w:rPr>
          <w:rFonts w:ascii="宋体" w:cs="宋体"/>
          <w:kern w:val="0"/>
          <w:sz w:val="24"/>
          <w:szCs w:val="24"/>
        </w:rPr>
      </w:pPr>
      <w:r>
        <w:rPr>
          <w:rFonts w:hint="eastAsia" w:ascii="宋体" w:hAnsi="宋体" w:cs="宋体"/>
          <w:b/>
          <w:bCs/>
          <w:kern w:val="0"/>
          <w:sz w:val="24"/>
          <w:szCs w:val="24"/>
        </w:rPr>
        <w:t>（</w:t>
      </w:r>
      <w:r>
        <w:rPr>
          <w:rFonts w:hint="eastAsia" w:ascii="宋体" w:hAnsi="宋体" w:cs="宋体"/>
          <w:b/>
          <w:bCs/>
          <w:kern w:val="0"/>
          <w:sz w:val="24"/>
          <w:szCs w:val="24"/>
          <w:lang w:eastAsia="zh-CN"/>
        </w:rPr>
        <w:t>十</w:t>
      </w:r>
      <w:r>
        <w:rPr>
          <w:rFonts w:hint="eastAsia" w:ascii="宋体" w:hAnsi="宋体" w:cs="宋体"/>
          <w:b/>
          <w:bCs/>
          <w:kern w:val="0"/>
          <w:sz w:val="24"/>
          <w:szCs w:val="24"/>
        </w:rPr>
        <w:t>）有下列情况之一的，本次招标作为废标处理</w:t>
      </w:r>
    </w:p>
    <w:p>
      <w:pPr>
        <w:pStyle w:val="24"/>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rPr>
      </w:pPr>
      <w:r>
        <w:t>1</w:t>
      </w:r>
      <w:r>
        <w:rPr>
          <w:rFonts w:hint="eastAsia"/>
        </w:rPr>
        <w:t>、符合专业条件的供应商或者对招标文件作实质响应的供应商不足三家的；</w:t>
      </w:r>
    </w:p>
    <w:p>
      <w:pPr>
        <w:pStyle w:val="24"/>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b/>
          <w:bCs/>
        </w:rPr>
      </w:pPr>
      <w:r>
        <w:t>2</w:t>
      </w:r>
      <w:r>
        <w:rPr>
          <w:rFonts w:hint="eastAsia"/>
        </w:rPr>
        <w:t>、出现影响采购公正的违法、违规行为的；</w:t>
      </w:r>
    </w:p>
    <w:p>
      <w:pPr>
        <w:pStyle w:val="24"/>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rPr>
      </w:pPr>
      <w:r>
        <w:t>3</w:t>
      </w:r>
      <w:r>
        <w:rPr>
          <w:rFonts w:hint="eastAsia"/>
        </w:rPr>
        <w:t>、因重大变故，采购任务取消的；</w:t>
      </w:r>
    </w:p>
    <w:p>
      <w:pPr>
        <w:pStyle w:val="24"/>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rPr>
      </w:pPr>
      <w:r>
        <w:t>4</w:t>
      </w:r>
      <w:r>
        <w:rPr>
          <w:rFonts w:hint="eastAsia"/>
        </w:rPr>
        <w:t>、法律、法规和招标文件规定的其他导致评标结果无效的。</w:t>
      </w:r>
    </w:p>
    <w:p>
      <w:pPr>
        <w:pStyle w:val="17"/>
        <w:pageBreakBefore w:val="0"/>
        <w:tabs>
          <w:tab w:val="left" w:pos="630"/>
        </w:tabs>
        <w:kinsoku/>
        <w:wordWrap/>
        <w:overflowPunct/>
        <w:topLinePunct w:val="0"/>
        <w:bidi w:val="0"/>
        <w:snapToGrid w:val="0"/>
        <w:spacing w:line="360" w:lineRule="exact"/>
        <w:ind w:firstLine="480" w:firstLineChars="200"/>
        <w:textAlignment w:val="auto"/>
        <w:rPr>
          <w:rFonts w:hAnsi="宋体" w:cs="Times New Roman"/>
          <w:b/>
          <w:bCs/>
          <w:sz w:val="24"/>
          <w:szCs w:val="24"/>
        </w:rPr>
      </w:pPr>
      <w:r>
        <w:rPr>
          <w:rFonts w:hint="eastAsia" w:hAnsi="宋体"/>
          <w:b/>
          <w:bCs/>
          <w:sz w:val="24"/>
          <w:szCs w:val="24"/>
        </w:rPr>
        <w:t>（</w:t>
      </w:r>
      <w:r>
        <w:rPr>
          <w:rFonts w:hint="eastAsia" w:hAnsi="宋体"/>
          <w:b/>
          <w:bCs/>
          <w:sz w:val="24"/>
          <w:szCs w:val="24"/>
          <w:lang w:eastAsia="zh-CN"/>
        </w:rPr>
        <w:t>十一</w:t>
      </w:r>
      <w:r>
        <w:rPr>
          <w:rFonts w:hint="eastAsia" w:hAnsi="宋体"/>
          <w:b/>
          <w:bCs/>
          <w:sz w:val="24"/>
          <w:szCs w:val="24"/>
        </w:rPr>
        <w:t>）评标原则和评标办法</w:t>
      </w:r>
    </w:p>
    <w:p>
      <w:pPr>
        <w:pStyle w:val="17"/>
        <w:pageBreakBefore w:val="0"/>
        <w:kinsoku/>
        <w:wordWrap/>
        <w:overflowPunct/>
        <w:topLinePunct w:val="0"/>
        <w:bidi w:val="0"/>
        <w:snapToGrid w:val="0"/>
        <w:spacing w:line="360" w:lineRule="exact"/>
        <w:ind w:firstLine="480" w:firstLineChars="200"/>
        <w:textAlignment w:val="auto"/>
        <w:rPr>
          <w:rFonts w:hint="eastAsia" w:hAnsi="宋体"/>
          <w:sz w:val="24"/>
          <w:szCs w:val="24"/>
        </w:rPr>
      </w:pPr>
      <w:r>
        <w:rPr>
          <w:rFonts w:hAnsi="宋体"/>
          <w:sz w:val="24"/>
          <w:szCs w:val="24"/>
        </w:rPr>
        <w:t>1</w:t>
      </w:r>
      <w:r>
        <w:rPr>
          <w:rFonts w:hint="eastAsia" w:hAnsi="宋体"/>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7"/>
        <w:pageBreakBefore w:val="0"/>
        <w:kinsoku/>
        <w:wordWrap/>
        <w:overflowPunct/>
        <w:topLinePunct w:val="0"/>
        <w:bidi w:val="0"/>
        <w:snapToGrid w:val="0"/>
        <w:spacing w:line="360" w:lineRule="exact"/>
        <w:ind w:firstLine="480" w:firstLineChars="200"/>
        <w:textAlignment w:val="auto"/>
        <w:rPr>
          <w:rFonts w:hAnsi="宋体" w:cs="Times New Roman"/>
          <w:sz w:val="24"/>
          <w:szCs w:val="24"/>
        </w:rPr>
      </w:pPr>
      <w:r>
        <w:rPr>
          <w:rFonts w:hint="eastAsia" w:hAnsi="宋体"/>
          <w:sz w:val="24"/>
          <w:szCs w:val="24"/>
          <w:lang w:val="en-US" w:eastAsia="zh-CN"/>
        </w:rPr>
        <w:t>2</w:t>
      </w:r>
      <w:r>
        <w:rPr>
          <w:rFonts w:hint="eastAsia" w:hAnsi="宋体"/>
          <w:sz w:val="24"/>
          <w:szCs w:val="24"/>
        </w:rPr>
        <w:t>、评标办法。具体评标内容及评分标准等详见《第三章：评标方法及评分标准》。</w:t>
      </w:r>
    </w:p>
    <w:p>
      <w:pPr>
        <w:pStyle w:val="17"/>
        <w:pageBreakBefore w:val="0"/>
        <w:kinsoku/>
        <w:wordWrap/>
        <w:overflowPunct/>
        <w:topLinePunct w:val="0"/>
        <w:bidi w:val="0"/>
        <w:snapToGrid w:val="0"/>
        <w:spacing w:line="360" w:lineRule="exact"/>
        <w:ind w:firstLine="480" w:firstLineChars="200"/>
        <w:textAlignment w:val="auto"/>
        <w:rPr>
          <w:rFonts w:hint="eastAsia" w:hAnsi="宋体"/>
          <w:sz w:val="24"/>
          <w:szCs w:val="24"/>
        </w:rPr>
      </w:pPr>
      <w:r>
        <w:rPr>
          <w:rFonts w:hint="eastAsia" w:hAnsi="宋体"/>
          <w:sz w:val="24"/>
          <w:szCs w:val="24"/>
          <w:lang w:val="en-US" w:eastAsia="zh-CN"/>
        </w:rPr>
        <w:t>3、</w:t>
      </w:r>
      <w:r>
        <w:rPr>
          <w:rFonts w:hint="eastAsia" w:hAnsi="宋体"/>
          <w:sz w:val="24"/>
          <w:szCs w:val="24"/>
        </w:rPr>
        <w:t>评标委员会</w:t>
      </w:r>
      <w:r>
        <w:rPr>
          <w:rFonts w:hint="eastAsia" w:hAnsi="宋体"/>
          <w:sz w:val="24"/>
          <w:szCs w:val="24"/>
          <w:lang w:eastAsia="zh-CN"/>
        </w:rPr>
        <w:t>应</w:t>
      </w:r>
      <w:r>
        <w:rPr>
          <w:rFonts w:hint="eastAsia" w:hAnsi="宋体"/>
          <w:sz w:val="24"/>
          <w:szCs w:val="24"/>
        </w:rPr>
        <w:t>对采购</w:t>
      </w:r>
      <w:r>
        <w:rPr>
          <w:rFonts w:hint="eastAsia" w:hAnsi="宋体"/>
          <w:sz w:val="24"/>
          <w:szCs w:val="24"/>
          <w:lang w:eastAsia="zh-CN"/>
        </w:rPr>
        <w:t>代理</w:t>
      </w:r>
      <w:r>
        <w:rPr>
          <w:rFonts w:hint="eastAsia" w:hAnsi="宋体"/>
          <w:sz w:val="24"/>
          <w:szCs w:val="24"/>
        </w:rPr>
        <w:t>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17"/>
        <w:pageBreakBefore w:val="0"/>
        <w:kinsoku/>
        <w:wordWrap/>
        <w:overflowPunct/>
        <w:topLinePunct w:val="0"/>
        <w:bidi w:val="0"/>
        <w:snapToGrid w:val="0"/>
        <w:spacing w:line="360" w:lineRule="exact"/>
        <w:ind w:firstLine="480" w:firstLineChars="200"/>
        <w:textAlignment w:val="auto"/>
        <w:rPr>
          <w:rFonts w:hAnsi="宋体" w:cs="Times New Roman"/>
          <w:sz w:val="24"/>
          <w:szCs w:val="24"/>
        </w:rPr>
      </w:pPr>
      <w:r>
        <w:rPr>
          <w:rFonts w:hint="eastAsia" w:hAnsi="宋体"/>
          <w:sz w:val="24"/>
          <w:szCs w:val="24"/>
          <w:lang w:val="en-US" w:eastAsia="zh-CN"/>
        </w:rPr>
        <w:t>4</w:t>
      </w:r>
      <w:r>
        <w:rPr>
          <w:rFonts w:hint="eastAsia" w:hAnsi="宋体"/>
          <w:sz w:val="24"/>
          <w:szCs w:val="24"/>
        </w:rPr>
        <w:t>、评标委员会发现招标文件存在歧义、重大缺陷导致评标工作无法进行，或者</w:t>
      </w:r>
      <w:r>
        <w:rPr>
          <w:rFonts w:hint="eastAsia" w:hAnsi="宋体"/>
          <w:sz w:val="24"/>
          <w:szCs w:val="24"/>
          <w:lang w:eastAsia="zh-CN"/>
        </w:rPr>
        <w:t>招标文件</w:t>
      </w:r>
      <w:r>
        <w:rPr>
          <w:rFonts w:hint="eastAsia" w:hAnsi="宋体"/>
          <w:sz w:val="24"/>
          <w:szCs w:val="24"/>
        </w:rPr>
        <w:t>内容违反国家有关强制性规定的，应当停止评标工作，与采购人或者采购代理机构沟通并作书面记录。采购人或者采购代理机构确认后，应当修改</w:t>
      </w:r>
      <w:r>
        <w:rPr>
          <w:rFonts w:hint="eastAsia" w:hAnsi="宋体"/>
          <w:sz w:val="24"/>
          <w:szCs w:val="24"/>
          <w:lang w:eastAsia="zh-CN"/>
        </w:rPr>
        <w:t>招标文件</w:t>
      </w:r>
      <w:r>
        <w:rPr>
          <w:rFonts w:hint="eastAsia" w:hAnsi="宋体"/>
          <w:sz w:val="24"/>
          <w:szCs w:val="24"/>
        </w:rPr>
        <w:t>，重新组织采购活动。</w:t>
      </w:r>
    </w:p>
    <w:p>
      <w:pPr>
        <w:pStyle w:val="17"/>
        <w:pageBreakBefore w:val="0"/>
        <w:kinsoku/>
        <w:wordWrap/>
        <w:overflowPunct/>
        <w:topLinePunct w:val="0"/>
        <w:bidi w:val="0"/>
        <w:snapToGrid w:val="0"/>
        <w:spacing w:line="360" w:lineRule="exact"/>
        <w:ind w:firstLine="480" w:firstLineChars="200"/>
        <w:textAlignment w:val="auto"/>
        <w:rPr>
          <w:rFonts w:hAnsi="宋体" w:cs="Times New Roman"/>
          <w:b/>
          <w:bCs/>
          <w:sz w:val="24"/>
          <w:szCs w:val="24"/>
        </w:rPr>
      </w:pPr>
      <w:r>
        <w:rPr>
          <w:rFonts w:hint="eastAsia" w:hAnsi="宋体"/>
          <w:b/>
          <w:bCs/>
          <w:sz w:val="24"/>
          <w:szCs w:val="24"/>
        </w:rPr>
        <w:t>（</w:t>
      </w:r>
      <w:r>
        <w:rPr>
          <w:rFonts w:hint="eastAsia" w:hAnsi="宋体"/>
          <w:b/>
          <w:bCs/>
          <w:sz w:val="24"/>
          <w:szCs w:val="24"/>
          <w:lang w:eastAsia="zh-CN"/>
        </w:rPr>
        <w:t>十二</w:t>
      </w:r>
      <w:r>
        <w:rPr>
          <w:rFonts w:hint="eastAsia" w:hAnsi="宋体"/>
          <w:b/>
          <w:bCs/>
          <w:sz w:val="24"/>
          <w:szCs w:val="24"/>
        </w:rPr>
        <w:t>）评标过程的监控</w:t>
      </w:r>
    </w:p>
    <w:p>
      <w:pPr>
        <w:pStyle w:val="24"/>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rPr>
      </w:pPr>
      <w:r>
        <w:rPr>
          <w:rFonts w:hint="eastAsia"/>
        </w:rPr>
        <w:t>本项目评标过程实行全程录音、录像监控，政府采购监管部门视情进行现场监督，投标人在评标过程中所进行的试图影响评标结果的不公正活动，可能导致其投标被拒绝。</w:t>
      </w:r>
    </w:p>
    <w:p>
      <w:pPr>
        <w:pageBreakBefore w:val="0"/>
        <w:kinsoku/>
        <w:wordWrap/>
        <w:overflowPunct/>
        <w:topLinePunct w:val="0"/>
        <w:bidi w:val="0"/>
        <w:spacing w:line="360" w:lineRule="exact"/>
        <w:jc w:val="center"/>
        <w:textAlignment w:val="auto"/>
        <w:rPr>
          <w:rFonts w:hint="eastAsia" w:ascii="宋体" w:hAnsi="宋体" w:cs="宋体"/>
          <w:b/>
          <w:bCs/>
          <w:sz w:val="28"/>
          <w:szCs w:val="28"/>
        </w:rPr>
      </w:pPr>
    </w:p>
    <w:p>
      <w:pPr>
        <w:pageBreakBefore w:val="0"/>
        <w:kinsoku/>
        <w:wordWrap/>
        <w:overflowPunct/>
        <w:topLinePunct w:val="0"/>
        <w:bidi w:val="0"/>
        <w:spacing w:line="360" w:lineRule="exact"/>
        <w:jc w:val="center"/>
        <w:textAlignment w:val="auto"/>
        <w:rPr>
          <w:rFonts w:hint="eastAsia" w:ascii="宋体" w:hAnsi="宋体" w:cs="宋体"/>
          <w:b/>
          <w:bCs/>
          <w:sz w:val="28"/>
          <w:szCs w:val="28"/>
        </w:rPr>
      </w:pPr>
      <w:r>
        <w:rPr>
          <w:rFonts w:hint="eastAsia" w:ascii="宋体" w:hAnsi="宋体" w:cs="宋体"/>
          <w:b/>
          <w:bCs/>
          <w:sz w:val="28"/>
          <w:szCs w:val="28"/>
        </w:rPr>
        <w:t>六、定标</w:t>
      </w:r>
    </w:p>
    <w:p>
      <w:pPr>
        <w:pStyle w:val="24"/>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rPr>
      </w:pPr>
      <w:r>
        <w:t>1</w:t>
      </w:r>
      <w:r>
        <w:rPr>
          <w:rFonts w:hint="eastAsia"/>
        </w:rPr>
        <w:t>、确定中标供应商。评标委员会根据采购单位的《授权意见确认书》，推荐中标候选人或确定中标人。其中推荐中标候选人的，采购代理机构在评审结束后</w:t>
      </w:r>
      <w:r>
        <w:t>2</w:t>
      </w:r>
      <w:r>
        <w:rPr>
          <w:rFonts w:hint="eastAsia"/>
        </w:rPr>
        <w:t>个工作日内将评标报告送采购人，采购人自收到评审报告之日起</w:t>
      </w:r>
      <w:r>
        <w:t>5</w:t>
      </w:r>
      <w:r>
        <w:rPr>
          <w:rFonts w:hint="eastAsia"/>
        </w:rPr>
        <w:t>个工作日内在评审报告推荐的中标候选人中按顺序确定中标人。</w:t>
      </w:r>
    </w:p>
    <w:p>
      <w:pPr>
        <w:pageBreakBefore w:val="0"/>
        <w:kinsoku/>
        <w:wordWrap/>
        <w:overflowPunct/>
        <w:topLinePunct w:val="0"/>
        <w:bidi w:val="0"/>
        <w:spacing w:line="360" w:lineRule="exact"/>
        <w:ind w:firstLine="480" w:firstLineChars="200"/>
        <w:textAlignment w:val="auto"/>
        <w:rPr>
          <w:rFonts w:ascii="宋体"/>
          <w:kern w:val="0"/>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kern w:val="0"/>
          <w:sz w:val="24"/>
          <w:szCs w:val="24"/>
        </w:rPr>
        <w:t>发布</w:t>
      </w:r>
      <w:r>
        <w:rPr>
          <w:rFonts w:hint="eastAsia" w:cs="宋体"/>
          <w:sz w:val="24"/>
          <w:szCs w:val="24"/>
        </w:rPr>
        <w:t>中标</w:t>
      </w:r>
      <w:r>
        <w:rPr>
          <w:rFonts w:hint="eastAsia" w:ascii="宋体" w:hAnsi="宋体" w:cs="宋体"/>
          <w:kern w:val="0"/>
          <w:sz w:val="24"/>
          <w:szCs w:val="24"/>
        </w:rPr>
        <w:t>结果公告。采购代理机构应当自中标人确定之日起</w:t>
      </w:r>
      <w:r>
        <w:rPr>
          <w:rFonts w:ascii="宋体" w:hAnsi="宋体" w:cs="宋体"/>
          <w:kern w:val="0"/>
          <w:sz w:val="24"/>
          <w:szCs w:val="24"/>
        </w:rPr>
        <w:t>2</w:t>
      </w:r>
      <w:r>
        <w:rPr>
          <w:rFonts w:hint="eastAsia" w:ascii="宋体" w:hAnsi="宋体" w:cs="宋体"/>
          <w:kern w:val="0"/>
          <w:sz w:val="24"/>
          <w:szCs w:val="24"/>
        </w:rPr>
        <w:t>个工作日内，在省级以上财政部门指定的媒体及相关网站上公告中标结果。</w:t>
      </w:r>
    </w:p>
    <w:p>
      <w:pPr>
        <w:pageBreakBefore w:val="0"/>
        <w:kinsoku/>
        <w:wordWrap/>
        <w:overflowPunct/>
        <w:topLinePunct w:val="0"/>
        <w:bidi w:val="0"/>
        <w:spacing w:line="360" w:lineRule="exact"/>
        <w:ind w:firstLine="480" w:firstLineChars="200"/>
        <w:textAlignment w:val="auto"/>
        <w:rPr>
          <w:rFonts w:ascii="宋体"/>
          <w:kern w:val="0"/>
          <w:sz w:val="24"/>
          <w:szCs w:val="24"/>
        </w:rPr>
      </w:pPr>
      <w:r>
        <w:rPr>
          <w:rFonts w:ascii="宋体" w:hAnsi="宋体" w:cs="宋体"/>
          <w:kern w:val="0"/>
          <w:sz w:val="24"/>
          <w:szCs w:val="24"/>
        </w:rPr>
        <w:t>3</w:t>
      </w:r>
      <w:r>
        <w:rPr>
          <w:rFonts w:hint="eastAsia" w:ascii="宋体" w:hAnsi="宋体" w:cs="宋体"/>
          <w:kern w:val="0"/>
          <w:sz w:val="24"/>
          <w:szCs w:val="24"/>
        </w:rPr>
        <w:t>、发出中标通知书。采购代理机构在发布中标结果的同时，向中标人发出中标通知书。</w:t>
      </w:r>
      <w:r>
        <w:rPr>
          <w:rFonts w:hint="eastAsia" w:ascii="宋体" w:hAnsi="宋体" w:cs="宋体"/>
          <w:b/>
          <w:bCs/>
          <w:kern w:val="0"/>
          <w:sz w:val="24"/>
          <w:szCs w:val="24"/>
          <w:u w:val="single"/>
        </w:rPr>
        <w:t>中标人应在领取中标通知书之时按采购人要求提供纸质投标文件（采用胶装），不建议采用活页夹等可随时拆换的方式装订。</w:t>
      </w:r>
    </w:p>
    <w:p>
      <w:pPr>
        <w:pageBreakBefore w:val="0"/>
        <w:kinsoku/>
        <w:wordWrap/>
        <w:overflowPunct/>
        <w:topLinePunct w:val="0"/>
        <w:bidi w:val="0"/>
        <w:spacing w:line="360" w:lineRule="exact"/>
        <w:jc w:val="center"/>
        <w:textAlignment w:val="auto"/>
        <w:rPr>
          <w:rFonts w:hint="eastAsia" w:ascii="宋体" w:hAnsi="宋体" w:cs="宋体"/>
          <w:b/>
          <w:bCs/>
          <w:sz w:val="28"/>
          <w:szCs w:val="28"/>
        </w:rPr>
      </w:pPr>
    </w:p>
    <w:p>
      <w:pPr>
        <w:pageBreakBefore w:val="0"/>
        <w:kinsoku/>
        <w:wordWrap/>
        <w:overflowPunct/>
        <w:topLinePunct w:val="0"/>
        <w:bidi w:val="0"/>
        <w:spacing w:line="360" w:lineRule="exact"/>
        <w:jc w:val="center"/>
        <w:textAlignment w:val="auto"/>
        <w:rPr>
          <w:rFonts w:ascii="宋体" w:cs="宋体"/>
          <w:b/>
          <w:bCs/>
          <w:sz w:val="28"/>
          <w:szCs w:val="28"/>
        </w:rPr>
      </w:pPr>
      <w:r>
        <w:rPr>
          <w:rFonts w:hint="eastAsia" w:ascii="宋体" w:hAnsi="宋体" w:cs="宋体"/>
          <w:b/>
          <w:bCs/>
          <w:sz w:val="28"/>
          <w:szCs w:val="28"/>
        </w:rPr>
        <w:t>七、合同签订及公告</w:t>
      </w:r>
    </w:p>
    <w:p>
      <w:pPr>
        <w:pageBreakBefore w:val="0"/>
        <w:kinsoku/>
        <w:wordWrap/>
        <w:overflowPunct/>
        <w:topLinePunct w:val="0"/>
        <w:bidi w:val="0"/>
        <w:spacing w:line="360" w:lineRule="exact"/>
        <w:ind w:firstLine="480" w:firstLineChars="200"/>
        <w:textAlignment w:val="auto"/>
        <w:rPr>
          <w:rFonts w:ascii="宋体"/>
          <w:b/>
          <w:bCs/>
          <w:kern w:val="0"/>
          <w:sz w:val="24"/>
          <w:szCs w:val="24"/>
        </w:rPr>
      </w:pPr>
      <w:r>
        <w:rPr>
          <w:rFonts w:hint="eastAsia" w:ascii="宋体" w:hAnsi="宋体" w:cs="宋体"/>
          <w:b/>
          <w:bCs/>
          <w:sz w:val="24"/>
          <w:szCs w:val="24"/>
        </w:rPr>
        <w:t>（一）签订合同</w:t>
      </w:r>
    </w:p>
    <w:p>
      <w:pPr>
        <w:pStyle w:val="24"/>
        <w:pageBreakBefore w:val="0"/>
        <w:kinsoku/>
        <w:wordWrap/>
        <w:overflowPunct/>
        <w:topLinePunct w:val="0"/>
        <w:bidi w:val="0"/>
        <w:spacing w:before="0" w:beforeAutospacing="0" w:after="0" w:afterAutospacing="0" w:line="360" w:lineRule="exact"/>
        <w:ind w:firstLine="600" w:firstLineChars="250"/>
        <w:jc w:val="both"/>
        <w:textAlignment w:val="auto"/>
        <w:rPr>
          <w:rFonts w:cs="Times New Roman"/>
        </w:rPr>
      </w:pPr>
      <w:r>
        <w:t>1</w:t>
      </w:r>
      <w:r>
        <w:rPr>
          <w:rFonts w:hint="eastAsia"/>
        </w:rPr>
        <w:t>、采购人应当自中标通知书发出之日起</w:t>
      </w:r>
      <w:r>
        <w:t>30</w:t>
      </w:r>
      <w:r>
        <w:rPr>
          <w:rFonts w:hint="eastAsia"/>
        </w:rPr>
        <w:t>日内，按照</w:t>
      </w:r>
      <w:r>
        <w:rPr>
          <w:rFonts w:hint="eastAsia"/>
          <w:lang w:eastAsia="zh-CN"/>
        </w:rPr>
        <w:t>招标文件</w:t>
      </w:r>
      <w:r>
        <w:rPr>
          <w:rFonts w:hint="eastAsia"/>
        </w:rPr>
        <w:t>和中标人投标文件的规定，与中标人签订书面合同。所签订的合同不得对</w:t>
      </w:r>
      <w:r>
        <w:rPr>
          <w:rFonts w:hint="eastAsia"/>
          <w:lang w:eastAsia="zh-CN"/>
        </w:rPr>
        <w:t>招标文件</w:t>
      </w:r>
      <w:r>
        <w:rPr>
          <w:rFonts w:hint="eastAsia"/>
        </w:rPr>
        <w:t>确定的事项和中标人投标文件作实质性修改。</w:t>
      </w:r>
    </w:p>
    <w:p>
      <w:pPr>
        <w:pStyle w:val="24"/>
        <w:pageBreakBefore w:val="0"/>
        <w:kinsoku/>
        <w:wordWrap/>
        <w:overflowPunct/>
        <w:topLinePunct w:val="0"/>
        <w:bidi w:val="0"/>
        <w:spacing w:before="0" w:beforeAutospacing="0" w:after="0" w:afterAutospacing="0" w:line="360" w:lineRule="exact"/>
        <w:ind w:firstLine="600" w:firstLineChars="250"/>
        <w:jc w:val="both"/>
        <w:textAlignment w:val="auto"/>
        <w:rPr>
          <w:rFonts w:cs="Times New Roman"/>
        </w:rPr>
      </w:pPr>
      <w:r>
        <w:t>2</w:t>
      </w:r>
      <w:r>
        <w:rPr>
          <w:rFonts w:hint="eastAsia"/>
        </w:rPr>
        <w:t>、采购人不得向中标人提出任何不合理的要求作为签订合同的条件。</w:t>
      </w:r>
    </w:p>
    <w:p>
      <w:pPr>
        <w:pStyle w:val="24"/>
        <w:pageBreakBefore w:val="0"/>
        <w:kinsoku/>
        <w:wordWrap/>
        <w:overflowPunct/>
        <w:topLinePunct w:val="0"/>
        <w:bidi w:val="0"/>
        <w:spacing w:before="0" w:beforeAutospacing="0" w:after="0" w:afterAutospacing="0" w:line="360" w:lineRule="exact"/>
        <w:ind w:firstLine="600" w:firstLineChars="250"/>
        <w:jc w:val="both"/>
        <w:textAlignment w:val="auto"/>
        <w:rPr>
          <w:rFonts w:cs="Times New Roman"/>
        </w:rPr>
      </w:pPr>
      <w:r>
        <w:t>3</w:t>
      </w:r>
      <w:r>
        <w:rPr>
          <w:rFonts w:hint="eastAsia"/>
        </w:rPr>
        <w:t>、中标供应商无正当理由拖延、拒签合同的</w:t>
      </w:r>
      <w:r>
        <w:t>,</w:t>
      </w:r>
      <w:r>
        <w:rPr>
          <w:rFonts w:hint="eastAsia"/>
        </w:rPr>
        <w:t>按《政府采购法》及等有关规定进行处理处罚。</w:t>
      </w:r>
    </w:p>
    <w:p>
      <w:pPr>
        <w:pStyle w:val="24"/>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rPr>
      </w:pPr>
      <w:r>
        <w:t>4</w:t>
      </w:r>
      <w:r>
        <w:rPr>
          <w:rFonts w:hint="eastAsia"/>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24"/>
        <w:pageBreakBefore w:val="0"/>
        <w:kinsoku/>
        <w:wordWrap/>
        <w:overflowPunct/>
        <w:topLinePunct w:val="0"/>
        <w:bidi w:val="0"/>
        <w:spacing w:before="0" w:beforeAutospacing="0" w:after="0" w:afterAutospacing="0" w:line="360" w:lineRule="exact"/>
        <w:ind w:firstLine="480" w:firstLineChars="200"/>
        <w:textAlignment w:val="auto"/>
        <w:rPr>
          <w:rFonts w:cs="Times New Roman"/>
        </w:rPr>
      </w:pPr>
      <w:r>
        <w:t>5</w:t>
      </w:r>
      <w:r>
        <w:rPr>
          <w:rFonts w:hint="eastAsia"/>
        </w:rPr>
        <w:t>、询问或者质疑事项可能影响中标结果的，采购人应当暂停签订合同，已经签订合同的，应当中止履行合同（中标结果的质疑期为中标结果公告期限届满之日起七个工作日）。</w:t>
      </w:r>
    </w:p>
    <w:p>
      <w:pPr>
        <w:pStyle w:val="24"/>
        <w:pageBreakBefore w:val="0"/>
        <w:kinsoku/>
        <w:wordWrap/>
        <w:overflowPunct/>
        <w:topLinePunct w:val="0"/>
        <w:bidi w:val="0"/>
        <w:spacing w:before="0" w:beforeAutospacing="0" w:after="0" w:afterAutospacing="0" w:line="360" w:lineRule="exact"/>
        <w:ind w:firstLine="422" w:firstLineChars="176"/>
        <w:textAlignment w:val="auto"/>
        <w:rPr>
          <w:rFonts w:cs="Times New Roman"/>
          <w:b/>
          <w:bCs/>
        </w:rPr>
      </w:pPr>
      <w:r>
        <w:rPr>
          <w:rFonts w:hint="eastAsia"/>
          <w:b/>
          <w:bCs/>
        </w:rPr>
        <w:t>（二）合同公告及备案</w:t>
      </w:r>
    </w:p>
    <w:p>
      <w:pPr>
        <w:pStyle w:val="15"/>
        <w:pageBreakBefore w:val="0"/>
        <w:kinsoku/>
        <w:wordWrap/>
        <w:overflowPunct/>
        <w:topLinePunct w:val="0"/>
        <w:bidi w:val="0"/>
        <w:spacing w:after="0" w:line="360" w:lineRule="exact"/>
        <w:ind w:left="0" w:leftChars="0" w:firstLine="480" w:firstLineChars="200"/>
        <w:jc w:val="left"/>
        <w:textAlignment w:val="auto"/>
        <w:rPr>
          <w:rFonts w:ascii="宋体"/>
          <w:sz w:val="24"/>
          <w:szCs w:val="24"/>
        </w:rPr>
      </w:pPr>
      <w:r>
        <w:rPr>
          <w:rFonts w:ascii="宋体" w:hAnsi="宋体" w:cs="宋体"/>
          <w:sz w:val="24"/>
          <w:szCs w:val="24"/>
        </w:rPr>
        <w:t>1</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w:t>
      </w:r>
      <w:r>
        <w:rPr>
          <w:rFonts w:hint="eastAsia" w:ascii="宋体" w:hAnsi="宋体" w:cs="宋体"/>
          <w:kern w:val="0"/>
          <w:sz w:val="24"/>
          <w:szCs w:val="24"/>
        </w:rPr>
        <w:t>在省级以上财政部门指定的政府采购信息发布媒体及相关网站上公告</w:t>
      </w:r>
      <w:r>
        <w:rPr>
          <w:rFonts w:hint="eastAsia" w:ascii="宋体" w:hAnsi="宋体" w:cs="宋体"/>
          <w:sz w:val="24"/>
          <w:szCs w:val="24"/>
        </w:rPr>
        <w:t>。</w:t>
      </w:r>
    </w:p>
    <w:p>
      <w:pPr>
        <w:pStyle w:val="15"/>
        <w:pageBreakBefore w:val="0"/>
        <w:kinsoku/>
        <w:wordWrap/>
        <w:overflowPunct/>
        <w:topLinePunct w:val="0"/>
        <w:bidi w:val="0"/>
        <w:spacing w:after="0" w:line="360" w:lineRule="exact"/>
        <w:ind w:left="0" w:leftChars="0" w:firstLine="480" w:firstLineChars="200"/>
        <w:textAlignment w:val="auto"/>
        <w:rPr>
          <w:rFonts w:ascii="宋体"/>
          <w:sz w:val="24"/>
          <w:szCs w:val="24"/>
        </w:rPr>
      </w:pPr>
      <w:r>
        <w:rPr>
          <w:rFonts w:ascii="宋体" w:hAnsi="宋体" w:cs="宋体"/>
          <w:sz w:val="24"/>
          <w:szCs w:val="24"/>
        </w:rPr>
        <w:t>2</w:t>
      </w:r>
      <w:r>
        <w:rPr>
          <w:rFonts w:hint="eastAsia" w:ascii="宋体" w:hAnsi="宋体" w:cs="宋体"/>
          <w:sz w:val="24"/>
          <w:szCs w:val="24"/>
        </w:rPr>
        <w:t>、采购人应当自政府采购合同签订之日起</w:t>
      </w:r>
      <w:r>
        <w:rPr>
          <w:rFonts w:ascii="宋体" w:hAnsi="宋体" w:cs="宋体"/>
          <w:sz w:val="24"/>
          <w:szCs w:val="24"/>
        </w:rPr>
        <w:t>7</w:t>
      </w:r>
      <w:r>
        <w:rPr>
          <w:rFonts w:hint="eastAsia" w:ascii="宋体" w:hAnsi="宋体" w:cs="宋体"/>
          <w:sz w:val="24"/>
          <w:szCs w:val="24"/>
        </w:rPr>
        <w:t>个工作日内，将政府采购合同副本报同级人民政府财政部门备案以及采购代理机构存档。</w:t>
      </w:r>
    </w:p>
    <w:p>
      <w:pPr>
        <w:pageBreakBefore w:val="0"/>
        <w:kinsoku/>
        <w:wordWrap/>
        <w:overflowPunct/>
        <w:topLinePunct w:val="0"/>
        <w:bidi w:val="0"/>
        <w:spacing w:line="360" w:lineRule="exact"/>
        <w:jc w:val="center"/>
        <w:textAlignment w:val="auto"/>
        <w:rPr>
          <w:rFonts w:hint="eastAsia" w:ascii="宋体" w:hAnsi="宋体" w:cs="宋体"/>
          <w:b/>
          <w:bCs/>
          <w:sz w:val="28"/>
          <w:szCs w:val="28"/>
          <w:lang w:val="en-US" w:eastAsia="zh-CN"/>
        </w:rPr>
      </w:pPr>
    </w:p>
    <w:p>
      <w:pPr>
        <w:pageBreakBefore w:val="0"/>
        <w:kinsoku/>
        <w:wordWrap/>
        <w:overflowPunct/>
        <w:topLinePunct w:val="0"/>
        <w:bidi w:val="0"/>
        <w:spacing w:line="360" w:lineRule="exact"/>
        <w:jc w:val="center"/>
        <w:textAlignment w:val="auto"/>
        <w:rPr>
          <w:rFonts w:hint="eastAsia" w:ascii="宋体" w:hAnsi="宋体" w:cs="宋体"/>
          <w:b/>
          <w:bCs/>
          <w:sz w:val="28"/>
          <w:szCs w:val="28"/>
        </w:rPr>
      </w:pPr>
      <w:r>
        <w:rPr>
          <w:rFonts w:hint="eastAsia" w:ascii="宋体" w:hAnsi="宋体" w:cs="宋体"/>
          <w:b/>
          <w:bCs/>
          <w:sz w:val="28"/>
          <w:szCs w:val="28"/>
          <w:lang w:eastAsia="zh-CN"/>
        </w:rPr>
        <w:t>八</w:t>
      </w:r>
      <w:r>
        <w:rPr>
          <w:rFonts w:hint="eastAsia" w:ascii="宋体" w:hAnsi="宋体" w:cs="宋体"/>
          <w:b/>
          <w:bCs/>
          <w:sz w:val="28"/>
          <w:szCs w:val="28"/>
        </w:rPr>
        <w:t>、验收</w:t>
      </w:r>
    </w:p>
    <w:p>
      <w:pPr>
        <w:pStyle w:val="15"/>
        <w:pageBreakBefore w:val="0"/>
        <w:kinsoku/>
        <w:wordWrap/>
        <w:overflowPunct/>
        <w:topLinePunct w:val="0"/>
        <w:bidi w:val="0"/>
        <w:spacing w:after="0" w:line="360" w:lineRule="exact"/>
        <w:ind w:left="0" w:leftChars="0" w:firstLine="480" w:firstLineChars="200"/>
        <w:jc w:val="left"/>
        <w:textAlignment w:val="auto"/>
        <w:rPr>
          <w:rFonts w:hint="eastAsia" w:ascii="宋体" w:hAnsi="宋体" w:cs="宋体"/>
          <w:kern w:val="0"/>
          <w:sz w:val="24"/>
          <w:szCs w:val="24"/>
          <w:lang w:eastAsia="zh-CN"/>
        </w:rPr>
      </w:pPr>
      <w:r>
        <w:rPr>
          <w:rFonts w:hint="eastAsia" w:ascii="宋体" w:hAnsi="宋体" w:cs="宋体"/>
          <w:kern w:val="0"/>
          <w:sz w:val="24"/>
          <w:szCs w:val="24"/>
          <w:lang w:val="en-US" w:eastAsia="zh-CN"/>
        </w:rPr>
        <w:t>1、</w:t>
      </w:r>
      <w:r>
        <w:rPr>
          <w:rFonts w:hint="eastAsia" w:ascii="宋体" w:hAnsi="宋体" w:cs="宋体"/>
          <w:kern w:val="0"/>
          <w:sz w:val="24"/>
          <w:szCs w:val="24"/>
          <w:lang w:eastAsia="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15"/>
        <w:pageBreakBefore w:val="0"/>
        <w:kinsoku/>
        <w:wordWrap/>
        <w:overflowPunct/>
        <w:topLinePunct w:val="0"/>
        <w:bidi w:val="0"/>
        <w:spacing w:after="0" w:line="360" w:lineRule="exact"/>
        <w:ind w:left="0" w:leftChars="0" w:firstLine="480" w:firstLineChars="200"/>
        <w:jc w:val="left"/>
        <w:textAlignment w:val="auto"/>
        <w:rPr>
          <w:rFonts w:hint="eastAsia" w:ascii="宋体" w:hAnsi="宋体" w:cs="宋体"/>
          <w:kern w:val="0"/>
          <w:sz w:val="24"/>
          <w:szCs w:val="24"/>
          <w:lang w:eastAsia="zh-CN"/>
        </w:rPr>
      </w:pPr>
      <w:r>
        <w:rPr>
          <w:rFonts w:hint="eastAsia" w:ascii="宋体" w:hAnsi="宋体" w:cs="宋体"/>
          <w:kern w:val="0"/>
          <w:sz w:val="24"/>
          <w:szCs w:val="24"/>
          <w:lang w:val="en-US" w:eastAsia="zh-CN"/>
        </w:rPr>
        <w:t>2、</w:t>
      </w:r>
      <w:r>
        <w:rPr>
          <w:rFonts w:hint="eastAsia" w:ascii="宋体" w:hAnsi="宋体" w:cs="宋体"/>
          <w:kern w:val="0"/>
          <w:sz w:val="24"/>
          <w:szCs w:val="24"/>
          <w:lang w:eastAsia="zh-CN"/>
        </w:rPr>
        <w:t>采购人可以邀请参加本项目的其他投标人或者第三方机构参与验收。参与验收的投标人或者第三方机构的意见作为验收书的参考资料一并存档。</w:t>
      </w:r>
    </w:p>
    <w:p>
      <w:pPr>
        <w:pStyle w:val="15"/>
        <w:pageBreakBefore w:val="0"/>
        <w:kinsoku/>
        <w:wordWrap/>
        <w:overflowPunct/>
        <w:topLinePunct w:val="0"/>
        <w:bidi w:val="0"/>
        <w:spacing w:after="0" w:line="360" w:lineRule="exact"/>
        <w:ind w:left="0" w:leftChars="0" w:firstLine="480" w:firstLineChars="200"/>
        <w:jc w:val="left"/>
        <w:textAlignment w:val="auto"/>
        <w:rPr>
          <w:rFonts w:hint="eastAsia" w:ascii="宋体" w:hAnsi="宋体" w:cs="宋体"/>
          <w:kern w:val="0"/>
          <w:sz w:val="24"/>
          <w:szCs w:val="24"/>
          <w:lang w:eastAsia="zh-CN"/>
        </w:rPr>
      </w:pPr>
      <w:r>
        <w:rPr>
          <w:rFonts w:hint="eastAsia" w:ascii="宋体" w:hAnsi="宋体" w:cs="宋体"/>
          <w:kern w:val="0"/>
          <w:sz w:val="24"/>
          <w:szCs w:val="24"/>
          <w:lang w:val="en-US" w:eastAsia="zh-CN"/>
        </w:rPr>
        <w:t>3、</w:t>
      </w:r>
      <w:r>
        <w:rPr>
          <w:rFonts w:hint="eastAsia" w:ascii="宋体" w:hAnsi="宋体" w:cs="宋体"/>
          <w:kern w:val="0"/>
          <w:sz w:val="24"/>
          <w:szCs w:val="24"/>
          <w:lang w:eastAsia="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15"/>
        <w:pageBreakBefore w:val="0"/>
        <w:kinsoku/>
        <w:wordWrap/>
        <w:overflowPunct/>
        <w:topLinePunct w:val="0"/>
        <w:bidi w:val="0"/>
        <w:spacing w:after="0" w:line="360" w:lineRule="exact"/>
        <w:ind w:left="0" w:leftChars="0" w:firstLine="480" w:firstLineChars="200"/>
        <w:jc w:val="left"/>
        <w:textAlignment w:val="auto"/>
        <w:rPr>
          <w:rFonts w:hint="eastAsia" w:ascii="宋体" w:hAnsi="宋体" w:cs="宋体"/>
          <w:kern w:val="0"/>
          <w:sz w:val="24"/>
          <w:szCs w:val="24"/>
          <w:lang w:eastAsia="zh-CN"/>
        </w:rPr>
      </w:pPr>
      <w:r>
        <w:rPr>
          <w:rFonts w:hint="eastAsia" w:ascii="宋体" w:hAnsi="宋体" w:cs="宋体"/>
          <w:kern w:val="0"/>
          <w:sz w:val="24"/>
          <w:szCs w:val="24"/>
          <w:lang w:val="en-US" w:eastAsia="zh-CN"/>
        </w:rPr>
        <w:t>4、</w:t>
      </w:r>
      <w:r>
        <w:rPr>
          <w:rFonts w:hint="eastAsia" w:ascii="宋体" w:hAnsi="宋体" w:cs="宋体"/>
          <w:kern w:val="0"/>
          <w:sz w:val="24"/>
          <w:szCs w:val="24"/>
          <w:lang w:eastAsia="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ageBreakBefore w:val="0"/>
        <w:kinsoku/>
        <w:wordWrap/>
        <w:overflowPunct/>
        <w:topLinePunct w:val="0"/>
        <w:bidi w:val="0"/>
        <w:spacing w:line="360" w:lineRule="exact"/>
        <w:jc w:val="center"/>
        <w:textAlignment w:val="auto"/>
        <w:rPr>
          <w:rFonts w:hint="eastAsia" w:ascii="宋体" w:hAnsi="宋体" w:eastAsia="宋体" w:cs="宋体"/>
          <w:sz w:val="22"/>
          <w:szCs w:val="22"/>
          <w:highlight w:val="none"/>
          <w:lang w:eastAsia="zh-CN"/>
        </w:rPr>
      </w:pPr>
    </w:p>
    <w:p>
      <w:pPr>
        <w:pageBreakBefore w:val="0"/>
        <w:kinsoku/>
        <w:wordWrap/>
        <w:overflowPunct/>
        <w:topLinePunct w:val="0"/>
        <w:bidi w:val="0"/>
        <w:spacing w:line="360" w:lineRule="exact"/>
        <w:jc w:val="center"/>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九、其他</w:t>
      </w:r>
    </w:p>
    <w:p>
      <w:pPr>
        <w:pStyle w:val="15"/>
        <w:pageBreakBefore w:val="0"/>
        <w:kinsoku/>
        <w:wordWrap/>
        <w:overflowPunct/>
        <w:topLinePunct w:val="0"/>
        <w:bidi w:val="0"/>
        <w:spacing w:after="0" w:line="360" w:lineRule="exact"/>
        <w:ind w:left="0" w:leftChars="0" w:firstLine="480" w:firstLineChars="200"/>
        <w:jc w:val="left"/>
        <w:textAlignment w:val="auto"/>
        <w:rPr>
          <w:rFonts w:hint="eastAsia" w:ascii="宋体" w:hAnsi="宋体" w:cs="宋体"/>
          <w:sz w:val="24"/>
          <w:szCs w:val="24"/>
        </w:rPr>
      </w:pPr>
      <w:r>
        <w:rPr>
          <w:rFonts w:hint="eastAsia" w:ascii="宋体" w:hAnsi="宋体" w:cs="宋体"/>
          <w:sz w:val="24"/>
          <w:szCs w:val="24"/>
        </w:rPr>
        <w:t>采购过程中出现以下情形，导致电子交易平台无法正常运行，或者无法保证电子交易的公平、公正和安全时，采购</w:t>
      </w:r>
      <w:r>
        <w:rPr>
          <w:rFonts w:hint="eastAsia" w:ascii="宋体" w:hAnsi="宋体" w:cs="宋体"/>
          <w:sz w:val="24"/>
          <w:szCs w:val="24"/>
          <w:lang w:eastAsia="zh-CN"/>
        </w:rPr>
        <w:t>代理</w:t>
      </w:r>
      <w:r>
        <w:rPr>
          <w:rFonts w:hint="eastAsia" w:ascii="宋体" w:hAnsi="宋体" w:cs="宋体"/>
          <w:sz w:val="24"/>
          <w:szCs w:val="24"/>
        </w:rPr>
        <w:t>机构可中止电子交易活动：</w:t>
      </w:r>
    </w:p>
    <w:p>
      <w:pPr>
        <w:pStyle w:val="15"/>
        <w:pageBreakBefore w:val="0"/>
        <w:kinsoku/>
        <w:wordWrap/>
        <w:overflowPunct/>
        <w:topLinePunct w:val="0"/>
        <w:bidi w:val="0"/>
        <w:spacing w:after="0" w:line="360" w:lineRule="exact"/>
        <w:ind w:left="0" w:leftChars="0" w:firstLine="480" w:firstLineChars="200"/>
        <w:jc w:val="left"/>
        <w:textAlignment w:val="auto"/>
        <w:rPr>
          <w:rFonts w:hint="eastAsia" w:ascii="宋体" w:hAnsi="宋体" w:cs="宋体"/>
          <w:sz w:val="24"/>
          <w:szCs w:val="24"/>
        </w:rPr>
      </w:pPr>
      <w:r>
        <w:rPr>
          <w:rFonts w:hint="eastAsia" w:ascii="宋体" w:hAnsi="宋体" w:cs="宋体"/>
          <w:sz w:val="24"/>
          <w:szCs w:val="24"/>
        </w:rPr>
        <w:t>1、电子交易平台发生故障而无法登录访问的；</w:t>
      </w:r>
    </w:p>
    <w:p>
      <w:pPr>
        <w:pStyle w:val="15"/>
        <w:pageBreakBefore w:val="0"/>
        <w:kinsoku/>
        <w:wordWrap/>
        <w:overflowPunct/>
        <w:topLinePunct w:val="0"/>
        <w:bidi w:val="0"/>
        <w:spacing w:after="0" w:line="360" w:lineRule="exact"/>
        <w:ind w:left="0" w:leftChars="0" w:firstLine="480" w:firstLineChars="200"/>
        <w:jc w:val="left"/>
        <w:textAlignment w:val="auto"/>
        <w:rPr>
          <w:rFonts w:hint="eastAsia" w:ascii="宋体" w:hAnsi="宋体" w:cs="宋体"/>
          <w:sz w:val="24"/>
          <w:szCs w:val="24"/>
        </w:rPr>
      </w:pPr>
      <w:r>
        <w:rPr>
          <w:rFonts w:hint="eastAsia" w:ascii="宋体" w:hAnsi="宋体" w:cs="宋体"/>
          <w:sz w:val="24"/>
          <w:szCs w:val="24"/>
        </w:rPr>
        <w:t>2、电子交易平台应用或数据库出现错误，不能进行正常操作的；</w:t>
      </w:r>
    </w:p>
    <w:p>
      <w:pPr>
        <w:pStyle w:val="15"/>
        <w:pageBreakBefore w:val="0"/>
        <w:kinsoku/>
        <w:wordWrap/>
        <w:overflowPunct/>
        <w:topLinePunct w:val="0"/>
        <w:bidi w:val="0"/>
        <w:spacing w:after="0" w:line="360" w:lineRule="exact"/>
        <w:ind w:left="0" w:leftChars="0" w:firstLine="480" w:firstLineChars="200"/>
        <w:jc w:val="left"/>
        <w:textAlignment w:val="auto"/>
        <w:rPr>
          <w:rFonts w:hint="eastAsia" w:ascii="宋体" w:hAnsi="宋体" w:cs="宋体"/>
          <w:sz w:val="24"/>
          <w:szCs w:val="24"/>
        </w:rPr>
      </w:pPr>
      <w:r>
        <w:rPr>
          <w:rFonts w:hint="eastAsia" w:ascii="宋体" w:hAnsi="宋体" w:cs="宋体"/>
          <w:sz w:val="24"/>
          <w:szCs w:val="24"/>
        </w:rPr>
        <w:t>3、电子交易平台发现严重安全漏洞，有潜在泄密危险的；</w:t>
      </w:r>
    </w:p>
    <w:p>
      <w:pPr>
        <w:pStyle w:val="15"/>
        <w:pageBreakBefore w:val="0"/>
        <w:kinsoku/>
        <w:wordWrap/>
        <w:overflowPunct/>
        <w:topLinePunct w:val="0"/>
        <w:bidi w:val="0"/>
        <w:spacing w:after="0" w:line="360" w:lineRule="exact"/>
        <w:ind w:left="0" w:leftChars="0" w:firstLine="480" w:firstLineChars="200"/>
        <w:jc w:val="left"/>
        <w:textAlignment w:val="auto"/>
        <w:rPr>
          <w:rFonts w:hint="eastAsia" w:ascii="宋体" w:hAnsi="宋体" w:cs="宋体"/>
          <w:sz w:val="24"/>
          <w:szCs w:val="24"/>
        </w:rPr>
      </w:pPr>
      <w:r>
        <w:rPr>
          <w:rFonts w:hint="eastAsia" w:ascii="宋体" w:hAnsi="宋体" w:cs="宋体"/>
          <w:sz w:val="24"/>
          <w:szCs w:val="24"/>
        </w:rPr>
        <w:t>4、病毒发作导致不能进行正常操作的；</w:t>
      </w:r>
    </w:p>
    <w:p>
      <w:pPr>
        <w:pStyle w:val="15"/>
        <w:pageBreakBefore w:val="0"/>
        <w:kinsoku/>
        <w:wordWrap/>
        <w:overflowPunct/>
        <w:topLinePunct w:val="0"/>
        <w:bidi w:val="0"/>
        <w:spacing w:after="0" w:line="360" w:lineRule="exact"/>
        <w:ind w:left="0" w:leftChars="0" w:firstLine="480" w:firstLineChars="200"/>
        <w:jc w:val="left"/>
        <w:textAlignment w:val="auto"/>
        <w:rPr>
          <w:rFonts w:hint="eastAsia" w:ascii="宋体" w:hAnsi="宋体" w:cs="宋体"/>
          <w:sz w:val="24"/>
          <w:szCs w:val="24"/>
        </w:rPr>
      </w:pPr>
      <w:r>
        <w:rPr>
          <w:rFonts w:hint="eastAsia" w:ascii="宋体" w:hAnsi="宋体" w:cs="宋体"/>
          <w:sz w:val="24"/>
          <w:szCs w:val="24"/>
        </w:rPr>
        <w:t>5、其他无法保证电子交易的公平、公正和安全的情况。</w:t>
      </w:r>
    </w:p>
    <w:p>
      <w:pPr>
        <w:pStyle w:val="15"/>
        <w:pageBreakBefore w:val="0"/>
        <w:kinsoku/>
        <w:wordWrap/>
        <w:overflowPunct/>
        <w:topLinePunct w:val="0"/>
        <w:bidi w:val="0"/>
        <w:spacing w:after="0" w:line="360" w:lineRule="exact"/>
        <w:ind w:left="0" w:leftChars="0" w:firstLine="480" w:firstLineChars="200"/>
        <w:jc w:val="left"/>
        <w:textAlignment w:val="auto"/>
        <w:rPr>
          <w:rFonts w:hint="eastAsia" w:ascii="宋体" w:hAnsi="宋体" w:cs="宋体"/>
          <w:sz w:val="24"/>
          <w:szCs w:val="24"/>
        </w:rPr>
      </w:pPr>
      <w:r>
        <w:rPr>
          <w:rFonts w:hint="eastAsia" w:ascii="宋体" w:hAnsi="宋体" w:cs="宋体"/>
          <w:sz w:val="24"/>
          <w:szCs w:val="24"/>
        </w:rPr>
        <w:t>出现前款规定情形，不影响采购公平、公正性的，采购代理机构可以待上述情形消除后继续组织电子交易活动；影响或可能影响采购公平、公正性的，应当重新开展政府采购活动。</w:t>
      </w:r>
    </w:p>
    <w:p>
      <w:pPr>
        <w:widowControl/>
        <w:jc w:val="center"/>
        <w:outlineLvl w:val="0"/>
        <w:rPr>
          <w:rFonts w:hint="eastAsia" w:ascii="宋体" w:hAnsi="宋体" w:cs="宋体"/>
          <w:b/>
          <w:bCs/>
          <w:sz w:val="36"/>
          <w:szCs w:val="36"/>
        </w:rPr>
      </w:pPr>
      <w:r>
        <w:rPr>
          <w:rFonts w:hint="eastAsia" w:ascii="宋体" w:hAnsi="宋体" w:cs="宋体"/>
          <w:b/>
          <w:bCs/>
          <w:sz w:val="36"/>
          <w:szCs w:val="36"/>
        </w:rPr>
        <w:br w:type="page"/>
      </w:r>
      <w:bookmarkStart w:id="31" w:name="_Toc11236"/>
    </w:p>
    <w:p>
      <w:pPr>
        <w:widowControl/>
        <w:jc w:val="center"/>
        <w:outlineLvl w:val="0"/>
        <w:rPr>
          <w:rFonts w:ascii="宋体" w:cs="宋体"/>
          <w:b/>
          <w:bCs/>
          <w:sz w:val="28"/>
          <w:szCs w:val="28"/>
        </w:rPr>
      </w:pPr>
      <w:r>
        <w:rPr>
          <w:rFonts w:hint="eastAsia" w:ascii="宋体" w:hAnsi="宋体" w:cs="宋体"/>
          <w:b/>
          <w:bCs/>
          <w:sz w:val="28"/>
          <w:szCs w:val="28"/>
        </w:rPr>
        <w:t>第三章</w:t>
      </w:r>
      <w:r>
        <w:rPr>
          <w:rFonts w:ascii="宋体" w:hAnsi="宋体" w:cs="宋体"/>
          <w:b/>
          <w:bCs/>
          <w:sz w:val="28"/>
          <w:szCs w:val="28"/>
        </w:rPr>
        <w:t xml:space="preserve"> </w:t>
      </w:r>
      <w:r>
        <w:rPr>
          <w:rFonts w:hint="eastAsia" w:ascii="宋体" w:hAnsi="宋体" w:cs="宋体"/>
          <w:b/>
          <w:bCs/>
          <w:sz w:val="28"/>
          <w:szCs w:val="28"/>
        </w:rPr>
        <w:t>评标办法及评分标准</w:t>
      </w:r>
      <w:bookmarkEnd w:id="31"/>
    </w:p>
    <w:p>
      <w:pPr>
        <w:keepNext w:val="0"/>
        <w:keepLines w:val="0"/>
        <w:pageBreakBefore w:val="0"/>
        <w:widowControl w:val="0"/>
        <w:kinsoku/>
        <w:wordWrap/>
        <w:overflowPunct/>
        <w:topLinePunct w:val="0"/>
        <w:autoSpaceDE w:val="0"/>
        <w:autoSpaceDN w:val="0"/>
        <w:bidi w:val="0"/>
        <w:snapToGrid/>
        <w:spacing w:line="312" w:lineRule="auto"/>
        <w:ind w:firstLine="480" w:firstLineChars="200"/>
        <w:textAlignment w:val="auto"/>
        <w:rPr>
          <w:rFonts w:ascii="宋体" w:cs="宋体"/>
          <w:b/>
          <w:bCs/>
          <w:i/>
          <w:iCs/>
          <w:kern w:val="0"/>
          <w:sz w:val="24"/>
          <w:szCs w:val="24"/>
        </w:rPr>
      </w:pPr>
      <w:r>
        <w:rPr>
          <w:rFonts w:hint="eastAsia" w:ascii="宋体" w:hAnsi="宋体" w:cs="宋体"/>
          <w:kern w:val="0"/>
          <w:sz w:val="24"/>
          <w:szCs w:val="24"/>
        </w:rPr>
        <w:t>一、采购代理机构将组织评标委员会，对投标人提供的投标文件进行综合评审。</w:t>
      </w:r>
    </w:p>
    <w:p>
      <w:pPr>
        <w:keepNext w:val="0"/>
        <w:keepLines w:val="0"/>
        <w:pageBreakBefore w:val="0"/>
        <w:widowControl w:val="0"/>
        <w:kinsoku/>
        <w:wordWrap/>
        <w:overflowPunct/>
        <w:topLinePunct w:val="0"/>
        <w:autoSpaceDE w:val="0"/>
        <w:autoSpaceDN w:val="0"/>
        <w:bidi w:val="0"/>
        <w:snapToGrid/>
        <w:spacing w:line="312" w:lineRule="auto"/>
        <w:ind w:firstLine="480" w:firstLineChars="200"/>
        <w:textAlignment w:val="auto"/>
        <w:rPr>
          <w:rFonts w:ascii="宋体" w:cs="宋体"/>
          <w:b/>
          <w:bCs/>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二、</w:t>
      </w:r>
      <w:r>
        <w:rPr>
          <w:rFonts w:hint="eastAsia" w:ascii="宋体" w:hAnsi="宋体" w:cs="宋体"/>
          <w:b/>
          <w:bCs/>
          <w:color w:val="000000" w:themeColor="text1"/>
          <w:kern w:val="0"/>
          <w:sz w:val="24"/>
          <w:szCs w:val="24"/>
          <w14:textFill>
            <w14:solidFill>
              <w14:schemeClr w14:val="tx1"/>
            </w14:solidFill>
          </w14:textFill>
        </w:rPr>
        <w:t>本次招标项目的评标方法为综合评分法，总计</w:t>
      </w:r>
      <w:r>
        <w:rPr>
          <w:rFonts w:ascii="宋体" w:hAnsi="宋体" w:cs="宋体"/>
          <w:b/>
          <w:bCs/>
          <w:color w:val="000000" w:themeColor="text1"/>
          <w:kern w:val="0"/>
          <w:sz w:val="24"/>
          <w:szCs w:val="24"/>
          <w14:textFill>
            <w14:solidFill>
              <w14:schemeClr w14:val="tx1"/>
            </w14:solidFill>
          </w14:textFill>
        </w:rPr>
        <w:t>100</w:t>
      </w:r>
      <w:r>
        <w:rPr>
          <w:rFonts w:hint="eastAsia" w:ascii="宋体" w:hAnsi="宋体" w:cs="宋体"/>
          <w:b/>
          <w:bCs/>
          <w:color w:val="000000" w:themeColor="text1"/>
          <w:kern w:val="0"/>
          <w:sz w:val="24"/>
          <w:szCs w:val="24"/>
          <w14:textFill>
            <w14:solidFill>
              <w14:schemeClr w14:val="tx1"/>
            </w14:solidFill>
          </w14:textFill>
        </w:rPr>
        <w:t>分，其中商务技术</w:t>
      </w:r>
      <w:r>
        <w:rPr>
          <w:rFonts w:hint="eastAsia" w:ascii="宋体" w:hAnsi="宋体" w:cs="宋体"/>
          <w:b/>
          <w:bCs/>
          <w:color w:val="000000" w:themeColor="text1"/>
          <w:sz w:val="24"/>
          <w:szCs w:val="24"/>
          <w:lang w:val="en-US" w:eastAsia="zh-CN"/>
          <w14:textFill>
            <w14:solidFill>
              <w14:schemeClr w14:val="tx1"/>
            </w14:solidFill>
          </w14:textFill>
        </w:rPr>
        <w:t>80</w:t>
      </w:r>
      <w:r>
        <w:rPr>
          <w:rFonts w:hint="eastAsia" w:ascii="宋体" w:hAnsi="宋体" w:cs="宋体"/>
          <w:b/>
          <w:bCs/>
          <w:color w:val="000000" w:themeColor="text1"/>
          <w:sz w:val="24"/>
          <w:szCs w:val="24"/>
          <w14:textFill>
            <w14:solidFill>
              <w14:schemeClr w14:val="tx1"/>
            </w14:solidFill>
          </w14:textFill>
        </w:rPr>
        <w:t>分，报价</w:t>
      </w:r>
      <w:r>
        <w:rPr>
          <w:rFonts w:hint="eastAsia" w:ascii="宋体" w:hAnsi="宋体" w:cs="宋体"/>
          <w:b/>
          <w:bCs/>
          <w:color w:val="000000" w:themeColor="text1"/>
          <w:sz w:val="24"/>
          <w:szCs w:val="24"/>
          <w:lang w:val="en-US" w:eastAsia="zh-CN"/>
          <w14:textFill>
            <w14:solidFill>
              <w14:schemeClr w14:val="tx1"/>
            </w14:solidFill>
          </w14:textFill>
        </w:rPr>
        <w:t>20</w:t>
      </w:r>
      <w:r>
        <w:rPr>
          <w:rFonts w:hint="eastAsia" w:ascii="宋体" w:hAnsi="宋体" w:cs="宋体"/>
          <w:b/>
          <w:bCs/>
          <w:color w:val="000000" w:themeColor="text1"/>
          <w:sz w:val="24"/>
          <w:szCs w:val="24"/>
          <w14:textFill>
            <w14:solidFill>
              <w14:schemeClr w14:val="tx1"/>
            </w14:solidFill>
          </w14:textFill>
        </w:rPr>
        <w:t>分</w:t>
      </w:r>
      <w:r>
        <w:rPr>
          <w:rFonts w:hint="eastAsia" w:ascii="宋体" w:hAnsi="宋体" w:cs="宋体"/>
          <w:b/>
          <w:bCs/>
          <w:color w:val="000000" w:themeColor="text1"/>
          <w:kern w:val="0"/>
          <w:sz w:val="24"/>
          <w:szCs w:val="24"/>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12" w:lineRule="auto"/>
        <w:ind w:firstLine="200"/>
        <w:textAlignment w:val="auto"/>
        <w:rPr>
          <w:rFonts w:ascii="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（一）商务技术文件中的客观分由评标委员会讨论后统一打分；其余在规定的分值内单独评定打分。</w:t>
      </w:r>
    </w:p>
    <w:p>
      <w:pPr>
        <w:keepNext w:val="0"/>
        <w:keepLines w:val="0"/>
        <w:pageBreakBefore w:val="0"/>
        <w:widowControl w:val="0"/>
        <w:kinsoku/>
        <w:wordWrap/>
        <w:overflowPunct/>
        <w:topLinePunct w:val="0"/>
        <w:autoSpaceDE w:val="0"/>
        <w:autoSpaceDN w:val="0"/>
        <w:bidi w:val="0"/>
        <w:adjustRightInd w:val="0"/>
        <w:snapToGrid/>
        <w:spacing w:line="312" w:lineRule="auto"/>
        <w:ind w:firstLine="200"/>
        <w:textAlignment w:val="auto"/>
        <w:rPr>
          <w:rFonts w:ascii="宋体"/>
          <w:color w:val="000000" w:themeColor="text1"/>
          <w:sz w:val="24"/>
          <w:szCs w:val="24"/>
          <w:shd w:val="clear" w:color="FFFFFF" w:fill="D9D9D9"/>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（二）各投标人商务技术文件</w:t>
      </w:r>
      <w:r>
        <w:rPr>
          <w:rFonts w:hint="eastAsia" w:ascii="宋体" w:cs="宋体"/>
          <w:color w:val="000000" w:themeColor="text1"/>
          <w:kern w:val="0"/>
          <w:sz w:val="24"/>
          <w:szCs w:val="24"/>
          <w:lang w:val="zh-CN"/>
          <w14:textFill>
            <w14:solidFill>
              <w14:schemeClr w14:val="tx1"/>
            </w14:solidFill>
          </w14:textFill>
        </w:rPr>
        <w:t>得分按照评标委员会成</w:t>
      </w:r>
      <w:r>
        <w:rPr>
          <w:rFonts w:hint="eastAsia" w:ascii="宋体" w:cs="宋体"/>
          <w:color w:val="000000" w:themeColor="text1"/>
          <w:sz w:val="24"/>
          <w:szCs w:val="24"/>
          <w:lang w:val="zh-CN"/>
          <w14:textFill>
            <w14:solidFill>
              <w14:schemeClr w14:val="tx1"/>
            </w14:solidFill>
          </w14:textFill>
        </w:rPr>
        <w:t>员的独立评分结果汇总后的算术平均分计算，计算公式为：</w:t>
      </w:r>
    </w:p>
    <w:p>
      <w:pPr>
        <w:keepNext w:val="0"/>
        <w:keepLines w:val="0"/>
        <w:pageBreakBefore w:val="0"/>
        <w:widowControl w:val="0"/>
        <w:kinsoku/>
        <w:wordWrap/>
        <w:overflowPunct/>
        <w:topLinePunct w:val="0"/>
        <w:autoSpaceDE w:val="0"/>
        <w:autoSpaceDN w:val="0"/>
        <w:bidi w:val="0"/>
        <w:adjustRightInd w:val="0"/>
        <w:snapToGrid/>
        <w:spacing w:line="312" w:lineRule="auto"/>
        <w:ind w:firstLine="200"/>
        <w:textAlignment w:val="auto"/>
        <w:rPr>
          <w:rFonts w:hint="eastAsia" w:ascii="宋体" w:cs="宋体"/>
          <w:color w:val="000000" w:themeColor="text1"/>
          <w:sz w:val="24"/>
          <w:szCs w:val="24"/>
          <w:u w:val="single"/>
          <w:lang w:val="zh-CN"/>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商务技术文件得分</w:t>
      </w:r>
      <w:r>
        <w:rPr>
          <w:rFonts w:ascii="宋体" w:cs="宋体"/>
          <w:color w:val="000000" w:themeColor="text1"/>
          <w:sz w:val="24"/>
          <w:szCs w:val="24"/>
          <w:u w:val="single"/>
          <w:lang w:val="zh-CN"/>
          <w14:textFill>
            <w14:solidFill>
              <w14:schemeClr w14:val="tx1"/>
            </w14:solidFill>
          </w14:textFill>
        </w:rPr>
        <w:t>=</w:t>
      </w:r>
      <w:r>
        <w:rPr>
          <w:rFonts w:hint="eastAsia" w:ascii="宋体" w:cs="宋体"/>
          <w:color w:val="000000" w:themeColor="text1"/>
          <w:sz w:val="24"/>
          <w:szCs w:val="24"/>
          <w:u w:val="single"/>
          <w:lang w:val="zh-CN"/>
          <w14:textFill>
            <w14:solidFill>
              <w14:schemeClr w14:val="tx1"/>
            </w14:solidFill>
          </w14:textFill>
        </w:rPr>
        <w:t>评标委员会所有成员评分合计数</w:t>
      </w:r>
      <w:r>
        <w:rPr>
          <w:rFonts w:ascii="宋体" w:cs="宋体"/>
          <w:color w:val="000000" w:themeColor="text1"/>
          <w:sz w:val="24"/>
          <w:szCs w:val="24"/>
          <w:u w:val="single"/>
          <w:lang w:val="zh-CN"/>
          <w14:textFill>
            <w14:solidFill>
              <w14:schemeClr w14:val="tx1"/>
            </w14:solidFill>
          </w14:textFill>
        </w:rPr>
        <w:t>/</w:t>
      </w:r>
      <w:r>
        <w:rPr>
          <w:rFonts w:hint="eastAsia" w:ascii="宋体" w:cs="宋体"/>
          <w:color w:val="000000" w:themeColor="text1"/>
          <w:sz w:val="24"/>
          <w:szCs w:val="24"/>
          <w:u w:val="single"/>
          <w:lang w:val="zh-CN"/>
          <w14:textFill>
            <w14:solidFill>
              <w14:schemeClr w14:val="tx1"/>
            </w14:solidFill>
          </w14:textFill>
        </w:rPr>
        <w:t>评标委员会组成人员数</w:t>
      </w:r>
    </w:p>
    <w:p>
      <w:pPr>
        <w:keepNext w:val="0"/>
        <w:keepLines w:val="0"/>
        <w:pageBreakBefore w:val="0"/>
        <w:widowControl w:val="0"/>
        <w:kinsoku/>
        <w:wordWrap/>
        <w:overflowPunct/>
        <w:topLinePunct w:val="0"/>
        <w:autoSpaceDE w:val="0"/>
        <w:autoSpaceDN w:val="0"/>
        <w:bidi w:val="0"/>
        <w:adjustRightInd w:val="0"/>
        <w:snapToGrid/>
        <w:spacing w:line="312" w:lineRule="auto"/>
        <w:ind w:firstLine="200"/>
        <w:textAlignment w:val="auto"/>
        <w:rPr>
          <w:rFonts w:ascii="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（三）投标报价得分采用低价优先法计算，即满足招标文件要求且投标价格最低的投标报价为评标基准价，其报价得满分。其他投标人的投标报价得分按下列公式计算：</w:t>
      </w:r>
    </w:p>
    <w:p>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rPr>
          <w:rFonts w:hint="eastAsia" w:ascii="宋体" w:hAnsi="宋体" w:cs="宋体"/>
          <w:color w:val="000000" w:themeColor="text1"/>
          <w:sz w:val="24"/>
          <w:szCs w:val="24"/>
          <w:u w:val="single"/>
          <w14:textFill>
            <w14:solidFill>
              <w14:schemeClr w14:val="tx1"/>
            </w14:solidFill>
          </w14:textFill>
        </w:rPr>
      </w:pPr>
      <w:r>
        <w:rPr>
          <w:rFonts w:hint="eastAsia" w:cs="宋体"/>
          <w:b/>
          <w:bCs/>
          <w:color w:val="000000" w:themeColor="text1"/>
          <w:sz w:val="24"/>
          <w:szCs w:val="24"/>
          <w:u w:val="single"/>
          <w14:textFill>
            <w14:solidFill>
              <w14:schemeClr w14:val="tx1"/>
            </w14:solidFill>
          </w14:textFill>
        </w:rPr>
        <w:t>投标报价得分</w:t>
      </w:r>
      <w:r>
        <w:rPr>
          <w:b/>
          <w:bCs/>
          <w:color w:val="000000" w:themeColor="text1"/>
          <w:sz w:val="24"/>
          <w:szCs w:val="24"/>
          <w:u w:val="single"/>
          <w14:textFill>
            <w14:solidFill>
              <w14:schemeClr w14:val="tx1"/>
            </w14:solidFill>
          </w14:textFill>
        </w:rPr>
        <w:t>=(</w:t>
      </w:r>
      <w:r>
        <w:rPr>
          <w:rFonts w:hint="eastAsia" w:cs="宋体"/>
          <w:b/>
          <w:bCs/>
          <w:color w:val="000000" w:themeColor="text1"/>
          <w:sz w:val="24"/>
          <w:szCs w:val="24"/>
          <w:u w:val="single"/>
          <w14:textFill>
            <w14:solidFill>
              <w14:schemeClr w14:val="tx1"/>
            </w14:solidFill>
          </w14:textFill>
        </w:rPr>
        <w:t>评标基准价／投</w:t>
      </w:r>
      <w:r>
        <w:rPr>
          <w:rFonts w:hint="eastAsia" w:ascii="宋体" w:hAnsi="宋体" w:cs="宋体"/>
          <w:b/>
          <w:bCs/>
          <w:color w:val="000000" w:themeColor="text1"/>
          <w:sz w:val="24"/>
          <w:szCs w:val="24"/>
          <w:u w:val="single"/>
          <w14:textFill>
            <w14:solidFill>
              <w14:schemeClr w14:val="tx1"/>
            </w14:solidFill>
          </w14:textFill>
        </w:rPr>
        <w:t>标报价</w:t>
      </w:r>
      <w:r>
        <w:rPr>
          <w:rFonts w:ascii="宋体" w:hAnsi="宋体" w:cs="宋体"/>
          <w:b/>
          <w:bCs/>
          <w:color w:val="000000" w:themeColor="text1"/>
          <w:sz w:val="24"/>
          <w:szCs w:val="24"/>
          <w:u w:val="single"/>
          <w14:textFill>
            <w14:solidFill>
              <w14:schemeClr w14:val="tx1"/>
            </w14:solidFill>
          </w14:textFill>
        </w:rPr>
        <w:t>)</w:t>
      </w:r>
      <w:r>
        <w:rPr>
          <w:rFonts w:hint="eastAsia" w:ascii="宋体" w:hAnsi="宋体" w:cs="宋体"/>
          <w:b/>
          <w:bCs/>
          <w:color w:val="000000" w:themeColor="text1"/>
          <w:sz w:val="24"/>
          <w:szCs w:val="24"/>
          <w:u w:val="single"/>
          <w14:textFill>
            <w14:solidFill>
              <w14:schemeClr w14:val="tx1"/>
            </w14:solidFill>
          </w14:textFill>
        </w:rPr>
        <w:t>×</w:t>
      </w:r>
      <w:r>
        <w:rPr>
          <w:rFonts w:hint="eastAsia" w:ascii="宋体" w:hAnsi="宋体" w:cs="宋体"/>
          <w:b/>
          <w:bCs/>
          <w:color w:val="000000" w:themeColor="text1"/>
          <w:sz w:val="24"/>
          <w:szCs w:val="24"/>
          <w:u w:val="single"/>
          <w:lang w:val="en-US" w:eastAsia="zh-CN"/>
          <w14:textFill>
            <w14:solidFill>
              <w14:schemeClr w14:val="tx1"/>
            </w14:solidFill>
          </w14:textFill>
        </w:rPr>
        <w:t>20</w:t>
      </w:r>
      <w:r>
        <w:rPr>
          <w:rFonts w:ascii="宋体" w:hAnsi="宋体" w:cs="宋体"/>
          <w:b/>
          <w:bCs/>
          <w:color w:val="000000" w:themeColor="text1"/>
          <w:sz w:val="24"/>
          <w:szCs w:val="24"/>
          <w:u w:val="single"/>
          <w14:textFill>
            <w14:solidFill>
              <w14:schemeClr w14:val="tx1"/>
            </w14:solidFill>
          </w14:textFill>
        </w:rPr>
        <w:t>%</w:t>
      </w:r>
      <w:r>
        <w:rPr>
          <w:rFonts w:hint="eastAsia" w:ascii="宋体" w:cs="宋体"/>
          <w:b/>
          <w:bCs/>
          <w:color w:val="000000" w:themeColor="text1"/>
          <w:sz w:val="24"/>
          <w:szCs w:val="24"/>
          <w:u w:val="single"/>
          <w14:textFill>
            <w14:solidFill>
              <w14:schemeClr w14:val="tx1"/>
            </w14:solidFill>
          </w14:textFill>
        </w:rPr>
        <w:t>×</w:t>
      </w:r>
      <w:r>
        <w:rPr>
          <w:rFonts w:ascii="宋体" w:hAnsi="宋体" w:cs="宋体"/>
          <w:b/>
          <w:bCs/>
          <w:color w:val="000000" w:themeColor="text1"/>
          <w:sz w:val="24"/>
          <w:szCs w:val="24"/>
          <w:u w:val="single"/>
          <w14:textFill>
            <w14:solidFill>
              <w14:schemeClr w14:val="tx1"/>
            </w14:solidFill>
          </w14:textFill>
        </w:rPr>
        <w:t xml:space="preserve">100 </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12" w:lineRule="auto"/>
        <w:ind w:firstLine="240" w:firstLineChars="100"/>
        <w:textAlignment w:val="auto"/>
        <w:rPr>
          <w:rFonts w:hint="eastAsia" w:ascii="宋体" w:hAnsi="宋体" w:cs="宋体"/>
          <w:color w:val="auto"/>
          <w:kern w:val="0"/>
          <w:sz w:val="24"/>
          <w:szCs w:val="20"/>
        </w:rPr>
      </w:pPr>
      <w:r>
        <w:rPr>
          <w:rFonts w:hint="eastAsia" w:ascii="宋体" w:hAnsi="宋体" w:cs="宋体"/>
          <w:color w:val="auto"/>
          <w:kern w:val="0"/>
          <w:sz w:val="24"/>
          <w:szCs w:val="20"/>
        </w:rPr>
        <w:t>投标人评标综合得分=商务技术分+报价分。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firstLine="480" w:firstLineChars="200"/>
        <w:textAlignment w:val="auto"/>
        <w:rPr>
          <w:rFonts w:hint="eastAsia" w:ascii="宋体" w:cs="宋体"/>
          <w:sz w:val="24"/>
          <w:szCs w:val="24"/>
          <w:lang w:val="zh-CN"/>
        </w:rPr>
      </w:pPr>
      <w:r>
        <w:rPr>
          <w:rFonts w:hint="eastAsia" w:ascii="宋体" w:cs="宋体"/>
          <w:sz w:val="24"/>
          <w:szCs w:val="24"/>
          <w:lang w:val="zh-CN"/>
        </w:rPr>
        <w:t>三、在最大限度地满足招标文件实质性要求前提下，评标委员会按照招标文件中规定的各项因素进行综合评审后，以评标总得分最高的投标人为中标候选人。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firstLine="480" w:firstLineChars="200"/>
        <w:textAlignment w:val="auto"/>
        <w:rPr>
          <w:rFonts w:hint="eastAsia" w:ascii="宋体" w:cs="宋体"/>
          <w:sz w:val="24"/>
          <w:szCs w:val="24"/>
          <w:lang w:val="zh-CN"/>
        </w:rPr>
      </w:pPr>
      <w:r>
        <w:rPr>
          <w:rFonts w:hint="eastAsia" w:ascii="宋体" w:cs="宋体"/>
          <w:sz w:val="24"/>
          <w:szCs w:val="24"/>
          <w:lang w:val="zh-CN"/>
        </w:rPr>
        <w:t>四、如综合得分相同，投标报价低者为先；如综合得分且投标报价相同的，货物类采购项目以技术性能得分较高者为先，服务类采购项目以实力信誉及业绩得分较高者为先。</w:t>
      </w:r>
    </w:p>
    <w:p>
      <w:pPr>
        <w:keepNext w:val="0"/>
        <w:keepLines w:val="0"/>
        <w:pageBreakBefore w:val="0"/>
        <w:kinsoku/>
        <w:wordWrap/>
        <w:overflowPunct/>
        <w:topLinePunct w:val="0"/>
        <w:autoSpaceDE w:val="0"/>
        <w:autoSpaceDN w:val="0"/>
        <w:bidi w:val="0"/>
        <w:adjustRightInd w:val="0"/>
        <w:snapToGrid/>
        <w:spacing w:line="360" w:lineRule="exact"/>
        <w:ind w:firstLine="480" w:firstLineChars="200"/>
        <w:textAlignment w:val="auto"/>
        <w:rPr>
          <w:rFonts w:ascii="宋体" w:cs="宋体"/>
          <w:color w:val="auto"/>
          <w:kern w:val="0"/>
          <w:sz w:val="24"/>
          <w:szCs w:val="24"/>
        </w:rPr>
      </w:pPr>
      <w:r>
        <w:rPr>
          <w:rFonts w:hint="eastAsia" w:ascii="宋体" w:cs="宋体"/>
          <w:b/>
          <w:bCs/>
          <w:color w:val="auto"/>
          <w:sz w:val="24"/>
          <w:szCs w:val="24"/>
          <w:lang w:val="zh-CN"/>
        </w:rPr>
        <w:t>五、</w:t>
      </w:r>
      <w:r>
        <w:rPr>
          <w:rFonts w:hint="eastAsia" w:ascii="宋体" w:hAnsi="宋体" w:cs="宋体"/>
          <w:b/>
          <w:bCs/>
          <w:color w:val="auto"/>
          <w:kern w:val="0"/>
          <w:sz w:val="24"/>
          <w:szCs w:val="24"/>
        </w:rPr>
        <w:t>本次评分具体分值细化条款如下表</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80分</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rPr>
        <w:t>：</w:t>
      </w:r>
    </w:p>
    <w:tbl>
      <w:tblPr>
        <w:tblStyle w:val="28"/>
        <w:tblW w:w="10304"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591"/>
        <w:gridCol w:w="884"/>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trPr>
        <w:tc>
          <w:tcPr>
            <w:tcW w:w="689" w:type="dxa"/>
            <w:noWrap w:val="0"/>
            <w:vAlign w:val="center"/>
          </w:tcPr>
          <w:p>
            <w:pPr>
              <w:spacing w:line="460" w:lineRule="exact"/>
              <w:jc w:val="center"/>
              <w:rPr>
                <w:rFonts w:ascii="宋体" w:hAnsi="宋体"/>
                <w:b/>
                <w:bCs/>
              </w:rPr>
            </w:pPr>
            <w:r>
              <w:rPr>
                <w:rFonts w:hint="eastAsia" w:ascii="宋体" w:hAnsi="宋体"/>
                <w:b/>
                <w:bCs/>
              </w:rPr>
              <w:t>序号</w:t>
            </w:r>
          </w:p>
        </w:tc>
        <w:tc>
          <w:tcPr>
            <w:tcW w:w="1591" w:type="dxa"/>
            <w:noWrap w:val="0"/>
            <w:vAlign w:val="center"/>
          </w:tcPr>
          <w:p>
            <w:pPr>
              <w:spacing w:line="460" w:lineRule="exact"/>
              <w:jc w:val="center"/>
              <w:rPr>
                <w:rFonts w:ascii="宋体" w:hAnsi="宋体"/>
                <w:b/>
                <w:bCs/>
              </w:rPr>
            </w:pPr>
            <w:r>
              <w:rPr>
                <w:rFonts w:hint="eastAsia" w:ascii="宋体" w:hAnsi="宋体"/>
                <w:b/>
                <w:bCs/>
              </w:rPr>
              <w:t>评标因素</w:t>
            </w:r>
          </w:p>
        </w:tc>
        <w:tc>
          <w:tcPr>
            <w:tcW w:w="884" w:type="dxa"/>
            <w:noWrap w:val="0"/>
            <w:vAlign w:val="center"/>
          </w:tcPr>
          <w:p>
            <w:pPr>
              <w:spacing w:line="460" w:lineRule="exact"/>
              <w:jc w:val="center"/>
              <w:rPr>
                <w:rFonts w:ascii="宋体" w:hAnsi="宋体"/>
                <w:b/>
                <w:bCs/>
              </w:rPr>
            </w:pPr>
            <w:r>
              <w:rPr>
                <w:rFonts w:hint="eastAsia" w:ascii="宋体" w:hAnsi="宋体"/>
                <w:b/>
                <w:bCs/>
              </w:rPr>
              <w:t>分值</w:t>
            </w:r>
          </w:p>
        </w:tc>
        <w:tc>
          <w:tcPr>
            <w:tcW w:w="7140" w:type="dxa"/>
            <w:noWrap w:val="0"/>
            <w:vAlign w:val="center"/>
          </w:tcPr>
          <w:p>
            <w:pPr>
              <w:spacing w:line="460" w:lineRule="exact"/>
              <w:jc w:val="center"/>
              <w:rPr>
                <w:rFonts w:ascii="宋体" w:hAnsi="宋体"/>
                <w:b/>
                <w:bCs/>
              </w:rPr>
            </w:pPr>
            <w:r>
              <w:rPr>
                <w:rFonts w:hint="eastAsia" w:ascii="宋体" w:hAnsi="宋体"/>
                <w:b/>
                <w:bC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689" w:type="dxa"/>
            <w:noWrap w:val="0"/>
            <w:vAlign w:val="center"/>
          </w:tcPr>
          <w:p>
            <w:pPr>
              <w:widowControl/>
              <w:jc w:val="center"/>
              <w:rPr>
                <w:rFonts w:hint="eastAsia" w:ascii="宋体" w:hAnsi="宋体" w:eastAsia="宋体"/>
                <w:lang w:val="en-US" w:eastAsia="zh-CN"/>
              </w:rPr>
            </w:pPr>
            <w:r>
              <w:rPr>
                <w:rFonts w:hint="eastAsia" w:ascii="宋体" w:hAnsi="宋体"/>
                <w:lang w:val="en-US" w:eastAsia="zh-CN"/>
              </w:rPr>
              <w:t>1</w:t>
            </w:r>
          </w:p>
        </w:tc>
        <w:tc>
          <w:tcPr>
            <w:tcW w:w="1591" w:type="dxa"/>
            <w:noWrap w:val="0"/>
            <w:vAlign w:val="center"/>
          </w:tcPr>
          <w:p>
            <w:pPr>
              <w:spacing w:line="460" w:lineRule="exact"/>
              <w:jc w:val="center"/>
              <w:rPr>
                <w:rFonts w:ascii="宋体" w:hAnsi="宋体"/>
              </w:rPr>
            </w:pPr>
            <w:r>
              <w:rPr>
                <w:rFonts w:hint="eastAsia" w:ascii="宋体" w:hAnsi="宋体"/>
              </w:rPr>
              <w:t>企业类似业绩评价</w:t>
            </w:r>
          </w:p>
        </w:tc>
        <w:tc>
          <w:tcPr>
            <w:tcW w:w="88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w:t>
            </w:r>
          </w:p>
        </w:tc>
        <w:tc>
          <w:tcPr>
            <w:tcW w:w="71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rPr>
              <w:t>投标人具有</w:t>
            </w:r>
            <w:r>
              <w:rPr>
                <w:rFonts w:hint="eastAsia" w:ascii="宋体" w:hAnsi="宋体" w:eastAsia="宋体" w:cs="宋体"/>
                <w:spacing w:val="-6"/>
                <w:sz w:val="21"/>
                <w:szCs w:val="21"/>
                <w:lang w:val="en-US" w:eastAsia="zh-CN"/>
              </w:rPr>
              <w:t>自</w:t>
            </w:r>
            <w:r>
              <w:rPr>
                <w:rFonts w:hint="eastAsia" w:ascii="宋体" w:hAnsi="宋体" w:eastAsia="宋体" w:cs="宋体"/>
                <w:spacing w:val="-6"/>
                <w:sz w:val="21"/>
                <w:szCs w:val="21"/>
              </w:rPr>
              <w:t>201</w:t>
            </w:r>
            <w:r>
              <w:rPr>
                <w:rFonts w:hint="eastAsia" w:ascii="宋体" w:hAnsi="宋体" w:cs="宋体"/>
                <w:spacing w:val="-6"/>
                <w:sz w:val="21"/>
                <w:szCs w:val="21"/>
                <w:lang w:val="en-US" w:eastAsia="zh-CN"/>
              </w:rPr>
              <w:t>9</w:t>
            </w:r>
            <w:r>
              <w:rPr>
                <w:rFonts w:hint="eastAsia" w:ascii="宋体" w:hAnsi="宋体" w:eastAsia="宋体" w:cs="宋体"/>
                <w:spacing w:val="-6"/>
                <w:sz w:val="21"/>
                <w:szCs w:val="21"/>
              </w:rPr>
              <w:t>年1月1日</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合同签订时间为准</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以来，</w:t>
            </w:r>
            <w:r>
              <w:rPr>
                <w:rFonts w:hint="eastAsia" w:ascii="宋体" w:hAnsi="宋体" w:eastAsia="宋体" w:cs="宋体"/>
                <w:spacing w:val="-6"/>
                <w:sz w:val="21"/>
                <w:szCs w:val="21"/>
              </w:rPr>
              <w:t>已履行一年以上的年养护面积为10万平方米以上的园林绿化养护业绩的（不包括园林工程</w:t>
            </w:r>
            <w:r>
              <w:rPr>
                <w:rFonts w:hint="eastAsia" w:ascii="宋体" w:hAnsi="宋体" w:eastAsia="宋体" w:cs="宋体"/>
                <w:spacing w:val="-6"/>
                <w:sz w:val="21"/>
                <w:szCs w:val="21"/>
                <w:lang w:val="en-US" w:eastAsia="zh-CN"/>
              </w:rPr>
              <w:t>施工</w:t>
            </w:r>
            <w:r>
              <w:rPr>
                <w:rFonts w:hint="eastAsia" w:ascii="宋体" w:hAnsi="宋体" w:eastAsia="宋体" w:cs="宋体"/>
                <w:spacing w:val="-6"/>
                <w:sz w:val="21"/>
                <w:szCs w:val="21"/>
              </w:rPr>
              <w:t>项目中的养护），</w:t>
            </w:r>
            <w:r>
              <w:rPr>
                <w:rFonts w:hint="eastAsia" w:ascii="宋体" w:hAnsi="宋体" w:eastAsia="宋体" w:cs="宋体"/>
                <w:spacing w:val="-6"/>
                <w:sz w:val="21"/>
                <w:szCs w:val="21"/>
                <w:lang w:val="en-US" w:eastAsia="zh-CN"/>
              </w:rPr>
              <w:t>具有三个</w:t>
            </w:r>
            <w:r>
              <w:rPr>
                <w:rFonts w:hint="eastAsia" w:ascii="宋体" w:hAnsi="宋体" w:eastAsia="宋体" w:cs="宋体"/>
                <w:spacing w:val="-6"/>
                <w:sz w:val="21"/>
                <w:szCs w:val="21"/>
              </w:rPr>
              <w:t>业绩</w:t>
            </w:r>
            <w:r>
              <w:rPr>
                <w:rFonts w:hint="eastAsia" w:ascii="宋体" w:hAnsi="宋体" w:eastAsia="宋体" w:cs="宋体"/>
                <w:spacing w:val="-6"/>
                <w:sz w:val="21"/>
                <w:szCs w:val="21"/>
                <w:lang w:val="en-US" w:eastAsia="zh-CN"/>
              </w:rPr>
              <w:t>的</w:t>
            </w:r>
            <w:r>
              <w:rPr>
                <w:rFonts w:hint="eastAsia" w:ascii="宋体" w:hAnsi="宋体" w:eastAsia="宋体" w:cs="宋体"/>
                <w:spacing w:val="-6"/>
                <w:sz w:val="21"/>
                <w:szCs w:val="21"/>
              </w:rPr>
              <w:t>得</w:t>
            </w:r>
            <w:r>
              <w:rPr>
                <w:rFonts w:hint="eastAsia" w:ascii="宋体" w:hAnsi="宋体" w:cs="宋体"/>
                <w:spacing w:val="-6"/>
                <w:sz w:val="21"/>
                <w:szCs w:val="21"/>
                <w:lang w:val="en-US" w:eastAsia="zh-CN"/>
              </w:rPr>
              <w:t>1</w:t>
            </w:r>
            <w:r>
              <w:rPr>
                <w:rFonts w:hint="eastAsia" w:ascii="宋体" w:hAnsi="宋体" w:eastAsia="宋体" w:cs="宋体"/>
                <w:spacing w:val="-6"/>
                <w:sz w:val="21"/>
                <w:szCs w:val="21"/>
              </w:rPr>
              <w:t>分</w:t>
            </w:r>
            <w:r>
              <w:rPr>
                <w:rFonts w:hint="eastAsia" w:ascii="宋体" w:hAnsi="宋体" w:eastAsia="宋体" w:cs="宋体"/>
                <w:spacing w:val="-6"/>
                <w:sz w:val="21"/>
                <w:szCs w:val="21"/>
                <w:lang w:val="en-US" w:eastAsia="zh-CN"/>
              </w:rPr>
              <w:t>。</w:t>
            </w:r>
          </w:p>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pacing w:val="-6"/>
                <w:sz w:val="21"/>
                <w:szCs w:val="21"/>
              </w:rPr>
            </w:pPr>
            <w:r>
              <w:rPr>
                <w:rFonts w:hint="eastAsia" w:ascii="宋体" w:hAnsi="宋体" w:eastAsia="宋体" w:cs="宋体"/>
                <w:b/>
                <w:bCs/>
                <w:color w:val="000000"/>
                <w:kern w:val="0"/>
                <w:sz w:val="21"/>
                <w:szCs w:val="21"/>
                <w:lang w:val="en-US" w:eastAsia="zh-CN" w:bidi="ar"/>
              </w:rPr>
              <w:t>【</w:t>
            </w:r>
            <w:r>
              <w:rPr>
                <w:rFonts w:hint="eastAsia" w:ascii="宋体" w:hAnsi="宋体" w:eastAsia="宋体" w:cs="宋体"/>
                <w:b/>
                <w:bCs/>
                <w:spacing w:val="-6"/>
                <w:sz w:val="21"/>
                <w:szCs w:val="21"/>
                <w:lang w:val="en-US" w:eastAsia="zh-CN"/>
              </w:rPr>
              <w:t>1.</w:t>
            </w:r>
            <w:r>
              <w:rPr>
                <w:rFonts w:hint="eastAsia" w:ascii="宋体" w:hAnsi="宋体" w:eastAsia="宋体" w:cs="宋体"/>
                <w:b/>
                <w:bCs/>
                <w:spacing w:val="-6"/>
                <w:sz w:val="21"/>
                <w:szCs w:val="21"/>
              </w:rPr>
              <w:t>合同复印件加盖公章编入商务技术文件中，否则不得分</w:t>
            </w:r>
            <w:r>
              <w:rPr>
                <w:rFonts w:hint="eastAsia" w:ascii="宋体" w:hAnsi="宋体" w:eastAsia="宋体" w:cs="宋体"/>
                <w:b/>
                <w:bCs/>
                <w:spacing w:val="-6"/>
                <w:sz w:val="21"/>
                <w:szCs w:val="21"/>
                <w:lang w:eastAsia="zh-CN"/>
              </w:rPr>
              <w:t>；</w:t>
            </w:r>
            <w:r>
              <w:rPr>
                <w:rFonts w:hint="eastAsia" w:ascii="宋体" w:hAnsi="宋体" w:eastAsia="宋体" w:cs="宋体"/>
                <w:b/>
                <w:bCs/>
                <w:spacing w:val="-6"/>
                <w:sz w:val="21"/>
                <w:szCs w:val="21"/>
                <w:lang w:val="en-US" w:eastAsia="zh-CN"/>
              </w:rPr>
              <w:t>2.若不能体现合同已履行一年的不得分；3.养护面积需提供相关证明材料，若不能体现的不得分。</w:t>
            </w:r>
            <w:r>
              <w:rPr>
                <w:rFonts w:hint="eastAsia" w:ascii="宋体" w:hAnsi="宋体" w:eastAsia="宋体" w:cs="宋体"/>
                <w:b/>
                <w:bCs/>
                <w:spacing w:val="-6"/>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689" w:type="dxa"/>
            <w:noWrap w:val="0"/>
            <w:vAlign w:val="center"/>
          </w:tcPr>
          <w:p>
            <w:pPr>
              <w:widowControl/>
              <w:jc w:val="center"/>
              <w:rPr>
                <w:rFonts w:hint="eastAsia" w:ascii="宋体" w:hAnsi="宋体" w:eastAsia="宋体"/>
                <w:lang w:val="en-US" w:eastAsia="zh-CN"/>
              </w:rPr>
            </w:pPr>
            <w:r>
              <w:rPr>
                <w:rFonts w:hint="eastAsia" w:ascii="宋体" w:hAnsi="宋体"/>
                <w:lang w:val="en-US" w:eastAsia="zh-CN"/>
              </w:rPr>
              <w:t>2</w:t>
            </w:r>
          </w:p>
        </w:tc>
        <w:tc>
          <w:tcPr>
            <w:tcW w:w="1591" w:type="dxa"/>
            <w:noWrap w:val="0"/>
            <w:vAlign w:val="center"/>
          </w:tcPr>
          <w:p>
            <w:pPr>
              <w:spacing w:line="460" w:lineRule="exact"/>
              <w:jc w:val="center"/>
              <w:rPr>
                <w:rFonts w:ascii="宋体" w:hAnsi="宋体"/>
              </w:rPr>
            </w:pPr>
            <w:r>
              <w:rPr>
                <w:rFonts w:hint="eastAsia" w:ascii="宋体" w:hAnsi="宋体"/>
              </w:rPr>
              <w:t>企业获奖情况</w:t>
            </w:r>
          </w:p>
        </w:tc>
        <w:tc>
          <w:tcPr>
            <w:tcW w:w="884"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8分</w:t>
            </w:r>
          </w:p>
        </w:tc>
        <w:tc>
          <w:tcPr>
            <w:tcW w:w="7140" w:type="dxa"/>
            <w:noWrap w:val="0"/>
            <w:vAlign w:val="center"/>
          </w:tcPr>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rPr>
              <w:t>自201</w:t>
            </w:r>
            <w:r>
              <w:rPr>
                <w:rFonts w:hint="eastAsia" w:ascii="宋体" w:hAnsi="宋体" w:cs="宋体"/>
                <w:spacing w:val="-6"/>
                <w:sz w:val="21"/>
                <w:szCs w:val="21"/>
                <w:lang w:val="en-US" w:eastAsia="zh-CN"/>
              </w:rPr>
              <w:t>9</w:t>
            </w:r>
            <w:r>
              <w:rPr>
                <w:rFonts w:hint="eastAsia" w:ascii="宋体" w:hAnsi="宋体" w:eastAsia="宋体" w:cs="宋体"/>
                <w:spacing w:val="-6"/>
                <w:sz w:val="21"/>
                <w:szCs w:val="21"/>
              </w:rPr>
              <w:t>年1月1日</w:t>
            </w:r>
            <w:r>
              <w:rPr>
                <w:rFonts w:hint="eastAsia" w:ascii="宋体" w:hAnsi="宋体" w:eastAsia="宋体" w:cs="宋体"/>
                <w:spacing w:val="-6"/>
                <w:sz w:val="21"/>
                <w:szCs w:val="21"/>
                <w:lang w:val="en-US" w:eastAsia="zh-CN"/>
              </w:rPr>
              <w:t>以来，</w:t>
            </w:r>
            <w:r>
              <w:rPr>
                <w:rFonts w:hint="eastAsia" w:ascii="宋体" w:hAnsi="宋体" w:eastAsia="宋体" w:cs="宋体"/>
                <w:spacing w:val="-6"/>
                <w:sz w:val="21"/>
                <w:szCs w:val="21"/>
              </w:rPr>
              <w:t>投标人</w:t>
            </w:r>
            <w:r>
              <w:rPr>
                <w:rFonts w:hint="eastAsia" w:ascii="宋体" w:hAnsi="宋体" w:eastAsia="宋体" w:cs="宋体"/>
                <w:spacing w:val="-6"/>
                <w:sz w:val="21"/>
                <w:szCs w:val="21"/>
                <w:shd w:val="clear"/>
              </w:rPr>
              <w:t>承接</w:t>
            </w:r>
            <w:r>
              <w:rPr>
                <w:rFonts w:hint="eastAsia" w:ascii="宋体" w:hAnsi="宋体" w:eastAsia="宋体" w:cs="宋体"/>
                <w:spacing w:val="-6"/>
                <w:sz w:val="21"/>
                <w:szCs w:val="21"/>
              </w:rPr>
              <w:t>的项目获得园林工程施工</w:t>
            </w:r>
            <w:r>
              <w:rPr>
                <w:rFonts w:hint="eastAsia" w:ascii="宋体" w:hAnsi="宋体" w:eastAsia="宋体" w:cs="宋体"/>
                <w:spacing w:val="-6"/>
                <w:sz w:val="21"/>
                <w:szCs w:val="21"/>
                <w:lang w:val="en-US" w:eastAsia="zh-CN"/>
              </w:rPr>
              <w:t>类奖项，</w:t>
            </w:r>
            <w:r>
              <w:rPr>
                <w:rFonts w:hint="eastAsia" w:ascii="宋体" w:hAnsi="宋体" w:eastAsia="宋体" w:cs="宋体"/>
                <w:spacing w:val="-6"/>
                <w:sz w:val="21"/>
                <w:szCs w:val="21"/>
              </w:rPr>
              <w:t>省级及以上</w:t>
            </w:r>
            <w:r>
              <w:rPr>
                <w:rFonts w:hint="eastAsia" w:ascii="宋体" w:hAnsi="宋体" w:eastAsia="宋体" w:cs="宋体"/>
                <w:spacing w:val="-6"/>
                <w:sz w:val="21"/>
                <w:szCs w:val="21"/>
                <w:lang w:val="en-US" w:eastAsia="zh-CN"/>
              </w:rPr>
              <w:t>的每个</w:t>
            </w:r>
            <w:r>
              <w:rPr>
                <w:rFonts w:hint="eastAsia" w:ascii="宋体" w:hAnsi="宋体" w:eastAsia="宋体" w:cs="宋体"/>
                <w:spacing w:val="-6"/>
                <w:sz w:val="21"/>
                <w:szCs w:val="21"/>
              </w:rPr>
              <w:t>得1.5分，获地市级的</w:t>
            </w:r>
            <w:r>
              <w:rPr>
                <w:rFonts w:hint="eastAsia" w:ascii="宋体" w:hAnsi="宋体" w:eastAsia="宋体" w:cs="宋体"/>
                <w:spacing w:val="-6"/>
                <w:sz w:val="21"/>
                <w:szCs w:val="21"/>
                <w:lang w:val="en-US" w:eastAsia="zh-CN"/>
              </w:rPr>
              <w:t>每个</w:t>
            </w:r>
            <w:r>
              <w:rPr>
                <w:rFonts w:hint="eastAsia" w:ascii="宋体" w:hAnsi="宋体" w:eastAsia="宋体" w:cs="宋体"/>
                <w:spacing w:val="-6"/>
                <w:sz w:val="21"/>
                <w:szCs w:val="21"/>
              </w:rPr>
              <w:t>得1分，获</w:t>
            </w:r>
            <w:r>
              <w:rPr>
                <w:rFonts w:hint="eastAsia" w:ascii="宋体" w:hAnsi="宋体" w:eastAsia="宋体" w:cs="宋体"/>
                <w:spacing w:val="-6"/>
                <w:sz w:val="21"/>
                <w:szCs w:val="21"/>
                <w:shd w:val="clear"/>
                <w:lang w:val="en-US" w:eastAsia="zh-CN"/>
              </w:rPr>
              <w:t>县（市）级</w:t>
            </w:r>
            <w:r>
              <w:rPr>
                <w:rFonts w:hint="eastAsia" w:ascii="宋体" w:hAnsi="宋体" w:eastAsia="宋体" w:cs="宋体"/>
                <w:spacing w:val="-6"/>
                <w:sz w:val="21"/>
                <w:szCs w:val="21"/>
              </w:rPr>
              <w:t>的</w:t>
            </w:r>
            <w:r>
              <w:rPr>
                <w:rFonts w:hint="eastAsia" w:ascii="宋体" w:hAnsi="宋体" w:eastAsia="宋体" w:cs="宋体"/>
                <w:spacing w:val="-6"/>
                <w:sz w:val="21"/>
                <w:szCs w:val="21"/>
                <w:lang w:val="en-US" w:eastAsia="zh-CN"/>
              </w:rPr>
              <w:t>每个</w:t>
            </w:r>
            <w:r>
              <w:rPr>
                <w:rFonts w:hint="eastAsia" w:ascii="宋体" w:hAnsi="宋体" w:eastAsia="宋体" w:cs="宋体"/>
                <w:spacing w:val="-6"/>
                <w:sz w:val="21"/>
                <w:szCs w:val="21"/>
              </w:rPr>
              <w:t>得0.5分</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本项最高得8分。</w:t>
            </w:r>
          </w:p>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pacing w:val="-6"/>
                <w:sz w:val="21"/>
                <w:szCs w:val="21"/>
              </w:rPr>
            </w:pPr>
            <w:r>
              <w:rPr>
                <w:rFonts w:hint="eastAsia" w:ascii="宋体" w:hAnsi="宋体" w:eastAsia="宋体" w:cs="宋体"/>
                <w:b/>
                <w:bCs/>
                <w:color w:val="000000"/>
                <w:kern w:val="0"/>
                <w:sz w:val="21"/>
                <w:szCs w:val="21"/>
                <w:lang w:val="en-US" w:eastAsia="zh-CN" w:bidi="ar"/>
              </w:rPr>
              <w:t>【</w:t>
            </w:r>
            <w:r>
              <w:rPr>
                <w:rFonts w:hint="eastAsia" w:ascii="宋体" w:hAnsi="宋体" w:eastAsia="宋体" w:cs="宋体"/>
                <w:b/>
                <w:bCs/>
                <w:spacing w:val="-6"/>
                <w:sz w:val="21"/>
                <w:szCs w:val="21"/>
                <w:lang w:val="en-US" w:eastAsia="zh-CN"/>
              </w:rPr>
              <w:t>1.</w:t>
            </w:r>
            <w:r>
              <w:rPr>
                <w:rFonts w:hint="eastAsia" w:ascii="宋体" w:hAnsi="宋体" w:eastAsia="宋体" w:cs="宋体"/>
                <w:b/>
                <w:bCs/>
                <w:spacing w:val="-6"/>
                <w:sz w:val="21"/>
                <w:szCs w:val="21"/>
              </w:rPr>
              <w:t>获奖文件</w:t>
            </w:r>
            <w:r>
              <w:rPr>
                <w:rFonts w:hint="eastAsia" w:ascii="宋体" w:hAnsi="宋体" w:eastAsia="宋体" w:cs="宋体"/>
                <w:b/>
                <w:bCs/>
                <w:spacing w:val="-6"/>
                <w:sz w:val="21"/>
                <w:szCs w:val="21"/>
                <w:lang w:val="en-US" w:eastAsia="zh-CN"/>
              </w:rPr>
              <w:t>复印件</w:t>
            </w:r>
            <w:r>
              <w:rPr>
                <w:rFonts w:hint="eastAsia" w:ascii="宋体" w:hAnsi="宋体" w:eastAsia="宋体" w:cs="宋体"/>
                <w:b/>
                <w:bCs/>
                <w:spacing w:val="-6"/>
                <w:sz w:val="21"/>
                <w:szCs w:val="21"/>
              </w:rPr>
              <w:t>或能查到该获奖文件的发文单位官方网址</w:t>
            </w:r>
            <w:r>
              <w:rPr>
                <w:rFonts w:hint="eastAsia" w:ascii="宋体" w:hAnsi="宋体" w:eastAsia="宋体" w:cs="宋体"/>
                <w:b/>
                <w:bCs/>
                <w:spacing w:val="-6"/>
                <w:sz w:val="21"/>
                <w:szCs w:val="21"/>
                <w:lang w:val="en-US" w:eastAsia="zh-CN"/>
              </w:rPr>
              <w:t>加盖公章编入商务技术文件中</w:t>
            </w:r>
            <w:r>
              <w:rPr>
                <w:rFonts w:hint="eastAsia" w:ascii="宋体" w:hAnsi="宋体" w:eastAsia="宋体" w:cs="宋体"/>
                <w:b/>
                <w:bCs/>
                <w:spacing w:val="-6"/>
                <w:sz w:val="21"/>
                <w:szCs w:val="21"/>
              </w:rPr>
              <w:t>，</w:t>
            </w:r>
            <w:r>
              <w:rPr>
                <w:rFonts w:hint="eastAsia" w:ascii="宋体" w:hAnsi="宋体" w:eastAsia="宋体" w:cs="宋体"/>
                <w:b/>
                <w:bCs/>
                <w:spacing w:val="-6"/>
                <w:sz w:val="21"/>
                <w:szCs w:val="21"/>
                <w:lang w:val="en-US" w:eastAsia="zh-CN"/>
              </w:rPr>
              <w:t>否则不得分；2.</w:t>
            </w:r>
            <w:r>
              <w:rPr>
                <w:rFonts w:hint="eastAsia" w:ascii="宋体" w:hAnsi="宋体" w:eastAsia="宋体" w:cs="宋体"/>
                <w:b/>
                <w:bCs/>
                <w:spacing w:val="-6"/>
                <w:sz w:val="21"/>
                <w:szCs w:val="21"/>
              </w:rPr>
              <w:t>以上奖项同一项目按最高分计，不重复计分</w:t>
            </w:r>
            <w:r>
              <w:rPr>
                <w:rFonts w:hint="eastAsia" w:ascii="宋体" w:hAnsi="宋体" w:eastAsia="宋体" w:cs="宋体"/>
                <w:b/>
                <w:bCs/>
                <w:spacing w:val="-6"/>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89" w:type="dxa"/>
            <w:noWrap w:val="0"/>
            <w:vAlign w:val="center"/>
          </w:tcPr>
          <w:p>
            <w:pPr>
              <w:widowControl/>
              <w:jc w:val="center"/>
              <w:rPr>
                <w:rFonts w:hint="eastAsia" w:ascii="宋体" w:hAnsi="宋体" w:eastAsia="宋体"/>
                <w:lang w:val="en-US" w:eastAsia="zh-CN"/>
              </w:rPr>
            </w:pPr>
            <w:r>
              <w:rPr>
                <w:rFonts w:hint="eastAsia" w:ascii="宋体" w:hAnsi="宋体"/>
                <w:lang w:val="en-US" w:eastAsia="zh-CN"/>
              </w:rPr>
              <w:t>3</w:t>
            </w:r>
          </w:p>
        </w:tc>
        <w:tc>
          <w:tcPr>
            <w:tcW w:w="1591" w:type="dxa"/>
            <w:noWrap w:val="0"/>
            <w:vAlign w:val="center"/>
          </w:tcPr>
          <w:p>
            <w:pPr>
              <w:spacing w:line="460" w:lineRule="exact"/>
              <w:jc w:val="center"/>
              <w:rPr>
                <w:rFonts w:ascii="宋体" w:hAnsi="宋体"/>
              </w:rPr>
            </w:pPr>
            <w:r>
              <w:rPr>
                <w:rFonts w:hint="eastAsia" w:ascii="宋体" w:hAnsi="宋体"/>
              </w:rPr>
              <w:t>苗圃情况</w:t>
            </w:r>
          </w:p>
        </w:tc>
        <w:tc>
          <w:tcPr>
            <w:tcW w:w="884"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4</w:t>
            </w:r>
            <w:r>
              <w:rPr>
                <w:rFonts w:hint="eastAsia" w:ascii="宋体" w:hAnsi="宋体" w:eastAsia="宋体" w:cs="宋体"/>
                <w:spacing w:val="-6"/>
                <w:sz w:val="21"/>
                <w:szCs w:val="21"/>
              </w:rPr>
              <w:t>分</w:t>
            </w:r>
          </w:p>
        </w:tc>
        <w:tc>
          <w:tcPr>
            <w:tcW w:w="7140" w:type="dxa"/>
            <w:noWrap w:val="0"/>
            <w:vAlign w:val="center"/>
          </w:tcPr>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投标人拥有</w:t>
            </w:r>
            <w:r>
              <w:rPr>
                <w:rFonts w:hint="eastAsia" w:ascii="宋体" w:hAnsi="宋体" w:eastAsia="宋体" w:cs="宋体"/>
                <w:spacing w:val="-6"/>
                <w:sz w:val="21"/>
                <w:szCs w:val="21"/>
                <w:lang w:val="en-US" w:eastAsia="zh-CN"/>
              </w:rPr>
              <w:t>苗圃情况：</w:t>
            </w:r>
            <w:r>
              <w:rPr>
                <w:rFonts w:hint="eastAsia" w:ascii="宋体" w:hAnsi="宋体" w:eastAsia="宋体" w:cs="宋体"/>
                <w:spacing w:val="-6"/>
                <w:sz w:val="21"/>
                <w:szCs w:val="21"/>
              </w:rPr>
              <w:t>150亩及以上苗圃的得</w:t>
            </w:r>
            <w:r>
              <w:rPr>
                <w:rFonts w:hint="eastAsia" w:ascii="宋体" w:hAnsi="宋体" w:cs="宋体"/>
                <w:spacing w:val="-6"/>
                <w:sz w:val="21"/>
                <w:szCs w:val="21"/>
                <w:lang w:val="en-US" w:eastAsia="zh-CN"/>
              </w:rPr>
              <w:t>4</w:t>
            </w:r>
            <w:r>
              <w:rPr>
                <w:rFonts w:hint="eastAsia" w:ascii="宋体" w:hAnsi="宋体" w:eastAsia="宋体" w:cs="宋体"/>
                <w:spacing w:val="-6"/>
                <w:sz w:val="21"/>
                <w:szCs w:val="21"/>
              </w:rPr>
              <w:t>分；拥有100亩及以上150亩以下的得</w:t>
            </w:r>
            <w:r>
              <w:rPr>
                <w:rFonts w:hint="eastAsia" w:ascii="宋体" w:hAnsi="宋体" w:cs="宋体"/>
                <w:spacing w:val="-6"/>
                <w:sz w:val="21"/>
                <w:szCs w:val="21"/>
                <w:lang w:val="en-US" w:eastAsia="zh-CN"/>
              </w:rPr>
              <w:t>3</w:t>
            </w:r>
            <w:r>
              <w:rPr>
                <w:rFonts w:hint="eastAsia" w:ascii="宋体" w:hAnsi="宋体" w:eastAsia="宋体" w:cs="宋体"/>
                <w:spacing w:val="-6"/>
                <w:sz w:val="21"/>
                <w:szCs w:val="21"/>
              </w:rPr>
              <w:t>分，拥有50亩及以上100亩以下的得</w:t>
            </w:r>
            <w:r>
              <w:rPr>
                <w:rFonts w:hint="eastAsia" w:ascii="宋体" w:hAnsi="宋体" w:cs="宋体"/>
                <w:spacing w:val="-6"/>
                <w:sz w:val="21"/>
                <w:szCs w:val="21"/>
                <w:lang w:val="en-US" w:eastAsia="zh-CN"/>
              </w:rPr>
              <w:t>2</w:t>
            </w:r>
            <w:r>
              <w:rPr>
                <w:rFonts w:hint="eastAsia" w:ascii="宋体" w:hAnsi="宋体" w:eastAsia="宋体" w:cs="宋体"/>
                <w:spacing w:val="-6"/>
                <w:sz w:val="21"/>
                <w:szCs w:val="21"/>
              </w:rPr>
              <w:t>分，少于50亩</w:t>
            </w:r>
            <w:r>
              <w:rPr>
                <w:rFonts w:hint="eastAsia" w:ascii="宋体" w:hAnsi="宋体" w:eastAsia="宋体" w:cs="宋体"/>
                <w:spacing w:val="-6"/>
                <w:sz w:val="21"/>
                <w:szCs w:val="21"/>
                <w:lang w:val="en-US" w:eastAsia="zh-CN"/>
              </w:rPr>
              <w:t>的得</w:t>
            </w:r>
            <w:r>
              <w:rPr>
                <w:rFonts w:hint="eastAsia" w:ascii="宋体" w:hAnsi="宋体" w:cs="宋体"/>
                <w:spacing w:val="-6"/>
                <w:sz w:val="21"/>
                <w:szCs w:val="21"/>
                <w:lang w:val="en-US" w:eastAsia="zh-CN"/>
              </w:rPr>
              <w:t>1</w:t>
            </w:r>
            <w:r>
              <w:rPr>
                <w:rFonts w:hint="eastAsia" w:ascii="宋体" w:hAnsi="宋体" w:eastAsia="宋体" w:cs="宋体"/>
                <w:spacing w:val="-6"/>
                <w:sz w:val="21"/>
                <w:szCs w:val="21"/>
                <w:lang w:val="en-US" w:eastAsia="zh-CN"/>
              </w:rPr>
              <w:t>分</w:t>
            </w:r>
            <w:r>
              <w:rPr>
                <w:rFonts w:hint="eastAsia" w:ascii="宋体" w:hAnsi="宋体" w:eastAsia="宋体" w:cs="宋体"/>
                <w:spacing w:val="-6"/>
                <w:sz w:val="21"/>
                <w:szCs w:val="21"/>
              </w:rPr>
              <w:t>。</w:t>
            </w:r>
          </w:p>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pacing w:val="-6"/>
                <w:sz w:val="21"/>
                <w:szCs w:val="21"/>
                <w:lang w:eastAsia="zh-CN"/>
              </w:rPr>
            </w:pPr>
            <w:r>
              <w:rPr>
                <w:rFonts w:hint="eastAsia" w:ascii="宋体" w:hAnsi="宋体" w:eastAsia="宋体" w:cs="宋体"/>
                <w:b/>
                <w:bCs/>
                <w:spacing w:val="-6"/>
                <w:sz w:val="21"/>
                <w:szCs w:val="21"/>
                <w:lang w:eastAsia="zh-CN"/>
              </w:rPr>
              <w:t>【</w:t>
            </w:r>
            <w:r>
              <w:rPr>
                <w:rFonts w:hint="eastAsia" w:ascii="宋体" w:hAnsi="宋体" w:eastAsia="宋体" w:cs="宋体"/>
                <w:b/>
                <w:bCs/>
                <w:spacing w:val="-6"/>
                <w:sz w:val="21"/>
                <w:szCs w:val="21"/>
              </w:rPr>
              <w:t>苗圃须提供苗圃土地租赁协议及租赁费票据</w:t>
            </w:r>
            <w:r>
              <w:rPr>
                <w:rFonts w:hint="eastAsia" w:ascii="宋体" w:hAnsi="宋体" w:eastAsia="宋体" w:cs="宋体"/>
                <w:b/>
                <w:bCs/>
                <w:spacing w:val="-6"/>
                <w:sz w:val="21"/>
                <w:szCs w:val="21"/>
                <w:lang w:eastAsia="zh-CN"/>
              </w:rPr>
              <w:t>，</w:t>
            </w:r>
            <w:r>
              <w:rPr>
                <w:rFonts w:hint="eastAsia" w:ascii="宋体" w:hAnsi="宋体" w:eastAsia="宋体" w:cs="宋体"/>
                <w:b/>
                <w:bCs/>
                <w:spacing w:val="-6"/>
                <w:sz w:val="21"/>
                <w:szCs w:val="21"/>
              </w:rPr>
              <w:t>苗圃注册名称如与投标人名称不一致，但其法定代表人为同一人，或该苗圃为该投标人控股的，视为由该投标人拥有，但须提供工商部门的控股证明</w:t>
            </w:r>
            <w:r>
              <w:rPr>
                <w:rFonts w:hint="eastAsia" w:ascii="宋体" w:hAnsi="宋体" w:eastAsia="宋体" w:cs="宋体"/>
                <w:b/>
                <w:bCs/>
                <w:spacing w:val="-6"/>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89" w:type="dxa"/>
            <w:noWrap w:val="0"/>
            <w:vAlign w:val="center"/>
          </w:tcPr>
          <w:p>
            <w:pPr>
              <w:spacing w:line="460" w:lineRule="exact"/>
              <w:jc w:val="center"/>
              <w:rPr>
                <w:rFonts w:hint="eastAsia" w:ascii="宋体" w:hAnsi="宋体" w:eastAsia="宋体"/>
                <w:lang w:val="en-US" w:eastAsia="zh-CN"/>
              </w:rPr>
            </w:pPr>
            <w:r>
              <w:rPr>
                <w:rFonts w:hint="eastAsia" w:ascii="宋体" w:hAnsi="宋体"/>
                <w:lang w:val="en-US" w:eastAsia="zh-CN"/>
              </w:rPr>
              <w:t>4</w:t>
            </w:r>
          </w:p>
        </w:tc>
        <w:tc>
          <w:tcPr>
            <w:tcW w:w="1591" w:type="dxa"/>
            <w:noWrap w:val="0"/>
            <w:vAlign w:val="center"/>
          </w:tcPr>
          <w:p>
            <w:pPr>
              <w:spacing w:line="460" w:lineRule="exact"/>
              <w:jc w:val="center"/>
              <w:rPr>
                <w:rFonts w:ascii="宋体" w:hAnsi="宋体"/>
              </w:rPr>
            </w:pPr>
            <w:r>
              <w:rPr>
                <w:rFonts w:hint="eastAsia" w:ascii="宋体" w:hAnsi="宋体"/>
              </w:rPr>
              <w:t>项目负责人资格</w:t>
            </w:r>
          </w:p>
        </w:tc>
        <w:tc>
          <w:tcPr>
            <w:tcW w:w="884"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2分</w:t>
            </w:r>
          </w:p>
        </w:tc>
        <w:tc>
          <w:tcPr>
            <w:tcW w:w="7140" w:type="dxa"/>
            <w:noWrap w:val="0"/>
            <w:vAlign w:val="center"/>
          </w:tcPr>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项目负责人</w:t>
            </w:r>
            <w:r>
              <w:rPr>
                <w:rFonts w:hint="eastAsia" w:ascii="宋体" w:hAnsi="宋体" w:eastAsia="宋体" w:cs="宋体"/>
                <w:spacing w:val="-6"/>
                <w:sz w:val="21"/>
                <w:szCs w:val="21"/>
              </w:rPr>
              <w:t>具有园林工程师</w:t>
            </w:r>
            <w:r>
              <w:rPr>
                <w:rFonts w:hint="eastAsia" w:ascii="宋体" w:hAnsi="宋体" w:eastAsia="宋体" w:cs="宋体"/>
                <w:spacing w:val="-6"/>
                <w:sz w:val="21"/>
                <w:szCs w:val="21"/>
                <w:lang w:val="en-US" w:eastAsia="zh-CN"/>
              </w:rPr>
              <w:t>职称</w:t>
            </w:r>
            <w:r>
              <w:rPr>
                <w:rFonts w:hint="eastAsia" w:ascii="宋体" w:hAnsi="宋体" w:eastAsia="宋体" w:cs="宋体"/>
                <w:spacing w:val="-6"/>
                <w:sz w:val="21"/>
                <w:szCs w:val="21"/>
              </w:rPr>
              <w:t>的得2分</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具有绿化工、植保工</w:t>
            </w:r>
            <w:r>
              <w:rPr>
                <w:rFonts w:hint="eastAsia" w:ascii="宋体" w:hAnsi="宋体" w:eastAsia="宋体" w:cs="宋体"/>
                <w:spacing w:val="-6"/>
                <w:sz w:val="21"/>
                <w:szCs w:val="21"/>
                <w:lang w:val="en-US" w:eastAsia="zh-CN"/>
              </w:rPr>
              <w:t>职称</w:t>
            </w:r>
            <w:r>
              <w:rPr>
                <w:rFonts w:hint="eastAsia" w:ascii="宋体" w:hAnsi="宋体" w:eastAsia="宋体" w:cs="宋体"/>
                <w:spacing w:val="-6"/>
                <w:sz w:val="21"/>
                <w:szCs w:val="21"/>
              </w:rPr>
              <w:t>的得1分。</w:t>
            </w:r>
          </w:p>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pacing w:val="-6"/>
                <w:sz w:val="21"/>
                <w:szCs w:val="21"/>
                <w:lang w:eastAsia="zh-CN"/>
              </w:rPr>
            </w:pPr>
            <w:r>
              <w:rPr>
                <w:rFonts w:hint="eastAsia" w:ascii="宋体" w:hAnsi="宋体" w:eastAsia="宋体" w:cs="宋体"/>
                <w:b/>
                <w:bCs/>
                <w:spacing w:val="-6"/>
                <w:sz w:val="21"/>
                <w:szCs w:val="21"/>
                <w:lang w:val="en-US" w:eastAsia="zh-CN"/>
              </w:rPr>
              <w:t>【证书复印件</w:t>
            </w:r>
            <w:r>
              <w:rPr>
                <w:rFonts w:hint="eastAsia" w:ascii="宋体" w:hAnsi="宋体" w:eastAsia="宋体" w:cs="宋体"/>
                <w:b/>
                <w:bCs/>
                <w:spacing w:val="-6"/>
                <w:sz w:val="21"/>
                <w:szCs w:val="21"/>
              </w:rPr>
              <w:t>编入商务技术文件中，须</w:t>
            </w:r>
            <w:r>
              <w:rPr>
                <w:rFonts w:hint="eastAsia" w:ascii="宋体" w:hAnsi="宋体" w:eastAsia="宋体" w:cs="宋体"/>
                <w:b/>
                <w:bCs/>
                <w:spacing w:val="-6"/>
                <w:sz w:val="21"/>
                <w:szCs w:val="21"/>
                <w:lang w:val="en-US" w:eastAsia="zh-CN"/>
              </w:rPr>
              <w:t>同时</w:t>
            </w:r>
            <w:r>
              <w:rPr>
                <w:rFonts w:hint="eastAsia" w:ascii="宋体" w:hAnsi="宋体" w:eastAsia="宋体" w:cs="宋体"/>
                <w:b/>
                <w:bCs/>
                <w:spacing w:val="-6"/>
                <w:sz w:val="21"/>
                <w:szCs w:val="21"/>
              </w:rPr>
              <w:t>提供近</w:t>
            </w:r>
            <w:r>
              <w:rPr>
                <w:rFonts w:hint="eastAsia" w:ascii="宋体" w:hAnsi="宋体" w:eastAsia="宋体" w:cs="宋体"/>
                <w:b/>
                <w:bCs/>
                <w:spacing w:val="-6"/>
                <w:sz w:val="21"/>
                <w:szCs w:val="21"/>
                <w:lang w:val="en-US" w:eastAsia="zh-CN"/>
              </w:rPr>
              <w:t>三个月</w:t>
            </w:r>
            <w:r>
              <w:rPr>
                <w:rFonts w:hint="eastAsia" w:ascii="宋体" w:hAnsi="宋体" w:eastAsia="宋体" w:cs="宋体"/>
                <w:b/>
                <w:bCs/>
                <w:spacing w:val="-6"/>
                <w:sz w:val="21"/>
                <w:szCs w:val="21"/>
              </w:rPr>
              <w:t>的</w:t>
            </w:r>
            <w:r>
              <w:rPr>
                <w:rFonts w:hint="eastAsia" w:ascii="宋体" w:hAnsi="宋体" w:eastAsia="宋体" w:cs="宋体"/>
                <w:b/>
                <w:bCs/>
                <w:spacing w:val="-6"/>
                <w:sz w:val="21"/>
                <w:szCs w:val="21"/>
                <w:shd w:val="clear"/>
                <w:lang w:val="en-US" w:eastAsia="zh-CN"/>
              </w:rPr>
              <w:t>社保</w:t>
            </w:r>
            <w:r>
              <w:rPr>
                <w:rFonts w:hint="eastAsia" w:ascii="宋体" w:hAnsi="宋体" w:eastAsia="宋体" w:cs="宋体"/>
                <w:b/>
                <w:bCs/>
                <w:spacing w:val="-6"/>
                <w:sz w:val="21"/>
                <w:szCs w:val="21"/>
                <w:shd w:val="clear"/>
              </w:rPr>
              <w:t>缴纳证明</w:t>
            </w:r>
            <w:r>
              <w:rPr>
                <w:rFonts w:hint="eastAsia" w:ascii="宋体" w:hAnsi="宋体" w:eastAsia="宋体" w:cs="宋体"/>
                <w:b/>
                <w:bCs/>
                <w:spacing w:val="-6"/>
                <w:sz w:val="21"/>
                <w:szCs w:val="21"/>
                <w:shd w:val="clear"/>
                <w:lang w:eastAsia="zh-CN"/>
              </w:rPr>
              <w:t>，</w:t>
            </w:r>
            <w:r>
              <w:rPr>
                <w:rFonts w:hint="eastAsia" w:ascii="宋体" w:hAnsi="宋体" w:eastAsia="宋体" w:cs="宋体"/>
                <w:b/>
                <w:bCs/>
                <w:spacing w:val="-6"/>
                <w:sz w:val="21"/>
                <w:szCs w:val="21"/>
                <w:lang w:val="en-US" w:eastAsia="zh-CN"/>
              </w:rPr>
              <w:t>否则不得分</w:t>
            </w:r>
            <w:r>
              <w:rPr>
                <w:rFonts w:hint="eastAsia" w:ascii="宋体" w:hAnsi="宋体" w:eastAsia="宋体" w:cs="宋体"/>
                <w:b/>
                <w:bCs/>
                <w:spacing w:val="-6"/>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689" w:type="dxa"/>
            <w:noWrap w:val="0"/>
            <w:vAlign w:val="center"/>
          </w:tcPr>
          <w:p>
            <w:pPr>
              <w:widowControl/>
              <w:jc w:val="center"/>
              <w:rPr>
                <w:rFonts w:hint="eastAsia" w:ascii="宋体" w:hAnsi="宋体" w:eastAsia="宋体"/>
                <w:lang w:val="en-US" w:eastAsia="zh-CN"/>
              </w:rPr>
            </w:pPr>
            <w:r>
              <w:rPr>
                <w:rFonts w:hint="eastAsia" w:ascii="宋体" w:hAnsi="宋体"/>
                <w:lang w:val="en-US" w:eastAsia="zh-CN"/>
              </w:rPr>
              <w:t>5</w:t>
            </w:r>
          </w:p>
        </w:tc>
        <w:tc>
          <w:tcPr>
            <w:tcW w:w="1591" w:type="dxa"/>
            <w:noWrap w:val="0"/>
            <w:vAlign w:val="center"/>
          </w:tcPr>
          <w:p>
            <w:pPr>
              <w:spacing w:line="460" w:lineRule="exact"/>
              <w:jc w:val="center"/>
              <w:rPr>
                <w:rFonts w:ascii="宋体" w:hAnsi="宋体"/>
              </w:rPr>
            </w:pPr>
            <w:r>
              <w:rPr>
                <w:rFonts w:hint="eastAsia" w:ascii="宋体" w:hAnsi="宋体"/>
              </w:rPr>
              <w:t>项目负责人类似业绩评价</w:t>
            </w:r>
          </w:p>
        </w:tc>
        <w:tc>
          <w:tcPr>
            <w:tcW w:w="884"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1分</w:t>
            </w:r>
          </w:p>
        </w:tc>
        <w:tc>
          <w:tcPr>
            <w:tcW w:w="71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项目负责</w:t>
            </w:r>
            <w:r>
              <w:rPr>
                <w:rFonts w:hint="eastAsia" w:ascii="宋体" w:hAnsi="宋体" w:cs="宋体"/>
                <w:sz w:val="21"/>
                <w:szCs w:val="21"/>
                <w:lang w:val="en-US" w:eastAsia="zh-CN"/>
              </w:rPr>
              <w:t>人自2019年1月1日（合同签订时间为准）以来，承接的年养护面积为10万平方米以上的园林绿化养护业绩的（不包括园林工程施工项目中的养护），每个业绩得0.5分；最高得1分。</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pacing w:val="-6"/>
                <w:sz w:val="21"/>
                <w:szCs w:val="21"/>
              </w:rPr>
            </w:pPr>
            <w:r>
              <w:rPr>
                <w:rFonts w:hint="eastAsia" w:ascii="宋体" w:hAnsi="宋体" w:eastAsia="宋体" w:cs="宋体"/>
                <w:b/>
                <w:bCs/>
                <w:spacing w:val="-6"/>
                <w:sz w:val="21"/>
                <w:szCs w:val="21"/>
                <w:lang w:eastAsia="zh-CN"/>
              </w:rPr>
              <w:t>【</w:t>
            </w:r>
            <w:r>
              <w:rPr>
                <w:rFonts w:hint="eastAsia" w:ascii="宋体" w:hAnsi="宋体" w:eastAsia="宋体" w:cs="宋体"/>
                <w:b/>
                <w:bCs/>
                <w:spacing w:val="-6"/>
                <w:sz w:val="21"/>
                <w:szCs w:val="21"/>
                <w:lang w:val="en-US" w:eastAsia="zh-CN"/>
              </w:rPr>
              <w:t>1.合同复印件加盖公章编入商务技术文件中，若提供的</w:t>
            </w:r>
            <w:r>
              <w:rPr>
                <w:rFonts w:hint="eastAsia" w:ascii="宋体" w:hAnsi="宋体" w:eastAsia="宋体" w:cs="宋体"/>
                <w:b/>
                <w:bCs/>
                <w:spacing w:val="-6"/>
                <w:sz w:val="21"/>
                <w:szCs w:val="21"/>
              </w:rPr>
              <w:t>资料不能反映是该项目负责人业绩的均不得分</w:t>
            </w:r>
            <w:r>
              <w:rPr>
                <w:rFonts w:hint="eastAsia" w:ascii="宋体" w:hAnsi="宋体" w:eastAsia="宋体" w:cs="宋体"/>
                <w:b/>
                <w:bCs/>
                <w:spacing w:val="-6"/>
                <w:sz w:val="21"/>
                <w:szCs w:val="21"/>
                <w:lang w:eastAsia="zh-CN"/>
              </w:rPr>
              <w:t>；</w:t>
            </w:r>
            <w:r>
              <w:rPr>
                <w:rFonts w:hint="eastAsia" w:ascii="宋体" w:hAnsi="宋体" w:eastAsia="宋体" w:cs="宋体"/>
                <w:b/>
                <w:bCs/>
                <w:spacing w:val="-6"/>
                <w:sz w:val="21"/>
                <w:szCs w:val="21"/>
                <w:lang w:val="en-US" w:eastAsia="zh-CN"/>
              </w:rPr>
              <w:t>2.养护面积需提供相关证明材料，若不能体现的不得分；3.合同甲方、项目名称均相同又分多个年份签订的只能算一个业绩。</w:t>
            </w:r>
            <w:r>
              <w:rPr>
                <w:rFonts w:hint="eastAsia" w:ascii="宋体" w:hAnsi="宋体" w:eastAsia="宋体" w:cs="宋体"/>
                <w:b/>
                <w:bCs/>
                <w:spacing w:val="-6"/>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689" w:type="dxa"/>
            <w:noWrap w:val="0"/>
            <w:vAlign w:val="center"/>
          </w:tcPr>
          <w:p>
            <w:pPr>
              <w:widowControl/>
              <w:jc w:val="center"/>
              <w:rPr>
                <w:rFonts w:hint="eastAsia" w:ascii="宋体" w:hAnsi="宋体" w:eastAsia="宋体"/>
                <w:lang w:val="en-US" w:eastAsia="zh-CN"/>
              </w:rPr>
            </w:pPr>
            <w:r>
              <w:rPr>
                <w:rFonts w:hint="eastAsia" w:ascii="宋体" w:hAnsi="宋体"/>
                <w:lang w:val="en-US" w:eastAsia="zh-CN"/>
              </w:rPr>
              <w:t>6</w:t>
            </w:r>
          </w:p>
        </w:tc>
        <w:tc>
          <w:tcPr>
            <w:tcW w:w="1591" w:type="dxa"/>
            <w:noWrap w:val="0"/>
            <w:vAlign w:val="center"/>
          </w:tcPr>
          <w:p>
            <w:pPr>
              <w:spacing w:line="460" w:lineRule="exact"/>
              <w:jc w:val="center"/>
              <w:rPr>
                <w:rFonts w:ascii="宋体" w:hAnsi="宋体"/>
              </w:rPr>
            </w:pPr>
            <w:r>
              <w:rPr>
                <w:rFonts w:hint="eastAsia" w:ascii="宋体" w:hAnsi="宋体"/>
              </w:rPr>
              <w:t>项目负责人得奖情况</w:t>
            </w:r>
          </w:p>
        </w:tc>
        <w:tc>
          <w:tcPr>
            <w:tcW w:w="88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4分</w:t>
            </w:r>
          </w:p>
        </w:tc>
        <w:tc>
          <w:tcPr>
            <w:tcW w:w="71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自201</w:t>
            </w:r>
            <w:r>
              <w:rPr>
                <w:rFonts w:hint="eastAsia" w:ascii="宋体" w:hAnsi="宋体" w:cs="宋体"/>
                <w:sz w:val="21"/>
                <w:szCs w:val="21"/>
                <w:lang w:val="en-US" w:eastAsia="zh-CN"/>
              </w:rPr>
              <w:t>9</w:t>
            </w:r>
            <w:r>
              <w:rPr>
                <w:rFonts w:hint="eastAsia" w:ascii="宋体" w:hAnsi="宋体" w:eastAsia="宋体" w:cs="宋体"/>
                <w:sz w:val="21"/>
                <w:szCs w:val="21"/>
                <w:lang w:val="en-US" w:eastAsia="zh-CN"/>
              </w:rPr>
              <w:t>年1月1日以来，项目负责人承接的项目获得园林工程施工类奖项，国家级的得4分，获省级的得3分，获地市级的得2分，获县（市）级的得1分。</w:t>
            </w:r>
          </w:p>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pacing w:val="-6"/>
                <w:sz w:val="21"/>
                <w:szCs w:val="21"/>
                <w:lang w:eastAsia="zh-CN"/>
              </w:rPr>
            </w:pPr>
            <w:r>
              <w:rPr>
                <w:rFonts w:hint="eastAsia" w:ascii="宋体" w:hAnsi="宋体" w:eastAsia="宋体" w:cs="宋体"/>
                <w:b/>
                <w:bCs/>
                <w:spacing w:val="-6"/>
                <w:sz w:val="21"/>
                <w:szCs w:val="21"/>
                <w:lang w:eastAsia="zh-CN"/>
              </w:rPr>
              <w:t>【</w:t>
            </w:r>
            <w:r>
              <w:rPr>
                <w:rFonts w:hint="eastAsia" w:ascii="宋体" w:hAnsi="宋体" w:eastAsia="宋体" w:cs="宋体"/>
                <w:b/>
                <w:bCs/>
                <w:spacing w:val="-6"/>
                <w:sz w:val="21"/>
                <w:szCs w:val="21"/>
                <w:lang w:val="en-US" w:eastAsia="zh-CN"/>
              </w:rPr>
              <w:t>1.</w:t>
            </w:r>
            <w:r>
              <w:rPr>
                <w:rFonts w:hint="eastAsia" w:ascii="宋体" w:hAnsi="宋体" w:eastAsia="宋体" w:cs="宋体"/>
                <w:b/>
                <w:bCs/>
                <w:spacing w:val="-6"/>
                <w:sz w:val="21"/>
                <w:szCs w:val="21"/>
              </w:rPr>
              <w:t>获奖文件</w:t>
            </w:r>
            <w:r>
              <w:rPr>
                <w:rFonts w:hint="eastAsia" w:ascii="宋体" w:hAnsi="宋体" w:eastAsia="宋体" w:cs="宋体"/>
                <w:b/>
                <w:bCs/>
                <w:spacing w:val="-6"/>
                <w:sz w:val="21"/>
                <w:szCs w:val="21"/>
                <w:lang w:val="en-US" w:eastAsia="zh-CN"/>
              </w:rPr>
              <w:t>复印件</w:t>
            </w:r>
            <w:r>
              <w:rPr>
                <w:rFonts w:hint="eastAsia" w:ascii="宋体" w:hAnsi="宋体" w:eastAsia="宋体" w:cs="宋体"/>
                <w:b/>
                <w:bCs/>
                <w:spacing w:val="-6"/>
                <w:sz w:val="21"/>
                <w:szCs w:val="21"/>
              </w:rPr>
              <w:t>或能查到该获奖文件的发文单位官方网址</w:t>
            </w:r>
            <w:r>
              <w:rPr>
                <w:rFonts w:hint="eastAsia" w:ascii="宋体" w:hAnsi="宋体" w:eastAsia="宋体" w:cs="宋体"/>
                <w:b/>
                <w:bCs/>
                <w:spacing w:val="-6"/>
                <w:sz w:val="21"/>
                <w:szCs w:val="21"/>
                <w:lang w:val="en-US" w:eastAsia="zh-CN"/>
              </w:rPr>
              <w:t>加盖公章编入商务技术文件中</w:t>
            </w:r>
            <w:r>
              <w:rPr>
                <w:rFonts w:hint="eastAsia" w:ascii="宋体" w:hAnsi="宋体" w:eastAsia="宋体" w:cs="宋体"/>
                <w:b/>
                <w:bCs/>
                <w:spacing w:val="-6"/>
                <w:sz w:val="21"/>
                <w:szCs w:val="21"/>
              </w:rPr>
              <w:t>，</w:t>
            </w:r>
            <w:r>
              <w:rPr>
                <w:rFonts w:hint="eastAsia" w:ascii="宋体" w:hAnsi="宋体" w:eastAsia="宋体" w:cs="宋体"/>
                <w:b/>
                <w:bCs/>
                <w:spacing w:val="-6"/>
                <w:sz w:val="21"/>
                <w:szCs w:val="21"/>
                <w:lang w:val="en-US" w:eastAsia="zh-CN"/>
              </w:rPr>
              <w:t>否则不得分；2.</w:t>
            </w:r>
            <w:r>
              <w:rPr>
                <w:rFonts w:hint="eastAsia" w:ascii="宋体" w:hAnsi="宋体" w:eastAsia="宋体" w:cs="宋体"/>
                <w:b/>
                <w:bCs/>
                <w:spacing w:val="-6"/>
                <w:sz w:val="21"/>
                <w:szCs w:val="21"/>
              </w:rPr>
              <w:t>以上奖项同一项目按最高分计，不重复计分</w:t>
            </w:r>
            <w:r>
              <w:rPr>
                <w:rFonts w:hint="eastAsia" w:ascii="宋体" w:hAnsi="宋体" w:eastAsia="宋体" w:cs="宋体"/>
                <w:b/>
                <w:bCs/>
                <w:spacing w:val="-6"/>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689" w:type="dxa"/>
            <w:noWrap w:val="0"/>
            <w:vAlign w:val="center"/>
          </w:tcPr>
          <w:p>
            <w:pPr>
              <w:spacing w:line="460" w:lineRule="exact"/>
              <w:jc w:val="center"/>
              <w:rPr>
                <w:rFonts w:hint="default" w:ascii="宋体" w:hAnsi="宋体" w:eastAsia="宋体"/>
                <w:lang w:val="en-US" w:eastAsia="zh-CN"/>
              </w:rPr>
            </w:pPr>
            <w:r>
              <w:rPr>
                <w:rFonts w:hint="eastAsia" w:ascii="宋体" w:hAnsi="宋体"/>
                <w:lang w:val="en-US" w:eastAsia="zh-CN"/>
              </w:rPr>
              <w:t>7.1</w:t>
            </w:r>
          </w:p>
        </w:tc>
        <w:tc>
          <w:tcPr>
            <w:tcW w:w="1591" w:type="dxa"/>
            <w:vMerge w:val="restart"/>
            <w:noWrap w:val="0"/>
            <w:vAlign w:val="center"/>
          </w:tcPr>
          <w:p>
            <w:pPr>
              <w:spacing w:line="460" w:lineRule="exact"/>
              <w:jc w:val="center"/>
              <w:rPr>
                <w:rFonts w:ascii="宋体" w:hAnsi="宋体"/>
              </w:rPr>
            </w:pPr>
            <w:r>
              <w:rPr>
                <w:rFonts w:hint="eastAsia" w:ascii="宋体" w:hAnsi="宋体"/>
              </w:rPr>
              <w:t>拟投入设备情况得分</w:t>
            </w:r>
          </w:p>
        </w:tc>
        <w:tc>
          <w:tcPr>
            <w:tcW w:w="884" w:type="dxa"/>
            <w:shd w:val="clear" w:color="auto" w:fill="auto"/>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tc>
        <w:tc>
          <w:tcPr>
            <w:tcW w:w="7140" w:type="dxa"/>
            <w:noWrap w:val="0"/>
            <w:vAlign w:val="center"/>
          </w:tcPr>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rPr>
              <w:t>拟</w:t>
            </w:r>
            <w:r>
              <w:rPr>
                <w:rFonts w:hint="eastAsia" w:ascii="宋体" w:hAnsi="宋体" w:eastAsia="宋体" w:cs="宋体"/>
                <w:sz w:val="21"/>
                <w:szCs w:val="21"/>
                <w:lang w:val="en-US" w:eastAsia="zh-CN"/>
              </w:rPr>
              <w:t>投入设备中有8吨及以上洒水车的，得3分；有12吨及以上洒水车的，得4分；本项最高得4分。</w:t>
            </w:r>
            <w:r>
              <w:rPr>
                <w:rFonts w:hint="eastAsia" w:ascii="宋体" w:hAnsi="宋体" w:eastAsia="宋体" w:cs="宋体"/>
                <w:b/>
                <w:bCs/>
                <w:sz w:val="21"/>
                <w:szCs w:val="21"/>
                <w:lang w:val="en-US" w:eastAsia="zh-CN"/>
              </w:rPr>
              <w:t>（以上吨数为行驶证中的核定载重量）</w:t>
            </w:r>
          </w:p>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z w:val="21"/>
                <w:szCs w:val="21"/>
              </w:rPr>
            </w:pPr>
            <w:r>
              <w:rPr>
                <w:rFonts w:hint="eastAsia" w:ascii="宋体" w:hAnsi="宋体" w:eastAsia="宋体" w:cs="宋体"/>
                <w:b/>
                <w:bCs/>
                <w:sz w:val="21"/>
                <w:szCs w:val="21"/>
                <w:lang w:val="en-US" w:eastAsia="zh-CN"/>
              </w:rPr>
              <w:t>【1.证明材料：提供机动车行驶证复印件、交强险保单复印件及车辆内外清晰照片；2.车辆有效性认定：须体现车辆载重数据；机动车行驶证中所有人必须为投标人单位名称或法定代表人姓名（须与投标人营业执照副本中法定代表人姓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89" w:type="dxa"/>
            <w:noWrap w:val="0"/>
            <w:vAlign w:val="center"/>
          </w:tcPr>
          <w:p>
            <w:pPr>
              <w:spacing w:line="460" w:lineRule="exact"/>
              <w:jc w:val="center"/>
              <w:rPr>
                <w:rFonts w:hint="default" w:ascii="宋体" w:hAnsi="宋体"/>
                <w:lang w:val="en-US" w:eastAsia="zh-CN"/>
              </w:rPr>
            </w:pPr>
            <w:r>
              <w:rPr>
                <w:rFonts w:hint="eastAsia" w:ascii="宋体" w:hAnsi="宋体"/>
                <w:lang w:val="en-US" w:eastAsia="zh-CN"/>
              </w:rPr>
              <w:t>7.2</w:t>
            </w:r>
          </w:p>
        </w:tc>
        <w:tc>
          <w:tcPr>
            <w:tcW w:w="1591" w:type="dxa"/>
            <w:vMerge w:val="continue"/>
            <w:noWrap w:val="0"/>
            <w:vAlign w:val="center"/>
          </w:tcPr>
          <w:p>
            <w:pPr>
              <w:spacing w:line="460" w:lineRule="exact"/>
              <w:jc w:val="center"/>
              <w:rPr>
                <w:rFonts w:hint="eastAsia" w:ascii="宋体" w:hAnsi="宋体"/>
              </w:rPr>
            </w:pPr>
          </w:p>
        </w:tc>
        <w:tc>
          <w:tcPr>
            <w:tcW w:w="884" w:type="dxa"/>
            <w:shd w:val="clear" w:color="auto" w:fill="auto"/>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2分</w:t>
            </w:r>
          </w:p>
        </w:tc>
        <w:tc>
          <w:tcPr>
            <w:tcW w:w="71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拟投入设备中具有12米及以上的高空修剪车的得2分。</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【提供机动车行驶证复印件、交强险保单复印件及车辆内外清晰照片】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89" w:type="dxa"/>
            <w:noWrap w:val="0"/>
            <w:vAlign w:val="center"/>
          </w:tcPr>
          <w:p>
            <w:pPr>
              <w:spacing w:line="460" w:lineRule="exact"/>
              <w:jc w:val="center"/>
              <w:rPr>
                <w:rFonts w:hint="default" w:ascii="宋体" w:hAnsi="宋体"/>
                <w:lang w:val="en-US" w:eastAsia="zh-CN"/>
              </w:rPr>
            </w:pPr>
            <w:r>
              <w:rPr>
                <w:rFonts w:hint="eastAsia" w:ascii="宋体" w:hAnsi="宋体"/>
                <w:lang w:val="en-US" w:eastAsia="zh-CN"/>
              </w:rPr>
              <w:t>7.3</w:t>
            </w:r>
          </w:p>
        </w:tc>
        <w:tc>
          <w:tcPr>
            <w:tcW w:w="1591" w:type="dxa"/>
            <w:vMerge w:val="continue"/>
            <w:noWrap w:val="0"/>
            <w:vAlign w:val="center"/>
          </w:tcPr>
          <w:p>
            <w:pPr>
              <w:spacing w:line="460" w:lineRule="exact"/>
              <w:jc w:val="center"/>
              <w:rPr>
                <w:rFonts w:hint="eastAsia" w:ascii="宋体" w:hAnsi="宋体"/>
              </w:rPr>
            </w:pPr>
          </w:p>
        </w:tc>
        <w:tc>
          <w:tcPr>
            <w:tcW w:w="884" w:type="dxa"/>
            <w:shd w:val="clear" w:color="auto" w:fill="auto"/>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2分</w:t>
            </w:r>
          </w:p>
        </w:tc>
        <w:tc>
          <w:tcPr>
            <w:tcW w:w="71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拟投入设备中具有垃圾压缩车的得2分。</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【提供机动车行驶证复印件、交强险保单复印件及车辆内外清晰照片】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689" w:type="dxa"/>
            <w:noWrap w:val="0"/>
            <w:vAlign w:val="center"/>
          </w:tcPr>
          <w:p>
            <w:pPr>
              <w:spacing w:line="460" w:lineRule="exact"/>
              <w:jc w:val="center"/>
              <w:rPr>
                <w:rFonts w:hint="default" w:ascii="宋体" w:hAnsi="宋体"/>
                <w:lang w:val="en-US" w:eastAsia="zh-CN"/>
              </w:rPr>
            </w:pPr>
            <w:r>
              <w:rPr>
                <w:rFonts w:hint="eastAsia" w:ascii="宋体" w:hAnsi="宋体"/>
                <w:lang w:val="en-US" w:eastAsia="zh-CN"/>
              </w:rPr>
              <w:t>7.4</w:t>
            </w:r>
          </w:p>
        </w:tc>
        <w:tc>
          <w:tcPr>
            <w:tcW w:w="1591" w:type="dxa"/>
            <w:vMerge w:val="continue"/>
            <w:noWrap w:val="0"/>
            <w:vAlign w:val="center"/>
          </w:tcPr>
          <w:p>
            <w:pPr>
              <w:spacing w:line="460" w:lineRule="exact"/>
              <w:jc w:val="center"/>
              <w:rPr>
                <w:rFonts w:hint="eastAsia" w:ascii="宋体" w:hAnsi="宋体"/>
              </w:rPr>
            </w:pPr>
          </w:p>
        </w:tc>
        <w:tc>
          <w:tcPr>
            <w:tcW w:w="884" w:type="dxa"/>
            <w:shd w:val="clear" w:color="auto" w:fill="auto"/>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3分</w:t>
            </w:r>
          </w:p>
        </w:tc>
        <w:tc>
          <w:tcPr>
            <w:tcW w:w="71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根据投标人其他设备配备情况进行综合评分。</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1.结合项目实际进行设备配备，设备配备齐全，满足招标文件要求的得1.6-3分；</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配备了项目该有的设备，基本满足招标文件要求的得0-1.5分；</w:t>
            </w:r>
          </w:p>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【企业自备机械设备的必须在评标时提供购买发票扫描件或图片】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89" w:type="dxa"/>
            <w:noWrap w:val="0"/>
            <w:vAlign w:val="center"/>
          </w:tcPr>
          <w:p>
            <w:pPr>
              <w:spacing w:line="460" w:lineRule="exact"/>
              <w:jc w:val="center"/>
              <w:rPr>
                <w:rFonts w:hint="default" w:ascii="宋体" w:hAnsi="宋体" w:eastAsia="宋体"/>
                <w:lang w:val="en-US" w:eastAsia="zh-CN"/>
              </w:rPr>
            </w:pPr>
            <w:r>
              <w:rPr>
                <w:rFonts w:hint="eastAsia" w:ascii="宋体" w:hAnsi="宋体"/>
                <w:lang w:val="en-US" w:eastAsia="zh-CN"/>
              </w:rPr>
              <w:t>8.1</w:t>
            </w:r>
          </w:p>
        </w:tc>
        <w:tc>
          <w:tcPr>
            <w:tcW w:w="1591" w:type="dxa"/>
            <w:vMerge w:val="restart"/>
            <w:noWrap w:val="0"/>
            <w:vAlign w:val="center"/>
          </w:tcPr>
          <w:p>
            <w:pPr>
              <w:spacing w:line="460" w:lineRule="exact"/>
              <w:jc w:val="center"/>
              <w:rPr>
                <w:rFonts w:ascii="宋体" w:hAnsi="宋体"/>
              </w:rPr>
            </w:pPr>
            <w:r>
              <w:rPr>
                <w:rFonts w:hint="eastAsia" w:ascii="宋体" w:hAnsi="宋体"/>
              </w:rPr>
              <w:t>拟投入人员情况得分</w:t>
            </w:r>
          </w:p>
        </w:tc>
        <w:tc>
          <w:tcPr>
            <w:tcW w:w="884" w:type="dxa"/>
            <w:shd w:val="clear" w:color="auto" w:fill="auto"/>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p>
        </w:tc>
        <w:tc>
          <w:tcPr>
            <w:tcW w:w="71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拟投入的管理班子及专业工种情况进行综合评分（须提供管理班子及专业工种人员的相关证书）。</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针对本项目有专业的管理班子组成，管理班子人员充足，经验丰富，安排有条理，获奖很多，园林养护管理经验丰富的得2.</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针对本项目组件了管理班子，管理班子人员基本符合招标文件要求，园林养护管理经验较丰富的得0-2</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89" w:type="dxa"/>
            <w:noWrap w:val="0"/>
            <w:vAlign w:val="center"/>
          </w:tcPr>
          <w:p>
            <w:pPr>
              <w:spacing w:line="460" w:lineRule="exact"/>
              <w:jc w:val="center"/>
              <w:rPr>
                <w:rFonts w:hint="default" w:ascii="宋体" w:hAnsi="宋体"/>
                <w:lang w:val="en-US" w:eastAsia="zh-CN"/>
              </w:rPr>
            </w:pPr>
            <w:r>
              <w:rPr>
                <w:rFonts w:hint="eastAsia" w:ascii="宋体" w:hAnsi="宋体"/>
                <w:lang w:val="en-US" w:eastAsia="zh-CN"/>
              </w:rPr>
              <w:t>8.2</w:t>
            </w:r>
          </w:p>
        </w:tc>
        <w:tc>
          <w:tcPr>
            <w:tcW w:w="1591" w:type="dxa"/>
            <w:vMerge w:val="continue"/>
            <w:noWrap w:val="0"/>
            <w:vAlign w:val="center"/>
          </w:tcPr>
          <w:p>
            <w:pPr>
              <w:spacing w:line="460" w:lineRule="exact"/>
              <w:jc w:val="center"/>
              <w:rPr>
                <w:rFonts w:hint="eastAsia" w:ascii="宋体" w:hAnsi="宋体"/>
              </w:rPr>
            </w:pPr>
          </w:p>
        </w:tc>
        <w:tc>
          <w:tcPr>
            <w:tcW w:w="884" w:type="dxa"/>
            <w:shd w:val="clear" w:color="auto" w:fill="auto"/>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5分</w:t>
            </w:r>
          </w:p>
        </w:tc>
        <w:tc>
          <w:tcPr>
            <w:tcW w:w="71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根据拟投入的园林工人人数（须满足基本人数要求）、从业经验等情况进行综合评分。</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园林工人人数充足，从业经验丰富的的得2.</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园林工人人数基本满足本项目要求，从业经验欠丰富的得0-2</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89" w:type="dxa"/>
            <w:noWrap w:val="0"/>
            <w:vAlign w:val="center"/>
          </w:tcPr>
          <w:p>
            <w:pPr>
              <w:spacing w:line="460" w:lineRule="exact"/>
              <w:jc w:val="center"/>
              <w:rPr>
                <w:rFonts w:hint="default" w:ascii="宋体" w:hAnsi="宋体" w:eastAsia="宋体"/>
                <w:lang w:val="en-US" w:eastAsia="zh-CN"/>
              </w:rPr>
            </w:pPr>
            <w:r>
              <w:rPr>
                <w:rFonts w:hint="eastAsia" w:ascii="宋体" w:hAnsi="宋体"/>
                <w:lang w:val="en-US" w:eastAsia="zh-CN"/>
              </w:rPr>
              <w:t>9</w:t>
            </w:r>
          </w:p>
        </w:tc>
        <w:tc>
          <w:tcPr>
            <w:tcW w:w="1591" w:type="dxa"/>
            <w:noWrap w:val="0"/>
            <w:vAlign w:val="center"/>
          </w:tcPr>
          <w:p>
            <w:pPr>
              <w:spacing w:line="460" w:lineRule="exact"/>
              <w:jc w:val="center"/>
              <w:rPr>
                <w:rFonts w:hint="eastAsia" w:ascii="宋体" w:hAnsi="宋体"/>
              </w:rPr>
            </w:pPr>
            <w:r>
              <w:rPr>
                <w:rFonts w:hint="eastAsia" w:ascii="宋体" w:hAnsi="宋体"/>
              </w:rPr>
              <w:t>拟投入的项目部情况</w:t>
            </w:r>
          </w:p>
        </w:tc>
        <w:tc>
          <w:tcPr>
            <w:tcW w:w="884" w:type="dxa"/>
            <w:noWrap w:val="0"/>
            <w:vAlign w:val="center"/>
          </w:tcPr>
          <w:p>
            <w:pPr>
              <w:spacing w:line="460" w:lineRule="exact"/>
              <w:jc w:val="center"/>
              <w:rPr>
                <w:rFonts w:hint="eastAsia" w:ascii="宋体" w:hAnsi="宋体"/>
              </w:rPr>
            </w:pPr>
            <w:r>
              <w:rPr>
                <w:rFonts w:hint="eastAsia" w:ascii="宋体" w:hAnsi="宋体"/>
                <w:lang w:val="en-US" w:eastAsia="zh-CN"/>
              </w:rPr>
              <w:t>3</w:t>
            </w:r>
            <w:r>
              <w:rPr>
                <w:rFonts w:hint="eastAsia" w:ascii="宋体" w:hAnsi="宋体"/>
              </w:rPr>
              <w:t>分</w:t>
            </w:r>
          </w:p>
        </w:tc>
        <w:tc>
          <w:tcPr>
            <w:tcW w:w="71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投标人承诺中标后一个月内在温岭市内设立绿地养护项目部，根据养护项目部的场所规模及办公环境进行综合评分。</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养护项目部规模大，</w:t>
            </w:r>
            <w:r>
              <w:rPr>
                <w:rFonts w:hint="eastAsia" w:ascii="宋体" w:hAnsi="宋体" w:cs="宋体"/>
                <w:sz w:val="21"/>
                <w:szCs w:val="21"/>
                <w:lang w:val="en-US" w:eastAsia="zh-CN"/>
              </w:rPr>
              <w:t>设施设备齐全，能很好完成招标文件要求</w:t>
            </w:r>
            <w:r>
              <w:rPr>
                <w:rFonts w:hint="eastAsia" w:ascii="宋体" w:hAnsi="宋体" w:eastAsia="宋体" w:cs="宋体"/>
                <w:sz w:val="21"/>
                <w:szCs w:val="21"/>
                <w:lang w:val="en-US" w:eastAsia="zh-CN"/>
              </w:rPr>
              <w:t>的得</w:t>
            </w:r>
            <w:r>
              <w:rPr>
                <w:rFonts w:hint="eastAsia" w:ascii="宋体" w:hAnsi="宋体" w:cs="宋体"/>
                <w:sz w:val="21"/>
                <w:szCs w:val="21"/>
                <w:lang w:val="en-US" w:eastAsia="zh-CN"/>
              </w:rPr>
              <w:t>1.6</w:t>
            </w:r>
            <w:r>
              <w:rPr>
                <w:rFonts w:hint="eastAsia" w:ascii="宋体" w:hAnsi="宋体" w:eastAsia="宋体" w:cs="宋体"/>
                <w:sz w:val="21"/>
                <w:szCs w:val="21"/>
                <w:lang w:val="en-US" w:eastAsia="zh-CN"/>
              </w:rPr>
              <w:t>-3分；</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养护项目部规模</w:t>
            </w:r>
            <w:r>
              <w:rPr>
                <w:rFonts w:hint="eastAsia" w:ascii="宋体" w:hAnsi="宋体" w:cs="宋体"/>
                <w:sz w:val="21"/>
                <w:szCs w:val="21"/>
                <w:lang w:val="en-US" w:eastAsia="zh-CN"/>
              </w:rPr>
              <w:t>一般</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设施设备基本齐全，能完成招标文件要求</w:t>
            </w:r>
            <w:r>
              <w:rPr>
                <w:rFonts w:hint="eastAsia" w:ascii="宋体" w:hAnsi="宋体" w:eastAsia="宋体" w:cs="宋体"/>
                <w:sz w:val="21"/>
                <w:szCs w:val="21"/>
                <w:lang w:val="en-US" w:eastAsia="zh-CN"/>
              </w:rPr>
              <w:t>的得</w:t>
            </w:r>
            <w:r>
              <w:rPr>
                <w:rFonts w:hint="eastAsia" w:ascii="宋体" w:hAnsi="宋体" w:cs="宋体"/>
                <w:sz w:val="21"/>
                <w:szCs w:val="21"/>
                <w:lang w:val="en-US" w:eastAsia="zh-CN"/>
              </w:rPr>
              <w:t>0-1.5</w:t>
            </w:r>
            <w:r>
              <w:rPr>
                <w:rFonts w:hint="eastAsia" w:ascii="宋体" w:hAnsi="宋体" w:eastAsia="宋体" w:cs="宋体"/>
                <w:sz w:val="21"/>
                <w:szCs w:val="21"/>
                <w:lang w:val="en-US" w:eastAsia="zh-CN"/>
              </w:rPr>
              <w:t>分</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89" w:type="dxa"/>
            <w:noWrap w:val="0"/>
            <w:vAlign w:val="center"/>
          </w:tcPr>
          <w:p>
            <w:pPr>
              <w:spacing w:line="460" w:lineRule="exact"/>
              <w:jc w:val="center"/>
              <w:rPr>
                <w:rFonts w:hint="default" w:ascii="宋体" w:hAnsi="宋体" w:eastAsia="宋体"/>
                <w:lang w:val="en-US" w:eastAsia="zh-CN"/>
              </w:rPr>
            </w:pPr>
            <w:r>
              <w:rPr>
                <w:rFonts w:hint="eastAsia" w:ascii="宋体" w:hAnsi="宋体"/>
                <w:lang w:val="en-US" w:eastAsia="zh-CN"/>
              </w:rPr>
              <w:t>10</w:t>
            </w:r>
          </w:p>
        </w:tc>
        <w:tc>
          <w:tcPr>
            <w:tcW w:w="1591" w:type="dxa"/>
            <w:noWrap w:val="0"/>
            <w:vAlign w:val="center"/>
          </w:tcPr>
          <w:p>
            <w:pPr>
              <w:spacing w:line="300" w:lineRule="exact"/>
              <w:jc w:val="center"/>
              <w:rPr>
                <w:rFonts w:ascii="宋体" w:hAnsi="宋体"/>
              </w:rPr>
            </w:pPr>
            <w:r>
              <w:rPr>
                <w:rFonts w:hint="eastAsia" w:ascii="宋体" w:hAnsi="宋体"/>
              </w:rPr>
              <w:t>绿地、树木养护管理目标、制度及实施措施</w:t>
            </w:r>
          </w:p>
        </w:tc>
        <w:tc>
          <w:tcPr>
            <w:tcW w:w="884"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11分</w:t>
            </w:r>
          </w:p>
        </w:tc>
        <w:tc>
          <w:tcPr>
            <w:tcW w:w="71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根据服务管理目标、相关管理制度、具体实施措施等进行综合评分。</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1.方案合理，内容全面详实，服务管理目标明确、相关管理制度完善、具体实施措施合理，贴合项目实际的得</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.1-1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分；</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2.方案内容较合理，服务管理目标欠明确、相关管理制度欠完善、具体实施措施欠合理，基本满足招标文件要求的得</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分；</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3.方案内容简单，服务管理目标不明确、相关管理制度不完善、具体实施措施不合理，不太满足招标文件要求的得</w:t>
            </w:r>
            <w:r>
              <w:rPr>
                <w:rFonts w:hint="eastAsia" w:ascii="宋体" w:hAnsi="宋体" w:cs="宋体"/>
                <w:sz w:val="21"/>
                <w:szCs w:val="21"/>
                <w:lang w:val="en-US" w:eastAsia="zh-CN"/>
              </w:rPr>
              <w:t>2.1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default"/>
                <w:lang w:val="en-US" w:eastAsia="zh-CN"/>
              </w:rPr>
            </w:pPr>
            <w:r>
              <w:rPr>
                <w:rFonts w:hint="eastAsia" w:ascii="宋体" w:hAnsi="宋体" w:eastAsia="宋体" w:cs="宋体"/>
                <w:sz w:val="21"/>
                <w:szCs w:val="21"/>
                <w:lang w:val="en-US" w:eastAsia="zh-CN"/>
              </w:rPr>
              <w:t>4.提供方案即得基本分</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689" w:type="dxa"/>
            <w:noWrap w:val="0"/>
            <w:vAlign w:val="center"/>
          </w:tcPr>
          <w:p>
            <w:pPr>
              <w:widowControl/>
              <w:jc w:val="center"/>
              <w:rPr>
                <w:rFonts w:hint="default" w:ascii="宋体" w:hAnsi="宋体" w:eastAsia="宋体"/>
                <w:lang w:val="en-US" w:eastAsia="zh-CN"/>
              </w:rPr>
            </w:pPr>
            <w:r>
              <w:rPr>
                <w:rFonts w:hint="eastAsia" w:ascii="宋体" w:hAnsi="宋体"/>
                <w:lang w:val="en-US" w:eastAsia="zh-CN"/>
              </w:rPr>
              <w:t>11</w:t>
            </w:r>
          </w:p>
        </w:tc>
        <w:tc>
          <w:tcPr>
            <w:tcW w:w="1591" w:type="dxa"/>
            <w:noWrap w:val="0"/>
            <w:vAlign w:val="center"/>
          </w:tcPr>
          <w:p>
            <w:pPr>
              <w:spacing w:line="300" w:lineRule="exact"/>
              <w:jc w:val="center"/>
              <w:rPr>
                <w:rFonts w:ascii="宋体" w:hAnsi="宋体"/>
              </w:rPr>
            </w:pPr>
            <w:r>
              <w:rPr>
                <w:rFonts w:hint="eastAsia" w:ascii="宋体" w:hAnsi="宋体"/>
              </w:rPr>
              <w:t>园林设施维护及绿地保洁管理目标、制度及实施措施</w:t>
            </w:r>
          </w:p>
        </w:tc>
        <w:tc>
          <w:tcPr>
            <w:tcW w:w="884"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11分</w:t>
            </w:r>
          </w:p>
        </w:tc>
        <w:tc>
          <w:tcPr>
            <w:tcW w:w="71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根据服务管理目标、相关管理制度、具体实施措施等进行综合评分。</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1.方案合理，内容全面详实，服务管理目标明确、相关管理制度完善、具体实施措施合理，贴合项目实际的得</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.1-1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分；</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2.方案内容较合理，服务管理目标欠明确、相关管理制度欠完善、具体实施措施欠合理，基本满足招标文件要求的得</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分；</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3.方案内容简单，服务管理目标不明确、相关管理制度不完善、具体实施措施不合理，不太满足招标文件要求的得</w:t>
            </w:r>
            <w:r>
              <w:rPr>
                <w:rFonts w:hint="eastAsia" w:ascii="宋体" w:hAnsi="宋体" w:cs="宋体"/>
                <w:sz w:val="21"/>
                <w:szCs w:val="21"/>
                <w:lang w:val="en-US" w:eastAsia="zh-CN"/>
              </w:rPr>
              <w:t>2.1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lang w:val="en-US" w:eastAsia="zh-CN"/>
              </w:rPr>
            </w:pPr>
            <w:r>
              <w:rPr>
                <w:rFonts w:hint="eastAsia" w:ascii="宋体" w:hAnsi="宋体" w:eastAsia="宋体" w:cs="宋体"/>
                <w:sz w:val="21"/>
                <w:szCs w:val="21"/>
                <w:lang w:val="en-US" w:eastAsia="zh-CN"/>
              </w:rPr>
              <w:t>4.提供方案即得基本分</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89" w:type="dxa"/>
            <w:noWrap w:val="0"/>
            <w:vAlign w:val="center"/>
          </w:tcPr>
          <w:p>
            <w:pPr>
              <w:widowControl/>
              <w:jc w:val="center"/>
              <w:rPr>
                <w:rFonts w:hint="default" w:ascii="宋体" w:hAnsi="宋体" w:eastAsia="宋体"/>
                <w:lang w:val="en-US" w:eastAsia="zh-CN"/>
              </w:rPr>
            </w:pPr>
            <w:r>
              <w:rPr>
                <w:rFonts w:hint="eastAsia" w:ascii="宋体" w:hAnsi="宋体"/>
                <w:lang w:val="en-US" w:eastAsia="zh-CN"/>
              </w:rPr>
              <w:t>12</w:t>
            </w:r>
          </w:p>
        </w:tc>
        <w:tc>
          <w:tcPr>
            <w:tcW w:w="1591" w:type="dxa"/>
            <w:noWrap w:val="0"/>
            <w:vAlign w:val="center"/>
          </w:tcPr>
          <w:p>
            <w:pPr>
              <w:spacing w:line="300" w:lineRule="exact"/>
              <w:jc w:val="center"/>
              <w:rPr>
                <w:rFonts w:ascii="宋体" w:hAnsi="宋体"/>
              </w:rPr>
            </w:pPr>
            <w:r>
              <w:rPr>
                <w:rFonts w:hint="eastAsia" w:ascii="宋体" w:hAnsi="宋体"/>
              </w:rPr>
              <w:t>安全管理目标、制度及实施措施</w:t>
            </w:r>
          </w:p>
        </w:tc>
        <w:tc>
          <w:tcPr>
            <w:tcW w:w="884" w:type="dxa"/>
            <w:noWrap w:val="0"/>
            <w:vAlign w:val="center"/>
          </w:tcPr>
          <w:p>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10分</w:t>
            </w:r>
          </w:p>
        </w:tc>
        <w:tc>
          <w:tcPr>
            <w:tcW w:w="71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根据安全管理目标、相关管理制度、具体实施措施等进行综合评分。</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1.方案合理，内容全面详实，服务管理目标明确、相关管理制度完善、具体实施措施合理，贴合项目实际的得7.1-10分；</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2.方案内容较合理，服务管理目标欠明确、相关管理制度欠完善、具体实施措施欠合理，基本满足招标文件要求的得4.1-7分；</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3.方案内容简单，服务管理目标不明确、相关管理制度不完善、具体实施措施不合理，不太满足招标文件要求的得1-4分；</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lang w:val="en-US" w:eastAsia="zh-CN"/>
              </w:rPr>
            </w:pPr>
            <w:r>
              <w:rPr>
                <w:rFonts w:hint="eastAsia" w:ascii="宋体" w:hAnsi="宋体" w:eastAsia="宋体" w:cs="宋体"/>
                <w:sz w:val="21"/>
                <w:szCs w:val="21"/>
                <w:lang w:val="en-US" w:eastAsia="zh-CN"/>
              </w:rPr>
              <w:t>4.提供方案即得基本分1分。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89" w:type="dxa"/>
            <w:noWrap w:val="0"/>
            <w:vAlign w:val="center"/>
          </w:tcPr>
          <w:p>
            <w:pPr>
              <w:widowControl/>
              <w:jc w:val="center"/>
              <w:rPr>
                <w:rFonts w:hint="default" w:ascii="宋体" w:hAnsi="宋体" w:eastAsia="宋体"/>
                <w:lang w:val="en-US" w:eastAsia="zh-CN"/>
              </w:rPr>
            </w:pPr>
            <w:r>
              <w:rPr>
                <w:rFonts w:hint="eastAsia" w:ascii="宋体" w:hAnsi="宋体"/>
                <w:lang w:val="en-US" w:eastAsia="zh-CN"/>
              </w:rPr>
              <w:t>13</w:t>
            </w:r>
          </w:p>
        </w:tc>
        <w:tc>
          <w:tcPr>
            <w:tcW w:w="1591" w:type="dxa"/>
            <w:noWrap w:val="0"/>
            <w:vAlign w:val="center"/>
          </w:tcPr>
          <w:p>
            <w:pPr>
              <w:spacing w:line="300" w:lineRule="exact"/>
              <w:jc w:val="center"/>
              <w:rPr>
                <w:rFonts w:hint="eastAsia" w:ascii="宋体" w:hAnsi="宋体"/>
              </w:rPr>
            </w:pPr>
            <w:r>
              <w:rPr>
                <w:rFonts w:hint="eastAsia" w:ascii="宋体" w:hAnsi="宋体"/>
              </w:rPr>
              <w:t>抗旱、防台防洪应急预案</w:t>
            </w:r>
          </w:p>
        </w:tc>
        <w:tc>
          <w:tcPr>
            <w:tcW w:w="884" w:type="dxa"/>
            <w:noWrap w:val="0"/>
            <w:vAlign w:val="center"/>
          </w:tcPr>
          <w:p>
            <w:pPr>
              <w:spacing w:line="460" w:lineRule="exact"/>
              <w:jc w:val="center"/>
              <w:rPr>
                <w:rFonts w:hint="eastAsia" w:ascii="宋体" w:hAnsi="宋体"/>
              </w:rPr>
            </w:pPr>
            <w:r>
              <w:rPr>
                <w:rFonts w:hint="eastAsia" w:ascii="宋体" w:hAnsi="宋体"/>
                <w:lang w:val="en-US" w:eastAsia="zh-CN"/>
              </w:rPr>
              <w:t>4</w:t>
            </w:r>
            <w:r>
              <w:rPr>
                <w:rFonts w:hint="eastAsia" w:ascii="宋体" w:hAnsi="宋体"/>
              </w:rPr>
              <w:t>分</w:t>
            </w:r>
          </w:p>
        </w:tc>
        <w:tc>
          <w:tcPr>
            <w:tcW w:w="71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根据应急预案进行综合评分。</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应急预案方案合理，内容全面详实，结合项目实际的得2.1-4分；</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.方案内容较详细，基本符合招标文件要求的得0-2分</w:t>
            </w:r>
            <w:r>
              <w:rPr>
                <w:rFonts w:hint="eastAsia" w:ascii="宋体" w:hAnsi="宋体" w:cs="宋体"/>
                <w:sz w:val="21"/>
                <w:szCs w:val="21"/>
                <w:lang w:val="en-US" w:eastAsia="zh-CN"/>
              </w:rPr>
              <w:t>。</w:t>
            </w:r>
          </w:p>
        </w:tc>
      </w:tr>
    </w:tbl>
    <w:p>
      <w:pPr>
        <w:spacing w:line="240" w:lineRule="auto"/>
        <w:ind w:firstLine="420"/>
        <w:rPr>
          <w:lang w:val="zh-CN"/>
        </w:rPr>
      </w:pPr>
      <w:r>
        <w:rPr>
          <w:rFonts w:hint="eastAsia"/>
        </w:rPr>
        <w:t>注：</w:t>
      </w:r>
      <w:r>
        <w:rPr>
          <w:rFonts w:hint="eastAsia"/>
          <w:lang w:val="zh-CN"/>
        </w:rPr>
        <w:t>上述证明材料中的单位名称与投标单位的名称必须一致，单位发生合法变更的，需提供合法变更的材料。否则，业绩不予认可。</w:t>
      </w:r>
    </w:p>
    <w:p>
      <w:pPr>
        <w:keepNext w:val="0"/>
        <w:keepLines w:val="0"/>
        <w:pageBreakBefore w:val="0"/>
        <w:widowControl/>
        <w:kinsoku/>
        <w:wordWrap/>
        <w:overflowPunct/>
        <w:topLinePunct w:val="0"/>
        <w:bidi w:val="0"/>
        <w:snapToGrid/>
        <w:spacing w:line="360" w:lineRule="exact"/>
        <w:jc w:val="center"/>
        <w:textAlignment w:val="auto"/>
        <w:outlineLvl w:val="0"/>
        <w:rPr>
          <w:rFonts w:ascii="宋体" w:cs="宋体"/>
          <w:b/>
          <w:bCs/>
          <w:sz w:val="36"/>
          <w:szCs w:val="36"/>
        </w:rPr>
      </w:pPr>
      <w:r>
        <w:rPr>
          <w:rFonts w:ascii="宋体" w:cs="宋体"/>
          <w:b/>
          <w:bCs/>
          <w:sz w:val="36"/>
          <w:szCs w:val="36"/>
        </w:rPr>
        <w:br w:type="page"/>
      </w:r>
      <w:bookmarkStart w:id="32" w:name="_Toc24146"/>
    </w:p>
    <w:p>
      <w:pPr>
        <w:keepNext w:val="0"/>
        <w:keepLines w:val="0"/>
        <w:pageBreakBefore w:val="0"/>
        <w:widowControl/>
        <w:kinsoku/>
        <w:wordWrap/>
        <w:overflowPunct/>
        <w:topLinePunct w:val="0"/>
        <w:bidi w:val="0"/>
        <w:snapToGrid/>
        <w:spacing w:line="360" w:lineRule="exact"/>
        <w:jc w:val="center"/>
        <w:textAlignment w:val="auto"/>
        <w:outlineLvl w:val="0"/>
        <w:rPr>
          <w:rFonts w:ascii="宋体" w:cs="宋体"/>
          <w:b/>
          <w:bCs/>
          <w:sz w:val="36"/>
          <w:szCs w:val="36"/>
        </w:rPr>
      </w:pPr>
    </w:p>
    <w:p>
      <w:pPr>
        <w:keepNext w:val="0"/>
        <w:keepLines w:val="0"/>
        <w:pageBreakBefore w:val="0"/>
        <w:widowControl/>
        <w:kinsoku/>
        <w:wordWrap/>
        <w:overflowPunct/>
        <w:topLinePunct w:val="0"/>
        <w:bidi w:val="0"/>
        <w:snapToGrid/>
        <w:spacing w:line="360" w:lineRule="exact"/>
        <w:jc w:val="center"/>
        <w:textAlignment w:val="auto"/>
        <w:outlineLvl w:val="0"/>
        <w:rPr>
          <w:rFonts w:hint="eastAsia" w:ascii="宋体" w:eastAsia="宋体" w:cs="宋体"/>
          <w:b/>
          <w:bCs/>
          <w:sz w:val="28"/>
          <w:szCs w:val="28"/>
          <w:lang w:eastAsia="zh-CN"/>
        </w:rPr>
      </w:pPr>
      <w:r>
        <w:rPr>
          <w:rFonts w:hint="eastAsia" w:ascii="宋体" w:hAnsi="宋体" w:cs="宋体"/>
          <w:b/>
          <w:bCs/>
          <w:sz w:val="28"/>
          <w:szCs w:val="28"/>
        </w:rPr>
        <w:t>第四章</w:t>
      </w:r>
      <w:r>
        <w:rPr>
          <w:rFonts w:ascii="宋体" w:hAnsi="宋体" w:cs="宋体"/>
          <w:b/>
          <w:bCs/>
          <w:sz w:val="28"/>
          <w:szCs w:val="28"/>
        </w:rPr>
        <w:t xml:space="preserve"> </w:t>
      </w:r>
      <w:r>
        <w:rPr>
          <w:rFonts w:hint="eastAsia" w:ascii="宋体" w:hAnsi="宋体" w:cs="宋体"/>
          <w:b/>
          <w:bCs/>
          <w:sz w:val="28"/>
          <w:szCs w:val="28"/>
          <w:lang w:eastAsia="zh-CN"/>
        </w:rPr>
        <w:t>采购需求</w:t>
      </w:r>
      <w:bookmarkEnd w:id="32"/>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bookmarkStart w:id="33" w:name="_Toc3866"/>
      <w:r>
        <w:rPr>
          <w:rFonts w:hint="eastAsia" w:ascii="宋体" w:hAnsi="宋体" w:cs="宋体"/>
          <w:b w:val="0"/>
          <w:bCs w:val="0"/>
          <w:sz w:val="24"/>
          <w:szCs w:val="24"/>
        </w:rPr>
        <w:t>为了进一步推进我市园林绿化养护管理市场化，加快城市绿化事业改革步伐，形成园林绿化养护管理的市场化、专业化和规范化管理机制，达到养护效率、养护质量和城市绿化整体水平的提高。结合我市园林绿化养护管理具体情况，制定温岭市园林绿化市场化养护管理实施方案。</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zh-CN"/>
        </w:rPr>
        <w:t>一、指导思想：</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以“优化资源配置、提高管理养护资金使用效率、提高养护管理水平”为目标，实现“政企分开、管养分离、科学管理、养护提质”，建立适应新形势要求的高效、灵活、开放、竞争的园林绿化养护管理模式，努力实现园林绿化养护低成本和高效益，最大限度地提高我市城市园林绿化养护管理水平。</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cs="宋体"/>
          <w:b/>
          <w:bCs/>
          <w:sz w:val="24"/>
          <w:szCs w:val="24"/>
          <w:lang w:val="zh-CN"/>
        </w:rPr>
      </w:pPr>
      <w:r>
        <w:rPr>
          <w:rFonts w:hint="eastAsia" w:ascii="宋体" w:hAnsi="宋体" w:cs="宋体"/>
          <w:b/>
          <w:bCs/>
          <w:sz w:val="24"/>
          <w:szCs w:val="24"/>
          <w:lang w:val="zh-CN"/>
        </w:rPr>
        <w:t>二、工作目标：</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按照“政企分开、管养分离”原则，逐步构建起“政府管理、社会监督、市场化作业”的园林绿化养护管理体系，采取“统一招标、稳步推进”的方式，造就一批经验丰富、技术过硬、信得过、管得好的管养队伍，形成并扩大园林绿化养护市场，最大限度的发挥市场在资源配置中的基础性作用，节约市场化养护管理的资金投入，实现社会效益和经济效益最大化，推动我市园林事业全面发展。</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cs="宋体"/>
          <w:b/>
          <w:bCs/>
          <w:sz w:val="24"/>
          <w:szCs w:val="24"/>
          <w:lang w:val="zh-CN"/>
        </w:rPr>
      </w:pPr>
      <w:r>
        <w:rPr>
          <w:rFonts w:hint="eastAsia" w:ascii="宋体" w:hAnsi="宋体" w:cs="宋体"/>
          <w:b/>
          <w:bCs/>
          <w:sz w:val="24"/>
          <w:szCs w:val="24"/>
          <w:lang w:val="zh-CN"/>
        </w:rPr>
        <w:t>三、工作内容：</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1、</w:t>
      </w:r>
      <w:r>
        <w:rPr>
          <w:rFonts w:hint="eastAsia" w:ascii="宋体" w:hAnsi="宋体" w:cs="宋体"/>
          <w:b w:val="0"/>
          <w:bCs w:val="0"/>
          <w:sz w:val="24"/>
          <w:szCs w:val="24"/>
          <w:lang w:val="zh-CN"/>
        </w:rPr>
        <w:t>养管范围及要求：</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本次</w:t>
      </w:r>
      <w:r>
        <w:rPr>
          <w:rFonts w:hint="eastAsia" w:ascii="宋体" w:hAnsi="宋体" w:cs="宋体"/>
          <w:b w:val="0"/>
          <w:bCs w:val="0"/>
          <w:sz w:val="24"/>
          <w:szCs w:val="24"/>
          <w:lang w:val="en-US" w:eastAsia="zh-CN"/>
        </w:rPr>
        <w:t>绿化养护</w:t>
      </w:r>
      <w:r>
        <w:rPr>
          <w:rFonts w:hint="eastAsia" w:ascii="宋体" w:hAnsi="宋体" w:cs="宋体"/>
          <w:b w:val="0"/>
          <w:bCs w:val="0"/>
          <w:sz w:val="24"/>
          <w:szCs w:val="24"/>
        </w:rPr>
        <w:t>主要范围为植物园1期、2期以及入口处停车场，要求绿化养护质量全部达到《温岭市园林绿化养护管理技术要求》及招标文件、国家和地方的相关技术规范、规程、标准的要求。</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 xml:space="preserve">草花景观花卉种植方案：乙方应在更换草花景观花卉前，根据草花景观花卉数量、品种、地点提供种植方案（包括种植时间）给甲方,经甲方确认后按确认的方案种植。如甲方临时要求，甲方应提前三天通知乙方，乙方应提供种植方案给甲方，经甲方确认后按确认的方案种植。                   </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草花质量要求：</w:t>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 1 \* GB2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⑴</w:t>
      </w:r>
      <w:r>
        <w:rPr>
          <w:rFonts w:hint="eastAsia" w:ascii="宋体" w:hAnsi="宋体" w:cs="宋体"/>
          <w:b w:val="0"/>
          <w:bCs w:val="0"/>
          <w:sz w:val="24"/>
          <w:szCs w:val="24"/>
        </w:rPr>
        <w:fldChar w:fldCharType="end"/>
      </w:r>
      <w:r>
        <w:rPr>
          <w:rFonts w:hint="eastAsia" w:ascii="宋体" w:hAnsi="宋体" w:cs="宋体"/>
          <w:b w:val="0"/>
          <w:bCs w:val="0"/>
          <w:sz w:val="24"/>
          <w:szCs w:val="24"/>
        </w:rPr>
        <w:t>乙方应要保证全年每季时令草花生长良好外形美观。草花株形饱满、生长健壮、色泽艳丽，无病虫害、单株着花1-2朵以上；草花泥球规格上口直径不小于7CM，高度不少于6CM。</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草花景观花卉养护要求：</w:t>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 1 \* GB2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⑴</w:t>
      </w:r>
      <w:r>
        <w:rPr>
          <w:rFonts w:hint="eastAsia" w:ascii="宋体" w:hAnsi="宋体" w:cs="宋体"/>
          <w:b w:val="0"/>
          <w:bCs w:val="0"/>
          <w:sz w:val="24"/>
          <w:szCs w:val="24"/>
        </w:rPr>
        <w:fldChar w:fldCharType="end"/>
      </w:r>
      <w:r>
        <w:rPr>
          <w:rFonts w:hint="eastAsia" w:ascii="宋体" w:hAnsi="宋体" w:cs="宋体"/>
          <w:b w:val="0"/>
          <w:bCs w:val="0"/>
          <w:sz w:val="24"/>
          <w:szCs w:val="24"/>
        </w:rPr>
        <w:t>要保证全年有花，一年至少更换3次以上，每次草花种植前需先施每平方不少于50克的复合肥。草花种植范围内无杂草，无坑洼积水，无裸露地，草花覆盖率95%以上，无垃圾杂物，无干枯枝叶。</w:t>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 2 \* GB2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⑵</w:t>
      </w:r>
      <w:r>
        <w:rPr>
          <w:rFonts w:hint="eastAsia" w:ascii="宋体" w:hAnsi="宋体" w:cs="宋体"/>
          <w:b w:val="0"/>
          <w:bCs w:val="0"/>
          <w:sz w:val="24"/>
          <w:szCs w:val="24"/>
        </w:rPr>
        <w:fldChar w:fldCharType="end"/>
      </w:r>
      <w:r>
        <w:rPr>
          <w:rFonts w:hint="eastAsia" w:ascii="宋体" w:hAnsi="宋体" w:cs="宋体"/>
          <w:b w:val="0"/>
          <w:bCs w:val="0"/>
          <w:sz w:val="24"/>
          <w:szCs w:val="24"/>
        </w:rPr>
        <w:t>草花生长良好，造型美观，具有一定的艺术感。</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2、绿化补种、迁移：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①配备的绿地养护人员视为采购人间接聘用，车辆等设备视为采购人间接租赁，因此中标单位有义务对绿地内零星的草坪、地被植物、灌木色块的缺损进行修补（修补用的草坪、地被植物、灌木材料为绿地内间疏、迁移或用草皮草籽籽播），采购人不再支付任何费用（包括草皮草籽的费用也不再支付）。</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小规格（胸径10CM以下）小批量（乔木每次10棵以下，灌木每次500棵以下）的树木迁移（从其他地方迁移至标段范围内），由中标单位无偿实施。迁移苗木由中标单位负责养护保活至中标养护期结束。适宜季节迁移（11月至次年4月），存活率必须保证在95％以上，非适宜季节迁移（5月至10月）存活率必须保证在85％以上。</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②因中标单位管理不善等原因，引起的绿化缺失、损坏、植株部分枯死，必须由中标单位无偿及时补种同规格苗木，采购人不再支付任何费用，并可按考核标准相应扣分。</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③采购人招标范围内的绿化补种，主要是指：有审批手续的绿地挖掘后的复绿；零星的绿地改造和提档；非养护方责任范围内的行道树缺损；业主要求的其它绿化种植。以上绿化补种以采购人的业主指令为准，中标单位不得拒绝，工程量按实结算，经结算审计后支付，若不按照采购人指令，每延误一天扣除1000元。</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④估算工程量在10万元（单次）以下的绿化种植、补种、迁移工程（养护期为1年），采购人可直接以任务单形式委托养护单位实施，养护单位必须接受，经结算审计后一次性支付。</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3、工作量</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①工作量以招标文件规定范围，以中标后经采购人核定的数量为准。</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②包含在招标中的部分绿地因其他原因而暂时不能接管的，均以实际移交接收开始之日起计算工作量；若养护过程中因开发建设或绿地改造等政府性项目需要，局部工作量有增减的，按投标单价按实结算，以业主指令为准（但中标单位的履约保证金不作调整，该部分财务成本请在报价中充分考虑）。</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③在承包期范围内如涉及绿地改造、施工，绿地全面改造的将按实际改造面积、时间扣除该部分养护费用；如绿地进行局部改造（即绿地内部分植物保留的改造）、且采购人仍要求对未改造部分植物进行养护管理的，改造期内，养护费将按该区域中标养护价的50％支付，并仍按原标准进行考核。</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4、中标后，供应商需将人员配套情况附人员身份证复印件（养护技工或技术人员还需提供从业资格证书）上报采购人，如因养护面积增加而需要增加相关人员的，应及时将增加人员配套情况补报采购人。</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供应商的工作人员在上岗前均需办理人身意外保险，开始养护前或人员增加后15天内将其保险单（提供原件及复印件，原件核对后退还）交给采购人备案。</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lang w:eastAsia="zh-CN"/>
        </w:rPr>
      </w:pPr>
      <w:r>
        <w:rPr>
          <w:rFonts w:hint="eastAsia" w:ascii="宋体" w:hAnsi="宋体" w:cs="宋体"/>
          <w:b w:val="0"/>
          <w:bCs w:val="0"/>
          <w:sz w:val="24"/>
          <w:szCs w:val="24"/>
        </w:rPr>
        <w:t>5、机械配备</w:t>
      </w:r>
      <w:r>
        <w:rPr>
          <w:rFonts w:hint="eastAsia" w:ascii="宋体" w:hAnsi="宋体" w:cs="宋体"/>
          <w:b w:val="0"/>
          <w:bCs w:val="0"/>
          <w:sz w:val="24"/>
          <w:szCs w:val="24"/>
          <w:lang w:eastAsia="zh-CN"/>
        </w:rPr>
        <w:t>：</w:t>
      </w:r>
      <w:r>
        <w:rPr>
          <w:rFonts w:hint="eastAsia" w:ascii="宋体" w:hAnsi="宋体" w:cs="宋体"/>
          <w:b w:val="0"/>
          <w:bCs w:val="0"/>
          <w:sz w:val="24"/>
          <w:szCs w:val="24"/>
        </w:rPr>
        <w:t>供应商在中标后1个月时间内按照采购人要求的配备相应机械设备准备到位</w:t>
      </w:r>
      <w:r>
        <w:rPr>
          <w:rFonts w:hint="eastAsia" w:ascii="宋体" w:hAnsi="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6、供应商在中标后一个月内须在养护范围附近设立绿地养护项目部，组建专门绿地养护管理班子，有固定的办公场所（要求60平方米以上，需在养护区域内或1公里半径内，自有或租赁皆可，但需提供自有或租赁证明文件）。</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7、绿化巡查</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供应商必须配备绿化养护巡查车辆1辆，对所辖绿化进行每天巡查不少于一遍，并做好巡查记录，对发现的损绿、毁绿行为必须及时予以制止、处理，并上报采购人，对供应商不及时发现和制止而造成的损害由供应商负责恢复原状。</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8、其他：</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①采购人将要求中标单位组建一支绿化冲洗作业小分队（4人以上，配备除尘掸子、电瓶三轮车、扬程20米以上的高压喷雾机等），按采购人规定进行绿化冲洗作业，该部分人员不再另外支付费用。</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②中标供应商必须按规定程序和安全文明服务有关要求进行实施，承担服务过程中的各种意外，其责任由中标供应商承担，采购人不承担任何责任。</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四、</w:t>
      </w:r>
      <w:r>
        <w:rPr>
          <w:rFonts w:hint="eastAsia" w:ascii="宋体" w:hAnsi="宋体" w:cs="宋体"/>
          <w:b/>
          <w:bCs/>
          <w:sz w:val="24"/>
          <w:szCs w:val="24"/>
        </w:rPr>
        <w:t>养护范围及面积要求</w:t>
      </w:r>
      <w:r>
        <w:rPr>
          <w:rFonts w:hint="eastAsia" w:ascii="宋体" w:hAnsi="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公园绿地标项</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面积统计表</w:t>
      </w:r>
    </w:p>
    <w:tbl>
      <w:tblPr>
        <w:tblStyle w:val="28"/>
        <w:tblW w:w="8119" w:type="dxa"/>
        <w:jc w:val="center"/>
        <w:tblLayout w:type="fixed"/>
        <w:tblCellMar>
          <w:top w:w="15" w:type="dxa"/>
          <w:left w:w="15" w:type="dxa"/>
          <w:bottom w:w="15" w:type="dxa"/>
          <w:right w:w="15" w:type="dxa"/>
        </w:tblCellMar>
      </w:tblPr>
      <w:tblGrid>
        <w:gridCol w:w="2604"/>
        <w:gridCol w:w="3165"/>
        <w:gridCol w:w="2350"/>
      </w:tblGrid>
      <w:tr>
        <w:tblPrEx>
          <w:tblCellMar>
            <w:top w:w="15" w:type="dxa"/>
            <w:left w:w="15" w:type="dxa"/>
            <w:bottom w:w="15" w:type="dxa"/>
            <w:right w:w="15" w:type="dxa"/>
          </w:tblCellMar>
        </w:tblPrEx>
        <w:trPr>
          <w:trHeight w:val="434" w:hRule="atLeast"/>
          <w:jc w:val="center"/>
        </w:trPr>
        <w:tc>
          <w:tcPr>
            <w:tcW w:w="2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级别</w:t>
            </w:r>
          </w:p>
        </w:tc>
        <w:tc>
          <w:tcPr>
            <w:tcW w:w="3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绿地总面积（㎡）</w:t>
            </w:r>
          </w:p>
        </w:tc>
        <w:tc>
          <w:tcPr>
            <w:tcW w:w="2350" w:type="dxa"/>
            <w:vMerge w:val="restart"/>
            <w:tcBorders>
              <w:top w:val="single" w:color="000000" w:sz="4" w:space="0"/>
              <w:left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cs="宋体"/>
                <w:sz w:val="24"/>
                <w:szCs w:val="24"/>
              </w:rPr>
              <w:t>▲</w:t>
            </w:r>
            <w:r>
              <w:rPr>
                <w:rFonts w:hint="eastAsia" w:ascii="宋体" w:hAnsi="宋体" w:eastAsia="宋体" w:cs="宋体"/>
                <w:color w:val="000000"/>
                <w:kern w:val="0"/>
                <w:sz w:val="24"/>
                <w:szCs w:val="24"/>
                <w:lang w:bidi="ar"/>
              </w:rPr>
              <w:t>养护人员配置2</w:t>
            </w:r>
            <w:r>
              <w:rPr>
                <w:rFonts w:ascii="宋体" w:hAnsi="宋体" w:eastAsia="宋体" w:cs="宋体"/>
                <w:color w:val="000000"/>
                <w:kern w:val="0"/>
                <w:sz w:val="24"/>
                <w:szCs w:val="24"/>
                <w:lang w:bidi="ar"/>
              </w:rPr>
              <w:t>5</w:t>
            </w:r>
            <w:r>
              <w:rPr>
                <w:rFonts w:hint="eastAsia" w:ascii="宋体" w:hAnsi="宋体" w:eastAsia="宋体" w:cs="宋体"/>
                <w:color w:val="000000"/>
                <w:kern w:val="0"/>
                <w:sz w:val="24"/>
                <w:szCs w:val="24"/>
                <w:lang w:bidi="ar"/>
              </w:rPr>
              <w:t>人</w:t>
            </w:r>
          </w:p>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（其中保洁5人）</w:t>
            </w:r>
          </w:p>
        </w:tc>
      </w:tr>
      <w:tr>
        <w:tblPrEx>
          <w:tblCellMar>
            <w:top w:w="15" w:type="dxa"/>
            <w:left w:w="15" w:type="dxa"/>
            <w:bottom w:w="15" w:type="dxa"/>
            <w:right w:w="15" w:type="dxa"/>
          </w:tblCellMar>
        </w:tblPrEx>
        <w:trPr>
          <w:trHeight w:val="312" w:hRule="atLeast"/>
          <w:jc w:val="center"/>
        </w:trPr>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bidi="ar"/>
              </w:rPr>
            </w:pPr>
          </w:p>
        </w:tc>
        <w:tc>
          <w:tcPr>
            <w:tcW w:w="3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bidi="ar"/>
              </w:rPr>
            </w:pPr>
          </w:p>
        </w:tc>
        <w:tc>
          <w:tcPr>
            <w:tcW w:w="2350" w:type="dxa"/>
            <w:vMerge w:val="continue"/>
            <w:tcBorders>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r>
      <w:tr>
        <w:tblPrEx>
          <w:tblCellMar>
            <w:top w:w="15" w:type="dxa"/>
            <w:left w:w="15" w:type="dxa"/>
            <w:bottom w:w="15" w:type="dxa"/>
            <w:right w:w="15" w:type="dxa"/>
          </w:tblCellMar>
        </w:tblPrEx>
        <w:trPr>
          <w:trHeight w:val="491" w:hRule="atLeast"/>
          <w:jc w:val="center"/>
        </w:trPr>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绿地二级</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282482</w:t>
            </w:r>
          </w:p>
        </w:tc>
        <w:tc>
          <w:tcPr>
            <w:tcW w:w="2350" w:type="dxa"/>
            <w:vMerge w:val="continue"/>
            <w:tcBorders>
              <w:left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r>
      <w:tr>
        <w:tblPrEx>
          <w:tblCellMar>
            <w:top w:w="15" w:type="dxa"/>
            <w:left w:w="15" w:type="dxa"/>
            <w:bottom w:w="15" w:type="dxa"/>
            <w:right w:w="15" w:type="dxa"/>
          </w:tblCellMar>
        </w:tblPrEx>
        <w:trPr>
          <w:trHeight w:val="491" w:hRule="atLeast"/>
          <w:jc w:val="center"/>
        </w:trPr>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草花及花海</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7000</w:t>
            </w:r>
          </w:p>
        </w:tc>
        <w:tc>
          <w:tcPr>
            <w:tcW w:w="2350" w:type="dxa"/>
            <w:vMerge w:val="continue"/>
            <w:tcBorders>
              <w:left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r>
      <w:tr>
        <w:tblPrEx>
          <w:tblCellMar>
            <w:top w:w="15" w:type="dxa"/>
            <w:left w:w="15" w:type="dxa"/>
            <w:bottom w:w="15" w:type="dxa"/>
            <w:right w:w="15" w:type="dxa"/>
          </w:tblCellMar>
        </w:tblPrEx>
        <w:trPr>
          <w:trHeight w:val="500" w:hRule="atLeast"/>
          <w:jc w:val="center"/>
        </w:trPr>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小计</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289482</w:t>
            </w:r>
          </w:p>
        </w:tc>
        <w:tc>
          <w:tcPr>
            <w:tcW w:w="2350" w:type="dxa"/>
            <w:vMerge w:val="continue"/>
            <w:tcBorders>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p>
        </w:tc>
      </w:tr>
    </w:tbl>
    <w:p>
      <w:pPr>
        <w:pStyle w:val="25"/>
        <w:ind w:firstLine="420" w:firstLineChars="200"/>
        <w:jc w:val="left"/>
        <w:rPr>
          <w:rFonts w:ascii="宋体" w:hAnsi="宋体" w:eastAsia="宋体" w:cs="宋体"/>
          <w:color w:val="000000"/>
          <w:kern w:val="44"/>
          <w:sz w:val="21"/>
          <w:szCs w:val="21"/>
        </w:rPr>
      </w:pPr>
      <w:r>
        <w:rPr>
          <w:rFonts w:hint="eastAsia" w:ascii="宋体" w:hAnsi="宋体" w:eastAsia="宋体" w:cs="宋体"/>
          <w:b w:val="0"/>
          <w:bCs/>
          <w:color w:val="000000"/>
          <w:kern w:val="44"/>
          <w:sz w:val="21"/>
          <w:szCs w:val="21"/>
        </w:rPr>
        <w:t>注：养护人员数为养护工人人员最低要求，不包括日常管理人员，其中括号内人数为公园绿地专职日常公园保洁人员数最低要求。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textAlignment w:val="auto"/>
        <w:rPr>
          <w:rFonts w:hint="eastAsia" w:ascii="宋体" w:hAnsi="宋体" w:cs="宋体"/>
          <w:b/>
          <w:bCs/>
          <w:sz w:val="24"/>
          <w:szCs w:val="24"/>
        </w:rPr>
      </w:pPr>
      <w:r>
        <w:rPr>
          <w:rFonts w:hint="eastAsia" w:ascii="宋体" w:hAnsi="宋体" w:cs="宋体"/>
          <w:b/>
          <w:bCs/>
          <w:sz w:val="24"/>
          <w:szCs w:val="24"/>
          <w:lang w:val="en-US" w:eastAsia="zh-CN"/>
        </w:rPr>
        <w:t>五、</w:t>
      </w:r>
      <w:r>
        <w:rPr>
          <w:rFonts w:hint="eastAsia" w:ascii="宋体" w:hAnsi="宋体" w:cs="宋体"/>
          <w:b/>
          <w:bCs/>
          <w:sz w:val="24"/>
          <w:szCs w:val="24"/>
        </w:rPr>
        <w:t>管理养护承包期限：</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三年（具体养护时间以双方签订养护合同规定时间为准），合同实行一年一签。即本次招标合同期为1年，并采用1年+1年+1年模式，在1年的合同期限到期后再根据该年度综合考核情况由采购人决定是否与中标单位再续签,续签也是一年一签，以此类推，最终解释权归业主方。</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cs="宋体"/>
          <w:b/>
          <w:bCs/>
          <w:sz w:val="24"/>
          <w:szCs w:val="24"/>
          <w:lang w:val="zh-CN"/>
        </w:rPr>
      </w:pPr>
      <w:r>
        <w:rPr>
          <w:rFonts w:hint="eastAsia" w:ascii="宋体" w:hAnsi="宋体" w:cs="宋体"/>
          <w:b/>
          <w:bCs/>
          <w:sz w:val="24"/>
          <w:szCs w:val="24"/>
          <w:lang w:val="en-US" w:eastAsia="zh-CN"/>
        </w:rPr>
        <w:t>六</w:t>
      </w:r>
      <w:r>
        <w:rPr>
          <w:rFonts w:hint="eastAsia" w:ascii="宋体" w:hAnsi="宋体" w:cs="宋体"/>
          <w:b/>
          <w:bCs/>
          <w:sz w:val="24"/>
          <w:szCs w:val="24"/>
          <w:lang w:val="zh-CN"/>
        </w:rPr>
        <w:t>、养护费用的预算及拨付：</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（一）养护地段的级别划定：根据绿地实际，植物园按照二级养护标准执行。</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二）养护费用的预算核定：园林绿化养护事务中心（以下称园林中心）参照近年来年园林绿化养护管理实际发生费用，以及绿地级别标准，对人员工资、监督管理费、农药肥料、园林机械、用具费用、修剪清运、缺损补植、抗台应急、管理利润等进行测算。考虑园林绿化养护工程的特殊性，绿化养护费单价包括业主管理、绿化人为损坏（不包括已审批园林绿化许可事项或已查处损坏绿化案件）、台风、洪水淹没三天以内等非承包人或非发包人原因造成的修复费用。</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（三）养护管理的考核：严格执行三级督查制度，建立规范合理的奖惩机制，由园林中心负责监管考核，按照根据《园林绿化市场化养护管理检查考核办法》（</w:t>
      </w:r>
      <w:r>
        <w:rPr>
          <w:rFonts w:hint="eastAsia" w:ascii="宋体" w:hAnsi="宋体" w:cs="宋体"/>
          <w:b w:val="0"/>
          <w:bCs w:val="0"/>
          <w:sz w:val="24"/>
          <w:szCs w:val="24"/>
          <w:lang w:val="en-US" w:eastAsia="zh-CN"/>
        </w:rPr>
        <w:t>详见合同</w:t>
      </w:r>
      <w:r>
        <w:rPr>
          <w:rFonts w:hint="eastAsia" w:ascii="宋体" w:hAnsi="宋体" w:cs="宋体"/>
          <w:b w:val="0"/>
          <w:bCs w:val="0"/>
          <w:sz w:val="24"/>
          <w:szCs w:val="24"/>
        </w:rPr>
        <w:t>附件）、《园林绿化市场化月考核评分表》（</w:t>
      </w:r>
      <w:r>
        <w:rPr>
          <w:rFonts w:hint="eastAsia" w:ascii="宋体" w:hAnsi="宋体" w:cs="宋体"/>
          <w:b w:val="0"/>
          <w:bCs w:val="0"/>
          <w:sz w:val="24"/>
          <w:szCs w:val="24"/>
          <w:lang w:val="en-US" w:eastAsia="zh-CN"/>
        </w:rPr>
        <w:t>详见合同</w:t>
      </w:r>
      <w:r>
        <w:rPr>
          <w:rFonts w:hint="eastAsia" w:ascii="宋体" w:hAnsi="宋体" w:cs="宋体"/>
          <w:b w:val="0"/>
          <w:bCs w:val="0"/>
          <w:sz w:val="24"/>
          <w:szCs w:val="24"/>
        </w:rPr>
        <w:t>附件）、《养护质量集中考核评分表》（</w:t>
      </w:r>
      <w:r>
        <w:rPr>
          <w:rFonts w:hint="eastAsia" w:ascii="宋体" w:hAnsi="宋体" w:cs="宋体"/>
          <w:b w:val="0"/>
          <w:bCs w:val="0"/>
          <w:sz w:val="24"/>
          <w:szCs w:val="24"/>
          <w:lang w:val="en-US" w:eastAsia="zh-CN"/>
        </w:rPr>
        <w:t>详见合同</w:t>
      </w:r>
      <w:r>
        <w:rPr>
          <w:rFonts w:hint="eastAsia" w:ascii="宋体" w:hAnsi="宋体" w:cs="宋体"/>
          <w:b w:val="0"/>
          <w:bCs w:val="0"/>
          <w:sz w:val="24"/>
          <w:szCs w:val="24"/>
        </w:rPr>
        <w:t>附件）等，对中标养管单位的养管工作实施监督、检查和考核，并对其违约行为进行处理。</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1、养护管理单位实行责任督查。养护单位应建立日常巡查组，发现问题及时整改，切实按照《园林绿化市场化养护管理技术要求》做好各项养护管理工作，及时完成园林中心交办的任务，并将检查情况存档备查。</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2、园林中心日常督查。园林中心成立日常督察组分片负责各养护标项，实行项目负责人岗位责任制，对各承包绿地进行日常巡查，对发现的问题及时进行记录并通过交办件形式督促养护承包单位及时进行整改，在月考核评分时进行汇总计分。局相关科室和园林中心可组织人员随机进行日常督查，按照《园林绿化市场化月考核评分表》进行日常考核，一并计入日常考核分。</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3、月末集中考核。由园林中心、局相关科室及各标项项目负责人等相关人员组成考核组，按照《养护质量集中考核评分表》要求进行考核评分。</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(四）养管经费的拨付：养护款于次月初按月考核分计算上月实际养护费用进行拨付。</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1. 考核分数在95分（含）以上为“优秀”，全额拨付月养护经费；95分以上每增1分，奖励月养护经费的1%；</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2. 考核分数在90分（含）以上至95分为“良好”，全额拨付月养护经费；</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3. 考核分数在70（含）以上至90分以下为“合格”，每少1分，扣除月养护经费的1%；</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4. 考核分数低于70分为“不合格”，仅支付50%的月养护经费。</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p>
    <w:p>
      <w:pPr>
        <w:tabs>
          <w:tab w:val="left" w:pos="-426"/>
        </w:tabs>
        <w:spacing w:line="400" w:lineRule="exact"/>
        <w:ind w:right="-210" w:rightChars="-100" w:firstLine="480" w:firstLineChars="200"/>
        <w:rPr>
          <w:rFonts w:ascii="仿宋" w:eastAsia="仿宋"/>
          <w:kern w:val="0"/>
          <w:sz w:val="24"/>
        </w:rPr>
      </w:pPr>
    </w:p>
    <w:p>
      <w:pPr>
        <w:rPr>
          <w:rFonts w:hint="eastAsia" w:ascii="宋体" w:hAnsi="宋体" w:cs="宋体"/>
          <w:b/>
          <w:bCs/>
          <w:sz w:val="24"/>
          <w:szCs w:val="24"/>
        </w:rPr>
      </w:pPr>
      <w:r>
        <w:rPr>
          <w:rFonts w:hint="eastAsia" w:ascii="宋体" w:hAnsi="宋体" w:cs="宋体"/>
          <w:b/>
          <w:bCs/>
          <w:sz w:val="24"/>
          <w:szCs w:val="24"/>
        </w:rPr>
        <w:br w:type="page"/>
      </w:r>
    </w:p>
    <w:p>
      <w:pPr>
        <w:keepNext w:val="0"/>
        <w:keepLines w:val="0"/>
        <w:pageBreakBefore w:val="0"/>
        <w:widowControl/>
        <w:shd w:val="clear"/>
        <w:kinsoku/>
        <w:wordWrap/>
        <w:overflowPunct/>
        <w:topLinePunct w:val="0"/>
        <w:bidi w:val="0"/>
        <w:snapToGrid/>
        <w:spacing w:line="360" w:lineRule="exact"/>
        <w:jc w:val="center"/>
        <w:textAlignment w:val="auto"/>
        <w:outlineLvl w:val="0"/>
        <w:rPr>
          <w:rFonts w:hint="default" w:ascii="宋体" w:hAnsi="宋体" w:cs="宋体"/>
          <w:b/>
          <w:bCs/>
          <w:sz w:val="28"/>
          <w:szCs w:val="28"/>
          <w:lang w:val="en-US" w:eastAsia="zh-CN"/>
        </w:rPr>
      </w:pPr>
      <w:r>
        <w:rPr>
          <w:rFonts w:hint="eastAsia" w:ascii="宋体" w:hAnsi="宋体" w:cs="宋体"/>
          <w:b/>
          <w:bCs/>
          <w:sz w:val="28"/>
          <w:szCs w:val="28"/>
        </w:rPr>
        <w:t xml:space="preserve">第五章 </w:t>
      </w:r>
      <w:r>
        <w:rPr>
          <w:rFonts w:hint="eastAsia" w:ascii="宋体" w:hAnsi="宋体" w:cs="宋体"/>
          <w:b/>
          <w:bCs/>
          <w:sz w:val="28"/>
          <w:szCs w:val="28"/>
          <w:lang w:val="en-US" w:eastAsia="zh-CN"/>
        </w:rPr>
        <w:t>合同文本</w:t>
      </w:r>
      <w:bookmarkEnd w:id="33"/>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288" w:lineRule="auto"/>
        <w:jc w:val="both"/>
        <w:textAlignment w:val="auto"/>
        <w:rPr>
          <w:rFonts w:hint="eastAsia" w:ascii="宋体" w:hAnsi="宋体" w:eastAsia="宋体" w:cs="宋体"/>
          <w:sz w:val="24"/>
          <w:szCs w:val="24"/>
        </w:rPr>
      </w:pPr>
      <w:bookmarkStart w:id="34" w:name="_Toc19126"/>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 xml:space="preserve">                      </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288" w:lineRule="auto"/>
        <w:jc w:val="both"/>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rPr>
        <w:tab/>
      </w:r>
      <w:r>
        <w:rPr>
          <w:rFonts w:hint="eastAsia" w:ascii="宋体" w:hAnsi="宋体" w:eastAsia="宋体" w:cs="宋体"/>
          <w:sz w:val="24"/>
          <w:szCs w:val="24"/>
          <w:u w:val="single"/>
        </w:rPr>
        <w:t xml:space="preserve">                     </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288" w:lineRule="auto"/>
        <w:ind w:firstLine="561"/>
        <w:jc w:val="both"/>
        <w:textAlignment w:val="auto"/>
        <w:rPr>
          <w:rFonts w:hint="eastAsia" w:ascii="宋体" w:hAnsi="宋体" w:eastAsia="宋体" w:cs="宋体"/>
          <w:sz w:val="24"/>
          <w:szCs w:val="24"/>
        </w:rPr>
      </w:pP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cs="宋体"/>
          <w:sz w:val="24"/>
          <w:szCs w:val="24"/>
          <w:lang w:eastAsia="zh-CN"/>
        </w:rPr>
        <w:t>温岭市住房和城乡建设局2022年-2025年绿化及道路养护采购（重新发布）</w:t>
      </w:r>
      <w:r>
        <w:rPr>
          <w:rFonts w:hint="eastAsia" w:ascii="宋体" w:hAnsi="宋体" w:eastAsia="宋体" w:cs="宋体"/>
          <w:sz w:val="24"/>
          <w:szCs w:val="24"/>
        </w:rPr>
        <w:t xml:space="preserve">（招标编号： </w:t>
      </w:r>
      <w:r>
        <w:rPr>
          <w:rFonts w:hint="eastAsia" w:cs="宋体"/>
          <w:sz w:val="24"/>
          <w:szCs w:val="24"/>
          <w:lang w:val="en-US" w:eastAsia="zh-CN"/>
        </w:rPr>
        <w:t xml:space="preserve">  </w:t>
      </w:r>
      <w:r>
        <w:rPr>
          <w:rFonts w:hint="eastAsia" w:ascii="宋体" w:hAnsi="宋体" w:eastAsia="宋体" w:cs="宋体"/>
          <w:sz w:val="24"/>
          <w:szCs w:val="24"/>
        </w:rPr>
        <w:t xml:space="preserve">   ）招标结果和招标文件要求，并依照《中华人民共和国合同法》《中华人民共和国政府采购法》及其他等有关法律、行政法规的规定，同时在平等、公平、诚实和信用的原则下，经双方协商一致，订立本合同。</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jc w:val="both"/>
        <w:textAlignment w:val="auto"/>
        <w:rPr>
          <w:rFonts w:hint="eastAsia" w:ascii="宋体" w:hAnsi="宋体" w:eastAsia="宋体" w:cs="宋体"/>
          <w:sz w:val="24"/>
          <w:szCs w:val="24"/>
        </w:rPr>
      </w:pPr>
      <w:r>
        <w:rPr>
          <w:rFonts w:hint="eastAsia" w:ascii="宋体" w:hAnsi="宋体" w:eastAsia="宋体" w:cs="宋体"/>
          <w:b/>
          <w:bCs/>
          <w:sz w:val="24"/>
          <w:szCs w:val="24"/>
        </w:rPr>
        <w:t>一、项目概况：</w:t>
      </w:r>
      <w:r>
        <w:rPr>
          <w:rFonts w:hint="eastAsia" w:ascii="宋体" w:hAnsi="宋体" w:eastAsia="宋体" w:cs="宋体"/>
          <w:sz w:val="24"/>
          <w:szCs w:val="24"/>
        </w:rPr>
        <w:t>本项目为</w:t>
      </w:r>
      <w:r>
        <w:rPr>
          <w:rFonts w:hint="eastAsia" w:cs="宋体"/>
          <w:sz w:val="24"/>
          <w:szCs w:val="24"/>
          <w:lang w:eastAsia="zh-CN"/>
        </w:rPr>
        <w:t>温岭市住房和城乡建设局2022年-2025年绿化及道路养护采购（重新发布）</w:t>
      </w:r>
      <w:r>
        <w:rPr>
          <w:rFonts w:hint="eastAsia" w:ascii="宋体" w:hAnsi="宋体" w:eastAsia="宋体" w:cs="宋体"/>
          <w:sz w:val="24"/>
          <w:szCs w:val="24"/>
        </w:rPr>
        <w:t>。</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jc w:val="both"/>
        <w:textAlignment w:val="auto"/>
        <w:rPr>
          <w:rFonts w:hint="eastAsia" w:ascii="宋体" w:hAnsi="宋体" w:eastAsia="宋体" w:cs="宋体"/>
          <w:sz w:val="24"/>
          <w:szCs w:val="24"/>
        </w:rPr>
      </w:pPr>
      <w:r>
        <w:rPr>
          <w:rFonts w:hint="eastAsia" w:ascii="宋体" w:hAnsi="宋体" w:eastAsia="宋体" w:cs="宋体"/>
          <w:b/>
          <w:bCs/>
          <w:sz w:val="24"/>
          <w:szCs w:val="24"/>
        </w:rPr>
        <w:t>二、养护期限：</w:t>
      </w:r>
      <w:r>
        <w:rPr>
          <w:rFonts w:hint="eastAsia" w:ascii="宋体" w:hAnsi="宋体" w:eastAsia="宋体" w:cs="宋体"/>
          <w:sz w:val="24"/>
          <w:szCs w:val="24"/>
        </w:rPr>
        <w:t>一年，自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本项目合同期限为3年，（具体养护时间以双方签订养护合同规定时间为准），合同实行一年一签。即本次招标合同期为1年，并采用1年+1年+1年模式，在1年的合同期限到期后再根据该年度综合考核情况由采购人决定是否与中标单位再续签,续签也是一年一签，以此类推，最终解释权归</w:t>
      </w:r>
      <w:r>
        <w:rPr>
          <w:rFonts w:hint="eastAsia" w:cs="宋体"/>
          <w:sz w:val="24"/>
          <w:szCs w:val="24"/>
          <w:lang w:val="en-US" w:eastAsia="zh-CN"/>
        </w:rPr>
        <w:t>甲方</w:t>
      </w:r>
      <w:r>
        <w:rPr>
          <w:rFonts w:hint="eastAsia" w:ascii="宋体" w:hAnsi="宋体" w:eastAsia="宋体" w:cs="宋体"/>
          <w:sz w:val="24"/>
          <w:szCs w:val="24"/>
        </w:rPr>
        <w:t>。</w:t>
      </w:r>
    </w:p>
    <w:p>
      <w:pPr>
        <w:pStyle w:val="24"/>
        <w:keepNext w:val="0"/>
        <w:keepLines w:val="0"/>
        <w:pageBreakBefore w:val="0"/>
        <w:widowControl/>
        <w:numPr>
          <w:ilvl w:val="0"/>
          <w:numId w:val="0"/>
        </w:numPr>
        <w:kinsoku/>
        <w:wordWrap/>
        <w:overflowPunct/>
        <w:topLinePunct/>
        <w:autoSpaceDE/>
        <w:autoSpaceDN/>
        <w:bidi w:val="0"/>
        <w:adjustRightInd/>
        <w:snapToGrid w:val="0"/>
        <w:spacing w:before="0" w:beforeAutospacing="0" w:after="0" w:afterAutospacing="0" w:line="336" w:lineRule="auto"/>
        <w:jc w:val="both"/>
        <w:textAlignment w:val="auto"/>
        <w:rPr>
          <w:rFonts w:hint="eastAsia" w:ascii="宋体" w:hAnsi="宋体" w:eastAsia="宋体" w:cs="宋体"/>
          <w:b/>
          <w:bCs/>
          <w:sz w:val="24"/>
          <w:szCs w:val="24"/>
        </w:rPr>
      </w:pPr>
      <w:r>
        <w:rPr>
          <w:rFonts w:hint="eastAsia" w:cs="宋体"/>
          <w:b/>
          <w:bCs/>
          <w:sz w:val="24"/>
          <w:szCs w:val="24"/>
          <w:lang w:val="en-US" w:eastAsia="zh-CN"/>
        </w:rPr>
        <w:t>三、</w:t>
      </w:r>
      <w:r>
        <w:rPr>
          <w:rFonts w:hint="eastAsia" w:ascii="宋体" w:hAnsi="宋体" w:eastAsia="宋体" w:cs="宋体"/>
          <w:b/>
          <w:bCs/>
          <w:sz w:val="24"/>
          <w:szCs w:val="24"/>
        </w:rPr>
        <w:t>服务内容：</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合同金额：</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合同总承包费用共计</w:t>
      </w:r>
      <w:r>
        <w:rPr>
          <w:rFonts w:hint="default" w:ascii="Arial" w:hAnsi="Arial" w:eastAsia="宋体" w:cs="Arial"/>
          <w:sz w:val="24"/>
          <w:szCs w:val="24"/>
          <w:u w:val="single"/>
        </w:rPr>
        <w:t>¥</w:t>
      </w:r>
      <w:r>
        <w:rPr>
          <w:rFonts w:hint="eastAsia" w:cs="宋体"/>
          <w:sz w:val="24"/>
          <w:szCs w:val="24"/>
          <w:u w:val="single"/>
          <w:lang w:eastAsia="zh-CN"/>
        </w:rPr>
        <w:t>：</w:t>
      </w:r>
      <w:r>
        <w:rPr>
          <w:rFonts w:hint="eastAsia" w:ascii="宋体" w:hAnsi="宋体" w:eastAsia="宋体" w:cs="宋体"/>
          <w:sz w:val="24"/>
          <w:szCs w:val="24"/>
          <w:u w:val="single"/>
        </w:rPr>
        <w:t xml:space="preserve">        元</w:t>
      </w:r>
      <w:r>
        <w:rPr>
          <w:rFonts w:hint="eastAsia" w:ascii="宋体" w:hAnsi="宋体" w:eastAsia="宋体" w:cs="宋体"/>
          <w:sz w:val="24"/>
          <w:szCs w:val="24"/>
        </w:rPr>
        <w:t>，大写人民币：</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元。具体组成如下：</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以上承包费用包含：项目的运营成本、工人工资、加班费、节日金、员工福利、劳保费、高温津贴、岗位津贴、养老保险、医疗保险、失业保险、工伤保险、生育保险、劳工意外保险、住房公积金、培训费、机械设备购置费、机械设备维护费、机械设备折旧费、机械设备年审费、机械设备提升改造费、统一标识费、燃料动力费、交通运输费、交通保险、间接费、材料费、工具费、作业费、办公费、管理费、企业利润、营业税、城市维护建设税、教育费附加税、地方税等各种税费和费项以及经营过程中各种不可预见费等完成本项目所需的一切费用。如出现任何遗漏内容需产生额外费用，均由乙方自行承担，甲方将不再另支付任何费用，甲、乙双方另有约定的除外。</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jc w:val="both"/>
        <w:textAlignment w:val="auto"/>
        <w:rPr>
          <w:rFonts w:hint="eastAsia" w:ascii="宋体" w:hAnsi="宋体" w:eastAsia="宋体" w:cs="宋体"/>
          <w:b/>
          <w:bCs/>
          <w:sz w:val="24"/>
          <w:szCs w:val="24"/>
        </w:rPr>
      </w:pPr>
      <w:r>
        <w:rPr>
          <w:rFonts w:hint="eastAsia" w:cs="宋体"/>
          <w:b/>
          <w:bCs/>
          <w:sz w:val="24"/>
          <w:szCs w:val="24"/>
          <w:lang w:val="en-US" w:eastAsia="zh-CN"/>
        </w:rPr>
        <w:t>五</w:t>
      </w:r>
      <w:r>
        <w:rPr>
          <w:rFonts w:hint="eastAsia" w:ascii="宋体" w:hAnsi="宋体" w:eastAsia="宋体" w:cs="宋体"/>
          <w:b/>
          <w:bCs/>
          <w:sz w:val="24"/>
          <w:szCs w:val="24"/>
        </w:rPr>
        <w:t>、付款方式：</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left="797" w:leftChars="342" w:hanging="79" w:hangingChars="33"/>
        <w:jc w:val="both"/>
        <w:textAlignment w:val="auto"/>
        <w:rPr>
          <w:rFonts w:hint="eastAsia" w:ascii="宋体" w:hAnsi="宋体" w:eastAsia="宋体" w:cs="宋体"/>
          <w:sz w:val="24"/>
          <w:szCs w:val="24"/>
        </w:rPr>
      </w:pPr>
      <w:r>
        <w:rPr>
          <w:rFonts w:hint="eastAsia" w:ascii="宋体" w:hAnsi="宋体" w:eastAsia="宋体" w:cs="宋体"/>
          <w:sz w:val="24"/>
          <w:szCs w:val="24"/>
        </w:rPr>
        <w:t>（一）养护地段的级别划定：</w:t>
      </w:r>
      <w:r>
        <w:rPr>
          <w:rFonts w:hint="eastAsia" w:ascii="宋体" w:hAnsi="宋体" w:cs="宋体"/>
          <w:b w:val="0"/>
          <w:bCs w:val="0"/>
          <w:sz w:val="24"/>
          <w:szCs w:val="24"/>
        </w:rPr>
        <w:t>根据绿地实际，植物园按照二级养护标准执行。</w:t>
      </w:r>
      <w:r>
        <w:rPr>
          <w:rFonts w:hint="eastAsia" w:ascii="宋体" w:hAnsi="宋体" w:eastAsia="宋体" w:cs="宋体"/>
          <w:sz w:val="24"/>
          <w:szCs w:val="24"/>
        </w:rPr>
        <w:t>（</w:t>
      </w:r>
      <w:r>
        <w:rPr>
          <w:rFonts w:hint="eastAsia" w:cs="宋体"/>
          <w:sz w:val="24"/>
          <w:szCs w:val="24"/>
          <w:lang w:val="en-US" w:eastAsia="zh-CN"/>
        </w:rPr>
        <w:t>二</w:t>
      </w:r>
      <w:r>
        <w:rPr>
          <w:rFonts w:hint="eastAsia" w:ascii="宋体" w:hAnsi="宋体" w:eastAsia="宋体" w:cs="宋体"/>
          <w:sz w:val="24"/>
          <w:szCs w:val="24"/>
        </w:rPr>
        <w:t>）养护管理的考核：严格执行三级督查制度，建立规范合理的奖惩机制，</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jc w:val="both"/>
        <w:textAlignment w:val="auto"/>
        <w:rPr>
          <w:rFonts w:hint="eastAsia" w:ascii="宋体" w:hAnsi="宋体" w:eastAsia="宋体" w:cs="宋体"/>
          <w:sz w:val="24"/>
          <w:szCs w:val="24"/>
        </w:rPr>
      </w:pPr>
      <w:r>
        <w:rPr>
          <w:rFonts w:hint="eastAsia" w:ascii="宋体" w:hAnsi="宋体" w:eastAsia="宋体" w:cs="宋体"/>
          <w:sz w:val="24"/>
          <w:szCs w:val="24"/>
        </w:rPr>
        <w:t>由园林中心负责监管考核，按照根据《园林绿化市场化养护管理检查考核办法》（</w:t>
      </w:r>
      <w:r>
        <w:rPr>
          <w:rFonts w:hint="eastAsia" w:ascii="宋体" w:hAnsi="宋体" w:eastAsia="宋体" w:cs="宋体"/>
          <w:sz w:val="24"/>
          <w:szCs w:val="24"/>
          <w:lang w:val="en-US" w:eastAsia="zh-CN"/>
        </w:rPr>
        <w:t>合同</w:t>
      </w:r>
      <w:r>
        <w:rPr>
          <w:rFonts w:hint="eastAsia" w:ascii="宋体" w:hAnsi="宋体" w:eastAsia="宋体" w:cs="宋体"/>
          <w:sz w:val="24"/>
          <w:szCs w:val="24"/>
        </w:rPr>
        <w:t>附件</w:t>
      </w:r>
      <w:r>
        <w:rPr>
          <w:rFonts w:hint="eastAsia" w:ascii="宋体" w:hAnsi="宋体" w:eastAsia="宋体" w:cs="宋体"/>
          <w:sz w:val="24"/>
          <w:szCs w:val="24"/>
          <w:lang w:val="en-US" w:eastAsia="zh-CN"/>
        </w:rPr>
        <w:t>2</w:t>
      </w:r>
      <w:r>
        <w:rPr>
          <w:rFonts w:hint="eastAsia" w:ascii="宋体" w:hAnsi="宋体" w:eastAsia="宋体" w:cs="宋体"/>
          <w:sz w:val="24"/>
          <w:szCs w:val="24"/>
        </w:rPr>
        <w:t>）、《园林绿化市场化月考核评分表》（</w:t>
      </w:r>
      <w:r>
        <w:rPr>
          <w:rFonts w:hint="eastAsia" w:ascii="宋体" w:hAnsi="宋体" w:eastAsia="宋体" w:cs="宋体"/>
          <w:sz w:val="24"/>
          <w:szCs w:val="24"/>
          <w:lang w:val="en-US" w:eastAsia="zh-CN"/>
        </w:rPr>
        <w:t>合同</w:t>
      </w:r>
      <w:r>
        <w:rPr>
          <w:rFonts w:hint="eastAsia" w:ascii="宋体" w:hAnsi="宋体" w:eastAsia="宋体" w:cs="宋体"/>
          <w:sz w:val="24"/>
          <w:szCs w:val="24"/>
        </w:rPr>
        <w:t>附件</w:t>
      </w:r>
      <w:r>
        <w:rPr>
          <w:rFonts w:hint="eastAsia" w:ascii="宋体" w:hAnsi="宋体" w:eastAsia="宋体" w:cs="宋体"/>
          <w:sz w:val="24"/>
          <w:szCs w:val="24"/>
          <w:lang w:val="en-US" w:eastAsia="zh-CN"/>
        </w:rPr>
        <w:t>3</w:t>
      </w:r>
      <w:r>
        <w:rPr>
          <w:rFonts w:hint="eastAsia" w:ascii="宋体" w:hAnsi="宋体" w:eastAsia="宋体" w:cs="宋体"/>
          <w:sz w:val="24"/>
          <w:szCs w:val="24"/>
        </w:rPr>
        <w:t>）、《养护质量集中考核评分表》（</w:t>
      </w:r>
      <w:r>
        <w:rPr>
          <w:rFonts w:hint="eastAsia" w:ascii="宋体" w:hAnsi="宋体" w:eastAsia="宋体" w:cs="宋体"/>
          <w:sz w:val="24"/>
          <w:szCs w:val="24"/>
          <w:lang w:val="en-US" w:eastAsia="zh-CN"/>
        </w:rPr>
        <w:t>合同</w:t>
      </w:r>
      <w:r>
        <w:rPr>
          <w:rFonts w:hint="eastAsia" w:ascii="宋体" w:hAnsi="宋体" w:eastAsia="宋体" w:cs="宋体"/>
          <w:sz w:val="24"/>
          <w:szCs w:val="24"/>
        </w:rPr>
        <w:t>附件</w:t>
      </w:r>
      <w:r>
        <w:rPr>
          <w:rFonts w:hint="eastAsia" w:ascii="宋体" w:hAnsi="宋体" w:eastAsia="宋体" w:cs="宋体"/>
          <w:sz w:val="24"/>
          <w:szCs w:val="24"/>
          <w:lang w:val="en-US" w:eastAsia="zh-CN"/>
        </w:rPr>
        <w:t>4</w:t>
      </w:r>
      <w:r>
        <w:rPr>
          <w:rFonts w:hint="eastAsia" w:ascii="宋体" w:hAnsi="宋体" w:eastAsia="宋体" w:cs="宋体"/>
          <w:sz w:val="24"/>
          <w:szCs w:val="24"/>
        </w:rPr>
        <w:t>）等，对中标养管单位的养管工作实施监督、检查和考核，并对其违约行为进行处理。</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1、养护管理单位实行责任督查。养护单位应建立日常巡查组，发现问题及时整改，切实按照《园林绿化市场化养护管理技术要求》做好各项养护管理工作，及时完成园林中心交办的任务，并将检查情况存档备查。</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2、园林中心日常督查。园林中心成立日常督察组分片负责各养护标项，实行项目负责人岗位责任制，对各承包绿地进行日常巡查，对发现的问题及时进行记录并通过交办件形式督促养护承包单位及时进行整改，在月考核评分时进行汇总计分。局相关科室和园林中心可组织人员随机进行日常督查，按照《园林绿化市场化月考核评分表》进行日常考核，一并计入日常考核分。</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3、月末集中考核。由园林中心、局相关科室及各标项项目负责人等相关人员组成考核组，按照《养护质量集中考核评分表》要求进行考核评分。</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cs="宋体"/>
          <w:sz w:val="24"/>
          <w:szCs w:val="24"/>
          <w:lang w:val="en-US" w:eastAsia="zh-CN"/>
        </w:rPr>
        <w:t>三</w:t>
      </w:r>
      <w:r>
        <w:rPr>
          <w:rFonts w:hint="eastAsia" w:ascii="宋体" w:hAnsi="宋体" w:eastAsia="宋体" w:cs="宋体"/>
          <w:sz w:val="24"/>
          <w:szCs w:val="24"/>
        </w:rPr>
        <w:t>）养管经费的拨付：养护款于次月初按月考核分计算上月实际养护费用进行拨付。</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1</w:t>
      </w:r>
      <w:r>
        <w:rPr>
          <w:rFonts w:hint="eastAsia" w:ascii="宋体" w:hAnsi="宋体" w:cs="宋体"/>
          <w:b w:val="0"/>
          <w:bCs w:val="0"/>
          <w:sz w:val="24"/>
          <w:szCs w:val="24"/>
          <w:lang w:eastAsia="zh-CN"/>
        </w:rPr>
        <w:t>、</w:t>
      </w:r>
      <w:r>
        <w:rPr>
          <w:rFonts w:hint="eastAsia" w:ascii="宋体" w:hAnsi="宋体" w:cs="宋体"/>
          <w:b w:val="0"/>
          <w:bCs w:val="0"/>
          <w:sz w:val="24"/>
          <w:szCs w:val="24"/>
        </w:rPr>
        <w:t>考核分数在95分（含）以上为“优秀”，全额拨付月养护经费；95分以上每增1分，奖励月养护经费的1%；</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2</w:t>
      </w:r>
      <w:r>
        <w:rPr>
          <w:rFonts w:hint="eastAsia" w:ascii="宋体" w:hAnsi="宋体" w:cs="宋体"/>
          <w:b w:val="0"/>
          <w:bCs w:val="0"/>
          <w:sz w:val="24"/>
          <w:szCs w:val="24"/>
          <w:lang w:eastAsia="zh-CN"/>
        </w:rPr>
        <w:t>、</w:t>
      </w:r>
      <w:r>
        <w:rPr>
          <w:rFonts w:hint="eastAsia" w:ascii="宋体" w:hAnsi="宋体" w:cs="宋体"/>
          <w:b w:val="0"/>
          <w:bCs w:val="0"/>
          <w:sz w:val="24"/>
          <w:szCs w:val="24"/>
        </w:rPr>
        <w:t>考核分数在90分（含）以上至95分为“良好”，全额拨付月养护经费；</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3</w:t>
      </w:r>
      <w:r>
        <w:rPr>
          <w:rFonts w:hint="eastAsia" w:ascii="宋体" w:hAnsi="宋体" w:cs="宋体"/>
          <w:b w:val="0"/>
          <w:bCs w:val="0"/>
          <w:sz w:val="24"/>
          <w:szCs w:val="24"/>
          <w:lang w:eastAsia="zh-CN"/>
        </w:rPr>
        <w:t>、</w:t>
      </w:r>
      <w:r>
        <w:rPr>
          <w:rFonts w:hint="eastAsia" w:ascii="宋体" w:hAnsi="宋体" w:cs="宋体"/>
          <w:b w:val="0"/>
          <w:bCs w:val="0"/>
          <w:sz w:val="24"/>
          <w:szCs w:val="24"/>
        </w:rPr>
        <w:t>考核分数在70（含）以上至90分以下为“合格”，每少1分，扣除月养护经费的1%；</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4</w:t>
      </w:r>
      <w:r>
        <w:rPr>
          <w:rFonts w:hint="eastAsia" w:ascii="宋体" w:hAnsi="宋体" w:cs="宋体"/>
          <w:b w:val="0"/>
          <w:bCs w:val="0"/>
          <w:sz w:val="24"/>
          <w:szCs w:val="24"/>
          <w:lang w:eastAsia="zh-CN"/>
        </w:rPr>
        <w:t>、</w:t>
      </w:r>
      <w:r>
        <w:rPr>
          <w:rFonts w:hint="eastAsia" w:ascii="宋体" w:hAnsi="宋体" w:cs="宋体"/>
          <w:b w:val="0"/>
          <w:bCs w:val="0"/>
          <w:sz w:val="24"/>
          <w:szCs w:val="24"/>
        </w:rPr>
        <w:t>考核分数低于70分为“不合格”，仅支付50%的月养护经费。</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b/>
          <w:bCs/>
          <w:sz w:val="24"/>
          <w:szCs w:val="24"/>
        </w:rPr>
      </w:pPr>
      <w:r>
        <w:rPr>
          <w:rFonts w:hint="eastAsia" w:cs="宋体"/>
          <w:b/>
          <w:bCs/>
          <w:sz w:val="24"/>
          <w:szCs w:val="24"/>
          <w:lang w:val="en-US" w:eastAsia="zh-CN"/>
        </w:rPr>
        <w:t>六</w:t>
      </w:r>
      <w:r>
        <w:rPr>
          <w:rFonts w:hint="eastAsia" w:ascii="宋体" w:hAnsi="宋体" w:eastAsia="宋体" w:cs="宋体"/>
          <w:b/>
          <w:bCs/>
          <w:sz w:val="24"/>
          <w:szCs w:val="24"/>
        </w:rPr>
        <w:t>、结算方式及费用调整：</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1、本合同价款的结算和支付均以人民币为单位。</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2、工作量以招标文件规定范围，以中标后经采购人核定的数量为准。</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cs="宋体"/>
          <w:sz w:val="24"/>
          <w:szCs w:val="24"/>
          <w:lang w:val="en-US" w:eastAsia="zh-CN"/>
        </w:rPr>
      </w:pPr>
      <w:r>
        <w:rPr>
          <w:rFonts w:hint="eastAsia" w:cs="宋体"/>
          <w:sz w:val="24"/>
          <w:szCs w:val="24"/>
          <w:lang w:val="en-US" w:eastAsia="zh-CN"/>
        </w:rPr>
        <w:t>3、采购人招标范围内的绿化补种，主要是指：有审批手续的绿地挖掘后的复绿；零星的绿地改造和提档；非养护方责任范围内的行道树缺损；业主要求的其它绿化种植。以上绿化补种以采购人的业主指令为准，中标单位不得拒绝，工程量按实结算。</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cs="宋体"/>
          <w:sz w:val="24"/>
          <w:szCs w:val="24"/>
          <w:lang w:val="en-US" w:eastAsia="zh-CN"/>
        </w:rPr>
      </w:pPr>
      <w:r>
        <w:rPr>
          <w:rFonts w:hint="eastAsia" w:cs="宋体"/>
          <w:sz w:val="24"/>
          <w:szCs w:val="24"/>
          <w:lang w:val="en-US" w:eastAsia="zh-CN"/>
        </w:rPr>
        <w:t>4、估算工程量在10万元（单次）以下的绿化种植、补种、迁移工程（养护期为1年），采购人可直接以任务单形式委托养护单位实施，养护单位必须接受，经结算审计后一次性支付。</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480" w:firstLineChars="200"/>
        <w:jc w:val="both"/>
        <w:textAlignment w:val="auto"/>
        <w:rPr>
          <w:rFonts w:hint="eastAsia" w:ascii="宋体" w:hAnsi="宋体" w:eastAsia="宋体" w:cs="宋体"/>
          <w:sz w:val="24"/>
          <w:szCs w:val="24"/>
        </w:rPr>
      </w:pPr>
      <w:r>
        <w:rPr>
          <w:rFonts w:hint="eastAsia" w:cs="宋体"/>
          <w:sz w:val="24"/>
          <w:szCs w:val="24"/>
          <w:lang w:val="en-US" w:eastAsia="zh-CN"/>
        </w:rPr>
        <w:t>5、</w:t>
      </w:r>
      <w:r>
        <w:rPr>
          <w:rFonts w:hint="eastAsia" w:ascii="宋体" w:hAnsi="宋体" w:eastAsia="宋体" w:cs="宋体"/>
          <w:sz w:val="24"/>
          <w:szCs w:val="24"/>
        </w:rPr>
        <w:t>包含在招标中的部分绿地因其他原因而暂时不能接管的，均以实际移交接收开始之日起计算工作量；若养护过程中因开发建设或绿地改造等政府性项目需要，局部工作量有增减的，按投标单价按实结算，以</w:t>
      </w:r>
      <w:r>
        <w:rPr>
          <w:rFonts w:hint="eastAsia" w:cs="宋体"/>
          <w:sz w:val="24"/>
          <w:szCs w:val="24"/>
          <w:lang w:val="en-US" w:eastAsia="zh-CN"/>
        </w:rPr>
        <w:t>甲方</w:t>
      </w:r>
      <w:r>
        <w:rPr>
          <w:rFonts w:hint="eastAsia" w:ascii="宋体" w:hAnsi="宋体" w:eastAsia="宋体" w:cs="宋体"/>
          <w:sz w:val="24"/>
          <w:szCs w:val="24"/>
        </w:rPr>
        <w:t>指令为准（但</w:t>
      </w:r>
      <w:r>
        <w:rPr>
          <w:rFonts w:hint="eastAsia" w:cs="宋体"/>
          <w:sz w:val="24"/>
          <w:szCs w:val="24"/>
          <w:lang w:val="en-US" w:eastAsia="zh-CN"/>
        </w:rPr>
        <w:t>乙方</w:t>
      </w:r>
      <w:r>
        <w:rPr>
          <w:rFonts w:hint="eastAsia" w:ascii="宋体" w:hAnsi="宋体" w:eastAsia="宋体" w:cs="宋体"/>
          <w:sz w:val="24"/>
          <w:szCs w:val="24"/>
        </w:rPr>
        <w:t>的履约保证金不作调整，该部分财务成本请在报价中充分考虑）。</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480" w:firstLineChars="200"/>
        <w:jc w:val="both"/>
        <w:textAlignment w:val="auto"/>
        <w:rPr>
          <w:rFonts w:hint="eastAsia" w:ascii="宋体" w:hAnsi="宋体" w:eastAsia="宋体" w:cs="宋体"/>
          <w:sz w:val="24"/>
          <w:szCs w:val="24"/>
        </w:rPr>
      </w:pPr>
      <w:r>
        <w:rPr>
          <w:rFonts w:hint="eastAsia" w:cs="宋体"/>
          <w:sz w:val="24"/>
          <w:szCs w:val="24"/>
          <w:lang w:val="en-US" w:eastAsia="zh-CN"/>
        </w:rPr>
        <w:t>6、</w:t>
      </w:r>
      <w:r>
        <w:rPr>
          <w:rFonts w:hint="eastAsia" w:ascii="宋体" w:hAnsi="宋体" w:eastAsia="宋体" w:cs="宋体"/>
          <w:sz w:val="24"/>
          <w:szCs w:val="24"/>
        </w:rPr>
        <w:t>在承包期范围内如涉及绿地改造、施工，绿地全面改造的将按实际改造面积、时间扣除该部分养护费用；如绿地进行局部改造（即绿地内部分植物保留的改造）、且</w:t>
      </w:r>
      <w:r>
        <w:rPr>
          <w:rFonts w:hint="eastAsia" w:cs="宋体"/>
          <w:sz w:val="24"/>
          <w:szCs w:val="24"/>
          <w:lang w:val="en-US" w:eastAsia="zh-CN"/>
        </w:rPr>
        <w:t>甲方</w:t>
      </w:r>
      <w:r>
        <w:rPr>
          <w:rFonts w:hint="eastAsia" w:ascii="宋体" w:hAnsi="宋体" w:eastAsia="宋体" w:cs="宋体"/>
          <w:sz w:val="24"/>
          <w:szCs w:val="24"/>
        </w:rPr>
        <w:t>仍要求对未改造部分植物进行养护管理的，改造期内，养护费将按该区域中标养护价的50％支付，并仍按原标准进行考核。</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jc w:val="both"/>
        <w:textAlignment w:val="auto"/>
        <w:rPr>
          <w:rFonts w:hint="eastAsia" w:ascii="宋体" w:hAnsi="宋体" w:eastAsia="宋体" w:cs="宋体"/>
          <w:b/>
          <w:bCs/>
          <w:sz w:val="24"/>
          <w:szCs w:val="24"/>
        </w:rPr>
      </w:pPr>
      <w:r>
        <w:rPr>
          <w:rFonts w:hint="eastAsia" w:cs="宋体"/>
          <w:b/>
          <w:bCs/>
          <w:sz w:val="24"/>
          <w:szCs w:val="24"/>
          <w:lang w:val="en-US" w:eastAsia="zh-CN"/>
        </w:rPr>
        <w:t>七</w:t>
      </w:r>
      <w:r>
        <w:rPr>
          <w:rFonts w:hint="eastAsia" w:ascii="宋体" w:hAnsi="宋体" w:eastAsia="宋体" w:cs="宋体"/>
          <w:b/>
          <w:bCs/>
          <w:sz w:val="24"/>
          <w:szCs w:val="24"/>
        </w:rPr>
        <w:t>、双方的权利和义务：</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（一）甲方的权利及义务</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1、甲方依据乙方考核结果，计算乙方当月实得养护费用，并按时支付给乙方。</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2、甲方有权委托第三方监管单位，代甲方履行对乙方履约行为的监督管理职能，包括作业监管、质量检查、安全生产、文明养护作业、综合评价、评分、扣减承包费、核查人员到岗、机械投入和养护架构情况等，乙方必须无条件服从。</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3、本项目在实施期间，因规划建设或其他原因，甲方认为作业要求与招标时的作业要求出现明显改变，有必要调整作业量或作业等级标准的，甲方有权对作业量或作业等级进行调整，并同时对承包费用进行相应调整，乙方必须积极配合并服从甲方安排和办理确认手续，不得有异议。</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cs="宋体"/>
          <w:sz w:val="24"/>
          <w:szCs w:val="24"/>
          <w:lang w:val="en-US" w:eastAsia="zh-CN"/>
        </w:rPr>
        <w:t>4</w:t>
      </w:r>
      <w:r>
        <w:rPr>
          <w:rFonts w:hint="eastAsia" w:ascii="宋体" w:hAnsi="宋体" w:eastAsia="宋体" w:cs="宋体"/>
          <w:sz w:val="24"/>
          <w:szCs w:val="24"/>
        </w:rPr>
        <w:t>、监督乙方当月上报次月的绿化养护执行方案，对绿化养护方案不妥之处进行纠正和指导。</w:t>
      </w:r>
    </w:p>
    <w:p>
      <w:pPr>
        <w:pStyle w:val="24"/>
        <w:keepNext w:val="0"/>
        <w:keepLines w:val="0"/>
        <w:pageBreakBefore w:val="0"/>
        <w:widowControl/>
        <w:shd w:val="clear"/>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cs="宋体"/>
          <w:sz w:val="24"/>
          <w:szCs w:val="24"/>
          <w:lang w:eastAsia="zh-CN"/>
        </w:rPr>
        <w:t>、</w:t>
      </w:r>
      <w:r>
        <w:rPr>
          <w:rFonts w:hint="eastAsia" w:ascii="宋体" w:hAnsi="宋体" w:eastAsia="宋体" w:cs="宋体"/>
          <w:sz w:val="24"/>
          <w:szCs w:val="24"/>
        </w:rPr>
        <w:t>对于月考核分数低于70分或养管单位在养护期间私自转包的以及其他行为给甲方造成严重不良影响的，绿化管理单位有权立即终止养护合同，并取消乙方一年内在甲方所有绿化养护承包竞标的竞标人资格。</w:t>
      </w:r>
    </w:p>
    <w:p>
      <w:pPr>
        <w:pStyle w:val="24"/>
        <w:keepNext w:val="0"/>
        <w:keepLines w:val="0"/>
        <w:pageBreakBefore w:val="0"/>
        <w:widowControl/>
        <w:shd w:val="clear"/>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cs="宋体"/>
          <w:sz w:val="24"/>
          <w:szCs w:val="24"/>
          <w:lang w:eastAsia="zh-CN"/>
        </w:rPr>
        <w:t>、</w:t>
      </w:r>
      <w:r>
        <w:rPr>
          <w:rFonts w:hint="eastAsia" w:ascii="宋体" w:hAnsi="宋体" w:eastAsia="宋体" w:cs="宋体"/>
          <w:sz w:val="24"/>
          <w:szCs w:val="24"/>
        </w:rPr>
        <w:t>养护合同每年签订，对于当年累计三次月考核分小于80分或年平均考核得分小于85分的，绿化管理单位有权不续签养护合同，可对该标段重新进行养护招标，并取消该绿化养护承包公司对该标段的新一轮承包竞标人资格。</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（二）乙方的权利及义务：</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1、在不违反国家法律、地方法规、合同的前提下自主经营，自负盈亏。</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2、必须自觉接受甲方或第三方监管单位的监督和指导，严格按照甲方制定的质量标准及作业要求进行养护作业，同时乙方必须自觉接受社会的监督。</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3、乙方有按时收取管养费的权利。</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shd w:val="clear"/>
        </w:rPr>
        <w:t>乙方已按要求数量下限配置自有车辆、设备，但在实际作业过程中不足以满足工作需求或未达到行车管理要求的，乙方必须无条件主动增置车辆、设备直至满足作业需求为止。</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cs="宋体"/>
          <w:sz w:val="24"/>
          <w:szCs w:val="24"/>
          <w:lang w:val="en-US" w:eastAsia="zh-CN"/>
        </w:rPr>
        <w:t>5</w:t>
      </w:r>
      <w:r>
        <w:rPr>
          <w:rFonts w:hint="eastAsia" w:ascii="宋体" w:hAnsi="宋体" w:eastAsia="宋体" w:cs="宋体"/>
          <w:sz w:val="24"/>
          <w:szCs w:val="24"/>
        </w:rPr>
        <w:t>、在履约期间，乙方必须因应作业量的增加而相应增加作业人员、作业车辆和作业机械、工具等以满足作业的需要，确保作业质量。</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cs="宋体"/>
          <w:sz w:val="24"/>
          <w:szCs w:val="24"/>
          <w:lang w:val="en-US" w:eastAsia="zh-CN"/>
        </w:rPr>
        <w:t>6</w:t>
      </w:r>
      <w:r>
        <w:rPr>
          <w:rFonts w:hint="eastAsia" w:ascii="宋体" w:hAnsi="宋体" w:eastAsia="宋体" w:cs="宋体"/>
          <w:sz w:val="24"/>
          <w:szCs w:val="24"/>
        </w:rPr>
        <w:t>、乙方必须按照《</w:t>
      </w:r>
      <w:r>
        <w:rPr>
          <w:rFonts w:hint="eastAsia" w:cs="宋体"/>
          <w:sz w:val="24"/>
          <w:szCs w:val="24"/>
          <w:lang w:eastAsia="zh-CN"/>
        </w:rPr>
        <w:t>温岭市园林绿化养护管理技术要求</w:t>
      </w:r>
      <w:r>
        <w:rPr>
          <w:rFonts w:hint="eastAsia" w:ascii="宋体" w:hAnsi="宋体" w:eastAsia="宋体" w:cs="宋体"/>
          <w:sz w:val="24"/>
          <w:szCs w:val="24"/>
        </w:rPr>
        <w:t>》做好各项养护管理工作。乙方服务范围内产生的所有垃圾（包括生产垃圾、生活垃圾等）都必须按规定及时进行清运，做到日产日清。</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cs="宋体"/>
          <w:sz w:val="24"/>
          <w:szCs w:val="24"/>
          <w:lang w:val="en-US" w:eastAsia="zh-CN"/>
        </w:rPr>
        <w:t>7</w:t>
      </w:r>
      <w:r>
        <w:rPr>
          <w:rFonts w:hint="eastAsia" w:ascii="宋体" w:hAnsi="宋体" w:eastAsia="宋体" w:cs="宋体"/>
          <w:sz w:val="24"/>
          <w:szCs w:val="24"/>
        </w:rPr>
        <w:t>、甲方提供给乙方管护的给水、供电系统，乙方必须采取有效的措施保证给水、供电系统的安全、完好、正常、有效，不得擅自提供给他人使用。</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cs="宋体"/>
          <w:sz w:val="24"/>
          <w:szCs w:val="24"/>
          <w:lang w:val="en-US" w:eastAsia="zh-CN"/>
        </w:rPr>
        <w:t>8</w:t>
      </w:r>
      <w:r>
        <w:rPr>
          <w:rFonts w:hint="eastAsia" w:ascii="宋体" w:hAnsi="宋体" w:eastAsia="宋体" w:cs="宋体"/>
          <w:sz w:val="24"/>
          <w:szCs w:val="24"/>
        </w:rPr>
        <w:t>、乙方必须着重提高管理、作业队伍的综合素质，从业人员专业化、知识化、年轻化的指标可作为评价乙方综合素质的指标之一。乙方履行合同时，必须顾及户外工作人员身体健康状况及安全状况，须持证上岗工作的，必须持证上岗。</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cs="宋体"/>
          <w:sz w:val="24"/>
          <w:szCs w:val="24"/>
          <w:lang w:val="en-US" w:eastAsia="zh-CN"/>
        </w:rPr>
        <w:t>9</w:t>
      </w:r>
      <w:r>
        <w:rPr>
          <w:rFonts w:hint="eastAsia" w:ascii="宋体" w:hAnsi="宋体" w:eastAsia="宋体" w:cs="宋体"/>
          <w:sz w:val="24"/>
          <w:szCs w:val="24"/>
        </w:rPr>
        <w:t>、若乙方在征得甲方同意的情况下改进作业模式，提高机械化作业率，可允许乙方适当减少作业人员配置的数量，相关人员数量甲方根据造价部门和审价部门的结论进行扣减人员数量确定。</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cs="宋体"/>
          <w:sz w:val="24"/>
          <w:szCs w:val="24"/>
          <w:lang w:val="en-US" w:eastAsia="zh-CN"/>
        </w:rPr>
        <w:t>0</w:t>
      </w:r>
      <w:r>
        <w:rPr>
          <w:rFonts w:hint="eastAsia" w:ascii="宋体" w:hAnsi="宋体" w:eastAsia="宋体" w:cs="宋体"/>
          <w:sz w:val="24"/>
          <w:szCs w:val="24"/>
        </w:rPr>
        <w:t>、遇到重要的活动、各项绿化检查或上级特派任务需要乙方进行突击加班时，乙方须积极且无条件地组织安排加班，并按时、按要求完成任务。</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cs="宋体"/>
          <w:sz w:val="24"/>
          <w:szCs w:val="24"/>
          <w:lang w:val="en-US" w:eastAsia="zh-CN"/>
        </w:rPr>
        <w:t>1</w:t>
      </w:r>
      <w:r>
        <w:rPr>
          <w:rFonts w:hint="eastAsia" w:ascii="宋体" w:hAnsi="宋体" w:eastAsia="宋体" w:cs="宋体"/>
          <w:sz w:val="24"/>
          <w:szCs w:val="24"/>
        </w:rPr>
        <w:t>、人为损坏、交通损坏、施工开挖、恶劣天气、大型活动后绿化植物非正常死亡、设备损毁等非甲方原因所造成的绿化苗木、绿地设施的损失(不包括已审批园林绿化许可事项或已查处损坏绿化案件)，一切恢复费用由乙方负责。</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cs="宋体"/>
          <w:sz w:val="24"/>
          <w:szCs w:val="24"/>
          <w:lang w:val="en-US" w:eastAsia="zh-CN"/>
        </w:rPr>
        <w:t>2</w:t>
      </w:r>
      <w:r>
        <w:rPr>
          <w:rFonts w:hint="eastAsia" w:ascii="宋体" w:hAnsi="宋体" w:eastAsia="宋体" w:cs="宋体"/>
          <w:sz w:val="24"/>
          <w:szCs w:val="24"/>
        </w:rPr>
        <w:t>、乙方必须按规范要求落实安全生产管理，乙方在履约过程中发生的安全生产事故的，与甲方无关。</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1）乙方承担经营活动的全部安全责任及损失。合同期内若发生重大伤亡及其他事故，乙方应按有关规定立即上报有关部门，并通知甲方和第三方监理单位，同时按政府相关部门规定处理，由事故责任方承担发生的费用。双方如果对事故认定有争议，应按有关部门的认定结果为准。</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（2）安全事故处理：依照中华人民共和国国务院令（第 493 号）《生产安全事故报告和调查处理条例》相关规定执行。</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cs="宋体"/>
          <w:sz w:val="24"/>
          <w:szCs w:val="24"/>
          <w:lang w:val="en-US" w:eastAsia="zh-CN"/>
        </w:rPr>
        <w:t>3</w:t>
      </w:r>
      <w:r>
        <w:rPr>
          <w:rFonts w:hint="eastAsia" w:ascii="宋体" w:hAnsi="宋体" w:eastAsia="宋体" w:cs="宋体"/>
          <w:sz w:val="24"/>
          <w:szCs w:val="24"/>
        </w:rPr>
        <w:t>、乙方拟投入本项目的绿化养护人员、管理机构人员、经营场地必须在中标后 10 日内落实并将方案上报给甲方。</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cs="宋体"/>
          <w:sz w:val="24"/>
          <w:szCs w:val="24"/>
          <w:lang w:val="en-US" w:eastAsia="zh-CN"/>
        </w:rPr>
        <w:t>4</w:t>
      </w:r>
      <w:r>
        <w:rPr>
          <w:rFonts w:hint="eastAsia" w:ascii="宋体" w:hAnsi="宋体" w:eastAsia="宋体" w:cs="宋体"/>
          <w:sz w:val="24"/>
          <w:szCs w:val="24"/>
        </w:rPr>
        <w:t>、乙方在合同履行过程中因违反本合同的有关规定被收回经营权时，为保障绿化管理工作的连续性及社会的安定，乙方须服从甲方的交接安排，拒不交接视为默认。</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cs="宋体"/>
          <w:sz w:val="24"/>
          <w:szCs w:val="24"/>
          <w:lang w:val="en-US" w:eastAsia="zh-CN"/>
        </w:rPr>
        <w:t>5</w:t>
      </w:r>
      <w:r>
        <w:rPr>
          <w:rFonts w:hint="eastAsia" w:ascii="宋体" w:hAnsi="宋体" w:eastAsia="宋体" w:cs="宋体"/>
          <w:sz w:val="24"/>
          <w:szCs w:val="24"/>
        </w:rPr>
        <w:t>、在乙方管养范围内因乙方原因造成任何人身伤亡事件或任何财产损失，乙方必须负相关法律和经济责任，并赔偿甲方因此所遭受的一切损失。</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cs="宋体"/>
          <w:sz w:val="24"/>
          <w:szCs w:val="24"/>
          <w:lang w:val="en-US" w:eastAsia="zh-CN"/>
        </w:rPr>
        <w:t>6</w:t>
      </w:r>
      <w:r>
        <w:rPr>
          <w:rFonts w:hint="eastAsia" w:ascii="宋体" w:hAnsi="宋体" w:eastAsia="宋体" w:cs="宋体"/>
          <w:sz w:val="24"/>
          <w:szCs w:val="24"/>
        </w:rPr>
        <w:t>、乙方在合同期内因履行本合同而与甲方以外的第三方发生的任何纠纷均由乙方自行处理及承担相关责任，与甲方无关。</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jc w:val="both"/>
        <w:textAlignment w:val="auto"/>
        <w:rPr>
          <w:rFonts w:hint="eastAsia" w:ascii="宋体" w:hAnsi="宋体" w:eastAsia="宋体" w:cs="宋体"/>
          <w:b/>
          <w:bCs/>
          <w:sz w:val="24"/>
          <w:szCs w:val="24"/>
        </w:rPr>
      </w:pPr>
      <w:r>
        <w:rPr>
          <w:rFonts w:hint="eastAsia" w:cs="宋体"/>
          <w:b/>
          <w:bCs/>
          <w:sz w:val="24"/>
          <w:szCs w:val="24"/>
          <w:lang w:val="en-US" w:eastAsia="zh-CN"/>
        </w:rPr>
        <w:t>八</w:t>
      </w:r>
      <w:r>
        <w:rPr>
          <w:rFonts w:hint="eastAsia" w:ascii="宋体" w:hAnsi="宋体" w:eastAsia="宋体" w:cs="宋体"/>
          <w:b/>
          <w:bCs/>
          <w:sz w:val="24"/>
          <w:szCs w:val="24"/>
        </w:rPr>
        <w:t>、其它条款：</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cs="宋体"/>
          <w:sz w:val="24"/>
          <w:szCs w:val="24"/>
          <w:lang w:val="en-US" w:eastAsia="zh-CN"/>
        </w:rPr>
        <w:t>1</w:t>
      </w:r>
      <w:r>
        <w:rPr>
          <w:rFonts w:hint="eastAsia" w:ascii="宋体" w:hAnsi="宋体" w:eastAsia="宋体" w:cs="宋体"/>
          <w:sz w:val="24"/>
          <w:szCs w:val="24"/>
        </w:rPr>
        <w:t>、乙方在管养的合同范围内，未经甲方许可，不得擅自增减现有经营项目。</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cs="宋体"/>
          <w:sz w:val="24"/>
          <w:szCs w:val="24"/>
          <w:lang w:val="en-US" w:eastAsia="zh-CN"/>
        </w:rPr>
        <w:t>2</w:t>
      </w:r>
      <w:r>
        <w:rPr>
          <w:rFonts w:hint="eastAsia" w:ascii="宋体" w:hAnsi="宋体" w:eastAsia="宋体" w:cs="宋体"/>
          <w:sz w:val="24"/>
          <w:szCs w:val="24"/>
        </w:rPr>
        <w:t>、因甲方原因造成服务范围内绿化损坏或苗木死亡，造成的损失由甲方承担。</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cs="宋体"/>
          <w:sz w:val="24"/>
          <w:szCs w:val="24"/>
          <w:lang w:val="en-US" w:eastAsia="zh-CN"/>
        </w:rPr>
        <w:t>3</w:t>
      </w:r>
      <w:r>
        <w:rPr>
          <w:rFonts w:hint="eastAsia" w:ascii="宋体" w:hAnsi="宋体" w:eastAsia="宋体" w:cs="宋体"/>
          <w:sz w:val="24"/>
          <w:szCs w:val="24"/>
        </w:rPr>
        <w:t>、履约期间，如乙方未能及时履行本合同规定的相关责任时（如劳资纠纷、安全生产事故、税费交纳等），甲方有权动用乙方的履约保证金或承包费用先行垫付处理。</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jc w:val="both"/>
        <w:textAlignment w:val="auto"/>
        <w:rPr>
          <w:rFonts w:hint="eastAsia" w:ascii="宋体" w:hAnsi="宋体" w:eastAsia="宋体" w:cs="宋体"/>
          <w:b/>
          <w:bCs/>
          <w:sz w:val="24"/>
          <w:szCs w:val="24"/>
        </w:rPr>
      </w:pPr>
      <w:r>
        <w:rPr>
          <w:rFonts w:hint="eastAsia" w:cs="宋体"/>
          <w:b/>
          <w:bCs/>
          <w:sz w:val="24"/>
          <w:szCs w:val="24"/>
          <w:lang w:val="en-US" w:eastAsia="zh-CN"/>
        </w:rPr>
        <w:t>九</w:t>
      </w:r>
      <w:r>
        <w:rPr>
          <w:rFonts w:hint="eastAsia" w:ascii="宋体" w:hAnsi="宋体" w:eastAsia="宋体" w:cs="宋体"/>
          <w:b/>
          <w:bCs/>
          <w:sz w:val="24"/>
          <w:szCs w:val="24"/>
        </w:rPr>
        <w:t>、违约责任：</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（一） 甲方违约：</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发生下列任何一种情况的，甲方应承担违约责任：</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1、甲方无故单方解除合同的，甲方须承担乙方由此造成的损失。</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2、甲方必须按时支付承包费给乙方，甲方无正当理由逾期付款超过 90 天的，将视为甲方违约，乙方有权单方面解除合同，由此而造成乙方的一切经济损失由甲方承担。</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（二） 乙方违约：</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1、因</w:t>
      </w:r>
      <w:r>
        <w:rPr>
          <w:rFonts w:hint="eastAsia" w:cs="宋体"/>
          <w:sz w:val="24"/>
          <w:szCs w:val="24"/>
          <w:lang w:val="en-US" w:eastAsia="zh-CN"/>
        </w:rPr>
        <w:t>乙方</w:t>
      </w:r>
      <w:r>
        <w:rPr>
          <w:rFonts w:hint="eastAsia" w:ascii="宋体" w:hAnsi="宋体" w:eastAsia="宋体" w:cs="宋体"/>
          <w:sz w:val="24"/>
          <w:szCs w:val="24"/>
        </w:rPr>
        <w:t>管理不善等原因，引起的绿化缺失、损坏、植株部分枯死，必须由中标单位无偿及时补种同规格苗木，采购人不再支付任何费用，并可按考核标准相应扣分。</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cs="宋体"/>
          <w:sz w:val="24"/>
          <w:szCs w:val="24"/>
          <w:lang w:val="en-US" w:eastAsia="zh-CN"/>
        </w:rPr>
      </w:pPr>
      <w:r>
        <w:rPr>
          <w:rFonts w:hint="eastAsia" w:cs="宋体"/>
          <w:sz w:val="24"/>
          <w:szCs w:val="24"/>
          <w:lang w:val="en-US" w:eastAsia="zh-CN"/>
        </w:rPr>
        <w:t>2、采购人招标范围内的绿化补种，主要是指：有审批手续的绿地挖掘后的复绿；零星的绿地改造和提档；非养护方责任范围内的行道树缺损；业主要求的其它绿化种植。以上绿化补种以采购人的业主指令为准，中标单位不得拒绝，工程量按实结算，经结算审计后支付，若不按照采购人指令，每延误一天扣除1000元。</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cs="宋体"/>
          <w:sz w:val="24"/>
          <w:szCs w:val="24"/>
          <w:lang w:val="en-US" w:eastAsia="zh-CN"/>
        </w:rPr>
        <w:t>3、</w:t>
      </w:r>
      <w:r>
        <w:rPr>
          <w:rFonts w:hint="eastAsia" w:ascii="宋体" w:hAnsi="宋体" w:eastAsia="宋体" w:cs="宋体"/>
          <w:sz w:val="24"/>
          <w:szCs w:val="24"/>
        </w:rPr>
        <w:t>乙方在规定时间内未能按要求配齐自有车辆、设施的，甲方有权没收履约保证金。</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cs="宋体"/>
          <w:sz w:val="24"/>
          <w:szCs w:val="24"/>
          <w:lang w:val="en-US" w:eastAsia="zh-CN"/>
        </w:rPr>
        <w:t>4、乙方</w:t>
      </w:r>
      <w:r>
        <w:rPr>
          <w:rFonts w:hint="eastAsia" w:ascii="宋体" w:hAnsi="宋体" w:eastAsia="宋体" w:cs="宋体"/>
          <w:sz w:val="24"/>
          <w:szCs w:val="24"/>
        </w:rPr>
        <w:t>在中标后</w:t>
      </w:r>
      <w:r>
        <w:rPr>
          <w:rFonts w:hint="eastAsia" w:cs="宋体"/>
          <w:sz w:val="24"/>
          <w:szCs w:val="24"/>
          <w:lang w:val="en-US" w:eastAsia="zh-CN"/>
        </w:rPr>
        <w:t>未</w:t>
      </w:r>
      <w:r>
        <w:rPr>
          <w:rFonts w:hint="eastAsia" w:ascii="宋体" w:hAnsi="宋体" w:eastAsia="宋体" w:cs="宋体"/>
          <w:sz w:val="24"/>
          <w:szCs w:val="24"/>
        </w:rPr>
        <w:t>按照</w:t>
      </w:r>
      <w:r>
        <w:rPr>
          <w:rFonts w:hint="eastAsia" w:cs="宋体"/>
          <w:sz w:val="24"/>
          <w:szCs w:val="24"/>
          <w:lang w:val="en-US" w:eastAsia="zh-CN"/>
        </w:rPr>
        <w:t>甲方</w:t>
      </w:r>
      <w:r>
        <w:rPr>
          <w:rFonts w:hint="eastAsia" w:ascii="宋体" w:hAnsi="宋体" w:eastAsia="宋体" w:cs="宋体"/>
          <w:sz w:val="24"/>
          <w:szCs w:val="24"/>
        </w:rPr>
        <w:t>要求配备相应机械设备准备到位，中标后一个月内未将相应机械设备准备到位的在当月养护款结算扣款5000元，中标后二个月未将相应机械设备准备到位的在当月养护款结算扣款10000元，中标后三个月未将相应机械设备准备到位的</w:t>
      </w:r>
      <w:r>
        <w:rPr>
          <w:rFonts w:hint="eastAsia" w:cs="宋体"/>
          <w:sz w:val="24"/>
          <w:szCs w:val="24"/>
          <w:lang w:val="en-US" w:eastAsia="zh-CN"/>
        </w:rPr>
        <w:t>甲方</w:t>
      </w:r>
      <w:r>
        <w:rPr>
          <w:rFonts w:hint="eastAsia" w:ascii="宋体" w:hAnsi="宋体" w:eastAsia="宋体" w:cs="宋体"/>
          <w:sz w:val="24"/>
          <w:szCs w:val="24"/>
        </w:rPr>
        <w:t>有权终止合同，合同履约保证金不予退还。</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cs="宋体"/>
          <w:sz w:val="24"/>
          <w:szCs w:val="24"/>
          <w:lang w:val="en-US" w:eastAsia="zh-CN"/>
        </w:rPr>
        <w:t>5、乙方</w:t>
      </w:r>
      <w:r>
        <w:rPr>
          <w:rFonts w:hint="eastAsia" w:ascii="宋体" w:hAnsi="宋体" w:eastAsia="宋体" w:cs="宋体"/>
          <w:sz w:val="24"/>
          <w:szCs w:val="24"/>
        </w:rPr>
        <w:t>在中标后</w:t>
      </w:r>
      <w:r>
        <w:rPr>
          <w:rFonts w:hint="eastAsia" w:cs="宋体"/>
          <w:sz w:val="24"/>
          <w:szCs w:val="24"/>
          <w:lang w:val="en-US" w:eastAsia="zh-CN"/>
        </w:rPr>
        <w:t>未按要求</w:t>
      </w:r>
      <w:r>
        <w:rPr>
          <w:rFonts w:hint="eastAsia" w:ascii="宋体" w:hAnsi="宋体" w:eastAsia="宋体" w:cs="宋体"/>
          <w:sz w:val="24"/>
          <w:szCs w:val="24"/>
        </w:rPr>
        <w:t>在</w:t>
      </w:r>
      <w:r>
        <w:rPr>
          <w:rFonts w:hint="eastAsia" w:cs="宋体"/>
          <w:sz w:val="24"/>
          <w:szCs w:val="24"/>
          <w:lang w:val="en-US" w:eastAsia="zh-CN"/>
        </w:rPr>
        <w:t>温岭市内</w:t>
      </w:r>
      <w:r>
        <w:rPr>
          <w:rFonts w:hint="eastAsia" w:ascii="宋体" w:hAnsi="宋体" w:eastAsia="宋体" w:cs="宋体"/>
          <w:sz w:val="24"/>
          <w:szCs w:val="24"/>
        </w:rPr>
        <w:t>设立绿地养护项目部，组建专门绿地养护管理班子，有固定的办公场所</w:t>
      </w:r>
      <w:r>
        <w:rPr>
          <w:rFonts w:hint="eastAsia" w:cs="宋体"/>
          <w:sz w:val="24"/>
          <w:szCs w:val="24"/>
          <w:lang w:val="en-US" w:eastAsia="zh-CN"/>
        </w:rPr>
        <w:t>的；</w:t>
      </w:r>
      <w:r>
        <w:rPr>
          <w:rFonts w:hint="eastAsia" w:ascii="宋体" w:hAnsi="宋体" w:eastAsia="宋体" w:cs="宋体"/>
          <w:sz w:val="24"/>
          <w:szCs w:val="24"/>
        </w:rPr>
        <w:t>中标后一个月内未按要求设立绿地养护项目部的在当月养护款结算扣款5000元，中标后二个月未按要求设立绿地养护项目部的在当月养护款结算扣款10000元，中标后三个月按要求设立绿地养护项目部的采购人有权终止合同，合同履约保证金不予退还。</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sz w:val="24"/>
          <w:szCs w:val="32"/>
          <w:lang w:val="en-US" w:eastAsia="zh-CN"/>
        </w:rPr>
      </w:pPr>
      <w:r>
        <w:rPr>
          <w:rFonts w:hint="eastAsia" w:cs="宋体"/>
          <w:sz w:val="24"/>
          <w:szCs w:val="24"/>
          <w:lang w:val="en-US" w:eastAsia="zh-CN"/>
        </w:rPr>
        <w:t>6、</w:t>
      </w:r>
      <w:r>
        <w:rPr>
          <w:rFonts w:hint="eastAsia" w:ascii="宋体" w:hAnsi="宋体"/>
          <w:sz w:val="24"/>
          <w:szCs w:val="32"/>
          <w:lang w:val="en-US" w:eastAsia="zh-CN"/>
        </w:rPr>
        <w:t>乙方擅自更换项目经理的违约责任：因生病住院、终止劳动合同关系（提供相关部门或单位证明材料）、被责令停止执业、羁押或判刑情形，无法继续担任相应岗位工作，乙方向甲方提出申请，甲方应同意更换，更换到位的项目经理资质不低于原项目经理；除上述情形外不允许更换。如承包人擅自更换，每更换一人次扣除2000元违约金。</w:t>
      </w:r>
      <w:r>
        <w:rPr>
          <w:rFonts w:hint="eastAsia"/>
          <w:sz w:val="24"/>
          <w:szCs w:val="32"/>
          <w:lang w:val="en-US" w:eastAsia="zh-CN"/>
        </w:rPr>
        <w:t xml:space="preserve">  </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sz w:val="24"/>
          <w:szCs w:val="32"/>
          <w:lang w:val="en-US" w:eastAsia="zh-CN"/>
        </w:rPr>
        <w:t>7、</w:t>
      </w:r>
      <w:r>
        <w:rPr>
          <w:rFonts w:hint="eastAsia" w:ascii="宋体" w:hAnsi="宋体" w:eastAsia="宋体" w:cs="宋体"/>
          <w:sz w:val="24"/>
          <w:szCs w:val="24"/>
        </w:rPr>
        <w:t>乙方出现有下列任何一种情况的，甲方有权终止承包合同，并不返还履约保证金。</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1</w:t>
      </w:r>
      <w:r>
        <w:rPr>
          <w:rFonts w:hint="eastAsia" w:cs="宋体"/>
          <w:sz w:val="24"/>
          <w:szCs w:val="24"/>
          <w:lang w:eastAsia="zh-CN"/>
        </w:rPr>
        <w:t>）</w:t>
      </w:r>
      <w:r>
        <w:rPr>
          <w:rFonts w:hint="eastAsia" w:ascii="宋体" w:hAnsi="宋体" w:eastAsia="宋体" w:cs="宋体"/>
          <w:sz w:val="24"/>
          <w:szCs w:val="24"/>
        </w:rPr>
        <w:t>乙方放弃承包经营权；</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（2）乙方直接或间接向第三方转包本项目的全部或部分工作；</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cs="宋体"/>
          <w:sz w:val="24"/>
          <w:szCs w:val="24"/>
          <w:lang w:val="en-US" w:eastAsia="zh-CN"/>
        </w:rPr>
        <w:t>3</w:t>
      </w:r>
      <w:r>
        <w:rPr>
          <w:rFonts w:hint="eastAsia" w:ascii="宋体" w:hAnsi="宋体" w:eastAsia="宋体" w:cs="宋体"/>
          <w:sz w:val="24"/>
          <w:szCs w:val="24"/>
        </w:rPr>
        <w:t>）乙方有纵容、煽动员工怠工、罢工等过激行为的；</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4</w:t>
      </w:r>
      <w:r>
        <w:rPr>
          <w:rFonts w:hint="eastAsia" w:cs="宋体"/>
          <w:sz w:val="24"/>
          <w:szCs w:val="24"/>
          <w:lang w:eastAsia="zh-CN"/>
        </w:rPr>
        <w:t>）</w:t>
      </w:r>
      <w:r>
        <w:rPr>
          <w:rFonts w:hint="eastAsia" w:ascii="宋体" w:hAnsi="宋体" w:eastAsia="宋体" w:cs="宋体"/>
          <w:sz w:val="24"/>
          <w:szCs w:val="24"/>
        </w:rPr>
        <w:t>乙方有违反劳动法，损害工人劳动权益，情节恶劣或乙方漠视工人权益造成怠工、罢工的；</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cs="宋体"/>
          <w:sz w:val="24"/>
          <w:szCs w:val="24"/>
          <w:lang w:val="en-US" w:eastAsia="zh-CN"/>
        </w:rPr>
        <w:t>5</w:t>
      </w:r>
      <w:r>
        <w:rPr>
          <w:rFonts w:hint="eastAsia" w:ascii="宋体" w:hAnsi="宋体" w:eastAsia="宋体" w:cs="宋体"/>
          <w:sz w:val="24"/>
          <w:szCs w:val="24"/>
        </w:rPr>
        <w:t>）乙方在协助甲方核实工作量弄虚作假；</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6</w:t>
      </w:r>
      <w:r>
        <w:rPr>
          <w:rFonts w:hint="eastAsia" w:cs="宋体"/>
          <w:sz w:val="24"/>
          <w:szCs w:val="24"/>
          <w:lang w:eastAsia="zh-CN"/>
        </w:rPr>
        <w:t>）</w:t>
      </w:r>
      <w:r>
        <w:rPr>
          <w:rFonts w:hint="eastAsia" w:ascii="宋体" w:hAnsi="宋体" w:eastAsia="宋体" w:cs="宋体"/>
          <w:sz w:val="24"/>
          <w:szCs w:val="24"/>
        </w:rPr>
        <w:t>乙方出现违反国家法律法规行为的，例如超过 1 个月不支付员工劳动报酬的。</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cs="宋体"/>
          <w:sz w:val="24"/>
          <w:szCs w:val="24"/>
          <w:lang w:val="en-US" w:eastAsia="zh-CN"/>
        </w:rPr>
        <w:t>8</w:t>
      </w:r>
      <w:r>
        <w:rPr>
          <w:rFonts w:hint="eastAsia" w:ascii="宋体" w:hAnsi="宋体" w:eastAsia="宋体" w:cs="宋体"/>
          <w:sz w:val="24"/>
          <w:szCs w:val="24"/>
        </w:rPr>
        <w:t>、因合同期满或其他原因解除合同时，乙方必须做好下列工作：</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（1）切实履行与承包本项目有关的涉及人、财、物、事的所有责任与义务。如：工人工资、加班费、高温补贴、社保费用、遣散补偿费、福利费、税金、设施、设备完善、资产移交等事项的处理。</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（2）落实好交接过度期的各项工作，确保各工作项目运转正常，并顺利交接，若乙方不接受甲方安排，未能落实好交接工作的，乙方需承担一切经济及法律责任。</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jc w:val="both"/>
        <w:textAlignment w:val="auto"/>
        <w:rPr>
          <w:rFonts w:hint="eastAsia" w:ascii="宋体" w:hAnsi="宋体" w:eastAsia="宋体" w:cs="宋体"/>
          <w:b/>
          <w:bCs/>
          <w:sz w:val="24"/>
          <w:szCs w:val="24"/>
          <w:lang w:eastAsia="zh-CN"/>
        </w:rPr>
      </w:pPr>
      <w:r>
        <w:rPr>
          <w:rFonts w:hint="eastAsia" w:cs="宋体"/>
          <w:b/>
          <w:bCs/>
          <w:sz w:val="24"/>
          <w:szCs w:val="24"/>
          <w:lang w:val="en-US" w:eastAsia="zh-CN"/>
        </w:rPr>
        <w:t>十</w:t>
      </w:r>
      <w:r>
        <w:rPr>
          <w:rFonts w:hint="eastAsia" w:ascii="宋体" w:hAnsi="宋体" w:eastAsia="宋体" w:cs="宋体"/>
          <w:b/>
          <w:bCs/>
          <w:sz w:val="24"/>
          <w:szCs w:val="24"/>
        </w:rPr>
        <w:t>、履约担保</w:t>
      </w:r>
      <w:r>
        <w:rPr>
          <w:rFonts w:hint="eastAsia" w:cs="宋体"/>
          <w:b/>
          <w:bCs/>
          <w:sz w:val="24"/>
          <w:szCs w:val="24"/>
          <w:lang w:eastAsia="zh-CN"/>
        </w:rPr>
        <w:t>：</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1、乙方必须在签定本合同</w:t>
      </w:r>
      <w:r>
        <w:rPr>
          <w:rFonts w:hint="eastAsia" w:cs="宋体"/>
          <w:sz w:val="24"/>
          <w:szCs w:val="24"/>
          <w:lang w:val="en-US" w:eastAsia="zh-CN"/>
        </w:rPr>
        <w:t>前</w:t>
      </w:r>
      <w:r>
        <w:rPr>
          <w:rFonts w:hint="eastAsia" w:ascii="宋体" w:hAnsi="宋体" w:eastAsia="宋体" w:cs="宋体"/>
          <w:sz w:val="24"/>
          <w:szCs w:val="24"/>
        </w:rPr>
        <w:t>向甲方交纳</w:t>
      </w:r>
      <w:r>
        <w:rPr>
          <w:rFonts w:hint="eastAsia" w:cs="宋体"/>
          <w:sz w:val="24"/>
          <w:szCs w:val="24"/>
          <w:lang w:val="en-US" w:eastAsia="zh-CN"/>
        </w:rPr>
        <w:t>合同价1%的</w:t>
      </w:r>
      <w:r>
        <w:rPr>
          <w:rFonts w:hint="eastAsia" w:ascii="宋体" w:hAnsi="宋体" w:eastAsia="宋体" w:cs="宋体"/>
          <w:sz w:val="24"/>
          <w:szCs w:val="24"/>
        </w:rPr>
        <w:t>履约保证金，在合同履约到期且无异议情况下10日内无息退还。合同终止后在满足合同相关条款规定且乙方已切实履行与本项目有关的涉及人、财、物、事的所有责任与义务。</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2、合同终止后若乙方有意拖延、拒绝履行与本项目有关的涉及人、财、物、事等方面责任与义务或处理不力时，甲方有权动用履约保证金，解决前述相关事项问题，乙方不得有异议。若履约保证金不足以解决相关事项问题时，缺额资金仍由乙方负责，相关经济、法律责任由乙方承担。</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cs="宋体"/>
          <w:bCs/>
          <w:sz w:val="24"/>
          <w:szCs w:val="24"/>
          <w:lang w:val="en-US" w:eastAsia="zh-CN"/>
        </w:rPr>
        <w:t>3、</w:t>
      </w:r>
      <w:r>
        <w:rPr>
          <w:rFonts w:hint="eastAsia" w:ascii="宋体" w:hAnsi="宋体" w:cs="宋体"/>
          <w:bCs/>
          <w:sz w:val="24"/>
          <w:szCs w:val="24"/>
          <w:lang w:val="zh-CN" w:eastAsia="zh-CN"/>
        </w:rPr>
        <w:t>履约保证金扣除后，乙方应在收到扣除通知之日起5个工作日内补齐履约保证金，否则，每迟延一日，支付1000元违约金。</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十</w:t>
      </w:r>
      <w:r>
        <w:rPr>
          <w:rFonts w:hint="eastAsia" w:cs="宋体"/>
          <w:b/>
          <w:bCs/>
          <w:sz w:val="24"/>
          <w:szCs w:val="24"/>
          <w:lang w:val="en-US" w:eastAsia="zh-CN"/>
        </w:rPr>
        <w:t>一</w:t>
      </w:r>
      <w:r>
        <w:rPr>
          <w:rFonts w:hint="eastAsia" w:ascii="宋体" w:hAnsi="宋体" w:eastAsia="宋体" w:cs="宋体"/>
          <w:b/>
          <w:bCs/>
          <w:sz w:val="24"/>
          <w:szCs w:val="24"/>
        </w:rPr>
        <w:t>、争议的解决</w:t>
      </w:r>
      <w:r>
        <w:rPr>
          <w:rFonts w:hint="eastAsia" w:cs="宋体"/>
          <w:b/>
          <w:bCs/>
          <w:sz w:val="24"/>
          <w:szCs w:val="24"/>
          <w:lang w:eastAsia="zh-CN"/>
        </w:rPr>
        <w:t>：</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1、合同执行过程中发生的任何争议，如双方未能协商解决达成一致，应向本合同履行地人民法院提起诉讼。</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2、在法院审理期间，除提交法院审理的事项外，合同其它事项和条款仍应继续履行。</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十</w:t>
      </w:r>
      <w:r>
        <w:rPr>
          <w:rFonts w:hint="eastAsia" w:cs="宋体"/>
          <w:b/>
          <w:bCs/>
          <w:sz w:val="24"/>
          <w:szCs w:val="24"/>
          <w:lang w:val="en-US" w:eastAsia="zh-CN"/>
        </w:rPr>
        <w:t>二</w:t>
      </w:r>
      <w:r>
        <w:rPr>
          <w:rFonts w:hint="eastAsia" w:ascii="宋体" w:hAnsi="宋体" w:eastAsia="宋体" w:cs="宋体"/>
          <w:b/>
          <w:bCs/>
          <w:sz w:val="24"/>
          <w:szCs w:val="24"/>
        </w:rPr>
        <w:t>、不可抗力</w:t>
      </w:r>
      <w:r>
        <w:rPr>
          <w:rFonts w:hint="eastAsia" w:cs="宋体"/>
          <w:b/>
          <w:bCs/>
          <w:sz w:val="24"/>
          <w:szCs w:val="24"/>
          <w:lang w:eastAsia="zh-CN"/>
        </w:rPr>
        <w:t>：</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（一）不可抗力范围：</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1、自然灾害：包括地震、洪水、海啸、台风、火灾等；</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2、政府行为：政府当局颁布新的法律、法规、政策、行政措施、征收、征用、职能变动等</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3、社会异常事件：包括罢工、骚乱等。</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（二）不可抗力免责条款：</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任何一方由于不可抗力原因不能履行合同时，应在不可抗力事件发生后 3 天内向对方书面通报，以减轻可能给对方造成的损失，在取得有关机构的不可抗力证明或双方谅解确认后，允许修订合同或终止合同，并根据情况可部分或全部免于承担违约责任。</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十</w:t>
      </w:r>
      <w:r>
        <w:rPr>
          <w:rFonts w:hint="eastAsia" w:cs="宋体"/>
          <w:b/>
          <w:bCs/>
          <w:sz w:val="24"/>
          <w:szCs w:val="24"/>
          <w:lang w:val="en-US" w:eastAsia="zh-CN"/>
        </w:rPr>
        <w:t>三</w:t>
      </w:r>
      <w:r>
        <w:rPr>
          <w:rFonts w:hint="eastAsia" w:ascii="宋体" w:hAnsi="宋体" w:eastAsia="宋体" w:cs="宋体"/>
          <w:b/>
          <w:bCs/>
          <w:sz w:val="24"/>
          <w:szCs w:val="24"/>
        </w:rPr>
        <w:t>、合同生效</w:t>
      </w:r>
      <w:r>
        <w:rPr>
          <w:rFonts w:hint="eastAsia" w:cs="宋体"/>
          <w:b/>
          <w:bCs/>
          <w:sz w:val="24"/>
          <w:szCs w:val="24"/>
          <w:lang w:eastAsia="zh-CN"/>
        </w:rPr>
        <w:t>：</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1、合同经双方签字并加盖公章后生效。</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2、所有经双方或多方签署确认的文件（包括会议纪要、补充协议、往来信函）、采购文件、中标通知书、投标文件及本合同之所有附件（合同附件：</w:t>
      </w:r>
      <w:r>
        <w:rPr>
          <w:rFonts w:hint="eastAsia" w:ascii="宋体" w:hAnsi="宋体" w:eastAsia="宋体" w:cs="宋体"/>
          <w:sz w:val="24"/>
          <w:szCs w:val="24"/>
          <w:lang w:val="en-US" w:eastAsia="zh-CN"/>
        </w:rPr>
        <w:t>温岭市园林绿化养护管理技术要求</w:t>
      </w:r>
      <w:r>
        <w:rPr>
          <w:rFonts w:hint="eastAsia" w:cs="宋体"/>
          <w:sz w:val="24"/>
          <w:szCs w:val="24"/>
          <w:lang w:val="en-US" w:eastAsia="zh-CN"/>
        </w:rPr>
        <w:t>、园林绿化市场化养护管理检查考核办法、园林绿化市场化月考核评分表、养护质量集中考核评分表</w:t>
      </w:r>
      <w:r>
        <w:rPr>
          <w:rFonts w:hint="eastAsia" w:ascii="宋体" w:hAnsi="宋体" w:eastAsia="宋体" w:cs="宋体"/>
          <w:sz w:val="24"/>
          <w:szCs w:val="24"/>
        </w:rPr>
        <w:t>）均为本合同不可分割的有效组成部分，与本合同具有同等的法律效力和履约义务。</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3、如一方地址、电话、传真号码有变更，应在变更当日内书面通知对方，否则，应承担相应责任。</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4"/>
          <w:szCs w:val="24"/>
        </w:rPr>
      </w:pPr>
      <w:r>
        <w:rPr>
          <w:rFonts w:hint="eastAsia" w:ascii="宋体" w:hAnsi="宋体" w:eastAsia="宋体" w:cs="宋体"/>
          <w:sz w:val="24"/>
          <w:szCs w:val="24"/>
        </w:rPr>
        <w:t>4、未经甲方书面同意，乙方不得擅自向第三方转让其应履行的合同项下的义务。</w:t>
      </w:r>
    </w:p>
    <w:p>
      <w:pPr>
        <w:pStyle w:val="24"/>
        <w:keepNext w:val="0"/>
        <w:keepLines w:val="0"/>
        <w:pageBreakBefore w:val="0"/>
        <w:widowControl/>
        <w:kinsoku/>
        <w:wordWrap/>
        <w:overflowPunct/>
        <w:topLinePunct/>
        <w:autoSpaceDE/>
        <w:autoSpaceDN/>
        <w:bidi w:val="0"/>
        <w:adjustRightInd/>
        <w:snapToGrid w:val="0"/>
        <w:spacing w:before="0" w:beforeAutospacing="0" w:after="0" w:afterAutospacing="0" w:line="336" w:lineRule="auto"/>
        <w:ind w:firstLine="561"/>
        <w:jc w:val="both"/>
        <w:textAlignment w:val="auto"/>
        <w:rPr>
          <w:rFonts w:hint="eastAsia" w:ascii="宋体" w:hAnsi="宋体" w:eastAsia="宋体" w:cs="宋体"/>
          <w:sz w:val="28"/>
          <w:szCs w:val="28"/>
        </w:rPr>
      </w:pPr>
      <w:r>
        <w:rPr>
          <w:rFonts w:hint="eastAsia" w:ascii="宋体" w:hAnsi="宋体" w:eastAsia="宋体" w:cs="宋体"/>
          <w:sz w:val="24"/>
          <w:szCs w:val="24"/>
        </w:rPr>
        <w:t>5、本合同一式柒份，甲乙方各执贰份，其余用于备案，均具有同等法律效力。</w:t>
      </w:r>
      <w:r>
        <w:rPr>
          <w:rFonts w:hint="eastAsia" w:ascii="宋体" w:hAnsi="宋体" w:eastAsia="宋体" w:cs="宋体"/>
          <w:sz w:val="28"/>
          <w:szCs w:val="28"/>
        </w:rPr>
        <w:t xml:space="preserve"> </w:t>
      </w:r>
    </w:p>
    <w:p>
      <w:pPr>
        <w:pStyle w:val="24"/>
        <w:topLinePunct/>
        <w:snapToGrid w:val="0"/>
        <w:spacing w:before="0" w:beforeAutospacing="0" w:after="0" w:afterAutospacing="0" w:line="520" w:lineRule="atLeast"/>
        <w:ind w:firstLine="480" w:firstLineChars="200"/>
        <w:jc w:val="both"/>
        <w:rPr>
          <w:rFonts w:hint="eastAsia" w:ascii="宋体" w:hAnsi="宋体" w:eastAsia="宋体" w:cs="宋体"/>
          <w:kern w:val="0"/>
          <w:sz w:val="24"/>
          <w:szCs w:val="24"/>
          <w:lang w:val="en-US" w:eastAsia="zh-CN" w:bidi="ar-SA"/>
        </w:rPr>
      </w:pPr>
    </w:p>
    <w:p>
      <w:pPr>
        <w:pStyle w:val="24"/>
        <w:topLinePunct/>
        <w:snapToGrid w:val="0"/>
        <w:spacing w:before="0" w:beforeAutospacing="0" w:after="0" w:afterAutospacing="0" w:line="520" w:lineRule="atLeast"/>
        <w:ind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甲方（公章）:                        乙方（公章）：                   </w:t>
      </w:r>
    </w:p>
    <w:p>
      <w:pPr>
        <w:spacing w:line="440" w:lineRule="exact"/>
        <w:ind w:right="-153" w:rightChars="-73"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法定代表人：                         法定代表人：</w:t>
      </w:r>
    </w:p>
    <w:p>
      <w:pPr>
        <w:spacing w:line="440" w:lineRule="exact"/>
        <w:ind w:right="-153" w:rightChars="-73"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或委托代理人：                       或委托代理人：</w:t>
      </w:r>
    </w:p>
    <w:p>
      <w:pPr>
        <w:spacing w:line="440" w:lineRule="exact"/>
        <w:ind w:right="-153" w:rightChars="-73"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地址：                               地址：</w:t>
      </w:r>
    </w:p>
    <w:p>
      <w:pPr>
        <w:spacing w:line="440" w:lineRule="exact"/>
        <w:ind w:right="-153" w:rightChars="-73"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电话：                               电话：</w:t>
      </w:r>
    </w:p>
    <w:p>
      <w:pPr>
        <w:spacing w:line="440" w:lineRule="exact"/>
        <w:ind w:right="-153" w:rightChars="-73"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开户银行：                           开户银行：</w:t>
      </w:r>
    </w:p>
    <w:p>
      <w:pPr>
        <w:spacing w:line="440" w:lineRule="exact"/>
        <w:ind w:right="-153" w:rightChars="-73"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账号：                               账号：</w:t>
      </w:r>
    </w:p>
    <w:p>
      <w:pPr>
        <w:spacing w:line="440" w:lineRule="exact"/>
        <w:ind w:right="-153" w:rightChars="-73" w:firstLine="480" w:firstLineChars="200"/>
        <w:rPr>
          <w:rFonts w:hint="eastAsia" w:ascii="宋体" w:hAnsi="宋体" w:eastAsia="宋体" w:cs="宋体"/>
          <w:kern w:val="0"/>
          <w:sz w:val="22"/>
          <w:szCs w:val="22"/>
          <w:lang w:val="en-US" w:eastAsia="zh-CN" w:bidi="ar-SA"/>
        </w:rPr>
      </w:pPr>
      <w:r>
        <w:rPr>
          <w:rFonts w:hint="eastAsia" w:ascii="宋体" w:hAnsi="宋体" w:eastAsia="宋体" w:cs="宋体"/>
          <w:kern w:val="0"/>
          <w:sz w:val="24"/>
          <w:szCs w:val="24"/>
          <w:lang w:val="en-US" w:eastAsia="zh-CN" w:bidi="ar-SA"/>
        </w:rPr>
        <w:t>签约时间：      年  月   日          签约地址：</w:t>
      </w:r>
      <w:r>
        <w:rPr>
          <w:rFonts w:hint="eastAsia" w:ascii="宋体" w:hAnsi="宋体" w:eastAsia="宋体" w:cs="宋体"/>
          <w:kern w:val="0"/>
          <w:sz w:val="22"/>
          <w:szCs w:val="22"/>
          <w:lang w:val="en-US" w:eastAsia="zh-CN" w:bidi="ar-SA"/>
        </w:rPr>
        <w:t xml:space="preserve">  </w:t>
      </w:r>
    </w:p>
    <w:p>
      <w:pPr>
        <w:pStyle w:val="25"/>
        <w:rPr>
          <w:rFonts w:hint="eastAsia"/>
        </w:rPr>
      </w:pPr>
    </w:p>
    <w:p>
      <w:pPr>
        <w:rPr>
          <w:rFonts w:hint="eastAsia"/>
        </w:rPr>
      </w:pPr>
    </w:p>
    <w:p>
      <w:pPr>
        <w:pStyle w:val="25"/>
        <w:rPr>
          <w:rFonts w:hint="eastAsia"/>
        </w:rPr>
      </w:pPr>
    </w:p>
    <w:p>
      <w:pPr>
        <w:rPr>
          <w:rFonts w:hint="eastAsia"/>
        </w:rPr>
      </w:pPr>
    </w:p>
    <w:p>
      <w:pPr>
        <w:pStyle w:val="25"/>
        <w:rPr>
          <w:rFonts w:hint="eastAsia"/>
        </w:rPr>
      </w:pPr>
    </w:p>
    <w:p>
      <w:pPr>
        <w:pStyle w:val="13"/>
        <w:rPr>
          <w:rFonts w:hint="eastAsia"/>
          <w:b/>
          <w:bCs/>
          <w:sz w:val="28"/>
          <w:szCs w:val="28"/>
        </w:rPr>
      </w:pPr>
    </w:p>
    <w:p>
      <w:pPr>
        <w:pStyle w:val="14"/>
        <w:rPr>
          <w:rFonts w:hint="eastAsia"/>
        </w:rPr>
      </w:pPr>
    </w:p>
    <w:p>
      <w:pPr>
        <w:keepNext w:val="0"/>
        <w:keepLines w:val="0"/>
        <w:pageBreakBefore w:val="0"/>
        <w:widowControl/>
        <w:kinsoku/>
        <w:wordWrap/>
        <w:overflowPunct/>
        <w:topLinePunct w:val="0"/>
        <w:autoSpaceDE/>
        <w:autoSpaceDN/>
        <w:bidi w:val="0"/>
        <w:adjustRightInd/>
        <w:snapToGrid/>
        <w:jc w:val="center"/>
        <w:textAlignment w:val="auto"/>
        <w:rPr>
          <w:rFonts w:hint="eastAsia"/>
          <w:b/>
          <w:bCs/>
          <w:sz w:val="28"/>
          <w:szCs w:val="28"/>
        </w:rPr>
      </w:pPr>
    </w:p>
    <w:p>
      <w:pPr>
        <w:spacing w:line="440" w:lineRule="exact"/>
        <w:rPr>
          <w:rFonts w:hint="eastAsia" w:ascii="楷体_GB2312" w:hAnsi="宋体" w:eastAsia="楷体_GB2312"/>
          <w:b/>
          <w:sz w:val="28"/>
          <w:szCs w:val="28"/>
        </w:rPr>
        <w:sectPr>
          <w:footerReference r:id="rId4" w:type="default"/>
          <w:pgSz w:w="11907" w:h="16840"/>
          <w:pgMar w:top="1440" w:right="1359" w:bottom="1440" w:left="1928" w:header="851" w:footer="1304" w:gutter="0"/>
          <w:pgBorders>
            <w:top w:val="none" w:sz="0" w:space="0"/>
            <w:left w:val="none" w:sz="0" w:space="0"/>
            <w:bottom w:val="none" w:sz="0" w:space="0"/>
            <w:right w:val="none" w:sz="0" w:space="0"/>
          </w:pgBorders>
          <w:pgNumType w:start="1"/>
          <w:cols w:space="720" w:num="1"/>
          <w:docGrid w:type="linesAndChars" w:linePitch="312" w:charSpace="0"/>
        </w:sectPr>
      </w:pPr>
    </w:p>
    <w:bookmarkEnd w:id="34"/>
    <w:p>
      <w:pPr>
        <w:rPr>
          <w:rFonts w:hint="eastAsia" w:ascii="宋体" w:hAnsi="宋体" w:cs="宋体"/>
          <w:b/>
          <w:bCs/>
          <w:sz w:val="22"/>
          <w:szCs w:val="22"/>
          <w:lang w:val="en-US" w:eastAsia="zh-CN"/>
        </w:rPr>
      </w:pPr>
      <w:r>
        <w:rPr>
          <w:rFonts w:hint="eastAsia" w:ascii="宋体" w:hAnsi="宋体" w:cs="宋体"/>
          <w:b/>
          <w:bCs/>
          <w:sz w:val="22"/>
          <w:szCs w:val="22"/>
          <w:lang w:val="en-US" w:eastAsia="zh-CN"/>
        </w:rPr>
        <w:t>合同附件1：</w:t>
      </w:r>
    </w:p>
    <w:p>
      <w:pPr>
        <w:jc w:val="center"/>
        <w:rPr>
          <w:rFonts w:hint="eastAsia" w:ascii="宋体" w:hAnsi="宋体" w:cs="宋体"/>
          <w:b w:val="0"/>
          <w:bCs w:val="0"/>
          <w:sz w:val="24"/>
          <w:szCs w:val="24"/>
        </w:rPr>
      </w:pPr>
      <w:r>
        <w:rPr>
          <w:rFonts w:hint="eastAsia" w:ascii="宋体" w:hAnsi="宋体" w:eastAsia="宋体" w:cs="宋体"/>
          <w:b/>
          <w:bCs/>
          <w:kern w:val="2"/>
          <w:sz w:val="28"/>
          <w:szCs w:val="28"/>
          <w:lang w:val="en-US" w:eastAsia="zh-CN" w:bidi="ar-SA"/>
        </w:rPr>
        <w:t>温岭市园林绿化养护管理技术要求</w:t>
      </w:r>
    </w:p>
    <w:p>
      <w:pPr>
        <w:spacing w:line="400" w:lineRule="exact"/>
        <w:ind w:firstLine="440" w:firstLineChars="200"/>
        <w:rPr>
          <w:rFonts w:hint="eastAsia" w:ascii="宋体" w:hAnsi="宋体" w:eastAsia="宋体" w:cs="宋体"/>
          <w:b/>
          <w:bCs/>
          <w:sz w:val="22"/>
          <w:szCs w:val="22"/>
        </w:rPr>
      </w:pPr>
      <w:r>
        <w:rPr>
          <w:rFonts w:hint="eastAsia" w:ascii="宋体" w:hAnsi="宋体" w:eastAsia="宋体" w:cs="宋体"/>
          <w:b/>
          <w:bCs/>
          <w:sz w:val="22"/>
          <w:szCs w:val="22"/>
        </w:rPr>
        <w:t>1 总体要求</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1.1</w:t>
      </w:r>
      <w:r>
        <w:rPr>
          <w:rFonts w:hint="eastAsia" w:ascii="宋体" w:hAnsi="宋体" w:eastAsia="宋体" w:cs="宋体"/>
          <w:sz w:val="22"/>
          <w:szCs w:val="22"/>
        </w:rPr>
        <w:t xml:space="preserve"> 为了加强温岭市区园林绿化市场化养护管理，确保园林绿地植物生长良好，设施完善，环境整洁美观，特制定本技术要求。</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1.2</w:t>
      </w:r>
      <w:r>
        <w:rPr>
          <w:rFonts w:hint="eastAsia" w:ascii="宋体" w:hAnsi="宋体" w:eastAsia="宋体" w:cs="宋体"/>
          <w:sz w:val="22"/>
          <w:szCs w:val="22"/>
        </w:rPr>
        <w:t xml:space="preserve">  市住房和城乡建设局进行市场化养护管理的所有公园绿地、道路附属绿地、防护绿地都按照本技术要求执行。</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1.3</w:t>
      </w:r>
      <w:r>
        <w:rPr>
          <w:rFonts w:hint="eastAsia" w:ascii="宋体" w:hAnsi="宋体" w:eastAsia="宋体" w:cs="宋体"/>
          <w:sz w:val="22"/>
          <w:szCs w:val="22"/>
        </w:rPr>
        <w:t xml:space="preserve">  对城市园林绿化实行分级养护管理，综合城市园林绿地的规模、性质、位置、设施量、服务对象、重要程度、安保需求等因素，将园林绿化的养护管理划分为不同等级，对部分管护要求提出不同标准。管理等级由高到低分为三级。</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1.4</w:t>
      </w:r>
      <w:r>
        <w:rPr>
          <w:rFonts w:hint="eastAsia" w:ascii="宋体" w:hAnsi="宋体" w:eastAsia="宋体" w:cs="宋体"/>
          <w:sz w:val="22"/>
          <w:szCs w:val="22"/>
        </w:rPr>
        <w:t xml:space="preserve">  养护管理人员要求：一级绿地人均养护面积≤8000㎡,行道树人均养护株数≤1000株；二级绿地人均养护面积≤11000㎡，行道树人均养护株数≤1200株；三级绿地人均养护面积≤14000㎡，行道树人均养护株数≤1500株。养护单位应安排足够的专业养护管理人员和专业技术工人进行作业，作业过程中无违章操作现象，无安全事故。</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1.5</w:t>
      </w:r>
      <w:r>
        <w:rPr>
          <w:rFonts w:hint="eastAsia" w:ascii="宋体" w:hAnsi="宋体" w:eastAsia="宋体" w:cs="宋体"/>
          <w:sz w:val="22"/>
          <w:szCs w:val="22"/>
        </w:rPr>
        <w:t xml:space="preserve"> 养护单位在温岭市区有固定的办公场所，所提供的植物材料、生产资料、机械设备和工具必须满足绿化养护的要求。</w:t>
      </w:r>
    </w:p>
    <w:p>
      <w:pPr>
        <w:pStyle w:val="17"/>
        <w:spacing w:line="400" w:lineRule="exact"/>
        <w:ind w:firstLine="440" w:firstLineChars="200"/>
        <w:rPr>
          <w:rFonts w:hint="eastAsia" w:ascii="宋体" w:hAnsi="宋体" w:eastAsia="宋体" w:cs="宋体"/>
          <w:b/>
          <w:sz w:val="22"/>
          <w:szCs w:val="22"/>
        </w:rPr>
      </w:pPr>
      <w:r>
        <w:rPr>
          <w:rFonts w:hint="eastAsia" w:ascii="宋体" w:hAnsi="宋体" w:eastAsia="宋体" w:cs="宋体"/>
          <w:b/>
          <w:sz w:val="22"/>
          <w:szCs w:val="22"/>
        </w:rPr>
        <w:t>2  园林植物养护</w:t>
      </w:r>
    </w:p>
    <w:p>
      <w:pPr>
        <w:pStyle w:val="17"/>
        <w:spacing w:line="400" w:lineRule="exact"/>
        <w:ind w:firstLine="440" w:firstLineChars="200"/>
        <w:rPr>
          <w:rFonts w:hint="eastAsia" w:ascii="宋体" w:hAnsi="宋体" w:eastAsia="宋体" w:cs="宋体"/>
          <w:b/>
          <w:sz w:val="22"/>
          <w:szCs w:val="22"/>
        </w:rPr>
      </w:pPr>
      <w:r>
        <w:rPr>
          <w:rFonts w:hint="eastAsia" w:ascii="宋体" w:hAnsi="宋体" w:eastAsia="宋体" w:cs="宋体"/>
          <w:b/>
          <w:sz w:val="22"/>
          <w:szCs w:val="22"/>
        </w:rPr>
        <w:t>2.1 修剪</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2.1.1</w:t>
      </w:r>
      <w:r>
        <w:rPr>
          <w:rFonts w:hint="eastAsia" w:ascii="宋体" w:hAnsi="宋体" w:cs="宋体"/>
          <w:b/>
          <w:kern w:val="0"/>
          <w:sz w:val="22"/>
          <w:szCs w:val="22"/>
          <w:lang w:val="en-US" w:eastAsia="zh-CN"/>
        </w:rPr>
        <w:t xml:space="preserve">  </w:t>
      </w:r>
      <w:r>
        <w:rPr>
          <w:rFonts w:hint="eastAsia" w:ascii="宋体" w:hAnsi="宋体" w:eastAsia="宋体" w:cs="宋体"/>
          <w:kern w:val="0"/>
          <w:sz w:val="22"/>
          <w:szCs w:val="22"/>
        </w:rPr>
        <w:t>园林树木修剪应依据园林绿化功能需要和设计要求，应根据树木生物学特性，依据园林绿化功能和设计的要求，在顺应和满足树种分枝方式、干性、层性、顶端优势、萌芽力、发枝力等生长习性基础上，通过修剪改善通风透光条件，满足生理需要，符合并保持观赏要求。根据树木生长状况和立地环境条件,通过修剪确保人员、车辆和临近附属设施安全。</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2.1.2</w:t>
      </w:r>
      <w:r>
        <w:rPr>
          <w:rFonts w:hint="eastAsia" w:ascii="宋体" w:hAnsi="宋体" w:eastAsia="宋体" w:cs="宋体"/>
          <w:kern w:val="0"/>
          <w:sz w:val="22"/>
          <w:szCs w:val="22"/>
        </w:rPr>
        <w:tab/>
      </w:r>
      <w:r>
        <w:rPr>
          <w:rFonts w:hint="eastAsia" w:ascii="宋体" w:hAnsi="宋体" w:eastAsia="宋体" w:cs="宋体"/>
          <w:kern w:val="0"/>
          <w:sz w:val="22"/>
          <w:szCs w:val="22"/>
        </w:rPr>
        <w:t>修剪树木前应制定修剪技术方案，并对作业人员进行培训，认真贯彻后方可进行操作，做到因地制宜，因树修剪，因时修剪。对修剪量大、技术要求高、工期长的修剪任务，应制定详细的修剪计划，包括修剪时间、人员安排、工具准备、施工进度、枝条处理、现场安全等。</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2.1.3</w:t>
      </w:r>
      <w:r>
        <w:rPr>
          <w:rFonts w:hint="eastAsia" w:ascii="宋体" w:hAnsi="宋体" w:eastAsia="宋体" w:cs="宋体"/>
          <w:sz w:val="22"/>
          <w:szCs w:val="22"/>
        </w:rPr>
        <w:tab/>
      </w:r>
      <w:r>
        <w:rPr>
          <w:rFonts w:hint="eastAsia" w:ascii="宋体" w:hAnsi="宋体" w:eastAsia="宋体" w:cs="宋体"/>
          <w:sz w:val="22"/>
          <w:szCs w:val="22"/>
        </w:rPr>
        <w:t>修剪时期：园林树木可在休眠期和生长期进行修剪，但更新修剪必须在休眠期进行；有严重伤流和易流胶树种的修剪应避开生长季和落叶后伤流严重期； 有抗寒性差的、易抽条树种的宜早于早春进行；常绿树的修剪应避开生长旺盛期。</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2.1.4</w:t>
      </w:r>
      <w:r>
        <w:rPr>
          <w:rFonts w:hint="eastAsia" w:ascii="宋体" w:hAnsi="宋体" w:eastAsia="宋体" w:cs="宋体"/>
          <w:sz w:val="22"/>
          <w:szCs w:val="22"/>
        </w:rPr>
        <w:t xml:space="preserve"> 乔木修剪</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2.1.4.1</w:t>
      </w:r>
      <w:r>
        <w:rPr>
          <w:rFonts w:hint="eastAsia" w:ascii="宋体" w:hAnsi="宋体" w:eastAsia="宋体" w:cs="宋体"/>
          <w:sz w:val="22"/>
          <w:szCs w:val="22"/>
        </w:rPr>
        <w:t xml:space="preserve">  落叶树在每年休眠期要及时清理内膛枝、徒长枝、病虫枝等，按树木特性及时调节树形；生长季节及时剥芽及去除萌蘖，芽长不超过10厘米。</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2.1.4.2</w:t>
      </w:r>
      <w:r>
        <w:rPr>
          <w:rFonts w:hint="eastAsia" w:ascii="宋体" w:hAnsi="宋体" w:eastAsia="宋体" w:cs="宋体"/>
          <w:sz w:val="22"/>
          <w:szCs w:val="22"/>
        </w:rPr>
        <w:t xml:space="preserve">  常绿树要及时去除内膛枝、徒长枝、病虫枝等，保持树型优美。</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2.1.4.3</w:t>
      </w:r>
      <w:r>
        <w:rPr>
          <w:rFonts w:hint="eastAsia" w:ascii="宋体" w:hAnsi="宋体" w:eastAsia="宋体" w:cs="宋体"/>
          <w:kern w:val="0"/>
          <w:sz w:val="22"/>
          <w:szCs w:val="22"/>
        </w:rPr>
        <w:t xml:space="preserve">  同一树龄和品种的林带，分枝点高度应基本一致，位于林带边缘的树木分枝点可稍低于林内树木。</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2.1.4.4</w:t>
      </w:r>
      <w:r>
        <w:rPr>
          <w:rFonts w:hint="eastAsia" w:ascii="宋体" w:hAnsi="宋体" w:eastAsia="宋体" w:cs="宋体"/>
          <w:sz w:val="22"/>
          <w:szCs w:val="22"/>
        </w:rPr>
        <w:t xml:space="preserve">  行道树的修剪，还应注意以下规定：</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a)行道树的树型和分枝点高度应基本一致，分枝点高度基本达到2.5m以上。</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b)树木与架空线有矛盾时，应修剪树枝，使其与架空线保持安全距离。</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c)在交通道口30m范围内的树冠不能遮挡交通信号灯。</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d)路灯和变压设备附近的树枝应与其保留出足够的安全距离。</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2.1.5</w:t>
      </w:r>
      <w:r>
        <w:rPr>
          <w:rFonts w:hint="eastAsia" w:ascii="宋体" w:hAnsi="宋体" w:eastAsia="宋体" w:cs="宋体"/>
          <w:sz w:val="22"/>
          <w:szCs w:val="22"/>
        </w:rPr>
        <w:t xml:space="preserve">  灌木修剪</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2.1.5.1</w:t>
      </w:r>
      <w:r>
        <w:rPr>
          <w:rFonts w:hint="eastAsia" w:ascii="宋体" w:hAnsi="宋体" w:eastAsia="宋体" w:cs="宋体"/>
          <w:sz w:val="22"/>
          <w:szCs w:val="22"/>
        </w:rPr>
        <w:t xml:space="preserve"> 灌木造型修剪应使树型内高外低，形成自然丰满的圆头形或半圆形树型。</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2.1.5.2</w:t>
      </w:r>
      <w:r>
        <w:rPr>
          <w:rFonts w:hint="eastAsia" w:ascii="宋体" w:hAnsi="宋体" w:eastAsia="宋体" w:cs="宋体"/>
          <w:sz w:val="22"/>
          <w:szCs w:val="22"/>
        </w:rPr>
        <w:t xml:space="preserve">  灌木内膛小枝应适量疏剪，强壮枝应进行适当短截，下垂细弱枝及地表萌生的地蘖应彻底疏除。</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2.1.5.3</w:t>
      </w:r>
      <w:r>
        <w:rPr>
          <w:rFonts w:hint="eastAsia" w:ascii="宋体" w:hAnsi="宋体" w:eastAsia="宋体" w:cs="宋体"/>
          <w:sz w:val="22"/>
          <w:szCs w:val="22"/>
        </w:rPr>
        <w:t xml:space="preserve">  栽种多年的丛生灌木应逐年更新衰老枝，疏剪内膛密生枝，培育新枝。栽植多年的有主干的灌木，每年应采取交替回缩主枝控制树冠的剪法，防止树势上强下弱。</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2.1.5.4</w:t>
      </w:r>
      <w:r>
        <w:rPr>
          <w:rFonts w:hint="eastAsia" w:ascii="宋体" w:hAnsi="宋体" w:eastAsia="宋体" w:cs="宋体"/>
          <w:sz w:val="22"/>
          <w:szCs w:val="22"/>
        </w:rPr>
        <w:t xml:space="preserve">  生长于树冠外的徒长枝，应及时疏除或早短截，促生二次枝。</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2.1.5.5</w:t>
      </w:r>
      <w:r>
        <w:rPr>
          <w:rFonts w:hint="eastAsia" w:ascii="宋体" w:hAnsi="宋体" w:eastAsia="宋体" w:cs="宋体"/>
          <w:sz w:val="22"/>
          <w:szCs w:val="22"/>
        </w:rPr>
        <w:t xml:space="preserve">  花落后形成的残花、残果，若无观赏价值或其他需要的宜尽早剪除。</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2.1.5.6</w:t>
      </w:r>
      <w:r>
        <w:rPr>
          <w:rFonts w:hint="eastAsia" w:ascii="宋体" w:hAnsi="宋体" w:eastAsia="宋体" w:cs="宋体"/>
          <w:sz w:val="22"/>
          <w:szCs w:val="22"/>
        </w:rPr>
        <w:t xml:space="preserve">  成片栽植的灌木丛，修剪时应形成中间高四周低或前面低后面高的丛形。</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2.1.5.7</w:t>
      </w:r>
      <w:r>
        <w:rPr>
          <w:rFonts w:hint="eastAsia" w:ascii="宋体" w:hAnsi="宋体" w:eastAsia="宋体" w:cs="宋体"/>
          <w:sz w:val="22"/>
          <w:szCs w:val="22"/>
        </w:rPr>
        <w:t xml:space="preserve">  多品种栽植的灌木丛，修剪时应突出主栽品种，并留出适当生长空间。</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2.1.5.8</w:t>
      </w:r>
      <w:r>
        <w:rPr>
          <w:rFonts w:hint="eastAsia" w:ascii="宋体" w:hAnsi="宋体" w:eastAsia="宋体" w:cs="宋体"/>
          <w:sz w:val="22"/>
          <w:szCs w:val="22"/>
        </w:rPr>
        <w:t xml:space="preserve">  造型的灌木修剪应保持外形轮廓清楚，外缘枝叶紧密。</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2.1.5.9</w:t>
      </w:r>
      <w:r>
        <w:rPr>
          <w:rFonts w:hint="eastAsia" w:ascii="宋体" w:hAnsi="宋体" w:eastAsia="宋体" w:cs="宋体"/>
          <w:sz w:val="22"/>
          <w:szCs w:val="22"/>
        </w:rPr>
        <w:t xml:space="preserve">  花灌木修剪应特别注意：</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a)当年生枝条开花灌木（如：紫薇、木槿、月季、珍珠梅等）在花芽分化至开花期间不得使用绿篱剪重剪，采用弹簧剪进行适当疏枝，保持整齐美观，尽可能保持花芽。休眠期修剪时，对于生长健壮枝条应在保留3个～5个芽处短截，为控制树木高度，促发新枝。一年可数次开花灌木（如月季、珍珠梅、紫薇等），花落后应及时剪去残花，促使再次开花。</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b)隔年生枝条开花的灌木，（如：碧桃、榆叶梅、连翘等），休眠期 适当整形修剪，生长季花落后10天～15天内将已开花枝条进行中（或重）短截，疏剪过密枝，以利来年促生健壮新枝。</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c)多年生枝条开花灌木（如：紫荆、贴梗海棠等）应注意培育和保护老枝，剪除干扰树形并影响通风透光的过密枝、弱枝、枯枝或病虫枝。</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2.1.6</w:t>
      </w:r>
      <w:r>
        <w:rPr>
          <w:rFonts w:hint="eastAsia" w:ascii="宋体" w:hAnsi="宋体" w:eastAsia="宋体" w:cs="宋体"/>
          <w:sz w:val="22"/>
          <w:szCs w:val="22"/>
        </w:rPr>
        <w:t xml:space="preserve">  绿篱及色带修剪</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2.1.6.1</w:t>
      </w:r>
      <w:r>
        <w:rPr>
          <w:rFonts w:hint="eastAsia" w:ascii="宋体" w:hAnsi="宋体" w:eastAsia="宋体" w:cs="宋体"/>
          <w:sz w:val="22"/>
          <w:szCs w:val="22"/>
        </w:rPr>
        <w:t xml:space="preserve">  修剪应使绿篱及色带轮廓清楚，线条整齐，顶侧面平整，高度一致，侧面上下垂直或上窄下宽。每年整形修剪不少于3次。新长枝梢在达10厘米时须修剪一遍。</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 xml:space="preserve">2.1.6.2 </w:t>
      </w:r>
      <w:r>
        <w:rPr>
          <w:rFonts w:hint="eastAsia" w:ascii="宋体" w:hAnsi="宋体" w:eastAsia="宋体" w:cs="宋体"/>
          <w:sz w:val="22"/>
          <w:szCs w:val="22"/>
        </w:rPr>
        <w:t xml:space="preserve"> 绿篱及色带每次修剪高度较前一次修剪应提高1cm，到一定高度后在每年春季适当回缩。道路道口两侧30米范围内分隔带色块或灌木高度不超过1.2米。</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2.1.6.3</w:t>
      </w:r>
      <w:r>
        <w:rPr>
          <w:rFonts w:hint="eastAsia" w:ascii="宋体" w:hAnsi="宋体" w:eastAsia="宋体" w:cs="宋体"/>
          <w:sz w:val="22"/>
          <w:szCs w:val="22"/>
        </w:rPr>
        <w:t xml:space="preserve">  修剪后残留绿篱面的枝叶应及时清除干净。</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2.1.7</w:t>
      </w:r>
      <w:r>
        <w:rPr>
          <w:rFonts w:hint="eastAsia" w:ascii="宋体" w:hAnsi="宋体" w:eastAsia="宋体" w:cs="宋体"/>
          <w:kern w:val="0"/>
          <w:sz w:val="22"/>
          <w:szCs w:val="22"/>
        </w:rPr>
        <w:t xml:space="preserve">  修剪应依照“由外及里、由上到下”的顺序，并按“一知、二看、三剪、四拿、五处理、六保护”的程序操作，即：</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kern w:val="0"/>
          <w:sz w:val="22"/>
          <w:szCs w:val="22"/>
        </w:rPr>
        <w:t>a) 一知：参加修剪的全体人员，应明确修剪原则及目的，知道修剪方案、操作规程、技术规范及特殊要求；</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kern w:val="0"/>
          <w:sz w:val="22"/>
          <w:szCs w:val="22"/>
        </w:rPr>
        <w:t>b) 二看：修剪前先绕树观察，对树木的修剪做到心中有数；</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kern w:val="0"/>
          <w:sz w:val="22"/>
          <w:szCs w:val="22"/>
        </w:rPr>
        <w:t>c) 三剪：根据因地制宜，因树修剪的原则，做到合理修剪；</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kern w:val="0"/>
          <w:sz w:val="22"/>
          <w:szCs w:val="22"/>
        </w:rPr>
        <w:t>d) 四拿：修剪下来的枝条，及时清运，保证环境整洁；</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kern w:val="0"/>
          <w:sz w:val="22"/>
          <w:szCs w:val="22"/>
        </w:rPr>
        <w:t>e) 五处理：剪下的有病虫害的枝条要及时处理，防止交叉感染和蔓延；</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kern w:val="0"/>
          <w:sz w:val="22"/>
          <w:szCs w:val="22"/>
        </w:rPr>
        <w:t>f) 六保护：疏除大枝、粗枝时，应保护树体。</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 xml:space="preserve">2.1.8 </w:t>
      </w:r>
      <w:r>
        <w:rPr>
          <w:rFonts w:hint="eastAsia" w:ascii="宋体" w:hAnsi="宋体" w:eastAsia="宋体" w:cs="宋体"/>
          <w:sz w:val="22"/>
          <w:szCs w:val="22"/>
        </w:rPr>
        <w:t xml:space="preserve"> 园林树木修剪时，落叶树一般不留橛，针叶树应留1cm～2cm长的橛。修剪的剪口必须平滑，不得劈裂，并注意留芽的方位。直径超过4cm以上的剪锯口，应用刀削平，涂抹防腐剂促进伤口愈合。锯除大树杈时应注意保护皮脊。</w:t>
      </w:r>
    </w:p>
    <w:p>
      <w:pPr>
        <w:pStyle w:val="17"/>
        <w:spacing w:line="400" w:lineRule="exact"/>
        <w:ind w:firstLine="440" w:firstLineChars="200"/>
        <w:rPr>
          <w:rFonts w:hint="eastAsia" w:ascii="宋体" w:hAnsi="宋体" w:eastAsia="宋体" w:cs="宋体"/>
          <w:b/>
          <w:sz w:val="22"/>
          <w:szCs w:val="22"/>
        </w:rPr>
      </w:pPr>
      <w:r>
        <w:rPr>
          <w:rFonts w:hint="eastAsia" w:ascii="宋体" w:hAnsi="宋体" w:eastAsia="宋体" w:cs="宋体"/>
          <w:b/>
          <w:sz w:val="22"/>
          <w:szCs w:val="22"/>
        </w:rPr>
        <w:t>2.2  灌水、排涝</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 xml:space="preserve">2.2.1 </w:t>
      </w:r>
      <w:r>
        <w:rPr>
          <w:rFonts w:hint="eastAsia" w:ascii="宋体" w:hAnsi="宋体" w:eastAsia="宋体" w:cs="宋体"/>
          <w:sz w:val="22"/>
          <w:szCs w:val="22"/>
        </w:rPr>
        <w:t xml:space="preserve"> 应根据当地气候特点、土壤保水、植物需水、根系喜气等情况，适时适量进行浇灌，促其正常生长。浇灌水体要清洁卫生，不损害植物和对周围环境产生影响。</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2.2.2</w:t>
      </w:r>
      <w:r>
        <w:rPr>
          <w:rFonts w:hint="eastAsia" w:ascii="宋体" w:hAnsi="宋体" w:eastAsia="宋体" w:cs="宋体"/>
          <w:sz w:val="22"/>
          <w:szCs w:val="22"/>
        </w:rPr>
        <w:t xml:space="preserve">  浇灌树堰高度不低于10cm树堰直径，有铺装地块的以预留池为准，无铺装地块的，乔木应以树干胸径10倍左右、树冠垂直投影的1/2为准，并保证不跑水、不漏水。</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2.2.3</w:t>
      </w:r>
      <w:r>
        <w:rPr>
          <w:rFonts w:hint="eastAsia" w:ascii="宋体" w:hAnsi="宋体" w:eastAsia="宋体" w:cs="宋体"/>
          <w:sz w:val="22"/>
          <w:szCs w:val="22"/>
        </w:rPr>
        <w:t xml:space="preserve">  用水车浇灌树木时，应接软管，进行缓流浇灌，保证一次浇足浇透，严禁用高压水流冲毁树堰。</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2.2.4</w:t>
      </w:r>
      <w:r>
        <w:rPr>
          <w:rFonts w:hint="eastAsia" w:ascii="宋体" w:hAnsi="宋体" w:eastAsia="宋体" w:cs="宋体"/>
          <w:sz w:val="22"/>
          <w:szCs w:val="22"/>
        </w:rPr>
        <w:tab/>
      </w:r>
      <w:r>
        <w:rPr>
          <w:rFonts w:hint="eastAsia" w:ascii="宋体" w:hAnsi="宋体" w:eastAsia="宋体" w:cs="宋体"/>
          <w:sz w:val="22"/>
          <w:szCs w:val="22"/>
        </w:rPr>
        <w:t>对于名贵树木及新种树木，视天气干旱情况和植物生长情况对树干和树体进行喷雾保湿。</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2.2.5</w:t>
      </w:r>
      <w:r>
        <w:rPr>
          <w:rFonts w:hint="eastAsia" w:ascii="宋体" w:hAnsi="宋体" w:eastAsia="宋体" w:cs="宋体"/>
          <w:sz w:val="22"/>
          <w:szCs w:val="22"/>
        </w:rPr>
        <w:t xml:space="preserve">  在雨季可采用开沟、埋管、打孔等排水措施及时对绿地和树池排涝，防止植物因涝至死。绿地和树池内积水不得超过24小时；宿根花卉种植地积水不得超过12小时。</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2.2.6</w:t>
      </w:r>
      <w:r>
        <w:rPr>
          <w:rFonts w:hint="eastAsia" w:ascii="宋体" w:hAnsi="宋体" w:eastAsia="宋体" w:cs="宋体"/>
          <w:sz w:val="22"/>
          <w:szCs w:val="22"/>
        </w:rPr>
        <w:tab/>
      </w:r>
      <w:r>
        <w:rPr>
          <w:rFonts w:hint="eastAsia" w:ascii="宋体" w:hAnsi="宋体" w:eastAsia="宋体" w:cs="宋体"/>
          <w:sz w:val="22"/>
          <w:szCs w:val="22"/>
        </w:rPr>
        <w:t>对于球类、色块等植物要及时进行冲洗蒙尘，保持植物叶面清洁卫生，色泽光洁。</w:t>
      </w:r>
    </w:p>
    <w:p>
      <w:pPr>
        <w:pStyle w:val="17"/>
        <w:spacing w:line="400" w:lineRule="exact"/>
        <w:ind w:firstLine="440" w:firstLineChars="200"/>
        <w:rPr>
          <w:rFonts w:hint="eastAsia" w:ascii="宋体" w:hAnsi="宋体" w:eastAsia="宋体" w:cs="宋体"/>
          <w:b/>
          <w:sz w:val="22"/>
          <w:szCs w:val="22"/>
        </w:rPr>
      </w:pPr>
      <w:r>
        <w:rPr>
          <w:rFonts w:hint="eastAsia" w:ascii="宋体" w:hAnsi="宋体" w:eastAsia="宋体" w:cs="宋体"/>
          <w:b/>
          <w:sz w:val="22"/>
          <w:szCs w:val="22"/>
        </w:rPr>
        <w:t>2.3  中耕除草</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2.3.1</w:t>
      </w:r>
      <w:r>
        <w:rPr>
          <w:rFonts w:hint="eastAsia" w:ascii="宋体" w:hAnsi="宋体" w:eastAsia="宋体" w:cs="宋体"/>
          <w:sz w:val="22"/>
          <w:szCs w:val="22"/>
        </w:rPr>
        <w:t xml:space="preserve">  在植物生长季节要不间断地进行中耕除草，应除小、除早、除了。除下杂草要集中处理，并于当日及时清运。</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2.3.2</w:t>
      </w:r>
      <w:r>
        <w:rPr>
          <w:rFonts w:hint="eastAsia" w:ascii="宋体" w:hAnsi="宋体" w:eastAsia="宋体" w:cs="宋体"/>
          <w:sz w:val="22"/>
          <w:szCs w:val="22"/>
        </w:rPr>
        <w:tab/>
      </w:r>
      <w:r>
        <w:rPr>
          <w:rFonts w:hint="eastAsia" w:ascii="宋体" w:hAnsi="宋体" w:eastAsia="宋体" w:cs="宋体"/>
          <w:sz w:val="22"/>
          <w:szCs w:val="22"/>
        </w:rPr>
        <w:t>乔、灌木下的杂草应及时铲除，不得有明显成片杂草。</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 xml:space="preserve">2.3.3 </w:t>
      </w:r>
      <w:r>
        <w:rPr>
          <w:rFonts w:hint="eastAsia" w:ascii="宋体" w:hAnsi="宋体" w:eastAsia="宋体" w:cs="宋体"/>
          <w:sz w:val="22"/>
          <w:szCs w:val="22"/>
        </w:rPr>
        <w:t xml:space="preserve"> 树木根部周围的土壤要保持疏松，松土深度以不伤根系生长为限。</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2.3.4</w:t>
      </w:r>
      <w:r>
        <w:rPr>
          <w:rFonts w:hint="eastAsia" w:ascii="宋体" w:hAnsi="宋体" w:eastAsia="宋体" w:cs="宋体"/>
          <w:sz w:val="22"/>
          <w:szCs w:val="22"/>
        </w:rPr>
        <w:t xml:space="preserve">  种植在草坪内的树木在树穴周围对草坪切边，切边直径宜为树木干径的6-10倍；灌木、地被植物、色块与草坪交界处要对草坪切边，边宽6-10厘米。</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2.3.5</w:t>
      </w:r>
      <w:r>
        <w:rPr>
          <w:rFonts w:hint="eastAsia" w:ascii="宋体" w:hAnsi="宋体" w:eastAsia="宋体" w:cs="宋体"/>
          <w:sz w:val="22"/>
          <w:szCs w:val="22"/>
        </w:rPr>
        <w:t xml:space="preserve">  在绿地内采用化学药剂除草时，应先试验，再应用。</w:t>
      </w:r>
    </w:p>
    <w:p>
      <w:pPr>
        <w:pStyle w:val="17"/>
        <w:spacing w:line="400" w:lineRule="exact"/>
        <w:ind w:firstLine="440" w:firstLineChars="200"/>
        <w:rPr>
          <w:rFonts w:hint="eastAsia" w:ascii="宋体" w:hAnsi="宋体" w:eastAsia="宋体" w:cs="宋体"/>
          <w:b/>
          <w:sz w:val="22"/>
          <w:szCs w:val="22"/>
        </w:rPr>
      </w:pPr>
      <w:r>
        <w:rPr>
          <w:rFonts w:hint="eastAsia" w:ascii="宋体" w:hAnsi="宋体" w:eastAsia="宋体" w:cs="宋体"/>
          <w:b/>
          <w:sz w:val="22"/>
          <w:szCs w:val="22"/>
        </w:rPr>
        <w:t>2.4  施肥及土壤改良</w:t>
      </w:r>
    </w:p>
    <w:p>
      <w:pPr>
        <w:spacing w:line="400" w:lineRule="exact"/>
        <w:ind w:firstLine="440" w:firstLineChars="200"/>
        <w:rPr>
          <w:rFonts w:hint="eastAsia" w:ascii="宋体" w:hAnsi="宋体" w:eastAsia="宋体" w:cs="宋体"/>
          <w:kern w:val="0"/>
          <w:sz w:val="22"/>
          <w:szCs w:val="22"/>
        </w:rPr>
      </w:pPr>
      <w:r>
        <w:rPr>
          <w:rFonts w:hint="eastAsia" w:ascii="宋体" w:hAnsi="宋体" w:eastAsia="宋体" w:cs="宋体"/>
          <w:b/>
          <w:kern w:val="0"/>
          <w:sz w:val="22"/>
          <w:szCs w:val="22"/>
        </w:rPr>
        <w:t>2.4.1</w:t>
      </w:r>
      <w:r>
        <w:rPr>
          <w:rFonts w:hint="eastAsia" w:ascii="宋体" w:hAnsi="宋体" w:eastAsia="宋体" w:cs="宋体"/>
          <w:kern w:val="0"/>
          <w:sz w:val="22"/>
          <w:szCs w:val="22"/>
        </w:rPr>
        <w:t xml:space="preserve">  应根据园林树木生长需要和土壤肥力情况，合理施肥，平衡土壤中各种矿质营养元素，保持土壤肥力和合理结构。树木休眠期必须施一次基肥，生长期施2-3次追肥，花灌木应在花前、花后进行施肥。</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2.4.2</w:t>
      </w:r>
      <w:r>
        <w:rPr>
          <w:rFonts w:hint="eastAsia" w:ascii="宋体" w:hAnsi="宋体" w:eastAsia="宋体" w:cs="宋体"/>
          <w:sz w:val="22"/>
          <w:szCs w:val="22"/>
        </w:rPr>
        <w:t xml:space="preserve">  在树木休眠期以有机肥为主，有机肥应腐熟后施用，并与土壤拌匀后，采用穴施、环施和放射状沟施等方法，范围与树木冠幅相适应。施肥后压实，并平整场地。</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2.4.3</w:t>
      </w:r>
      <w:r>
        <w:rPr>
          <w:rFonts w:hint="eastAsia" w:ascii="宋体" w:hAnsi="宋体" w:eastAsia="宋体" w:cs="宋体"/>
          <w:sz w:val="22"/>
          <w:szCs w:val="22"/>
        </w:rPr>
        <w:t xml:space="preserve">  在树木生长季节可根据需要，进行土壤追肥或叶面喷肥。</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2.4.4</w:t>
      </w:r>
      <w:r>
        <w:rPr>
          <w:rFonts w:hint="eastAsia" w:ascii="宋体" w:hAnsi="宋体" w:eastAsia="宋体" w:cs="宋体"/>
          <w:sz w:val="22"/>
          <w:szCs w:val="22"/>
        </w:rPr>
        <w:t xml:space="preserve">  园林树木施肥量应根据树木大小、肥料种类及土壤肥力状况而定。施用时要用量准确，并充分粉碎，与土壤混合后要撒施均匀，随即浇水，严禁肥料裸露。树木壮年期欲扩大树冠及观花观果植物，应适当增加施肥量。</w:t>
      </w:r>
    </w:p>
    <w:p>
      <w:pPr>
        <w:pStyle w:val="17"/>
        <w:spacing w:line="400" w:lineRule="exact"/>
        <w:ind w:firstLine="440" w:firstLineChars="200"/>
        <w:rPr>
          <w:rFonts w:hint="eastAsia" w:ascii="宋体" w:hAnsi="宋体" w:eastAsia="宋体" w:cs="宋体"/>
          <w:b/>
          <w:sz w:val="22"/>
          <w:szCs w:val="22"/>
        </w:rPr>
      </w:pPr>
      <w:r>
        <w:rPr>
          <w:rFonts w:hint="eastAsia" w:ascii="宋体" w:hAnsi="宋体" w:eastAsia="宋体" w:cs="宋体"/>
          <w:b/>
          <w:sz w:val="22"/>
          <w:szCs w:val="22"/>
        </w:rPr>
        <w:t>2.5  补植、更新、调整</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2.5.1</w:t>
      </w:r>
      <w:r>
        <w:rPr>
          <w:rFonts w:hint="eastAsia" w:ascii="宋体" w:hAnsi="宋体" w:eastAsia="宋体" w:cs="宋体"/>
          <w:sz w:val="22"/>
          <w:szCs w:val="22"/>
        </w:rPr>
        <w:t xml:space="preserve">  种植结构调整和伐树须经相关部门批准后方可进行。</w:t>
      </w:r>
    </w:p>
    <w:p>
      <w:pPr>
        <w:pStyle w:val="17"/>
        <w:spacing w:line="400" w:lineRule="exact"/>
        <w:ind w:firstLine="440" w:firstLineChars="200"/>
        <w:rPr>
          <w:rFonts w:hint="eastAsia" w:ascii="宋体" w:hAnsi="宋体" w:eastAsia="宋体" w:cs="宋体"/>
          <w:color w:val="FF0000"/>
          <w:sz w:val="22"/>
          <w:szCs w:val="22"/>
        </w:rPr>
      </w:pPr>
      <w:r>
        <w:rPr>
          <w:rFonts w:hint="eastAsia" w:ascii="宋体" w:hAnsi="宋体" w:eastAsia="宋体" w:cs="宋体"/>
          <w:b/>
          <w:sz w:val="22"/>
          <w:szCs w:val="22"/>
        </w:rPr>
        <w:t>2.5.2</w:t>
      </w:r>
      <w:r>
        <w:rPr>
          <w:rFonts w:hint="eastAsia" w:ascii="宋体" w:hAnsi="宋体" w:eastAsia="宋体" w:cs="宋体"/>
          <w:sz w:val="22"/>
          <w:szCs w:val="22"/>
        </w:rPr>
        <w:t xml:space="preserve">  发现枯枝、死枝须在24小时内处理完毕；如出现乔木死亡，及时报告和补植，对枯死的树木应连同根部在二天内挖除，并填平挖穴，如马上补植树木的树穴需做好维护及安全警示标志，并在二天内补植完毕；花灌木、地被、草坪缺损的，应在三天内补种完成。因季节及其他原因不能及时补种要经批准，并在适宜时段及时补植。</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2.5.3</w:t>
      </w:r>
      <w:r>
        <w:rPr>
          <w:rFonts w:hint="eastAsia" w:ascii="宋体" w:hAnsi="宋体" w:eastAsia="宋体" w:cs="宋体"/>
          <w:kern w:val="0"/>
          <w:sz w:val="22"/>
          <w:szCs w:val="22"/>
        </w:rPr>
        <w:t xml:space="preserve">  修剪、伐除树木时，应设安全员，划定安全范围并围拦，设立明显的路障和安全警示标志。严格执行操作规程；伐除的树干、树枝等要及时清运；树桩高度应尽量降低，如露出地面必须设立警示标志，并在两日刨除树桩，及时采取补种或铺装措施，做到场光地净，确保绿化景观的完美和行人、车辆的安全。</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2.5.4</w:t>
      </w:r>
      <w:r>
        <w:rPr>
          <w:rFonts w:hint="eastAsia" w:ascii="宋体" w:hAnsi="宋体" w:eastAsia="宋体" w:cs="宋体"/>
          <w:sz w:val="22"/>
          <w:szCs w:val="22"/>
        </w:rPr>
        <w:t xml:space="preserve">  新种乔木必须设立支撑，干径5厘米以上乔木栽植后，在主干与接近主干的主枝部分，应用草绳密密卷缚，卷缚须整齐。</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2.5.5</w:t>
      </w:r>
      <w:r>
        <w:rPr>
          <w:rFonts w:hint="eastAsia" w:ascii="宋体" w:hAnsi="宋体" w:eastAsia="宋体" w:cs="宋体"/>
          <w:sz w:val="22"/>
          <w:szCs w:val="22"/>
        </w:rPr>
        <w:t xml:space="preserve">  补植的行道树品种与原行道树一致，规格基本一致，落叶树种的胸径不宜大于20cm，常绿树种的胸径不宜大于15cm。</w:t>
      </w:r>
    </w:p>
    <w:p>
      <w:pPr>
        <w:pStyle w:val="17"/>
        <w:spacing w:line="400" w:lineRule="exact"/>
        <w:ind w:firstLine="440" w:firstLineChars="200"/>
        <w:rPr>
          <w:rFonts w:hint="eastAsia" w:ascii="宋体" w:hAnsi="宋体" w:eastAsia="宋体" w:cs="宋体"/>
          <w:b/>
          <w:sz w:val="22"/>
          <w:szCs w:val="22"/>
        </w:rPr>
      </w:pPr>
      <w:r>
        <w:rPr>
          <w:rFonts w:hint="eastAsia" w:ascii="宋体" w:hAnsi="宋体" w:eastAsia="宋体" w:cs="宋体"/>
          <w:b/>
          <w:sz w:val="22"/>
          <w:szCs w:val="22"/>
        </w:rPr>
        <w:t>2.6   病虫害防治</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2.6.1</w:t>
      </w:r>
      <w:r>
        <w:rPr>
          <w:rFonts w:hint="eastAsia" w:ascii="宋体" w:hAnsi="宋体" w:eastAsia="宋体" w:cs="宋体"/>
          <w:sz w:val="22"/>
          <w:szCs w:val="22"/>
        </w:rPr>
        <w:t xml:space="preserve">  防治园林植物病虫害应贯彻“预防为主，综合防治”的方针。防治病虫害要结合生物防治、物理防治、化学防治等多方式进行；应科学、有针对性地进行养护管理，使植株生长健壮，以增强抗病虫害的能力。</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2.6.2</w:t>
      </w:r>
      <w:r>
        <w:rPr>
          <w:rFonts w:hint="eastAsia" w:ascii="宋体" w:hAnsi="宋体" w:eastAsia="宋体" w:cs="宋体"/>
          <w:sz w:val="22"/>
          <w:szCs w:val="22"/>
        </w:rPr>
        <w:t xml:space="preserve">  及时清理带病虫的落叶、杂草等，消灭病源、虫源，防止病虫扩散、蔓延。</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2.6.3</w:t>
      </w:r>
      <w:r>
        <w:rPr>
          <w:rFonts w:hint="eastAsia" w:ascii="宋体" w:hAnsi="宋体" w:eastAsia="宋体" w:cs="宋体"/>
          <w:sz w:val="22"/>
          <w:szCs w:val="22"/>
        </w:rPr>
        <w:t xml:space="preserve">  应加强病虫检查，发现主要病虫害应根据虫情预报及时采取防治措施，发现病虫害应在2天内治理完毕，对于危险性病虫害，一旦发现疫情应及时上报有关主管部门，并迅速采取扑灭措施。</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2.6.4</w:t>
      </w:r>
      <w:r>
        <w:rPr>
          <w:rFonts w:hint="eastAsia" w:ascii="宋体" w:hAnsi="宋体" w:eastAsia="宋体" w:cs="宋体"/>
          <w:sz w:val="22"/>
          <w:szCs w:val="22"/>
        </w:rPr>
        <w:t xml:space="preserve">  在进行化学防治时，应提前24小时通知绿化管护单位，喷药时间宜在清早或傍晚，并在道路主要入口设立明显告之标志，行道树喷药时要避免人流车辆高峰期。</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选用高效、低毒、无污染、对天敌较安全的药剂。严禁使用对人毒性较大、污染较重，对天敌影响较大的明令禁止化学农药。用药时，对不同的防治对象，应抓住时机，对症下药，安全用药，不得随意加大浓度。注意不同药剂的交替使用，同时，尽量采取兼治，减少喷药次数。用药时应注意植物敏感性，对梅、樱花等对有机磷药敏感树木不得使用氧化乐果等有机磷类农药。选用新的药剂和方法时，应先经试验，证明有效和安全时，才能大面积推广。</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2.6.5</w:t>
      </w:r>
      <w:r>
        <w:rPr>
          <w:rFonts w:hint="eastAsia" w:ascii="宋体" w:hAnsi="宋体" w:eastAsia="宋体" w:cs="宋体"/>
          <w:sz w:val="22"/>
          <w:szCs w:val="22"/>
        </w:rPr>
        <w:t xml:space="preserve">  操作人员必须按照《农药操作规程》及《园林树木病虫害防治技术操作质量标准》进行作业。</w:t>
      </w:r>
    </w:p>
    <w:p>
      <w:pPr>
        <w:pStyle w:val="17"/>
        <w:spacing w:line="400" w:lineRule="exact"/>
        <w:ind w:firstLine="440" w:firstLineChars="200"/>
        <w:rPr>
          <w:rFonts w:hint="eastAsia" w:ascii="宋体" w:hAnsi="宋体" w:eastAsia="宋体" w:cs="宋体"/>
          <w:b/>
          <w:sz w:val="22"/>
          <w:szCs w:val="22"/>
        </w:rPr>
      </w:pPr>
      <w:r>
        <w:rPr>
          <w:rFonts w:hint="eastAsia" w:ascii="宋体" w:hAnsi="宋体" w:eastAsia="宋体" w:cs="宋体"/>
          <w:b/>
          <w:sz w:val="22"/>
          <w:szCs w:val="22"/>
        </w:rPr>
        <w:t>2.7  保护</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2.7.1</w:t>
      </w:r>
      <w:r>
        <w:rPr>
          <w:rFonts w:hint="eastAsia" w:ascii="宋体" w:hAnsi="宋体" w:eastAsia="宋体" w:cs="宋体"/>
          <w:sz w:val="22"/>
          <w:szCs w:val="22"/>
        </w:rPr>
        <w:t xml:space="preserve">  每年初冬，均需对D6cm以上苗木进行涂白。出现树洞要及时进行修补。</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2.7.2</w:t>
      </w:r>
      <w:r>
        <w:rPr>
          <w:rFonts w:hint="eastAsia" w:ascii="宋体" w:hAnsi="宋体" w:eastAsia="宋体" w:cs="宋体"/>
          <w:sz w:val="22"/>
          <w:szCs w:val="22"/>
        </w:rPr>
        <w:t xml:space="preserve">  对不耐寒的树种和树势较弱的植株应分别采取不同防寒措施。</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2.7.3</w:t>
      </w:r>
      <w:r>
        <w:rPr>
          <w:rFonts w:hint="eastAsia" w:ascii="宋体" w:hAnsi="宋体" w:eastAsia="宋体" w:cs="宋体"/>
          <w:sz w:val="22"/>
          <w:szCs w:val="22"/>
        </w:rPr>
        <w:t xml:space="preserve">  台风前加强防御措施，合理修剪，加固护树设施，以增强抵御台风的能力。因台风等灾害性天气造成倒树断枝，要及时清理，疏通道路，台风后及时进行扶树、护树、补好残缺、清除断枝、落叶和垃圾，使绿化景观尽快恢复。同时要求随着树木的长大，及时将护树带或铁箍放松，以免嵌入树皮内。遇雷风雨、人畜危害而使树木歪斜或倒树断枝，要立即处理、疏通道路。</w:t>
      </w:r>
    </w:p>
    <w:p>
      <w:pPr>
        <w:pStyle w:val="17"/>
        <w:spacing w:line="400" w:lineRule="exact"/>
        <w:ind w:firstLine="440" w:firstLineChars="200"/>
        <w:rPr>
          <w:rFonts w:hint="eastAsia" w:ascii="宋体" w:hAnsi="宋体" w:eastAsia="宋体" w:cs="宋体"/>
          <w:b/>
          <w:sz w:val="22"/>
          <w:szCs w:val="22"/>
        </w:rPr>
      </w:pPr>
      <w:r>
        <w:rPr>
          <w:rFonts w:hint="eastAsia" w:ascii="宋体" w:hAnsi="宋体" w:eastAsia="宋体" w:cs="宋体"/>
          <w:b/>
          <w:sz w:val="22"/>
          <w:szCs w:val="22"/>
        </w:rPr>
        <w:t>2.8  专项养护</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2.8.1</w:t>
      </w:r>
      <w:r>
        <w:rPr>
          <w:rFonts w:hint="eastAsia" w:ascii="宋体" w:hAnsi="宋体" w:eastAsia="宋体" w:cs="宋体"/>
          <w:sz w:val="22"/>
          <w:szCs w:val="22"/>
        </w:rPr>
        <w:t xml:space="preserve">  露地花卉</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2.8.1.1</w:t>
      </w:r>
      <w:r>
        <w:rPr>
          <w:rFonts w:hint="eastAsia" w:ascii="宋体" w:hAnsi="宋体" w:eastAsia="宋体" w:cs="宋体"/>
          <w:sz w:val="22"/>
          <w:szCs w:val="22"/>
        </w:rPr>
        <w:t xml:space="preserve">  宿根花卉萌芽前应剪除上年残留枯枝、枯叶。</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2.8.1.2</w:t>
      </w:r>
      <w:r>
        <w:rPr>
          <w:rFonts w:hint="eastAsia" w:ascii="宋体" w:hAnsi="宋体" w:eastAsia="宋体" w:cs="宋体"/>
          <w:sz w:val="22"/>
          <w:szCs w:val="22"/>
        </w:rPr>
        <w:t xml:space="preserve">  花坛、花径和各种容器栽植花卉应及时灌水、矮牵牛等忌水涝花卉应注意排涝，花池应在适当位置加设排水孔。</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2.8.1.3</w:t>
      </w:r>
      <w:r>
        <w:rPr>
          <w:rFonts w:hint="eastAsia" w:ascii="宋体" w:hAnsi="宋体" w:eastAsia="宋体" w:cs="宋体"/>
          <w:sz w:val="22"/>
          <w:szCs w:val="22"/>
        </w:rPr>
        <w:t xml:space="preserve">  及时中耕除草，作业时不能伤根及造成根系裸露，宿根花卉萌芽期 应特别注意保护新生嫩芽，同时及时剪除多余萌蘖。</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2.8.1.4</w:t>
      </w:r>
      <w:r>
        <w:rPr>
          <w:rFonts w:hint="eastAsia" w:ascii="宋体" w:hAnsi="宋体" w:eastAsia="宋体" w:cs="宋体"/>
          <w:sz w:val="22"/>
          <w:szCs w:val="22"/>
        </w:rPr>
        <w:t xml:space="preserve">  结合浇灌和中耕适量施肥，保持土壤肥力和合理结构。</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2.8.1.5</w:t>
      </w:r>
      <w:r>
        <w:rPr>
          <w:rFonts w:hint="eastAsia" w:ascii="宋体" w:hAnsi="宋体" w:eastAsia="宋体" w:cs="宋体"/>
          <w:sz w:val="22"/>
          <w:szCs w:val="22"/>
        </w:rPr>
        <w:t xml:space="preserve">  宿根花卉花谢后应及时去除残花、残枝和枯叶，并加强肥水管理；1年生草花花后失去观赏价值的应及时更换。</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2.8.1.6</w:t>
      </w:r>
      <w:r>
        <w:rPr>
          <w:rFonts w:hint="eastAsia" w:ascii="宋体" w:hAnsi="宋体" w:eastAsia="宋体" w:cs="宋体"/>
          <w:sz w:val="22"/>
          <w:szCs w:val="22"/>
        </w:rPr>
        <w:t xml:space="preserve">  及时清理死苗，并按原品种、原规格补齐。</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2.8.1.7</w:t>
      </w:r>
      <w:r>
        <w:rPr>
          <w:rFonts w:hint="eastAsia" w:ascii="宋体" w:hAnsi="宋体" w:eastAsia="宋体" w:cs="宋体"/>
          <w:sz w:val="22"/>
          <w:szCs w:val="22"/>
        </w:rPr>
        <w:t xml:space="preserve">  做好病虫害的防治工作。及时清理株间的枯枝落叶，对病虫害早发现早治理。</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2.8.2</w:t>
      </w:r>
      <w:r>
        <w:rPr>
          <w:rFonts w:hint="eastAsia" w:ascii="宋体" w:hAnsi="宋体" w:eastAsia="宋体" w:cs="宋体"/>
          <w:sz w:val="22"/>
          <w:szCs w:val="22"/>
        </w:rPr>
        <w:t xml:space="preserve">  草坪</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2.8.2.1</w:t>
      </w:r>
      <w:r>
        <w:rPr>
          <w:rFonts w:hint="eastAsia" w:ascii="宋体" w:hAnsi="宋体" w:eastAsia="宋体" w:cs="宋体"/>
          <w:sz w:val="22"/>
          <w:szCs w:val="22"/>
        </w:rPr>
        <w:t xml:space="preserve">  草坪的修剪应根据不同草种的习性和观赏效果，进行定期修剪，使草的高度一致，边缘整齐。</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剪草的高度以草种、季节、环境等因素而定。一次修剪高度不大于草高的1/3。冷季型草坪生长季宜控制在6 cm以内，休眠期宜控制在8cm；暖季型草坪宜控制在 4cm。暖季型草坪须在10月份套种黑麦草等冷季型种子,黑麦草要求10-15g/㎡²,每年播种一次，冬季基本上达到翻绿效果。黑麦草种子及播种养护等相关费用均由乙方负责。</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2.8.2.2</w:t>
      </w:r>
      <w:r>
        <w:rPr>
          <w:rFonts w:hint="eastAsia" w:ascii="宋体" w:hAnsi="宋体" w:eastAsia="宋体" w:cs="宋体"/>
          <w:sz w:val="22"/>
          <w:szCs w:val="22"/>
        </w:rPr>
        <w:t xml:space="preserve">  草坪应适时进行浇灌，每次要浇足浇透。雨季应注意排水，干热天气尤其是冷季型草应适当喷水降温保护草地。</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2.8.2.3</w:t>
      </w:r>
      <w:r>
        <w:rPr>
          <w:rFonts w:hint="eastAsia" w:ascii="宋体" w:hAnsi="宋体" w:eastAsia="宋体" w:cs="宋体"/>
          <w:sz w:val="22"/>
          <w:szCs w:val="22"/>
        </w:rPr>
        <w:t xml:space="preserve">  草坪建植时应施基肥，之后每年应根据草坪草的生长状况进行适当追肥。施肥时期和施肥量：冷季型草坪返青前，可施腐熟粉碎的有机肥，施肥量50g/m2～150g/m2，或施暖季型10g/m2尿素或10g/m2磷酸二胺等；生长期应视草情，适当增施磷、钾肥；晚秋时期，可施氮、磷、钾复合肥或纯氮肥2次～3次，每次约10g/m2～15g/m2。暖季型草，如马尼拉草等可于5月和8月各施10g/m2尿素。施肥须均匀，撒施后及时灌水。</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2.8.2.4</w:t>
      </w:r>
      <w:r>
        <w:rPr>
          <w:rFonts w:hint="eastAsia" w:ascii="宋体" w:hAnsi="宋体" w:eastAsia="宋体" w:cs="宋体"/>
          <w:sz w:val="22"/>
          <w:szCs w:val="22"/>
        </w:rPr>
        <w:t xml:space="preserve">  人工建植的草坪要及时清除杂草，保持草坪纯度。对被破坏或其他原因引起死亡的草坪草应及时更换补植，使草坪保持完整，无裸露地面。补植时应补种与原草坪相同的草种；适当密植，并加强管理养护，尽快与周围草坪一致。</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2.8.2.5</w:t>
      </w:r>
      <w:r>
        <w:rPr>
          <w:rFonts w:hint="eastAsia" w:ascii="宋体" w:hAnsi="宋体" w:eastAsia="宋体" w:cs="宋体"/>
          <w:sz w:val="22"/>
          <w:szCs w:val="22"/>
        </w:rPr>
        <w:t xml:space="preserve">  3年生以上草坪每年秋季应采取打孔透气，疏草等措施。打孔深度达5-8厘米。</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 xml:space="preserve">2.8.2.6  </w:t>
      </w:r>
      <w:r>
        <w:rPr>
          <w:rFonts w:hint="eastAsia" w:ascii="宋体" w:hAnsi="宋体" w:eastAsia="宋体" w:cs="宋体"/>
          <w:sz w:val="22"/>
          <w:szCs w:val="22"/>
        </w:rPr>
        <w:t>草坪的病虫害防治，应在加强养护管理的基础上，以防为主，综合防治。草坪化学防治应在4月下旬开始，此后根据病情适时打药。</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2.8.3</w:t>
      </w:r>
      <w:r>
        <w:rPr>
          <w:rFonts w:hint="eastAsia" w:ascii="宋体" w:hAnsi="宋体" w:eastAsia="宋体" w:cs="宋体"/>
          <w:sz w:val="22"/>
          <w:szCs w:val="22"/>
        </w:rPr>
        <w:t xml:space="preserve">  竹类</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2.8.3.1</w:t>
      </w:r>
      <w:r>
        <w:rPr>
          <w:rFonts w:hint="eastAsia" w:ascii="宋体" w:hAnsi="宋体" w:eastAsia="宋体" w:cs="宋体"/>
          <w:sz w:val="22"/>
          <w:szCs w:val="22"/>
        </w:rPr>
        <w:t xml:space="preserve">  竹林的间伐修剪应在晚秋或冬季进行，间伐按照以保留4-5年生以下立竹，去除6-7年生，尤其是10年生以上老竹的原则进行。使竹林立竹年龄组成为1度～2度竹占40%左右，3度～4度竹占45%以上，5度竹占15%左右。</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2.8.3.2</w:t>
      </w:r>
      <w:r>
        <w:rPr>
          <w:rFonts w:hint="eastAsia" w:ascii="宋体" w:hAnsi="宋体" w:eastAsia="宋体" w:cs="宋体"/>
          <w:sz w:val="22"/>
          <w:szCs w:val="22"/>
        </w:rPr>
        <w:t xml:space="preserve">  应及时清除枯死竹干和枝条，砍除老竹、病竹和倒伏竹。</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2.8.3.3</w:t>
      </w:r>
      <w:r>
        <w:rPr>
          <w:rFonts w:hint="eastAsia" w:ascii="宋体" w:hAnsi="宋体" w:eastAsia="宋体" w:cs="宋体"/>
          <w:sz w:val="22"/>
          <w:szCs w:val="22"/>
        </w:rPr>
        <w:t xml:space="preserve">  竹林过密应应适当间伐或间移，使留竹分布均匀，并及时用土杂肥回填土坑。</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2.8.3.4</w:t>
      </w:r>
      <w:r>
        <w:rPr>
          <w:rFonts w:hint="eastAsia" w:ascii="宋体" w:hAnsi="宋体" w:eastAsia="宋体" w:cs="宋体"/>
          <w:sz w:val="22"/>
          <w:szCs w:val="22"/>
        </w:rPr>
        <w:t xml:space="preserve">  竹林应以施有机肥为主，并适量加入含铁的复合肥料，肥料中氮、磷、钾的比例以4：2：4为宜。宜于早春3月和11月～12月施肥。应在竹林计划延伸的位置，深翻土地，并压入青草或填有机质含量高的土杂肥。</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2.8.3.5</w:t>
      </w:r>
      <w:r>
        <w:rPr>
          <w:rFonts w:hint="eastAsia" w:ascii="宋体" w:hAnsi="宋体" w:eastAsia="宋体" w:cs="宋体"/>
          <w:sz w:val="22"/>
          <w:szCs w:val="22"/>
        </w:rPr>
        <w:t xml:space="preserve">  应于每年春季出笋前（3月左右）浇足水（俗称催笋水）。雨季可视降雨情况浇灌，秋季（11月、12月上旬）浇足（俗称孕笋水），冬季过于干旱时可适当喷水。</w:t>
      </w:r>
    </w:p>
    <w:p>
      <w:pPr>
        <w:pStyle w:val="17"/>
        <w:spacing w:line="400" w:lineRule="exact"/>
        <w:ind w:firstLine="440" w:firstLineChars="200"/>
        <w:rPr>
          <w:rFonts w:hint="eastAsia" w:ascii="宋体" w:hAnsi="宋体" w:eastAsia="宋体" w:cs="宋体"/>
          <w:b/>
          <w:sz w:val="22"/>
          <w:szCs w:val="22"/>
        </w:rPr>
      </w:pPr>
      <w:r>
        <w:rPr>
          <w:rFonts w:hint="eastAsia" w:ascii="宋体" w:hAnsi="宋体" w:eastAsia="宋体" w:cs="宋体"/>
          <w:b/>
          <w:sz w:val="22"/>
          <w:szCs w:val="22"/>
        </w:rPr>
        <w:t>3  卫生保洁</w:t>
      </w:r>
    </w:p>
    <w:p>
      <w:pPr>
        <w:pStyle w:val="50"/>
        <w:shd w:val="clear" w:color="auto" w:fill="FFFFFF"/>
        <w:spacing w:before="0" w:beforeAutospacing="0" w:after="0" w:afterAutospacing="0"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3.1</w:t>
      </w:r>
      <w:r>
        <w:rPr>
          <w:rFonts w:hint="eastAsia" w:ascii="宋体" w:hAnsi="宋体" w:eastAsia="宋体" w:cs="宋体"/>
          <w:sz w:val="22"/>
          <w:szCs w:val="22"/>
        </w:rPr>
        <w:t xml:space="preserve">  保持公园绿地内清洁卫生，无垃圾杂物，无污渍，无乱贴乱画，无鼠洞和蚊蝇滋生地等。</w:t>
      </w:r>
    </w:p>
    <w:p>
      <w:pPr>
        <w:spacing w:line="400" w:lineRule="exact"/>
        <w:ind w:right="23" w:firstLine="440" w:firstLineChars="200"/>
        <w:rPr>
          <w:rFonts w:hint="eastAsia" w:ascii="宋体" w:hAnsi="宋体" w:eastAsia="宋体" w:cs="宋体"/>
          <w:kern w:val="0"/>
          <w:sz w:val="22"/>
          <w:szCs w:val="22"/>
        </w:rPr>
      </w:pPr>
      <w:r>
        <w:rPr>
          <w:rFonts w:hint="eastAsia" w:ascii="宋体" w:hAnsi="宋体" w:eastAsia="宋体" w:cs="宋体"/>
          <w:b/>
          <w:kern w:val="0"/>
          <w:sz w:val="22"/>
          <w:szCs w:val="22"/>
        </w:rPr>
        <w:t>3.1.1</w:t>
      </w:r>
      <w:bookmarkStart w:id="35" w:name="OLE_LINK10"/>
      <w:bookmarkStart w:id="36" w:name="OLE_LINK9"/>
      <w:r>
        <w:rPr>
          <w:rFonts w:hint="eastAsia" w:ascii="宋体" w:hAnsi="宋体" w:eastAsia="宋体" w:cs="宋体"/>
          <w:kern w:val="0"/>
          <w:sz w:val="22"/>
          <w:szCs w:val="22"/>
        </w:rPr>
        <w:t xml:space="preserve">  广场、园路</w:t>
      </w:r>
      <w:bookmarkEnd w:id="35"/>
      <w:bookmarkEnd w:id="36"/>
      <w:bookmarkStart w:id="37" w:name="OLE_LINK1"/>
      <w:bookmarkStart w:id="38" w:name="OLE_LINK2"/>
      <w:r>
        <w:rPr>
          <w:rFonts w:hint="eastAsia" w:ascii="宋体" w:hAnsi="宋体" w:eastAsia="宋体" w:cs="宋体"/>
          <w:kern w:val="0"/>
          <w:sz w:val="22"/>
          <w:szCs w:val="22"/>
        </w:rPr>
        <w:t>无烟蒂、无痰迹、无纸屑、无瓜皮果壳、无生活垃圾、无碎石子砖块、无积尘积土、无杂草、无粪便、无口香糖等垃圾。</w:t>
      </w:r>
    </w:p>
    <w:bookmarkEnd w:id="37"/>
    <w:bookmarkEnd w:id="38"/>
    <w:p>
      <w:pPr>
        <w:pStyle w:val="50"/>
        <w:shd w:val="clear" w:color="auto" w:fill="FFFFFF"/>
        <w:spacing w:before="0" w:beforeAutospacing="0" w:after="0" w:afterAutospacing="0"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 xml:space="preserve">3.1.2 </w:t>
      </w:r>
      <w:r>
        <w:rPr>
          <w:rFonts w:hint="eastAsia" w:ascii="宋体" w:hAnsi="宋体" w:eastAsia="宋体" w:cs="宋体"/>
          <w:sz w:val="22"/>
          <w:szCs w:val="22"/>
        </w:rPr>
        <w:t xml:space="preserve"> 绿地、灌木内无纸屑、塑膜、烟蒂、果皮，无垃圾杂物、无物资材料堆放、无断枝、无烟蒂、无粪便、无大面积落叶等垃圾。</w:t>
      </w:r>
    </w:p>
    <w:p>
      <w:pPr>
        <w:pStyle w:val="50"/>
        <w:shd w:val="clear" w:color="auto" w:fill="FFFFFF"/>
        <w:spacing w:before="0" w:beforeAutospacing="0" w:after="0" w:afterAutospacing="0"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 xml:space="preserve">3.1.3 </w:t>
      </w:r>
      <w:r>
        <w:rPr>
          <w:rFonts w:hint="eastAsia" w:ascii="宋体" w:hAnsi="宋体" w:eastAsia="宋体" w:cs="宋体"/>
          <w:sz w:val="22"/>
          <w:szCs w:val="22"/>
        </w:rPr>
        <w:t xml:space="preserve"> 景观水体保持清洁，无生活垃圾及其他漂浮物。</w:t>
      </w:r>
    </w:p>
    <w:p>
      <w:pPr>
        <w:pStyle w:val="50"/>
        <w:shd w:val="clear" w:color="auto" w:fill="FFFFFF"/>
        <w:spacing w:before="0" w:beforeAutospacing="0" w:after="0" w:afterAutospacing="0"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3.1.4</w:t>
      </w:r>
      <w:r>
        <w:rPr>
          <w:rFonts w:hint="eastAsia" w:ascii="宋体" w:hAnsi="宋体" w:eastAsia="宋体" w:cs="宋体"/>
          <w:sz w:val="22"/>
          <w:szCs w:val="22"/>
        </w:rPr>
        <w:t xml:space="preserve">  宣传栏</w:t>
      </w:r>
      <w:bookmarkStart w:id="39" w:name="OLE_LINK14"/>
      <w:r>
        <w:rPr>
          <w:rFonts w:hint="eastAsia" w:ascii="宋体" w:hAnsi="宋体" w:eastAsia="宋体" w:cs="宋体"/>
          <w:sz w:val="22"/>
          <w:szCs w:val="22"/>
        </w:rPr>
        <w:t>、</w:t>
      </w:r>
      <w:bookmarkEnd w:id="39"/>
      <w:r>
        <w:rPr>
          <w:rFonts w:hint="eastAsia" w:ascii="宋体" w:hAnsi="宋体" w:eastAsia="宋体" w:cs="宋体"/>
          <w:sz w:val="22"/>
          <w:szCs w:val="22"/>
        </w:rPr>
        <w:t>警示牌、标识牌干净无各灰，框架干净无污迹，表面无乱贴乱画。 </w:t>
      </w:r>
    </w:p>
    <w:p>
      <w:pPr>
        <w:pStyle w:val="50"/>
        <w:shd w:val="clear" w:color="auto" w:fill="FFFFFF"/>
        <w:spacing w:before="0" w:beforeAutospacing="0" w:after="0" w:afterAutospacing="0"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3.1.5</w:t>
      </w:r>
      <w:r>
        <w:rPr>
          <w:rFonts w:hint="eastAsia" w:ascii="宋体" w:hAnsi="宋体" w:eastAsia="宋体" w:cs="宋体"/>
          <w:sz w:val="22"/>
          <w:szCs w:val="22"/>
        </w:rPr>
        <w:t xml:space="preserve">  护栏、坐凳、平台清洁卫生，无积灰、无污渍、无乱贴乱画。</w:t>
      </w:r>
    </w:p>
    <w:p>
      <w:pPr>
        <w:pStyle w:val="50"/>
        <w:shd w:val="clear" w:color="auto" w:fill="FFFFFF"/>
        <w:spacing w:before="0" w:beforeAutospacing="0" w:after="0" w:afterAutospacing="0"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3.1.6</w:t>
      </w:r>
      <w:r>
        <w:rPr>
          <w:rFonts w:hint="eastAsia" w:ascii="宋体" w:hAnsi="宋体" w:eastAsia="宋体" w:cs="宋体"/>
          <w:sz w:val="22"/>
          <w:szCs w:val="22"/>
        </w:rPr>
        <w:t xml:space="preserve">  亭廊轩榭等公园建筑物清洁卫生，无积尘、无蜘蛛网、无乱贴乱画；建筑物的外墙、窗户无污渍、无积尘。</w:t>
      </w:r>
    </w:p>
    <w:p>
      <w:pPr>
        <w:pStyle w:val="50"/>
        <w:shd w:val="clear" w:color="auto" w:fill="FFFFFF"/>
        <w:spacing w:before="0" w:beforeAutospacing="0" w:after="0" w:afterAutospacing="0"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3.1.7</w:t>
      </w:r>
      <w:r>
        <w:rPr>
          <w:rFonts w:hint="eastAsia" w:ascii="宋体" w:hAnsi="宋体" w:eastAsia="宋体" w:cs="宋体"/>
          <w:sz w:val="22"/>
          <w:szCs w:val="22"/>
        </w:rPr>
        <w:t xml:space="preserve">  排水沟无杂草、杂物，排水畅通无堵塞、积水、异味。</w:t>
      </w:r>
    </w:p>
    <w:p>
      <w:pPr>
        <w:pStyle w:val="50"/>
        <w:shd w:val="clear" w:color="auto" w:fill="FFFFFF"/>
        <w:spacing w:before="0" w:beforeAutospacing="0" w:after="0" w:afterAutospacing="0"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3.1.8</w:t>
      </w:r>
      <w:r>
        <w:rPr>
          <w:rFonts w:hint="eastAsia" w:ascii="宋体" w:hAnsi="宋体" w:eastAsia="宋体" w:cs="宋体"/>
          <w:sz w:val="22"/>
          <w:szCs w:val="22"/>
        </w:rPr>
        <w:t xml:space="preserve">  照明设施无积灰，灯杆无脏污、粘附物。</w:t>
      </w:r>
    </w:p>
    <w:p>
      <w:pPr>
        <w:pStyle w:val="50"/>
        <w:shd w:val="clear" w:color="auto" w:fill="FFFFFF"/>
        <w:spacing w:before="0" w:beforeAutospacing="0" w:after="0" w:afterAutospacing="0"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3.1.9</w:t>
      </w:r>
      <w:r>
        <w:rPr>
          <w:rFonts w:hint="eastAsia" w:ascii="宋体" w:hAnsi="宋体" w:eastAsia="宋体" w:cs="宋体"/>
          <w:sz w:val="22"/>
          <w:szCs w:val="22"/>
        </w:rPr>
        <w:t xml:space="preserve">  雕塑、小品无污渍、无积灰、无乱贴乱画。</w:t>
      </w:r>
    </w:p>
    <w:p>
      <w:pPr>
        <w:pStyle w:val="50"/>
        <w:shd w:val="clear" w:color="auto" w:fill="FFFFFF"/>
        <w:spacing w:before="0" w:beforeAutospacing="0" w:after="0" w:afterAutospacing="0"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3.1.10</w:t>
      </w:r>
      <w:r>
        <w:rPr>
          <w:rFonts w:hint="eastAsia" w:ascii="宋体" w:hAnsi="宋体" w:eastAsia="宋体" w:cs="宋体"/>
          <w:sz w:val="22"/>
          <w:szCs w:val="22"/>
        </w:rPr>
        <w:t xml:space="preserve">  果壳箱及垃圾桶每周至少清洗一次，做到体外无污垢，垃圾桶摆放整齐；果壳箱及垃圾桶做到套袋日产日清，每天清倒两次以上，定期消毒，无蝇蛆孳生；箱（桶）内无垃圾溢出，箱（桶）外无散落垃圾；垃圾桶打开后应及时关盖。</w:t>
      </w:r>
    </w:p>
    <w:p>
      <w:pPr>
        <w:pStyle w:val="50"/>
        <w:shd w:val="clear" w:color="auto" w:fill="FFFFFF"/>
        <w:spacing w:before="0" w:beforeAutospacing="0" w:after="0" w:afterAutospacing="0"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3.2</w:t>
      </w:r>
      <w:r>
        <w:rPr>
          <w:rFonts w:hint="eastAsia" w:ascii="宋体" w:hAnsi="宋体" w:eastAsia="宋体" w:cs="宋体"/>
          <w:sz w:val="22"/>
          <w:szCs w:val="22"/>
        </w:rPr>
        <w:t xml:space="preserve">  雨、雪过后及时清理，园路、广场无积水、积雪。</w:t>
      </w:r>
    </w:p>
    <w:p>
      <w:pPr>
        <w:pStyle w:val="50"/>
        <w:shd w:val="clear" w:color="auto" w:fill="FFFFFF"/>
        <w:spacing w:before="0" w:beforeAutospacing="0" w:after="0" w:afterAutospacing="0"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 xml:space="preserve">3.3 </w:t>
      </w:r>
      <w:r>
        <w:rPr>
          <w:rFonts w:hint="eastAsia" w:ascii="宋体" w:hAnsi="宋体" w:eastAsia="宋体" w:cs="宋体"/>
          <w:sz w:val="22"/>
          <w:szCs w:val="22"/>
        </w:rPr>
        <w:t xml:space="preserve"> 全园日产垃圾集中堆放垃圾桶内，统一清运至垃圾中转站，日产日清。</w:t>
      </w:r>
    </w:p>
    <w:p>
      <w:pPr>
        <w:pStyle w:val="50"/>
        <w:shd w:val="clear" w:color="auto" w:fill="FFFFFF"/>
        <w:spacing w:before="0" w:beforeAutospacing="0" w:after="0" w:afterAutospacing="0"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3.4</w:t>
      </w:r>
      <w:r>
        <w:rPr>
          <w:rFonts w:hint="eastAsia" w:ascii="宋体" w:hAnsi="宋体" w:eastAsia="宋体" w:cs="宋体"/>
          <w:sz w:val="22"/>
          <w:szCs w:val="22"/>
        </w:rPr>
        <w:t xml:space="preserve">  公园绿地中清理出来的建筑垃圾、石块、废旧物品等需及时运离，由养护单位自行负责运到专门的堆放场集中堆放处置，不得乱倒。</w:t>
      </w:r>
    </w:p>
    <w:p>
      <w:pPr>
        <w:pStyle w:val="50"/>
        <w:shd w:val="clear" w:color="auto" w:fill="FFFFFF"/>
        <w:spacing w:before="0" w:beforeAutospacing="0" w:after="0" w:afterAutospacing="0"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3.5</w:t>
      </w:r>
      <w:r>
        <w:rPr>
          <w:rFonts w:hint="eastAsia" w:ascii="宋体" w:hAnsi="宋体" w:eastAsia="宋体" w:cs="宋体"/>
          <w:sz w:val="22"/>
          <w:szCs w:val="22"/>
        </w:rPr>
        <w:t xml:space="preserve">  生产垃圾必须日产日清，并不得影响交通安全，生产垃圾由养护单位自行处置，不得乱倒。</w:t>
      </w:r>
    </w:p>
    <w:p>
      <w:pPr>
        <w:pStyle w:val="50"/>
        <w:shd w:val="clear" w:color="auto" w:fill="FFFFFF"/>
        <w:spacing w:before="0" w:beforeAutospacing="0" w:after="0" w:afterAutospacing="0"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3.6</w:t>
      </w:r>
      <w:r>
        <w:rPr>
          <w:rFonts w:hint="eastAsia" w:ascii="宋体" w:hAnsi="宋体" w:eastAsia="宋体" w:cs="宋体"/>
          <w:sz w:val="22"/>
          <w:szCs w:val="22"/>
        </w:rPr>
        <w:t xml:space="preserve">  各绿地除了正常的保洁时间外，如遇检查等特殊情况需延长保洁时间的，养护单位须无条件安排人员进行保洁。</w:t>
      </w:r>
    </w:p>
    <w:p>
      <w:pPr>
        <w:pStyle w:val="17"/>
        <w:spacing w:line="400" w:lineRule="exact"/>
        <w:ind w:firstLine="440" w:firstLineChars="200"/>
        <w:rPr>
          <w:rFonts w:hint="eastAsia" w:ascii="宋体" w:hAnsi="宋体" w:eastAsia="宋体" w:cs="宋体"/>
          <w:b/>
          <w:sz w:val="22"/>
          <w:szCs w:val="22"/>
        </w:rPr>
      </w:pPr>
      <w:r>
        <w:rPr>
          <w:rFonts w:hint="eastAsia" w:ascii="宋体" w:hAnsi="宋体" w:eastAsia="宋体" w:cs="宋体"/>
          <w:b/>
          <w:sz w:val="22"/>
          <w:szCs w:val="22"/>
        </w:rPr>
        <w:t>4  绿地保护</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4.1</w:t>
      </w:r>
      <w:r>
        <w:rPr>
          <w:rFonts w:hint="eastAsia" w:ascii="宋体" w:hAnsi="宋体" w:eastAsia="宋体" w:cs="宋体"/>
          <w:sz w:val="22"/>
          <w:szCs w:val="22"/>
        </w:rPr>
        <w:t xml:space="preserve">  应保护好绿地内的花草树木，保持绿地的完整。对未经批准，擅自改变绿化用地性质的或擅自砍伐、移植、修剪树木等破坏绿化行为的要及时制止并上报。经批准临时占用的绿地，应按时收回，并监督恢复原状。</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4.2</w:t>
      </w:r>
      <w:r>
        <w:rPr>
          <w:rFonts w:hint="eastAsia" w:ascii="宋体" w:hAnsi="宋体" w:eastAsia="宋体" w:cs="宋体"/>
          <w:sz w:val="22"/>
          <w:szCs w:val="22"/>
        </w:rPr>
        <w:t xml:space="preserve">  公园绿地内应无堆放杂物和停放与绿化作业无关的一切车辆；</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4.3</w:t>
      </w:r>
      <w:r>
        <w:rPr>
          <w:rFonts w:hint="eastAsia" w:ascii="宋体" w:hAnsi="宋体" w:eastAsia="宋体" w:cs="宋体"/>
          <w:sz w:val="22"/>
          <w:szCs w:val="22"/>
        </w:rPr>
        <w:t xml:space="preserve">  公园绿地内上无乱贴乱画、乱拉乱挂、晾晒衣物、乱设摊点等现象。</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4.4</w:t>
      </w:r>
      <w:r>
        <w:rPr>
          <w:rFonts w:hint="eastAsia" w:ascii="宋体" w:hAnsi="宋体" w:eastAsia="宋体" w:cs="宋体"/>
          <w:sz w:val="22"/>
          <w:szCs w:val="22"/>
        </w:rPr>
        <w:t xml:space="preserve">  对在公园绿地内晾晒衣物、停放车辆、攀折枝条、倾倒垃圾杂物、损坏设施等破坏绿化的现象及时制止并上报。</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4.5</w:t>
      </w:r>
      <w:r>
        <w:rPr>
          <w:rFonts w:hint="eastAsia" w:ascii="宋体" w:hAnsi="宋体" w:eastAsia="宋体" w:cs="宋体"/>
          <w:sz w:val="22"/>
          <w:szCs w:val="22"/>
        </w:rPr>
        <w:t xml:space="preserve">  绿地内残留树桩、铁件和破损支撑、设施等存在安全隐患的残留物必须及时清除或修复，不留安全隐患。</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4.6</w:t>
      </w:r>
      <w:r>
        <w:rPr>
          <w:rFonts w:hint="eastAsia" w:ascii="宋体" w:hAnsi="宋体" w:eastAsia="宋体" w:cs="宋体"/>
          <w:sz w:val="22"/>
          <w:szCs w:val="22"/>
        </w:rPr>
        <w:t xml:space="preserve">  园林绿地内发现存在安全隐患的树木、设施，必须及时采取防护措施，并及时进行处置。</w:t>
      </w:r>
    </w:p>
    <w:p>
      <w:pPr>
        <w:pStyle w:val="17"/>
        <w:spacing w:line="400" w:lineRule="exact"/>
        <w:ind w:firstLine="440" w:firstLineChars="200"/>
        <w:rPr>
          <w:rFonts w:hint="eastAsia" w:ascii="宋体" w:hAnsi="宋体" w:eastAsia="宋体" w:cs="宋体"/>
          <w:b/>
          <w:sz w:val="22"/>
          <w:szCs w:val="22"/>
        </w:rPr>
      </w:pPr>
      <w:r>
        <w:rPr>
          <w:rFonts w:hint="eastAsia" w:ascii="宋体" w:hAnsi="宋体" w:eastAsia="宋体" w:cs="宋体"/>
          <w:b/>
          <w:sz w:val="22"/>
          <w:szCs w:val="22"/>
        </w:rPr>
        <w:t>5  园林设施维护</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5.1</w:t>
      </w:r>
      <w:r>
        <w:rPr>
          <w:rFonts w:hint="eastAsia" w:ascii="宋体" w:hAnsi="宋体" w:eastAsia="宋体" w:cs="宋体"/>
          <w:kern w:val="0"/>
          <w:sz w:val="22"/>
          <w:szCs w:val="22"/>
        </w:rPr>
        <w:t xml:space="preserve">  建筑及构筑物应保持外观整洁，构件和各项设施完好无损，室内陈设清洁、完好、合理，及时消除安全隐患；</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5.2</w:t>
      </w:r>
      <w:r>
        <w:rPr>
          <w:rFonts w:hint="eastAsia" w:ascii="宋体" w:hAnsi="宋体" w:eastAsia="宋体" w:cs="宋体"/>
          <w:kern w:val="0"/>
          <w:sz w:val="22"/>
          <w:szCs w:val="22"/>
        </w:rPr>
        <w:t xml:space="preserve">  铺装面、侧石、台阶、斜坡等应保持平整，无积水，应保持铺装面清洁，无障碍设施完好。 损坏部分及时修补，不留安全隐患。</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5.3</w:t>
      </w:r>
      <w:r>
        <w:rPr>
          <w:rFonts w:hint="eastAsia" w:ascii="宋体" w:hAnsi="宋体" w:eastAsia="宋体" w:cs="宋体"/>
          <w:kern w:val="0"/>
          <w:sz w:val="22"/>
          <w:szCs w:val="22"/>
        </w:rPr>
        <w:t xml:space="preserve">  假山、叠石、雕塑、小品应完整、稳固、安全，不适于攀爬的叠石应有醒目标志和防护设备，假山四周及石缝不得有影响安全和景观的杂草、杂物。</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5.4</w:t>
      </w:r>
      <w:r>
        <w:rPr>
          <w:rFonts w:hint="eastAsia" w:ascii="宋体" w:hAnsi="宋体" w:eastAsia="宋体" w:cs="宋体"/>
          <w:kern w:val="0"/>
          <w:sz w:val="22"/>
          <w:szCs w:val="22"/>
        </w:rPr>
        <w:t xml:space="preserve">  游乐健身设施应运转正常，色彩常新，运动机械定期进行安全检测，不得带故障运行。</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5.5</w:t>
      </w:r>
      <w:r>
        <w:rPr>
          <w:rFonts w:hint="eastAsia" w:ascii="宋体" w:hAnsi="宋体" w:eastAsia="宋体" w:cs="宋体"/>
          <w:kern w:val="0"/>
          <w:sz w:val="22"/>
          <w:szCs w:val="22"/>
        </w:rPr>
        <w:t xml:space="preserve">  给水、排水设施及雨水收集器应保持管道畅通完好，管道无污染，外露的窖井、进水口、给水口、井盖等设施应随时保持清洁、完整无损。</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 xml:space="preserve">5.6 </w:t>
      </w:r>
      <w:r>
        <w:rPr>
          <w:rFonts w:hint="eastAsia" w:ascii="宋体" w:hAnsi="宋体" w:eastAsia="宋体" w:cs="宋体"/>
          <w:kern w:val="0"/>
          <w:sz w:val="22"/>
          <w:szCs w:val="22"/>
        </w:rPr>
        <w:t xml:space="preserve"> 输配电、照明设施应定期检测，保持常年完整、运转正常，无带电裸露部分。 各类管线设施应保持完整、安全。</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5.7</w:t>
      </w:r>
      <w:r>
        <w:rPr>
          <w:rFonts w:hint="eastAsia" w:ascii="宋体" w:hAnsi="宋体" w:eastAsia="宋体" w:cs="宋体"/>
          <w:kern w:val="0"/>
          <w:sz w:val="22"/>
          <w:szCs w:val="22"/>
        </w:rPr>
        <w:t xml:space="preserve">  坐椅凳、护栏、护栏、花架等公园绿地内的园林设施应定期检查维护，构件和各项设施保持完好无损，及时消除安全隐患。。</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5.8</w:t>
      </w:r>
      <w:r>
        <w:rPr>
          <w:rFonts w:hint="eastAsia" w:ascii="宋体" w:hAnsi="宋体" w:eastAsia="宋体" w:cs="宋体"/>
          <w:kern w:val="0"/>
          <w:sz w:val="22"/>
          <w:szCs w:val="22"/>
        </w:rPr>
        <w:t xml:space="preserve">  垃圾桶、果壳箱构件完整，破损的及时维修更换。</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5.9</w:t>
      </w:r>
      <w:r>
        <w:rPr>
          <w:rFonts w:hint="eastAsia" w:ascii="宋体" w:hAnsi="宋体" w:eastAsia="宋体" w:cs="宋体"/>
          <w:kern w:val="0"/>
          <w:sz w:val="22"/>
          <w:szCs w:val="22"/>
        </w:rPr>
        <w:t xml:space="preserve"> 宣传栏、警示牌、指示牌指示清晰明显，破损的及时更换。</w:t>
      </w:r>
    </w:p>
    <w:p>
      <w:pPr>
        <w:pStyle w:val="17"/>
        <w:spacing w:line="400" w:lineRule="exact"/>
        <w:ind w:firstLine="440" w:firstLineChars="200"/>
        <w:rPr>
          <w:rFonts w:hint="eastAsia" w:ascii="宋体" w:hAnsi="宋体" w:eastAsia="宋体" w:cs="宋体"/>
          <w:b/>
          <w:sz w:val="22"/>
          <w:szCs w:val="22"/>
        </w:rPr>
      </w:pPr>
      <w:r>
        <w:rPr>
          <w:rFonts w:hint="eastAsia" w:ascii="宋体" w:hAnsi="宋体" w:eastAsia="宋体" w:cs="宋体"/>
          <w:b/>
          <w:sz w:val="22"/>
          <w:szCs w:val="22"/>
        </w:rPr>
        <w:t>6  绿化养护台帐</w:t>
      </w:r>
    </w:p>
    <w:p>
      <w:pPr>
        <w:pStyle w:val="17"/>
        <w:spacing w:line="400" w:lineRule="exact"/>
        <w:ind w:firstLine="440" w:firstLineChars="200"/>
        <w:rPr>
          <w:rFonts w:hint="eastAsia" w:ascii="宋体" w:hAnsi="宋体" w:eastAsia="宋体" w:cs="宋体"/>
          <w:sz w:val="22"/>
          <w:szCs w:val="22"/>
        </w:rPr>
      </w:pPr>
      <w:r>
        <w:rPr>
          <w:rFonts w:hint="eastAsia" w:ascii="宋体" w:hAnsi="宋体" w:eastAsia="宋体" w:cs="宋体"/>
          <w:b/>
          <w:sz w:val="22"/>
          <w:szCs w:val="22"/>
        </w:rPr>
        <w:t>6.1</w:t>
      </w:r>
      <w:r>
        <w:rPr>
          <w:rFonts w:hint="eastAsia" w:ascii="宋体" w:hAnsi="宋体" w:eastAsia="宋体" w:cs="宋体"/>
          <w:sz w:val="22"/>
          <w:szCs w:val="22"/>
        </w:rPr>
        <w:t xml:space="preserve">  应建立完整的绿化养护台帐，并由专人负责。绿化资料记录详细，分类清楚，数据详实。</w:t>
      </w:r>
    </w:p>
    <w:p>
      <w:pPr>
        <w:spacing w:line="400" w:lineRule="exact"/>
        <w:ind w:firstLine="440" w:firstLineChars="200"/>
        <w:rPr>
          <w:rFonts w:hint="eastAsia" w:ascii="宋体" w:hAnsi="宋体" w:eastAsia="宋体" w:cs="宋体"/>
          <w:kern w:val="0"/>
          <w:sz w:val="22"/>
          <w:szCs w:val="22"/>
        </w:rPr>
      </w:pPr>
      <w:r>
        <w:rPr>
          <w:rFonts w:hint="eastAsia" w:ascii="宋体" w:hAnsi="宋体" w:eastAsia="宋体" w:cs="宋体"/>
          <w:b/>
          <w:kern w:val="0"/>
          <w:sz w:val="22"/>
          <w:szCs w:val="22"/>
        </w:rPr>
        <w:t>6.2</w:t>
      </w:r>
      <w:r>
        <w:rPr>
          <w:rFonts w:hint="eastAsia" w:ascii="宋体" w:hAnsi="宋体" w:eastAsia="宋体" w:cs="宋体"/>
          <w:kern w:val="0"/>
          <w:sz w:val="22"/>
          <w:szCs w:val="22"/>
        </w:rPr>
        <w:t xml:space="preserve">  要有年养护计划、月养护计划和日常养护记录，养护计划应按月上报，并符合现状和季节特点，针对性强，不弄虚作假。</w:t>
      </w:r>
    </w:p>
    <w:p>
      <w:pPr>
        <w:autoSpaceDE w:val="0"/>
        <w:autoSpaceDN w:val="0"/>
        <w:adjustRightInd w:val="0"/>
        <w:spacing w:line="400" w:lineRule="exact"/>
        <w:ind w:firstLine="440" w:firstLineChars="200"/>
        <w:jc w:val="left"/>
        <w:rPr>
          <w:rFonts w:hint="eastAsia" w:ascii="宋体" w:hAnsi="宋体" w:eastAsia="宋体" w:cs="宋体"/>
          <w:b/>
          <w:kern w:val="0"/>
          <w:sz w:val="22"/>
          <w:szCs w:val="22"/>
        </w:rPr>
      </w:pPr>
      <w:r>
        <w:rPr>
          <w:rFonts w:hint="eastAsia" w:ascii="宋体" w:hAnsi="宋体" w:eastAsia="宋体" w:cs="宋体"/>
          <w:b/>
          <w:kern w:val="0"/>
          <w:sz w:val="22"/>
          <w:szCs w:val="22"/>
        </w:rPr>
        <w:t>7  安全作业</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7.1</w:t>
      </w:r>
      <w:r>
        <w:rPr>
          <w:rFonts w:hint="eastAsia" w:ascii="宋体" w:hAnsi="宋体" w:eastAsia="宋体" w:cs="宋体"/>
          <w:kern w:val="0"/>
          <w:sz w:val="22"/>
          <w:szCs w:val="22"/>
        </w:rPr>
        <w:t xml:space="preserve">  使用剪草机（车）、割灌机、绿篱修剪机、打孔机、垂直刈割机等机械，应进行岗前培训并按照相应的规程操作。大型机械使用过程中，应对施工现场进行围合、标示。</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7.2</w:t>
      </w:r>
      <w:r>
        <w:rPr>
          <w:rFonts w:hint="eastAsia" w:ascii="宋体" w:hAnsi="宋体" w:eastAsia="宋体" w:cs="宋体"/>
          <w:kern w:val="0"/>
          <w:sz w:val="22"/>
          <w:szCs w:val="22"/>
        </w:rPr>
        <w:t xml:space="preserve">  作业时，应按要求设置警示标志，人员应穿戴符合要求的警示服饰。</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7.3</w:t>
      </w:r>
      <w:r>
        <w:rPr>
          <w:rFonts w:hint="eastAsia" w:ascii="宋体" w:hAnsi="宋体" w:eastAsia="宋体" w:cs="宋体"/>
          <w:kern w:val="0"/>
          <w:sz w:val="22"/>
          <w:szCs w:val="22"/>
        </w:rPr>
        <w:t xml:space="preserve">  应选任有修剪实践经验的人员担任安全质量检查员，负责安全、技术指导、质量检查及宣传工作。</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7.4</w:t>
      </w:r>
      <w:r>
        <w:rPr>
          <w:rFonts w:hint="eastAsia" w:ascii="宋体" w:hAnsi="宋体" w:eastAsia="宋体" w:cs="宋体"/>
          <w:kern w:val="0"/>
          <w:sz w:val="22"/>
          <w:szCs w:val="22"/>
        </w:rPr>
        <w:t xml:space="preserve">  修剪时应穿好工作服，戴好安全帽，系好安全绳和安全带等。修剪工具应坚固耐用，防止误伤。</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7.5</w:t>
      </w:r>
      <w:r>
        <w:rPr>
          <w:rFonts w:hint="eastAsia" w:ascii="宋体" w:hAnsi="宋体" w:eastAsia="宋体" w:cs="宋体"/>
          <w:kern w:val="0"/>
          <w:sz w:val="22"/>
          <w:szCs w:val="22"/>
        </w:rPr>
        <w:t xml:space="preserve">  截除大枝应由有经验的人员指挥操作。</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7.6</w:t>
      </w:r>
      <w:r>
        <w:rPr>
          <w:rFonts w:hint="eastAsia" w:ascii="宋体" w:hAnsi="宋体" w:eastAsia="宋体" w:cs="宋体"/>
          <w:kern w:val="0"/>
          <w:sz w:val="22"/>
          <w:szCs w:val="22"/>
        </w:rPr>
        <w:t xml:space="preserve">  使用梯子时应牢靠、立稳，单位梯应将上部横挡与树身捆牢，人字梯中腰拴绳，角度开张适中。</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7.7</w:t>
      </w:r>
      <w:r>
        <w:rPr>
          <w:rFonts w:hint="eastAsia" w:ascii="宋体" w:hAnsi="宋体" w:eastAsia="宋体" w:cs="宋体"/>
          <w:kern w:val="0"/>
          <w:sz w:val="22"/>
          <w:szCs w:val="22"/>
        </w:rPr>
        <w:t xml:space="preserve">  使用修剪车修剪，应检查车辆部件，支放平稳，操作过程中，应有专人负责，有问题及时处理。</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7.8</w:t>
      </w:r>
      <w:r>
        <w:rPr>
          <w:rFonts w:hint="eastAsia" w:ascii="宋体" w:hAnsi="宋体" w:eastAsia="宋体" w:cs="宋体"/>
          <w:kern w:val="0"/>
          <w:sz w:val="22"/>
          <w:szCs w:val="22"/>
        </w:rPr>
        <w:t xml:space="preserve">  应一人一树修剪，如确需2 人以上同在一树修剪时，应有专人在树下指挥，相互协作、配合。</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7.9</w:t>
      </w:r>
      <w:r>
        <w:rPr>
          <w:rFonts w:hint="eastAsia" w:ascii="宋体" w:hAnsi="宋体" w:eastAsia="宋体" w:cs="宋体"/>
          <w:kern w:val="0"/>
          <w:sz w:val="22"/>
          <w:szCs w:val="22"/>
        </w:rPr>
        <w:t xml:space="preserve">  树上作业手锯绳应套拴在手腕上，不得站在正修剪的大枝上。</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7.10</w:t>
      </w:r>
      <w:r>
        <w:rPr>
          <w:rFonts w:hint="eastAsia" w:ascii="宋体" w:hAnsi="宋体" w:eastAsia="宋体" w:cs="宋体"/>
          <w:kern w:val="0"/>
          <w:sz w:val="22"/>
          <w:szCs w:val="22"/>
        </w:rPr>
        <w:t xml:space="preserve">  应有专人维护现场，树上树下互相配合，防止砸伤行人和过往车辆。</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7.11</w:t>
      </w:r>
      <w:r>
        <w:rPr>
          <w:rFonts w:hint="eastAsia" w:ascii="宋体" w:hAnsi="宋体" w:eastAsia="宋体" w:cs="宋体"/>
          <w:kern w:val="0"/>
          <w:sz w:val="22"/>
          <w:szCs w:val="22"/>
        </w:rPr>
        <w:t xml:space="preserve">  有高血压和心脏病等人员，不得上树作业。</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7.12</w:t>
      </w:r>
      <w:r>
        <w:rPr>
          <w:rFonts w:hint="eastAsia" w:ascii="宋体" w:hAnsi="宋体" w:eastAsia="宋体" w:cs="宋体"/>
          <w:kern w:val="0"/>
          <w:sz w:val="22"/>
          <w:szCs w:val="22"/>
        </w:rPr>
        <w:t xml:space="preserve">  树上作业不得在两株或多株树体间攀爬。</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7.13</w:t>
      </w:r>
      <w:r>
        <w:rPr>
          <w:rFonts w:hint="eastAsia" w:ascii="宋体" w:hAnsi="宋体" w:eastAsia="宋体" w:cs="宋体"/>
          <w:kern w:val="0"/>
          <w:sz w:val="22"/>
          <w:szCs w:val="22"/>
        </w:rPr>
        <w:t xml:space="preserve">  在高压线附近作业，应注意安全，避免触电，需要时请供电部门配合。</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7.14</w:t>
      </w:r>
      <w:r>
        <w:rPr>
          <w:rFonts w:hint="eastAsia" w:ascii="宋体" w:hAnsi="宋体" w:eastAsia="宋体" w:cs="宋体"/>
          <w:kern w:val="0"/>
          <w:sz w:val="22"/>
          <w:szCs w:val="22"/>
        </w:rPr>
        <w:t xml:space="preserve">  进行病虫害防治作业时，应避开人流高峰，打药时不得站在上风口。</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7.15</w:t>
      </w:r>
      <w:r>
        <w:rPr>
          <w:rFonts w:hint="eastAsia" w:ascii="宋体" w:hAnsi="宋体" w:eastAsia="宋体" w:cs="宋体"/>
          <w:kern w:val="0"/>
          <w:sz w:val="22"/>
          <w:szCs w:val="22"/>
        </w:rPr>
        <w:t xml:space="preserve">  严格病虫害防治药品使用要求，应设专人管理，用后及时上交，并做好使用记录。</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7.16</w:t>
      </w:r>
      <w:r>
        <w:rPr>
          <w:rFonts w:hint="eastAsia" w:ascii="宋体" w:hAnsi="宋体" w:eastAsia="宋体" w:cs="宋体"/>
          <w:kern w:val="0"/>
          <w:sz w:val="22"/>
          <w:szCs w:val="22"/>
        </w:rPr>
        <w:t xml:space="preserve">  修剪及打药作业应关注天气变化，选择无风晴朗天气，四级以上（含四级）大风不可作业。</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7.17</w:t>
      </w:r>
      <w:r>
        <w:rPr>
          <w:rFonts w:hint="eastAsia" w:ascii="宋体" w:hAnsi="宋体" w:eastAsia="宋体" w:cs="宋体"/>
          <w:kern w:val="0"/>
          <w:sz w:val="22"/>
          <w:szCs w:val="22"/>
        </w:rPr>
        <w:t xml:space="preserve">  进行修剪及打药操作时不得打闹谈笑，不得饮酒。</w:t>
      </w:r>
    </w:p>
    <w:p>
      <w:pPr>
        <w:widowControl/>
        <w:shd w:val="clear" w:color="auto" w:fill="FFFFFF"/>
        <w:spacing w:line="400" w:lineRule="exact"/>
        <w:ind w:firstLine="440" w:firstLineChars="200"/>
        <w:rPr>
          <w:rFonts w:hint="eastAsia" w:ascii="宋体" w:hAnsi="宋体" w:eastAsia="宋体" w:cs="宋体"/>
          <w:b/>
          <w:kern w:val="0"/>
          <w:sz w:val="22"/>
          <w:szCs w:val="22"/>
        </w:rPr>
      </w:pPr>
      <w:r>
        <w:rPr>
          <w:rFonts w:hint="eastAsia" w:ascii="宋体" w:hAnsi="宋体" w:eastAsia="宋体" w:cs="宋体"/>
          <w:b/>
          <w:kern w:val="0"/>
          <w:sz w:val="22"/>
          <w:szCs w:val="22"/>
        </w:rPr>
        <w:t>8  分级管护</w:t>
      </w:r>
    </w:p>
    <w:p>
      <w:pPr>
        <w:widowControl/>
        <w:shd w:val="clear" w:color="auto" w:fill="FFFFFF"/>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8.1</w:t>
      </w:r>
      <w:r>
        <w:rPr>
          <w:rFonts w:hint="eastAsia" w:ascii="宋体" w:hAnsi="宋体" w:eastAsia="宋体" w:cs="宋体"/>
          <w:kern w:val="0"/>
          <w:sz w:val="22"/>
          <w:szCs w:val="22"/>
        </w:rPr>
        <w:t xml:space="preserve">  绿地分级划分</w:t>
      </w:r>
    </w:p>
    <w:p>
      <w:pPr>
        <w:widowControl/>
        <w:shd w:val="clear" w:color="auto" w:fill="FFFFFF"/>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8.1.1</w:t>
      </w:r>
      <w:r>
        <w:rPr>
          <w:rFonts w:hint="eastAsia" w:ascii="宋体" w:hAnsi="宋体" w:eastAsia="宋体" w:cs="宋体"/>
          <w:kern w:val="0"/>
          <w:sz w:val="22"/>
          <w:szCs w:val="22"/>
        </w:rPr>
        <w:t xml:space="preserve">  一级管护绿地：一般包括城市中具有较大影响且服务功能辐射较广的各类公园、重要的街旁绿地和广场绿地、城市主干道及重要次干道附属绿地、城市主要出入口绿地等。</w:t>
      </w:r>
    </w:p>
    <w:p>
      <w:pPr>
        <w:widowControl/>
        <w:shd w:val="clear" w:color="auto" w:fill="FFFFFF"/>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b/>
          <w:kern w:val="0"/>
          <w:sz w:val="22"/>
          <w:szCs w:val="22"/>
        </w:rPr>
        <w:t>8.1.2</w:t>
      </w:r>
      <w:r>
        <w:rPr>
          <w:rFonts w:hint="eastAsia" w:ascii="宋体" w:hAnsi="宋体" w:eastAsia="宋体" w:cs="宋体"/>
          <w:kern w:val="0"/>
          <w:sz w:val="22"/>
          <w:szCs w:val="22"/>
        </w:rPr>
        <w:t xml:space="preserve">  二级管护绿地：一般包括能满足一定区域居民休闲游憩需求的各类公园、城市中具有一定影响的街旁绿地和广场绿地、城市次干道附属绿地等。</w:t>
      </w:r>
    </w:p>
    <w:p>
      <w:pPr>
        <w:pStyle w:val="2"/>
        <w:ind w:firstLine="440" w:firstLineChars="200"/>
        <w:rPr>
          <w:rFonts w:hint="eastAsia" w:ascii="宋体" w:hAnsi="宋体" w:eastAsia="宋体" w:cs="宋体"/>
          <w:kern w:val="0"/>
          <w:sz w:val="22"/>
          <w:szCs w:val="22"/>
        </w:rPr>
      </w:pPr>
      <w:r>
        <w:rPr>
          <w:rFonts w:hint="eastAsia" w:ascii="宋体" w:hAnsi="宋体" w:eastAsia="宋体" w:cs="宋体"/>
          <w:b/>
          <w:kern w:val="0"/>
          <w:sz w:val="22"/>
          <w:szCs w:val="22"/>
        </w:rPr>
        <w:t>8.1.3</w:t>
      </w:r>
      <w:r>
        <w:rPr>
          <w:rFonts w:hint="eastAsia" w:ascii="宋体" w:hAnsi="宋体" w:eastAsia="宋体" w:cs="宋体"/>
          <w:kern w:val="0"/>
          <w:sz w:val="22"/>
          <w:szCs w:val="22"/>
        </w:rPr>
        <w:t xml:space="preserve">  三级管护绿地：除一级、二级以外的其它公园绿地和道路附属绿地、防护绿地。</w:t>
      </w:r>
    </w:p>
    <w:p>
      <w:pPr>
        <w:pStyle w:val="2"/>
        <w:ind w:firstLine="440" w:firstLineChars="200"/>
        <w:rPr>
          <w:rFonts w:hint="eastAsia" w:ascii="宋体" w:hAnsi="宋体" w:eastAsia="宋体" w:cs="宋体"/>
          <w:kern w:val="0"/>
          <w:sz w:val="22"/>
          <w:szCs w:val="22"/>
        </w:rPr>
      </w:pPr>
      <w:r>
        <w:rPr>
          <w:rFonts w:hint="eastAsia" w:ascii="宋体" w:hAnsi="宋体" w:eastAsia="宋体" w:cs="宋体"/>
          <w:b/>
          <w:bCs/>
          <w:kern w:val="0"/>
          <w:sz w:val="22"/>
          <w:szCs w:val="22"/>
        </w:rPr>
        <w:t>8.2</w:t>
      </w:r>
      <w:r>
        <w:rPr>
          <w:rFonts w:hint="eastAsia" w:ascii="宋体" w:hAnsi="宋体" w:eastAsia="宋体" w:cs="宋体"/>
          <w:kern w:val="0"/>
          <w:sz w:val="22"/>
          <w:szCs w:val="22"/>
        </w:rPr>
        <w:t xml:space="preserve">  城市园林绿化养护管理分级标准</w:t>
      </w:r>
    </w:p>
    <w:tbl>
      <w:tblPr>
        <w:tblStyle w:val="28"/>
        <w:tblW w:w="9122"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3000"/>
        <w:gridCol w:w="2771"/>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8" w:right="-108"/>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类别</w:t>
            </w:r>
          </w:p>
        </w:tc>
        <w:tc>
          <w:tcPr>
            <w:tcW w:w="300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5" w:right="-105"/>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一级管护绿地</w:t>
            </w:r>
          </w:p>
        </w:tc>
        <w:tc>
          <w:tcPr>
            <w:tcW w:w="277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5" w:right="-105"/>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二级管护绿地</w:t>
            </w:r>
          </w:p>
        </w:tc>
        <w:tc>
          <w:tcPr>
            <w:tcW w:w="27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5" w:right="-105"/>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三级管护绿地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5" w:right="-105"/>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行</w:t>
            </w:r>
          </w:p>
          <w:p>
            <w:pPr>
              <w:keepNext w:val="0"/>
              <w:keepLines w:val="0"/>
              <w:pageBreakBefore w:val="0"/>
              <w:widowControl/>
              <w:kinsoku/>
              <w:wordWrap/>
              <w:overflowPunct/>
              <w:topLinePunct w:val="0"/>
              <w:autoSpaceDE/>
              <w:autoSpaceDN/>
              <w:bidi w:val="0"/>
              <w:adjustRightInd/>
              <w:snapToGrid/>
              <w:spacing w:line="279" w:lineRule="auto"/>
              <w:ind w:left="-105" w:right="-105"/>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道</w:t>
            </w:r>
          </w:p>
          <w:p>
            <w:pPr>
              <w:keepNext w:val="0"/>
              <w:keepLines w:val="0"/>
              <w:pageBreakBefore w:val="0"/>
              <w:kinsoku/>
              <w:wordWrap/>
              <w:overflowPunct/>
              <w:topLinePunct w:val="0"/>
              <w:autoSpaceDE/>
              <w:autoSpaceDN/>
              <w:bidi w:val="0"/>
              <w:adjustRightInd/>
              <w:snapToGrid/>
              <w:spacing w:line="279"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树</w:t>
            </w:r>
          </w:p>
        </w:tc>
        <w:tc>
          <w:tcPr>
            <w:tcW w:w="3000"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1、树形完整、树冠舒展；保留3级及以上分枝，长势良好，无徒长枝、病虫枝、交叉枝、重叠枝、下垂枝、扭伤枝、萌蘖枝、枯枝以及烂头等。</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2、无死、缺株，及时补种。</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3、基本无病虫危害症状，被害株率≤2%。</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4、树穴有平整盖板或种植植物、覆盖植物树皮碎屑，黄土不裸露，树穴设施完好。</w:t>
            </w:r>
          </w:p>
        </w:tc>
        <w:tc>
          <w:tcPr>
            <w:tcW w:w="277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1、树形基本完整、树冠舒展；保留2级及以上分枝，长势良好，无明显徒长枝、病虫枝、交叉枝、重叠枝、下垂枝、扭伤枝、枯枝和烂头以及萌蘖枝等。</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2、无死株，缺株≤3%，适时补种。</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3、无明显病虫危害症状，被害株率≤5%。</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4、树穴有平整盖板或种植植物、覆盖植物树皮碎屑，黄土不裸露，树穴设施完好。</w:t>
            </w:r>
          </w:p>
        </w:tc>
        <w:tc>
          <w:tcPr>
            <w:tcW w:w="27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1、树形基本完整、树冠舒展；保留1级及以上分枝，长势良好，无明显徒长枝、病虫枝、交叉枝、重叠枝、下垂枝、扭伤枝、枯枝和烂头以及萌蘖枝等。</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2、无死株，缺株≤5%，适时补种。</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3、无严重病虫危害症状，被害株率≤10%。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5" w:right="-105"/>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乔</w:t>
            </w:r>
          </w:p>
          <w:p>
            <w:pPr>
              <w:keepNext w:val="0"/>
              <w:keepLines w:val="0"/>
              <w:pageBreakBefore w:val="0"/>
              <w:widowControl/>
              <w:kinsoku/>
              <w:wordWrap/>
              <w:overflowPunct/>
              <w:topLinePunct w:val="0"/>
              <w:autoSpaceDE/>
              <w:autoSpaceDN/>
              <w:bidi w:val="0"/>
              <w:adjustRightInd/>
              <w:snapToGrid/>
              <w:spacing w:line="279" w:lineRule="auto"/>
              <w:ind w:left="-105" w:right="-105"/>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木</w:t>
            </w:r>
          </w:p>
        </w:tc>
        <w:tc>
          <w:tcPr>
            <w:tcW w:w="3000"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1、生长健壮，树冠完整，树形优美。分枝点合适，无枯枝死杈；修剪及时、合理，内膛不乱，通风透光。树木不歪斜（造型树木除外）。叶片无黄叶、焦叶、卷叶。</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2、无死株，缺株≤1%，适时补种。</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3、无可视的病虫危害症状，被害株率≤2%。</w:t>
            </w:r>
          </w:p>
        </w:tc>
        <w:tc>
          <w:tcPr>
            <w:tcW w:w="2771"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1、生长正常，树冠完整，树形较优美。分枝点较合适，基本无枯枝死杈；修剪及时、合理，内膛不乱，通风透光；树木基本不歪斜（造型树木除外）。叶片无明显黄叶、焦叶、卷叶。</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2、无死株，缺株≤3%，适时补种。</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3、基本无可视的病虫危害症状，被害株率≤5%。</w:t>
            </w:r>
          </w:p>
        </w:tc>
        <w:tc>
          <w:tcPr>
            <w:tcW w:w="2726"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1、生长正常，树冠完整。无明显枯枝死杈；修剪合理；树木无明显歪斜（造型树木除外）。叶片有黄叶、焦叶和卷叶的株数不超过10%。</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2、无死株，缺株≤5%，适时补种。</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3、无明显可视的病虫危害症状，被害株率≤10%。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5" w:right="-105"/>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花</w:t>
            </w:r>
          </w:p>
          <w:p>
            <w:pPr>
              <w:keepNext w:val="0"/>
              <w:keepLines w:val="0"/>
              <w:pageBreakBefore w:val="0"/>
              <w:widowControl/>
              <w:kinsoku/>
              <w:wordWrap/>
              <w:overflowPunct/>
              <w:topLinePunct w:val="0"/>
              <w:autoSpaceDE/>
              <w:autoSpaceDN/>
              <w:bidi w:val="0"/>
              <w:adjustRightInd/>
              <w:snapToGrid/>
              <w:spacing w:line="279" w:lineRule="auto"/>
              <w:ind w:left="-105" w:right="-105"/>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灌</w:t>
            </w:r>
          </w:p>
          <w:p>
            <w:pPr>
              <w:keepNext w:val="0"/>
              <w:keepLines w:val="0"/>
              <w:pageBreakBefore w:val="0"/>
              <w:widowControl/>
              <w:kinsoku/>
              <w:wordWrap/>
              <w:overflowPunct/>
              <w:topLinePunct w:val="0"/>
              <w:autoSpaceDE/>
              <w:autoSpaceDN/>
              <w:bidi w:val="0"/>
              <w:adjustRightInd/>
              <w:snapToGrid/>
              <w:spacing w:line="279" w:lineRule="auto"/>
              <w:ind w:left="-105" w:leftChars="0" w:right="-105" w:rightChars="0"/>
              <w:jc w:val="center"/>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木</w:t>
            </w:r>
          </w:p>
        </w:tc>
        <w:tc>
          <w:tcPr>
            <w:tcW w:w="300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1、花灌木株形丰满，枝叶茂密，开花适时，花后修剪及时合理。</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2、无死株，缺株≤1%，适时补种。</w:t>
            </w:r>
          </w:p>
          <w:p>
            <w:pPr>
              <w:keepNext w:val="0"/>
              <w:keepLines w:val="0"/>
              <w:pageBreakBefore w:val="0"/>
              <w:widowControl/>
              <w:kinsoku/>
              <w:wordWrap/>
              <w:overflowPunct/>
              <w:topLinePunct w:val="0"/>
              <w:autoSpaceDE/>
              <w:autoSpaceDN/>
              <w:bidi w:val="0"/>
              <w:adjustRightInd/>
              <w:snapToGrid/>
              <w:spacing w:line="279" w:lineRule="auto"/>
              <w:ind w:left="-108" w:leftChars="0" w:right="-108"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3、基本无病虫危害症状，被害株率≤2%。</w:t>
            </w:r>
          </w:p>
        </w:tc>
        <w:tc>
          <w:tcPr>
            <w:tcW w:w="277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1、花灌木株形丰满，开花适时，花后修剪及时合理。</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2、无死株，缺株≤3%，适时补种。</w:t>
            </w:r>
          </w:p>
          <w:p>
            <w:pPr>
              <w:keepNext w:val="0"/>
              <w:keepLines w:val="0"/>
              <w:pageBreakBefore w:val="0"/>
              <w:widowControl/>
              <w:kinsoku/>
              <w:wordWrap/>
              <w:overflowPunct/>
              <w:topLinePunct w:val="0"/>
              <w:autoSpaceDE/>
              <w:autoSpaceDN/>
              <w:bidi w:val="0"/>
              <w:adjustRightInd/>
              <w:snapToGrid/>
              <w:spacing w:line="279" w:lineRule="auto"/>
              <w:ind w:left="-108" w:leftChars="0" w:right="-108"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3、无明显病虫危害症状，被害株率≤5%。</w:t>
            </w:r>
          </w:p>
        </w:tc>
        <w:tc>
          <w:tcPr>
            <w:tcW w:w="27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1、花灌木开花适时，花后能够进行修剪。</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2、无死株，缺株≤5%，适时补种。</w:t>
            </w:r>
          </w:p>
          <w:p>
            <w:pPr>
              <w:keepNext w:val="0"/>
              <w:keepLines w:val="0"/>
              <w:pageBreakBefore w:val="0"/>
              <w:widowControl/>
              <w:kinsoku/>
              <w:wordWrap/>
              <w:overflowPunct/>
              <w:topLinePunct w:val="0"/>
              <w:autoSpaceDE/>
              <w:autoSpaceDN/>
              <w:bidi w:val="0"/>
              <w:adjustRightInd/>
              <w:snapToGrid/>
              <w:spacing w:line="279" w:lineRule="auto"/>
              <w:ind w:left="-108" w:leftChars="0" w:right="-108"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3、病虫害防治较及时，被害株率≤10%。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5" w:leftChars="0" w:right="-105"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绿篱（模纹、色块）等</w:t>
            </w:r>
          </w:p>
        </w:tc>
        <w:tc>
          <w:tcPr>
            <w:tcW w:w="300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绿篱、模纹和色块等修剪及时。绿篱线条清晰，同类观赏面规则，整齐一致；模纹和色块线条流畅、主要观赏面圆润饱满，符合设计要求。枝叶茂密，造型优美。造型树木根据不同的生长特性及时摘心、攀扎。</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2、无死株，缺株≤1%，成片空缺≤0.3㎡，适时补种。</w:t>
            </w:r>
          </w:p>
          <w:p>
            <w:pPr>
              <w:keepNext w:val="0"/>
              <w:keepLines w:val="0"/>
              <w:pageBreakBefore w:val="0"/>
              <w:widowControl/>
              <w:kinsoku/>
              <w:wordWrap/>
              <w:overflowPunct/>
              <w:topLinePunct w:val="0"/>
              <w:autoSpaceDE/>
              <w:autoSpaceDN/>
              <w:bidi w:val="0"/>
              <w:adjustRightInd/>
              <w:snapToGrid/>
              <w:spacing w:line="279" w:lineRule="auto"/>
              <w:ind w:left="-108" w:leftChars="0" w:right="-108"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3、基本无病虫危害症状，被害株率≤2%。</w:t>
            </w:r>
          </w:p>
        </w:tc>
        <w:tc>
          <w:tcPr>
            <w:tcW w:w="277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1、绿篱、模纹和色块等修剪较及时，枝叶茂密，造型优美。</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2、无死株，缺株≤3%，成片空缺≤0.5㎡，适时补种。</w:t>
            </w:r>
          </w:p>
          <w:p>
            <w:pPr>
              <w:keepNext w:val="0"/>
              <w:keepLines w:val="0"/>
              <w:pageBreakBefore w:val="0"/>
              <w:widowControl/>
              <w:kinsoku/>
              <w:wordWrap/>
              <w:overflowPunct/>
              <w:topLinePunct w:val="0"/>
              <w:autoSpaceDE/>
              <w:autoSpaceDN/>
              <w:bidi w:val="0"/>
              <w:adjustRightInd/>
              <w:snapToGrid/>
              <w:spacing w:line="279" w:lineRule="auto"/>
              <w:ind w:left="-108" w:leftChars="0" w:right="-108"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3、无明显病虫危害症状，被害株率≤5%。</w:t>
            </w:r>
          </w:p>
        </w:tc>
        <w:tc>
          <w:tcPr>
            <w:tcW w:w="27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1、绿篱、模纹和色块等能定期修剪，每年整形修剪不少于3次。</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2、无死株，缺株≤5%，成片空缺≤0.5㎡，适时补种。</w:t>
            </w:r>
          </w:p>
          <w:p>
            <w:pPr>
              <w:keepNext w:val="0"/>
              <w:keepLines w:val="0"/>
              <w:pageBreakBefore w:val="0"/>
              <w:widowControl/>
              <w:kinsoku/>
              <w:wordWrap/>
              <w:overflowPunct/>
              <w:topLinePunct w:val="0"/>
              <w:autoSpaceDE/>
              <w:autoSpaceDN/>
              <w:bidi w:val="0"/>
              <w:adjustRightInd/>
              <w:snapToGrid/>
              <w:spacing w:line="279" w:lineRule="auto"/>
              <w:ind w:left="-108" w:leftChars="0" w:right="-108"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3、无严重病虫危害症状，被害株率≤10%。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5" w:leftChars="0" w:right="-105" w:rightChars="0"/>
              <w:jc w:val="center"/>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地被花卉</w:t>
            </w:r>
          </w:p>
        </w:tc>
        <w:tc>
          <w:tcPr>
            <w:tcW w:w="300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1、多年生地被植物植株生长健壮，色彩鲜艳，花期整齐，株高一致。</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2、地被植物覆盖率98%以上，植株无倒伏，枯枝、残花量≤5％，绿地内杂草率≤3%，无超过植物高度的杂草。</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3、基本无病虫危害症状，被害面积≤2%。</w:t>
            </w:r>
          </w:p>
          <w:p>
            <w:pPr>
              <w:keepNext w:val="0"/>
              <w:keepLines w:val="0"/>
              <w:pageBreakBefore w:val="0"/>
              <w:widowControl/>
              <w:kinsoku/>
              <w:wordWrap/>
              <w:overflowPunct/>
              <w:topLinePunct w:val="0"/>
              <w:autoSpaceDE/>
              <w:autoSpaceDN/>
              <w:bidi w:val="0"/>
              <w:adjustRightInd/>
              <w:snapToGrid/>
              <w:spacing w:line="279" w:lineRule="auto"/>
              <w:ind w:left="-108" w:leftChars="0" w:right="-108"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4、植物休眠期枯枝及时修剪。</w:t>
            </w:r>
          </w:p>
        </w:tc>
        <w:tc>
          <w:tcPr>
            <w:tcW w:w="277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1、多年生地被植物植株生长良好，花期基本整齐，株高基本一致。</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2、地被植物覆盖率95%以上，植株基本无倒伏，枯枝、残花量≤10％，绿地内杂草率≤5%，基本无超过植物高度的杂草。</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基本无可视的病虫危害症状，被害面积≤5%。</w:t>
            </w:r>
          </w:p>
          <w:p>
            <w:pPr>
              <w:keepNext w:val="0"/>
              <w:keepLines w:val="0"/>
              <w:pageBreakBefore w:val="0"/>
              <w:widowControl/>
              <w:kinsoku/>
              <w:wordWrap/>
              <w:overflowPunct/>
              <w:topLinePunct w:val="0"/>
              <w:autoSpaceDE/>
              <w:autoSpaceDN/>
              <w:bidi w:val="0"/>
              <w:adjustRightInd/>
              <w:snapToGrid/>
              <w:spacing w:line="279" w:lineRule="auto"/>
              <w:ind w:left="-108" w:leftChars="0" w:right="-108"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4、植物休眠期枯枝及时修剪。</w:t>
            </w:r>
          </w:p>
        </w:tc>
        <w:tc>
          <w:tcPr>
            <w:tcW w:w="27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1、多年生地被植物植株生长良好，花期基本整齐，株高基本一致。</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2、地被植物覆盖率90%以上，植株基本无倒伏，枯枝、残花量≤15％，绿地内杂草率≤10%。</w:t>
            </w:r>
          </w:p>
          <w:p>
            <w:pPr>
              <w:keepNext w:val="0"/>
              <w:keepLines w:val="0"/>
              <w:pageBreakBefore w:val="0"/>
              <w:widowControl/>
              <w:kinsoku/>
              <w:wordWrap/>
              <w:overflowPunct/>
              <w:topLinePunct w:val="0"/>
              <w:autoSpaceDE/>
              <w:autoSpaceDN/>
              <w:bidi w:val="0"/>
              <w:adjustRightInd/>
              <w:snapToGrid/>
              <w:spacing w:line="279" w:lineRule="auto"/>
              <w:ind w:left="-108" w:leftChars="0" w:right="-108"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3、无严重病虫危害症状，被害株率≤10%。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5" w:leftChars="0" w:right="-105" w:rightChars="0"/>
              <w:jc w:val="center"/>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草坪</w:t>
            </w:r>
          </w:p>
        </w:tc>
        <w:tc>
          <w:tcPr>
            <w:tcW w:w="300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1、草坪平坦整洁，边缘线清晰，生长茂盛，草根不裸露。</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2、草坪覆盖率98%以上，单块斑秃面积不超过0.3㎡且100㎡绿地内斑秃面积不超过1块。</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3、草坪高度不得大于6cm，及时修剪草坪，每次修剪高度不大于草高的1/3,修剪后无残留草屑。</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4、绿地内杂草率≤3%，无超过15cm高度的杂草。</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5、无可视病虫危害症状，被害面积≤2%，地下害虫≤2头/㎡。</w:t>
            </w:r>
          </w:p>
          <w:p>
            <w:pPr>
              <w:keepNext w:val="0"/>
              <w:keepLines w:val="0"/>
              <w:pageBreakBefore w:val="0"/>
              <w:widowControl/>
              <w:kinsoku/>
              <w:wordWrap/>
              <w:overflowPunct/>
              <w:topLinePunct w:val="0"/>
              <w:autoSpaceDE/>
              <w:autoSpaceDN/>
              <w:bidi w:val="0"/>
              <w:adjustRightInd/>
              <w:snapToGrid/>
              <w:spacing w:line="279" w:lineRule="auto"/>
              <w:ind w:left="-108" w:leftChars="0" w:right="-108"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6、马尼拉、矮生</w:t>
            </w:r>
            <w:r>
              <w:rPr>
                <w:rFonts w:hint="eastAsia" w:ascii="宋体" w:hAnsi="宋体" w:eastAsia="宋体" w:cs="宋体"/>
                <w:kern w:val="0"/>
                <w:sz w:val="22"/>
                <w:szCs w:val="22"/>
              </w:rPr>
              <w:fldChar w:fldCharType="begin"/>
            </w:r>
            <w:r>
              <w:rPr>
                <w:rFonts w:hint="eastAsia" w:ascii="宋体" w:hAnsi="宋体" w:eastAsia="宋体" w:cs="宋体"/>
                <w:kern w:val="0"/>
                <w:sz w:val="22"/>
                <w:szCs w:val="22"/>
              </w:rPr>
              <w:instrText xml:space="preserve"> HYPERLINK "https://baike.so.com/doc/3355327-3532942.html" \t "_blank" </w:instrText>
            </w:r>
            <w:r>
              <w:rPr>
                <w:rFonts w:hint="eastAsia" w:ascii="宋体" w:hAnsi="宋体" w:eastAsia="宋体" w:cs="宋体"/>
                <w:kern w:val="0"/>
                <w:sz w:val="22"/>
                <w:szCs w:val="22"/>
              </w:rPr>
              <w:fldChar w:fldCharType="separate"/>
            </w:r>
            <w:r>
              <w:rPr>
                <w:rFonts w:hint="eastAsia" w:ascii="宋体" w:hAnsi="宋体" w:eastAsia="宋体" w:cs="宋体"/>
                <w:kern w:val="0"/>
                <w:sz w:val="22"/>
                <w:szCs w:val="22"/>
              </w:rPr>
              <w:t>百慕大</w:t>
            </w:r>
            <w:r>
              <w:rPr>
                <w:rFonts w:hint="eastAsia" w:ascii="宋体" w:hAnsi="宋体" w:eastAsia="宋体" w:cs="宋体"/>
                <w:kern w:val="0"/>
                <w:sz w:val="22"/>
                <w:szCs w:val="22"/>
              </w:rPr>
              <w:fldChar w:fldCharType="end"/>
            </w:r>
            <w:r>
              <w:rPr>
                <w:rFonts w:hint="eastAsia" w:ascii="宋体" w:hAnsi="宋体" w:eastAsia="宋体" w:cs="宋体"/>
                <w:kern w:val="0"/>
                <w:sz w:val="22"/>
                <w:szCs w:val="22"/>
              </w:rPr>
              <w:t>等暖季型草坪在每年10月份套种黑麦草等冷季型种子。</w:t>
            </w:r>
          </w:p>
        </w:tc>
        <w:tc>
          <w:tcPr>
            <w:tcW w:w="277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1、草坪基本平整，边缘线较清晰，生长良好。</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2、草坪覆盖率95%以上，单块斑秃面积不超过0.5㎡且100㎡绿地内斑秃面积不超过2块。</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3、草坪高度不得大于8cm，能及时修剪草坪，修剪后基本无残留草屑。</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4、绿地内杂草率≤5%，基本无超过15cm高度的杂草。</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5、基本无可视的病虫危害症状，被害面积≤5%，地下害虫≤5头/㎡。</w:t>
            </w:r>
          </w:p>
          <w:p>
            <w:pPr>
              <w:keepNext w:val="0"/>
              <w:keepLines w:val="0"/>
              <w:pageBreakBefore w:val="0"/>
              <w:widowControl/>
              <w:kinsoku/>
              <w:wordWrap/>
              <w:overflowPunct/>
              <w:topLinePunct w:val="0"/>
              <w:autoSpaceDE/>
              <w:autoSpaceDN/>
              <w:bidi w:val="0"/>
              <w:adjustRightInd/>
              <w:snapToGrid/>
              <w:spacing w:line="279" w:lineRule="auto"/>
              <w:ind w:left="-108" w:leftChars="0" w:right="-108"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6、马尼拉、矮生</w:t>
            </w:r>
            <w:r>
              <w:rPr>
                <w:rFonts w:hint="eastAsia" w:ascii="宋体" w:hAnsi="宋体" w:eastAsia="宋体" w:cs="宋体"/>
                <w:kern w:val="0"/>
                <w:sz w:val="22"/>
                <w:szCs w:val="22"/>
              </w:rPr>
              <w:fldChar w:fldCharType="begin"/>
            </w:r>
            <w:r>
              <w:rPr>
                <w:rFonts w:hint="eastAsia" w:ascii="宋体" w:hAnsi="宋体" w:eastAsia="宋体" w:cs="宋体"/>
                <w:kern w:val="0"/>
                <w:sz w:val="22"/>
                <w:szCs w:val="22"/>
              </w:rPr>
              <w:instrText xml:space="preserve"> HYPERLINK "https://baike.so.com/doc/3355327-3532942.html" \t "_blank" </w:instrText>
            </w:r>
            <w:r>
              <w:rPr>
                <w:rFonts w:hint="eastAsia" w:ascii="宋体" w:hAnsi="宋体" w:eastAsia="宋体" w:cs="宋体"/>
                <w:kern w:val="0"/>
                <w:sz w:val="22"/>
                <w:szCs w:val="22"/>
              </w:rPr>
              <w:fldChar w:fldCharType="separate"/>
            </w:r>
            <w:r>
              <w:rPr>
                <w:rFonts w:hint="eastAsia" w:ascii="宋体" w:hAnsi="宋体" w:eastAsia="宋体" w:cs="宋体"/>
                <w:kern w:val="0"/>
                <w:sz w:val="22"/>
                <w:szCs w:val="22"/>
              </w:rPr>
              <w:t>百慕大</w:t>
            </w:r>
            <w:r>
              <w:rPr>
                <w:rFonts w:hint="eastAsia" w:ascii="宋体" w:hAnsi="宋体" w:eastAsia="宋体" w:cs="宋体"/>
                <w:kern w:val="0"/>
                <w:sz w:val="22"/>
                <w:szCs w:val="22"/>
              </w:rPr>
              <w:fldChar w:fldCharType="end"/>
            </w:r>
            <w:r>
              <w:rPr>
                <w:rFonts w:hint="eastAsia" w:ascii="宋体" w:hAnsi="宋体" w:eastAsia="宋体" w:cs="宋体"/>
                <w:kern w:val="0"/>
                <w:sz w:val="22"/>
                <w:szCs w:val="22"/>
              </w:rPr>
              <w:t>等暖季型草坪在每年10月份套种黑麦草等冷季型种子。</w:t>
            </w:r>
          </w:p>
        </w:tc>
        <w:tc>
          <w:tcPr>
            <w:tcW w:w="27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1、草坪基本平整，生长良好。</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2、草坪覆盖率90%以上，单块斑秃面积不超过0.5㎡且100㎡绿地内斑秃面积不超过3块。</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3、定期修剪草坪，修剪后无明显残留草屑积存。</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4、绿地内杂草率≤10%，无成片明显的杂草。</w:t>
            </w:r>
          </w:p>
          <w:p>
            <w:pPr>
              <w:keepNext w:val="0"/>
              <w:keepLines w:val="0"/>
              <w:pageBreakBefore w:val="0"/>
              <w:widowControl/>
              <w:kinsoku/>
              <w:wordWrap/>
              <w:overflowPunct/>
              <w:topLinePunct w:val="0"/>
              <w:autoSpaceDE/>
              <w:autoSpaceDN/>
              <w:bidi w:val="0"/>
              <w:adjustRightInd/>
              <w:snapToGrid/>
              <w:spacing w:line="279" w:lineRule="auto"/>
              <w:ind w:left="-108" w:leftChars="0" w:right="-108"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5、无明显可视的病虫危害症状，被害面积≤10%，地下害虫≤10头/㎡。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5" w:leftChars="0" w:right="-105" w:rightChars="0"/>
              <w:jc w:val="center"/>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水生植物</w:t>
            </w:r>
          </w:p>
        </w:tc>
        <w:tc>
          <w:tcPr>
            <w:tcW w:w="300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1、水生植物密度适宜，花期正常、花色鲜艳美观，无干枯叶、残花等。</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2、无死株，缺株≤3%，成片空缺≤1㎡，适时补种。</w:t>
            </w:r>
          </w:p>
          <w:p>
            <w:pPr>
              <w:keepNext w:val="0"/>
              <w:keepLines w:val="0"/>
              <w:pageBreakBefore w:val="0"/>
              <w:widowControl/>
              <w:kinsoku/>
              <w:wordWrap/>
              <w:overflowPunct/>
              <w:topLinePunct w:val="0"/>
              <w:autoSpaceDE/>
              <w:autoSpaceDN/>
              <w:bidi w:val="0"/>
              <w:adjustRightInd/>
              <w:snapToGrid/>
              <w:spacing w:line="279" w:lineRule="auto"/>
              <w:ind w:left="-108" w:leftChars="0" w:right="-108"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无可视的病虫危害症状，被害株率≤2%。</w:t>
            </w:r>
          </w:p>
        </w:tc>
        <w:tc>
          <w:tcPr>
            <w:tcW w:w="277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1、水生植物密度适宜，花期、花色正常，无明显干枯叶、残花等。</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2、无死株，缺株≤5%，成片空缺≤1.5㎡，适时补种。</w:t>
            </w:r>
          </w:p>
          <w:p>
            <w:pPr>
              <w:keepNext w:val="0"/>
              <w:keepLines w:val="0"/>
              <w:pageBreakBefore w:val="0"/>
              <w:widowControl/>
              <w:kinsoku/>
              <w:wordWrap/>
              <w:overflowPunct/>
              <w:topLinePunct w:val="0"/>
              <w:autoSpaceDE/>
              <w:autoSpaceDN/>
              <w:bidi w:val="0"/>
              <w:adjustRightInd/>
              <w:snapToGrid/>
              <w:spacing w:line="279" w:lineRule="auto"/>
              <w:ind w:left="-108" w:leftChars="0" w:right="-108"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3、无明显病虫危害症状，被害株率≤5%。</w:t>
            </w:r>
          </w:p>
        </w:tc>
        <w:tc>
          <w:tcPr>
            <w:tcW w:w="27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水生植物能够正常生长、开花。</w:t>
            </w:r>
          </w:p>
          <w:p>
            <w:pPr>
              <w:keepNext w:val="0"/>
              <w:keepLines w:val="0"/>
              <w:pageBreakBefore w:val="0"/>
              <w:widowControl/>
              <w:kinsoku/>
              <w:wordWrap/>
              <w:overflowPunct/>
              <w:topLinePunct w:val="0"/>
              <w:autoSpaceDE/>
              <w:autoSpaceDN/>
              <w:bidi w:val="0"/>
              <w:adjustRightInd/>
              <w:snapToGrid/>
              <w:spacing w:line="279" w:lineRule="auto"/>
              <w:ind w:left="-108" w:right="-108"/>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2、无死株，缺株≤10%，成片空缺≤3㎡，适时补种。</w:t>
            </w:r>
          </w:p>
          <w:p>
            <w:pPr>
              <w:keepNext w:val="0"/>
              <w:keepLines w:val="0"/>
              <w:pageBreakBefore w:val="0"/>
              <w:widowControl/>
              <w:kinsoku/>
              <w:wordWrap/>
              <w:overflowPunct/>
              <w:topLinePunct w:val="0"/>
              <w:autoSpaceDE/>
              <w:autoSpaceDN/>
              <w:bidi w:val="0"/>
              <w:adjustRightInd/>
              <w:snapToGrid/>
              <w:spacing w:line="279" w:lineRule="auto"/>
              <w:ind w:left="-108" w:leftChars="0" w:right="-108"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3、无严重病虫危害症状，被害株率≤10%。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5" w:leftChars="0" w:right="-105" w:rightChars="0"/>
              <w:jc w:val="center"/>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攀援植物</w:t>
            </w:r>
          </w:p>
        </w:tc>
        <w:tc>
          <w:tcPr>
            <w:tcW w:w="300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5" w:right="-105"/>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1、根据不同植物的攀缘特点，及时采取相应的技术措施，生长旺盛。</w:t>
            </w:r>
          </w:p>
          <w:p>
            <w:pPr>
              <w:keepNext w:val="0"/>
              <w:keepLines w:val="0"/>
              <w:pageBreakBefore w:val="0"/>
              <w:widowControl/>
              <w:kinsoku/>
              <w:wordWrap/>
              <w:overflowPunct/>
              <w:topLinePunct w:val="0"/>
              <w:autoSpaceDE/>
              <w:autoSpaceDN/>
              <w:bidi w:val="0"/>
              <w:adjustRightInd/>
              <w:snapToGrid/>
              <w:spacing w:line="279" w:lineRule="auto"/>
              <w:ind w:left="-105" w:right="-105"/>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2、及时清除枯枝，疏删老弱藤蔓；开花的攀缘植物适时开花。</w:t>
            </w:r>
          </w:p>
          <w:p>
            <w:pPr>
              <w:keepNext w:val="0"/>
              <w:keepLines w:val="0"/>
              <w:pageBreakBefore w:val="0"/>
              <w:widowControl/>
              <w:kinsoku/>
              <w:wordWrap/>
              <w:overflowPunct/>
              <w:topLinePunct w:val="0"/>
              <w:autoSpaceDE/>
              <w:autoSpaceDN/>
              <w:bidi w:val="0"/>
              <w:adjustRightInd/>
              <w:snapToGrid/>
              <w:spacing w:line="279" w:lineRule="auto"/>
              <w:ind w:left="-105" w:leftChars="0" w:right="-105"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3、基本无病虫危害症状，被害面积≤2%。</w:t>
            </w:r>
          </w:p>
        </w:tc>
        <w:tc>
          <w:tcPr>
            <w:tcW w:w="277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5" w:right="-105"/>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1、根据不同植物的攀缘特点，能及时采取相应的技术措施，生长良好。</w:t>
            </w:r>
          </w:p>
          <w:p>
            <w:pPr>
              <w:keepNext w:val="0"/>
              <w:keepLines w:val="0"/>
              <w:pageBreakBefore w:val="0"/>
              <w:widowControl/>
              <w:kinsoku/>
              <w:wordWrap/>
              <w:overflowPunct/>
              <w:topLinePunct w:val="0"/>
              <w:autoSpaceDE/>
              <w:autoSpaceDN/>
              <w:bidi w:val="0"/>
              <w:adjustRightInd/>
              <w:snapToGrid/>
              <w:spacing w:line="279" w:lineRule="auto"/>
              <w:ind w:left="-105" w:right="-105"/>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2、及时清除枯枝，疏删老弱藤蔓；开花的攀缘植物能适时开花。</w:t>
            </w:r>
          </w:p>
          <w:p>
            <w:pPr>
              <w:keepNext w:val="0"/>
              <w:keepLines w:val="0"/>
              <w:pageBreakBefore w:val="0"/>
              <w:widowControl/>
              <w:kinsoku/>
              <w:wordWrap/>
              <w:overflowPunct/>
              <w:topLinePunct w:val="0"/>
              <w:autoSpaceDE/>
              <w:autoSpaceDN/>
              <w:bidi w:val="0"/>
              <w:adjustRightInd/>
              <w:snapToGrid/>
              <w:spacing w:line="279" w:lineRule="auto"/>
              <w:ind w:left="-105" w:leftChars="0" w:right="-105"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3、基本无可视的病虫危害症状，被害面积≤5%。</w:t>
            </w:r>
          </w:p>
        </w:tc>
        <w:tc>
          <w:tcPr>
            <w:tcW w:w="27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5" w:right="-105"/>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1、开花的攀缘植物能适时开花。</w:t>
            </w:r>
          </w:p>
          <w:p>
            <w:pPr>
              <w:keepNext w:val="0"/>
              <w:keepLines w:val="0"/>
              <w:pageBreakBefore w:val="0"/>
              <w:widowControl/>
              <w:kinsoku/>
              <w:wordWrap/>
              <w:overflowPunct/>
              <w:topLinePunct w:val="0"/>
              <w:autoSpaceDE/>
              <w:autoSpaceDN/>
              <w:bidi w:val="0"/>
              <w:adjustRightInd/>
              <w:snapToGrid/>
              <w:spacing w:line="279" w:lineRule="auto"/>
              <w:ind w:left="-105" w:leftChars="0" w:right="-105"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2、无明显可视的病虫危害症状，被害面积≤10%。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5" w:leftChars="0" w:right="-105" w:rightChars="0"/>
              <w:jc w:val="center"/>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竹类</w:t>
            </w:r>
          </w:p>
        </w:tc>
        <w:tc>
          <w:tcPr>
            <w:tcW w:w="300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5" w:right="-105"/>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1、竹林保持适宜密度，通风透光、生长健壮、叶色正常，及时清除老鞭、砍伐后的竹蔸、干枯株等。</w:t>
            </w:r>
          </w:p>
          <w:p>
            <w:pPr>
              <w:keepNext w:val="0"/>
              <w:keepLines w:val="0"/>
              <w:pageBreakBefore w:val="0"/>
              <w:widowControl/>
              <w:kinsoku/>
              <w:wordWrap/>
              <w:overflowPunct/>
              <w:topLinePunct w:val="0"/>
              <w:autoSpaceDE/>
              <w:autoSpaceDN/>
              <w:bidi w:val="0"/>
              <w:adjustRightInd/>
              <w:snapToGrid/>
              <w:spacing w:line="279" w:lineRule="auto"/>
              <w:ind w:left="-105" w:leftChars="0" w:right="-105"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2、无可视的病虫危害症状，被害株率≤2%，地下害虫≤2头/㎡。</w:t>
            </w:r>
          </w:p>
        </w:tc>
        <w:tc>
          <w:tcPr>
            <w:tcW w:w="277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5" w:right="-105"/>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1、竹林保持较适宜密度，通风透光良好、生长较健壮，叶色基本正常，能及时清除老鞭、砍伐后的竹蔸、干枯株等。</w:t>
            </w:r>
          </w:p>
          <w:p>
            <w:pPr>
              <w:keepNext w:val="0"/>
              <w:keepLines w:val="0"/>
              <w:pageBreakBefore w:val="0"/>
              <w:widowControl/>
              <w:kinsoku/>
              <w:wordWrap/>
              <w:overflowPunct/>
              <w:topLinePunct w:val="0"/>
              <w:autoSpaceDE/>
              <w:autoSpaceDN/>
              <w:bidi w:val="0"/>
              <w:adjustRightInd/>
              <w:snapToGrid/>
              <w:spacing w:line="279" w:lineRule="auto"/>
              <w:ind w:left="-105" w:leftChars="0" w:right="-105"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2、基本无可视的病虫危害症状，被害株率≤5%，地下害虫≤5头/㎡。</w:t>
            </w:r>
          </w:p>
        </w:tc>
        <w:tc>
          <w:tcPr>
            <w:tcW w:w="27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5" w:right="-105"/>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1、竹林生长、叶色基本正常，能定期清除老鞭、砍伐后的竹蔸、干枯株等。</w:t>
            </w:r>
          </w:p>
          <w:p>
            <w:pPr>
              <w:keepNext w:val="0"/>
              <w:keepLines w:val="0"/>
              <w:pageBreakBefore w:val="0"/>
              <w:widowControl/>
              <w:kinsoku/>
              <w:wordWrap/>
              <w:overflowPunct/>
              <w:topLinePunct w:val="0"/>
              <w:autoSpaceDE/>
              <w:autoSpaceDN/>
              <w:bidi w:val="0"/>
              <w:adjustRightInd/>
              <w:snapToGrid/>
              <w:spacing w:line="279" w:lineRule="auto"/>
              <w:ind w:left="-105" w:leftChars="0" w:right="-105"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2、无明显可视的病虫危害症状，被害株率≤10%，地下害虫≤10头/㎡。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5" w:leftChars="0" w:right="-105" w:rightChars="0"/>
              <w:jc w:val="center"/>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卫生保洁</w:t>
            </w:r>
          </w:p>
        </w:tc>
        <w:tc>
          <w:tcPr>
            <w:tcW w:w="3000"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79" w:lineRule="auto"/>
              <w:ind w:left="-105" w:right="-105"/>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 xml:space="preserve">1、每天7：00前完成主要园路、广场大清扫，7:00-18：00实行全天候保洁。 </w:t>
            </w:r>
          </w:p>
          <w:p>
            <w:pPr>
              <w:keepNext w:val="0"/>
              <w:keepLines w:val="0"/>
              <w:pageBreakBefore w:val="0"/>
              <w:widowControl/>
              <w:kinsoku/>
              <w:wordWrap/>
              <w:overflowPunct/>
              <w:topLinePunct w:val="0"/>
              <w:autoSpaceDE/>
              <w:autoSpaceDN/>
              <w:bidi w:val="0"/>
              <w:adjustRightInd/>
              <w:snapToGrid/>
              <w:spacing w:line="279" w:lineRule="auto"/>
              <w:ind w:left="-105" w:right="-105"/>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2、保持公园绿地内整洁干净，无建筑垃圾、生活垃圾，无树枝、树叶、草屑等生产垃圾，园路、广场内无杂草，无条状、块状污染物，点状污染物每100 ㎡≤2处。</w:t>
            </w:r>
          </w:p>
          <w:p>
            <w:pPr>
              <w:keepNext w:val="0"/>
              <w:keepLines w:val="0"/>
              <w:pageBreakBefore w:val="0"/>
              <w:widowControl/>
              <w:kinsoku/>
              <w:wordWrap/>
              <w:overflowPunct/>
              <w:topLinePunct w:val="0"/>
              <w:autoSpaceDE/>
              <w:autoSpaceDN/>
              <w:bidi w:val="0"/>
              <w:adjustRightInd/>
              <w:snapToGrid/>
              <w:spacing w:line="279" w:lineRule="auto"/>
              <w:ind w:left="-105" w:right="-105"/>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3、各种园林设施整洁卫生，无灰尘、污渍，无乱贴乱画。</w:t>
            </w:r>
          </w:p>
          <w:p>
            <w:pPr>
              <w:keepNext w:val="0"/>
              <w:keepLines w:val="0"/>
              <w:pageBreakBefore w:val="0"/>
              <w:widowControl/>
              <w:kinsoku/>
              <w:wordWrap/>
              <w:overflowPunct/>
              <w:topLinePunct w:val="0"/>
              <w:autoSpaceDE/>
              <w:autoSpaceDN/>
              <w:bidi w:val="0"/>
              <w:adjustRightInd/>
              <w:snapToGrid/>
              <w:spacing w:line="279" w:lineRule="auto"/>
              <w:ind w:left="-105" w:leftChars="0" w:right="-105"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4、水体清澈，无垃圾，无异味。</w:t>
            </w:r>
          </w:p>
        </w:tc>
        <w:tc>
          <w:tcPr>
            <w:tcW w:w="2771"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79" w:lineRule="auto"/>
              <w:ind w:left="-105" w:right="-105"/>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1、每天7:00-11:00，14:00-18：00实行全天候保洁。</w:t>
            </w:r>
          </w:p>
          <w:p>
            <w:pPr>
              <w:keepNext w:val="0"/>
              <w:keepLines w:val="0"/>
              <w:pageBreakBefore w:val="0"/>
              <w:widowControl/>
              <w:kinsoku/>
              <w:wordWrap/>
              <w:overflowPunct/>
              <w:topLinePunct w:val="0"/>
              <w:autoSpaceDE/>
              <w:autoSpaceDN/>
              <w:bidi w:val="0"/>
              <w:adjustRightInd/>
              <w:snapToGrid/>
              <w:spacing w:line="279" w:lineRule="auto"/>
              <w:ind w:left="-105" w:right="-105"/>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2、保持公园绿地内整洁干净，基本无建筑垃圾、生活垃圾，基本无树枝、树叶、草屑等生产垃圾，园路、广场内基本无杂草，无明显条状、块状污染物，点状污染物每100㎡≤4处。</w:t>
            </w:r>
          </w:p>
          <w:p>
            <w:pPr>
              <w:keepNext w:val="0"/>
              <w:keepLines w:val="0"/>
              <w:pageBreakBefore w:val="0"/>
              <w:widowControl/>
              <w:kinsoku/>
              <w:wordWrap/>
              <w:overflowPunct/>
              <w:topLinePunct w:val="0"/>
              <w:autoSpaceDE/>
              <w:autoSpaceDN/>
              <w:bidi w:val="0"/>
              <w:adjustRightInd/>
              <w:snapToGrid/>
              <w:spacing w:line="279" w:lineRule="auto"/>
              <w:ind w:left="-105" w:right="-105"/>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3、各种园林设施整洁卫生，基本无灰尘、污渍，无乱贴乱画。</w:t>
            </w:r>
          </w:p>
          <w:p>
            <w:pPr>
              <w:keepNext w:val="0"/>
              <w:keepLines w:val="0"/>
              <w:pageBreakBefore w:val="0"/>
              <w:widowControl/>
              <w:kinsoku/>
              <w:wordWrap/>
              <w:overflowPunct/>
              <w:topLinePunct w:val="0"/>
              <w:autoSpaceDE/>
              <w:autoSpaceDN/>
              <w:bidi w:val="0"/>
              <w:adjustRightInd/>
              <w:snapToGrid/>
              <w:spacing w:line="279" w:lineRule="auto"/>
              <w:ind w:left="-105" w:leftChars="0" w:right="-105"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4、水体无明显垃圾，无异味。</w:t>
            </w:r>
          </w:p>
        </w:tc>
        <w:tc>
          <w:tcPr>
            <w:tcW w:w="2726"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79" w:lineRule="auto"/>
              <w:ind w:left="-105" w:right="-105"/>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1、保持公园绿地内基本整洁干净，无明显建筑垃圾、生活垃圾，无明显树枝、树叶、草屑等生产垃圾积存，园路、广场内无明显条状、块状污染物。</w:t>
            </w:r>
          </w:p>
          <w:p>
            <w:pPr>
              <w:keepNext w:val="0"/>
              <w:keepLines w:val="0"/>
              <w:pageBreakBefore w:val="0"/>
              <w:widowControl/>
              <w:kinsoku/>
              <w:wordWrap/>
              <w:overflowPunct/>
              <w:topLinePunct w:val="0"/>
              <w:autoSpaceDE/>
              <w:autoSpaceDN/>
              <w:bidi w:val="0"/>
              <w:adjustRightInd/>
              <w:snapToGrid/>
              <w:spacing w:line="279" w:lineRule="auto"/>
              <w:ind w:left="-105" w:right="-105"/>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2、各种园林设施整洁卫生，无明显灰尘、污渍，无乱贴乱画。</w:t>
            </w:r>
          </w:p>
          <w:p>
            <w:pPr>
              <w:keepNext w:val="0"/>
              <w:keepLines w:val="0"/>
              <w:pageBreakBefore w:val="0"/>
              <w:widowControl/>
              <w:kinsoku/>
              <w:wordWrap/>
              <w:overflowPunct/>
              <w:topLinePunct w:val="0"/>
              <w:autoSpaceDE/>
              <w:autoSpaceDN/>
              <w:bidi w:val="0"/>
              <w:adjustRightInd/>
              <w:snapToGrid/>
              <w:spacing w:line="279" w:lineRule="auto"/>
              <w:ind w:left="-105" w:leftChars="0" w:right="-105"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3、水体无明显垃圾、异味。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5" w:leftChars="0" w:right="-105" w:rightChars="0"/>
              <w:jc w:val="center"/>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园林设施</w:t>
            </w:r>
          </w:p>
        </w:tc>
        <w:tc>
          <w:tcPr>
            <w:tcW w:w="3000"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79" w:lineRule="auto"/>
              <w:ind w:left="-105" w:right="-105"/>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1、各种园林设施完好安全，如有损坏需在2天内进行维修。</w:t>
            </w:r>
          </w:p>
          <w:p>
            <w:pPr>
              <w:keepNext w:val="0"/>
              <w:keepLines w:val="0"/>
              <w:pageBreakBefore w:val="0"/>
              <w:widowControl/>
              <w:kinsoku/>
              <w:wordWrap/>
              <w:overflowPunct/>
              <w:topLinePunct w:val="0"/>
              <w:autoSpaceDE/>
              <w:autoSpaceDN/>
              <w:bidi w:val="0"/>
              <w:adjustRightInd/>
              <w:snapToGrid/>
              <w:spacing w:line="279" w:lineRule="auto"/>
              <w:ind w:left="-105" w:right="-105"/>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2、铺装、道路破损每处不得大于0.2㎡，且每500㎡范围内≤2处。</w:t>
            </w:r>
          </w:p>
          <w:p>
            <w:pPr>
              <w:keepNext w:val="0"/>
              <w:keepLines w:val="0"/>
              <w:pageBreakBefore w:val="0"/>
              <w:widowControl/>
              <w:kinsoku/>
              <w:wordWrap/>
              <w:overflowPunct/>
              <w:topLinePunct w:val="0"/>
              <w:autoSpaceDE/>
              <w:autoSpaceDN/>
              <w:bidi w:val="0"/>
              <w:adjustRightInd/>
              <w:snapToGrid/>
              <w:spacing w:line="279" w:lineRule="auto"/>
              <w:ind w:left="-105" w:right="-105"/>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3、侧石破损每处不得大于0.5m，且每1000m内≤1处。</w:t>
            </w:r>
          </w:p>
          <w:p>
            <w:pPr>
              <w:keepNext w:val="0"/>
              <w:keepLines w:val="0"/>
              <w:pageBreakBefore w:val="0"/>
              <w:widowControl/>
              <w:kinsoku/>
              <w:wordWrap/>
              <w:overflowPunct/>
              <w:topLinePunct w:val="0"/>
              <w:autoSpaceDE/>
              <w:autoSpaceDN/>
              <w:bidi w:val="0"/>
              <w:adjustRightInd/>
              <w:snapToGrid/>
              <w:spacing w:line="279" w:lineRule="auto"/>
              <w:ind w:left="-105" w:leftChars="0" w:right="-105"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4、树木支撑整齐、牢固、完好。绿地内无残留树桩、铁件和破损支撑、设施等残留物。</w:t>
            </w:r>
          </w:p>
        </w:tc>
        <w:tc>
          <w:tcPr>
            <w:tcW w:w="277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5" w:right="-105"/>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1、各种园林设施完好安全，如有损坏需在5天内进行维修。</w:t>
            </w:r>
          </w:p>
          <w:p>
            <w:pPr>
              <w:keepNext w:val="0"/>
              <w:keepLines w:val="0"/>
              <w:pageBreakBefore w:val="0"/>
              <w:widowControl/>
              <w:kinsoku/>
              <w:wordWrap/>
              <w:overflowPunct/>
              <w:topLinePunct w:val="0"/>
              <w:autoSpaceDE/>
              <w:autoSpaceDN/>
              <w:bidi w:val="0"/>
              <w:adjustRightInd/>
              <w:snapToGrid/>
              <w:spacing w:line="279" w:lineRule="auto"/>
              <w:ind w:left="-105" w:right="-105"/>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2、铺装、道路破损每处不得大于0.5㎡，且每500㎡范围内≤3处。</w:t>
            </w:r>
          </w:p>
          <w:p>
            <w:pPr>
              <w:keepNext w:val="0"/>
              <w:keepLines w:val="0"/>
              <w:pageBreakBefore w:val="0"/>
              <w:widowControl/>
              <w:kinsoku/>
              <w:wordWrap/>
              <w:overflowPunct/>
              <w:topLinePunct w:val="0"/>
              <w:autoSpaceDE/>
              <w:autoSpaceDN/>
              <w:bidi w:val="0"/>
              <w:adjustRightInd/>
              <w:snapToGrid/>
              <w:spacing w:line="279" w:lineRule="auto"/>
              <w:ind w:left="-105" w:right="-105"/>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3、侧石破损每处不得大于1m，且每1000m内≤2处。</w:t>
            </w:r>
          </w:p>
          <w:p>
            <w:pPr>
              <w:keepNext w:val="0"/>
              <w:keepLines w:val="0"/>
              <w:pageBreakBefore w:val="0"/>
              <w:widowControl/>
              <w:kinsoku/>
              <w:wordWrap/>
              <w:overflowPunct/>
              <w:topLinePunct w:val="0"/>
              <w:autoSpaceDE/>
              <w:autoSpaceDN/>
              <w:bidi w:val="0"/>
              <w:adjustRightInd/>
              <w:snapToGrid/>
              <w:spacing w:line="279" w:lineRule="auto"/>
              <w:ind w:left="-105" w:leftChars="0" w:right="-105" w:rightChars="0"/>
              <w:jc w:val="left"/>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4、树木支撑牢固、完好。绿地内无残留树桩、铁件和破损支撑、设施等存在安全隐患的残留物。</w:t>
            </w:r>
          </w:p>
        </w:tc>
        <w:tc>
          <w:tcPr>
            <w:tcW w:w="272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79" w:lineRule="auto"/>
              <w:ind w:left="-105" w:right="-105"/>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1、各种园林设施安全，基本完好，如有损坏需在10天内进行维修。</w:t>
            </w:r>
          </w:p>
          <w:p>
            <w:pPr>
              <w:keepNext w:val="0"/>
              <w:keepLines w:val="0"/>
              <w:pageBreakBefore w:val="0"/>
              <w:widowControl/>
              <w:kinsoku/>
              <w:wordWrap/>
              <w:overflowPunct/>
              <w:topLinePunct w:val="0"/>
              <w:autoSpaceDE/>
              <w:autoSpaceDN/>
              <w:bidi w:val="0"/>
              <w:adjustRightInd/>
              <w:snapToGrid/>
              <w:spacing w:line="279" w:lineRule="auto"/>
              <w:ind w:left="-105" w:right="-105"/>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2、铺装、道路破损每处不得大于1㎡，且每500㎡范围内≤3处。</w:t>
            </w:r>
          </w:p>
          <w:p>
            <w:pPr>
              <w:keepNext w:val="0"/>
              <w:keepLines w:val="0"/>
              <w:pageBreakBefore w:val="0"/>
              <w:widowControl/>
              <w:kinsoku/>
              <w:wordWrap/>
              <w:overflowPunct/>
              <w:topLinePunct w:val="0"/>
              <w:autoSpaceDE/>
              <w:autoSpaceDN/>
              <w:bidi w:val="0"/>
              <w:adjustRightInd/>
              <w:snapToGrid/>
              <w:spacing w:line="279" w:lineRule="auto"/>
              <w:ind w:left="-105" w:right="-105"/>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3、侧石破损每处不得大于1m，且每1000m内≤3处。</w:t>
            </w:r>
          </w:p>
          <w:p>
            <w:pPr>
              <w:keepNext w:val="0"/>
              <w:keepLines w:val="0"/>
              <w:pageBreakBefore w:val="0"/>
              <w:widowControl/>
              <w:kinsoku/>
              <w:wordWrap/>
              <w:overflowPunct/>
              <w:topLinePunct w:val="0"/>
              <w:autoSpaceDE/>
              <w:autoSpaceDN/>
              <w:bidi w:val="0"/>
              <w:adjustRightInd/>
              <w:snapToGrid/>
              <w:spacing w:line="279" w:lineRule="auto"/>
              <w:ind w:left="-105" w:leftChars="0" w:right="-105" w:rightChars="0"/>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4、树木支撑牢固、基本完好。绿地内无残留树桩、铁件和破损支撑、设施等存在安全隐患的残留物。</w:t>
            </w:r>
          </w:p>
        </w:tc>
      </w:tr>
    </w:tbl>
    <w:p>
      <w:pPr>
        <w:widowControl/>
        <w:jc w:val="both"/>
        <w:outlineLvl w:val="0"/>
        <w:rPr>
          <w:rFonts w:hint="eastAsia" w:ascii="宋体" w:hAnsi="宋体" w:cs="宋体"/>
          <w:b/>
          <w:bCs/>
          <w:sz w:val="36"/>
          <w:szCs w:val="36"/>
        </w:rPr>
      </w:pPr>
      <w:r>
        <w:rPr>
          <w:rFonts w:hint="eastAsia" w:ascii="宋体" w:hAnsi="宋体" w:eastAsia="宋体" w:cs="宋体"/>
          <w:b/>
          <w:bCs/>
          <w:kern w:val="0"/>
          <w:sz w:val="22"/>
          <w:szCs w:val="22"/>
        </w:rPr>
        <w:t>8.3</w:t>
      </w:r>
      <w:r>
        <w:rPr>
          <w:rFonts w:hint="eastAsia" w:ascii="宋体" w:hAnsi="宋体" w:eastAsia="宋体" w:cs="宋体"/>
          <w:kern w:val="0"/>
          <w:sz w:val="22"/>
          <w:szCs w:val="22"/>
        </w:rPr>
        <w:t xml:space="preserve">  城市园林绿化养护管理分级标准中未明确的事项都按照2-7标准执行。</w:t>
      </w:r>
      <w:r>
        <w:rPr>
          <w:rFonts w:hint="eastAsia" w:ascii="宋体" w:hAnsi="宋体" w:cs="宋体"/>
          <w:b/>
          <w:bCs/>
          <w:sz w:val="36"/>
          <w:szCs w:val="36"/>
        </w:rPr>
        <w:t xml:space="preserve"> </w:t>
      </w:r>
    </w:p>
    <w:p>
      <w:pPr>
        <w:rPr>
          <w:rFonts w:hint="eastAsia" w:ascii="宋体" w:hAnsi="宋体" w:cs="宋体"/>
          <w:b/>
          <w:bCs/>
          <w:sz w:val="36"/>
          <w:szCs w:val="36"/>
        </w:rPr>
      </w:pPr>
      <w:r>
        <w:rPr>
          <w:rFonts w:hint="eastAsia" w:ascii="宋体" w:hAnsi="宋体" w:cs="宋体"/>
          <w:b/>
          <w:bCs/>
          <w:sz w:val="36"/>
          <w:szCs w:val="36"/>
        </w:rPr>
        <w:br w:type="page"/>
      </w:r>
    </w:p>
    <w:p>
      <w:pPr>
        <w:pStyle w:val="2"/>
        <w:rPr>
          <w:rFonts w:hint="eastAsia"/>
          <w:b/>
          <w:bCs/>
          <w:sz w:val="22"/>
          <w:szCs w:val="21"/>
          <w:lang w:val="en-US" w:eastAsia="zh-CN"/>
        </w:rPr>
      </w:pPr>
      <w:r>
        <w:rPr>
          <w:rFonts w:hint="eastAsia"/>
          <w:b/>
          <w:bCs/>
          <w:sz w:val="22"/>
          <w:szCs w:val="21"/>
          <w:lang w:val="en-US" w:eastAsia="zh-CN"/>
        </w:rPr>
        <w:t>合同附件2：</w:t>
      </w:r>
    </w:p>
    <w:p>
      <w:pPr>
        <w:pStyle w:val="2"/>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园林绿化市场化养护管理检查考核办法</w:t>
      </w:r>
    </w:p>
    <w:p>
      <w:pPr>
        <w:pStyle w:val="2"/>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rPr>
      </w:pPr>
      <w:r>
        <w:rPr>
          <w:rFonts w:hint="eastAsia"/>
        </w:rPr>
        <w:t>为促进园林绿地市场化养护管理工作规范化、制度化，进一步强化考核工作，提高养护管理水平，特制定本办法。</w:t>
      </w:r>
    </w:p>
    <w:p>
      <w:pPr>
        <w:pStyle w:val="2"/>
        <w:keepNext w:val="0"/>
        <w:keepLines w:val="0"/>
        <w:pageBreakBefore w:val="0"/>
        <w:widowControl/>
        <w:kinsoku/>
        <w:wordWrap/>
        <w:overflowPunct/>
        <w:topLinePunct w:val="0"/>
        <w:autoSpaceDE/>
        <w:autoSpaceDN/>
        <w:bidi w:val="0"/>
        <w:adjustRightInd/>
        <w:snapToGrid/>
        <w:spacing w:line="336" w:lineRule="auto"/>
        <w:textAlignment w:val="auto"/>
        <w:rPr>
          <w:rFonts w:hint="eastAsia"/>
        </w:rPr>
      </w:pPr>
      <w:r>
        <w:rPr>
          <w:rFonts w:hint="eastAsia"/>
        </w:rPr>
        <w:t>一、考核范围</w:t>
      </w:r>
    </w:p>
    <w:p>
      <w:pPr>
        <w:pStyle w:val="2"/>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rPr>
      </w:pPr>
      <w:r>
        <w:rPr>
          <w:rFonts w:hint="eastAsia"/>
        </w:rPr>
        <w:t>温岭市住房和城乡建设局实行市场化养护管理的城市公园绿地、道路绿地等。</w:t>
      </w:r>
    </w:p>
    <w:p>
      <w:pPr>
        <w:pStyle w:val="2"/>
        <w:keepNext w:val="0"/>
        <w:keepLines w:val="0"/>
        <w:pageBreakBefore w:val="0"/>
        <w:widowControl/>
        <w:kinsoku/>
        <w:wordWrap/>
        <w:overflowPunct/>
        <w:topLinePunct w:val="0"/>
        <w:autoSpaceDE/>
        <w:autoSpaceDN/>
        <w:bidi w:val="0"/>
        <w:adjustRightInd/>
        <w:snapToGrid/>
        <w:spacing w:line="336" w:lineRule="auto"/>
        <w:textAlignment w:val="auto"/>
        <w:rPr>
          <w:rFonts w:hint="eastAsia"/>
        </w:rPr>
      </w:pPr>
      <w:r>
        <w:rPr>
          <w:rFonts w:hint="eastAsia"/>
        </w:rPr>
        <w:t>二、考核内容</w:t>
      </w:r>
    </w:p>
    <w:p>
      <w:pPr>
        <w:pStyle w:val="2"/>
        <w:keepNext w:val="0"/>
        <w:keepLines w:val="0"/>
        <w:pageBreakBefore w:val="0"/>
        <w:widowControl/>
        <w:kinsoku/>
        <w:wordWrap/>
        <w:overflowPunct/>
        <w:topLinePunct w:val="0"/>
        <w:autoSpaceDE/>
        <w:autoSpaceDN/>
        <w:bidi w:val="0"/>
        <w:adjustRightInd/>
        <w:snapToGrid/>
        <w:spacing w:line="336" w:lineRule="auto"/>
        <w:textAlignment w:val="auto"/>
        <w:rPr>
          <w:rFonts w:hint="eastAsia"/>
        </w:rPr>
      </w:pPr>
      <w:r>
        <w:rPr>
          <w:rFonts w:hint="eastAsia"/>
        </w:rPr>
        <w:t xml:space="preserve">     园林绿化养护管理质量、安全文明施工、人员到位情况、台账资料、园林绿化管护、日常保洁、交办件及时处置情况等方面。</w:t>
      </w:r>
    </w:p>
    <w:p>
      <w:pPr>
        <w:pStyle w:val="2"/>
        <w:keepNext w:val="0"/>
        <w:keepLines w:val="0"/>
        <w:pageBreakBefore w:val="0"/>
        <w:widowControl/>
        <w:kinsoku/>
        <w:wordWrap/>
        <w:overflowPunct/>
        <w:topLinePunct w:val="0"/>
        <w:autoSpaceDE/>
        <w:autoSpaceDN/>
        <w:bidi w:val="0"/>
        <w:adjustRightInd/>
        <w:snapToGrid/>
        <w:spacing w:line="336" w:lineRule="auto"/>
        <w:textAlignment w:val="auto"/>
        <w:rPr>
          <w:rFonts w:hint="eastAsia"/>
        </w:rPr>
      </w:pPr>
      <w:r>
        <w:rPr>
          <w:rFonts w:hint="eastAsia"/>
        </w:rPr>
        <w:t xml:space="preserve">三、考核要求 </w:t>
      </w:r>
    </w:p>
    <w:p>
      <w:pPr>
        <w:pStyle w:val="2"/>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rPr>
      </w:pPr>
      <w:r>
        <w:rPr>
          <w:rFonts w:hint="eastAsia"/>
        </w:rPr>
        <w:t>温岭市园林绿化养护事务中心（以下简称园林中心）要组织有关人员对养护园林绿地养护情况进行日常巡查，并每月未开展1次集中考核。负责巡查、考核的人员应遵循公开、公平、公正的原则，按照《园林绿化市场化月考核评分表》，认真、严格、实事求是地考核评分，确保考核工作扎实有效。</w:t>
      </w:r>
    </w:p>
    <w:p>
      <w:pPr>
        <w:pStyle w:val="2"/>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rPr>
      </w:pPr>
      <w:r>
        <w:rPr>
          <w:rFonts w:hint="eastAsia"/>
        </w:rPr>
        <w:t>1、人员到位情况以查阅养护单位的考勤表和工作日记，并对照园林中心管理人员日常巡查记录确定实际到位情况。</w:t>
      </w:r>
    </w:p>
    <w:p>
      <w:pPr>
        <w:pStyle w:val="2"/>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rPr>
      </w:pPr>
      <w:r>
        <w:rPr>
          <w:rFonts w:hint="eastAsia"/>
        </w:rPr>
        <w:t>2、养护工作台账以实际查阅养护单位的台账为准。</w:t>
      </w:r>
    </w:p>
    <w:p>
      <w:pPr>
        <w:pStyle w:val="2"/>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rPr>
      </w:pPr>
      <w:r>
        <w:rPr>
          <w:rFonts w:hint="eastAsia"/>
        </w:rPr>
        <w:t>3、安全文明施工、巡查监管情况、树木生长、卫生保洁、交办件处置等以园林中心管理人员的《园林绿化养护日常考核记录表》记录为准。</w:t>
      </w:r>
    </w:p>
    <w:p>
      <w:pPr>
        <w:pStyle w:val="2"/>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rPr>
      </w:pPr>
      <w:r>
        <w:rPr>
          <w:rFonts w:hint="eastAsia"/>
        </w:rPr>
        <w:t>4、直接扣分项需附相关资料。</w:t>
      </w:r>
    </w:p>
    <w:p>
      <w:pPr>
        <w:pStyle w:val="2"/>
        <w:keepNext w:val="0"/>
        <w:keepLines w:val="0"/>
        <w:pageBreakBefore w:val="0"/>
        <w:widowControl/>
        <w:kinsoku/>
        <w:wordWrap/>
        <w:overflowPunct/>
        <w:topLinePunct w:val="0"/>
        <w:autoSpaceDE/>
        <w:autoSpaceDN/>
        <w:bidi w:val="0"/>
        <w:adjustRightInd/>
        <w:snapToGrid/>
        <w:spacing w:line="336" w:lineRule="auto"/>
        <w:textAlignment w:val="auto"/>
        <w:rPr>
          <w:rFonts w:hint="eastAsia"/>
        </w:rPr>
      </w:pPr>
      <w:r>
        <w:rPr>
          <w:rFonts w:hint="eastAsia"/>
        </w:rPr>
        <w:t>四、考核方式</w:t>
      </w:r>
    </w:p>
    <w:p>
      <w:pPr>
        <w:pStyle w:val="2"/>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rPr>
      </w:pPr>
      <w:r>
        <w:rPr>
          <w:rFonts w:hint="eastAsia"/>
        </w:rPr>
        <w:t>园林中心负责绿地养护管理的日常考核工作，考核采取百分制，每月考核汇总一次，考核结果及时由园林中心上报市住房和城乡建设局，并以书面形式通知养护单位，作为承包经费发放及扣除的依据。园林绿化养护考核采用日常考核与集中考核相结合的方式进行。</w:t>
      </w:r>
    </w:p>
    <w:p>
      <w:pPr>
        <w:pStyle w:val="2"/>
        <w:keepNext w:val="0"/>
        <w:keepLines w:val="0"/>
        <w:pageBreakBefore w:val="0"/>
        <w:widowControl/>
        <w:kinsoku/>
        <w:wordWrap/>
        <w:overflowPunct/>
        <w:topLinePunct w:val="0"/>
        <w:autoSpaceDE/>
        <w:autoSpaceDN/>
        <w:bidi w:val="0"/>
        <w:adjustRightInd/>
        <w:snapToGrid/>
        <w:spacing w:line="336" w:lineRule="auto"/>
        <w:textAlignment w:val="auto"/>
        <w:rPr>
          <w:rFonts w:hint="eastAsia"/>
        </w:rPr>
      </w:pPr>
      <w:r>
        <w:rPr>
          <w:rFonts w:hint="eastAsia"/>
        </w:rPr>
        <w:t xml:space="preserve">   （一）日常考核</w:t>
      </w:r>
    </w:p>
    <w:p>
      <w:pPr>
        <w:pStyle w:val="2"/>
        <w:keepNext w:val="0"/>
        <w:keepLines w:val="0"/>
        <w:pageBreakBefore w:val="0"/>
        <w:widowControl/>
        <w:kinsoku/>
        <w:wordWrap/>
        <w:overflowPunct/>
        <w:topLinePunct w:val="0"/>
        <w:autoSpaceDE/>
        <w:autoSpaceDN/>
        <w:bidi w:val="0"/>
        <w:adjustRightInd/>
        <w:snapToGrid/>
        <w:spacing w:line="336" w:lineRule="auto"/>
        <w:textAlignment w:val="auto"/>
        <w:rPr>
          <w:rFonts w:hint="eastAsia"/>
        </w:rPr>
      </w:pPr>
      <w:r>
        <w:rPr>
          <w:rFonts w:hint="eastAsia"/>
        </w:rPr>
        <w:t>日常考核由园林中心管理人员对各承包绿地进行日常巡查，按照《园林绿化市场化月考核评分表》要求，对发现的问题及时进行记录并通过交办件形式督促养护承包单位及时进行整改，并对安全文明施工、巡查监管情况、树木生长、卫生保洁、交办件处置等日常考核中发现的问题在《园林绿化养护日常考核记录表》中进行记录并扣分，在月末考核评分时进行汇总计分。</w:t>
      </w:r>
    </w:p>
    <w:p>
      <w:pPr>
        <w:pStyle w:val="2"/>
        <w:keepNext w:val="0"/>
        <w:keepLines w:val="0"/>
        <w:pageBreakBefore w:val="0"/>
        <w:widowControl/>
        <w:kinsoku/>
        <w:wordWrap/>
        <w:overflowPunct/>
        <w:topLinePunct w:val="0"/>
        <w:autoSpaceDE/>
        <w:autoSpaceDN/>
        <w:bidi w:val="0"/>
        <w:adjustRightInd/>
        <w:snapToGrid/>
        <w:spacing w:line="336" w:lineRule="auto"/>
        <w:ind w:firstLine="240" w:firstLineChars="100"/>
        <w:textAlignment w:val="auto"/>
        <w:rPr>
          <w:rFonts w:hint="eastAsia"/>
        </w:rPr>
      </w:pPr>
      <w:r>
        <w:rPr>
          <w:rFonts w:hint="eastAsia"/>
        </w:rPr>
        <w:t>（二）月末质量考核</w:t>
      </w:r>
    </w:p>
    <w:p>
      <w:pPr>
        <w:pStyle w:val="2"/>
        <w:keepNext w:val="0"/>
        <w:keepLines w:val="0"/>
        <w:pageBreakBefore w:val="0"/>
        <w:widowControl/>
        <w:kinsoku/>
        <w:wordWrap/>
        <w:overflowPunct/>
        <w:topLinePunct w:val="0"/>
        <w:autoSpaceDE/>
        <w:autoSpaceDN/>
        <w:bidi w:val="0"/>
        <w:adjustRightInd/>
        <w:snapToGrid/>
        <w:spacing w:line="336" w:lineRule="auto"/>
        <w:textAlignment w:val="auto"/>
        <w:rPr>
          <w:rFonts w:hint="eastAsia"/>
        </w:rPr>
      </w:pPr>
      <w:r>
        <w:rPr>
          <w:rFonts w:hint="eastAsia"/>
        </w:rPr>
        <w:t>月末质量考核在每月末组织1次，由园林中心负责邀请局办公室（纪检）、城乡科等相关科室人员及有关专家组成考核组，按照《园林绿化市场化养护绿地养护质量评分表》要求进行考核评分。考核组人员在局办公室（纪检）监督下进行讨论打分，确定扣分情况，汇总计算该标段实际得分。</w:t>
      </w:r>
    </w:p>
    <w:p>
      <w:pPr>
        <w:pStyle w:val="2"/>
        <w:keepNext w:val="0"/>
        <w:keepLines w:val="0"/>
        <w:pageBreakBefore w:val="0"/>
        <w:widowControl/>
        <w:kinsoku/>
        <w:wordWrap/>
        <w:overflowPunct/>
        <w:topLinePunct w:val="0"/>
        <w:autoSpaceDE/>
        <w:autoSpaceDN/>
        <w:bidi w:val="0"/>
        <w:adjustRightInd/>
        <w:snapToGrid/>
        <w:spacing w:line="336" w:lineRule="auto"/>
        <w:ind w:firstLine="240" w:firstLineChars="100"/>
        <w:textAlignment w:val="auto"/>
        <w:rPr>
          <w:rFonts w:hint="eastAsia"/>
        </w:rPr>
      </w:pPr>
      <w:r>
        <w:rPr>
          <w:rFonts w:hint="eastAsia"/>
        </w:rPr>
        <w:t>（三）月考核评分</w:t>
      </w:r>
    </w:p>
    <w:p>
      <w:pPr>
        <w:pStyle w:val="2"/>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rPr>
      </w:pPr>
      <w:r>
        <w:rPr>
          <w:rFonts w:hint="eastAsia"/>
        </w:rPr>
        <w:t>月考核评分和月末质量考核同时进行，查阅相关台账资料及日常考核记录，按照《园林绿化市场化月考核评分表》进行打分，确定各标段该月考核实际得分。</w:t>
      </w:r>
    </w:p>
    <w:p>
      <w:pPr>
        <w:pStyle w:val="2"/>
        <w:keepNext w:val="0"/>
        <w:keepLines w:val="0"/>
        <w:pageBreakBefore w:val="0"/>
        <w:widowControl/>
        <w:kinsoku/>
        <w:wordWrap/>
        <w:overflowPunct/>
        <w:topLinePunct w:val="0"/>
        <w:autoSpaceDE/>
        <w:autoSpaceDN/>
        <w:bidi w:val="0"/>
        <w:adjustRightInd/>
        <w:snapToGrid/>
        <w:spacing w:line="336" w:lineRule="auto"/>
        <w:textAlignment w:val="auto"/>
        <w:rPr>
          <w:rFonts w:hint="eastAsia"/>
        </w:rPr>
      </w:pPr>
      <w:r>
        <w:rPr>
          <w:rFonts w:hint="eastAsia"/>
        </w:rPr>
        <w:t xml:space="preserve">五、考核运用  </w:t>
      </w:r>
    </w:p>
    <w:p>
      <w:pPr>
        <w:pStyle w:val="2"/>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rPr>
      </w:pPr>
      <w:r>
        <w:rPr>
          <w:rFonts w:hint="eastAsia"/>
        </w:rPr>
        <w:t>1.考核分数在95分（含）以上为“优秀”，全额拨付月养护经费；95分以上每增1分，奖励月养护经费的1%；</w:t>
      </w:r>
    </w:p>
    <w:p>
      <w:pPr>
        <w:pStyle w:val="2"/>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rPr>
      </w:pPr>
      <w:r>
        <w:rPr>
          <w:rFonts w:hint="eastAsia"/>
        </w:rPr>
        <w:t>2.考核分数在90分（含）以上至95分为“良好”，全额拨付月养护经费；</w:t>
      </w:r>
    </w:p>
    <w:p>
      <w:pPr>
        <w:pStyle w:val="2"/>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rPr>
      </w:pPr>
      <w:r>
        <w:rPr>
          <w:rFonts w:hint="eastAsia"/>
        </w:rPr>
        <w:t>3.考核分数在70（含）以上至90分以下为“合格”，每少1分，扣除月养护经费的1%；</w:t>
      </w:r>
    </w:p>
    <w:p>
      <w:pPr>
        <w:pStyle w:val="2"/>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rPr>
      </w:pPr>
      <w:r>
        <w:rPr>
          <w:rFonts w:hint="eastAsia"/>
        </w:rPr>
        <w:t>4.考核分数低于70分为“不合格”，仅支付50%的月养护经费。</w:t>
      </w:r>
    </w:p>
    <w:p>
      <w:pPr>
        <w:pStyle w:val="2"/>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rPr>
      </w:pPr>
      <w:r>
        <w:rPr>
          <w:rFonts w:hint="eastAsia"/>
        </w:rPr>
        <w:t>5.对于月考核分数低于70分或养管单位在养护期间私自转包的以及其他行为给甲方造成严重不良影响的，绿化管理单位有权立即终止养护合同，并取消乙方一年内在甲方所有绿化养护承包竞标的竞标人资格。</w:t>
      </w:r>
    </w:p>
    <w:p>
      <w:pPr>
        <w:pStyle w:val="2"/>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rPr>
      </w:pPr>
      <w:r>
        <w:rPr>
          <w:rFonts w:hint="eastAsia"/>
        </w:rPr>
        <w:t>6.养护合同每年签订，对于当年累计三次月考核分小于80分或年平均考核得分小于85分的，绿化管理单位有权不续签养护合同，可对该标段重新进行养护招标，并取消该绿化养护承包公司对该标段的新一轮承包竞标人资格。</w:t>
      </w:r>
    </w:p>
    <w:p>
      <w:pPr>
        <w:pStyle w:val="2"/>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rPr>
      </w:pPr>
      <w:r>
        <w:rPr>
          <w:rFonts w:hint="eastAsia"/>
        </w:rPr>
        <w:t>7. 养护中心要将考核结果以书面形式及时通知养护单位，作为拨付养护经费的依据。</w:t>
      </w:r>
    </w:p>
    <w:p>
      <w:pPr>
        <w:widowControl/>
        <w:jc w:val="center"/>
        <w:outlineLvl w:val="0"/>
        <w:rPr>
          <w:rFonts w:hint="eastAsia" w:ascii="宋体" w:hAnsi="宋体" w:cs="宋体"/>
          <w:b/>
          <w:bCs/>
          <w:sz w:val="36"/>
          <w:szCs w:val="36"/>
        </w:rPr>
        <w:sectPr>
          <w:footerReference r:id="rId5" w:type="default"/>
          <w:pgSz w:w="11905" w:h="16838"/>
          <w:pgMar w:top="1440" w:right="1157" w:bottom="1440" w:left="1928" w:header="1134" w:footer="1304" w:gutter="0"/>
          <w:pgBorders>
            <w:top w:val="none" w:sz="0" w:space="0"/>
            <w:left w:val="none" w:sz="0" w:space="0"/>
            <w:bottom w:val="none" w:sz="0" w:space="0"/>
            <w:right w:val="none" w:sz="0" w:space="0"/>
          </w:pgBorders>
          <w:pgNumType w:fmt="decimal"/>
          <w:cols w:space="0" w:num="1"/>
          <w:rtlGutter w:val="0"/>
          <w:docGrid w:type="linesAndChars" w:linePitch="315" w:charSpace="0"/>
        </w:sectPr>
      </w:pPr>
    </w:p>
    <w:p>
      <w:pPr>
        <w:pStyle w:val="2"/>
        <w:rPr>
          <w:rFonts w:hint="eastAsia"/>
          <w:b/>
          <w:bCs/>
          <w:sz w:val="22"/>
          <w:szCs w:val="21"/>
          <w:lang w:val="en-US" w:eastAsia="zh-CN"/>
        </w:rPr>
      </w:pPr>
      <w:r>
        <w:rPr>
          <w:rFonts w:hint="eastAsia"/>
          <w:b/>
          <w:bCs/>
          <w:sz w:val="22"/>
          <w:szCs w:val="21"/>
          <w:lang w:val="en-US" w:eastAsia="zh-CN"/>
        </w:rPr>
        <w:t>合同附件3：</w:t>
      </w:r>
    </w:p>
    <w:p>
      <w:pPr>
        <w:pStyle w:val="2"/>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园林绿化市场化月考核评分表</w:t>
      </w:r>
    </w:p>
    <w:p>
      <w:pPr>
        <w:pStyle w:val="2"/>
        <w:jc w:val="center"/>
        <w:rPr>
          <w:rFonts w:hint="eastAsia" w:ascii="宋体" w:hAnsi="宋体" w:eastAsia="宋体" w:cs="宋体"/>
          <w:b/>
          <w:bCs/>
          <w:kern w:val="2"/>
          <w:sz w:val="28"/>
          <w:szCs w:val="28"/>
          <w:lang w:val="en-US" w:eastAsia="zh-CN" w:bidi="ar-SA"/>
        </w:rPr>
      </w:pPr>
    </w:p>
    <w:tbl>
      <w:tblPr>
        <w:tblStyle w:val="29"/>
        <w:tblpPr w:leftFromText="180" w:rightFromText="180" w:vertAnchor="page" w:horzAnchor="page" w:tblpX="1636" w:tblpY="3117"/>
        <w:tblW w:w="13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500"/>
        <w:gridCol w:w="1080"/>
        <w:gridCol w:w="7380"/>
        <w:gridCol w:w="1200"/>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2805" w:type="dxa"/>
            <w:gridSpan w:val="2"/>
            <w:vAlign w:val="center"/>
          </w:tcPr>
          <w:p>
            <w:pPr>
              <w:spacing w:line="240" w:lineRule="exact"/>
              <w:jc w:val="center"/>
              <w:rPr>
                <w:rFonts w:hint="eastAsia" w:ascii="宋体" w:hAnsi="宋体" w:eastAsia="宋体" w:cs="宋体"/>
                <w:b/>
                <w:bCs/>
                <w:kern w:val="0"/>
                <w:sz w:val="21"/>
                <w:szCs w:val="21"/>
              </w:rPr>
            </w:pPr>
            <w:r>
              <w:rPr>
                <w:rFonts w:hint="eastAsia" w:ascii="宋体" w:hAnsi="宋体" w:eastAsia="宋体" w:cs="宋体"/>
                <w:b/>
                <w:bCs/>
                <w:kern w:val="0"/>
                <w:sz w:val="20"/>
                <w:szCs w:val="21"/>
              </w:rPr>
              <w:br w:type="page"/>
            </w:r>
            <w:r>
              <w:rPr>
                <w:rFonts w:hint="eastAsia" w:ascii="宋体" w:hAnsi="宋体" w:eastAsia="宋体" w:cs="宋体"/>
                <w:b/>
                <w:bCs/>
                <w:kern w:val="0"/>
                <w:sz w:val="20"/>
                <w:szCs w:val="21"/>
              </w:rPr>
              <w:br w:type="page"/>
            </w:r>
            <w:r>
              <w:rPr>
                <w:rFonts w:hint="eastAsia" w:ascii="宋体" w:hAnsi="宋体" w:eastAsia="宋体" w:cs="宋体"/>
                <w:b/>
                <w:bCs/>
                <w:kern w:val="0"/>
                <w:sz w:val="21"/>
                <w:szCs w:val="21"/>
              </w:rPr>
              <w:t>考核项目</w:t>
            </w:r>
          </w:p>
        </w:tc>
        <w:tc>
          <w:tcPr>
            <w:tcW w:w="1080" w:type="dxa"/>
            <w:vAlign w:val="center"/>
          </w:tcPr>
          <w:p>
            <w:pPr>
              <w:spacing w:line="2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考核分</w:t>
            </w:r>
          </w:p>
        </w:tc>
        <w:tc>
          <w:tcPr>
            <w:tcW w:w="7380" w:type="dxa"/>
            <w:vAlign w:val="center"/>
          </w:tcPr>
          <w:p>
            <w:pPr>
              <w:spacing w:line="24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考核评分办法</w:t>
            </w:r>
          </w:p>
        </w:tc>
        <w:tc>
          <w:tcPr>
            <w:tcW w:w="1200" w:type="dxa"/>
            <w:vAlign w:val="center"/>
          </w:tcPr>
          <w:p>
            <w:pPr>
              <w:spacing w:line="28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考核情况</w:t>
            </w:r>
          </w:p>
        </w:tc>
        <w:tc>
          <w:tcPr>
            <w:tcW w:w="1493" w:type="dxa"/>
            <w:vAlign w:val="center"/>
          </w:tcPr>
          <w:p>
            <w:pPr>
              <w:spacing w:line="28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805" w:type="dxa"/>
            <w:gridSpan w:val="2"/>
            <w:shd w:val="clear" w:color="auto" w:fill="auto"/>
            <w:vAlign w:val="center"/>
          </w:tcPr>
          <w:p>
            <w:pPr>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月末养护质量集中考核</w:t>
            </w:r>
          </w:p>
        </w:tc>
        <w:tc>
          <w:tcPr>
            <w:tcW w:w="1080" w:type="dxa"/>
            <w:shd w:val="clear" w:color="auto" w:fill="auto"/>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7380" w:type="dxa"/>
            <w:shd w:val="clear" w:color="auto" w:fill="auto"/>
            <w:vAlign w:val="center"/>
          </w:tcPr>
          <w:p>
            <w:pPr>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按照各级绿地养护质量评分表进行考核打分。</w:t>
            </w:r>
          </w:p>
        </w:tc>
        <w:tc>
          <w:tcPr>
            <w:tcW w:w="1200" w:type="dxa"/>
            <w:shd w:val="clear" w:color="auto" w:fill="auto"/>
            <w:vAlign w:val="center"/>
          </w:tcPr>
          <w:p>
            <w:pPr>
              <w:spacing w:line="280" w:lineRule="exact"/>
              <w:rPr>
                <w:rFonts w:hint="eastAsia" w:ascii="宋体" w:hAnsi="宋体" w:eastAsia="宋体" w:cs="宋体"/>
                <w:kern w:val="0"/>
                <w:sz w:val="21"/>
                <w:szCs w:val="21"/>
              </w:rPr>
            </w:pPr>
          </w:p>
        </w:tc>
        <w:tc>
          <w:tcPr>
            <w:tcW w:w="1493" w:type="dxa"/>
            <w:shd w:val="clear" w:color="auto" w:fill="auto"/>
            <w:vAlign w:val="center"/>
          </w:tcPr>
          <w:p>
            <w:pPr>
              <w:spacing w:line="280" w:lineRule="exac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305" w:type="dxa"/>
            <w:vMerge w:val="restart"/>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月考核</w:t>
            </w:r>
          </w:p>
        </w:tc>
        <w:tc>
          <w:tcPr>
            <w:tcW w:w="1500" w:type="dxa"/>
            <w:vAlign w:val="center"/>
          </w:tcPr>
          <w:p>
            <w:pPr>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人员到位情况</w:t>
            </w:r>
          </w:p>
        </w:tc>
        <w:tc>
          <w:tcPr>
            <w:tcW w:w="1080" w:type="dxa"/>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7380" w:type="dxa"/>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管养机构健全，人员配备到位，工作职责明确，保洁修剪人员到位到岗。项目负责人每月到位不少于22天，每少一天扣1分；园林工人日均数不少于合同约定人数，每少一人扣1分。</w:t>
            </w:r>
          </w:p>
        </w:tc>
        <w:tc>
          <w:tcPr>
            <w:tcW w:w="1200" w:type="dxa"/>
            <w:vAlign w:val="center"/>
          </w:tcPr>
          <w:p>
            <w:pPr>
              <w:spacing w:line="280" w:lineRule="exact"/>
              <w:rPr>
                <w:rFonts w:hint="eastAsia" w:ascii="宋体" w:hAnsi="宋体" w:eastAsia="宋体" w:cs="宋体"/>
                <w:kern w:val="0"/>
                <w:sz w:val="21"/>
                <w:szCs w:val="21"/>
              </w:rPr>
            </w:pPr>
          </w:p>
        </w:tc>
        <w:tc>
          <w:tcPr>
            <w:tcW w:w="1493" w:type="dxa"/>
            <w:vAlign w:val="center"/>
          </w:tcPr>
          <w:p>
            <w:pPr>
              <w:spacing w:line="280" w:lineRule="exac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305" w:type="dxa"/>
            <w:vMerge w:val="continue"/>
            <w:vAlign w:val="center"/>
          </w:tcPr>
          <w:p>
            <w:pPr>
              <w:spacing w:line="240" w:lineRule="exact"/>
              <w:jc w:val="left"/>
              <w:rPr>
                <w:rFonts w:hint="eastAsia" w:ascii="宋体" w:hAnsi="宋体" w:eastAsia="宋体" w:cs="宋体"/>
                <w:kern w:val="0"/>
                <w:sz w:val="21"/>
                <w:szCs w:val="21"/>
              </w:rPr>
            </w:pPr>
          </w:p>
        </w:tc>
        <w:tc>
          <w:tcPr>
            <w:tcW w:w="1500" w:type="dxa"/>
            <w:vAlign w:val="center"/>
          </w:tcPr>
          <w:p>
            <w:pPr>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养护工作台帐</w:t>
            </w:r>
          </w:p>
        </w:tc>
        <w:tc>
          <w:tcPr>
            <w:tcW w:w="1080" w:type="dxa"/>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7380" w:type="dxa"/>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建立月工作计划与工作日志，每周五上报本周和下周工作计划，当月25日前上报下月详细工作计划，做好工作情况记录。每少一部分扣0.5分。养护日常记录真实齐全，台账记录不全视情扣0.1-1分。</w:t>
            </w:r>
          </w:p>
        </w:tc>
        <w:tc>
          <w:tcPr>
            <w:tcW w:w="1200" w:type="dxa"/>
            <w:vAlign w:val="center"/>
          </w:tcPr>
          <w:p>
            <w:pPr>
              <w:spacing w:line="280" w:lineRule="exact"/>
              <w:rPr>
                <w:rFonts w:hint="eastAsia" w:ascii="宋体" w:hAnsi="宋体" w:eastAsia="宋体" w:cs="宋体"/>
                <w:kern w:val="0"/>
                <w:sz w:val="21"/>
                <w:szCs w:val="21"/>
              </w:rPr>
            </w:pPr>
          </w:p>
        </w:tc>
        <w:tc>
          <w:tcPr>
            <w:tcW w:w="1493" w:type="dxa"/>
            <w:vAlign w:val="center"/>
          </w:tcPr>
          <w:p>
            <w:pPr>
              <w:spacing w:line="280" w:lineRule="exac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4" w:hRule="atLeast"/>
        </w:trPr>
        <w:tc>
          <w:tcPr>
            <w:tcW w:w="1305" w:type="dxa"/>
            <w:vMerge w:val="restart"/>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日常考核</w:t>
            </w:r>
          </w:p>
        </w:tc>
        <w:tc>
          <w:tcPr>
            <w:tcW w:w="1500" w:type="dxa"/>
            <w:vAlign w:val="center"/>
          </w:tcPr>
          <w:p>
            <w:pPr>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安全文明施工</w:t>
            </w:r>
          </w:p>
        </w:tc>
        <w:tc>
          <w:tcPr>
            <w:tcW w:w="1080" w:type="dxa"/>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7380" w:type="dxa"/>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管养人员定人定岗定时，统一着装，文明作业，管养操作规范。每出现一次安全责任事故扣3分；对发现有安全隐患的树木、设施或作业现场而未做安全防护措施，每次扣1分，有严重安全隐患而未做安全防护措施的每次扣3分；设置不规范，每次扣1分；养护工人未统一着装（有明显反光标志）每人次扣0.1分。</w:t>
            </w:r>
          </w:p>
        </w:tc>
        <w:tc>
          <w:tcPr>
            <w:tcW w:w="1200" w:type="dxa"/>
            <w:vAlign w:val="center"/>
          </w:tcPr>
          <w:p>
            <w:pPr>
              <w:spacing w:line="280" w:lineRule="exact"/>
              <w:rPr>
                <w:rFonts w:hint="eastAsia" w:ascii="宋体" w:hAnsi="宋体" w:eastAsia="宋体" w:cs="宋体"/>
                <w:kern w:val="0"/>
                <w:sz w:val="21"/>
                <w:szCs w:val="21"/>
              </w:rPr>
            </w:pPr>
          </w:p>
        </w:tc>
        <w:tc>
          <w:tcPr>
            <w:tcW w:w="1493" w:type="dxa"/>
            <w:vAlign w:val="center"/>
          </w:tcPr>
          <w:p>
            <w:pPr>
              <w:spacing w:line="280" w:lineRule="exac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4" w:hRule="atLeast"/>
        </w:trPr>
        <w:tc>
          <w:tcPr>
            <w:tcW w:w="1305" w:type="dxa"/>
            <w:vMerge w:val="continue"/>
            <w:vAlign w:val="center"/>
          </w:tcPr>
          <w:p>
            <w:pPr>
              <w:spacing w:line="240" w:lineRule="exact"/>
              <w:rPr>
                <w:rFonts w:hint="eastAsia" w:ascii="宋体" w:hAnsi="宋体" w:eastAsia="宋体" w:cs="宋体"/>
                <w:kern w:val="0"/>
                <w:sz w:val="21"/>
                <w:szCs w:val="21"/>
              </w:rPr>
            </w:pPr>
          </w:p>
        </w:tc>
        <w:tc>
          <w:tcPr>
            <w:tcW w:w="1500" w:type="dxa"/>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巡查监管情况</w:t>
            </w:r>
          </w:p>
        </w:tc>
        <w:tc>
          <w:tcPr>
            <w:tcW w:w="1080" w:type="dxa"/>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738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加强绿化及园林设施巡查。对未经批准，擅自占用、改变绿地或擅自砍伐、移植、修剪树木等破坏绿化行为的要及时制止并上报，24小时内未制止或上报的，每起扣0.5分。在公园绿地内晾晒衣物、停放车辆、攀折枝条、倾倒垃圾杂物、损坏设施等破坏绿化的现象及时制止或处置，并及时上报，未处置或上报的每发现一起扣0.1分。</w:t>
            </w:r>
          </w:p>
        </w:tc>
        <w:tc>
          <w:tcPr>
            <w:tcW w:w="1200" w:type="dxa"/>
            <w:vAlign w:val="center"/>
          </w:tcPr>
          <w:p>
            <w:pPr>
              <w:spacing w:line="280" w:lineRule="exact"/>
              <w:rPr>
                <w:rFonts w:hint="eastAsia" w:ascii="宋体" w:hAnsi="宋体" w:eastAsia="宋体" w:cs="宋体"/>
                <w:kern w:val="0"/>
                <w:sz w:val="21"/>
                <w:szCs w:val="21"/>
              </w:rPr>
            </w:pPr>
          </w:p>
        </w:tc>
        <w:tc>
          <w:tcPr>
            <w:tcW w:w="1493" w:type="dxa"/>
            <w:vAlign w:val="center"/>
          </w:tcPr>
          <w:p>
            <w:pPr>
              <w:spacing w:line="280" w:lineRule="exac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305" w:type="dxa"/>
            <w:vMerge w:val="continue"/>
            <w:vAlign w:val="center"/>
          </w:tcPr>
          <w:p>
            <w:pPr>
              <w:spacing w:line="240" w:lineRule="exact"/>
              <w:rPr>
                <w:rFonts w:hint="eastAsia" w:ascii="宋体" w:hAnsi="宋体" w:eastAsia="宋体" w:cs="宋体"/>
                <w:kern w:val="0"/>
                <w:sz w:val="21"/>
                <w:szCs w:val="21"/>
              </w:rPr>
            </w:pPr>
          </w:p>
        </w:tc>
        <w:tc>
          <w:tcPr>
            <w:tcW w:w="1500" w:type="dxa"/>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树木生长</w:t>
            </w:r>
          </w:p>
        </w:tc>
        <w:tc>
          <w:tcPr>
            <w:tcW w:w="1080" w:type="dxa"/>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738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因养护管理不到位造成树木超过1/3枝条枯死的，每株乔木或球类扣0.2分，灌木集中死亡超过1㎡，草坪地被超过10㎡的，每处扣0.2分；因养护管理不到位造成树木严重生长不良的，每株乔木或球类扣0.1分，灌木超过1㎡，草坪地被超过10㎡的，每处扣0.1分。</w:t>
            </w:r>
          </w:p>
        </w:tc>
        <w:tc>
          <w:tcPr>
            <w:tcW w:w="1200" w:type="dxa"/>
            <w:vAlign w:val="center"/>
          </w:tcPr>
          <w:p>
            <w:pPr>
              <w:spacing w:line="280" w:lineRule="exact"/>
              <w:rPr>
                <w:rFonts w:hint="eastAsia" w:ascii="宋体" w:hAnsi="宋体" w:eastAsia="宋体" w:cs="宋体"/>
                <w:kern w:val="0"/>
                <w:sz w:val="21"/>
                <w:szCs w:val="21"/>
              </w:rPr>
            </w:pPr>
          </w:p>
        </w:tc>
        <w:tc>
          <w:tcPr>
            <w:tcW w:w="1493" w:type="dxa"/>
            <w:vAlign w:val="center"/>
          </w:tcPr>
          <w:p>
            <w:pPr>
              <w:spacing w:line="280" w:lineRule="exac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305" w:type="dxa"/>
            <w:vMerge w:val="continue"/>
            <w:vAlign w:val="center"/>
          </w:tcPr>
          <w:p>
            <w:pPr>
              <w:spacing w:line="240" w:lineRule="exact"/>
              <w:rPr>
                <w:rFonts w:hint="eastAsia" w:ascii="宋体" w:hAnsi="宋体" w:eastAsia="宋体" w:cs="宋体"/>
                <w:kern w:val="0"/>
                <w:sz w:val="20"/>
                <w:szCs w:val="21"/>
              </w:rPr>
            </w:pPr>
          </w:p>
        </w:tc>
        <w:tc>
          <w:tcPr>
            <w:tcW w:w="1500" w:type="dxa"/>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灌木草坪修剪</w:t>
            </w:r>
          </w:p>
        </w:tc>
        <w:tc>
          <w:tcPr>
            <w:tcW w:w="1080" w:type="dxa"/>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738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0"/>
                <w:sz w:val="20"/>
                <w:szCs w:val="21"/>
              </w:rPr>
            </w:pPr>
            <w:r>
              <w:rPr>
                <w:rFonts w:hint="eastAsia" w:ascii="宋体" w:hAnsi="宋体" w:eastAsia="宋体" w:cs="宋体"/>
                <w:kern w:val="0"/>
                <w:sz w:val="20"/>
                <w:szCs w:val="21"/>
              </w:rPr>
              <w:t>因未及时安排修剪造成灌木、草坪过长，对景观造成影响的，每发现一处扣0.5分，通知后三日内未进行处理的，扣一分，严重影响景观效果的，扣2分。</w:t>
            </w:r>
          </w:p>
        </w:tc>
        <w:tc>
          <w:tcPr>
            <w:tcW w:w="1200" w:type="dxa"/>
            <w:vAlign w:val="center"/>
          </w:tcPr>
          <w:p>
            <w:pPr>
              <w:spacing w:line="280" w:lineRule="exact"/>
              <w:rPr>
                <w:rFonts w:hint="eastAsia" w:ascii="宋体" w:hAnsi="宋体" w:eastAsia="宋体" w:cs="宋体"/>
                <w:kern w:val="0"/>
                <w:sz w:val="20"/>
                <w:szCs w:val="21"/>
              </w:rPr>
            </w:pPr>
          </w:p>
        </w:tc>
        <w:tc>
          <w:tcPr>
            <w:tcW w:w="1493" w:type="dxa"/>
            <w:vAlign w:val="center"/>
          </w:tcPr>
          <w:p>
            <w:pPr>
              <w:spacing w:line="280" w:lineRule="exact"/>
              <w:rPr>
                <w:rFonts w:hint="eastAsia" w:ascii="宋体" w:hAnsi="宋体" w:eastAsia="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305" w:type="dxa"/>
            <w:vMerge w:val="continue"/>
            <w:vAlign w:val="center"/>
          </w:tcPr>
          <w:p>
            <w:pPr>
              <w:spacing w:line="240" w:lineRule="exact"/>
              <w:rPr>
                <w:rFonts w:hint="eastAsia" w:ascii="宋体" w:hAnsi="宋体" w:eastAsia="宋体" w:cs="宋体"/>
                <w:kern w:val="0"/>
                <w:sz w:val="21"/>
                <w:szCs w:val="21"/>
              </w:rPr>
            </w:pPr>
          </w:p>
        </w:tc>
        <w:tc>
          <w:tcPr>
            <w:tcW w:w="1500" w:type="dxa"/>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卫生保洁</w:t>
            </w:r>
          </w:p>
        </w:tc>
        <w:tc>
          <w:tcPr>
            <w:tcW w:w="1080" w:type="dxa"/>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738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发现有明显陈旧、积存垃圾（包括生产垃圾）每起扣0.2分；有明显积尘、污渍、乱贴乱画的每起扣0.1分。保洁人员在规定保洁时间未到位的每人次扣0.2分。</w:t>
            </w:r>
          </w:p>
        </w:tc>
        <w:tc>
          <w:tcPr>
            <w:tcW w:w="1200" w:type="dxa"/>
            <w:vAlign w:val="center"/>
          </w:tcPr>
          <w:p>
            <w:pPr>
              <w:spacing w:line="280" w:lineRule="exact"/>
              <w:rPr>
                <w:rFonts w:hint="eastAsia" w:ascii="宋体" w:hAnsi="宋体" w:eastAsia="宋体" w:cs="宋体"/>
                <w:kern w:val="0"/>
                <w:sz w:val="21"/>
                <w:szCs w:val="21"/>
              </w:rPr>
            </w:pPr>
          </w:p>
        </w:tc>
        <w:tc>
          <w:tcPr>
            <w:tcW w:w="1493" w:type="dxa"/>
            <w:vAlign w:val="center"/>
          </w:tcPr>
          <w:p>
            <w:pPr>
              <w:spacing w:line="280" w:lineRule="exac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305" w:type="dxa"/>
            <w:vMerge w:val="continue"/>
            <w:vAlign w:val="center"/>
          </w:tcPr>
          <w:p>
            <w:pPr>
              <w:spacing w:line="240" w:lineRule="exact"/>
              <w:rPr>
                <w:rFonts w:hint="eastAsia" w:ascii="宋体" w:hAnsi="宋体" w:eastAsia="宋体" w:cs="宋体"/>
                <w:kern w:val="0"/>
                <w:sz w:val="21"/>
                <w:szCs w:val="21"/>
              </w:rPr>
            </w:pPr>
          </w:p>
        </w:tc>
        <w:tc>
          <w:tcPr>
            <w:tcW w:w="1500" w:type="dxa"/>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交办件处置</w:t>
            </w:r>
          </w:p>
        </w:tc>
        <w:tc>
          <w:tcPr>
            <w:tcW w:w="1080" w:type="dxa"/>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738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整改通知及时落实到位并反馈；及时处理抢险救灾等突发事件，无社会投诉和媒体曝光；及时处理数字城管，发现毁绿违规现象，及时上报。养护中心日常巡查交办件、数字城管案卷、信访件等交办事项未按时处置完成的每件扣1分，因养护不到位被相关部门等通报每件扣3分，被媒体曝光或市民投诉造成不良影响的每件扣5分。</w:t>
            </w:r>
          </w:p>
        </w:tc>
        <w:tc>
          <w:tcPr>
            <w:tcW w:w="1200" w:type="dxa"/>
            <w:vAlign w:val="center"/>
          </w:tcPr>
          <w:p>
            <w:pPr>
              <w:spacing w:line="280" w:lineRule="exact"/>
              <w:rPr>
                <w:rFonts w:hint="eastAsia" w:ascii="宋体" w:hAnsi="宋体" w:eastAsia="宋体" w:cs="宋体"/>
                <w:kern w:val="0"/>
                <w:sz w:val="21"/>
                <w:szCs w:val="21"/>
              </w:rPr>
            </w:pPr>
          </w:p>
        </w:tc>
        <w:tc>
          <w:tcPr>
            <w:tcW w:w="1493" w:type="dxa"/>
            <w:vAlign w:val="center"/>
          </w:tcPr>
          <w:p>
            <w:pPr>
              <w:spacing w:line="280" w:lineRule="exac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2805" w:type="dxa"/>
            <w:gridSpan w:val="2"/>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直接扣分项</w:t>
            </w:r>
          </w:p>
        </w:tc>
        <w:tc>
          <w:tcPr>
            <w:tcW w:w="1080" w:type="dxa"/>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在上述得分外再扣分</w:t>
            </w:r>
          </w:p>
        </w:tc>
        <w:tc>
          <w:tcPr>
            <w:tcW w:w="738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1、因养护管理或防灾措施不到位造成某绿地或道路树木集中死亡或严重生长不良，乔木或球类超过10株、灌木超过10㎡，草坪地被超过100㎡的，每处加扣3分，总扣分不超过10分。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2、发生安全责任事故造成人员重伤、死亡或直接经济损失在5万元以上的，每起加扣5分。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3、重大节日、庆典、“迎检”等活动要求进行的突击性任务因未及时完成受到上级有关部门批评或扣分的每次扣10分。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4、交办件未及时办理而受到相关部门通报的每起扣5分。</w:t>
            </w:r>
          </w:p>
        </w:tc>
        <w:tc>
          <w:tcPr>
            <w:tcW w:w="1200" w:type="dxa"/>
            <w:vAlign w:val="center"/>
          </w:tcPr>
          <w:p>
            <w:pPr>
              <w:spacing w:line="280" w:lineRule="exact"/>
              <w:rPr>
                <w:rFonts w:hint="eastAsia" w:ascii="宋体" w:hAnsi="宋体" w:eastAsia="宋体" w:cs="宋体"/>
                <w:kern w:val="0"/>
                <w:sz w:val="21"/>
                <w:szCs w:val="21"/>
              </w:rPr>
            </w:pPr>
          </w:p>
        </w:tc>
        <w:tc>
          <w:tcPr>
            <w:tcW w:w="1493" w:type="dxa"/>
            <w:vAlign w:val="center"/>
          </w:tcPr>
          <w:p>
            <w:pPr>
              <w:spacing w:line="280" w:lineRule="exac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805" w:type="dxa"/>
            <w:gridSpan w:val="2"/>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合   计</w:t>
            </w:r>
          </w:p>
        </w:tc>
        <w:tc>
          <w:tcPr>
            <w:tcW w:w="1080" w:type="dxa"/>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0073" w:type="dxa"/>
            <w:gridSpan w:val="3"/>
            <w:vAlign w:val="center"/>
          </w:tcPr>
          <w:p>
            <w:pPr>
              <w:spacing w:line="240" w:lineRule="exact"/>
              <w:rPr>
                <w:rFonts w:hint="eastAsia" w:ascii="宋体" w:hAnsi="宋体" w:eastAsia="宋体" w:cs="宋体"/>
                <w:kern w:val="0"/>
                <w:sz w:val="21"/>
                <w:szCs w:val="21"/>
              </w:rPr>
            </w:pPr>
          </w:p>
        </w:tc>
      </w:tr>
    </w:tbl>
    <w:p>
      <w:pPr>
        <w:pStyle w:val="2"/>
        <w:rPr>
          <w:rFonts w:hint="eastAsia"/>
          <w:lang w:val="en-US" w:eastAsia="zh-CN"/>
        </w:rPr>
      </w:pPr>
    </w:p>
    <w:p>
      <w:pPr>
        <w:rPr>
          <w:rFonts w:hint="eastAsia" w:ascii="宋体" w:hAnsi="宋体" w:cs="宋体"/>
          <w:b/>
          <w:bCs/>
          <w:sz w:val="36"/>
          <w:szCs w:val="36"/>
        </w:rPr>
      </w:pPr>
      <w:r>
        <w:rPr>
          <w:rFonts w:hint="eastAsia" w:ascii="宋体" w:hAnsi="宋体" w:cs="宋体"/>
          <w:b/>
          <w:bCs/>
          <w:sz w:val="36"/>
          <w:szCs w:val="36"/>
        </w:rPr>
        <w:br w:type="page"/>
      </w:r>
    </w:p>
    <w:p>
      <w:pPr>
        <w:pStyle w:val="2"/>
        <w:rPr>
          <w:rFonts w:hint="eastAsia"/>
          <w:b/>
          <w:bCs/>
          <w:sz w:val="22"/>
          <w:szCs w:val="21"/>
          <w:lang w:val="en-US" w:eastAsia="zh-CN"/>
        </w:rPr>
      </w:pPr>
      <w:r>
        <w:rPr>
          <w:rFonts w:hint="eastAsia"/>
          <w:b/>
          <w:bCs/>
          <w:sz w:val="22"/>
          <w:szCs w:val="21"/>
          <w:lang w:val="en-US" w:eastAsia="zh-CN"/>
        </w:rPr>
        <w:t>合同附件4：</w:t>
      </w:r>
    </w:p>
    <w:p>
      <w:pPr>
        <w:pStyle w:val="2"/>
        <w:jc w:val="center"/>
        <w:rPr>
          <w:rFonts w:hint="default" w:ascii="宋体" w:hAnsi="宋体" w:eastAsia="宋体" w:cs="宋体"/>
          <w:b/>
          <w:bCs/>
          <w:kern w:val="2"/>
          <w:sz w:val="28"/>
          <w:szCs w:val="28"/>
          <w:lang w:val="en-US" w:eastAsia="zh-CN" w:bidi="ar-SA"/>
        </w:rPr>
      </w:pPr>
      <w:r>
        <w:rPr>
          <w:rFonts w:hint="default" w:ascii="宋体" w:hAnsi="宋体" w:eastAsia="宋体" w:cs="宋体"/>
          <w:b/>
          <w:bCs/>
          <w:kern w:val="2"/>
          <w:sz w:val="28"/>
          <w:szCs w:val="28"/>
          <w:lang w:val="en-US" w:eastAsia="zh-CN" w:bidi="ar-SA"/>
        </w:rPr>
        <w:t>养护质量集中考核评分表</w:t>
      </w:r>
    </w:p>
    <w:p>
      <w:pPr>
        <w:pStyle w:val="2"/>
        <w:jc w:val="center"/>
        <w:rPr>
          <w:rFonts w:hint="default" w:ascii="宋体" w:hAnsi="宋体" w:eastAsia="宋体" w:cs="宋体"/>
          <w:b w:val="0"/>
          <w:bCs w:val="0"/>
          <w:kern w:val="2"/>
          <w:sz w:val="22"/>
          <w:szCs w:val="22"/>
          <w:lang w:val="en-US" w:eastAsia="zh-CN" w:bidi="ar-SA"/>
        </w:rPr>
      </w:pPr>
      <w:r>
        <w:rPr>
          <w:rFonts w:hint="eastAsia" w:cs="宋体"/>
          <w:b w:val="0"/>
          <w:bCs w:val="0"/>
          <w:kern w:val="2"/>
          <w:sz w:val="22"/>
          <w:szCs w:val="22"/>
          <w:lang w:val="en-US" w:eastAsia="zh-CN" w:bidi="ar-SA"/>
        </w:rPr>
        <w:t xml:space="preserve">         </w:t>
      </w:r>
      <w:r>
        <w:rPr>
          <w:rFonts w:hint="default" w:ascii="宋体" w:hAnsi="宋体" w:eastAsia="宋体" w:cs="宋体"/>
          <w:b w:val="0"/>
          <w:bCs w:val="0"/>
          <w:kern w:val="2"/>
          <w:sz w:val="22"/>
          <w:szCs w:val="22"/>
          <w:lang w:val="en-US" w:eastAsia="zh-CN" w:bidi="ar-SA"/>
        </w:rPr>
        <w:t xml:space="preserve">                                           </w:t>
      </w:r>
      <w:r>
        <w:rPr>
          <w:rFonts w:hint="eastAsia" w:ascii="宋体" w:hAnsi="宋体" w:eastAsia="宋体" w:cs="宋体"/>
          <w:b w:val="0"/>
          <w:bCs w:val="0"/>
          <w:kern w:val="2"/>
          <w:sz w:val="22"/>
          <w:szCs w:val="22"/>
          <w:lang w:val="en-US" w:eastAsia="zh-CN" w:bidi="ar-SA"/>
        </w:rPr>
        <w:t xml:space="preserve">                                                 </w:t>
      </w:r>
      <w:r>
        <w:rPr>
          <w:rFonts w:hint="default" w:ascii="宋体" w:hAnsi="宋体" w:eastAsia="宋体" w:cs="宋体"/>
          <w:b w:val="0"/>
          <w:bCs w:val="0"/>
          <w:kern w:val="2"/>
          <w:sz w:val="22"/>
          <w:szCs w:val="22"/>
          <w:lang w:val="en-US" w:eastAsia="zh-CN" w:bidi="ar-SA"/>
        </w:rPr>
        <w:t>检查日期：   年   月   日</w:t>
      </w:r>
    </w:p>
    <w:tbl>
      <w:tblPr>
        <w:tblStyle w:val="28"/>
        <w:tblW w:w="517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5944"/>
        <w:gridCol w:w="7072"/>
        <w:gridCol w:w="8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6" w:hRule="atLeast"/>
          <w:tblHeader/>
          <w:jc w:val="center"/>
        </w:trPr>
        <w:tc>
          <w:tcPr>
            <w:tcW w:w="263" w:type="pct"/>
            <w:tcBorders>
              <w:tl2br w:val="nil"/>
              <w:tr2bl w:val="nil"/>
            </w:tcBorders>
            <w:vAlign w:val="center"/>
          </w:tcPr>
          <w:p>
            <w:pPr>
              <w:spacing w:line="280" w:lineRule="exact"/>
              <w:jc w:val="center"/>
              <w:rPr>
                <w:rFonts w:hint="eastAsia" w:ascii="宋体" w:hAnsi="宋体" w:eastAsia="宋体" w:cs="宋体"/>
                <w:b/>
                <w:bCs/>
                <w:sz w:val="21"/>
                <w:szCs w:val="21"/>
              </w:rPr>
            </w:pPr>
            <w:r>
              <w:rPr>
                <w:rFonts w:hint="eastAsia" w:ascii="宋体" w:hAnsi="宋体" w:eastAsia="宋体" w:cs="宋体"/>
                <w:b/>
                <w:bCs/>
                <w:sz w:val="21"/>
                <w:szCs w:val="21"/>
              </w:rPr>
              <w:t>内容</w:t>
            </w:r>
          </w:p>
        </w:tc>
        <w:tc>
          <w:tcPr>
            <w:tcW w:w="2024" w:type="pct"/>
            <w:tcBorders>
              <w:tl2br w:val="nil"/>
              <w:tr2bl w:val="nil"/>
            </w:tcBorders>
            <w:vAlign w:val="center"/>
          </w:tcPr>
          <w:p>
            <w:pPr>
              <w:spacing w:line="280" w:lineRule="exact"/>
              <w:jc w:val="center"/>
              <w:rPr>
                <w:rFonts w:hint="eastAsia" w:ascii="宋体" w:hAnsi="宋体" w:eastAsia="宋体" w:cs="宋体"/>
                <w:b/>
                <w:bCs/>
                <w:sz w:val="21"/>
                <w:szCs w:val="21"/>
              </w:rPr>
            </w:pPr>
            <w:r>
              <w:rPr>
                <w:rFonts w:hint="eastAsia" w:ascii="宋体" w:hAnsi="宋体" w:eastAsia="宋体" w:cs="宋体"/>
                <w:b/>
                <w:bCs/>
                <w:sz w:val="21"/>
                <w:szCs w:val="21"/>
              </w:rPr>
              <w:t>质  量  标  准</w:t>
            </w:r>
          </w:p>
        </w:tc>
        <w:tc>
          <w:tcPr>
            <w:tcW w:w="2408" w:type="pct"/>
            <w:tcBorders>
              <w:tl2br w:val="nil"/>
              <w:tr2bl w:val="nil"/>
            </w:tcBorders>
            <w:vAlign w:val="center"/>
          </w:tcPr>
          <w:p>
            <w:pPr>
              <w:spacing w:line="280" w:lineRule="exact"/>
              <w:jc w:val="center"/>
              <w:rPr>
                <w:rFonts w:hint="eastAsia" w:ascii="宋体" w:hAnsi="宋体" w:eastAsia="宋体" w:cs="宋体"/>
                <w:b/>
                <w:bCs/>
                <w:sz w:val="21"/>
                <w:szCs w:val="21"/>
              </w:rPr>
            </w:pPr>
            <w:r>
              <w:rPr>
                <w:rFonts w:hint="eastAsia" w:ascii="宋体" w:hAnsi="宋体" w:eastAsia="宋体" w:cs="宋体"/>
                <w:b/>
                <w:bCs/>
                <w:sz w:val="21"/>
                <w:szCs w:val="21"/>
              </w:rPr>
              <w:t>考  核  标  准</w:t>
            </w:r>
          </w:p>
        </w:tc>
        <w:tc>
          <w:tcPr>
            <w:tcW w:w="303" w:type="pct"/>
            <w:tcBorders>
              <w:tl2br w:val="nil"/>
              <w:tr2bl w:val="nil"/>
            </w:tcBorders>
            <w:vAlign w:val="center"/>
          </w:tcPr>
          <w:p>
            <w:pPr>
              <w:spacing w:line="280" w:lineRule="exact"/>
              <w:jc w:val="center"/>
              <w:rPr>
                <w:rFonts w:hint="eastAsia" w:ascii="宋体" w:hAnsi="宋体" w:eastAsia="宋体" w:cs="宋体"/>
                <w:b/>
                <w:bCs/>
                <w:sz w:val="21"/>
                <w:szCs w:val="21"/>
              </w:rPr>
            </w:pPr>
            <w:r>
              <w:rPr>
                <w:rFonts w:hint="eastAsia" w:ascii="宋体" w:hAnsi="宋体" w:eastAsia="宋体" w:cs="宋体"/>
                <w:b/>
                <w:bCs/>
                <w:sz w:val="21"/>
                <w:szCs w:val="21"/>
              </w:rPr>
              <w:t>扣分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26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绿</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化</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养</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护</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70</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分</w:t>
            </w:r>
          </w:p>
        </w:tc>
        <w:tc>
          <w:tcPr>
            <w:tcW w:w="20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1．行道树木保存率100%，植株健壮，长势旺盛，树形优美。（5分）</w:t>
            </w:r>
          </w:p>
        </w:tc>
        <w:tc>
          <w:tcPr>
            <w:tcW w:w="2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植物长势不良扣0.5/株，树形差、景观杂乱，扣2—5分，树木缺株，扣1.0分/株。</w:t>
            </w:r>
          </w:p>
        </w:tc>
        <w:tc>
          <w:tcPr>
            <w:tcW w:w="303"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26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p>
        </w:tc>
        <w:tc>
          <w:tcPr>
            <w:tcW w:w="20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2．行道树整形修剪适时合理，符合要求，保持树冠整齐匀称。（5分）</w:t>
            </w:r>
          </w:p>
        </w:tc>
        <w:tc>
          <w:tcPr>
            <w:tcW w:w="2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整形修剪不合理，不合要求，树冠不整齐匀称，扣0.5分/株。</w:t>
            </w:r>
          </w:p>
        </w:tc>
        <w:tc>
          <w:tcPr>
            <w:tcW w:w="303"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26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p>
        </w:tc>
        <w:tc>
          <w:tcPr>
            <w:tcW w:w="20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3．乔木及时抹芽，主干、主枝上无残留萌芽；树穴内不积水、无杂草。（5分）</w:t>
            </w:r>
          </w:p>
        </w:tc>
        <w:tc>
          <w:tcPr>
            <w:tcW w:w="2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蘖芽长度超过20 cm（一级），30 cm（二级），38 cm （三级）扣0.5分/株；树穴内有积水、杂草扣0.5分/处.</w:t>
            </w:r>
          </w:p>
        </w:tc>
        <w:tc>
          <w:tcPr>
            <w:tcW w:w="303"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26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p>
        </w:tc>
        <w:tc>
          <w:tcPr>
            <w:tcW w:w="20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4．及时治虫喷药，采用无公害生物防治，施用的药剂浓度、用量合理，严格操作规程，无明显病虫害；树穴内植被生长良好，盖板完好，无缺损；树体无钉、铁丝、线绑扎及广告物等。（5分）</w:t>
            </w:r>
          </w:p>
        </w:tc>
        <w:tc>
          <w:tcPr>
            <w:tcW w:w="2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基本无病虫危害症状，明显病虫害,扣0.5分/株；树穴内植被、盖板不合要求，扣0.5分/处；树体有钉、铁丝、线绑扎及广告物等，扣0.5分/株。</w:t>
            </w:r>
          </w:p>
        </w:tc>
        <w:tc>
          <w:tcPr>
            <w:tcW w:w="303"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26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p>
        </w:tc>
        <w:tc>
          <w:tcPr>
            <w:tcW w:w="20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5．绿地内整体景观面貌良好，群落结构合理，层次分明，植株疏密得当，景观效果良好。（5分）</w:t>
            </w:r>
          </w:p>
        </w:tc>
        <w:tc>
          <w:tcPr>
            <w:tcW w:w="2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群落结构不合理扣1.0-2.0分，层次不分明扣1.0分，植侏疏密分布不均扣1.0分，景观凌乱扣1.0-2.0分。</w:t>
            </w:r>
          </w:p>
        </w:tc>
        <w:tc>
          <w:tcPr>
            <w:tcW w:w="303"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26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p>
        </w:tc>
        <w:tc>
          <w:tcPr>
            <w:tcW w:w="20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6．无死树、枯枝，绿篱、色块植物、时花整齐，无残缺，乔木、灌木、地皮植物、时花保存率100%,死亡植物及时更换。（10分）</w:t>
            </w:r>
          </w:p>
        </w:tc>
        <w:tc>
          <w:tcPr>
            <w:tcW w:w="2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乔木枯死扣 2分/株，灌木或地皮植物缺少扣 1分/ m2，；时花缺少扣3分/m2，；发现枯枝扣0.5分/株。 </w:t>
            </w:r>
          </w:p>
        </w:tc>
        <w:tc>
          <w:tcPr>
            <w:tcW w:w="303"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26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p>
        </w:tc>
        <w:tc>
          <w:tcPr>
            <w:tcW w:w="20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7．植物生长健壮，乔灌木、绿篱及色块植物经常修剪、造型，平整、线条流畅，徒长枝不高于5cm（一级），10cm（二级），15cm（三级）保持树冠完整，花木生长旺盛。（10分）</w:t>
            </w:r>
          </w:p>
        </w:tc>
        <w:tc>
          <w:tcPr>
            <w:tcW w:w="2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乔灌木、绿篱及色块植物不修剪扣2分/株或m2；修剪不合要求扣1分/株或m2；植物生长势差扣1分/株或m2。</w:t>
            </w:r>
          </w:p>
        </w:tc>
        <w:tc>
          <w:tcPr>
            <w:tcW w:w="303"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17" w:hRule="atLeast"/>
          <w:jc w:val="center"/>
        </w:trPr>
        <w:tc>
          <w:tcPr>
            <w:tcW w:w="26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p>
        </w:tc>
        <w:tc>
          <w:tcPr>
            <w:tcW w:w="20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8．草坪及时除草，新建绿地每平方米杂草率不多于3%(一级)，5%（二级），8%（三级），杂草不高于7cm(一级)，10cm（二级），15cm（三级）；草坪长势好，色泽均匀；草皮高度保持在5-10cm；草坪平整。（13分）</w:t>
            </w:r>
          </w:p>
        </w:tc>
        <w:tc>
          <w:tcPr>
            <w:tcW w:w="2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草坪有杂草,不达要求扣0.2分/m2；覆盖度不到95%（一级），92%（二级），90%（三级）扣0.2分/m2；草坪高度超过标准,扣0.1分/M2。</w:t>
            </w:r>
          </w:p>
        </w:tc>
        <w:tc>
          <w:tcPr>
            <w:tcW w:w="303" w:type="pct"/>
            <w:tcBorders>
              <w:tl2br w:val="nil"/>
              <w:tr2bl w:val="nil"/>
            </w:tcBorders>
          </w:tcPr>
          <w:p>
            <w:pPr>
              <w:keepNext w:val="0"/>
              <w:keepLines w:val="0"/>
              <w:pageBreakBefore w:val="0"/>
              <w:widowControl w:val="0"/>
              <w:tabs>
                <w:tab w:val="left" w:pos="2562"/>
              </w:tabs>
              <w:kinsoku/>
              <w:wordWrap/>
              <w:overflowPunct/>
              <w:topLinePunct w:val="0"/>
              <w:autoSpaceDE/>
              <w:autoSpaceDN/>
              <w:bidi w:val="0"/>
              <w:adjustRightInd/>
              <w:snapToGrid/>
              <w:spacing w:line="264" w:lineRule="auto"/>
              <w:textAlignment w:val="auto"/>
              <w:rPr>
                <w:rFonts w:hint="eastAsia"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6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p>
        </w:tc>
        <w:tc>
          <w:tcPr>
            <w:tcW w:w="20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9．根据实际要求进行施肥。（6分）</w:t>
            </w:r>
          </w:p>
        </w:tc>
        <w:tc>
          <w:tcPr>
            <w:tcW w:w="2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施肥不合要求，扣6分。</w:t>
            </w:r>
          </w:p>
        </w:tc>
        <w:tc>
          <w:tcPr>
            <w:tcW w:w="303"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6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p>
        </w:tc>
        <w:tc>
          <w:tcPr>
            <w:tcW w:w="20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10.及时做好抗旱、抗台、抗雪工作，及时扶正支撑，无倒伏现象。（6分）</w:t>
            </w:r>
          </w:p>
        </w:tc>
        <w:tc>
          <w:tcPr>
            <w:tcW w:w="2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有倒伏现象不及时支撑扶正，扣1分；不及时抗旱、抗台、抗雪造成影响，每m2或棵扣2分。</w:t>
            </w:r>
          </w:p>
        </w:tc>
        <w:tc>
          <w:tcPr>
            <w:tcW w:w="303"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26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设</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施</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维</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护</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分</w:t>
            </w:r>
          </w:p>
        </w:tc>
        <w:tc>
          <w:tcPr>
            <w:tcW w:w="20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1．园林建筑、小品、灯具、水阀、电闸、喷洒器等园林设施完好有效。（3分）</w:t>
            </w:r>
          </w:p>
        </w:tc>
        <w:tc>
          <w:tcPr>
            <w:tcW w:w="2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有缺损，不及时修复、补缺，扣0.5分/处；发现管道破裂、笼头松动、人为破坏等造成自来水流失现象的，扣0.5分/起。</w:t>
            </w:r>
          </w:p>
        </w:tc>
        <w:tc>
          <w:tcPr>
            <w:tcW w:w="303"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6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p>
        </w:tc>
        <w:tc>
          <w:tcPr>
            <w:tcW w:w="20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2．绿地内座椅完好、安全。（3分）</w:t>
            </w:r>
          </w:p>
        </w:tc>
        <w:tc>
          <w:tcPr>
            <w:tcW w:w="2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有损伤移位，扣0.5分/处。</w:t>
            </w:r>
          </w:p>
        </w:tc>
        <w:tc>
          <w:tcPr>
            <w:tcW w:w="303"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p>
        </w:tc>
        <w:tc>
          <w:tcPr>
            <w:tcW w:w="20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3．绿地内地坪铺装、园路通畅完好。（2分）</w:t>
            </w:r>
          </w:p>
        </w:tc>
        <w:tc>
          <w:tcPr>
            <w:tcW w:w="2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园路不畅通、有损伤，扣0.5分/处。</w:t>
            </w:r>
          </w:p>
        </w:tc>
        <w:tc>
          <w:tcPr>
            <w:tcW w:w="303"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26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p>
        </w:tc>
        <w:tc>
          <w:tcPr>
            <w:tcW w:w="20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4．每月定期检查责任区内其他设施、设备，发现存在安全隐患的，应及时加以修复或提出相应措施。（2分）</w:t>
            </w:r>
          </w:p>
        </w:tc>
        <w:tc>
          <w:tcPr>
            <w:tcW w:w="2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未按规定检查、维修或及时提出问题，扣1.0分/处，造成一定后果的，扣2分。</w:t>
            </w:r>
          </w:p>
        </w:tc>
        <w:tc>
          <w:tcPr>
            <w:tcW w:w="303"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26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卫</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生</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保</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洁</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分</w:t>
            </w:r>
          </w:p>
        </w:tc>
        <w:tc>
          <w:tcPr>
            <w:tcW w:w="20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1．果壳箱不满溢，垃圾日产日清，无卫生死角，厕所整洁，无明显异味。（4分）</w:t>
            </w:r>
          </w:p>
        </w:tc>
        <w:tc>
          <w:tcPr>
            <w:tcW w:w="2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发现问题一处扣1分/次。</w:t>
            </w:r>
          </w:p>
        </w:tc>
        <w:tc>
          <w:tcPr>
            <w:tcW w:w="303"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26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0"/>
                <w:sz w:val="21"/>
                <w:szCs w:val="21"/>
              </w:rPr>
            </w:pPr>
          </w:p>
        </w:tc>
        <w:tc>
          <w:tcPr>
            <w:tcW w:w="20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2．园林建筑、小品等设施无尘土、蛛网、废弃物和痰迹等；小品、座椅等每日清扫、擦拭，保持整洁。（4分）</w:t>
            </w:r>
          </w:p>
        </w:tc>
        <w:tc>
          <w:tcPr>
            <w:tcW w:w="2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园林建筑、小品等设施有尘土、蛛网、废弃物和痰迹等，扣0.5分/处；小品、座椅等不每日清扫、擦拭、整理，扣0.5分/处。</w:t>
            </w:r>
          </w:p>
        </w:tc>
        <w:tc>
          <w:tcPr>
            <w:tcW w:w="303"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2" w:hRule="atLeast"/>
          <w:jc w:val="center"/>
        </w:trPr>
        <w:tc>
          <w:tcPr>
            <w:tcW w:w="26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0"/>
                <w:sz w:val="21"/>
                <w:szCs w:val="21"/>
              </w:rPr>
            </w:pPr>
          </w:p>
        </w:tc>
        <w:tc>
          <w:tcPr>
            <w:tcW w:w="20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3．修剪后的枝叶及时清理干净；随时清扫拾捡游人扔弃的垃圾和废物，不漏扫，不漏捡；路面、绿地无枯枝残叶、堆积物，无果皮纸屑、砖瓦土石，路面铺装无污物、积水、积泥、积雪。（4分）</w:t>
            </w:r>
          </w:p>
        </w:tc>
        <w:tc>
          <w:tcPr>
            <w:tcW w:w="2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修剪后的枝叶不及时清理，路面、绿地有枯枝残叶、堆积物、果皮纸屑，扣0.5分/处；砖瓦土石、污物、积水、积泥、积雪，发现扣0.5分/处；绿地明显枯叶，扣0.2分/M2。</w:t>
            </w:r>
          </w:p>
        </w:tc>
        <w:tc>
          <w:tcPr>
            <w:tcW w:w="303"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6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0"/>
                <w:sz w:val="21"/>
                <w:szCs w:val="21"/>
              </w:rPr>
            </w:pPr>
          </w:p>
        </w:tc>
        <w:tc>
          <w:tcPr>
            <w:tcW w:w="20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4．清扫时不将垃圾扫入窨井，不扫进或倒入河道，不将垃圾滞留边角处；及时清除各类杂乱广告（4分）</w:t>
            </w:r>
          </w:p>
        </w:tc>
        <w:tc>
          <w:tcPr>
            <w:tcW w:w="2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将垃圾扫入窨井或河道，扣0.5分/次；有垃圾置留边角，扣0.5分/次。</w:t>
            </w:r>
          </w:p>
        </w:tc>
        <w:tc>
          <w:tcPr>
            <w:tcW w:w="303"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w w:val="9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26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0"/>
                <w:sz w:val="21"/>
                <w:szCs w:val="21"/>
              </w:rPr>
            </w:pPr>
          </w:p>
        </w:tc>
        <w:tc>
          <w:tcPr>
            <w:tcW w:w="20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5．公园内水面上无枯枝、落叶、白色垃圾等漂浮物。（4分）</w:t>
            </w:r>
          </w:p>
        </w:tc>
        <w:tc>
          <w:tcPr>
            <w:tcW w:w="24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未按规定清除的，发现每处扣 1分。</w:t>
            </w:r>
          </w:p>
        </w:tc>
        <w:tc>
          <w:tcPr>
            <w:tcW w:w="303"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w w:val="90"/>
                <w:sz w:val="21"/>
                <w:szCs w:val="21"/>
              </w:rPr>
            </w:pPr>
          </w:p>
        </w:tc>
      </w:tr>
    </w:tbl>
    <w:p>
      <w:pPr>
        <w:spacing w:line="240" w:lineRule="auto"/>
        <w:ind w:right="-791" w:rightChars="-377"/>
        <w:rPr>
          <w:rFonts w:hint="eastAsia" w:ascii="宋体" w:hAnsi="宋体" w:eastAsia="宋体" w:cs="宋体"/>
          <w:b w:val="0"/>
          <w:bCs w:val="0"/>
          <w:sz w:val="21"/>
          <w:szCs w:val="21"/>
        </w:rPr>
      </w:pPr>
      <w:r>
        <w:rPr>
          <w:rFonts w:hint="eastAsia" w:ascii="宋体" w:hAnsi="宋体" w:eastAsia="宋体" w:cs="宋体"/>
          <w:b w:val="0"/>
          <w:bCs w:val="0"/>
          <w:sz w:val="21"/>
          <w:szCs w:val="21"/>
        </w:rPr>
        <w:t>注：1、每个项目的分值相加即为总分（100分）。</w:t>
      </w:r>
    </w:p>
    <w:p>
      <w:pPr>
        <w:spacing w:line="240" w:lineRule="auto"/>
        <w:ind w:right="-791" w:rightChars="-377"/>
        <w:rPr>
          <w:rFonts w:hint="eastAsia" w:ascii="宋体" w:hAnsi="宋体" w:eastAsia="宋体" w:cs="宋体"/>
          <w:b w:val="0"/>
          <w:bCs w:val="0"/>
          <w:sz w:val="21"/>
          <w:szCs w:val="21"/>
        </w:rPr>
      </w:pPr>
      <w:r>
        <w:rPr>
          <w:rFonts w:hint="eastAsia" w:ascii="宋体" w:hAnsi="宋体" w:eastAsia="宋体" w:cs="宋体"/>
          <w:b w:val="0"/>
          <w:bCs w:val="0"/>
          <w:sz w:val="21"/>
          <w:szCs w:val="21"/>
        </w:rPr>
        <w:t>2、每个项目内的所有具体事项的扣分值之和不能超过该项目的总分值（如：植物养护标准项目下的每个具体事项扣分值之和不能超过30分）。</w:t>
      </w:r>
    </w:p>
    <w:p>
      <w:pPr>
        <w:spacing w:line="240" w:lineRule="auto"/>
        <w:ind w:right="-791" w:rightChars="-377"/>
        <w:rPr>
          <w:rFonts w:hint="eastAsia" w:ascii="宋体" w:hAnsi="宋体" w:eastAsia="宋体" w:cs="宋体"/>
          <w:b w:val="0"/>
          <w:bCs w:val="0"/>
          <w:sz w:val="21"/>
          <w:szCs w:val="21"/>
        </w:rPr>
      </w:pPr>
      <w:r>
        <w:rPr>
          <w:rFonts w:hint="eastAsia" w:ascii="宋体" w:hAnsi="宋体" w:eastAsia="宋体" w:cs="宋体"/>
          <w:b w:val="0"/>
          <w:bCs w:val="0"/>
          <w:sz w:val="21"/>
          <w:szCs w:val="21"/>
        </w:rPr>
        <w:t>3、每个具体事项的扣分值最高为该项目的总分值（如：植物养护标准下的除草项，最高扣分值可到30分）。</w:t>
      </w:r>
    </w:p>
    <w:p>
      <w:pPr>
        <w:spacing w:line="240" w:lineRule="auto"/>
        <w:ind w:right="-791" w:rightChars="-377"/>
        <w:rPr>
          <w:rFonts w:hint="eastAsia" w:ascii="宋体" w:hAnsi="宋体" w:eastAsia="宋体" w:cs="宋体"/>
          <w:b w:val="0"/>
          <w:bCs w:val="0"/>
          <w:sz w:val="21"/>
          <w:szCs w:val="21"/>
        </w:rPr>
      </w:pPr>
      <w:r>
        <w:rPr>
          <w:rFonts w:hint="eastAsia" w:ascii="宋体" w:hAnsi="宋体" w:eastAsia="宋体" w:cs="宋体"/>
          <w:b w:val="0"/>
          <w:bCs w:val="0"/>
          <w:sz w:val="21"/>
          <w:szCs w:val="21"/>
        </w:rPr>
        <w:t>4、具体事项（基本工作任务）考核标准，以招标文件中规定的工作任务为基础，每月按业主批准的工作计划制定。</w:t>
      </w:r>
    </w:p>
    <w:p>
      <w:pPr>
        <w:rPr>
          <w:rFonts w:hint="eastAsia" w:ascii="宋体" w:hAnsi="宋体" w:eastAsia="宋体" w:cs="宋体"/>
          <w:b w:val="0"/>
          <w:bCs w:val="0"/>
          <w:sz w:val="21"/>
          <w:szCs w:val="21"/>
        </w:rPr>
        <w:sectPr>
          <w:pgSz w:w="16838" w:h="11905" w:orient="landscape"/>
          <w:pgMar w:top="1928" w:right="1440" w:bottom="1157" w:left="1440" w:header="1134" w:footer="1304" w:gutter="0"/>
          <w:pgBorders>
            <w:top w:val="none" w:sz="0" w:space="0"/>
            <w:left w:val="none" w:sz="0" w:space="0"/>
            <w:bottom w:val="none" w:sz="0" w:space="0"/>
            <w:right w:val="none" w:sz="0" w:space="0"/>
          </w:pgBorders>
          <w:pgNumType w:fmt="decimal"/>
          <w:cols w:space="0" w:num="1"/>
          <w:rtlGutter w:val="0"/>
          <w:docGrid w:type="linesAndChars" w:linePitch="315" w:charSpace="0"/>
        </w:sectPr>
      </w:pPr>
      <w:r>
        <w:rPr>
          <w:rFonts w:hint="eastAsia" w:ascii="宋体" w:hAnsi="宋体" w:eastAsia="宋体" w:cs="宋体"/>
          <w:b w:val="0"/>
          <w:bCs w:val="0"/>
          <w:sz w:val="21"/>
          <w:szCs w:val="21"/>
        </w:rPr>
        <w:t>5、检查考核、会议或发生其他事项，业主要求项目负责人到场，如遇特殊情况，项目负责人确实不能到会的，经业主同意，可派养护公司法人或副总以上负责人（须有任命文件）代替到场。</w:t>
      </w:r>
    </w:p>
    <w:p>
      <w:pPr>
        <w:keepNext w:val="0"/>
        <w:keepLines w:val="0"/>
        <w:pageBreakBefore w:val="0"/>
        <w:widowControl/>
        <w:kinsoku/>
        <w:wordWrap/>
        <w:overflowPunct/>
        <w:topLinePunct w:val="0"/>
        <w:autoSpaceDE/>
        <w:autoSpaceDN/>
        <w:bidi w:val="0"/>
        <w:adjustRightInd/>
        <w:snapToGrid/>
        <w:jc w:val="center"/>
        <w:textAlignment w:val="auto"/>
        <w:rPr>
          <w:rFonts w:hint="eastAsia"/>
          <w:b/>
          <w:bCs/>
          <w:sz w:val="28"/>
          <w:szCs w:val="28"/>
        </w:rPr>
      </w:pPr>
    </w:p>
    <w:p>
      <w:pPr>
        <w:keepNext w:val="0"/>
        <w:keepLines w:val="0"/>
        <w:pageBreakBefore w:val="0"/>
        <w:widowControl/>
        <w:kinsoku/>
        <w:wordWrap/>
        <w:overflowPunct/>
        <w:topLinePunct w:val="0"/>
        <w:autoSpaceDE/>
        <w:autoSpaceDN/>
        <w:bidi w:val="0"/>
        <w:adjustRightInd/>
        <w:snapToGrid/>
        <w:jc w:val="center"/>
        <w:textAlignment w:val="auto"/>
        <w:rPr>
          <w:rFonts w:hint="eastAsia"/>
          <w:b/>
          <w:bCs/>
          <w:sz w:val="28"/>
          <w:szCs w:val="28"/>
        </w:rPr>
      </w:pPr>
    </w:p>
    <w:p>
      <w:pPr>
        <w:keepNext w:val="0"/>
        <w:keepLines w:val="0"/>
        <w:pageBreakBefore w:val="0"/>
        <w:widowControl/>
        <w:kinsoku/>
        <w:wordWrap/>
        <w:overflowPunct/>
        <w:topLinePunct w:val="0"/>
        <w:autoSpaceDE/>
        <w:autoSpaceDN/>
        <w:bidi w:val="0"/>
        <w:adjustRightInd/>
        <w:snapToGrid/>
        <w:jc w:val="center"/>
        <w:textAlignment w:val="auto"/>
        <w:rPr>
          <w:rFonts w:hint="eastAsia"/>
          <w:b/>
          <w:bCs/>
          <w:sz w:val="28"/>
          <w:szCs w:val="28"/>
        </w:rPr>
      </w:pPr>
    </w:p>
    <w:p>
      <w:pPr>
        <w:keepNext w:val="0"/>
        <w:keepLines w:val="0"/>
        <w:pageBreakBefore w:val="0"/>
        <w:widowControl/>
        <w:kinsoku/>
        <w:wordWrap/>
        <w:overflowPunct/>
        <w:topLinePunct w:val="0"/>
        <w:autoSpaceDE/>
        <w:autoSpaceDN/>
        <w:bidi w:val="0"/>
        <w:adjustRightInd/>
        <w:snapToGrid/>
        <w:jc w:val="center"/>
        <w:textAlignment w:val="auto"/>
        <w:rPr>
          <w:rFonts w:hint="eastAsia"/>
          <w:b/>
          <w:bCs/>
          <w:sz w:val="28"/>
          <w:szCs w:val="28"/>
        </w:rPr>
      </w:pPr>
    </w:p>
    <w:p>
      <w:pPr>
        <w:keepNext w:val="0"/>
        <w:keepLines w:val="0"/>
        <w:pageBreakBefore w:val="0"/>
        <w:widowControl/>
        <w:kinsoku/>
        <w:wordWrap/>
        <w:overflowPunct/>
        <w:topLinePunct w:val="0"/>
        <w:autoSpaceDE/>
        <w:autoSpaceDN/>
        <w:bidi w:val="0"/>
        <w:adjustRightInd/>
        <w:snapToGrid/>
        <w:jc w:val="center"/>
        <w:textAlignment w:val="auto"/>
        <w:rPr>
          <w:rFonts w:hint="eastAsia"/>
          <w:b/>
          <w:bCs/>
          <w:sz w:val="28"/>
          <w:szCs w:val="28"/>
        </w:rPr>
      </w:pPr>
    </w:p>
    <w:p>
      <w:pPr>
        <w:keepNext w:val="0"/>
        <w:keepLines w:val="0"/>
        <w:pageBreakBefore w:val="0"/>
        <w:widowControl/>
        <w:kinsoku/>
        <w:wordWrap/>
        <w:overflowPunct/>
        <w:topLinePunct w:val="0"/>
        <w:autoSpaceDE/>
        <w:autoSpaceDN/>
        <w:bidi w:val="0"/>
        <w:adjustRightInd/>
        <w:snapToGrid/>
        <w:jc w:val="center"/>
        <w:textAlignment w:val="auto"/>
        <w:rPr>
          <w:rFonts w:hint="eastAsia"/>
          <w:b/>
          <w:bCs/>
          <w:sz w:val="28"/>
          <w:szCs w:val="28"/>
        </w:rPr>
      </w:pPr>
    </w:p>
    <w:p>
      <w:pPr>
        <w:keepNext w:val="0"/>
        <w:keepLines w:val="0"/>
        <w:pageBreakBefore w:val="0"/>
        <w:widowControl/>
        <w:kinsoku/>
        <w:wordWrap/>
        <w:overflowPunct/>
        <w:topLinePunct w:val="0"/>
        <w:autoSpaceDE/>
        <w:autoSpaceDN/>
        <w:bidi w:val="0"/>
        <w:adjustRightInd/>
        <w:snapToGrid/>
        <w:jc w:val="center"/>
        <w:textAlignment w:val="auto"/>
        <w:rPr>
          <w:rFonts w:hint="eastAsia"/>
          <w:b/>
          <w:bCs/>
          <w:sz w:val="28"/>
          <w:szCs w:val="28"/>
        </w:rPr>
      </w:pPr>
    </w:p>
    <w:p>
      <w:pPr>
        <w:keepNext w:val="0"/>
        <w:keepLines w:val="0"/>
        <w:pageBreakBefore w:val="0"/>
        <w:widowControl/>
        <w:kinsoku/>
        <w:wordWrap/>
        <w:overflowPunct/>
        <w:topLinePunct w:val="0"/>
        <w:autoSpaceDE/>
        <w:autoSpaceDN/>
        <w:bidi w:val="0"/>
        <w:adjustRightInd/>
        <w:snapToGrid/>
        <w:jc w:val="center"/>
        <w:textAlignment w:val="auto"/>
        <w:rPr>
          <w:rFonts w:hint="eastAsia"/>
          <w:b/>
          <w:bCs/>
          <w:sz w:val="28"/>
          <w:szCs w:val="28"/>
        </w:rPr>
      </w:pPr>
    </w:p>
    <w:p>
      <w:pPr>
        <w:keepNext w:val="0"/>
        <w:keepLines w:val="0"/>
        <w:pageBreakBefore w:val="0"/>
        <w:widowControl/>
        <w:kinsoku/>
        <w:wordWrap/>
        <w:overflowPunct/>
        <w:topLinePunct w:val="0"/>
        <w:autoSpaceDE/>
        <w:autoSpaceDN/>
        <w:bidi w:val="0"/>
        <w:adjustRightInd/>
        <w:snapToGrid/>
        <w:jc w:val="center"/>
        <w:textAlignment w:val="auto"/>
        <w:rPr>
          <w:b/>
          <w:bCs/>
          <w:sz w:val="28"/>
          <w:szCs w:val="28"/>
        </w:rPr>
      </w:pPr>
      <w:r>
        <w:rPr>
          <w:rFonts w:hint="eastAsia"/>
          <w:b/>
          <w:bCs/>
          <w:sz w:val="28"/>
          <w:szCs w:val="28"/>
        </w:rPr>
        <w:t>第六章</w:t>
      </w:r>
      <w:r>
        <w:rPr>
          <w:b/>
          <w:bCs/>
          <w:sz w:val="28"/>
          <w:szCs w:val="28"/>
        </w:rPr>
        <w:t xml:space="preserve"> </w:t>
      </w:r>
      <w:r>
        <w:rPr>
          <w:rFonts w:hint="eastAsia"/>
          <w:b/>
          <w:bCs/>
          <w:sz w:val="28"/>
          <w:szCs w:val="28"/>
        </w:rPr>
        <w:t>投标文件格式附件</w:t>
      </w:r>
    </w:p>
    <w:p>
      <w:pPr>
        <w:pStyle w:val="25"/>
      </w:pPr>
    </w:p>
    <w:p>
      <w:pPr>
        <w:rPr>
          <w:rFonts w:hint="eastAsia" w:ascii="微软雅黑" w:hAnsi="微软雅黑" w:eastAsia="微软雅黑" w:cs="微软雅黑"/>
          <w:b/>
          <w:bCs/>
          <w:sz w:val="44"/>
          <w:szCs w:val="44"/>
          <w:lang w:eastAsia="zh-CN"/>
        </w:rPr>
      </w:pPr>
      <w:r>
        <w:rPr>
          <w:rFonts w:hint="eastAsia" w:ascii="微软雅黑" w:hAnsi="微软雅黑" w:eastAsia="微软雅黑" w:cs="微软雅黑"/>
          <w:b/>
          <w:bCs/>
          <w:sz w:val="44"/>
          <w:szCs w:val="44"/>
          <w:lang w:eastAsia="zh-CN"/>
        </w:rPr>
        <w:br w:type="page"/>
      </w:r>
    </w:p>
    <w:p>
      <w:pPr>
        <w:bidi w:val="0"/>
        <w:jc w:val="center"/>
        <w:rPr>
          <w:rFonts w:hint="eastAsia" w:ascii="微软雅黑" w:hAnsi="微软雅黑" w:eastAsia="微软雅黑" w:cs="微软雅黑"/>
          <w:b/>
          <w:bCs/>
          <w:sz w:val="44"/>
          <w:szCs w:val="44"/>
          <w:lang w:eastAsia="zh-CN"/>
        </w:rPr>
      </w:pPr>
    </w:p>
    <w:p>
      <w:pPr>
        <w:bidi w:val="0"/>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lang w:eastAsia="zh-CN"/>
        </w:rPr>
        <w:t>温岭市住房和城乡建设局2022年-2025年绿化及道路养护采购（重新发布）</w:t>
      </w:r>
    </w:p>
    <w:p>
      <w:pPr>
        <w:spacing w:beforeLines="100" w:line="360" w:lineRule="auto"/>
        <w:ind w:right="-108"/>
        <w:jc w:val="center"/>
        <w:rPr>
          <w:rFonts w:ascii="宋体"/>
          <w:b/>
          <w:bCs/>
          <w:sz w:val="32"/>
          <w:szCs w:val="32"/>
        </w:rPr>
      </w:pPr>
      <w:r>
        <w:rPr>
          <w:rFonts w:hint="eastAsia" w:ascii="宋体" w:hAnsi="宋体" w:cs="宋体"/>
          <w:b/>
          <w:bCs/>
          <w:sz w:val="32"/>
          <w:szCs w:val="32"/>
        </w:rPr>
        <w:t>项目编号：</w:t>
      </w:r>
      <w:r>
        <w:rPr>
          <w:rFonts w:hint="eastAsia" w:ascii="宋体" w:hAnsi="宋体" w:cs="宋体"/>
          <w:b/>
          <w:bCs/>
          <w:sz w:val="32"/>
          <w:szCs w:val="32"/>
          <w:lang w:eastAsia="zh-CN"/>
        </w:rPr>
        <w:t>JJWL220509129-1</w:t>
      </w:r>
    </w:p>
    <w:p>
      <w:pPr>
        <w:autoSpaceDE w:val="0"/>
        <w:autoSpaceDN w:val="0"/>
        <w:adjustRightInd w:val="0"/>
        <w:spacing w:line="360" w:lineRule="auto"/>
        <w:jc w:val="center"/>
        <w:rPr>
          <w:rFonts w:hint="eastAsia" w:ascii="宋体" w:hAnsi="宋体" w:cs="宋体"/>
          <w:b/>
          <w:bCs/>
          <w:sz w:val="84"/>
          <w:szCs w:val="84"/>
          <w:lang w:val="zh-CN"/>
        </w:rPr>
      </w:pPr>
      <w:r>
        <w:rPr>
          <w:rFonts w:hint="eastAsia" w:ascii="宋体" w:hAnsi="宋体" w:cs="宋体"/>
          <w:b/>
          <w:bCs/>
          <w:sz w:val="84"/>
          <w:szCs w:val="84"/>
          <w:lang w:val="zh-CN"/>
        </w:rPr>
        <w:t>资</w:t>
      </w:r>
    </w:p>
    <w:p>
      <w:pPr>
        <w:autoSpaceDE w:val="0"/>
        <w:autoSpaceDN w:val="0"/>
        <w:adjustRightInd w:val="0"/>
        <w:spacing w:line="360" w:lineRule="auto"/>
        <w:jc w:val="center"/>
        <w:rPr>
          <w:rFonts w:hint="eastAsia" w:ascii="宋体" w:hAnsi="宋体" w:cs="宋体"/>
          <w:b/>
          <w:bCs/>
          <w:sz w:val="84"/>
          <w:szCs w:val="84"/>
          <w:lang w:val="zh-CN"/>
        </w:rPr>
      </w:pPr>
      <w:r>
        <w:rPr>
          <w:rFonts w:hint="eastAsia" w:ascii="宋体" w:hAnsi="宋体" w:cs="宋体"/>
          <w:b/>
          <w:bCs/>
          <w:sz w:val="84"/>
          <w:szCs w:val="84"/>
          <w:lang w:val="zh-CN"/>
        </w:rPr>
        <w:t>格</w:t>
      </w:r>
    </w:p>
    <w:p>
      <w:pPr>
        <w:autoSpaceDE w:val="0"/>
        <w:autoSpaceDN w:val="0"/>
        <w:adjustRightInd w:val="0"/>
        <w:spacing w:line="360" w:lineRule="auto"/>
        <w:jc w:val="center"/>
        <w:rPr>
          <w:rFonts w:hint="eastAsia" w:ascii="宋体" w:hAnsi="宋体" w:cs="宋体"/>
          <w:b/>
          <w:bCs/>
          <w:sz w:val="84"/>
          <w:szCs w:val="84"/>
          <w:lang w:val="zh-CN"/>
        </w:rPr>
      </w:pPr>
      <w:r>
        <w:rPr>
          <w:rFonts w:hint="eastAsia" w:ascii="宋体" w:hAnsi="宋体" w:cs="宋体"/>
          <w:b/>
          <w:bCs/>
          <w:sz w:val="84"/>
          <w:szCs w:val="84"/>
          <w:lang w:val="zh-CN"/>
        </w:rPr>
        <w:t>证</w:t>
      </w:r>
    </w:p>
    <w:p>
      <w:pPr>
        <w:autoSpaceDE w:val="0"/>
        <w:autoSpaceDN w:val="0"/>
        <w:adjustRightInd w:val="0"/>
        <w:spacing w:line="360" w:lineRule="auto"/>
        <w:jc w:val="center"/>
        <w:rPr>
          <w:rFonts w:hint="eastAsia" w:ascii="宋体" w:hAnsi="宋体" w:cs="宋体"/>
          <w:b/>
          <w:bCs/>
          <w:sz w:val="84"/>
          <w:szCs w:val="84"/>
          <w:lang w:val="zh-CN"/>
        </w:rPr>
      </w:pPr>
      <w:r>
        <w:rPr>
          <w:rFonts w:hint="eastAsia" w:ascii="宋体" w:hAnsi="宋体" w:cs="宋体"/>
          <w:b/>
          <w:bCs/>
          <w:sz w:val="84"/>
          <w:szCs w:val="84"/>
          <w:lang w:val="zh-CN"/>
        </w:rPr>
        <w:t>明</w:t>
      </w:r>
    </w:p>
    <w:p>
      <w:pPr>
        <w:autoSpaceDE w:val="0"/>
        <w:autoSpaceDN w:val="0"/>
        <w:adjustRightInd w:val="0"/>
        <w:spacing w:line="360" w:lineRule="auto"/>
        <w:jc w:val="center"/>
        <w:rPr>
          <w:rFonts w:ascii="宋体"/>
          <w:b/>
          <w:bCs/>
          <w:sz w:val="84"/>
          <w:szCs w:val="84"/>
        </w:rPr>
      </w:pPr>
      <w:r>
        <w:rPr>
          <w:rFonts w:hint="eastAsia" w:ascii="宋体" w:hAnsi="宋体" w:cs="宋体"/>
          <w:b/>
          <w:bCs/>
          <w:sz w:val="84"/>
          <w:szCs w:val="84"/>
          <w:lang w:val="zh-CN"/>
        </w:rPr>
        <w:t>文</w:t>
      </w:r>
    </w:p>
    <w:p>
      <w:pPr>
        <w:spacing w:after="100" w:afterAutospacing="1" w:line="360" w:lineRule="auto"/>
        <w:ind w:right="-108"/>
        <w:jc w:val="center"/>
        <w:rPr>
          <w:rFonts w:ascii="宋体"/>
          <w:b/>
          <w:bCs/>
          <w:sz w:val="84"/>
          <w:szCs w:val="84"/>
          <w:lang w:val="zh-CN"/>
        </w:rPr>
      </w:pPr>
      <w:r>
        <w:rPr>
          <w:rFonts w:hint="eastAsia" w:ascii="宋体" w:hAnsi="宋体" w:cs="宋体"/>
          <w:b/>
          <w:bCs/>
          <w:sz w:val="84"/>
          <w:szCs w:val="84"/>
          <w:lang w:val="zh-CN"/>
        </w:rPr>
        <w:t>件</w:t>
      </w:r>
    </w:p>
    <w:p>
      <w:pPr>
        <w:spacing w:line="360" w:lineRule="auto"/>
        <w:ind w:right="532" w:firstLine="640" w:firstLineChars="200"/>
        <w:rPr>
          <w:rFonts w:ascii="宋体"/>
          <w:sz w:val="28"/>
          <w:szCs w:val="28"/>
        </w:rPr>
      </w:pPr>
      <w:r>
        <w:rPr>
          <w:rFonts w:hint="eastAsia" w:ascii="宋体" w:hAnsi="宋体" w:cs="宋体"/>
          <w:sz w:val="32"/>
          <w:szCs w:val="32"/>
        </w:rPr>
        <w:t>投标人全称</w:t>
      </w:r>
      <w:r>
        <w:rPr>
          <w:rFonts w:hint="eastAsia" w:ascii="宋体" w:hAnsi="宋体" w:cs="宋体"/>
          <w:sz w:val="32"/>
          <w:szCs w:val="32"/>
          <w:lang w:eastAsia="zh-CN"/>
        </w:rPr>
        <w:t>（</w:t>
      </w:r>
      <w:r>
        <w:rPr>
          <w:rFonts w:hint="eastAsia" w:ascii="宋体" w:hAnsi="宋体" w:cs="宋体"/>
          <w:sz w:val="32"/>
          <w:szCs w:val="32"/>
        </w:rPr>
        <w:t>单位公章</w:t>
      </w:r>
      <w:r>
        <w:rPr>
          <w:rFonts w:hint="eastAsia" w:ascii="宋体" w:hAnsi="宋体" w:cs="宋体"/>
          <w:sz w:val="32"/>
          <w:szCs w:val="32"/>
          <w:lang w:eastAsia="zh-CN"/>
        </w:rPr>
        <w:t>）</w:t>
      </w:r>
      <w:r>
        <w:rPr>
          <w:rFonts w:hint="eastAsia" w:ascii="宋体" w:hAnsi="宋体" w:cs="宋体"/>
          <w:sz w:val="28"/>
          <w:szCs w:val="28"/>
        </w:rPr>
        <w:t>：</w:t>
      </w:r>
    </w:p>
    <w:p>
      <w:pPr>
        <w:spacing w:line="360" w:lineRule="auto"/>
        <w:ind w:right="532" w:firstLine="640" w:firstLineChars="200"/>
        <w:rPr>
          <w:rFonts w:ascii="宋体"/>
          <w:sz w:val="32"/>
          <w:szCs w:val="32"/>
        </w:rPr>
      </w:pPr>
      <w:r>
        <w:rPr>
          <w:rFonts w:hint="eastAsia" w:ascii="宋体" w:hAnsi="宋体" w:cs="宋体"/>
          <w:sz w:val="32"/>
          <w:szCs w:val="32"/>
        </w:rPr>
        <w:t>地</w:t>
      </w:r>
      <w:r>
        <w:rPr>
          <w:rFonts w:ascii="宋体" w:hAnsi="宋体" w:cs="宋体"/>
          <w:sz w:val="32"/>
          <w:szCs w:val="32"/>
        </w:rPr>
        <w:t xml:space="preserve">    </w:t>
      </w:r>
      <w:r>
        <w:rPr>
          <w:rFonts w:hint="eastAsia" w:ascii="宋体" w:hAnsi="宋体" w:cs="宋体"/>
          <w:sz w:val="32"/>
          <w:szCs w:val="32"/>
        </w:rPr>
        <w:t>址：</w:t>
      </w:r>
    </w:p>
    <w:p>
      <w:pPr>
        <w:spacing w:line="360" w:lineRule="auto"/>
        <w:ind w:right="532" w:firstLine="640" w:firstLineChars="200"/>
        <w:rPr>
          <w:rFonts w:ascii="宋体"/>
          <w:sz w:val="32"/>
          <w:szCs w:val="32"/>
        </w:rPr>
      </w:pPr>
      <w:r>
        <w:rPr>
          <w:rFonts w:hint="eastAsia" w:ascii="宋体" w:hAnsi="宋体" w:cs="宋体"/>
          <w:sz w:val="32"/>
          <w:szCs w:val="32"/>
        </w:rPr>
        <w:t>时</w:t>
      </w:r>
      <w:r>
        <w:rPr>
          <w:rFonts w:ascii="宋体" w:hAnsi="宋体" w:cs="宋体"/>
          <w:sz w:val="32"/>
          <w:szCs w:val="32"/>
        </w:rPr>
        <w:t xml:space="preserve">    </w:t>
      </w:r>
      <w:r>
        <w:rPr>
          <w:rFonts w:hint="eastAsia" w:ascii="宋体" w:hAnsi="宋体" w:cs="宋体"/>
          <w:sz w:val="32"/>
          <w:szCs w:val="32"/>
        </w:rPr>
        <w:t>间：</w:t>
      </w:r>
    </w:p>
    <w:p>
      <w:pPr>
        <w:jc w:val="both"/>
        <w:rPr>
          <w:rFonts w:hint="eastAsia" w:ascii="宋体" w:hAnsi="宋体" w:cs="宋体"/>
          <w:b/>
          <w:bCs/>
          <w:sz w:val="32"/>
          <w:szCs w:val="32"/>
        </w:rPr>
      </w:pPr>
    </w:p>
    <w:p>
      <w:pPr>
        <w:snapToGrid w:val="0"/>
        <w:spacing w:before="50" w:after="50" w:line="360" w:lineRule="auto"/>
        <w:jc w:val="center"/>
        <w:rPr>
          <w:rFonts w:hint="eastAsia" w:ascii="仿宋_GB2312" w:hAnsi="宋体" w:eastAsia="仿宋_GB2312"/>
          <w:b/>
          <w:bCs/>
          <w:sz w:val="36"/>
          <w:szCs w:val="36"/>
        </w:rPr>
      </w:pPr>
      <w:r>
        <w:rPr>
          <w:rFonts w:hint="eastAsia" w:ascii="仿宋_GB2312" w:hAnsi="宋体" w:eastAsia="仿宋_GB2312"/>
          <w:b/>
          <w:bCs/>
          <w:sz w:val="36"/>
          <w:szCs w:val="36"/>
        </w:rPr>
        <w:t>资格证明文件包含以下内容</w:t>
      </w:r>
    </w:p>
    <w:p>
      <w:pPr>
        <w:pStyle w:val="33"/>
      </w:pPr>
    </w:p>
    <w:p>
      <w:pPr>
        <w:numPr>
          <w:ilvl w:val="0"/>
          <w:numId w:val="6"/>
        </w:numPr>
        <w:snapToGrid w:val="0"/>
        <w:spacing w:line="360" w:lineRule="auto"/>
        <w:rPr>
          <w:rFonts w:ascii="宋体"/>
          <w:kern w:val="0"/>
          <w:sz w:val="28"/>
          <w:szCs w:val="28"/>
        </w:rPr>
      </w:pPr>
      <w:r>
        <w:rPr>
          <w:rFonts w:hint="eastAsia" w:ascii="宋体" w:hAnsi="宋体" w:cs="宋体"/>
          <w:sz w:val="28"/>
          <w:szCs w:val="28"/>
        </w:rPr>
        <w:t>投标声明书</w:t>
      </w:r>
      <w:r>
        <w:rPr>
          <w:rFonts w:hint="eastAsia" w:ascii="宋体" w:hAnsi="宋体" w:cs="宋体"/>
          <w:sz w:val="28"/>
          <w:szCs w:val="28"/>
          <w:lang w:eastAsia="zh-CN"/>
        </w:rPr>
        <w:t>；</w:t>
      </w:r>
    </w:p>
    <w:p>
      <w:pPr>
        <w:numPr>
          <w:ilvl w:val="0"/>
          <w:numId w:val="6"/>
        </w:numPr>
        <w:snapToGrid w:val="0"/>
        <w:spacing w:line="360" w:lineRule="auto"/>
        <w:rPr>
          <w:rFonts w:ascii="宋体"/>
          <w:kern w:val="0"/>
          <w:sz w:val="28"/>
          <w:szCs w:val="28"/>
        </w:rPr>
      </w:pPr>
      <w:r>
        <w:rPr>
          <w:rFonts w:hint="eastAsia" w:ascii="宋体" w:hAnsi="宋体" w:cs="宋体"/>
          <w:sz w:val="28"/>
          <w:szCs w:val="28"/>
          <w:lang w:eastAsia="zh-CN"/>
        </w:rPr>
        <w:t>法定代表人身份证明书或授权委托书；</w:t>
      </w:r>
    </w:p>
    <w:p>
      <w:pPr>
        <w:numPr>
          <w:ilvl w:val="0"/>
          <w:numId w:val="6"/>
        </w:numPr>
        <w:snapToGrid w:val="0"/>
        <w:spacing w:line="360" w:lineRule="auto"/>
        <w:rPr>
          <w:rFonts w:hint="eastAsia" w:ascii="宋体" w:eastAsia="宋体"/>
          <w:kern w:val="0"/>
          <w:sz w:val="28"/>
          <w:szCs w:val="28"/>
          <w:lang w:eastAsia="zh-CN"/>
        </w:rPr>
      </w:pPr>
      <w:r>
        <w:rPr>
          <w:rFonts w:hint="eastAsia" w:cs="宋体"/>
          <w:sz w:val="28"/>
          <w:szCs w:val="28"/>
        </w:rPr>
        <w:t>法人或者其他组织的营业执照等证明文件，自然人的身份证明</w:t>
      </w:r>
      <w:r>
        <w:rPr>
          <w:rFonts w:hint="eastAsia" w:cs="宋体"/>
          <w:sz w:val="28"/>
          <w:szCs w:val="28"/>
          <w:lang w:eastAsia="zh-CN"/>
        </w:rPr>
        <w:t>；</w:t>
      </w:r>
    </w:p>
    <w:p>
      <w:pPr>
        <w:numPr>
          <w:ilvl w:val="0"/>
          <w:numId w:val="6"/>
        </w:numPr>
        <w:snapToGrid w:val="0"/>
        <w:spacing w:line="360" w:lineRule="auto"/>
        <w:rPr>
          <w:rFonts w:hint="eastAsia" w:ascii="宋体" w:hAnsi="宋体" w:cs="宋体"/>
          <w:sz w:val="28"/>
          <w:szCs w:val="28"/>
          <w:lang w:eastAsia="zh-CN"/>
        </w:rPr>
      </w:pPr>
      <w:r>
        <w:rPr>
          <w:rFonts w:hint="eastAsia" w:ascii="宋体" w:hAnsi="宋体" w:cs="宋体"/>
          <w:sz w:val="28"/>
          <w:szCs w:val="28"/>
          <w:lang w:eastAsia="zh-CN"/>
        </w:rPr>
        <w:t>具备履行合同所必需的设备和专业技术能力的证明材料；</w:t>
      </w:r>
    </w:p>
    <w:p>
      <w:pPr>
        <w:numPr>
          <w:ilvl w:val="0"/>
          <w:numId w:val="6"/>
        </w:numPr>
        <w:snapToGrid w:val="0"/>
        <w:spacing w:line="360" w:lineRule="auto"/>
        <w:rPr>
          <w:rFonts w:hint="default" w:ascii="宋体" w:hAnsi="宋体" w:cs="宋体"/>
          <w:sz w:val="28"/>
          <w:szCs w:val="28"/>
          <w:lang w:val="en-US" w:eastAsia="zh-CN"/>
        </w:rPr>
      </w:pPr>
      <w:r>
        <w:rPr>
          <w:rFonts w:hint="eastAsia" w:ascii="宋体" w:hAnsi="宋体" w:cs="宋体"/>
          <w:sz w:val="28"/>
          <w:szCs w:val="28"/>
          <w:lang w:val="en-US" w:eastAsia="zh-CN"/>
        </w:rPr>
        <w:t>投标人的《中小企业声明函（服务）》等相关证明材料；</w:t>
      </w:r>
    </w:p>
    <w:p>
      <w:pPr>
        <w:numPr>
          <w:ilvl w:val="0"/>
          <w:numId w:val="6"/>
        </w:numPr>
        <w:snapToGrid w:val="0"/>
        <w:spacing w:line="360" w:lineRule="auto"/>
        <w:rPr>
          <w:rFonts w:hint="eastAsia" w:ascii="宋体" w:hAnsi="宋体" w:cs="宋体"/>
          <w:sz w:val="28"/>
          <w:szCs w:val="28"/>
          <w:lang w:eastAsia="zh-CN"/>
        </w:rPr>
      </w:pPr>
      <w:r>
        <w:rPr>
          <w:rFonts w:hint="eastAsia" w:ascii="宋体" w:hAnsi="宋体" w:cs="宋体"/>
          <w:sz w:val="28"/>
          <w:szCs w:val="28"/>
          <w:lang w:eastAsia="zh-CN"/>
        </w:rPr>
        <w:t>投标人认为需要提供的其它文件和资料。</w:t>
      </w:r>
    </w:p>
    <w:p>
      <w:pPr>
        <w:spacing w:line="360" w:lineRule="auto"/>
        <w:rPr>
          <w:rFonts w:ascii="宋体"/>
          <w:b/>
          <w:bCs/>
          <w:sz w:val="28"/>
          <w:szCs w:val="28"/>
        </w:rPr>
      </w:pPr>
    </w:p>
    <w:p>
      <w:pPr>
        <w:pStyle w:val="33"/>
        <w:rPr>
          <w:rFonts w:ascii="宋体"/>
          <w:b/>
          <w:bCs/>
          <w:sz w:val="28"/>
          <w:szCs w:val="28"/>
        </w:rPr>
      </w:pPr>
    </w:p>
    <w:p>
      <w:pPr>
        <w:pStyle w:val="13"/>
        <w:rPr>
          <w:rFonts w:hint="eastAsia" w:ascii="宋体"/>
          <w:b w:val="0"/>
          <w:bCs w:val="0"/>
          <w:sz w:val="24"/>
          <w:szCs w:val="24"/>
          <w:lang w:val="en-US" w:eastAsia="zh-CN"/>
        </w:rPr>
      </w:pPr>
      <w:r>
        <w:rPr>
          <w:rFonts w:hint="eastAsia" w:ascii="宋体"/>
          <w:b/>
          <w:bCs/>
          <w:color w:val="FF0000"/>
          <w:sz w:val="24"/>
          <w:szCs w:val="24"/>
          <w:lang w:val="en-US" w:eastAsia="zh-CN"/>
        </w:rPr>
        <w:t>注：监狱企业、残疾人福利性单位视同中小型企业，若为残疾人福利性单位请提供残疾人福利性单位声明函；若为监狱企业，请提供省级以上监狱管理局、戒毒管理局（含新疆生产建设兵团）开具的属于监狱企业的证明文件</w:t>
      </w:r>
      <w:r>
        <w:rPr>
          <w:rFonts w:hint="eastAsia" w:ascii="宋体"/>
          <w:b w:val="0"/>
          <w:bCs w:val="0"/>
          <w:sz w:val="24"/>
          <w:szCs w:val="24"/>
          <w:lang w:val="en-US" w:eastAsia="zh-CN"/>
        </w:rPr>
        <w:t>。</w:t>
      </w:r>
    </w:p>
    <w:p>
      <w:pPr>
        <w:pStyle w:val="13"/>
        <w:rPr>
          <w:rFonts w:hint="eastAsia" w:eastAsia="宋体"/>
          <w:b w:val="0"/>
          <w:bCs w:val="0"/>
          <w:sz w:val="22"/>
          <w:szCs w:val="22"/>
          <w:lang w:eastAsia="zh-CN"/>
        </w:rPr>
      </w:pPr>
    </w:p>
    <w:p>
      <w:pPr>
        <w:spacing w:line="360" w:lineRule="auto"/>
        <w:ind w:left="420"/>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widowControl/>
        <w:jc w:val="left"/>
        <w:rPr>
          <w:rFonts w:hint="eastAsia" w:ascii="宋体" w:hAnsi="宋体" w:cs="宋体"/>
          <w:b/>
          <w:bCs/>
          <w:sz w:val="24"/>
          <w:szCs w:val="24"/>
        </w:rPr>
      </w:pPr>
    </w:p>
    <w:p>
      <w:pPr>
        <w:pStyle w:val="2"/>
        <w:rPr>
          <w:rFonts w:hint="eastAsia" w:ascii="宋体" w:hAnsi="宋体" w:cs="宋体"/>
          <w:b/>
          <w:bCs/>
          <w:sz w:val="24"/>
          <w:szCs w:val="24"/>
        </w:rPr>
      </w:pPr>
    </w:p>
    <w:p>
      <w:pPr>
        <w:pStyle w:val="2"/>
        <w:rPr>
          <w:rFonts w:hint="eastAsia" w:ascii="宋体" w:hAnsi="宋体" w:cs="宋体"/>
          <w:b/>
          <w:bCs/>
          <w:sz w:val="24"/>
          <w:szCs w:val="24"/>
        </w:rPr>
      </w:pPr>
    </w:p>
    <w:p>
      <w:pPr>
        <w:pStyle w:val="2"/>
        <w:rPr>
          <w:rFonts w:hint="eastAsia" w:ascii="宋体" w:hAnsi="宋体" w:cs="宋体"/>
          <w:b/>
          <w:bCs/>
          <w:sz w:val="24"/>
          <w:szCs w:val="24"/>
        </w:rPr>
      </w:pPr>
    </w:p>
    <w:p>
      <w:pPr>
        <w:pStyle w:val="2"/>
        <w:rPr>
          <w:rFonts w:hint="eastAsia" w:ascii="宋体" w:hAnsi="宋体" w:cs="宋体"/>
          <w:b/>
          <w:bCs/>
          <w:sz w:val="24"/>
          <w:szCs w:val="24"/>
        </w:rPr>
      </w:pPr>
    </w:p>
    <w:p>
      <w:pPr>
        <w:pStyle w:val="2"/>
        <w:rPr>
          <w:rFonts w:hint="eastAsia" w:ascii="宋体" w:hAnsi="宋体" w:cs="宋体"/>
          <w:b/>
          <w:bCs/>
          <w:sz w:val="24"/>
          <w:szCs w:val="24"/>
        </w:rPr>
      </w:pPr>
    </w:p>
    <w:p>
      <w:pPr>
        <w:widowControl/>
        <w:jc w:val="left"/>
        <w:rPr>
          <w:rFonts w:hint="eastAsia" w:ascii="宋体" w:eastAsia="宋体"/>
          <w:b/>
          <w:bCs/>
          <w:sz w:val="28"/>
          <w:szCs w:val="28"/>
          <w:lang w:eastAsia="zh-CN"/>
        </w:rPr>
      </w:pPr>
      <w:r>
        <w:rPr>
          <w:rFonts w:hint="eastAsia" w:ascii="宋体" w:hAnsi="宋体" w:cs="宋体"/>
          <w:b/>
          <w:bCs/>
          <w:sz w:val="24"/>
          <w:szCs w:val="24"/>
        </w:rPr>
        <w:t>附件</w:t>
      </w:r>
      <w:r>
        <w:rPr>
          <w:rFonts w:hint="eastAsia" w:ascii="宋体" w:hAnsi="宋体" w:cs="宋体"/>
          <w:b/>
          <w:bCs/>
          <w:sz w:val="24"/>
          <w:szCs w:val="24"/>
          <w:lang w:val="en-US" w:eastAsia="zh-CN"/>
        </w:rPr>
        <w:t>1</w:t>
      </w:r>
      <w:r>
        <w:rPr>
          <w:rFonts w:hint="eastAsia" w:ascii="宋体" w:hAnsi="宋体" w:cs="宋体"/>
          <w:b/>
          <w:bCs/>
          <w:sz w:val="24"/>
          <w:szCs w:val="24"/>
          <w:lang w:eastAsia="zh-CN"/>
        </w:rPr>
        <w:t>：</w:t>
      </w:r>
    </w:p>
    <w:p>
      <w:pPr>
        <w:adjustRightInd w:val="0"/>
        <w:snapToGrid w:val="0"/>
        <w:spacing w:line="440" w:lineRule="exact"/>
        <w:ind w:firstLine="640" w:firstLineChars="200"/>
        <w:jc w:val="center"/>
        <w:rPr>
          <w:rFonts w:ascii="宋体"/>
          <w:b/>
          <w:bCs/>
          <w:kern w:val="0"/>
          <w:sz w:val="32"/>
          <w:szCs w:val="32"/>
          <w:lang w:val="zh-CN"/>
        </w:rPr>
      </w:pPr>
      <w:r>
        <w:rPr>
          <w:rFonts w:hint="eastAsia" w:ascii="宋体" w:hAnsi="宋体" w:cs="宋体"/>
          <w:b/>
          <w:bCs/>
          <w:kern w:val="0"/>
          <w:sz w:val="32"/>
          <w:szCs w:val="32"/>
          <w:lang w:val="zh-CN"/>
        </w:rPr>
        <w:t>投标声明书</w:t>
      </w:r>
    </w:p>
    <w:p>
      <w:pPr>
        <w:snapToGrid w:val="0"/>
        <w:spacing w:line="440" w:lineRule="exact"/>
        <w:rPr>
          <w:rFonts w:ascii="宋体"/>
          <w:kern w:val="0"/>
          <w:sz w:val="24"/>
          <w:szCs w:val="24"/>
        </w:rPr>
      </w:pPr>
      <w:r>
        <w:rPr>
          <w:rFonts w:hint="eastAsia" w:ascii="宋体" w:hAnsi="宋体" w:cs="宋体"/>
          <w:sz w:val="24"/>
          <w:szCs w:val="24"/>
          <w:u w:val="single"/>
          <w:lang w:val="en-US" w:eastAsia="zh-CN"/>
        </w:rPr>
        <w:t>温岭市住房和城乡建设局</w:t>
      </w:r>
      <w:r>
        <w:rPr>
          <w:rFonts w:hint="eastAsia" w:ascii="宋体" w:hAnsi="宋体" w:cs="宋体"/>
          <w:kern w:val="0"/>
          <w:sz w:val="24"/>
          <w:szCs w:val="24"/>
        </w:rPr>
        <w:t>：</w:t>
      </w:r>
    </w:p>
    <w:p>
      <w:pPr>
        <w:snapToGrid w:val="0"/>
        <w:spacing w:line="440" w:lineRule="exact"/>
        <w:ind w:firstLine="480" w:firstLineChars="200"/>
        <w:rPr>
          <w:rFonts w:ascii="宋体"/>
          <w:kern w:val="0"/>
          <w:sz w:val="24"/>
          <w:szCs w:val="24"/>
        </w:rPr>
      </w:pPr>
      <w:r>
        <w:rPr>
          <w:rFonts w:hint="eastAsia" w:ascii="宋体" w:hAnsi="宋体" w:cs="宋体"/>
          <w:kern w:val="0"/>
          <w:sz w:val="24"/>
          <w:szCs w:val="24"/>
        </w:rPr>
        <w:t>（投标人名称）系中华人民共和国合法企业，（经营地址）。</w:t>
      </w:r>
    </w:p>
    <w:p>
      <w:pPr>
        <w:snapToGrid w:val="0"/>
        <w:spacing w:line="440" w:lineRule="exact"/>
        <w:ind w:firstLine="480" w:firstLineChars="200"/>
        <w:rPr>
          <w:rFonts w:ascii="宋体"/>
          <w:kern w:val="0"/>
          <w:sz w:val="24"/>
          <w:szCs w:val="24"/>
        </w:rPr>
      </w:pPr>
      <w:r>
        <w:rPr>
          <w:rFonts w:hint="eastAsia" w:ascii="宋体" w:hAnsi="宋体" w:cs="宋体"/>
          <w:kern w:val="0"/>
          <w:sz w:val="24"/>
          <w:szCs w:val="24"/>
        </w:rPr>
        <w:t>我（</w:t>
      </w:r>
      <w:r>
        <w:rPr>
          <w:rFonts w:ascii="宋体" w:hAnsi="宋体" w:cs="宋体"/>
          <w:kern w:val="0"/>
          <w:sz w:val="24"/>
          <w:szCs w:val="24"/>
          <w:u w:val="single"/>
        </w:rPr>
        <w:t xml:space="preserve"> </w:t>
      </w:r>
      <w:r>
        <w:rPr>
          <w:rFonts w:hint="eastAsia" w:ascii="宋体" w:hAnsi="宋体" w:cs="宋体"/>
          <w:kern w:val="0"/>
          <w:sz w:val="24"/>
          <w:szCs w:val="24"/>
          <w:u w:val="single"/>
        </w:rPr>
        <w:t>姓名</w:t>
      </w:r>
      <w:r>
        <w:rPr>
          <w:rFonts w:ascii="宋体" w:hAnsi="宋体" w:cs="宋体"/>
          <w:kern w:val="0"/>
          <w:sz w:val="24"/>
          <w:szCs w:val="24"/>
          <w:u w:val="single"/>
        </w:rPr>
        <w:t xml:space="preserve"> </w:t>
      </w:r>
      <w:r>
        <w:rPr>
          <w:rFonts w:hint="eastAsia" w:ascii="宋体" w:hAnsi="宋体" w:cs="宋体"/>
          <w:kern w:val="0"/>
          <w:sz w:val="24"/>
          <w:szCs w:val="24"/>
        </w:rPr>
        <w:t>）系（</w:t>
      </w:r>
      <w:r>
        <w:rPr>
          <w:rFonts w:ascii="宋体" w:hAnsi="宋体" w:cs="宋体"/>
          <w:kern w:val="0"/>
          <w:sz w:val="24"/>
          <w:szCs w:val="24"/>
          <w:u w:val="single"/>
        </w:rPr>
        <w:t xml:space="preserve"> </w:t>
      </w:r>
      <w:r>
        <w:rPr>
          <w:rFonts w:hint="eastAsia" w:ascii="宋体" w:hAnsi="宋体" w:cs="宋体"/>
          <w:kern w:val="0"/>
          <w:sz w:val="24"/>
          <w:szCs w:val="24"/>
          <w:u w:val="single"/>
        </w:rPr>
        <w:t>投标人名称</w:t>
      </w:r>
      <w:r>
        <w:rPr>
          <w:rFonts w:ascii="宋体" w:hAnsi="宋体" w:cs="宋体"/>
          <w:kern w:val="0"/>
          <w:sz w:val="24"/>
          <w:szCs w:val="24"/>
          <w:u w:val="single"/>
        </w:rPr>
        <w:t xml:space="preserve"> </w:t>
      </w:r>
      <w:r>
        <w:rPr>
          <w:rFonts w:hint="eastAsia" w:ascii="宋体" w:hAnsi="宋体" w:cs="宋体"/>
          <w:kern w:val="0"/>
          <w:sz w:val="24"/>
          <w:szCs w:val="24"/>
        </w:rPr>
        <w:t>）的法定代表人，我公司自愿参加贵方组织的</w:t>
      </w:r>
      <w:r>
        <w:rPr>
          <w:rFonts w:hint="eastAsia" w:ascii="宋体" w:hAnsi="宋体" w:cs="宋体"/>
          <w:color w:val="auto"/>
          <w:kern w:val="0"/>
          <w:sz w:val="24"/>
          <w:u w:val="single"/>
          <w:lang w:eastAsia="zh-CN" w:bidi="ar"/>
        </w:rPr>
        <w:t>温岭市住房和城乡建设局2022年-2025年绿化及道路养护采购（重新发布）</w:t>
      </w:r>
      <w:r>
        <w:rPr>
          <w:rFonts w:hint="eastAsia" w:ascii="宋体" w:hAnsi="宋体" w:cs="宋体"/>
          <w:kern w:val="0"/>
          <w:sz w:val="24"/>
          <w:szCs w:val="24"/>
        </w:rPr>
        <w:t>（编号为</w:t>
      </w:r>
      <w:r>
        <w:rPr>
          <w:rFonts w:hint="eastAsia" w:ascii="宋体" w:hAnsi="宋体" w:cs="宋体"/>
          <w:kern w:val="0"/>
          <w:sz w:val="24"/>
          <w:szCs w:val="24"/>
          <w:u w:val="single"/>
          <w:lang w:eastAsia="zh-CN"/>
        </w:rPr>
        <w:t>JJWL220509129-1</w:t>
      </w:r>
      <w:r>
        <w:rPr>
          <w:rFonts w:hint="eastAsia" w:ascii="宋体" w:hAnsi="宋体" w:cs="宋体"/>
          <w:kern w:val="0"/>
          <w:sz w:val="24"/>
          <w:szCs w:val="24"/>
        </w:rPr>
        <w:t>）的投标，为此，我公司就本次投标有关事项郑重声明如下：</w:t>
      </w:r>
    </w:p>
    <w:p>
      <w:pPr>
        <w:numPr>
          <w:ilvl w:val="0"/>
          <w:numId w:val="7"/>
        </w:numPr>
        <w:snapToGrid w:val="0"/>
        <w:spacing w:line="440" w:lineRule="exact"/>
        <w:ind w:firstLine="420" w:firstLineChars="175"/>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我公司具有良好的商业信誉和健全的财务会计制度；</w:t>
      </w:r>
    </w:p>
    <w:p>
      <w:pPr>
        <w:numPr>
          <w:ilvl w:val="0"/>
          <w:numId w:val="7"/>
        </w:numPr>
        <w:snapToGrid w:val="0"/>
        <w:spacing w:line="440" w:lineRule="exact"/>
        <w:ind w:firstLine="420" w:firstLineChars="175"/>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我公司具有依法缴纳税收和社会保障资金的良好记录；</w:t>
      </w:r>
    </w:p>
    <w:p>
      <w:pPr>
        <w:numPr>
          <w:ilvl w:val="0"/>
          <w:numId w:val="7"/>
        </w:numPr>
        <w:snapToGrid w:val="0"/>
        <w:spacing w:line="440" w:lineRule="exact"/>
        <w:ind w:firstLine="420" w:firstLineChars="175"/>
        <w:rPr>
          <w:rFonts w:hint="eastAsia" w:ascii="宋体" w:hAnsi="宋体" w:eastAsia="宋体" w:cs="宋体"/>
          <w:kern w:val="0"/>
          <w:sz w:val="24"/>
          <w:szCs w:val="24"/>
          <w:u w:val="none"/>
        </w:rPr>
      </w:pPr>
      <w:r>
        <w:rPr>
          <w:rFonts w:hint="eastAsia" w:ascii="宋体" w:hAnsi="宋体" w:eastAsia="宋体" w:cs="宋体"/>
          <w:kern w:val="0"/>
          <w:sz w:val="24"/>
          <w:szCs w:val="24"/>
          <w:u w:val="none"/>
        </w:rPr>
        <w:t>我公司截止投标时间近三年以来，在经营活动中无任何不良行为记录；无重大违法记录（重大违法记录是指供应商因违法经营受到刑事处罚或者责令停产停业、吊销许可证或者执照、较大数额罚款等行政处罚）。</w:t>
      </w:r>
    </w:p>
    <w:p>
      <w:pPr>
        <w:numPr>
          <w:ilvl w:val="0"/>
          <w:numId w:val="7"/>
        </w:numPr>
        <w:snapToGrid w:val="0"/>
        <w:spacing w:line="440" w:lineRule="exact"/>
        <w:ind w:firstLine="420" w:firstLineChars="175"/>
        <w:rPr>
          <w:rFonts w:hint="eastAsia" w:ascii="宋体" w:hAnsi="宋体" w:eastAsia="宋体" w:cs="宋体"/>
          <w:b w:val="0"/>
          <w:bCs w:val="0"/>
          <w:kern w:val="0"/>
          <w:sz w:val="24"/>
          <w:szCs w:val="24"/>
        </w:rPr>
      </w:pPr>
      <w:r>
        <w:rPr>
          <w:rFonts w:hint="eastAsia" w:ascii="宋体" w:hAnsi="宋体" w:eastAsia="宋体" w:cs="宋体"/>
          <w:kern w:val="0"/>
          <w:sz w:val="24"/>
          <w:szCs w:val="24"/>
          <w:lang w:eastAsia="zh-CN"/>
        </w:rPr>
        <w:t>我公司</w:t>
      </w:r>
      <w:r>
        <w:rPr>
          <w:rFonts w:hint="eastAsia" w:ascii="宋体" w:hAnsi="宋体" w:eastAsia="宋体" w:cs="宋体"/>
          <w:kern w:val="0"/>
          <w:sz w:val="24"/>
          <w:szCs w:val="24"/>
          <w:u w:val="none"/>
        </w:rPr>
        <w:t>截止投标响应截止时间前，未被“信用中国”（www.creditchina.gov.cn）、“中国政府采购网”（www.ccgp.gov.cn）列入失信被执行人、重大税收违法案件当事人名单、政府采购严重违法失信行为记录名单。</w:t>
      </w:r>
    </w:p>
    <w:p>
      <w:pPr>
        <w:numPr>
          <w:ilvl w:val="0"/>
          <w:numId w:val="7"/>
        </w:numPr>
        <w:snapToGrid w:val="0"/>
        <w:spacing w:line="440" w:lineRule="exact"/>
        <w:ind w:firstLine="420" w:firstLineChars="175"/>
        <w:rPr>
          <w:rFonts w:ascii="宋体"/>
          <w:kern w:val="0"/>
          <w:sz w:val="24"/>
          <w:szCs w:val="24"/>
        </w:rPr>
      </w:pPr>
      <w:r>
        <w:rPr>
          <w:rFonts w:hint="eastAsia" w:ascii="宋体" w:hAnsi="宋体" w:eastAsia="宋体" w:cs="宋体"/>
          <w:kern w:val="0"/>
          <w:sz w:val="24"/>
          <w:szCs w:val="24"/>
        </w:rPr>
        <w:t>我公司在参与投标前已详细审查了招标文件和所有相关资料，我方完全明白并认为此招标文件没有倾向性，也没有存在排斥潜在投标人的内容，</w:t>
      </w:r>
      <w:r>
        <w:rPr>
          <w:rFonts w:hint="eastAsia" w:ascii="宋体" w:hAnsi="宋体" w:cs="宋体"/>
          <w:kern w:val="0"/>
          <w:sz w:val="24"/>
          <w:szCs w:val="24"/>
        </w:rPr>
        <w:t>我方同意招标文件的相关条款，放弃对招标文件提出误解和质疑的一切权利。</w:t>
      </w:r>
    </w:p>
    <w:p>
      <w:pPr>
        <w:numPr>
          <w:ilvl w:val="0"/>
          <w:numId w:val="7"/>
        </w:numPr>
        <w:snapToGrid w:val="0"/>
        <w:spacing w:line="440" w:lineRule="exact"/>
        <w:ind w:firstLine="420" w:firstLineChars="175"/>
        <w:rPr>
          <w:rFonts w:ascii="宋体"/>
          <w:sz w:val="24"/>
          <w:szCs w:val="24"/>
        </w:rPr>
      </w:pPr>
      <w:r>
        <w:rPr>
          <w:rFonts w:hint="eastAsia" w:ascii="宋体" w:hAnsi="宋体" w:cs="宋体"/>
          <w:sz w:val="24"/>
          <w:szCs w:val="24"/>
        </w:rPr>
        <w:t>我</w:t>
      </w:r>
      <w:r>
        <w:rPr>
          <w:rFonts w:hint="eastAsia" w:ascii="宋体" w:hAnsi="宋体" w:cs="宋体"/>
          <w:kern w:val="0"/>
          <w:sz w:val="24"/>
          <w:szCs w:val="24"/>
          <w:lang w:val="zh-CN"/>
        </w:rPr>
        <w:t>公司</w:t>
      </w:r>
      <w:r>
        <w:rPr>
          <w:rFonts w:hint="eastAsia" w:ascii="宋体" w:hAnsi="宋体" w:cs="宋体"/>
          <w:sz w:val="24"/>
          <w:szCs w:val="24"/>
        </w:rPr>
        <w:t>不是采购人的附属机构；在获知本项目采购信息后，与采购人聘请的为此项目提供咨询服务的公司及其附属机构没有任何联系。</w:t>
      </w:r>
    </w:p>
    <w:p>
      <w:pPr>
        <w:numPr>
          <w:ilvl w:val="0"/>
          <w:numId w:val="7"/>
        </w:numPr>
        <w:snapToGrid w:val="0"/>
        <w:spacing w:line="440" w:lineRule="exact"/>
        <w:ind w:firstLine="420" w:firstLineChars="175"/>
        <w:rPr>
          <w:rFonts w:ascii="宋体"/>
          <w:kern w:val="0"/>
          <w:sz w:val="24"/>
          <w:szCs w:val="24"/>
          <w:lang w:val="af-ZA"/>
        </w:rPr>
      </w:pPr>
      <w:r>
        <w:rPr>
          <w:rFonts w:hint="eastAsia" w:ascii="宋体" w:hAnsi="宋体" w:cs="宋体"/>
          <w:kern w:val="0"/>
          <w:sz w:val="24"/>
          <w:szCs w:val="24"/>
        </w:rPr>
        <w:t>我</w:t>
      </w:r>
      <w:r>
        <w:rPr>
          <w:rFonts w:hint="eastAsia" w:ascii="宋体" w:hAnsi="宋体" w:cs="宋体"/>
          <w:kern w:val="0"/>
          <w:sz w:val="24"/>
          <w:szCs w:val="24"/>
          <w:lang w:val="zh-CN"/>
        </w:rPr>
        <w:t>公司</w:t>
      </w:r>
      <w:r>
        <w:rPr>
          <w:rFonts w:hint="eastAsia" w:ascii="宋体" w:hAnsi="宋体" w:cs="宋体"/>
          <w:kern w:val="0"/>
          <w:sz w:val="24"/>
          <w:szCs w:val="24"/>
        </w:rPr>
        <w:t>保证，</w:t>
      </w:r>
      <w:r>
        <w:rPr>
          <w:rFonts w:hint="eastAsia" w:ascii="宋体" w:hAnsi="宋体" w:cs="宋体"/>
          <w:kern w:val="0"/>
          <w:sz w:val="24"/>
          <w:szCs w:val="24"/>
          <w:lang w:val="af-ZA"/>
        </w:rPr>
        <w:t>采购人在中华人民共和国境内使用</w:t>
      </w:r>
      <w:r>
        <w:rPr>
          <w:rFonts w:hint="eastAsia" w:ascii="宋体" w:hAnsi="宋体" w:cs="宋体"/>
          <w:kern w:val="0"/>
          <w:sz w:val="24"/>
          <w:szCs w:val="24"/>
        </w:rPr>
        <w:t>我</w:t>
      </w:r>
      <w:r>
        <w:rPr>
          <w:rFonts w:hint="eastAsia" w:ascii="宋体" w:hAnsi="宋体" w:cs="宋体"/>
          <w:kern w:val="0"/>
          <w:sz w:val="24"/>
          <w:szCs w:val="24"/>
          <w:lang w:val="zh-CN"/>
        </w:rPr>
        <w:t>公司</w:t>
      </w:r>
      <w:r>
        <w:rPr>
          <w:rFonts w:hint="eastAsia" w:ascii="宋体" w:hAnsi="宋体" w:cs="宋体"/>
          <w:kern w:val="0"/>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numPr>
          <w:ilvl w:val="0"/>
          <w:numId w:val="7"/>
        </w:numPr>
        <w:snapToGrid w:val="0"/>
        <w:spacing w:line="440" w:lineRule="exact"/>
        <w:ind w:firstLine="420" w:firstLineChars="175"/>
        <w:rPr>
          <w:rFonts w:hint="eastAsia" w:ascii="宋体" w:hAnsi="宋体" w:eastAsia="宋体" w:cs="宋体"/>
          <w:kern w:val="0"/>
          <w:sz w:val="24"/>
          <w:szCs w:val="24"/>
          <w:lang w:val="af-ZA"/>
        </w:rPr>
      </w:pPr>
      <w:r>
        <w:rPr>
          <w:rFonts w:hint="eastAsia" w:ascii="宋体" w:hAnsi="宋体" w:eastAsia="宋体" w:cs="宋体"/>
          <w:kern w:val="0"/>
          <w:sz w:val="24"/>
          <w:szCs w:val="24"/>
          <w:lang w:val="af-ZA"/>
        </w:rPr>
        <w:t>我公司严格履行政府采购合同，不降低合同约定的产品质量和服务，不擅自变更、中止、终止合同，或拒绝履行合同义务；</w:t>
      </w:r>
    </w:p>
    <w:p>
      <w:pPr>
        <w:numPr>
          <w:ilvl w:val="0"/>
          <w:numId w:val="7"/>
        </w:numPr>
        <w:snapToGrid w:val="0"/>
        <w:spacing w:line="440" w:lineRule="exact"/>
        <w:ind w:firstLine="420" w:firstLineChars="175"/>
        <w:rPr>
          <w:rFonts w:ascii="宋体"/>
          <w:kern w:val="0"/>
          <w:sz w:val="24"/>
          <w:szCs w:val="24"/>
        </w:rPr>
      </w:pPr>
      <w:r>
        <w:rPr>
          <w:rFonts w:hint="eastAsia" w:ascii="宋体" w:hAnsi="宋体" w:cs="宋体"/>
          <w:sz w:val="24"/>
          <w:szCs w:val="24"/>
        </w:rPr>
        <w:t>以上事项如有虚假或隐瞒，我</w:t>
      </w:r>
      <w:r>
        <w:rPr>
          <w:rFonts w:hint="eastAsia" w:ascii="宋体" w:hAnsi="宋体" w:cs="宋体"/>
          <w:kern w:val="0"/>
          <w:sz w:val="24"/>
          <w:szCs w:val="24"/>
          <w:lang w:val="zh-CN"/>
        </w:rPr>
        <w:t>公司</w:t>
      </w:r>
      <w:r>
        <w:rPr>
          <w:rFonts w:hint="eastAsia" w:ascii="宋体" w:hAnsi="宋体" w:cs="宋体"/>
          <w:sz w:val="24"/>
          <w:szCs w:val="24"/>
        </w:rPr>
        <w:t>愿意承担一切后果，并不再寻求任何旨在减轻或免除法律责任的辩解。</w:t>
      </w:r>
    </w:p>
    <w:p>
      <w:pPr>
        <w:adjustRightInd w:val="0"/>
        <w:snapToGrid w:val="0"/>
        <w:spacing w:line="440" w:lineRule="exact"/>
        <w:ind w:firstLine="480" w:firstLineChars="200"/>
        <w:rPr>
          <w:rFonts w:ascii="宋体"/>
          <w:kern w:val="0"/>
          <w:sz w:val="24"/>
          <w:szCs w:val="24"/>
          <w:lang w:val="zh-CN"/>
        </w:rPr>
      </w:pPr>
      <w:r>
        <w:rPr>
          <w:rFonts w:ascii="宋体" w:hAnsi="宋体" w:cs="宋体"/>
          <w:kern w:val="0"/>
          <w:sz w:val="24"/>
          <w:szCs w:val="24"/>
          <w:lang w:val="zh-CN"/>
        </w:rPr>
        <w:t xml:space="preserve">                                        </w:t>
      </w:r>
      <w:r>
        <w:rPr>
          <w:rFonts w:hint="eastAsia" w:ascii="宋体" w:hAnsi="宋体" w:cs="宋体"/>
          <w:kern w:val="0"/>
          <w:sz w:val="24"/>
          <w:szCs w:val="24"/>
          <w:lang w:val="zh-CN"/>
        </w:rPr>
        <w:t>投标人名称</w:t>
      </w:r>
      <w:r>
        <w:rPr>
          <w:rFonts w:ascii="宋体" w:hAnsi="宋体" w:cs="宋体"/>
          <w:kern w:val="0"/>
          <w:sz w:val="24"/>
          <w:szCs w:val="24"/>
          <w:lang w:val="zh-CN"/>
        </w:rPr>
        <w:t>(</w:t>
      </w:r>
      <w:r>
        <w:rPr>
          <w:rFonts w:hint="eastAsia" w:ascii="宋体" w:hAnsi="宋体" w:cs="宋体"/>
          <w:kern w:val="0"/>
          <w:sz w:val="24"/>
          <w:szCs w:val="24"/>
          <w:lang w:val="zh-CN"/>
        </w:rPr>
        <w:t>公章</w:t>
      </w:r>
      <w:r>
        <w:rPr>
          <w:rFonts w:ascii="宋体" w:hAnsi="宋体" w:cs="宋体"/>
          <w:kern w:val="0"/>
          <w:sz w:val="24"/>
          <w:szCs w:val="24"/>
          <w:lang w:val="zh-CN"/>
        </w:rPr>
        <w:t>)</w:t>
      </w:r>
      <w:r>
        <w:rPr>
          <w:rFonts w:hint="eastAsia" w:ascii="宋体" w:hAnsi="宋体" w:cs="宋体"/>
          <w:kern w:val="0"/>
          <w:sz w:val="24"/>
          <w:szCs w:val="24"/>
          <w:lang w:val="zh-CN"/>
        </w:rPr>
        <w:t>：</w:t>
      </w:r>
    </w:p>
    <w:p>
      <w:pPr>
        <w:adjustRightInd w:val="0"/>
        <w:snapToGrid w:val="0"/>
        <w:spacing w:line="440" w:lineRule="exact"/>
        <w:ind w:firstLine="480" w:firstLineChars="200"/>
        <w:rPr>
          <w:rFonts w:ascii="宋体"/>
          <w:kern w:val="0"/>
          <w:sz w:val="24"/>
          <w:szCs w:val="24"/>
          <w:lang w:val="zh-CN"/>
        </w:rPr>
      </w:pPr>
      <w:r>
        <w:rPr>
          <w:rFonts w:ascii="宋体" w:hAnsi="宋体" w:cs="宋体"/>
          <w:kern w:val="0"/>
          <w:sz w:val="24"/>
          <w:szCs w:val="24"/>
          <w:lang w:val="zh-CN"/>
        </w:rPr>
        <w:t xml:space="preserve">                                   </w:t>
      </w:r>
      <w:r>
        <w:rPr>
          <w:rFonts w:hint="eastAsia" w:ascii="宋体" w:hAnsi="宋体" w:cs="宋体"/>
          <w:kern w:val="0"/>
          <w:sz w:val="24"/>
          <w:szCs w:val="24"/>
          <w:lang w:val="zh-CN"/>
        </w:rPr>
        <w:t>法定代表人或授权委托人</w:t>
      </w:r>
      <w:r>
        <w:rPr>
          <w:rFonts w:ascii="宋体" w:hAnsi="宋体" w:cs="宋体"/>
          <w:kern w:val="0"/>
          <w:sz w:val="24"/>
          <w:szCs w:val="24"/>
          <w:lang w:val="zh-CN"/>
        </w:rPr>
        <w:t>(</w:t>
      </w:r>
      <w:r>
        <w:rPr>
          <w:rFonts w:hint="eastAsia" w:ascii="宋体" w:hAnsi="宋体" w:cs="宋体"/>
          <w:kern w:val="0"/>
          <w:sz w:val="24"/>
          <w:szCs w:val="24"/>
          <w:lang w:val="zh-CN"/>
        </w:rPr>
        <w:t>签字</w:t>
      </w:r>
      <w:r>
        <w:rPr>
          <w:rFonts w:ascii="宋体" w:hAnsi="宋体" w:cs="宋体"/>
          <w:kern w:val="0"/>
          <w:sz w:val="24"/>
          <w:szCs w:val="24"/>
          <w:lang w:val="zh-CN"/>
        </w:rPr>
        <w:t>)</w:t>
      </w:r>
      <w:r>
        <w:rPr>
          <w:rFonts w:hint="eastAsia" w:ascii="宋体" w:hAnsi="宋体" w:cs="宋体"/>
          <w:kern w:val="0"/>
          <w:sz w:val="24"/>
          <w:szCs w:val="24"/>
          <w:lang w:val="zh-CN"/>
        </w:rPr>
        <w:t>：</w:t>
      </w:r>
    </w:p>
    <w:p>
      <w:pPr>
        <w:adjustRightInd w:val="0"/>
        <w:snapToGrid w:val="0"/>
        <w:spacing w:line="440" w:lineRule="exact"/>
        <w:ind w:firstLine="480" w:firstLineChars="200"/>
        <w:jc w:val="center"/>
        <w:rPr>
          <w:rFonts w:ascii="宋体"/>
          <w:kern w:val="0"/>
          <w:sz w:val="24"/>
          <w:szCs w:val="24"/>
          <w:lang w:val="zh-CN"/>
        </w:rPr>
      </w:pPr>
      <w:r>
        <w:rPr>
          <w:rFonts w:ascii="宋体" w:hAnsi="宋体" w:cs="宋体"/>
          <w:kern w:val="0"/>
          <w:sz w:val="24"/>
          <w:szCs w:val="24"/>
          <w:lang w:val="zh-CN"/>
        </w:rPr>
        <w:t xml:space="preserve">                                 </w:t>
      </w:r>
      <w:r>
        <w:rPr>
          <w:rFonts w:hint="eastAsia" w:ascii="宋体" w:hAnsi="宋体" w:cs="宋体"/>
          <w:kern w:val="0"/>
          <w:sz w:val="24"/>
          <w:szCs w:val="24"/>
          <w:lang w:val="zh-CN"/>
        </w:rPr>
        <w:t>日期：</w:t>
      </w:r>
      <w:r>
        <w:rPr>
          <w:rFonts w:hint="eastAsia" w:ascii="宋体" w:hAnsi="宋体" w:cs="宋体"/>
          <w:kern w:val="0"/>
          <w:sz w:val="24"/>
          <w:szCs w:val="24"/>
          <w:lang w:val="en-US" w:eastAsia="zh-CN"/>
        </w:rPr>
        <w:t xml:space="preserve">  </w:t>
      </w:r>
      <w:r>
        <w:rPr>
          <w:rFonts w:hint="eastAsia" w:ascii="宋体" w:hAnsi="宋体" w:cs="宋体"/>
          <w:kern w:val="0"/>
          <w:sz w:val="24"/>
          <w:szCs w:val="24"/>
          <w:lang w:val="zh-CN"/>
        </w:rPr>
        <w:t>年</w:t>
      </w:r>
      <w:r>
        <w:rPr>
          <w:rFonts w:ascii="宋体" w:hAnsi="宋体" w:cs="宋体"/>
          <w:kern w:val="0"/>
          <w:sz w:val="24"/>
          <w:szCs w:val="24"/>
          <w:lang w:val="zh-CN"/>
        </w:rPr>
        <w:t xml:space="preserve"> </w:t>
      </w:r>
      <w:r>
        <w:rPr>
          <w:rFonts w:hint="eastAsia" w:ascii="宋体" w:hAnsi="宋体" w:cs="宋体"/>
          <w:kern w:val="0"/>
          <w:sz w:val="24"/>
          <w:szCs w:val="24"/>
          <w:lang w:val="en-US" w:eastAsia="zh-CN"/>
        </w:rPr>
        <w:t xml:space="preserve">  </w:t>
      </w:r>
      <w:r>
        <w:rPr>
          <w:rFonts w:ascii="宋体" w:hAnsi="宋体" w:cs="宋体"/>
          <w:kern w:val="0"/>
          <w:sz w:val="24"/>
          <w:szCs w:val="24"/>
          <w:lang w:val="zh-CN"/>
        </w:rPr>
        <w:t xml:space="preserve"> </w:t>
      </w:r>
      <w:r>
        <w:rPr>
          <w:rFonts w:hint="eastAsia" w:ascii="宋体" w:hAnsi="宋体" w:cs="宋体"/>
          <w:kern w:val="0"/>
          <w:sz w:val="24"/>
          <w:szCs w:val="24"/>
          <w:lang w:val="zh-CN"/>
        </w:rPr>
        <w:t>月</w:t>
      </w:r>
      <w:r>
        <w:rPr>
          <w:rFonts w:ascii="宋体" w:hAnsi="宋体" w:cs="宋体"/>
          <w:kern w:val="0"/>
          <w:sz w:val="24"/>
          <w:szCs w:val="24"/>
          <w:lang w:val="zh-CN"/>
        </w:rPr>
        <w:t xml:space="preserve"> </w:t>
      </w:r>
      <w:r>
        <w:rPr>
          <w:rFonts w:hint="eastAsia" w:ascii="宋体" w:hAnsi="宋体" w:cs="宋体"/>
          <w:kern w:val="0"/>
          <w:sz w:val="24"/>
          <w:szCs w:val="24"/>
          <w:lang w:val="en-US" w:eastAsia="zh-CN"/>
        </w:rPr>
        <w:t xml:space="preserve">  </w:t>
      </w:r>
      <w:r>
        <w:rPr>
          <w:rFonts w:ascii="宋体" w:hAnsi="宋体" w:cs="宋体"/>
          <w:kern w:val="0"/>
          <w:sz w:val="24"/>
          <w:szCs w:val="24"/>
          <w:lang w:val="zh-CN"/>
        </w:rPr>
        <w:t xml:space="preserve"> </w:t>
      </w:r>
      <w:r>
        <w:rPr>
          <w:rFonts w:hint="eastAsia" w:ascii="宋体" w:hAnsi="宋体" w:cs="宋体"/>
          <w:kern w:val="0"/>
          <w:sz w:val="24"/>
          <w:szCs w:val="24"/>
          <w:lang w:val="zh-CN"/>
        </w:rPr>
        <w:t>日</w:t>
      </w:r>
    </w:p>
    <w:p>
      <w:pPr>
        <w:adjustRightInd w:val="0"/>
        <w:snapToGrid w:val="0"/>
        <w:spacing w:line="360" w:lineRule="auto"/>
        <w:ind w:right="480"/>
        <w:rPr>
          <w:rFonts w:hint="eastAsia" w:ascii="宋体" w:hAnsi="宋体" w:cs="宋体"/>
          <w:b/>
          <w:bCs/>
          <w:sz w:val="24"/>
          <w:szCs w:val="24"/>
        </w:rPr>
      </w:pPr>
    </w:p>
    <w:p>
      <w:pPr>
        <w:adjustRightInd w:val="0"/>
        <w:snapToGrid w:val="0"/>
        <w:spacing w:line="360" w:lineRule="auto"/>
        <w:ind w:right="480"/>
        <w:rPr>
          <w:rFonts w:hint="eastAsia" w:ascii="宋体" w:eastAsia="宋体"/>
          <w:b/>
          <w:bCs/>
          <w:sz w:val="28"/>
          <w:szCs w:val="28"/>
          <w:lang w:val="en-US" w:eastAsia="zh-CN"/>
        </w:rPr>
      </w:pPr>
      <w:r>
        <w:rPr>
          <w:rFonts w:hint="eastAsia" w:ascii="宋体" w:hAnsi="宋体" w:cs="宋体"/>
          <w:b/>
          <w:bCs/>
          <w:sz w:val="24"/>
          <w:szCs w:val="24"/>
        </w:rPr>
        <w:t>附件</w:t>
      </w:r>
      <w:r>
        <w:rPr>
          <w:rFonts w:hint="eastAsia" w:ascii="宋体" w:hAnsi="宋体" w:cs="宋体"/>
          <w:b/>
          <w:bCs/>
          <w:sz w:val="24"/>
          <w:szCs w:val="24"/>
          <w:lang w:val="en-US" w:eastAsia="zh-CN"/>
        </w:rPr>
        <w:t>2-1:</w:t>
      </w:r>
    </w:p>
    <w:p>
      <w:pPr>
        <w:pStyle w:val="17"/>
        <w:spacing w:before="120" w:after="120" w:line="480" w:lineRule="auto"/>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法定代表人身份证明书</w:t>
      </w:r>
    </w:p>
    <w:p>
      <w:pPr>
        <w:spacing w:line="540" w:lineRule="exact"/>
        <w:ind w:firstLine="480"/>
        <w:jc w:val="center"/>
        <w:rPr>
          <w:rFonts w:ascii="宋体" w:hAnsi="宋体"/>
          <w:color w:val="auto"/>
        </w:rPr>
      </w:pPr>
    </w:p>
    <w:p>
      <w:pPr>
        <w:spacing w:line="540" w:lineRule="exact"/>
        <w:ind w:firstLine="480"/>
        <w:rPr>
          <w:rFonts w:ascii="宋体" w:hAnsi="宋体"/>
          <w:color w:val="auto"/>
        </w:rPr>
      </w:pPr>
    </w:p>
    <w:p>
      <w:pPr>
        <w:spacing w:line="540" w:lineRule="exact"/>
        <w:ind w:firstLine="480"/>
        <w:rPr>
          <w:rFonts w:ascii="宋体" w:hAnsi="宋体"/>
          <w:color w:val="auto"/>
          <w:sz w:val="24"/>
          <w:szCs w:val="24"/>
        </w:rPr>
      </w:pPr>
      <w:r>
        <w:rPr>
          <w:rFonts w:hint="eastAsia" w:ascii="宋体" w:hAnsi="宋体"/>
          <w:color w:val="auto"/>
          <w:sz w:val="24"/>
          <w:szCs w:val="24"/>
          <w:u w:val="single"/>
        </w:rPr>
        <w:t>　 ｛姓名｝ 　</w:t>
      </w:r>
      <w:r>
        <w:rPr>
          <w:rFonts w:ascii="宋体" w:hAnsi="宋体"/>
          <w:color w:val="auto"/>
          <w:sz w:val="24"/>
          <w:szCs w:val="24"/>
        </w:rPr>
        <w:t>，</w:t>
      </w:r>
      <w:r>
        <w:rPr>
          <w:rFonts w:hint="eastAsia" w:ascii="宋体" w:hAnsi="宋体"/>
          <w:color w:val="auto"/>
          <w:sz w:val="24"/>
          <w:szCs w:val="24"/>
          <w:u w:val="single"/>
        </w:rPr>
        <w:t>　｛性别｝　</w:t>
      </w:r>
      <w:r>
        <w:rPr>
          <w:rFonts w:ascii="宋体" w:hAnsi="宋体"/>
          <w:color w:val="auto"/>
          <w:sz w:val="24"/>
          <w:szCs w:val="24"/>
        </w:rPr>
        <w:t>，</w:t>
      </w:r>
      <w:r>
        <w:rPr>
          <w:rFonts w:hint="eastAsia" w:ascii="宋体" w:hAnsi="宋体"/>
          <w:color w:val="auto"/>
          <w:sz w:val="24"/>
          <w:szCs w:val="24"/>
          <w:u w:val="single"/>
        </w:rPr>
        <w:t>　｛年龄｝　</w:t>
      </w:r>
      <w:r>
        <w:rPr>
          <w:rFonts w:ascii="宋体" w:hAnsi="宋体"/>
          <w:color w:val="auto"/>
          <w:sz w:val="24"/>
          <w:szCs w:val="24"/>
        </w:rPr>
        <w:t>，</w:t>
      </w:r>
      <w:r>
        <w:rPr>
          <w:rFonts w:hint="eastAsia" w:ascii="宋体" w:hAnsi="宋体"/>
          <w:color w:val="auto"/>
          <w:sz w:val="24"/>
          <w:szCs w:val="24"/>
          <w:u w:val="single"/>
        </w:rPr>
        <w:t>　｛职务｝　</w:t>
      </w:r>
      <w:r>
        <w:rPr>
          <w:rFonts w:ascii="宋体" w:hAnsi="宋体"/>
          <w:color w:val="auto"/>
          <w:sz w:val="24"/>
          <w:szCs w:val="24"/>
        </w:rPr>
        <w:t>，身份证号码</w:t>
      </w:r>
      <w:r>
        <w:rPr>
          <w:rFonts w:hint="eastAsia" w:ascii="宋体" w:hAnsi="宋体"/>
          <w:color w:val="auto"/>
          <w:sz w:val="24"/>
          <w:szCs w:val="24"/>
        </w:rPr>
        <w:t>：</w:t>
      </w:r>
      <w:r>
        <w:rPr>
          <w:rFonts w:hint="eastAsia" w:ascii="宋体" w:hAnsi="宋体"/>
          <w:color w:val="auto"/>
          <w:sz w:val="24"/>
          <w:szCs w:val="24"/>
          <w:u w:val="single"/>
        </w:rPr>
        <w:t xml:space="preserve">                       </w:t>
      </w:r>
      <w:r>
        <w:rPr>
          <w:rFonts w:hint="eastAsia" w:ascii="宋体" w:hAnsi="宋体"/>
          <w:color w:val="auto"/>
          <w:sz w:val="24"/>
          <w:szCs w:val="24"/>
        </w:rPr>
        <w:t>，</w:t>
      </w:r>
      <w:r>
        <w:rPr>
          <w:rFonts w:ascii="宋体" w:hAnsi="宋体"/>
          <w:color w:val="auto"/>
          <w:sz w:val="24"/>
          <w:szCs w:val="24"/>
        </w:rPr>
        <w:t>系</w:t>
      </w:r>
      <w:r>
        <w:rPr>
          <w:rFonts w:ascii="宋体" w:hAnsi="宋体"/>
          <w:color w:val="auto"/>
          <w:sz w:val="24"/>
          <w:szCs w:val="24"/>
          <w:u w:val="single"/>
        </w:rPr>
        <w:t>　｛</w:t>
      </w:r>
      <w:r>
        <w:rPr>
          <w:rFonts w:hint="eastAsia" w:ascii="宋体" w:hAnsi="宋体"/>
          <w:color w:val="auto"/>
          <w:sz w:val="24"/>
          <w:szCs w:val="24"/>
          <w:u w:val="single"/>
        </w:rPr>
        <w:t>投标人</w:t>
      </w:r>
      <w:r>
        <w:rPr>
          <w:rFonts w:ascii="宋体" w:hAnsi="宋体"/>
          <w:color w:val="auto"/>
          <w:sz w:val="24"/>
          <w:szCs w:val="24"/>
          <w:u w:val="single"/>
        </w:rPr>
        <w:t xml:space="preserve">名称｝ </w:t>
      </w:r>
      <w:r>
        <w:rPr>
          <w:rFonts w:ascii="宋体" w:hAnsi="宋体"/>
          <w:color w:val="auto"/>
          <w:sz w:val="24"/>
          <w:szCs w:val="24"/>
        </w:rPr>
        <w:t>的法定代表人。</w:t>
      </w:r>
    </w:p>
    <w:p>
      <w:pPr>
        <w:spacing w:line="540" w:lineRule="exact"/>
        <w:ind w:firstLine="480"/>
        <w:rPr>
          <w:rFonts w:ascii="宋体" w:hAnsi="宋体"/>
          <w:color w:val="auto"/>
          <w:sz w:val="24"/>
          <w:szCs w:val="24"/>
        </w:rPr>
      </w:pPr>
      <w:r>
        <w:rPr>
          <w:rFonts w:ascii="宋体" w:hAnsi="宋体"/>
          <w:color w:val="auto"/>
          <w:sz w:val="24"/>
          <w:szCs w:val="24"/>
        </w:rPr>
        <w:t>特此证明。</w:t>
      </w:r>
    </w:p>
    <w:p>
      <w:pPr>
        <w:spacing w:line="540" w:lineRule="exact"/>
        <w:ind w:firstLine="480"/>
        <w:rPr>
          <w:rFonts w:ascii="宋体" w:hAnsi="宋体"/>
          <w:color w:val="auto"/>
        </w:rPr>
      </w:pPr>
    </w:p>
    <w:p>
      <w:pPr>
        <w:spacing w:line="540" w:lineRule="exact"/>
        <w:ind w:firstLine="480"/>
        <w:rPr>
          <w:rFonts w:ascii="宋体" w:hAnsi="宋体"/>
          <w:color w:val="auto"/>
        </w:rPr>
      </w:pPr>
    </w:p>
    <w:p>
      <w:pPr>
        <w:spacing w:line="540" w:lineRule="exact"/>
        <w:ind w:firstLine="4680" w:firstLineChars="1950"/>
        <w:rPr>
          <w:rFonts w:ascii="宋体" w:hAnsi="宋体"/>
          <w:color w:val="auto"/>
          <w:sz w:val="24"/>
          <w:szCs w:val="24"/>
        </w:rPr>
      </w:pPr>
      <w:r>
        <w:rPr>
          <w:rFonts w:ascii="宋体" w:hAnsi="宋体"/>
          <w:color w:val="auto"/>
          <w:sz w:val="24"/>
          <w:szCs w:val="24"/>
          <w:u w:val="single"/>
        </w:rPr>
        <w:t>｛</w:t>
      </w:r>
      <w:r>
        <w:rPr>
          <w:rFonts w:hint="eastAsia" w:ascii="宋体" w:hAnsi="宋体"/>
          <w:color w:val="auto"/>
          <w:sz w:val="24"/>
          <w:szCs w:val="24"/>
          <w:u w:val="single"/>
        </w:rPr>
        <w:t>投标人</w:t>
      </w:r>
      <w:r>
        <w:rPr>
          <w:rFonts w:ascii="宋体" w:hAnsi="宋体"/>
          <w:color w:val="auto"/>
          <w:sz w:val="24"/>
          <w:szCs w:val="24"/>
          <w:u w:val="single"/>
        </w:rPr>
        <w:t>名称｝</w:t>
      </w:r>
      <w:r>
        <w:rPr>
          <w:rFonts w:hint="eastAsia" w:ascii="宋体" w:hAnsi="宋体"/>
          <w:color w:val="auto"/>
          <w:sz w:val="24"/>
          <w:szCs w:val="24"/>
          <w:u w:val="single"/>
          <w:lang w:val="en-US" w:eastAsia="zh-CN"/>
        </w:rPr>
        <w:t xml:space="preserve"> </w:t>
      </w:r>
      <w:r>
        <w:rPr>
          <w:rFonts w:ascii="宋体" w:hAnsi="宋体"/>
          <w:color w:val="auto"/>
          <w:sz w:val="24"/>
          <w:szCs w:val="24"/>
        </w:rPr>
        <w:t>（盖章）</w:t>
      </w:r>
    </w:p>
    <w:p>
      <w:pPr>
        <w:spacing w:line="540" w:lineRule="exact"/>
        <w:ind w:firstLine="4800" w:firstLineChars="2000"/>
        <w:rPr>
          <w:rFonts w:ascii="宋体" w:hAnsi="宋体"/>
          <w:color w:val="auto"/>
          <w:sz w:val="24"/>
          <w:szCs w:val="24"/>
        </w:rPr>
      </w:pP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ascii="宋体" w:hAnsi="宋体"/>
          <w:color w:val="auto"/>
          <w:sz w:val="24"/>
          <w:szCs w:val="24"/>
        </w:rPr>
        <w:t>年</w:t>
      </w:r>
      <w:r>
        <w:rPr>
          <w:rFonts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ascii="宋体" w:hAnsi="宋体"/>
          <w:color w:val="auto"/>
          <w:sz w:val="24"/>
          <w:szCs w:val="24"/>
          <w:u w:val="single"/>
        </w:rPr>
        <w:t xml:space="preserve"> </w:t>
      </w:r>
      <w:r>
        <w:rPr>
          <w:rFonts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ascii="宋体" w:hAnsi="宋体"/>
          <w:color w:val="auto"/>
          <w:sz w:val="24"/>
          <w:szCs w:val="24"/>
          <w:u w:val="single"/>
        </w:rPr>
        <w:t xml:space="preserve"> </w:t>
      </w:r>
      <w:r>
        <w:rPr>
          <w:rFonts w:ascii="宋体" w:hAnsi="宋体"/>
          <w:color w:val="auto"/>
          <w:sz w:val="24"/>
          <w:szCs w:val="24"/>
        </w:rPr>
        <w:t>日</w:t>
      </w:r>
    </w:p>
    <w:tbl>
      <w:tblPr>
        <w:tblStyle w:val="28"/>
        <w:tblpPr w:leftFromText="180" w:rightFromText="180" w:vertAnchor="page" w:horzAnchor="page" w:tblpX="3110" w:tblpY="9991"/>
        <w:tblW w:w="680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680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3361" w:hRule="atLeast"/>
        </w:trPr>
        <w:tc>
          <w:tcPr>
            <w:tcW w:w="6803" w:type="dxa"/>
            <w:vAlign w:val="center"/>
          </w:tcPr>
          <w:p>
            <w:pPr>
              <w:ind w:firstLine="480"/>
              <w:jc w:val="center"/>
              <w:rPr>
                <w:rFonts w:ascii="宋体" w:hAnsi="宋体"/>
                <w:b/>
                <w:bCs/>
                <w:color w:val="auto"/>
                <w:sz w:val="24"/>
                <w:szCs w:val="24"/>
              </w:rPr>
            </w:pPr>
            <w:r>
              <w:rPr>
                <w:rFonts w:ascii="宋体" w:hAnsi="宋体"/>
                <w:b/>
                <w:bCs/>
                <w:color w:val="auto"/>
                <w:sz w:val="28"/>
                <w:szCs w:val="28"/>
              </w:rPr>
              <w:t>法定代表人身份证</w:t>
            </w:r>
            <w:r>
              <w:rPr>
                <w:rFonts w:hint="eastAsia" w:ascii="宋体" w:hAnsi="宋体"/>
                <w:b/>
                <w:bCs/>
                <w:color w:val="auto"/>
                <w:sz w:val="28"/>
                <w:szCs w:val="28"/>
              </w:rPr>
              <w:t>正反面</w:t>
            </w:r>
            <w:r>
              <w:rPr>
                <w:rFonts w:ascii="宋体" w:hAnsi="宋体"/>
                <w:b/>
                <w:bCs/>
                <w:color w:val="auto"/>
                <w:sz w:val="28"/>
                <w:szCs w:val="28"/>
              </w:rPr>
              <w:t>复印件粘贴处</w:t>
            </w:r>
          </w:p>
        </w:tc>
      </w:tr>
    </w:tbl>
    <w:p>
      <w:pPr>
        <w:spacing w:line="540" w:lineRule="exact"/>
        <w:ind w:firstLine="480"/>
        <w:rPr>
          <w:rFonts w:ascii="宋体" w:hAnsi="宋体"/>
          <w:color w:val="auto"/>
        </w:rPr>
      </w:pPr>
    </w:p>
    <w:p>
      <w:pPr>
        <w:spacing w:line="540" w:lineRule="exact"/>
        <w:ind w:firstLine="480"/>
        <w:rPr>
          <w:rFonts w:ascii="宋体" w:hAnsi="宋体"/>
          <w:color w:val="auto"/>
        </w:rPr>
      </w:pPr>
    </w:p>
    <w:p>
      <w:pPr>
        <w:spacing w:line="540" w:lineRule="exact"/>
        <w:ind w:firstLine="480"/>
        <w:rPr>
          <w:rFonts w:ascii="宋体" w:hAnsi="宋体"/>
          <w:color w:val="auto"/>
        </w:rPr>
      </w:pPr>
    </w:p>
    <w:p>
      <w:pPr>
        <w:spacing w:line="540" w:lineRule="exact"/>
        <w:ind w:firstLine="480"/>
        <w:rPr>
          <w:rFonts w:ascii="宋体" w:hAnsi="宋体"/>
          <w:color w:val="auto"/>
        </w:rPr>
      </w:pPr>
      <w:r>
        <w:rPr>
          <w:rFonts w:ascii="宋体" w:hAnsi="宋体"/>
          <w:color w:val="auto"/>
        </w:rPr>
        <w:t xml:space="preserve">  </w:t>
      </w:r>
    </w:p>
    <w:p>
      <w:pPr>
        <w:ind w:firstLine="480"/>
        <w:rPr>
          <w:rFonts w:ascii="宋体" w:hAnsi="宋体"/>
          <w:color w:val="auto"/>
        </w:rPr>
      </w:pPr>
    </w:p>
    <w:p>
      <w:pPr>
        <w:adjustRightInd w:val="0"/>
        <w:snapToGrid w:val="0"/>
        <w:spacing w:line="360" w:lineRule="auto"/>
        <w:ind w:right="480"/>
        <w:rPr>
          <w:rFonts w:hint="eastAsia" w:ascii="宋体" w:eastAsia="宋体"/>
          <w:b/>
          <w:bCs/>
          <w:sz w:val="28"/>
          <w:szCs w:val="28"/>
          <w:lang w:val="en-US" w:eastAsia="zh-CN"/>
        </w:rPr>
      </w:pPr>
      <w:r>
        <w:rPr>
          <w:bCs/>
          <w:color w:val="auto"/>
          <w:szCs w:val="21"/>
        </w:rPr>
        <w:br w:type="page"/>
      </w:r>
      <w:r>
        <w:rPr>
          <w:rFonts w:hint="eastAsia" w:ascii="宋体" w:hAnsi="宋体" w:cs="宋体"/>
          <w:b/>
          <w:bCs/>
          <w:sz w:val="24"/>
          <w:szCs w:val="24"/>
        </w:rPr>
        <w:t>附件</w:t>
      </w:r>
      <w:r>
        <w:rPr>
          <w:rFonts w:hint="eastAsia" w:ascii="宋体" w:hAnsi="宋体" w:cs="宋体"/>
          <w:b/>
          <w:bCs/>
          <w:sz w:val="24"/>
          <w:szCs w:val="24"/>
          <w:lang w:val="en-US" w:eastAsia="zh-CN"/>
        </w:rPr>
        <w:t>2-2:</w:t>
      </w:r>
    </w:p>
    <w:p>
      <w:pPr>
        <w:spacing w:line="360" w:lineRule="auto"/>
        <w:jc w:val="center"/>
        <w:rPr>
          <w:rFonts w:ascii="宋体"/>
          <w:b/>
          <w:bCs/>
          <w:kern w:val="0"/>
          <w:sz w:val="32"/>
          <w:szCs w:val="32"/>
          <w:lang w:val="zh-CN"/>
        </w:rPr>
      </w:pPr>
      <w:r>
        <w:rPr>
          <w:rFonts w:hint="eastAsia" w:ascii="宋体" w:hAnsi="宋体" w:cs="宋体"/>
          <w:b/>
          <w:bCs/>
          <w:kern w:val="0"/>
          <w:sz w:val="32"/>
          <w:szCs w:val="32"/>
          <w:lang w:val="zh-CN"/>
        </w:rPr>
        <w:t>授权委托书</w:t>
      </w:r>
    </w:p>
    <w:p>
      <w:pPr>
        <w:spacing w:line="360" w:lineRule="auto"/>
        <w:ind w:firstLine="420" w:firstLineChars="200"/>
        <w:rPr>
          <w:rFonts w:ascii="宋体"/>
        </w:rPr>
      </w:pPr>
    </w:p>
    <w:p>
      <w:pPr>
        <w:spacing w:line="360" w:lineRule="auto"/>
        <w:ind w:firstLine="480" w:firstLineChars="200"/>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 xml:space="preserve">              </w:t>
      </w:r>
    </w:p>
    <w:p>
      <w:pPr>
        <w:spacing w:line="360" w:lineRule="auto"/>
        <w:ind w:firstLine="480" w:firstLineChars="200"/>
        <w:jc w:val="left"/>
        <w:rPr>
          <w:rFonts w:ascii="宋体"/>
          <w:kern w:val="0"/>
          <w:sz w:val="24"/>
          <w:szCs w:val="24"/>
        </w:rPr>
      </w:pPr>
      <w:r>
        <w:rPr>
          <w:rFonts w:hint="eastAsia" w:ascii="宋体" w:hAnsi="宋体" w:cs="宋体"/>
          <w:kern w:val="0"/>
          <w:sz w:val="24"/>
          <w:szCs w:val="24"/>
        </w:rPr>
        <w:t>我单位全权委托</w:t>
      </w:r>
      <w:r>
        <w:rPr>
          <w:rFonts w:hint="eastAsia" w:ascii="宋体" w:hAnsi="宋体" w:cs="宋体"/>
          <w:kern w:val="0"/>
          <w:sz w:val="24"/>
          <w:szCs w:val="24"/>
          <w:lang w:eastAsia="zh-CN"/>
        </w:rPr>
        <w:t>：</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ascii="宋体" w:hAnsi="宋体" w:cs="宋体"/>
          <w:kern w:val="0"/>
          <w:sz w:val="24"/>
          <w:szCs w:val="24"/>
          <w:u w:val="single"/>
        </w:rPr>
        <w:t xml:space="preserve">   </w:t>
      </w:r>
      <w:r>
        <w:rPr>
          <w:rFonts w:hint="eastAsia" w:ascii="宋体" w:hAnsi="宋体" w:cs="宋体"/>
          <w:kern w:val="0"/>
          <w:sz w:val="24"/>
          <w:szCs w:val="24"/>
        </w:rPr>
        <w:t>（身份证号：</w:t>
      </w:r>
      <w:r>
        <w:rPr>
          <w:rFonts w:ascii="宋体" w:hAnsi="宋体" w:cs="宋体"/>
          <w:kern w:val="0"/>
          <w:sz w:val="24"/>
          <w:szCs w:val="24"/>
          <w:u w:val="single"/>
        </w:rPr>
        <w:t xml:space="preserve">              </w:t>
      </w:r>
      <w:r>
        <w:rPr>
          <w:rFonts w:hint="eastAsia" w:ascii="宋体" w:hAnsi="宋体" w:cs="宋体"/>
          <w:kern w:val="0"/>
          <w:sz w:val="24"/>
          <w:szCs w:val="24"/>
        </w:rPr>
        <w:t>）作为我单位合法代理人，参加（</w:t>
      </w:r>
      <w:r>
        <w:rPr>
          <w:rFonts w:hint="eastAsia" w:ascii="宋体" w:hAnsi="宋体" w:cs="宋体"/>
          <w:kern w:val="0"/>
          <w:sz w:val="24"/>
          <w:szCs w:val="24"/>
          <w:u w:val="single"/>
        </w:rPr>
        <w:t>填写项目名称及项目编号</w:t>
      </w:r>
      <w:r>
        <w:rPr>
          <w:rFonts w:hint="eastAsia" w:ascii="宋体" w:hAnsi="宋体" w:cs="宋体"/>
          <w:kern w:val="0"/>
          <w:sz w:val="24"/>
          <w:szCs w:val="24"/>
        </w:rPr>
        <w:t>）投标活动，并办理上述项目所涉的投标文件签署、合同签订及项目实施等与之相关的投标全程各事项。该代理人的上述行为，均代表本单位，与本单位的行为具有同等法律效力</w:t>
      </w:r>
      <w:r>
        <w:rPr>
          <w:rFonts w:ascii="宋体" w:cs="宋体"/>
          <w:kern w:val="0"/>
          <w:sz w:val="24"/>
          <w:szCs w:val="24"/>
        </w:rPr>
        <w:t>,</w:t>
      </w:r>
      <w:r>
        <w:rPr>
          <w:rFonts w:hint="eastAsia" w:ascii="宋体" w:hAnsi="宋体" w:cs="宋体"/>
          <w:kern w:val="0"/>
          <w:sz w:val="24"/>
          <w:szCs w:val="24"/>
        </w:rPr>
        <w:t>本单位将承担该代理人行为的全部法律后果和法律责任。代理人无权转换委托权。</w:t>
      </w:r>
    </w:p>
    <w:p>
      <w:pPr>
        <w:spacing w:line="360" w:lineRule="auto"/>
        <w:ind w:firstLine="480" w:firstLineChars="200"/>
        <w:jc w:val="left"/>
        <w:rPr>
          <w:rFonts w:ascii="宋体"/>
          <w:kern w:val="0"/>
          <w:sz w:val="24"/>
          <w:szCs w:val="24"/>
        </w:rPr>
      </w:pPr>
      <w:r>
        <w:rPr>
          <w:rFonts w:hint="eastAsia" w:ascii="宋体" w:hAnsi="宋体" w:cs="宋体"/>
          <w:kern w:val="0"/>
          <w:sz w:val="24"/>
          <w:szCs w:val="24"/>
        </w:rPr>
        <w:t>特此委托</w:t>
      </w:r>
    </w:p>
    <w:p>
      <w:pPr>
        <w:widowControl/>
        <w:shd w:val="clear" w:color="auto" w:fill="FFFFFF"/>
        <w:spacing w:line="360" w:lineRule="auto"/>
        <w:ind w:firstLine="480" w:firstLineChars="200"/>
        <w:rPr>
          <w:rFonts w:ascii="宋体"/>
          <w:kern w:val="0"/>
          <w:sz w:val="24"/>
          <w:szCs w:val="24"/>
        </w:rPr>
      </w:pPr>
    </w:p>
    <w:p>
      <w:pPr>
        <w:widowControl/>
        <w:shd w:val="clear" w:color="auto" w:fill="FFFFFF"/>
        <w:spacing w:line="360" w:lineRule="auto"/>
        <w:ind w:firstLine="480" w:firstLineChars="200"/>
        <w:rPr>
          <w:rFonts w:hint="eastAsia" w:ascii="宋体" w:hAnsi="宋体" w:cs="宋体"/>
          <w:kern w:val="0"/>
          <w:sz w:val="24"/>
          <w:szCs w:val="24"/>
        </w:rPr>
      </w:pPr>
    </w:p>
    <w:p>
      <w:pPr>
        <w:widowControl/>
        <w:shd w:val="clear" w:color="auto" w:fill="FFFFFF"/>
        <w:spacing w:line="360" w:lineRule="auto"/>
        <w:ind w:firstLine="480" w:firstLineChars="200"/>
        <w:rPr>
          <w:rFonts w:ascii="宋体"/>
          <w:kern w:val="0"/>
          <w:sz w:val="24"/>
          <w:szCs w:val="24"/>
        </w:rPr>
      </w:pPr>
      <w:r>
        <w:rPr>
          <w:rFonts w:hint="eastAsia" w:ascii="宋体" w:hAnsi="宋体" w:cs="宋体"/>
          <w:kern w:val="0"/>
          <w:sz w:val="24"/>
          <w:szCs w:val="24"/>
        </w:rPr>
        <w:t>代理人姓名（签字）：　　　　　日期：　　年　　月　　日</w:t>
      </w:r>
    </w:p>
    <w:p>
      <w:pPr>
        <w:widowControl/>
        <w:shd w:val="clear" w:color="auto" w:fill="FFFFFF"/>
        <w:spacing w:line="360" w:lineRule="auto"/>
        <w:ind w:firstLine="480" w:firstLineChars="200"/>
        <w:rPr>
          <w:rFonts w:ascii="宋体"/>
          <w:kern w:val="0"/>
          <w:sz w:val="24"/>
          <w:szCs w:val="24"/>
        </w:rPr>
      </w:pPr>
    </w:p>
    <w:p>
      <w:pPr>
        <w:widowControl/>
        <w:shd w:val="clear" w:color="auto" w:fill="FFFFFF"/>
        <w:spacing w:line="360" w:lineRule="auto"/>
        <w:ind w:firstLine="480" w:firstLineChars="200"/>
        <w:rPr>
          <w:rFonts w:ascii="宋体"/>
          <w:kern w:val="0"/>
          <w:sz w:val="24"/>
          <w:szCs w:val="24"/>
        </w:rPr>
      </w:pPr>
    </w:p>
    <w:p>
      <w:pPr>
        <w:widowControl/>
        <w:shd w:val="clear" w:color="auto" w:fill="FFFFFF"/>
        <w:spacing w:line="360" w:lineRule="auto"/>
        <w:ind w:firstLine="480" w:firstLineChars="200"/>
        <w:rPr>
          <w:rFonts w:ascii="宋体"/>
          <w:kern w:val="0"/>
          <w:sz w:val="24"/>
          <w:szCs w:val="24"/>
        </w:rPr>
      </w:pPr>
      <w:r>
        <w:rPr>
          <w:rFonts w:hint="eastAsia" w:ascii="宋体" w:hAnsi="宋体" w:cs="宋体"/>
          <w:kern w:val="0"/>
          <w:sz w:val="24"/>
          <w:szCs w:val="24"/>
        </w:rPr>
        <w:t>法定代表人（签字）：　　　　　日期：　　年　　月　　日</w:t>
      </w:r>
    </w:p>
    <w:p>
      <w:pPr>
        <w:widowControl/>
        <w:shd w:val="clear" w:color="auto" w:fill="FFFFFF"/>
        <w:spacing w:line="360" w:lineRule="auto"/>
        <w:ind w:firstLine="480" w:firstLineChars="200"/>
        <w:jc w:val="right"/>
        <w:rPr>
          <w:rFonts w:hint="eastAsia" w:ascii="宋体" w:hAnsi="宋体" w:cs="宋体"/>
          <w:kern w:val="0"/>
          <w:sz w:val="24"/>
          <w:szCs w:val="24"/>
        </w:rPr>
      </w:pPr>
    </w:p>
    <w:p>
      <w:pPr>
        <w:widowControl/>
        <w:shd w:val="clear" w:color="auto" w:fill="FFFFFF"/>
        <w:spacing w:line="360" w:lineRule="auto"/>
        <w:ind w:firstLine="480" w:firstLineChars="200"/>
        <w:jc w:val="right"/>
        <w:rPr>
          <w:rFonts w:ascii="宋体"/>
          <w:kern w:val="0"/>
          <w:sz w:val="24"/>
          <w:szCs w:val="24"/>
        </w:rPr>
      </w:pPr>
      <w:r>
        <w:rPr>
          <w:rFonts w:hint="eastAsia" w:ascii="宋体" w:hAnsi="宋体" w:cs="宋体"/>
          <w:kern w:val="0"/>
          <w:sz w:val="24"/>
          <w:szCs w:val="24"/>
        </w:rPr>
        <w:t>（委托单位加盖公章）</w:t>
      </w:r>
    </w:p>
    <w:p>
      <w:pPr>
        <w:spacing w:line="360" w:lineRule="auto"/>
        <w:ind w:firstLine="480" w:firstLineChars="200"/>
        <w:jc w:val="left"/>
        <w:rPr>
          <w:rFonts w:ascii="宋体"/>
          <w:kern w:val="0"/>
          <w:sz w:val="24"/>
          <w:szCs w:val="24"/>
        </w:rPr>
      </w:pPr>
    </w:p>
    <w:p>
      <w:pPr>
        <w:spacing w:line="360" w:lineRule="auto"/>
        <w:ind w:firstLine="480" w:firstLineChars="200"/>
        <w:jc w:val="left"/>
        <w:rPr>
          <w:rFonts w:ascii="宋体"/>
          <w:kern w:val="0"/>
          <w:sz w:val="24"/>
          <w:szCs w:val="24"/>
        </w:rPr>
      </w:pPr>
    </w:p>
    <w:p>
      <w:pPr>
        <w:spacing w:line="360" w:lineRule="auto"/>
        <w:ind w:firstLine="480" w:firstLineChars="200"/>
        <w:jc w:val="left"/>
        <w:rPr>
          <w:rFonts w:hint="eastAsia" w:ascii="宋体" w:hAnsi="宋体" w:cs="宋体"/>
          <w:kern w:val="0"/>
          <w:sz w:val="24"/>
          <w:szCs w:val="24"/>
        </w:rPr>
      </w:pPr>
    </w:p>
    <w:p>
      <w:pPr>
        <w:spacing w:line="360" w:lineRule="auto"/>
        <w:ind w:firstLine="480" w:firstLineChars="200"/>
        <w:jc w:val="left"/>
        <w:rPr>
          <w:rFonts w:ascii="宋体"/>
          <w:kern w:val="0"/>
          <w:sz w:val="24"/>
          <w:szCs w:val="24"/>
        </w:rPr>
      </w:pPr>
      <w:r>
        <w:rPr>
          <w:rFonts w:hint="eastAsia" w:ascii="宋体" w:hAnsi="宋体" w:cs="宋体"/>
          <w:kern w:val="0"/>
          <w:sz w:val="24"/>
          <w:szCs w:val="24"/>
        </w:rPr>
        <w:t>附：</w:t>
      </w:r>
      <w:r>
        <w:rPr>
          <w:rFonts w:ascii="宋体" w:hAnsi="宋体" w:cs="宋体"/>
          <w:kern w:val="0"/>
          <w:sz w:val="24"/>
          <w:szCs w:val="24"/>
        </w:rPr>
        <w:t>1</w:t>
      </w:r>
      <w:r>
        <w:rPr>
          <w:rFonts w:hint="eastAsia" w:ascii="宋体" w:hAnsi="宋体" w:cs="宋体"/>
          <w:kern w:val="0"/>
          <w:sz w:val="24"/>
          <w:szCs w:val="24"/>
        </w:rPr>
        <w:t>、代理人身份证复印件（日期，单位加盖公章）</w:t>
      </w:r>
    </w:p>
    <w:p>
      <w:pPr>
        <w:spacing w:line="360" w:lineRule="auto"/>
        <w:ind w:firstLine="960" w:firstLineChars="400"/>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、法定代表人身份证复印件（日期，单位加盖公章）</w:t>
      </w:r>
    </w:p>
    <w:p>
      <w:pPr>
        <w:widowControl/>
        <w:jc w:val="left"/>
        <w:rPr>
          <w:rFonts w:hint="default" w:ascii="仿宋_GB2312" w:hAnsi="宋体" w:eastAsia="宋体"/>
          <w:sz w:val="30"/>
          <w:szCs w:val="30"/>
          <w:lang w:val="en-US" w:eastAsia="zh-CN"/>
        </w:rPr>
      </w:pPr>
      <w:r>
        <w:rPr>
          <w:rFonts w:ascii="宋体"/>
          <w:b/>
          <w:bCs/>
          <w:sz w:val="28"/>
          <w:szCs w:val="28"/>
        </w:rPr>
        <w:br w:type="page"/>
      </w:r>
      <w:r>
        <w:rPr>
          <w:rFonts w:hint="eastAsia" w:ascii="宋体" w:hAnsi="宋体" w:cs="宋体"/>
          <w:b/>
          <w:bCs/>
          <w:sz w:val="24"/>
          <w:szCs w:val="24"/>
        </w:rPr>
        <w:t>附件</w:t>
      </w:r>
      <w:r>
        <w:rPr>
          <w:rFonts w:hint="eastAsia" w:ascii="宋体" w:hAnsi="宋体" w:cs="宋体"/>
          <w:b/>
          <w:bCs/>
          <w:sz w:val="24"/>
          <w:szCs w:val="24"/>
          <w:lang w:val="en-US" w:eastAsia="zh-CN"/>
        </w:rPr>
        <w:t>3:</w:t>
      </w:r>
    </w:p>
    <w:p>
      <w:pPr>
        <w:widowControl/>
        <w:jc w:val="center"/>
      </w:pPr>
      <w:r>
        <w:rPr>
          <w:rFonts w:hint="eastAsia" w:ascii="宋体" w:hAnsi="宋体" w:cs="宋体"/>
          <w:b/>
          <w:color w:val="000000"/>
          <w:kern w:val="0"/>
          <w:sz w:val="36"/>
          <w:szCs w:val="36"/>
          <w:lang w:bidi="ar"/>
        </w:rPr>
        <w:t>中小企业声明</w:t>
      </w:r>
      <w:r>
        <w:rPr>
          <w:rFonts w:hint="eastAsia" w:ascii="宋体" w:hAnsi="宋体" w:cs="宋体"/>
          <w:b/>
          <w:color w:val="000000"/>
          <w:kern w:val="0"/>
          <w:sz w:val="36"/>
          <w:szCs w:val="36"/>
          <w:shd w:val="clear"/>
          <w:lang w:bidi="ar"/>
        </w:rPr>
        <w:t>函（</w:t>
      </w:r>
      <w:r>
        <w:rPr>
          <w:rFonts w:hint="eastAsia" w:ascii="宋体" w:hAnsi="宋体" w:cs="宋体"/>
          <w:b/>
          <w:color w:val="000000"/>
          <w:kern w:val="0"/>
          <w:sz w:val="36"/>
          <w:szCs w:val="36"/>
          <w:shd w:val="clear"/>
          <w:lang w:val="en-US" w:eastAsia="zh-CN" w:bidi="ar"/>
        </w:rPr>
        <w:t>服务</w:t>
      </w:r>
      <w:r>
        <w:rPr>
          <w:rFonts w:hint="eastAsia" w:ascii="宋体" w:hAnsi="宋体" w:cs="宋体"/>
          <w:b/>
          <w:color w:val="000000"/>
          <w:kern w:val="0"/>
          <w:sz w:val="36"/>
          <w:szCs w:val="36"/>
          <w:shd w:val="clear"/>
          <w:lang w:bidi="ar"/>
        </w:rPr>
        <w:t>）</w:t>
      </w:r>
    </w:p>
    <w:p>
      <w:pPr>
        <w:pStyle w:val="24"/>
        <w:widowControl w:val="0"/>
        <w:spacing w:before="55" w:beforeAutospacing="0" w:after="0" w:afterAutospacing="0" w:line="360" w:lineRule="auto"/>
        <w:ind w:right="415" w:firstLine="640"/>
        <w:jc w:val="both"/>
        <w:rPr>
          <w:spacing w:val="6"/>
          <w:kern w:val="2"/>
        </w:rPr>
      </w:pPr>
      <w:r>
        <w:rPr>
          <w:rFonts w:hint="eastAsia"/>
          <w:spacing w:val="6"/>
          <w:kern w:val="2"/>
          <w:lang w:bidi="ar"/>
        </w:rPr>
        <w:t xml:space="preserve">本公司（联合体）郑重声明，根据《政府采购促进中小企业发展管理办法》（财库﹝2020﹞46 号）的规定，本公司（联合体）参加 </w:t>
      </w:r>
      <w:r>
        <w:rPr>
          <w:rFonts w:hint="eastAsia"/>
          <w:spacing w:val="6"/>
          <w:kern w:val="2"/>
          <w:u w:val="single"/>
          <w:lang w:bidi="ar"/>
        </w:rPr>
        <w:t>（单位名称 ）</w:t>
      </w:r>
      <w:r>
        <w:rPr>
          <w:rFonts w:hint="eastAsia"/>
          <w:spacing w:val="6"/>
          <w:kern w:val="2"/>
          <w:lang w:bidi="ar"/>
        </w:rPr>
        <w:t xml:space="preserve">的 </w:t>
      </w:r>
      <w:r>
        <w:rPr>
          <w:rFonts w:hint="eastAsia"/>
          <w:spacing w:val="6"/>
          <w:kern w:val="2"/>
          <w:u w:val="single"/>
          <w:lang w:bidi="ar"/>
        </w:rPr>
        <w:t xml:space="preserve">（项目名称） </w:t>
      </w:r>
      <w:r>
        <w:rPr>
          <w:rFonts w:hint="eastAsia"/>
          <w:spacing w:val="6"/>
          <w:kern w:val="2"/>
          <w:lang w:bidi="ar"/>
        </w:rPr>
        <w:t>采购活动，提供的货物全部由符合政策要求的中小企业制造。相关企业</w:t>
      </w:r>
      <w:r>
        <w:rPr>
          <w:rFonts w:hint="eastAsia"/>
          <w:spacing w:val="6"/>
          <w:kern w:val="2"/>
          <w:u w:val="single"/>
          <w:lang w:bidi="ar"/>
        </w:rPr>
        <w:t xml:space="preserve">（含联合体中的中小企业、签订分包意向协议的中小企业） </w:t>
      </w:r>
      <w:r>
        <w:rPr>
          <w:rFonts w:hint="eastAsia"/>
          <w:spacing w:val="6"/>
          <w:kern w:val="2"/>
          <w:lang w:bidi="ar"/>
        </w:rPr>
        <w:t>的具体情况如下：</w:t>
      </w:r>
    </w:p>
    <w:p>
      <w:pPr>
        <w:pStyle w:val="24"/>
        <w:widowControl w:val="0"/>
        <w:spacing w:before="0" w:beforeAutospacing="0" w:after="0" w:afterAutospacing="0" w:line="360" w:lineRule="auto"/>
        <w:ind w:right="169" w:firstLine="504" w:firstLineChars="200"/>
        <w:rPr>
          <w:spacing w:val="6"/>
          <w:kern w:val="2"/>
        </w:rPr>
      </w:pPr>
      <w:r>
        <w:rPr>
          <w:rFonts w:hint="eastAsia"/>
          <w:spacing w:val="6"/>
          <w:kern w:val="2"/>
          <w:u w:val="single"/>
          <w:lang w:val="en-US" w:eastAsia="zh-CN"/>
        </w:rPr>
        <w:t>1.</w:t>
      </w:r>
      <w:r>
        <w:rPr>
          <w:rFonts w:hint="eastAsia" w:ascii="宋体" w:hAnsi="宋体" w:cs="宋体"/>
          <w:spacing w:val="6"/>
          <w:sz w:val="24"/>
          <w:szCs w:val="24"/>
          <w:u w:val="single"/>
          <w:lang w:val="en-US" w:eastAsia="zh-CN"/>
        </w:rPr>
        <w:t>（标的名称）</w:t>
      </w:r>
      <w:r>
        <w:rPr>
          <w:rFonts w:hint="eastAsia"/>
          <w:spacing w:val="6"/>
          <w:kern w:val="2"/>
        </w:rPr>
        <w:t xml:space="preserve"> ，属于</w:t>
      </w:r>
      <w:r>
        <w:rPr>
          <w:rFonts w:hint="eastAsia" w:ascii="宋体" w:hAnsi="宋体" w:cs="宋体"/>
          <w:b/>
          <w:bCs/>
          <w:color w:val="auto"/>
          <w:u w:val="single"/>
          <w:lang w:eastAsia="zh-CN"/>
        </w:rPr>
        <w:t>其他未列明行业（水利、环境和公共设施管理业）</w:t>
      </w:r>
      <w:r>
        <w:rPr>
          <w:rFonts w:hint="eastAsia"/>
          <w:spacing w:val="6"/>
          <w:kern w:val="2"/>
        </w:rPr>
        <w:t>；</w:t>
      </w:r>
      <w:r>
        <w:rPr>
          <w:rFonts w:hint="eastAsia" w:ascii="宋体" w:hAnsi="宋体" w:cs="宋体"/>
          <w:spacing w:val="6"/>
          <w:sz w:val="24"/>
          <w:szCs w:val="24"/>
          <w:lang w:val="en-US" w:eastAsia="zh-CN"/>
        </w:rPr>
        <w:t>承建（承接）企业为</w:t>
      </w:r>
      <w:r>
        <w:rPr>
          <w:rFonts w:hint="eastAsia" w:ascii="宋体" w:hAnsi="宋体" w:cs="宋体"/>
          <w:spacing w:val="6"/>
          <w:sz w:val="24"/>
          <w:szCs w:val="24"/>
          <w:u w:val="single"/>
          <w:lang w:val="en-US" w:eastAsia="zh-CN"/>
        </w:rPr>
        <w:t>（企业名称）</w:t>
      </w:r>
      <w:r>
        <w:rPr>
          <w:rFonts w:hint="eastAsia" w:ascii="宋体" w:hAnsi="宋体" w:cs="宋体"/>
          <w:spacing w:val="6"/>
          <w:sz w:val="24"/>
          <w:szCs w:val="24"/>
          <w:lang w:val="en-US" w:eastAsia="zh-CN"/>
        </w:rPr>
        <w:t>，从业人员</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lang w:val="en-US" w:eastAsia="zh-CN"/>
        </w:rPr>
        <w:t>人，营业收入为</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lang w:val="en-US" w:eastAsia="zh-CN"/>
        </w:rPr>
        <w:t>万元，资产总额为</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lang w:val="en-US" w:eastAsia="zh-CN"/>
        </w:rPr>
        <w:t>万元</w:t>
      </w:r>
      <w:r>
        <w:rPr>
          <w:rFonts w:hint="default" w:ascii="Calibri" w:hAnsi="Calibri" w:eastAsia="宋体" w:cs="Calibri"/>
          <w:color w:val="000000"/>
          <w:kern w:val="0"/>
          <w:sz w:val="16"/>
          <w:szCs w:val="16"/>
          <w:lang w:val="en-US" w:eastAsia="zh-CN" w:bidi="ar"/>
        </w:rPr>
        <w:t>①</w:t>
      </w:r>
      <w:r>
        <w:rPr>
          <w:rFonts w:hint="eastAsia" w:ascii="宋体" w:hAnsi="宋体" w:cs="宋体"/>
          <w:spacing w:val="6"/>
          <w:sz w:val="24"/>
          <w:szCs w:val="24"/>
          <w:lang w:val="en-US" w:eastAsia="zh-CN"/>
        </w:rPr>
        <w:t>，属于</w:t>
      </w:r>
      <w:r>
        <w:rPr>
          <w:rFonts w:hint="eastAsia" w:ascii="宋体" w:hAnsi="宋体" w:cs="宋体"/>
          <w:spacing w:val="6"/>
          <w:sz w:val="24"/>
          <w:szCs w:val="24"/>
          <w:u w:val="single"/>
          <w:lang w:val="en-US" w:eastAsia="zh-CN"/>
        </w:rPr>
        <w:t>（中型企业、小型企业、微型企业）</w:t>
      </w:r>
      <w:r>
        <w:rPr>
          <w:rFonts w:hint="eastAsia" w:ascii="宋体" w:hAnsi="宋体" w:cs="宋体"/>
          <w:spacing w:val="6"/>
          <w:sz w:val="24"/>
          <w:szCs w:val="24"/>
          <w:lang w:val="en-US" w:eastAsia="zh-CN"/>
        </w:rPr>
        <w:t>；</w:t>
      </w:r>
    </w:p>
    <w:p>
      <w:pPr>
        <w:pStyle w:val="24"/>
        <w:widowControl w:val="0"/>
        <w:spacing w:before="105" w:beforeAutospacing="0" w:after="0" w:afterAutospacing="0" w:line="360" w:lineRule="auto"/>
        <w:ind w:right="417" w:firstLine="645"/>
        <w:jc w:val="both"/>
        <w:rPr>
          <w:rFonts w:hint="default" w:eastAsia="宋体"/>
          <w:spacing w:val="6"/>
          <w:kern w:val="2"/>
          <w:lang w:val="en-US" w:eastAsia="zh-CN" w:bidi="ar"/>
        </w:rPr>
      </w:pPr>
      <w:r>
        <w:rPr>
          <w:rFonts w:hint="eastAsia"/>
          <w:spacing w:val="6"/>
          <w:kern w:val="2"/>
          <w:lang w:val="en-US" w:eastAsia="zh-CN" w:bidi="ar"/>
        </w:rPr>
        <w:t>......</w:t>
      </w:r>
    </w:p>
    <w:p>
      <w:pPr>
        <w:pStyle w:val="24"/>
        <w:widowControl w:val="0"/>
        <w:spacing w:before="105" w:beforeAutospacing="0" w:after="0" w:afterAutospacing="0" w:line="360" w:lineRule="auto"/>
        <w:ind w:right="417" w:firstLine="645"/>
        <w:jc w:val="both"/>
        <w:rPr>
          <w:spacing w:val="6"/>
          <w:kern w:val="2"/>
        </w:rPr>
      </w:pPr>
      <w:r>
        <w:rPr>
          <w:rFonts w:hint="eastAsia"/>
          <w:spacing w:val="6"/>
          <w:kern w:val="2"/>
          <w:lang w:bidi="ar"/>
        </w:rPr>
        <w:t>以上企业，不属于大企业的分支机构，不存在控股股东为大企业的情形，也不存在与大企业的负责人为同一人的情形。</w:t>
      </w:r>
    </w:p>
    <w:p>
      <w:pPr>
        <w:pStyle w:val="24"/>
        <w:widowControl w:val="0"/>
        <w:spacing w:before="0" w:beforeAutospacing="0" w:after="0" w:afterAutospacing="0" w:line="360" w:lineRule="auto"/>
        <w:ind w:right="372" w:firstLine="645"/>
        <w:jc w:val="both"/>
        <w:rPr>
          <w:spacing w:val="6"/>
          <w:kern w:val="2"/>
        </w:rPr>
      </w:pPr>
      <w:r>
        <w:rPr>
          <w:rFonts w:hint="eastAsia"/>
          <w:spacing w:val="6"/>
          <w:kern w:val="2"/>
          <w:lang w:bidi="ar"/>
        </w:rPr>
        <w:t>本企业对上述声明内容的真实性负责。如有虚假，将依法承担相应责任。</w:t>
      </w:r>
    </w:p>
    <w:p>
      <w:pPr>
        <w:pStyle w:val="24"/>
        <w:widowControl w:val="0"/>
        <w:spacing w:before="105" w:beforeAutospacing="0" w:after="0" w:afterAutospacing="0" w:line="302" w:lineRule="auto"/>
        <w:ind w:right="417" w:firstLine="4000"/>
        <w:jc w:val="both"/>
        <w:rPr>
          <w:spacing w:val="6"/>
          <w:kern w:val="2"/>
        </w:rPr>
      </w:pPr>
      <w:r>
        <w:rPr>
          <w:rFonts w:hint="eastAsia"/>
          <w:spacing w:val="6"/>
          <w:kern w:val="2"/>
          <w:lang w:bidi="ar"/>
        </w:rPr>
        <w:t xml:space="preserve"> </w:t>
      </w:r>
    </w:p>
    <w:p>
      <w:pPr>
        <w:pStyle w:val="24"/>
        <w:widowControl w:val="0"/>
        <w:spacing w:before="105" w:beforeAutospacing="0" w:after="0" w:afterAutospacing="0" w:line="302" w:lineRule="auto"/>
        <w:ind w:right="417" w:firstLine="4000"/>
        <w:jc w:val="both"/>
        <w:rPr>
          <w:spacing w:val="6"/>
          <w:kern w:val="2"/>
        </w:rPr>
      </w:pPr>
      <w:r>
        <w:rPr>
          <w:rFonts w:hint="eastAsia"/>
          <w:spacing w:val="6"/>
          <w:kern w:val="2"/>
          <w:lang w:bidi="ar"/>
        </w:rPr>
        <w:t>企业名称（盖章）：</w:t>
      </w:r>
    </w:p>
    <w:p>
      <w:pPr>
        <w:pStyle w:val="24"/>
        <w:widowControl w:val="0"/>
        <w:spacing w:before="105" w:beforeAutospacing="0" w:after="0" w:afterAutospacing="0" w:line="302" w:lineRule="auto"/>
        <w:ind w:right="417" w:firstLine="4000"/>
        <w:jc w:val="both"/>
        <w:rPr>
          <w:spacing w:val="6"/>
          <w:kern w:val="2"/>
        </w:rPr>
      </w:pPr>
      <w:r>
        <w:rPr>
          <w:rFonts w:hint="eastAsia"/>
          <w:spacing w:val="6"/>
          <w:kern w:val="2"/>
          <w:lang w:bidi="ar"/>
        </w:rPr>
        <w:t>日  期：</w:t>
      </w:r>
    </w:p>
    <w:p>
      <w:pPr>
        <w:keepNext w:val="0"/>
        <w:keepLines w:val="0"/>
        <w:widowControl/>
        <w:suppressLineNumbers w:val="0"/>
        <w:jc w:val="left"/>
        <w:rPr>
          <w:rFonts w:hint="default" w:ascii="Times New Roman" w:hAnsi="Times New Roman" w:eastAsia="宋体" w:cs="Times New Roman"/>
          <w:color w:val="000000"/>
          <w:kern w:val="0"/>
          <w:sz w:val="10"/>
          <w:szCs w:val="10"/>
          <w:lang w:val="en-US" w:eastAsia="zh-CN" w:bidi="ar"/>
        </w:rPr>
      </w:pPr>
    </w:p>
    <w:p>
      <w:pPr>
        <w:keepNext w:val="0"/>
        <w:keepLines w:val="0"/>
        <w:widowControl/>
        <w:suppressLineNumbers w:val="0"/>
        <w:jc w:val="left"/>
        <w:rPr>
          <w:rFonts w:hint="default" w:ascii="Times New Roman" w:hAnsi="Times New Roman" w:eastAsia="宋体" w:cs="Times New Roman"/>
          <w:color w:val="000000"/>
          <w:kern w:val="0"/>
          <w:sz w:val="10"/>
          <w:szCs w:val="10"/>
          <w:lang w:val="en-US" w:eastAsia="zh-CN" w:bidi="ar"/>
        </w:rPr>
      </w:pPr>
    </w:p>
    <w:p>
      <w:pPr>
        <w:keepNext w:val="0"/>
        <w:keepLines w:val="0"/>
        <w:widowControl/>
        <w:suppressLineNumbers w:val="0"/>
        <w:jc w:val="left"/>
        <w:rPr>
          <w:sz w:val="20"/>
          <w:szCs w:val="20"/>
        </w:rPr>
      </w:pPr>
      <w:r>
        <w:rPr>
          <w:rFonts w:hint="default" w:ascii="Calibri" w:hAnsi="Calibri" w:eastAsia="宋体" w:cs="Calibri"/>
          <w:color w:val="000000"/>
          <w:kern w:val="0"/>
          <w:sz w:val="16"/>
          <w:szCs w:val="16"/>
          <w:lang w:val="en-US" w:eastAsia="zh-CN" w:bidi="ar"/>
        </w:rPr>
        <w:t>①</w:t>
      </w:r>
      <w:r>
        <w:rPr>
          <w:rFonts w:hint="eastAsia" w:ascii="宋体" w:hAnsi="宋体" w:eastAsia="宋体" w:cs="宋体"/>
          <w:color w:val="000000"/>
          <w:kern w:val="0"/>
          <w:sz w:val="16"/>
          <w:szCs w:val="16"/>
          <w:lang w:val="en-US" w:eastAsia="zh-CN" w:bidi="ar"/>
        </w:rPr>
        <w:t>从业人员、营业收入、资产总额填报上一年度数据，无上一年度数据的新成立企业可不填报。</w:t>
      </w:r>
    </w:p>
    <w:p>
      <w:pPr>
        <w:widowControl/>
        <w:jc w:val="left"/>
        <w:rPr>
          <w:rFonts w:ascii="宋体"/>
          <w:b/>
          <w:bCs/>
          <w:spacing w:val="21"/>
          <w:kern w:val="0"/>
          <w:sz w:val="24"/>
          <w:szCs w:val="24"/>
        </w:rPr>
        <w:sectPr>
          <w:pgSz w:w="11905" w:h="16838"/>
          <w:pgMar w:top="1440" w:right="1157" w:bottom="1440" w:left="1928" w:header="1134" w:footer="1304" w:gutter="0"/>
          <w:pgBorders>
            <w:top w:val="none" w:sz="0" w:space="0"/>
            <w:left w:val="none" w:sz="0" w:space="0"/>
            <w:bottom w:val="none" w:sz="0" w:space="0"/>
            <w:right w:val="none" w:sz="0" w:space="0"/>
          </w:pgBorders>
          <w:pgNumType w:fmt="decimal"/>
          <w:cols w:space="0" w:num="1"/>
          <w:rtlGutter w:val="0"/>
          <w:docGrid w:type="linesAndChars" w:linePitch="315" w:charSpace="0"/>
        </w:sectPr>
      </w:pPr>
    </w:p>
    <w:tbl>
      <w:tblPr>
        <w:tblStyle w:val="28"/>
        <w:tblW w:w="15040" w:type="dxa"/>
        <w:tblInd w:w="-176" w:type="dxa"/>
        <w:tblLayout w:type="fixed"/>
        <w:tblCellMar>
          <w:top w:w="0" w:type="dxa"/>
          <w:left w:w="108" w:type="dxa"/>
          <w:bottom w:w="0" w:type="dxa"/>
          <w:right w:w="108" w:type="dxa"/>
        </w:tblCellMar>
      </w:tblPr>
      <w:tblGrid>
        <w:gridCol w:w="1919"/>
        <w:gridCol w:w="1542"/>
        <w:gridCol w:w="1817"/>
        <w:gridCol w:w="1676"/>
        <w:gridCol w:w="1247"/>
        <w:gridCol w:w="1489"/>
        <w:gridCol w:w="1532"/>
        <w:gridCol w:w="1292"/>
        <w:gridCol w:w="1282"/>
        <w:gridCol w:w="1244"/>
      </w:tblGrid>
      <w:tr>
        <w:tblPrEx>
          <w:tblCellMar>
            <w:top w:w="0" w:type="dxa"/>
            <w:left w:w="108" w:type="dxa"/>
            <w:bottom w:w="0" w:type="dxa"/>
            <w:right w:w="108" w:type="dxa"/>
          </w:tblCellMar>
        </w:tblPrEx>
        <w:trPr>
          <w:trHeight w:val="209" w:hRule="atLeast"/>
        </w:trPr>
        <w:tc>
          <w:tcPr>
            <w:tcW w:w="15040" w:type="dxa"/>
            <w:gridSpan w:val="10"/>
            <w:tcBorders>
              <w:top w:val="nil"/>
              <w:left w:val="nil"/>
              <w:bottom w:val="nil"/>
              <w:right w:val="nil"/>
            </w:tcBorders>
            <w:vAlign w:val="bottom"/>
          </w:tcPr>
          <w:p>
            <w:pPr>
              <w:widowControl/>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中小微行业划型标准规定（根据工信部联企业〔2011〕300号制定）</w:t>
            </w:r>
          </w:p>
        </w:tc>
      </w:tr>
      <w:tr>
        <w:tblPrEx>
          <w:tblCellMar>
            <w:top w:w="0" w:type="dxa"/>
            <w:left w:w="108" w:type="dxa"/>
            <w:bottom w:w="0" w:type="dxa"/>
            <w:right w:w="108" w:type="dxa"/>
          </w:tblCellMar>
        </w:tblPrEx>
        <w:trPr>
          <w:trHeight w:val="223" w:hRule="atLeast"/>
        </w:trPr>
        <w:tc>
          <w:tcPr>
            <w:tcW w:w="1919" w:type="dxa"/>
            <w:vMerge w:val="restart"/>
            <w:tcBorders>
              <w:top w:val="single" w:color="auto" w:sz="8" w:space="0"/>
              <w:left w:val="single" w:color="auto" w:sz="8" w:space="0"/>
              <w:bottom w:val="single" w:color="000000" w:sz="4" w:space="0"/>
              <w:right w:val="single" w:color="auto" w:sz="8" w:space="0"/>
            </w:tcBorders>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行业</w:t>
            </w:r>
          </w:p>
        </w:tc>
        <w:tc>
          <w:tcPr>
            <w:tcW w:w="5035"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268"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818"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color w:val="auto"/>
                <w:kern w:val="0"/>
                <w:sz w:val="24"/>
              </w:rPr>
            </w:pPr>
            <w:r>
              <w:rPr>
                <w:rFonts w:hint="eastAsia" w:ascii="宋体" w:hAnsi="宋体" w:cs="宋体"/>
                <w:b/>
                <w:bCs/>
                <w:color w:val="auto"/>
                <w:kern w:val="0"/>
                <w:sz w:val="24"/>
              </w:rPr>
              <w:t>微型企业</w:t>
            </w:r>
          </w:p>
        </w:tc>
      </w:tr>
      <w:tr>
        <w:tblPrEx>
          <w:tblCellMar>
            <w:top w:w="0" w:type="dxa"/>
            <w:left w:w="108" w:type="dxa"/>
            <w:bottom w:w="0" w:type="dxa"/>
            <w:right w:w="108" w:type="dxa"/>
          </w:tblCellMar>
        </w:tblPrEx>
        <w:trPr>
          <w:trHeight w:val="431" w:hRule="atLeast"/>
        </w:trPr>
        <w:tc>
          <w:tcPr>
            <w:tcW w:w="1919" w:type="dxa"/>
            <w:vMerge w:val="continue"/>
            <w:tcBorders>
              <w:top w:val="single" w:color="auto" w:sz="8" w:space="0"/>
              <w:left w:val="single" w:color="auto" w:sz="8" w:space="0"/>
              <w:bottom w:val="single" w:color="000000" w:sz="4" w:space="0"/>
              <w:right w:val="single" w:color="auto" w:sz="8" w:space="0"/>
            </w:tcBorders>
            <w:vAlign w:val="center"/>
          </w:tcPr>
          <w:p>
            <w:pPr>
              <w:widowControl/>
              <w:jc w:val="left"/>
              <w:rPr>
                <w:rFonts w:ascii="宋体" w:hAnsi="宋体" w:cs="宋体"/>
                <w:b/>
                <w:bCs/>
                <w:color w:val="auto"/>
                <w:kern w:val="0"/>
                <w:sz w:val="24"/>
              </w:rPr>
            </w:pPr>
          </w:p>
        </w:tc>
        <w:tc>
          <w:tcPr>
            <w:tcW w:w="1542"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从业人员X（人）</w:t>
            </w:r>
          </w:p>
        </w:tc>
        <w:tc>
          <w:tcPr>
            <w:tcW w:w="1817"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营业收入Y</w:t>
            </w:r>
          </w:p>
          <w:p>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676"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资产总额Z</w:t>
            </w:r>
          </w:p>
          <w:p>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47"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从业人员X（人）</w:t>
            </w:r>
          </w:p>
        </w:tc>
        <w:tc>
          <w:tcPr>
            <w:tcW w:w="1489"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营业收入Y</w:t>
            </w:r>
          </w:p>
          <w:p>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532"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资产总额Z</w:t>
            </w:r>
          </w:p>
          <w:p>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92"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从业人员X（人）</w:t>
            </w:r>
          </w:p>
        </w:tc>
        <w:tc>
          <w:tcPr>
            <w:tcW w:w="1282" w:type="dxa"/>
            <w:tcBorders>
              <w:top w:val="nil"/>
              <w:left w:val="nil"/>
              <w:bottom w:val="single" w:color="auto" w:sz="4" w:space="0"/>
              <w:right w:val="single" w:color="auto" w:sz="4"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营业收入Y（万元）</w:t>
            </w:r>
          </w:p>
        </w:tc>
        <w:tc>
          <w:tcPr>
            <w:tcW w:w="1244" w:type="dxa"/>
            <w:tcBorders>
              <w:top w:val="nil"/>
              <w:left w:val="nil"/>
              <w:bottom w:val="single" w:color="auto" w:sz="4" w:space="0"/>
              <w:right w:val="single" w:color="auto" w:sz="8" w:space="0"/>
            </w:tcBorders>
            <w:vAlign w:val="bottom"/>
          </w:tcPr>
          <w:p>
            <w:pPr>
              <w:widowControl/>
              <w:jc w:val="center"/>
              <w:rPr>
                <w:rFonts w:ascii="宋体" w:hAnsi="宋体" w:cs="宋体"/>
                <w:color w:val="auto"/>
                <w:kern w:val="0"/>
                <w:sz w:val="20"/>
              </w:rPr>
            </w:pPr>
            <w:r>
              <w:rPr>
                <w:rFonts w:hint="eastAsia" w:ascii="宋体" w:hAnsi="宋体" w:cs="宋体"/>
                <w:color w:val="auto"/>
                <w:kern w:val="0"/>
                <w:sz w:val="20"/>
              </w:rPr>
              <w:t>资产总额Z（万元）</w:t>
            </w:r>
          </w:p>
        </w:tc>
      </w:tr>
      <w:tr>
        <w:tblPrEx>
          <w:tblCellMar>
            <w:top w:w="0" w:type="dxa"/>
            <w:left w:w="108" w:type="dxa"/>
            <w:bottom w:w="0" w:type="dxa"/>
            <w:right w:w="108" w:type="dxa"/>
          </w:tblCellMar>
        </w:tblPrEx>
        <w:trPr>
          <w:trHeight w:val="216" w:hRule="atLeast"/>
        </w:trPr>
        <w:tc>
          <w:tcPr>
            <w:tcW w:w="1919"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xml:space="preserve"> 1、农林牧渔业</w:t>
            </w:r>
          </w:p>
        </w:tc>
        <w:tc>
          <w:tcPr>
            <w:tcW w:w="154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81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xml:space="preserve"> 500≤Y＜20000</w:t>
            </w:r>
          </w:p>
        </w:tc>
        <w:tc>
          <w:tcPr>
            <w:tcW w:w="1676"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489"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xml:space="preserve"> 50≤Y＜500</w:t>
            </w:r>
          </w:p>
        </w:tc>
        <w:tc>
          <w:tcPr>
            <w:tcW w:w="1532"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8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Y＜50</w:t>
            </w:r>
          </w:p>
        </w:tc>
        <w:tc>
          <w:tcPr>
            <w:tcW w:w="1244"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216" w:hRule="atLeast"/>
        </w:trPr>
        <w:tc>
          <w:tcPr>
            <w:tcW w:w="1919"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xml:space="preserve"> 2、工业</w:t>
            </w:r>
          </w:p>
        </w:tc>
        <w:tc>
          <w:tcPr>
            <w:tcW w:w="154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300≤X＜1000</w:t>
            </w:r>
          </w:p>
        </w:tc>
        <w:tc>
          <w:tcPr>
            <w:tcW w:w="181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2000≤Y＜40000</w:t>
            </w:r>
          </w:p>
        </w:tc>
        <w:tc>
          <w:tcPr>
            <w:tcW w:w="1676"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20≤X＜300</w:t>
            </w:r>
          </w:p>
        </w:tc>
        <w:tc>
          <w:tcPr>
            <w:tcW w:w="1489"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300≤Y＜2000</w:t>
            </w:r>
          </w:p>
        </w:tc>
        <w:tc>
          <w:tcPr>
            <w:tcW w:w="1532"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X＜20</w:t>
            </w:r>
          </w:p>
        </w:tc>
        <w:tc>
          <w:tcPr>
            <w:tcW w:w="128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Y＜300</w:t>
            </w:r>
          </w:p>
        </w:tc>
        <w:tc>
          <w:tcPr>
            <w:tcW w:w="1244"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425" w:hRule="atLeast"/>
        </w:trPr>
        <w:tc>
          <w:tcPr>
            <w:tcW w:w="1919"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xml:space="preserve"> 3、建筑业</w:t>
            </w:r>
          </w:p>
        </w:tc>
        <w:tc>
          <w:tcPr>
            <w:tcW w:w="154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81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6000≤Y＜80000</w:t>
            </w:r>
          </w:p>
        </w:tc>
        <w:tc>
          <w:tcPr>
            <w:tcW w:w="1676"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5000≤Z＜80000</w:t>
            </w:r>
          </w:p>
        </w:tc>
        <w:tc>
          <w:tcPr>
            <w:tcW w:w="124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489"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300≤Y＜6000</w:t>
            </w:r>
          </w:p>
        </w:tc>
        <w:tc>
          <w:tcPr>
            <w:tcW w:w="1532"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xml:space="preserve"> 300≤Z＜5000</w:t>
            </w:r>
          </w:p>
        </w:tc>
        <w:tc>
          <w:tcPr>
            <w:tcW w:w="129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8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Y＜300</w:t>
            </w:r>
          </w:p>
        </w:tc>
        <w:tc>
          <w:tcPr>
            <w:tcW w:w="1244"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Z＜300</w:t>
            </w:r>
          </w:p>
        </w:tc>
      </w:tr>
      <w:tr>
        <w:tblPrEx>
          <w:tblCellMar>
            <w:top w:w="0" w:type="dxa"/>
            <w:left w:w="108" w:type="dxa"/>
            <w:bottom w:w="0" w:type="dxa"/>
            <w:right w:w="108" w:type="dxa"/>
          </w:tblCellMar>
        </w:tblPrEx>
        <w:trPr>
          <w:trHeight w:val="425" w:hRule="atLeast"/>
        </w:trPr>
        <w:tc>
          <w:tcPr>
            <w:tcW w:w="1919"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xml:space="preserve"> 4、批发业</w:t>
            </w:r>
          </w:p>
        </w:tc>
        <w:tc>
          <w:tcPr>
            <w:tcW w:w="154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xml:space="preserve"> 20≤X＜200</w:t>
            </w:r>
          </w:p>
        </w:tc>
        <w:tc>
          <w:tcPr>
            <w:tcW w:w="181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5000≤Y＜40000</w:t>
            </w:r>
          </w:p>
        </w:tc>
        <w:tc>
          <w:tcPr>
            <w:tcW w:w="1676"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xml:space="preserve"> 5≤X＜20</w:t>
            </w:r>
          </w:p>
        </w:tc>
        <w:tc>
          <w:tcPr>
            <w:tcW w:w="1489"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1000≤Y＜5000</w:t>
            </w:r>
          </w:p>
        </w:tc>
        <w:tc>
          <w:tcPr>
            <w:tcW w:w="1532"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X＜5</w:t>
            </w:r>
          </w:p>
        </w:tc>
        <w:tc>
          <w:tcPr>
            <w:tcW w:w="128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Y＜1000</w:t>
            </w:r>
          </w:p>
        </w:tc>
        <w:tc>
          <w:tcPr>
            <w:tcW w:w="1244"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216" w:hRule="atLeast"/>
        </w:trPr>
        <w:tc>
          <w:tcPr>
            <w:tcW w:w="1919"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xml:space="preserve"> 5、零售业</w:t>
            </w:r>
          </w:p>
        </w:tc>
        <w:tc>
          <w:tcPr>
            <w:tcW w:w="154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xml:space="preserve"> 50≤X＜300</w:t>
            </w:r>
          </w:p>
        </w:tc>
        <w:tc>
          <w:tcPr>
            <w:tcW w:w="181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xml:space="preserve"> 500≤Y＜20000</w:t>
            </w:r>
          </w:p>
        </w:tc>
        <w:tc>
          <w:tcPr>
            <w:tcW w:w="1676"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10≤X＜50</w:t>
            </w:r>
          </w:p>
        </w:tc>
        <w:tc>
          <w:tcPr>
            <w:tcW w:w="1489"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100≤Y＜500</w:t>
            </w:r>
          </w:p>
        </w:tc>
        <w:tc>
          <w:tcPr>
            <w:tcW w:w="1532"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X＜10</w:t>
            </w:r>
          </w:p>
        </w:tc>
        <w:tc>
          <w:tcPr>
            <w:tcW w:w="128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Y＜100</w:t>
            </w:r>
          </w:p>
        </w:tc>
        <w:tc>
          <w:tcPr>
            <w:tcW w:w="1244"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216" w:hRule="atLeast"/>
        </w:trPr>
        <w:tc>
          <w:tcPr>
            <w:tcW w:w="1919"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xml:space="preserve"> 6、交通运输业</w:t>
            </w:r>
          </w:p>
        </w:tc>
        <w:tc>
          <w:tcPr>
            <w:tcW w:w="154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300≤X＜1000</w:t>
            </w:r>
          </w:p>
        </w:tc>
        <w:tc>
          <w:tcPr>
            <w:tcW w:w="181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3000≤Y＜30000</w:t>
            </w:r>
          </w:p>
        </w:tc>
        <w:tc>
          <w:tcPr>
            <w:tcW w:w="1676"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20≤X＜300</w:t>
            </w:r>
          </w:p>
        </w:tc>
        <w:tc>
          <w:tcPr>
            <w:tcW w:w="1489"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200≤Y＜3000</w:t>
            </w:r>
          </w:p>
        </w:tc>
        <w:tc>
          <w:tcPr>
            <w:tcW w:w="1532"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X＜20</w:t>
            </w:r>
          </w:p>
        </w:tc>
        <w:tc>
          <w:tcPr>
            <w:tcW w:w="128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V＜200</w:t>
            </w:r>
          </w:p>
        </w:tc>
        <w:tc>
          <w:tcPr>
            <w:tcW w:w="1244"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216" w:hRule="atLeast"/>
        </w:trPr>
        <w:tc>
          <w:tcPr>
            <w:tcW w:w="1919"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xml:space="preserve"> 7、仓储业</w:t>
            </w:r>
          </w:p>
        </w:tc>
        <w:tc>
          <w:tcPr>
            <w:tcW w:w="154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100≤X＜200</w:t>
            </w:r>
          </w:p>
        </w:tc>
        <w:tc>
          <w:tcPr>
            <w:tcW w:w="181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1000≤Y＜30000</w:t>
            </w:r>
          </w:p>
        </w:tc>
        <w:tc>
          <w:tcPr>
            <w:tcW w:w="1676"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20≤X＜100</w:t>
            </w:r>
          </w:p>
        </w:tc>
        <w:tc>
          <w:tcPr>
            <w:tcW w:w="1489"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100≤Y＜1000</w:t>
            </w:r>
          </w:p>
        </w:tc>
        <w:tc>
          <w:tcPr>
            <w:tcW w:w="1532"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X＜20</w:t>
            </w:r>
          </w:p>
        </w:tc>
        <w:tc>
          <w:tcPr>
            <w:tcW w:w="128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Y＜100</w:t>
            </w:r>
          </w:p>
        </w:tc>
        <w:tc>
          <w:tcPr>
            <w:tcW w:w="1244"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216" w:hRule="atLeast"/>
        </w:trPr>
        <w:tc>
          <w:tcPr>
            <w:tcW w:w="1919"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xml:space="preserve"> 8、邮政业</w:t>
            </w:r>
          </w:p>
        </w:tc>
        <w:tc>
          <w:tcPr>
            <w:tcW w:w="154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300≤X＜1000</w:t>
            </w:r>
          </w:p>
        </w:tc>
        <w:tc>
          <w:tcPr>
            <w:tcW w:w="181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2000≤Y＜30000</w:t>
            </w:r>
          </w:p>
        </w:tc>
        <w:tc>
          <w:tcPr>
            <w:tcW w:w="1676"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20≤X＜300</w:t>
            </w:r>
          </w:p>
        </w:tc>
        <w:tc>
          <w:tcPr>
            <w:tcW w:w="1489"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100≤Y＜2000</w:t>
            </w:r>
          </w:p>
        </w:tc>
        <w:tc>
          <w:tcPr>
            <w:tcW w:w="1532"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X＜20</w:t>
            </w:r>
          </w:p>
        </w:tc>
        <w:tc>
          <w:tcPr>
            <w:tcW w:w="128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Y＜100</w:t>
            </w:r>
          </w:p>
        </w:tc>
        <w:tc>
          <w:tcPr>
            <w:tcW w:w="1244"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216" w:hRule="atLeast"/>
        </w:trPr>
        <w:tc>
          <w:tcPr>
            <w:tcW w:w="1919"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 xml:space="preserve"> 9、住宿业</w:t>
            </w:r>
          </w:p>
        </w:tc>
        <w:tc>
          <w:tcPr>
            <w:tcW w:w="154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100≤X＜300</w:t>
            </w:r>
          </w:p>
        </w:tc>
        <w:tc>
          <w:tcPr>
            <w:tcW w:w="181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2000≤Y＜10000</w:t>
            </w:r>
          </w:p>
        </w:tc>
        <w:tc>
          <w:tcPr>
            <w:tcW w:w="1676"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10≤X＜100</w:t>
            </w:r>
          </w:p>
        </w:tc>
        <w:tc>
          <w:tcPr>
            <w:tcW w:w="1489"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100≤Y＜2000</w:t>
            </w:r>
          </w:p>
        </w:tc>
        <w:tc>
          <w:tcPr>
            <w:tcW w:w="1532"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X＜10</w:t>
            </w:r>
          </w:p>
        </w:tc>
        <w:tc>
          <w:tcPr>
            <w:tcW w:w="128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Y＜100</w:t>
            </w:r>
          </w:p>
        </w:tc>
        <w:tc>
          <w:tcPr>
            <w:tcW w:w="1244"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216" w:hRule="atLeast"/>
        </w:trPr>
        <w:tc>
          <w:tcPr>
            <w:tcW w:w="1919"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10、餐饮业</w:t>
            </w:r>
          </w:p>
        </w:tc>
        <w:tc>
          <w:tcPr>
            <w:tcW w:w="154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100≤X＜300</w:t>
            </w:r>
          </w:p>
        </w:tc>
        <w:tc>
          <w:tcPr>
            <w:tcW w:w="181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2000≤Y＜10000</w:t>
            </w:r>
          </w:p>
        </w:tc>
        <w:tc>
          <w:tcPr>
            <w:tcW w:w="1676"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10≤X＜100</w:t>
            </w:r>
          </w:p>
        </w:tc>
        <w:tc>
          <w:tcPr>
            <w:tcW w:w="1489"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100≤Y＜2000</w:t>
            </w:r>
          </w:p>
        </w:tc>
        <w:tc>
          <w:tcPr>
            <w:tcW w:w="1532"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X＜10</w:t>
            </w:r>
          </w:p>
        </w:tc>
        <w:tc>
          <w:tcPr>
            <w:tcW w:w="128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V＜100</w:t>
            </w:r>
          </w:p>
        </w:tc>
        <w:tc>
          <w:tcPr>
            <w:tcW w:w="1244"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216" w:hRule="atLeast"/>
        </w:trPr>
        <w:tc>
          <w:tcPr>
            <w:tcW w:w="1919"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11、信息传输业</w:t>
            </w:r>
          </w:p>
        </w:tc>
        <w:tc>
          <w:tcPr>
            <w:tcW w:w="154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100≤X＜2000</w:t>
            </w:r>
          </w:p>
        </w:tc>
        <w:tc>
          <w:tcPr>
            <w:tcW w:w="181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1000≤Y＜100000</w:t>
            </w:r>
          </w:p>
        </w:tc>
        <w:tc>
          <w:tcPr>
            <w:tcW w:w="1676"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10≤X＜100</w:t>
            </w:r>
          </w:p>
        </w:tc>
        <w:tc>
          <w:tcPr>
            <w:tcW w:w="1489"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100≤Y＜1000</w:t>
            </w:r>
          </w:p>
        </w:tc>
        <w:tc>
          <w:tcPr>
            <w:tcW w:w="1532"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X＜10</w:t>
            </w:r>
          </w:p>
        </w:tc>
        <w:tc>
          <w:tcPr>
            <w:tcW w:w="128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Y＜100</w:t>
            </w:r>
          </w:p>
        </w:tc>
        <w:tc>
          <w:tcPr>
            <w:tcW w:w="1244"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425" w:hRule="atLeast"/>
        </w:trPr>
        <w:tc>
          <w:tcPr>
            <w:tcW w:w="1919"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12、软件和信息技术服务业</w:t>
            </w:r>
          </w:p>
        </w:tc>
        <w:tc>
          <w:tcPr>
            <w:tcW w:w="154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100≤X＜300</w:t>
            </w:r>
          </w:p>
        </w:tc>
        <w:tc>
          <w:tcPr>
            <w:tcW w:w="181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1000≤Y＜10000</w:t>
            </w:r>
          </w:p>
        </w:tc>
        <w:tc>
          <w:tcPr>
            <w:tcW w:w="1676"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10≤X＜100</w:t>
            </w:r>
          </w:p>
        </w:tc>
        <w:tc>
          <w:tcPr>
            <w:tcW w:w="1489"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xml:space="preserve"> 50≤Y＜1000</w:t>
            </w:r>
          </w:p>
        </w:tc>
        <w:tc>
          <w:tcPr>
            <w:tcW w:w="1532"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X＜10</w:t>
            </w:r>
          </w:p>
        </w:tc>
        <w:tc>
          <w:tcPr>
            <w:tcW w:w="128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Y＜50</w:t>
            </w:r>
          </w:p>
        </w:tc>
        <w:tc>
          <w:tcPr>
            <w:tcW w:w="1244"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425" w:hRule="atLeast"/>
        </w:trPr>
        <w:tc>
          <w:tcPr>
            <w:tcW w:w="1919"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13、房地产开发经营</w:t>
            </w:r>
          </w:p>
        </w:tc>
        <w:tc>
          <w:tcPr>
            <w:tcW w:w="154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81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1000≤Y＜200000</w:t>
            </w:r>
          </w:p>
        </w:tc>
        <w:tc>
          <w:tcPr>
            <w:tcW w:w="1676"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5000≤Z＜10000</w:t>
            </w:r>
          </w:p>
        </w:tc>
        <w:tc>
          <w:tcPr>
            <w:tcW w:w="124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489"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100≤Y＜1000</w:t>
            </w:r>
          </w:p>
        </w:tc>
        <w:tc>
          <w:tcPr>
            <w:tcW w:w="1532"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2000≤Z＜5000</w:t>
            </w:r>
          </w:p>
        </w:tc>
        <w:tc>
          <w:tcPr>
            <w:tcW w:w="129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8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Y＜100</w:t>
            </w:r>
          </w:p>
        </w:tc>
        <w:tc>
          <w:tcPr>
            <w:tcW w:w="1244"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Z＜2000</w:t>
            </w:r>
          </w:p>
        </w:tc>
      </w:tr>
      <w:tr>
        <w:tblPrEx>
          <w:tblCellMar>
            <w:top w:w="0" w:type="dxa"/>
            <w:left w:w="108" w:type="dxa"/>
            <w:bottom w:w="0" w:type="dxa"/>
            <w:right w:w="108" w:type="dxa"/>
          </w:tblCellMar>
        </w:tblPrEx>
        <w:trPr>
          <w:trHeight w:val="425" w:hRule="atLeast"/>
        </w:trPr>
        <w:tc>
          <w:tcPr>
            <w:tcW w:w="1919"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14、物业管理</w:t>
            </w:r>
          </w:p>
        </w:tc>
        <w:tc>
          <w:tcPr>
            <w:tcW w:w="154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300≤X＜1000</w:t>
            </w:r>
          </w:p>
        </w:tc>
        <w:tc>
          <w:tcPr>
            <w:tcW w:w="181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1000≤Y＜5000</w:t>
            </w:r>
          </w:p>
        </w:tc>
        <w:tc>
          <w:tcPr>
            <w:tcW w:w="1676"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100≤X＜300</w:t>
            </w:r>
          </w:p>
        </w:tc>
        <w:tc>
          <w:tcPr>
            <w:tcW w:w="1489"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500≤Y＜1000</w:t>
            </w:r>
          </w:p>
        </w:tc>
        <w:tc>
          <w:tcPr>
            <w:tcW w:w="1532"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X＜100</w:t>
            </w:r>
          </w:p>
        </w:tc>
        <w:tc>
          <w:tcPr>
            <w:tcW w:w="128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Y＜500</w:t>
            </w:r>
          </w:p>
        </w:tc>
        <w:tc>
          <w:tcPr>
            <w:tcW w:w="1244"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425" w:hRule="atLeast"/>
        </w:trPr>
        <w:tc>
          <w:tcPr>
            <w:tcW w:w="1919" w:type="dxa"/>
            <w:tcBorders>
              <w:top w:val="nil"/>
              <w:left w:val="single" w:color="auto" w:sz="8" w:space="0"/>
              <w:bottom w:val="single" w:color="auto" w:sz="4"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15、租赁和商务服务业</w:t>
            </w:r>
          </w:p>
        </w:tc>
        <w:tc>
          <w:tcPr>
            <w:tcW w:w="154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100≤X＜300</w:t>
            </w:r>
          </w:p>
        </w:tc>
        <w:tc>
          <w:tcPr>
            <w:tcW w:w="181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676"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8000≤Z＜120000</w:t>
            </w:r>
          </w:p>
        </w:tc>
        <w:tc>
          <w:tcPr>
            <w:tcW w:w="1247"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10≤X＜100</w:t>
            </w:r>
          </w:p>
        </w:tc>
        <w:tc>
          <w:tcPr>
            <w:tcW w:w="1489"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532"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xml:space="preserve"> 100≤Z＜8000</w:t>
            </w:r>
          </w:p>
        </w:tc>
        <w:tc>
          <w:tcPr>
            <w:tcW w:w="129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X＜10</w:t>
            </w:r>
          </w:p>
        </w:tc>
        <w:tc>
          <w:tcPr>
            <w:tcW w:w="1282" w:type="dxa"/>
            <w:tcBorders>
              <w:top w:val="nil"/>
              <w:left w:val="nil"/>
              <w:bottom w:val="single" w:color="auto" w:sz="4"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44" w:type="dxa"/>
            <w:tcBorders>
              <w:top w:val="nil"/>
              <w:left w:val="nil"/>
              <w:bottom w:val="single" w:color="auto" w:sz="4"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Z＜100</w:t>
            </w:r>
          </w:p>
        </w:tc>
      </w:tr>
      <w:tr>
        <w:tblPrEx>
          <w:tblCellMar>
            <w:top w:w="0" w:type="dxa"/>
            <w:left w:w="108" w:type="dxa"/>
            <w:bottom w:w="0" w:type="dxa"/>
            <w:right w:w="108" w:type="dxa"/>
          </w:tblCellMar>
        </w:tblPrEx>
        <w:trPr>
          <w:trHeight w:val="216" w:hRule="atLeast"/>
        </w:trPr>
        <w:tc>
          <w:tcPr>
            <w:tcW w:w="1919" w:type="dxa"/>
            <w:tcBorders>
              <w:top w:val="nil"/>
              <w:left w:val="single" w:color="auto" w:sz="8" w:space="0"/>
              <w:bottom w:val="single" w:color="auto" w:sz="8" w:space="0"/>
              <w:right w:val="single" w:color="auto" w:sz="8" w:space="0"/>
            </w:tcBorders>
            <w:vAlign w:val="center"/>
          </w:tcPr>
          <w:p>
            <w:pPr>
              <w:widowControl/>
              <w:rPr>
                <w:rFonts w:ascii="宋体" w:hAnsi="宋体" w:cs="宋体"/>
                <w:color w:val="auto"/>
                <w:kern w:val="0"/>
                <w:sz w:val="20"/>
              </w:rPr>
            </w:pPr>
            <w:r>
              <w:rPr>
                <w:rFonts w:hint="eastAsia" w:ascii="宋体" w:hAnsi="宋体" w:cs="宋体"/>
                <w:color w:val="auto"/>
                <w:kern w:val="0"/>
                <w:sz w:val="20"/>
              </w:rPr>
              <w:t>16、其他未列明行业</w:t>
            </w:r>
          </w:p>
        </w:tc>
        <w:tc>
          <w:tcPr>
            <w:tcW w:w="1542" w:type="dxa"/>
            <w:tcBorders>
              <w:top w:val="nil"/>
              <w:left w:val="nil"/>
              <w:bottom w:val="single" w:color="auto" w:sz="8"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100≤X＜300</w:t>
            </w:r>
          </w:p>
        </w:tc>
        <w:tc>
          <w:tcPr>
            <w:tcW w:w="1817" w:type="dxa"/>
            <w:tcBorders>
              <w:top w:val="nil"/>
              <w:left w:val="nil"/>
              <w:bottom w:val="single" w:color="auto" w:sz="8"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676" w:type="dxa"/>
            <w:tcBorders>
              <w:top w:val="nil"/>
              <w:left w:val="nil"/>
              <w:bottom w:val="single" w:color="auto" w:sz="8"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47" w:type="dxa"/>
            <w:tcBorders>
              <w:top w:val="nil"/>
              <w:left w:val="nil"/>
              <w:bottom w:val="single" w:color="auto" w:sz="8"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10≤X＜100</w:t>
            </w:r>
          </w:p>
        </w:tc>
        <w:tc>
          <w:tcPr>
            <w:tcW w:w="1489" w:type="dxa"/>
            <w:tcBorders>
              <w:top w:val="nil"/>
              <w:left w:val="nil"/>
              <w:bottom w:val="single" w:color="auto" w:sz="8"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532" w:type="dxa"/>
            <w:tcBorders>
              <w:top w:val="nil"/>
              <w:left w:val="nil"/>
              <w:bottom w:val="single" w:color="auto" w:sz="8"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8"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X＜10</w:t>
            </w:r>
          </w:p>
        </w:tc>
        <w:tc>
          <w:tcPr>
            <w:tcW w:w="1282" w:type="dxa"/>
            <w:tcBorders>
              <w:top w:val="nil"/>
              <w:left w:val="nil"/>
              <w:bottom w:val="single" w:color="auto" w:sz="8" w:space="0"/>
              <w:right w:val="single" w:color="auto" w:sz="4"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c>
          <w:tcPr>
            <w:tcW w:w="1244" w:type="dxa"/>
            <w:tcBorders>
              <w:top w:val="nil"/>
              <w:left w:val="nil"/>
              <w:bottom w:val="single" w:color="auto" w:sz="8" w:space="0"/>
              <w:right w:val="single" w:color="auto" w:sz="8" w:space="0"/>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640" w:hRule="atLeast"/>
        </w:trPr>
        <w:tc>
          <w:tcPr>
            <w:tcW w:w="15040" w:type="dxa"/>
            <w:gridSpan w:val="10"/>
            <w:tcBorders>
              <w:top w:val="nil"/>
              <w:left w:val="nil"/>
              <w:bottom w:val="nil"/>
              <w:right w:val="nil"/>
            </w:tcBorders>
            <w:vAlign w:val="bottom"/>
          </w:tcPr>
          <w:p>
            <w:pPr>
              <w:widowControl/>
              <w:jc w:val="left"/>
              <w:rPr>
                <w:rFonts w:ascii="宋体" w:hAnsi="宋体" w:cs="宋体"/>
                <w:color w:val="auto"/>
                <w:kern w:val="0"/>
                <w:sz w:val="20"/>
              </w:rPr>
            </w:pPr>
            <w:r>
              <w:rPr>
                <w:rFonts w:hint="eastAsia" w:ascii="宋体" w:hAnsi="宋体" w:cs="宋体"/>
                <w:color w:val="auto"/>
                <w:kern w:val="0"/>
                <w:sz w:val="20"/>
              </w:rPr>
              <w:t>说明　1、企业类型的划分以统计部门的统计数据为依据。</w:t>
            </w:r>
          </w:p>
          <w:p>
            <w:pPr>
              <w:widowControl/>
              <w:ind w:firstLine="600" w:firstLineChars="300"/>
              <w:jc w:val="left"/>
              <w:rPr>
                <w:rFonts w:ascii="宋体" w:hAnsi="宋体" w:cs="宋体"/>
                <w:color w:val="auto"/>
                <w:kern w:val="0"/>
                <w:sz w:val="20"/>
              </w:rPr>
            </w:pPr>
            <w:r>
              <w:rPr>
                <w:rFonts w:hint="eastAsia" w:ascii="宋体" w:hAnsi="宋体" w:cs="宋体"/>
                <w:color w:val="auto"/>
                <w:kern w:val="0"/>
                <w:sz w:val="20"/>
              </w:rPr>
              <w:t>2、个体工商户和本规定以外的行业，参照本规定进行划型。</w:t>
            </w:r>
          </w:p>
          <w:p>
            <w:pPr>
              <w:widowControl/>
              <w:ind w:firstLine="600" w:firstLineChars="300"/>
              <w:jc w:val="left"/>
              <w:rPr>
                <w:rFonts w:ascii="宋体" w:hAnsi="宋体" w:cs="宋体"/>
                <w:color w:val="auto"/>
                <w:kern w:val="0"/>
                <w:sz w:val="20"/>
              </w:rPr>
            </w:pPr>
            <w:r>
              <w:rPr>
                <w:rFonts w:hint="eastAsia" w:ascii="宋体" w:hAnsi="宋体" w:cs="宋体"/>
                <w:color w:val="auto"/>
                <w:kern w:val="0"/>
                <w:sz w:val="20"/>
              </w:rPr>
              <w:t>3、本规定的中型企业标准上限即为大型企业标准的下限。</w:t>
            </w:r>
          </w:p>
        </w:tc>
      </w:tr>
    </w:tbl>
    <w:p>
      <w:pPr>
        <w:widowControl/>
        <w:jc w:val="left"/>
        <w:rPr>
          <w:rFonts w:ascii="宋体"/>
          <w:b/>
          <w:bCs/>
          <w:spacing w:val="21"/>
          <w:kern w:val="0"/>
          <w:sz w:val="24"/>
          <w:szCs w:val="24"/>
        </w:rPr>
      </w:pPr>
    </w:p>
    <w:p>
      <w:pPr>
        <w:pStyle w:val="25"/>
        <w:jc w:val="both"/>
        <w:rPr>
          <w:rFonts w:ascii="宋体"/>
          <w:b/>
          <w:bCs/>
          <w:spacing w:val="21"/>
          <w:kern w:val="0"/>
          <w:sz w:val="24"/>
          <w:szCs w:val="24"/>
        </w:rPr>
        <w:sectPr>
          <w:pgSz w:w="16838" w:h="11905" w:orient="landscape"/>
          <w:pgMar w:top="1928" w:right="1440" w:bottom="1157" w:left="1440" w:header="1134" w:footer="1304" w:gutter="0"/>
          <w:pgBorders>
            <w:top w:val="none" w:sz="0" w:space="0"/>
            <w:left w:val="none" w:sz="0" w:space="0"/>
            <w:bottom w:val="none" w:sz="0" w:space="0"/>
            <w:right w:val="none" w:sz="0" w:space="0"/>
          </w:pgBorders>
          <w:pgNumType w:fmt="decimal"/>
          <w:cols w:space="0" w:num="1"/>
          <w:rtlGutter w:val="0"/>
          <w:docGrid w:type="linesAndChars" w:linePitch="315" w:charSpace="0"/>
        </w:sectPr>
      </w:pPr>
    </w:p>
    <w:p>
      <w:pPr>
        <w:pStyle w:val="15"/>
        <w:spacing w:line="400" w:lineRule="exact"/>
        <w:ind w:left="0" w:leftChars="0"/>
        <w:rPr>
          <w:rFonts w:ascii="宋体" w:hAnsi="宋体" w:cs="宋体"/>
          <w:color w:val="auto"/>
        </w:rPr>
      </w:pPr>
      <w:r>
        <w:rPr>
          <w:rFonts w:hint="eastAsia" w:ascii="宋体" w:hAnsi="宋体" w:cs="宋体"/>
          <w:color w:val="auto"/>
        </w:rPr>
        <w:t>中小企业声明函填写说明：</w:t>
      </w:r>
    </w:p>
    <w:p>
      <w:pPr>
        <w:rPr>
          <w:rFonts w:hint="eastAsia" w:ascii="宋体" w:hAnsi="宋体" w:cs="宋体"/>
          <w:color w:val="auto"/>
        </w:rPr>
      </w:pPr>
      <w:r>
        <w:rPr>
          <w:rFonts w:hint="eastAsia" w:ascii="宋体" w:hAnsi="宋体" w:cs="宋体"/>
          <w:color w:val="auto"/>
          <w:lang w:val="en-US" w:eastAsia="zh-CN"/>
        </w:rPr>
        <w:t>1、</w:t>
      </w:r>
      <w:r>
        <w:rPr>
          <w:rFonts w:hint="eastAsia" w:ascii="宋体" w:hAnsi="宋体" w:cs="宋体"/>
          <w:color w:val="auto"/>
        </w:rPr>
        <w:t>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rPr>
          <w:rFonts w:hint="eastAsia" w:ascii="宋体" w:hAnsi="宋体" w:cs="宋体"/>
          <w:color w:val="auto"/>
        </w:rPr>
      </w:pPr>
    </w:p>
    <w:p>
      <w:pPr>
        <w:numPr>
          <w:ilvl w:val="0"/>
          <w:numId w:val="0"/>
        </w:numPr>
        <w:rPr>
          <w:rFonts w:hint="eastAsia" w:ascii="宋体" w:hAnsi="宋体" w:cs="宋体"/>
          <w:b/>
          <w:bCs/>
          <w:color w:val="auto"/>
          <w:u w:val="single"/>
        </w:rPr>
      </w:pPr>
      <w:r>
        <w:rPr>
          <w:rFonts w:hint="eastAsia" w:ascii="宋体" w:hAnsi="宋体" w:cs="宋体"/>
          <w:b/>
          <w:bCs/>
          <w:color w:val="auto"/>
          <w:u w:val="single"/>
          <w:lang w:val="en-US" w:eastAsia="zh-CN"/>
        </w:rPr>
        <w:t>2、</w:t>
      </w:r>
      <w:r>
        <w:rPr>
          <w:rFonts w:hint="eastAsia" w:ascii="宋体" w:hAnsi="宋体" w:cs="宋体"/>
          <w:b/>
          <w:bCs/>
          <w:color w:val="auto"/>
          <w:u w:val="single"/>
        </w:rPr>
        <w:t>本项目标的所属行业为</w:t>
      </w:r>
      <w:r>
        <w:rPr>
          <w:rFonts w:hint="eastAsia" w:ascii="宋体" w:hAnsi="宋体" w:cs="宋体"/>
          <w:b/>
          <w:bCs/>
          <w:color w:val="auto"/>
          <w:u w:val="single"/>
          <w:lang w:eastAsia="zh-CN"/>
        </w:rPr>
        <w:t>：其他未列明行业（水利、环境和公共设施管理业）</w:t>
      </w:r>
      <w:r>
        <w:rPr>
          <w:rFonts w:hint="eastAsia" w:ascii="宋体" w:hAnsi="宋体" w:cs="宋体"/>
          <w:b/>
          <w:bCs/>
          <w:color w:val="auto"/>
          <w:u w:val="single"/>
        </w:rPr>
        <w:t>。</w:t>
      </w:r>
    </w:p>
    <w:p>
      <w:pPr>
        <w:rPr>
          <w:rFonts w:hint="eastAsia" w:ascii="宋体" w:hAnsi="宋体" w:cs="宋体"/>
          <w:b/>
          <w:bCs/>
          <w:color w:val="auto"/>
        </w:rPr>
        <w:sectPr>
          <w:footerReference r:id="rId6" w:type="default"/>
          <w:pgSz w:w="11905" w:h="16838"/>
          <w:pgMar w:top="1440" w:right="1157" w:bottom="1440" w:left="1928" w:header="1134" w:footer="1304" w:gutter="0"/>
          <w:pgBorders>
            <w:top w:val="none" w:sz="0" w:space="0"/>
            <w:left w:val="none" w:sz="0" w:space="0"/>
            <w:bottom w:val="none" w:sz="0" w:space="0"/>
            <w:right w:val="none" w:sz="0" w:space="0"/>
          </w:pgBorders>
          <w:pgNumType w:fmt="decimal"/>
          <w:cols w:space="0" w:num="1"/>
          <w:rtlGutter w:val="0"/>
          <w:docGrid w:type="linesAndChars" w:linePitch="315" w:charSpace="0"/>
        </w:sectPr>
      </w:pPr>
    </w:p>
    <w:p>
      <w:pPr>
        <w:widowControl/>
        <w:jc w:val="left"/>
        <w:rPr>
          <w:rFonts w:hint="default" w:ascii="宋体" w:eastAsia="宋体"/>
          <w:b/>
          <w:bCs/>
          <w:sz w:val="28"/>
          <w:szCs w:val="28"/>
          <w:lang w:val="en-US" w:eastAsia="zh-CN"/>
        </w:rPr>
      </w:pPr>
      <w:r>
        <w:rPr>
          <w:rFonts w:hint="eastAsia" w:ascii="宋体" w:hAnsi="宋体" w:cs="宋体"/>
          <w:b/>
          <w:bCs/>
          <w:sz w:val="24"/>
          <w:szCs w:val="24"/>
        </w:rPr>
        <w:t>附件</w:t>
      </w:r>
      <w:r>
        <w:rPr>
          <w:rFonts w:hint="eastAsia" w:ascii="宋体" w:hAnsi="宋体" w:cs="宋体"/>
          <w:b/>
          <w:bCs/>
          <w:sz w:val="24"/>
          <w:szCs w:val="24"/>
          <w:lang w:val="en-US" w:eastAsia="zh-CN"/>
        </w:rPr>
        <w:t>4:</w:t>
      </w:r>
    </w:p>
    <w:p>
      <w:pPr>
        <w:widowControl/>
        <w:jc w:val="center"/>
        <w:rPr>
          <w:rFonts w:ascii="宋体"/>
          <w:b/>
          <w:bCs/>
          <w:spacing w:val="21"/>
          <w:kern w:val="0"/>
          <w:sz w:val="32"/>
          <w:szCs w:val="32"/>
        </w:rPr>
      </w:pPr>
      <w:r>
        <w:rPr>
          <w:rFonts w:hint="eastAsia" w:hAnsi="宋体" w:cs="宋体"/>
          <w:b/>
          <w:bCs/>
          <w:spacing w:val="21"/>
          <w:kern w:val="0"/>
          <w:sz w:val="32"/>
          <w:szCs w:val="32"/>
        </w:rPr>
        <w:t>残疾人福利性单位声明函</w:t>
      </w:r>
    </w:p>
    <w:p>
      <w:pPr>
        <w:spacing w:line="588" w:lineRule="exact"/>
        <w:ind w:firstLine="504" w:firstLineChars="200"/>
        <w:rPr>
          <w:rFonts w:ascii="宋体"/>
          <w:spacing w:val="6"/>
          <w:sz w:val="24"/>
          <w:szCs w:val="24"/>
        </w:rPr>
      </w:pPr>
      <w:r>
        <w:rPr>
          <w:rFonts w:hint="eastAsia" w:ascii="宋体" w:hAnsi="宋体" w:cs="宋体"/>
          <w:spacing w:val="6"/>
          <w:sz w:val="24"/>
          <w:szCs w:val="24"/>
        </w:rPr>
        <w:t>本单位郑重声明，根据《财政部</w:t>
      </w:r>
      <w:r>
        <w:rPr>
          <w:rFonts w:ascii="宋体" w:hAnsi="宋体" w:cs="宋体"/>
          <w:spacing w:val="6"/>
          <w:sz w:val="24"/>
          <w:szCs w:val="24"/>
        </w:rPr>
        <w:t xml:space="preserve"> </w:t>
      </w:r>
      <w:r>
        <w:rPr>
          <w:rFonts w:hint="eastAsia" w:ascii="宋体" w:hAnsi="宋体" w:cs="宋体"/>
          <w:spacing w:val="6"/>
          <w:sz w:val="24"/>
          <w:szCs w:val="24"/>
        </w:rPr>
        <w:t>民政部</w:t>
      </w:r>
      <w:r>
        <w:rPr>
          <w:rFonts w:ascii="宋体" w:hAnsi="宋体" w:cs="宋体"/>
          <w:spacing w:val="6"/>
          <w:sz w:val="24"/>
          <w:szCs w:val="24"/>
        </w:rPr>
        <w:t xml:space="preserve"> </w:t>
      </w:r>
      <w:r>
        <w:rPr>
          <w:rFonts w:hint="eastAsia" w:ascii="宋体" w:hAnsi="宋体" w:cs="宋体"/>
          <w:spacing w:val="6"/>
          <w:sz w:val="24"/>
          <w:szCs w:val="24"/>
        </w:rPr>
        <w:t>中国残疾人联合会关于促进残疾人就业政府采购政策的通知》（财库〔</w:t>
      </w:r>
      <w:r>
        <w:rPr>
          <w:rFonts w:ascii="宋体" w:hAnsi="宋体" w:cs="宋体"/>
          <w:spacing w:val="6"/>
          <w:sz w:val="24"/>
          <w:szCs w:val="24"/>
        </w:rPr>
        <w:t>2017</w:t>
      </w:r>
      <w:r>
        <w:rPr>
          <w:rFonts w:hint="eastAsia" w:ascii="宋体" w:hAnsi="宋体" w:cs="宋体"/>
          <w:spacing w:val="6"/>
          <w:sz w:val="24"/>
          <w:szCs w:val="24"/>
        </w:rPr>
        <w:t>〕</w:t>
      </w:r>
      <w:r>
        <w:rPr>
          <w:rFonts w:ascii="宋体" w:hAnsi="宋体" w:cs="宋体"/>
          <w:spacing w:val="6"/>
          <w:sz w:val="24"/>
          <w:szCs w:val="24"/>
        </w:rPr>
        <w:t xml:space="preserve"> 141</w:t>
      </w:r>
      <w:r>
        <w:rPr>
          <w:rFonts w:hint="eastAsia" w:ascii="宋体" w:hAnsi="宋体" w:cs="宋体"/>
          <w:spacing w:val="6"/>
          <w:sz w:val="24"/>
          <w:szCs w:val="24"/>
        </w:rPr>
        <w:t>号）的规定，本单位为符合条件的残疾人福利性单位，且本单位参加单位的项目采购活动提供本单位制造的货物（由本单位承担工程</w:t>
      </w:r>
      <w:r>
        <w:rPr>
          <w:rFonts w:ascii="宋体" w:hAnsi="宋体" w:cs="宋体"/>
          <w:spacing w:val="6"/>
          <w:sz w:val="24"/>
          <w:szCs w:val="24"/>
        </w:rPr>
        <w:t>/</w:t>
      </w:r>
      <w:r>
        <w:rPr>
          <w:rFonts w:hint="eastAsia" w:ascii="宋体" w:hAnsi="宋体" w:cs="宋体"/>
          <w:spacing w:val="6"/>
          <w:sz w:val="24"/>
          <w:szCs w:val="24"/>
        </w:rPr>
        <w:t>提供服务），或者提供其他残疾人福利性单位制造的货物（不包括使用非残疾人福利性单位注册商标的货物）。</w:t>
      </w:r>
    </w:p>
    <w:p>
      <w:pPr>
        <w:spacing w:line="588" w:lineRule="exact"/>
        <w:ind w:firstLine="504" w:firstLineChars="200"/>
        <w:rPr>
          <w:rFonts w:ascii="宋体"/>
          <w:spacing w:val="6"/>
          <w:sz w:val="24"/>
          <w:szCs w:val="24"/>
        </w:rPr>
      </w:pPr>
      <w:r>
        <w:rPr>
          <w:rFonts w:hint="eastAsia" w:ascii="宋体" w:hAnsi="宋体" w:cs="宋体"/>
          <w:spacing w:val="6"/>
          <w:sz w:val="24"/>
          <w:szCs w:val="24"/>
        </w:rPr>
        <w:t>本单位对上述声明的真实性负责。如有虚假，将依法承担相应责任。</w:t>
      </w:r>
    </w:p>
    <w:p>
      <w:pPr>
        <w:tabs>
          <w:tab w:val="left" w:pos="4860"/>
        </w:tabs>
        <w:spacing w:line="588" w:lineRule="exact"/>
        <w:ind w:right="1560" w:firstLine="504" w:firstLineChars="200"/>
        <w:jc w:val="center"/>
        <w:rPr>
          <w:rFonts w:ascii="宋体"/>
          <w:spacing w:val="6"/>
          <w:sz w:val="24"/>
          <w:szCs w:val="24"/>
        </w:rPr>
      </w:pPr>
    </w:p>
    <w:p>
      <w:pPr>
        <w:tabs>
          <w:tab w:val="left" w:pos="4860"/>
        </w:tabs>
        <w:spacing w:line="588" w:lineRule="exact"/>
        <w:ind w:right="1560" w:firstLine="504" w:firstLineChars="200"/>
        <w:jc w:val="center"/>
        <w:rPr>
          <w:rFonts w:ascii="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单位名称（盖章）：</w:t>
      </w:r>
    </w:p>
    <w:p>
      <w:pPr>
        <w:tabs>
          <w:tab w:val="left" w:pos="4860"/>
        </w:tabs>
        <w:spacing w:line="588" w:lineRule="exact"/>
        <w:ind w:right="1560" w:firstLine="504" w:firstLineChars="200"/>
        <w:jc w:val="center"/>
        <w:rPr>
          <w:rFonts w:ascii="宋体"/>
          <w:sz w:val="24"/>
          <w:szCs w:val="24"/>
        </w:rPr>
      </w:pPr>
      <w:r>
        <w:rPr>
          <w:rFonts w:ascii="宋体" w:hAnsi="宋体" w:cs="宋体"/>
          <w:spacing w:val="6"/>
          <w:sz w:val="24"/>
          <w:szCs w:val="24"/>
        </w:rPr>
        <w:t xml:space="preserve">       </w:t>
      </w:r>
      <w:r>
        <w:rPr>
          <w:rFonts w:hint="eastAsia" w:ascii="宋体" w:hAnsi="宋体" w:cs="宋体"/>
          <w:spacing w:val="6"/>
          <w:sz w:val="24"/>
          <w:szCs w:val="24"/>
        </w:rPr>
        <w:t>日</w:t>
      </w:r>
      <w:r>
        <w:rPr>
          <w:rFonts w:ascii="宋体" w:hAnsi="宋体" w:cs="宋体"/>
          <w:spacing w:val="6"/>
          <w:sz w:val="24"/>
          <w:szCs w:val="24"/>
        </w:rPr>
        <w:t xml:space="preserve">  </w:t>
      </w:r>
      <w:r>
        <w:rPr>
          <w:rFonts w:hint="eastAsia" w:ascii="宋体" w:hAnsi="宋体" w:cs="宋体"/>
          <w:spacing w:val="6"/>
          <w:sz w:val="24"/>
          <w:szCs w:val="24"/>
        </w:rPr>
        <w:t>期：</w:t>
      </w:r>
    </w:p>
    <w:p>
      <w:pPr>
        <w:rPr>
          <w:rFonts w:ascii="仿宋_GB2312" w:hAnsi="宋体" w:eastAsia="仿宋_GB2312"/>
          <w:b/>
          <w:bCs/>
          <w:sz w:val="30"/>
          <w:szCs w:val="30"/>
        </w:rPr>
      </w:pPr>
      <w:r>
        <w:rPr>
          <w:rFonts w:ascii="仿宋_GB2312" w:hAnsi="宋体" w:eastAsia="仿宋_GB2312"/>
          <w:b/>
          <w:bCs/>
          <w:sz w:val="30"/>
          <w:szCs w:val="30"/>
        </w:rPr>
        <w:br w:type="page"/>
      </w:r>
    </w:p>
    <w:p>
      <w:pPr>
        <w:pStyle w:val="33"/>
      </w:pPr>
    </w:p>
    <w:p>
      <w:pPr>
        <w:snapToGrid w:val="0"/>
        <w:spacing w:beforeLines="50" w:after="50" w:line="360" w:lineRule="auto"/>
        <w:jc w:val="right"/>
        <w:rPr>
          <w:rFonts w:ascii="仿宋_GB2312" w:hAnsi="宋体" w:eastAsia="仿宋_GB2312"/>
          <w:sz w:val="30"/>
          <w:szCs w:val="30"/>
        </w:rPr>
      </w:pPr>
    </w:p>
    <w:p>
      <w:pPr>
        <w:bidi w:val="0"/>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lang w:eastAsia="zh-CN"/>
        </w:rPr>
        <w:t>温岭市住房和城乡建设局2022年-2025年绿化及道路养护采购（重新发布）</w:t>
      </w:r>
    </w:p>
    <w:p>
      <w:pPr>
        <w:spacing w:beforeLines="100" w:line="360" w:lineRule="auto"/>
        <w:ind w:right="-108"/>
        <w:jc w:val="center"/>
        <w:rPr>
          <w:rFonts w:ascii="宋体"/>
          <w:sz w:val="32"/>
          <w:szCs w:val="32"/>
        </w:rPr>
      </w:pPr>
      <w:r>
        <w:rPr>
          <w:rFonts w:hint="eastAsia" w:ascii="宋体" w:hAnsi="宋体" w:cs="宋体"/>
          <w:b/>
          <w:bCs/>
          <w:sz w:val="32"/>
          <w:szCs w:val="32"/>
        </w:rPr>
        <w:t>项目编号：</w:t>
      </w:r>
      <w:r>
        <w:rPr>
          <w:rFonts w:hint="eastAsia" w:ascii="宋体" w:hAnsi="宋体" w:cs="宋体"/>
          <w:b/>
          <w:bCs/>
          <w:sz w:val="32"/>
          <w:szCs w:val="32"/>
          <w:lang w:eastAsia="zh-CN"/>
        </w:rPr>
        <w:t>JJWL220509129-1</w:t>
      </w:r>
    </w:p>
    <w:p>
      <w:pPr>
        <w:autoSpaceDE w:val="0"/>
        <w:autoSpaceDN w:val="0"/>
        <w:adjustRightInd w:val="0"/>
        <w:spacing w:line="360" w:lineRule="auto"/>
        <w:jc w:val="center"/>
        <w:rPr>
          <w:rFonts w:hint="eastAsia" w:ascii="宋体" w:hAnsi="宋体" w:cs="宋体"/>
          <w:b/>
          <w:bCs/>
          <w:sz w:val="84"/>
          <w:szCs w:val="84"/>
          <w:lang w:val="zh-CN"/>
        </w:rPr>
      </w:pPr>
      <w:r>
        <w:rPr>
          <w:rFonts w:hint="eastAsia" w:ascii="宋体" w:hAnsi="宋体" w:cs="宋体"/>
          <w:b/>
          <w:bCs/>
          <w:sz w:val="84"/>
          <w:szCs w:val="84"/>
          <w:lang w:val="zh-CN"/>
        </w:rPr>
        <w:t>商</w:t>
      </w:r>
    </w:p>
    <w:p>
      <w:pPr>
        <w:autoSpaceDE w:val="0"/>
        <w:autoSpaceDN w:val="0"/>
        <w:adjustRightInd w:val="0"/>
        <w:spacing w:line="360" w:lineRule="auto"/>
        <w:jc w:val="center"/>
        <w:rPr>
          <w:rFonts w:hint="eastAsia" w:ascii="宋体" w:hAnsi="宋体" w:cs="宋体"/>
          <w:b/>
          <w:bCs/>
          <w:sz w:val="84"/>
          <w:szCs w:val="84"/>
          <w:lang w:val="zh-CN"/>
        </w:rPr>
      </w:pPr>
      <w:r>
        <w:rPr>
          <w:rFonts w:hint="eastAsia" w:ascii="宋体" w:hAnsi="宋体" w:cs="宋体"/>
          <w:b/>
          <w:bCs/>
          <w:sz w:val="84"/>
          <w:szCs w:val="84"/>
          <w:lang w:val="zh-CN"/>
        </w:rPr>
        <w:t>务</w:t>
      </w:r>
    </w:p>
    <w:p>
      <w:pPr>
        <w:autoSpaceDE w:val="0"/>
        <w:autoSpaceDN w:val="0"/>
        <w:adjustRightInd w:val="0"/>
        <w:spacing w:line="360" w:lineRule="auto"/>
        <w:jc w:val="center"/>
        <w:rPr>
          <w:rFonts w:hint="eastAsia" w:ascii="宋体" w:hAnsi="宋体" w:cs="宋体"/>
          <w:b/>
          <w:bCs/>
          <w:sz w:val="84"/>
          <w:szCs w:val="84"/>
          <w:lang w:val="zh-CN"/>
        </w:rPr>
      </w:pPr>
      <w:r>
        <w:rPr>
          <w:rFonts w:hint="eastAsia" w:ascii="宋体" w:hAnsi="宋体" w:cs="宋体"/>
          <w:b/>
          <w:bCs/>
          <w:sz w:val="84"/>
          <w:szCs w:val="84"/>
          <w:lang w:val="zh-CN"/>
        </w:rPr>
        <w:t>技</w:t>
      </w:r>
    </w:p>
    <w:p>
      <w:pPr>
        <w:autoSpaceDE w:val="0"/>
        <w:autoSpaceDN w:val="0"/>
        <w:adjustRightInd w:val="0"/>
        <w:spacing w:line="360" w:lineRule="auto"/>
        <w:jc w:val="center"/>
        <w:rPr>
          <w:rFonts w:ascii="宋体"/>
          <w:b/>
          <w:bCs/>
          <w:sz w:val="84"/>
          <w:szCs w:val="84"/>
          <w:lang w:val="zh-CN"/>
        </w:rPr>
      </w:pPr>
      <w:r>
        <w:rPr>
          <w:rFonts w:hint="eastAsia" w:ascii="宋体" w:hAnsi="宋体" w:cs="宋体"/>
          <w:b/>
          <w:bCs/>
          <w:sz w:val="84"/>
          <w:szCs w:val="84"/>
          <w:lang w:val="zh-CN"/>
        </w:rPr>
        <w:t>术</w:t>
      </w:r>
    </w:p>
    <w:p>
      <w:pPr>
        <w:autoSpaceDE w:val="0"/>
        <w:autoSpaceDN w:val="0"/>
        <w:adjustRightInd w:val="0"/>
        <w:spacing w:line="360" w:lineRule="auto"/>
        <w:jc w:val="center"/>
        <w:rPr>
          <w:rFonts w:ascii="宋体"/>
          <w:b/>
          <w:bCs/>
          <w:sz w:val="84"/>
          <w:szCs w:val="84"/>
        </w:rPr>
      </w:pPr>
      <w:r>
        <w:rPr>
          <w:rFonts w:hint="eastAsia" w:ascii="宋体" w:hAnsi="宋体" w:cs="宋体"/>
          <w:b/>
          <w:bCs/>
          <w:sz w:val="84"/>
          <w:szCs w:val="84"/>
          <w:lang w:val="zh-CN"/>
        </w:rPr>
        <w:t>文</w:t>
      </w:r>
    </w:p>
    <w:p>
      <w:pPr>
        <w:spacing w:after="100" w:afterAutospacing="1" w:line="360" w:lineRule="auto"/>
        <w:ind w:right="-108"/>
        <w:jc w:val="center"/>
        <w:rPr>
          <w:rFonts w:hint="eastAsia" w:ascii="宋体" w:hAnsi="宋体" w:cs="宋体"/>
          <w:sz w:val="32"/>
          <w:szCs w:val="32"/>
        </w:rPr>
      </w:pPr>
      <w:r>
        <w:rPr>
          <w:rFonts w:hint="eastAsia" w:ascii="宋体" w:hAnsi="宋体" w:cs="宋体"/>
          <w:b/>
          <w:bCs/>
          <w:sz w:val="84"/>
          <w:szCs w:val="84"/>
          <w:lang w:val="zh-CN"/>
        </w:rPr>
        <w:t>件</w:t>
      </w:r>
    </w:p>
    <w:p>
      <w:pPr>
        <w:spacing w:line="360" w:lineRule="auto"/>
        <w:ind w:right="532" w:firstLine="640" w:firstLineChars="200"/>
        <w:rPr>
          <w:rFonts w:ascii="宋体"/>
          <w:sz w:val="28"/>
          <w:szCs w:val="28"/>
        </w:rPr>
      </w:pPr>
      <w:r>
        <w:rPr>
          <w:rFonts w:hint="eastAsia" w:ascii="宋体" w:hAnsi="宋体" w:cs="宋体"/>
          <w:sz w:val="32"/>
          <w:szCs w:val="32"/>
        </w:rPr>
        <w:t>投标人全称</w:t>
      </w:r>
      <w:r>
        <w:rPr>
          <w:rFonts w:hint="eastAsia" w:ascii="宋体" w:hAnsi="宋体" w:cs="宋体"/>
          <w:sz w:val="32"/>
          <w:szCs w:val="32"/>
          <w:lang w:eastAsia="zh-CN"/>
        </w:rPr>
        <w:t>（</w:t>
      </w:r>
      <w:r>
        <w:rPr>
          <w:rFonts w:hint="eastAsia" w:ascii="宋体" w:hAnsi="宋体" w:cs="宋体"/>
          <w:sz w:val="32"/>
          <w:szCs w:val="32"/>
        </w:rPr>
        <w:t>单位公章</w:t>
      </w:r>
      <w:r>
        <w:rPr>
          <w:rFonts w:hint="eastAsia" w:ascii="宋体" w:hAnsi="宋体" w:cs="宋体"/>
          <w:sz w:val="32"/>
          <w:szCs w:val="32"/>
          <w:lang w:eastAsia="zh-CN"/>
        </w:rPr>
        <w:t>）</w:t>
      </w:r>
      <w:r>
        <w:rPr>
          <w:rFonts w:hint="eastAsia" w:ascii="宋体" w:hAnsi="宋体" w:cs="宋体"/>
          <w:sz w:val="28"/>
          <w:szCs w:val="28"/>
        </w:rPr>
        <w:t>：</w:t>
      </w:r>
    </w:p>
    <w:p>
      <w:pPr>
        <w:spacing w:line="360" w:lineRule="auto"/>
        <w:ind w:right="532" w:firstLine="640" w:firstLineChars="200"/>
        <w:rPr>
          <w:rFonts w:ascii="宋体"/>
          <w:sz w:val="32"/>
          <w:szCs w:val="32"/>
        </w:rPr>
      </w:pPr>
      <w:r>
        <w:rPr>
          <w:rFonts w:hint="eastAsia" w:ascii="宋体" w:hAnsi="宋体" w:cs="宋体"/>
          <w:sz w:val="32"/>
          <w:szCs w:val="32"/>
        </w:rPr>
        <w:t>地</w:t>
      </w:r>
      <w:r>
        <w:rPr>
          <w:rFonts w:ascii="宋体" w:hAnsi="宋体" w:cs="宋体"/>
          <w:sz w:val="32"/>
          <w:szCs w:val="32"/>
        </w:rPr>
        <w:t xml:space="preserve">    </w:t>
      </w:r>
      <w:r>
        <w:rPr>
          <w:rFonts w:hint="eastAsia" w:ascii="宋体" w:hAnsi="宋体" w:cs="宋体"/>
          <w:sz w:val="32"/>
          <w:szCs w:val="32"/>
        </w:rPr>
        <w:t>址：</w:t>
      </w:r>
    </w:p>
    <w:p>
      <w:pPr>
        <w:spacing w:line="360" w:lineRule="auto"/>
        <w:ind w:right="532" w:firstLine="640" w:firstLineChars="200"/>
        <w:rPr>
          <w:rFonts w:ascii="宋体"/>
          <w:sz w:val="32"/>
          <w:szCs w:val="32"/>
        </w:rPr>
      </w:pPr>
      <w:r>
        <w:rPr>
          <w:rFonts w:hint="eastAsia" w:ascii="宋体" w:hAnsi="宋体" w:cs="宋体"/>
          <w:sz w:val="32"/>
          <w:szCs w:val="32"/>
        </w:rPr>
        <w:t>时</w:t>
      </w:r>
      <w:r>
        <w:rPr>
          <w:rFonts w:ascii="宋体" w:hAnsi="宋体" w:cs="宋体"/>
          <w:sz w:val="32"/>
          <w:szCs w:val="32"/>
        </w:rPr>
        <w:t xml:space="preserve">    </w:t>
      </w:r>
      <w:r>
        <w:rPr>
          <w:rFonts w:hint="eastAsia" w:ascii="宋体" w:hAnsi="宋体" w:cs="宋体"/>
          <w:sz w:val="32"/>
          <w:szCs w:val="32"/>
        </w:rPr>
        <w:t>间：</w:t>
      </w:r>
    </w:p>
    <w:p>
      <w:pPr>
        <w:snapToGrid w:val="0"/>
        <w:spacing w:before="50" w:after="50" w:line="360" w:lineRule="auto"/>
        <w:rPr>
          <w:rFonts w:ascii="仿宋_GB2312" w:hAnsi="宋体" w:eastAsia="仿宋_GB2312"/>
          <w:b/>
          <w:bCs/>
          <w:sz w:val="36"/>
          <w:szCs w:val="36"/>
        </w:rPr>
      </w:pPr>
    </w:p>
    <w:p>
      <w:pPr>
        <w:snapToGrid w:val="0"/>
        <w:spacing w:before="50" w:after="50" w:line="360" w:lineRule="auto"/>
        <w:jc w:val="center"/>
        <w:rPr>
          <w:rFonts w:hint="eastAsia" w:ascii="宋体" w:hAnsi="宋体" w:cs="宋体"/>
          <w:b/>
          <w:bCs/>
          <w:sz w:val="32"/>
          <w:szCs w:val="32"/>
          <w:lang w:val="zh-CN"/>
        </w:rPr>
      </w:pPr>
    </w:p>
    <w:p>
      <w:pPr>
        <w:snapToGrid w:val="0"/>
        <w:spacing w:before="50" w:after="50" w:line="360" w:lineRule="auto"/>
        <w:jc w:val="center"/>
        <w:rPr>
          <w:rFonts w:hint="eastAsia" w:ascii="宋体" w:hAnsi="宋体" w:eastAsia="宋体" w:cs="宋体"/>
          <w:b/>
          <w:bCs/>
          <w:sz w:val="32"/>
          <w:szCs w:val="32"/>
          <w:lang w:eastAsia="zh-CN"/>
        </w:rPr>
      </w:pPr>
      <w:r>
        <w:rPr>
          <w:rFonts w:hint="eastAsia" w:ascii="宋体" w:hAnsi="宋体" w:cs="宋体"/>
          <w:b/>
          <w:bCs/>
          <w:sz w:val="32"/>
          <w:szCs w:val="32"/>
          <w:lang w:val="zh-CN"/>
        </w:rPr>
        <w:t>商务技术文件</w:t>
      </w:r>
      <w:r>
        <w:rPr>
          <w:rFonts w:hint="eastAsia" w:ascii="宋体" w:hAnsi="宋体" w:cs="宋体"/>
          <w:b/>
          <w:bCs/>
          <w:sz w:val="32"/>
          <w:szCs w:val="32"/>
        </w:rPr>
        <w:t>目录</w:t>
      </w:r>
      <w:r>
        <w:rPr>
          <w:rFonts w:hint="eastAsia" w:ascii="宋体" w:hAnsi="宋体" w:cs="宋体"/>
          <w:b/>
          <w:bCs/>
          <w:sz w:val="32"/>
          <w:szCs w:val="32"/>
          <w:lang w:eastAsia="zh-CN"/>
        </w:rPr>
        <w:t>（仅供参考）</w:t>
      </w:r>
    </w:p>
    <w:p>
      <w:pPr>
        <w:pStyle w:val="13"/>
      </w:pPr>
    </w:p>
    <w:p>
      <w:pPr>
        <w:numPr>
          <w:ilvl w:val="0"/>
          <w:numId w:val="8"/>
        </w:numPr>
        <w:snapToGrid w:val="0"/>
        <w:spacing w:line="360" w:lineRule="auto"/>
        <w:ind w:firstLine="560" w:firstLineChars="200"/>
        <w:rPr>
          <w:rFonts w:cs="宋体"/>
          <w:sz w:val="28"/>
          <w:szCs w:val="28"/>
        </w:rPr>
      </w:pPr>
      <w:r>
        <w:rPr>
          <w:rFonts w:hint="eastAsia" w:cs="宋体"/>
          <w:sz w:val="28"/>
          <w:szCs w:val="28"/>
        </w:rPr>
        <w:t>供应商自评表………………………………………………页码；</w:t>
      </w:r>
    </w:p>
    <w:p>
      <w:pPr>
        <w:numPr>
          <w:ilvl w:val="0"/>
          <w:numId w:val="8"/>
        </w:numPr>
        <w:snapToGrid w:val="0"/>
        <w:spacing w:line="360" w:lineRule="auto"/>
        <w:ind w:left="631" w:leftChars="265" w:hanging="75" w:hangingChars="27"/>
        <w:rPr>
          <w:rFonts w:cs="宋体"/>
          <w:sz w:val="28"/>
          <w:szCs w:val="28"/>
        </w:rPr>
      </w:pPr>
      <w:r>
        <w:rPr>
          <w:rFonts w:hint="eastAsia" w:cs="宋体"/>
          <w:sz w:val="28"/>
          <w:szCs w:val="28"/>
        </w:rPr>
        <w:t>投标人基本情况表…………………………………………页码；</w:t>
      </w:r>
    </w:p>
    <w:p>
      <w:pPr>
        <w:numPr>
          <w:ilvl w:val="0"/>
          <w:numId w:val="8"/>
        </w:numPr>
        <w:snapToGrid w:val="0"/>
        <w:spacing w:line="360" w:lineRule="auto"/>
        <w:ind w:firstLine="560" w:firstLineChars="200"/>
        <w:rPr>
          <w:rFonts w:hint="eastAsia" w:cs="宋体"/>
          <w:sz w:val="28"/>
          <w:szCs w:val="28"/>
        </w:rPr>
      </w:pPr>
      <w:r>
        <w:rPr>
          <w:rFonts w:hint="eastAsia" w:cs="宋体"/>
          <w:sz w:val="28"/>
          <w:szCs w:val="28"/>
        </w:rPr>
        <w:t>证书一览表…………………………………………………页码；</w:t>
      </w:r>
    </w:p>
    <w:p>
      <w:pPr>
        <w:numPr>
          <w:ilvl w:val="0"/>
          <w:numId w:val="8"/>
        </w:numPr>
        <w:snapToGrid w:val="0"/>
        <w:spacing w:line="360" w:lineRule="auto"/>
        <w:ind w:firstLine="560" w:firstLineChars="200"/>
        <w:rPr>
          <w:rFonts w:hint="eastAsia" w:cs="宋体"/>
          <w:sz w:val="28"/>
          <w:szCs w:val="28"/>
          <w:lang w:val="en-US" w:eastAsia="zh-CN"/>
        </w:rPr>
      </w:pPr>
      <w:r>
        <w:rPr>
          <w:rFonts w:hint="eastAsia" w:cs="宋体"/>
          <w:sz w:val="28"/>
          <w:szCs w:val="28"/>
          <w:lang w:val="en-US" w:eastAsia="zh-CN"/>
        </w:rPr>
        <w:t>项目负责人资格情况表</w:t>
      </w:r>
      <w:r>
        <w:rPr>
          <w:rFonts w:hint="eastAsia" w:cs="宋体"/>
          <w:sz w:val="28"/>
          <w:szCs w:val="28"/>
        </w:rPr>
        <w:t>……………………………………页码；</w:t>
      </w:r>
    </w:p>
    <w:p>
      <w:pPr>
        <w:numPr>
          <w:ilvl w:val="0"/>
          <w:numId w:val="8"/>
        </w:numPr>
        <w:snapToGrid w:val="0"/>
        <w:spacing w:line="360" w:lineRule="auto"/>
        <w:ind w:firstLine="560" w:firstLineChars="200"/>
        <w:rPr>
          <w:rFonts w:hint="eastAsia" w:cs="宋体"/>
          <w:sz w:val="28"/>
          <w:szCs w:val="28"/>
        </w:rPr>
      </w:pPr>
      <w:r>
        <w:rPr>
          <w:rFonts w:hint="eastAsia" w:cs="宋体"/>
          <w:sz w:val="28"/>
          <w:szCs w:val="28"/>
        </w:rPr>
        <w:t>拟投入</w:t>
      </w:r>
      <w:r>
        <w:rPr>
          <w:rFonts w:hint="eastAsia" w:cs="宋体"/>
          <w:sz w:val="28"/>
          <w:szCs w:val="28"/>
          <w:lang w:val="en-US" w:eastAsia="zh-CN"/>
        </w:rPr>
        <w:t>主要人员配备</w:t>
      </w:r>
      <w:r>
        <w:rPr>
          <w:rFonts w:hint="eastAsia" w:cs="宋体"/>
          <w:sz w:val="28"/>
          <w:szCs w:val="28"/>
        </w:rPr>
        <w:t>表……………………………………页码；</w:t>
      </w:r>
    </w:p>
    <w:p>
      <w:pPr>
        <w:numPr>
          <w:ilvl w:val="0"/>
          <w:numId w:val="8"/>
        </w:numPr>
        <w:snapToGrid w:val="0"/>
        <w:spacing w:line="360" w:lineRule="auto"/>
        <w:ind w:firstLine="560" w:firstLineChars="200"/>
        <w:rPr>
          <w:rFonts w:hint="eastAsia" w:cs="宋体"/>
          <w:sz w:val="28"/>
          <w:szCs w:val="28"/>
        </w:rPr>
      </w:pPr>
      <w:r>
        <w:rPr>
          <w:rFonts w:hint="eastAsia" w:cs="宋体"/>
          <w:sz w:val="28"/>
          <w:szCs w:val="28"/>
          <w:lang w:val="en-US" w:eastAsia="zh-CN"/>
        </w:rPr>
        <w:t>拟投入机械设施、工具及各类型车辆设备一览表</w:t>
      </w:r>
      <w:r>
        <w:rPr>
          <w:rFonts w:hint="eastAsia" w:cs="宋体"/>
          <w:sz w:val="28"/>
          <w:szCs w:val="28"/>
        </w:rPr>
        <w:t>………页码；</w:t>
      </w:r>
    </w:p>
    <w:p>
      <w:pPr>
        <w:numPr>
          <w:ilvl w:val="0"/>
          <w:numId w:val="8"/>
        </w:numPr>
        <w:snapToGrid w:val="0"/>
        <w:spacing w:line="360" w:lineRule="auto"/>
        <w:ind w:firstLine="560" w:firstLineChars="200"/>
        <w:rPr>
          <w:rFonts w:hint="eastAsia" w:cs="宋体"/>
          <w:sz w:val="28"/>
          <w:szCs w:val="28"/>
        </w:rPr>
      </w:pPr>
      <w:r>
        <w:rPr>
          <w:rFonts w:hint="eastAsia" w:cs="宋体"/>
          <w:sz w:val="28"/>
          <w:szCs w:val="28"/>
        </w:rPr>
        <w:t>类似业绩一览表……………………………………………页码；</w:t>
      </w:r>
    </w:p>
    <w:p>
      <w:pPr>
        <w:numPr>
          <w:ilvl w:val="0"/>
          <w:numId w:val="0"/>
        </w:numPr>
        <w:snapToGrid w:val="0"/>
        <w:spacing w:line="360" w:lineRule="auto"/>
        <w:ind w:firstLine="560" w:firstLineChars="200"/>
        <w:rPr>
          <w:rFonts w:hint="eastAsia" w:cs="宋体"/>
          <w:sz w:val="28"/>
          <w:szCs w:val="28"/>
        </w:rPr>
      </w:pPr>
      <w:r>
        <w:rPr>
          <w:rFonts w:hint="eastAsia" w:cs="宋体"/>
          <w:sz w:val="28"/>
          <w:szCs w:val="28"/>
          <w:lang w:val="en-US" w:eastAsia="zh-CN"/>
        </w:rPr>
        <w:t>8、</w:t>
      </w:r>
      <w:r>
        <w:rPr>
          <w:rFonts w:hint="eastAsia" w:cs="宋体"/>
          <w:sz w:val="28"/>
          <w:szCs w:val="28"/>
        </w:rPr>
        <w:t>技术、商务</w:t>
      </w:r>
      <w:r>
        <w:rPr>
          <w:rFonts w:hint="eastAsia" w:cs="宋体"/>
          <w:sz w:val="28"/>
          <w:szCs w:val="28"/>
          <w:lang w:val="en-US" w:eastAsia="zh-CN"/>
        </w:rPr>
        <w:t>偏离</w:t>
      </w:r>
      <w:r>
        <w:rPr>
          <w:rFonts w:hint="eastAsia" w:cs="宋体"/>
          <w:sz w:val="28"/>
          <w:szCs w:val="28"/>
        </w:rPr>
        <w:t>表…………………………………………页码；</w:t>
      </w:r>
    </w:p>
    <w:p>
      <w:pPr>
        <w:numPr>
          <w:ilvl w:val="0"/>
          <w:numId w:val="0"/>
        </w:numPr>
        <w:snapToGrid w:val="0"/>
        <w:spacing w:line="360" w:lineRule="auto"/>
        <w:ind w:firstLine="560" w:firstLineChars="200"/>
        <w:rPr>
          <w:rFonts w:hint="eastAsia" w:cs="宋体"/>
          <w:sz w:val="28"/>
          <w:szCs w:val="28"/>
        </w:rPr>
      </w:pPr>
      <w:r>
        <w:rPr>
          <w:rFonts w:hint="eastAsia" w:cs="宋体"/>
          <w:sz w:val="28"/>
          <w:szCs w:val="28"/>
          <w:lang w:val="en-US" w:eastAsia="zh-CN"/>
        </w:rPr>
        <w:t>9、</w:t>
      </w:r>
      <w:r>
        <w:rPr>
          <w:rFonts w:hint="eastAsia" w:cs="宋体"/>
          <w:sz w:val="28"/>
          <w:szCs w:val="28"/>
        </w:rPr>
        <w:t>投标人认为需要提供的其他内容…………………………页码。</w:t>
      </w:r>
    </w:p>
    <w:p>
      <w:pPr>
        <w:pStyle w:val="50"/>
        <w:shd w:val="clear" w:color="auto"/>
        <w:spacing w:before="0" w:beforeAutospacing="0" w:after="0" w:afterAutospacing="0" w:line="360" w:lineRule="auto"/>
        <w:rPr>
          <w:rFonts w:cs="Times New Roman"/>
          <w:b/>
          <w:bCs/>
          <w:color w:val="auto"/>
          <w:sz w:val="28"/>
          <w:szCs w:val="28"/>
          <w:highlight w:val="none"/>
        </w:rPr>
      </w:pPr>
    </w:p>
    <w:p>
      <w:pPr>
        <w:rPr>
          <w:rFonts w:hint="eastAsia" w:ascii="宋体" w:hAnsi="宋体" w:cs="宋体"/>
          <w:b/>
          <w:bCs/>
          <w:color w:val="auto"/>
          <w:sz w:val="24"/>
          <w:lang w:bidi="ar"/>
        </w:rPr>
      </w:pPr>
      <w:r>
        <w:rPr>
          <w:b/>
          <w:bCs/>
          <w:sz w:val="28"/>
          <w:szCs w:val="28"/>
        </w:rPr>
        <w:br w:type="page"/>
      </w:r>
      <w:r>
        <w:rPr>
          <w:rFonts w:hint="eastAsia" w:ascii="宋体" w:hAnsi="宋体" w:cs="宋体"/>
          <w:b/>
          <w:bCs/>
          <w:color w:val="auto"/>
          <w:sz w:val="24"/>
          <w:lang w:bidi="ar"/>
        </w:rPr>
        <w:t>附件</w:t>
      </w:r>
      <w:r>
        <w:rPr>
          <w:rFonts w:hint="eastAsia" w:ascii="宋体" w:hAnsi="宋体" w:cs="宋体"/>
          <w:b/>
          <w:bCs/>
          <w:color w:val="auto"/>
          <w:sz w:val="24"/>
          <w:lang w:val="en-US" w:eastAsia="zh-CN" w:bidi="ar"/>
        </w:rPr>
        <w:t>1</w:t>
      </w:r>
      <w:r>
        <w:rPr>
          <w:rFonts w:hint="eastAsia" w:ascii="宋体" w:hAnsi="宋体" w:cs="宋体"/>
          <w:b/>
          <w:bCs/>
          <w:color w:val="auto"/>
          <w:sz w:val="24"/>
          <w:lang w:bidi="ar"/>
        </w:rPr>
        <w:t>：</w:t>
      </w:r>
    </w:p>
    <w:p>
      <w:pPr>
        <w:pStyle w:val="17"/>
        <w:spacing w:before="120" w:after="120" w:line="480" w:lineRule="auto"/>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供应商自评表</w:t>
      </w:r>
    </w:p>
    <w:tbl>
      <w:tblPr>
        <w:tblStyle w:val="28"/>
        <w:tblW w:w="965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118"/>
        <w:gridCol w:w="5530"/>
        <w:gridCol w:w="1177"/>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trPr>
        <w:tc>
          <w:tcPr>
            <w:tcW w:w="752" w:type="dxa"/>
            <w:vAlign w:val="center"/>
          </w:tcPr>
          <w:p>
            <w:pPr>
              <w:pStyle w:val="17"/>
              <w:spacing w:before="120" w:after="120" w:line="480" w:lineRule="auto"/>
              <w:jc w:val="center"/>
              <w:rPr>
                <w:rFonts w:hAnsi="宋体" w:cs="宋体"/>
                <w:b/>
                <w:color w:val="auto"/>
                <w:sz w:val="21"/>
                <w:szCs w:val="21"/>
                <w:lang w:bidi="ar"/>
              </w:rPr>
            </w:pPr>
            <w:r>
              <w:rPr>
                <w:rFonts w:hAnsi="宋体" w:cs="宋体"/>
                <w:b/>
                <w:color w:val="auto"/>
                <w:sz w:val="21"/>
                <w:szCs w:val="21"/>
                <w:lang w:bidi="ar"/>
              </w:rPr>
              <w:t>序号</w:t>
            </w:r>
          </w:p>
        </w:tc>
        <w:tc>
          <w:tcPr>
            <w:tcW w:w="6648" w:type="dxa"/>
            <w:gridSpan w:val="2"/>
            <w:vAlign w:val="center"/>
          </w:tcPr>
          <w:p>
            <w:pPr>
              <w:pStyle w:val="17"/>
              <w:spacing w:before="120" w:after="120" w:line="480" w:lineRule="auto"/>
              <w:jc w:val="center"/>
              <w:rPr>
                <w:rFonts w:hAnsi="宋体" w:cs="宋体"/>
                <w:b/>
                <w:color w:val="auto"/>
                <w:sz w:val="21"/>
                <w:szCs w:val="21"/>
                <w:lang w:bidi="ar"/>
              </w:rPr>
            </w:pPr>
            <w:r>
              <w:rPr>
                <w:rFonts w:hAnsi="宋体" w:cs="宋体"/>
                <w:b/>
                <w:color w:val="auto"/>
                <w:sz w:val="21"/>
                <w:szCs w:val="21"/>
                <w:lang w:bidi="ar"/>
              </w:rPr>
              <w:t>评分内容</w:t>
            </w:r>
          </w:p>
        </w:tc>
        <w:tc>
          <w:tcPr>
            <w:tcW w:w="1177" w:type="dxa"/>
            <w:vAlign w:val="center"/>
          </w:tcPr>
          <w:p>
            <w:pPr>
              <w:pStyle w:val="17"/>
              <w:spacing w:before="120" w:after="120"/>
              <w:jc w:val="center"/>
              <w:rPr>
                <w:rFonts w:hAnsi="宋体" w:cs="宋体"/>
                <w:b/>
                <w:color w:val="auto"/>
                <w:sz w:val="21"/>
                <w:szCs w:val="21"/>
                <w:lang w:bidi="ar"/>
              </w:rPr>
            </w:pPr>
            <w:r>
              <w:rPr>
                <w:rFonts w:hAnsi="宋体" w:cs="宋体"/>
                <w:b/>
                <w:color w:val="auto"/>
                <w:sz w:val="21"/>
                <w:szCs w:val="21"/>
                <w:lang w:bidi="ar"/>
              </w:rPr>
              <w:t>自评分值</w:t>
            </w:r>
          </w:p>
        </w:tc>
        <w:tc>
          <w:tcPr>
            <w:tcW w:w="1081" w:type="dxa"/>
            <w:vAlign w:val="center"/>
          </w:tcPr>
          <w:p>
            <w:pPr>
              <w:pStyle w:val="17"/>
              <w:spacing w:before="120" w:after="120"/>
              <w:jc w:val="center"/>
              <w:rPr>
                <w:rFonts w:hAnsi="宋体" w:cs="宋体"/>
                <w:b/>
                <w:color w:val="auto"/>
                <w:sz w:val="21"/>
                <w:szCs w:val="21"/>
                <w:lang w:bidi="ar"/>
              </w:rPr>
            </w:pPr>
            <w:r>
              <w:rPr>
                <w:rFonts w:hAnsi="宋体" w:cs="宋体"/>
                <w:b/>
                <w:color w:val="auto"/>
                <w:sz w:val="21"/>
                <w:szCs w:val="21"/>
                <w:lang w:bidi="ar"/>
              </w:rPr>
              <w:t>评分依据对应页码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2"/>
                <w:sz w:val="22"/>
                <w:szCs w:val="20"/>
                <w:lang w:val="en-US" w:eastAsia="zh-CN" w:bidi="ar-SA"/>
              </w:rPr>
            </w:pPr>
            <w:r>
              <w:rPr>
                <w:rFonts w:hint="eastAsia" w:ascii="宋体" w:hAnsi="宋体" w:cs="宋体"/>
                <w:color w:val="auto"/>
                <w:sz w:val="22"/>
                <w:szCs w:val="20"/>
                <w:lang w:val="en-US" w:eastAsia="zh-CN"/>
              </w:rPr>
              <w:t>1</w:t>
            </w:r>
          </w:p>
        </w:tc>
        <w:tc>
          <w:tcPr>
            <w:tcW w:w="1118" w:type="dxa"/>
            <w:vAlign w:val="center"/>
          </w:tcPr>
          <w:p>
            <w:pPr>
              <w:spacing w:line="460" w:lineRule="exact"/>
              <w:jc w:val="center"/>
              <w:rPr>
                <w:rFonts w:hint="eastAsia" w:ascii="宋体" w:hAnsi="宋体" w:eastAsia="宋体" w:cs="Times New Roman"/>
                <w:kern w:val="2"/>
                <w:sz w:val="21"/>
                <w:szCs w:val="21"/>
                <w:lang w:val="en-US" w:eastAsia="zh-CN" w:bidi="ar-SA"/>
              </w:rPr>
            </w:pPr>
            <w:r>
              <w:rPr>
                <w:rFonts w:hint="eastAsia" w:ascii="宋体" w:hAnsi="宋体"/>
              </w:rPr>
              <w:t>企业类似业绩评价</w:t>
            </w:r>
          </w:p>
        </w:tc>
        <w:tc>
          <w:tcPr>
            <w:tcW w:w="5530" w:type="dxa"/>
            <w:vAlign w:val="center"/>
          </w:tcPr>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rPr>
              <w:t>投标人具有</w:t>
            </w:r>
            <w:r>
              <w:rPr>
                <w:rFonts w:hint="eastAsia" w:ascii="宋体" w:hAnsi="宋体" w:eastAsia="宋体" w:cs="宋体"/>
                <w:spacing w:val="-6"/>
                <w:sz w:val="21"/>
                <w:szCs w:val="21"/>
                <w:lang w:val="en-US" w:eastAsia="zh-CN"/>
              </w:rPr>
              <w:t>自</w:t>
            </w:r>
            <w:r>
              <w:rPr>
                <w:rFonts w:hint="eastAsia" w:ascii="宋体" w:hAnsi="宋体" w:eastAsia="宋体" w:cs="宋体"/>
                <w:spacing w:val="-6"/>
                <w:sz w:val="21"/>
                <w:szCs w:val="21"/>
              </w:rPr>
              <w:t>201</w:t>
            </w:r>
            <w:r>
              <w:rPr>
                <w:rFonts w:hint="eastAsia" w:ascii="宋体" w:hAnsi="宋体" w:cs="宋体"/>
                <w:spacing w:val="-6"/>
                <w:sz w:val="21"/>
                <w:szCs w:val="21"/>
                <w:lang w:val="en-US" w:eastAsia="zh-CN"/>
              </w:rPr>
              <w:t>9</w:t>
            </w:r>
            <w:r>
              <w:rPr>
                <w:rFonts w:hint="eastAsia" w:ascii="宋体" w:hAnsi="宋体" w:eastAsia="宋体" w:cs="宋体"/>
                <w:spacing w:val="-6"/>
                <w:sz w:val="21"/>
                <w:szCs w:val="21"/>
              </w:rPr>
              <w:t>年1月1日</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合同签订时间为准</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以来，</w:t>
            </w:r>
            <w:r>
              <w:rPr>
                <w:rFonts w:hint="eastAsia" w:ascii="宋体" w:hAnsi="宋体" w:eastAsia="宋体" w:cs="宋体"/>
                <w:spacing w:val="-6"/>
                <w:sz w:val="21"/>
                <w:szCs w:val="21"/>
              </w:rPr>
              <w:t>已履行一年以上的年养护面积为10万平方米以上的园林绿化养护业绩的（不包括园林工程</w:t>
            </w:r>
            <w:r>
              <w:rPr>
                <w:rFonts w:hint="eastAsia" w:ascii="宋体" w:hAnsi="宋体" w:eastAsia="宋体" w:cs="宋体"/>
                <w:spacing w:val="-6"/>
                <w:sz w:val="21"/>
                <w:szCs w:val="21"/>
                <w:lang w:val="en-US" w:eastAsia="zh-CN"/>
              </w:rPr>
              <w:t>施工</w:t>
            </w:r>
            <w:r>
              <w:rPr>
                <w:rFonts w:hint="eastAsia" w:ascii="宋体" w:hAnsi="宋体" w:eastAsia="宋体" w:cs="宋体"/>
                <w:spacing w:val="-6"/>
                <w:sz w:val="21"/>
                <w:szCs w:val="21"/>
              </w:rPr>
              <w:t>项目中的养护），</w:t>
            </w:r>
            <w:r>
              <w:rPr>
                <w:rFonts w:hint="eastAsia" w:ascii="宋体" w:hAnsi="宋体" w:eastAsia="宋体" w:cs="宋体"/>
                <w:spacing w:val="-6"/>
                <w:sz w:val="21"/>
                <w:szCs w:val="21"/>
                <w:lang w:val="en-US" w:eastAsia="zh-CN"/>
              </w:rPr>
              <w:t>具有三个</w:t>
            </w:r>
            <w:r>
              <w:rPr>
                <w:rFonts w:hint="eastAsia" w:ascii="宋体" w:hAnsi="宋体" w:eastAsia="宋体" w:cs="宋体"/>
                <w:spacing w:val="-6"/>
                <w:sz w:val="21"/>
                <w:szCs w:val="21"/>
              </w:rPr>
              <w:t>业绩</w:t>
            </w:r>
            <w:r>
              <w:rPr>
                <w:rFonts w:hint="eastAsia" w:ascii="宋体" w:hAnsi="宋体" w:eastAsia="宋体" w:cs="宋体"/>
                <w:spacing w:val="-6"/>
                <w:sz w:val="21"/>
                <w:szCs w:val="21"/>
                <w:lang w:val="en-US" w:eastAsia="zh-CN"/>
              </w:rPr>
              <w:t>的</w:t>
            </w:r>
            <w:r>
              <w:rPr>
                <w:rFonts w:hint="eastAsia" w:ascii="宋体" w:hAnsi="宋体" w:eastAsia="宋体" w:cs="宋体"/>
                <w:spacing w:val="-6"/>
                <w:sz w:val="21"/>
                <w:szCs w:val="21"/>
              </w:rPr>
              <w:t>得</w:t>
            </w:r>
            <w:r>
              <w:rPr>
                <w:rFonts w:hint="eastAsia" w:ascii="宋体" w:hAnsi="宋体" w:cs="宋体"/>
                <w:spacing w:val="-6"/>
                <w:sz w:val="21"/>
                <w:szCs w:val="21"/>
                <w:lang w:val="en-US" w:eastAsia="zh-CN"/>
              </w:rPr>
              <w:t>1</w:t>
            </w:r>
            <w:r>
              <w:rPr>
                <w:rFonts w:hint="eastAsia" w:ascii="宋体" w:hAnsi="宋体" w:eastAsia="宋体" w:cs="宋体"/>
                <w:spacing w:val="-6"/>
                <w:sz w:val="21"/>
                <w:szCs w:val="21"/>
              </w:rPr>
              <w:t>分</w:t>
            </w:r>
            <w:r>
              <w:rPr>
                <w:rFonts w:hint="eastAsia" w:ascii="宋体" w:hAnsi="宋体" w:eastAsia="宋体" w:cs="宋体"/>
                <w:spacing w:val="-6"/>
                <w:sz w:val="21"/>
                <w:szCs w:val="21"/>
                <w:lang w:val="en-US" w:eastAsia="zh-CN"/>
              </w:rPr>
              <w:t>。</w:t>
            </w:r>
          </w:p>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pacing w:val="-6"/>
                <w:kern w:val="2"/>
                <w:sz w:val="21"/>
                <w:szCs w:val="21"/>
                <w:lang w:val="en-US" w:eastAsia="zh-CN" w:bidi="ar-SA"/>
              </w:rPr>
            </w:pPr>
            <w:r>
              <w:rPr>
                <w:rFonts w:hint="eastAsia" w:ascii="宋体" w:hAnsi="宋体" w:eastAsia="宋体" w:cs="宋体"/>
                <w:b/>
                <w:bCs/>
                <w:color w:val="000000"/>
                <w:kern w:val="0"/>
                <w:sz w:val="21"/>
                <w:szCs w:val="21"/>
                <w:lang w:val="en-US" w:eastAsia="zh-CN" w:bidi="ar"/>
              </w:rPr>
              <w:t>【</w:t>
            </w:r>
            <w:r>
              <w:rPr>
                <w:rFonts w:hint="eastAsia" w:ascii="宋体" w:hAnsi="宋体" w:eastAsia="宋体" w:cs="宋体"/>
                <w:b/>
                <w:bCs/>
                <w:spacing w:val="-6"/>
                <w:sz w:val="21"/>
                <w:szCs w:val="21"/>
                <w:lang w:val="en-US" w:eastAsia="zh-CN"/>
              </w:rPr>
              <w:t>1.</w:t>
            </w:r>
            <w:r>
              <w:rPr>
                <w:rFonts w:hint="eastAsia" w:ascii="宋体" w:hAnsi="宋体" w:eastAsia="宋体" w:cs="宋体"/>
                <w:b/>
                <w:bCs/>
                <w:spacing w:val="-6"/>
                <w:sz w:val="21"/>
                <w:szCs w:val="21"/>
              </w:rPr>
              <w:t>合同复印件加盖公章编入商务技术文件中，否则不得分</w:t>
            </w:r>
            <w:r>
              <w:rPr>
                <w:rFonts w:hint="eastAsia" w:ascii="宋体" w:hAnsi="宋体" w:eastAsia="宋体" w:cs="宋体"/>
                <w:b/>
                <w:bCs/>
                <w:spacing w:val="-6"/>
                <w:sz w:val="21"/>
                <w:szCs w:val="21"/>
                <w:lang w:eastAsia="zh-CN"/>
              </w:rPr>
              <w:t>；</w:t>
            </w:r>
            <w:r>
              <w:rPr>
                <w:rFonts w:hint="eastAsia" w:ascii="宋体" w:hAnsi="宋体" w:eastAsia="宋体" w:cs="宋体"/>
                <w:b/>
                <w:bCs/>
                <w:spacing w:val="-6"/>
                <w:sz w:val="21"/>
                <w:szCs w:val="21"/>
                <w:lang w:val="en-US" w:eastAsia="zh-CN"/>
              </w:rPr>
              <w:t>2.若不能体现合同已履行一年的不得分；3.养护面积需提供相关证明材料，若不能体现的不得分。</w:t>
            </w:r>
            <w:r>
              <w:rPr>
                <w:rFonts w:hint="eastAsia" w:ascii="宋体" w:hAnsi="宋体" w:eastAsia="宋体" w:cs="宋体"/>
                <w:b/>
                <w:bCs/>
                <w:spacing w:val="-6"/>
                <w:sz w:val="21"/>
                <w:szCs w:val="21"/>
                <w:lang w:eastAsia="zh-CN"/>
              </w:rPr>
              <w:t>】</w:t>
            </w:r>
          </w:p>
        </w:tc>
        <w:tc>
          <w:tcPr>
            <w:tcW w:w="1177" w:type="dxa"/>
            <w:vAlign w:val="top"/>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s="宋体"/>
                <w:color w:val="auto"/>
                <w:kern w:val="0"/>
                <w:sz w:val="21"/>
                <w:szCs w:val="21"/>
                <w:lang w:bidi="ar"/>
              </w:rPr>
            </w:pPr>
          </w:p>
        </w:tc>
        <w:tc>
          <w:tcPr>
            <w:tcW w:w="1081" w:type="dxa"/>
            <w:vAlign w:val="top"/>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auto"/>
                <w:kern w:val="2"/>
                <w:sz w:val="22"/>
                <w:szCs w:val="20"/>
                <w:lang w:val="en-US" w:eastAsia="zh-CN" w:bidi="ar-SA"/>
              </w:rPr>
            </w:pPr>
            <w:r>
              <w:rPr>
                <w:rFonts w:hint="eastAsia" w:ascii="宋体" w:hAnsi="宋体" w:cs="宋体"/>
                <w:color w:val="auto"/>
                <w:kern w:val="2"/>
                <w:sz w:val="22"/>
                <w:szCs w:val="20"/>
                <w:lang w:val="en-US" w:eastAsia="zh-CN" w:bidi="ar-SA"/>
              </w:rPr>
              <w:t>2</w:t>
            </w:r>
          </w:p>
        </w:tc>
        <w:tc>
          <w:tcPr>
            <w:tcW w:w="1118" w:type="dxa"/>
            <w:vAlign w:val="center"/>
          </w:tcPr>
          <w:p>
            <w:pPr>
              <w:spacing w:line="460" w:lineRule="exact"/>
              <w:jc w:val="center"/>
              <w:rPr>
                <w:rFonts w:hint="eastAsia" w:ascii="宋体" w:hAnsi="宋体" w:eastAsia="宋体" w:cs="Times New Roman"/>
                <w:kern w:val="2"/>
                <w:sz w:val="21"/>
                <w:szCs w:val="21"/>
                <w:lang w:val="en-US" w:eastAsia="zh-CN" w:bidi="ar-SA"/>
              </w:rPr>
            </w:pPr>
            <w:r>
              <w:rPr>
                <w:rFonts w:hint="eastAsia" w:ascii="宋体" w:hAnsi="宋体"/>
              </w:rPr>
              <w:t>企业获奖情况</w:t>
            </w:r>
          </w:p>
        </w:tc>
        <w:tc>
          <w:tcPr>
            <w:tcW w:w="5530" w:type="dxa"/>
            <w:vAlign w:val="center"/>
          </w:tcPr>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rPr>
              <w:t>自201</w:t>
            </w:r>
            <w:r>
              <w:rPr>
                <w:rFonts w:hint="eastAsia" w:ascii="宋体" w:hAnsi="宋体" w:cs="宋体"/>
                <w:spacing w:val="-6"/>
                <w:sz w:val="21"/>
                <w:szCs w:val="21"/>
                <w:lang w:val="en-US" w:eastAsia="zh-CN"/>
              </w:rPr>
              <w:t>9</w:t>
            </w:r>
            <w:r>
              <w:rPr>
                <w:rFonts w:hint="eastAsia" w:ascii="宋体" w:hAnsi="宋体" w:eastAsia="宋体" w:cs="宋体"/>
                <w:spacing w:val="-6"/>
                <w:sz w:val="21"/>
                <w:szCs w:val="21"/>
              </w:rPr>
              <w:t>年1月1日</w:t>
            </w:r>
            <w:r>
              <w:rPr>
                <w:rFonts w:hint="eastAsia" w:ascii="宋体" w:hAnsi="宋体" w:eastAsia="宋体" w:cs="宋体"/>
                <w:spacing w:val="-6"/>
                <w:sz w:val="21"/>
                <w:szCs w:val="21"/>
                <w:lang w:val="en-US" w:eastAsia="zh-CN"/>
              </w:rPr>
              <w:t>以来，</w:t>
            </w:r>
            <w:r>
              <w:rPr>
                <w:rFonts w:hint="eastAsia" w:ascii="宋体" w:hAnsi="宋体" w:eastAsia="宋体" w:cs="宋体"/>
                <w:spacing w:val="-6"/>
                <w:sz w:val="21"/>
                <w:szCs w:val="21"/>
              </w:rPr>
              <w:t>投标人</w:t>
            </w:r>
            <w:r>
              <w:rPr>
                <w:rFonts w:hint="eastAsia" w:ascii="宋体" w:hAnsi="宋体" w:eastAsia="宋体" w:cs="宋体"/>
                <w:spacing w:val="-6"/>
                <w:sz w:val="21"/>
                <w:szCs w:val="21"/>
                <w:shd w:val="clear"/>
              </w:rPr>
              <w:t>承接</w:t>
            </w:r>
            <w:r>
              <w:rPr>
                <w:rFonts w:hint="eastAsia" w:ascii="宋体" w:hAnsi="宋体" w:eastAsia="宋体" w:cs="宋体"/>
                <w:spacing w:val="-6"/>
                <w:sz w:val="21"/>
                <w:szCs w:val="21"/>
              </w:rPr>
              <w:t>的项目获得园林工程施工</w:t>
            </w:r>
            <w:r>
              <w:rPr>
                <w:rFonts w:hint="eastAsia" w:ascii="宋体" w:hAnsi="宋体" w:eastAsia="宋体" w:cs="宋体"/>
                <w:spacing w:val="-6"/>
                <w:sz w:val="21"/>
                <w:szCs w:val="21"/>
                <w:lang w:val="en-US" w:eastAsia="zh-CN"/>
              </w:rPr>
              <w:t>类奖项，</w:t>
            </w:r>
            <w:r>
              <w:rPr>
                <w:rFonts w:hint="eastAsia" w:ascii="宋体" w:hAnsi="宋体" w:eastAsia="宋体" w:cs="宋体"/>
                <w:spacing w:val="-6"/>
                <w:sz w:val="21"/>
                <w:szCs w:val="21"/>
              </w:rPr>
              <w:t>省级及以上</w:t>
            </w:r>
            <w:r>
              <w:rPr>
                <w:rFonts w:hint="eastAsia" w:ascii="宋体" w:hAnsi="宋体" w:eastAsia="宋体" w:cs="宋体"/>
                <w:spacing w:val="-6"/>
                <w:sz w:val="21"/>
                <w:szCs w:val="21"/>
                <w:lang w:val="en-US" w:eastAsia="zh-CN"/>
              </w:rPr>
              <w:t>的每个</w:t>
            </w:r>
            <w:r>
              <w:rPr>
                <w:rFonts w:hint="eastAsia" w:ascii="宋体" w:hAnsi="宋体" w:eastAsia="宋体" w:cs="宋体"/>
                <w:spacing w:val="-6"/>
                <w:sz w:val="21"/>
                <w:szCs w:val="21"/>
              </w:rPr>
              <w:t>得1.5分，获地市级的</w:t>
            </w:r>
            <w:r>
              <w:rPr>
                <w:rFonts w:hint="eastAsia" w:ascii="宋体" w:hAnsi="宋体" w:eastAsia="宋体" w:cs="宋体"/>
                <w:spacing w:val="-6"/>
                <w:sz w:val="21"/>
                <w:szCs w:val="21"/>
                <w:lang w:val="en-US" w:eastAsia="zh-CN"/>
              </w:rPr>
              <w:t>每个</w:t>
            </w:r>
            <w:r>
              <w:rPr>
                <w:rFonts w:hint="eastAsia" w:ascii="宋体" w:hAnsi="宋体" w:eastAsia="宋体" w:cs="宋体"/>
                <w:spacing w:val="-6"/>
                <w:sz w:val="21"/>
                <w:szCs w:val="21"/>
              </w:rPr>
              <w:t>得1分，获</w:t>
            </w:r>
            <w:r>
              <w:rPr>
                <w:rFonts w:hint="eastAsia" w:ascii="宋体" w:hAnsi="宋体" w:eastAsia="宋体" w:cs="宋体"/>
                <w:spacing w:val="-6"/>
                <w:sz w:val="21"/>
                <w:szCs w:val="21"/>
                <w:shd w:val="clear"/>
                <w:lang w:val="en-US" w:eastAsia="zh-CN"/>
              </w:rPr>
              <w:t>县（市）级</w:t>
            </w:r>
            <w:r>
              <w:rPr>
                <w:rFonts w:hint="eastAsia" w:ascii="宋体" w:hAnsi="宋体" w:eastAsia="宋体" w:cs="宋体"/>
                <w:spacing w:val="-6"/>
                <w:sz w:val="21"/>
                <w:szCs w:val="21"/>
              </w:rPr>
              <w:t>的</w:t>
            </w:r>
            <w:r>
              <w:rPr>
                <w:rFonts w:hint="eastAsia" w:ascii="宋体" w:hAnsi="宋体" w:eastAsia="宋体" w:cs="宋体"/>
                <w:spacing w:val="-6"/>
                <w:sz w:val="21"/>
                <w:szCs w:val="21"/>
                <w:lang w:val="en-US" w:eastAsia="zh-CN"/>
              </w:rPr>
              <w:t>每个</w:t>
            </w:r>
            <w:r>
              <w:rPr>
                <w:rFonts w:hint="eastAsia" w:ascii="宋体" w:hAnsi="宋体" w:eastAsia="宋体" w:cs="宋体"/>
                <w:spacing w:val="-6"/>
                <w:sz w:val="21"/>
                <w:szCs w:val="21"/>
              </w:rPr>
              <w:t>得0.5分</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本项最高得8分。</w:t>
            </w:r>
          </w:p>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pacing w:val="-6"/>
                <w:kern w:val="2"/>
                <w:sz w:val="21"/>
                <w:szCs w:val="21"/>
                <w:lang w:val="en-US" w:eastAsia="zh-CN" w:bidi="ar-SA"/>
              </w:rPr>
            </w:pPr>
            <w:r>
              <w:rPr>
                <w:rFonts w:hint="eastAsia" w:ascii="宋体" w:hAnsi="宋体" w:eastAsia="宋体" w:cs="宋体"/>
                <w:b/>
                <w:bCs/>
                <w:color w:val="000000"/>
                <w:kern w:val="0"/>
                <w:sz w:val="21"/>
                <w:szCs w:val="21"/>
                <w:lang w:val="en-US" w:eastAsia="zh-CN" w:bidi="ar"/>
              </w:rPr>
              <w:t>【</w:t>
            </w:r>
            <w:r>
              <w:rPr>
                <w:rFonts w:hint="eastAsia" w:ascii="宋体" w:hAnsi="宋体" w:eastAsia="宋体" w:cs="宋体"/>
                <w:b/>
                <w:bCs/>
                <w:spacing w:val="-6"/>
                <w:sz w:val="21"/>
                <w:szCs w:val="21"/>
                <w:lang w:val="en-US" w:eastAsia="zh-CN"/>
              </w:rPr>
              <w:t>1.</w:t>
            </w:r>
            <w:r>
              <w:rPr>
                <w:rFonts w:hint="eastAsia" w:ascii="宋体" w:hAnsi="宋体" w:eastAsia="宋体" w:cs="宋体"/>
                <w:b/>
                <w:bCs/>
                <w:spacing w:val="-6"/>
                <w:sz w:val="21"/>
                <w:szCs w:val="21"/>
              </w:rPr>
              <w:t>获奖文件</w:t>
            </w:r>
            <w:r>
              <w:rPr>
                <w:rFonts w:hint="eastAsia" w:ascii="宋体" w:hAnsi="宋体" w:eastAsia="宋体" w:cs="宋体"/>
                <w:b/>
                <w:bCs/>
                <w:spacing w:val="-6"/>
                <w:sz w:val="21"/>
                <w:szCs w:val="21"/>
                <w:lang w:val="en-US" w:eastAsia="zh-CN"/>
              </w:rPr>
              <w:t>复印件</w:t>
            </w:r>
            <w:r>
              <w:rPr>
                <w:rFonts w:hint="eastAsia" w:ascii="宋体" w:hAnsi="宋体" w:eastAsia="宋体" w:cs="宋体"/>
                <w:b/>
                <w:bCs/>
                <w:spacing w:val="-6"/>
                <w:sz w:val="21"/>
                <w:szCs w:val="21"/>
              </w:rPr>
              <w:t>或能查到该获奖文件的发文单位官方网址</w:t>
            </w:r>
            <w:r>
              <w:rPr>
                <w:rFonts w:hint="eastAsia" w:ascii="宋体" w:hAnsi="宋体" w:eastAsia="宋体" w:cs="宋体"/>
                <w:b/>
                <w:bCs/>
                <w:spacing w:val="-6"/>
                <w:sz w:val="21"/>
                <w:szCs w:val="21"/>
                <w:lang w:val="en-US" w:eastAsia="zh-CN"/>
              </w:rPr>
              <w:t>加盖公章编入商务技术文件中</w:t>
            </w:r>
            <w:r>
              <w:rPr>
                <w:rFonts w:hint="eastAsia" w:ascii="宋体" w:hAnsi="宋体" w:eastAsia="宋体" w:cs="宋体"/>
                <w:b/>
                <w:bCs/>
                <w:spacing w:val="-6"/>
                <w:sz w:val="21"/>
                <w:szCs w:val="21"/>
              </w:rPr>
              <w:t>，</w:t>
            </w:r>
            <w:r>
              <w:rPr>
                <w:rFonts w:hint="eastAsia" w:ascii="宋体" w:hAnsi="宋体" w:eastAsia="宋体" w:cs="宋体"/>
                <w:b/>
                <w:bCs/>
                <w:spacing w:val="-6"/>
                <w:sz w:val="21"/>
                <w:szCs w:val="21"/>
                <w:lang w:val="en-US" w:eastAsia="zh-CN"/>
              </w:rPr>
              <w:t>否则不得分；2.</w:t>
            </w:r>
            <w:r>
              <w:rPr>
                <w:rFonts w:hint="eastAsia" w:ascii="宋体" w:hAnsi="宋体" w:eastAsia="宋体" w:cs="宋体"/>
                <w:b/>
                <w:bCs/>
                <w:spacing w:val="-6"/>
                <w:sz w:val="21"/>
                <w:szCs w:val="21"/>
              </w:rPr>
              <w:t>以上奖项同一项目按最高分计，不重复计分</w:t>
            </w:r>
            <w:r>
              <w:rPr>
                <w:rFonts w:hint="eastAsia" w:ascii="宋体" w:hAnsi="宋体" w:eastAsia="宋体" w:cs="宋体"/>
                <w:b/>
                <w:bCs/>
                <w:spacing w:val="-6"/>
                <w:sz w:val="21"/>
                <w:szCs w:val="21"/>
                <w:lang w:eastAsia="zh-CN"/>
              </w:rPr>
              <w:t>。】</w:t>
            </w:r>
          </w:p>
        </w:tc>
        <w:tc>
          <w:tcPr>
            <w:tcW w:w="1177" w:type="dxa"/>
            <w:vAlign w:val="top"/>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s="宋体"/>
                <w:color w:val="auto"/>
                <w:kern w:val="0"/>
                <w:sz w:val="21"/>
                <w:szCs w:val="21"/>
                <w:lang w:bidi="ar"/>
              </w:rPr>
            </w:pPr>
          </w:p>
        </w:tc>
        <w:tc>
          <w:tcPr>
            <w:tcW w:w="1081" w:type="dxa"/>
            <w:vAlign w:val="top"/>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auto"/>
                <w:kern w:val="2"/>
                <w:sz w:val="22"/>
                <w:szCs w:val="20"/>
                <w:lang w:val="en-US" w:eastAsia="zh-CN" w:bidi="ar-SA"/>
              </w:rPr>
            </w:pPr>
            <w:r>
              <w:rPr>
                <w:rFonts w:hint="eastAsia" w:ascii="宋体" w:hAnsi="宋体" w:cs="宋体"/>
                <w:color w:val="auto"/>
                <w:kern w:val="2"/>
                <w:sz w:val="22"/>
                <w:szCs w:val="20"/>
                <w:lang w:val="en-US" w:eastAsia="zh-CN" w:bidi="ar-SA"/>
              </w:rPr>
              <w:t>3</w:t>
            </w:r>
          </w:p>
        </w:tc>
        <w:tc>
          <w:tcPr>
            <w:tcW w:w="1118" w:type="dxa"/>
            <w:vAlign w:val="center"/>
          </w:tcPr>
          <w:p>
            <w:pPr>
              <w:spacing w:line="460" w:lineRule="exact"/>
              <w:jc w:val="center"/>
              <w:rPr>
                <w:rFonts w:hint="eastAsia" w:ascii="宋体" w:hAnsi="宋体" w:eastAsia="宋体" w:cs="Times New Roman"/>
                <w:kern w:val="2"/>
                <w:sz w:val="21"/>
                <w:szCs w:val="21"/>
                <w:lang w:val="en-US" w:eastAsia="zh-CN" w:bidi="ar-SA"/>
              </w:rPr>
            </w:pPr>
            <w:r>
              <w:rPr>
                <w:rFonts w:hint="eastAsia" w:ascii="宋体" w:hAnsi="宋体"/>
              </w:rPr>
              <w:t>苗圃情况</w:t>
            </w:r>
          </w:p>
        </w:tc>
        <w:tc>
          <w:tcPr>
            <w:tcW w:w="5530" w:type="dxa"/>
            <w:vAlign w:val="center"/>
          </w:tcPr>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投标人拥有</w:t>
            </w:r>
            <w:r>
              <w:rPr>
                <w:rFonts w:hint="eastAsia" w:ascii="宋体" w:hAnsi="宋体" w:eastAsia="宋体" w:cs="宋体"/>
                <w:spacing w:val="-6"/>
                <w:sz w:val="21"/>
                <w:szCs w:val="21"/>
                <w:lang w:val="en-US" w:eastAsia="zh-CN"/>
              </w:rPr>
              <w:t>苗圃情况：</w:t>
            </w:r>
            <w:r>
              <w:rPr>
                <w:rFonts w:hint="eastAsia" w:ascii="宋体" w:hAnsi="宋体" w:eastAsia="宋体" w:cs="宋体"/>
                <w:spacing w:val="-6"/>
                <w:sz w:val="21"/>
                <w:szCs w:val="21"/>
              </w:rPr>
              <w:t>150亩及以上苗圃的得</w:t>
            </w:r>
            <w:r>
              <w:rPr>
                <w:rFonts w:hint="eastAsia" w:ascii="宋体" w:hAnsi="宋体" w:cs="宋体"/>
                <w:spacing w:val="-6"/>
                <w:sz w:val="21"/>
                <w:szCs w:val="21"/>
                <w:lang w:val="en-US" w:eastAsia="zh-CN"/>
              </w:rPr>
              <w:t>4</w:t>
            </w:r>
            <w:r>
              <w:rPr>
                <w:rFonts w:hint="eastAsia" w:ascii="宋体" w:hAnsi="宋体" w:eastAsia="宋体" w:cs="宋体"/>
                <w:spacing w:val="-6"/>
                <w:sz w:val="21"/>
                <w:szCs w:val="21"/>
              </w:rPr>
              <w:t>分；拥有100亩及以上150亩以下的得</w:t>
            </w:r>
            <w:r>
              <w:rPr>
                <w:rFonts w:hint="eastAsia" w:ascii="宋体" w:hAnsi="宋体" w:cs="宋体"/>
                <w:spacing w:val="-6"/>
                <w:sz w:val="21"/>
                <w:szCs w:val="21"/>
                <w:lang w:val="en-US" w:eastAsia="zh-CN"/>
              </w:rPr>
              <w:t>3</w:t>
            </w:r>
            <w:r>
              <w:rPr>
                <w:rFonts w:hint="eastAsia" w:ascii="宋体" w:hAnsi="宋体" w:eastAsia="宋体" w:cs="宋体"/>
                <w:spacing w:val="-6"/>
                <w:sz w:val="21"/>
                <w:szCs w:val="21"/>
              </w:rPr>
              <w:t>分，拥有50亩及以上100亩以下的得</w:t>
            </w:r>
            <w:r>
              <w:rPr>
                <w:rFonts w:hint="eastAsia" w:ascii="宋体" w:hAnsi="宋体" w:cs="宋体"/>
                <w:spacing w:val="-6"/>
                <w:sz w:val="21"/>
                <w:szCs w:val="21"/>
                <w:lang w:val="en-US" w:eastAsia="zh-CN"/>
              </w:rPr>
              <w:t>2</w:t>
            </w:r>
            <w:r>
              <w:rPr>
                <w:rFonts w:hint="eastAsia" w:ascii="宋体" w:hAnsi="宋体" w:eastAsia="宋体" w:cs="宋体"/>
                <w:spacing w:val="-6"/>
                <w:sz w:val="21"/>
                <w:szCs w:val="21"/>
              </w:rPr>
              <w:t>分，少于50亩</w:t>
            </w:r>
            <w:r>
              <w:rPr>
                <w:rFonts w:hint="eastAsia" w:ascii="宋体" w:hAnsi="宋体" w:eastAsia="宋体" w:cs="宋体"/>
                <w:spacing w:val="-6"/>
                <w:sz w:val="21"/>
                <w:szCs w:val="21"/>
                <w:lang w:val="en-US" w:eastAsia="zh-CN"/>
              </w:rPr>
              <w:t>的得</w:t>
            </w:r>
            <w:r>
              <w:rPr>
                <w:rFonts w:hint="eastAsia" w:ascii="宋体" w:hAnsi="宋体" w:cs="宋体"/>
                <w:spacing w:val="-6"/>
                <w:sz w:val="21"/>
                <w:szCs w:val="21"/>
                <w:lang w:val="en-US" w:eastAsia="zh-CN"/>
              </w:rPr>
              <w:t>1</w:t>
            </w:r>
            <w:r>
              <w:rPr>
                <w:rFonts w:hint="eastAsia" w:ascii="宋体" w:hAnsi="宋体" w:eastAsia="宋体" w:cs="宋体"/>
                <w:spacing w:val="-6"/>
                <w:sz w:val="21"/>
                <w:szCs w:val="21"/>
                <w:lang w:val="en-US" w:eastAsia="zh-CN"/>
              </w:rPr>
              <w:t>分</w:t>
            </w:r>
            <w:r>
              <w:rPr>
                <w:rFonts w:hint="eastAsia" w:ascii="宋体" w:hAnsi="宋体" w:eastAsia="宋体" w:cs="宋体"/>
                <w:spacing w:val="-6"/>
                <w:sz w:val="21"/>
                <w:szCs w:val="21"/>
              </w:rPr>
              <w:t>。</w:t>
            </w:r>
          </w:p>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pacing w:val="-6"/>
                <w:kern w:val="2"/>
                <w:sz w:val="21"/>
                <w:szCs w:val="21"/>
                <w:lang w:val="en-US" w:eastAsia="zh-CN" w:bidi="ar-SA"/>
              </w:rPr>
            </w:pPr>
            <w:r>
              <w:rPr>
                <w:rFonts w:hint="eastAsia" w:ascii="宋体" w:hAnsi="宋体" w:eastAsia="宋体" w:cs="宋体"/>
                <w:b/>
                <w:bCs/>
                <w:spacing w:val="-6"/>
                <w:sz w:val="21"/>
                <w:szCs w:val="21"/>
                <w:lang w:eastAsia="zh-CN"/>
              </w:rPr>
              <w:t>【</w:t>
            </w:r>
            <w:r>
              <w:rPr>
                <w:rFonts w:hint="eastAsia" w:ascii="宋体" w:hAnsi="宋体" w:eastAsia="宋体" w:cs="宋体"/>
                <w:b/>
                <w:bCs/>
                <w:spacing w:val="-6"/>
                <w:sz w:val="21"/>
                <w:szCs w:val="21"/>
              </w:rPr>
              <w:t>苗圃须提供苗圃土地租赁协议及租赁费票据</w:t>
            </w:r>
            <w:r>
              <w:rPr>
                <w:rFonts w:hint="eastAsia" w:ascii="宋体" w:hAnsi="宋体" w:eastAsia="宋体" w:cs="宋体"/>
                <w:b/>
                <w:bCs/>
                <w:spacing w:val="-6"/>
                <w:sz w:val="21"/>
                <w:szCs w:val="21"/>
                <w:lang w:eastAsia="zh-CN"/>
              </w:rPr>
              <w:t>，</w:t>
            </w:r>
            <w:r>
              <w:rPr>
                <w:rFonts w:hint="eastAsia" w:ascii="宋体" w:hAnsi="宋体" w:eastAsia="宋体" w:cs="宋体"/>
                <w:b/>
                <w:bCs/>
                <w:spacing w:val="-6"/>
                <w:sz w:val="21"/>
                <w:szCs w:val="21"/>
              </w:rPr>
              <w:t>苗圃注册名称如与投标人名称不一致，但其法定代表人为同一人，或该苗圃为该投标人控股的，视为由该投标人拥有，但须提供工商部门的控股证明</w:t>
            </w:r>
            <w:r>
              <w:rPr>
                <w:rFonts w:hint="eastAsia" w:ascii="宋体" w:hAnsi="宋体" w:eastAsia="宋体" w:cs="宋体"/>
                <w:b/>
                <w:bCs/>
                <w:spacing w:val="-6"/>
                <w:sz w:val="21"/>
                <w:szCs w:val="21"/>
                <w:lang w:eastAsia="zh-CN"/>
              </w:rPr>
              <w:t>】</w:t>
            </w:r>
          </w:p>
        </w:tc>
        <w:tc>
          <w:tcPr>
            <w:tcW w:w="1177" w:type="dxa"/>
            <w:vAlign w:val="top"/>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s="宋体"/>
                <w:color w:val="auto"/>
                <w:kern w:val="0"/>
                <w:sz w:val="21"/>
                <w:szCs w:val="21"/>
                <w:lang w:bidi="ar"/>
              </w:rPr>
            </w:pPr>
          </w:p>
        </w:tc>
        <w:tc>
          <w:tcPr>
            <w:tcW w:w="1081" w:type="dxa"/>
            <w:vAlign w:val="top"/>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auto"/>
                <w:kern w:val="2"/>
                <w:sz w:val="22"/>
                <w:szCs w:val="20"/>
                <w:lang w:val="en-US" w:eastAsia="zh-CN" w:bidi="ar-SA"/>
              </w:rPr>
            </w:pPr>
            <w:r>
              <w:rPr>
                <w:rFonts w:hint="eastAsia" w:ascii="宋体" w:hAnsi="宋体" w:cs="宋体"/>
                <w:color w:val="auto"/>
                <w:sz w:val="22"/>
                <w:szCs w:val="20"/>
                <w:lang w:val="en-US" w:eastAsia="zh-CN"/>
              </w:rPr>
              <w:t>4</w:t>
            </w:r>
          </w:p>
        </w:tc>
        <w:tc>
          <w:tcPr>
            <w:tcW w:w="1118" w:type="dxa"/>
            <w:vAlign w:val="center"/>
          </w:tcPr>
          <w:p>
            <w:pPr>
              <w:spacing w:line="460" w:lineRule="exact"/>
              <w:jc w:val="center"/>
              <w:rPr>
                <w:rFonts w:hint="eastAsia" w:ascii="宋体" w:hAnsi="宋体" w:eastAsia="宋体" w:cs="Times New Roman"/>
                <w:kern w:val="2"/>
                <w:sz w:val="21"/>
                <w:szCs w:val="21"/>
                <w:lang w:val="en-US" w:eastAsia="zh-CN" w:bidi="ar-SA"/>
              </w:rPr>
            </w:pPr>
            <w:r>
              <w:rPr>
                <w:rFonts w:hint="eastAsia" w:ascii="宋体" w:hAnsi="宋体"/>
              </w:rPr>
              <w:t>项目负责人资格</w:t>
            </w:r>
          </w:p>
        </w:tc>
        <w:tc>
          <w:tcPr>
            <w:tcW w:w="5530" w:type="dxa"/>
            <w:vAlign w:val="center"/>
          </w:tcPr>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项目负责人</w:t>
            </w:r>
            <w:r>
              <w:rPr>
                <w:rFonts w:hint="eastAsia" w:ascii="宋体" w:hAnsi="宋体" w:eastAsia="宋体" w:cs="宋体"/>
                <w:spacing w:val="-6"/>
                <w:sz w:val="21"/>
                <w:szCs w:val="21"/>
              </w:rPr>
              <w:t>具有园林工程师</w:t>
            </w:r>
            <w:r>
              <w:rPr>
                <w:rFonts w:hint="eastAsia" w:ascii="宋体" w:hAnsi="宋体" w:eastAsia="宋体" w:cs="宋体"/>
                <w:spacing w:val="-6"/>
                <w:sz w:val="21"/>
                <w:szCs w:val="21"/>
                <w:lang w:val="en-US" w:eastAsia="zh-CN"/>
              </w:rPr>
              <w:t>职称</w:t>
            </w:r>
            <w:r>
              <w:rPr>
                <w:rFonts w:hint="eastAsia" w:ascii="宋体" w:hAnsi="宋体" w:eastAsia="宋体" w:cs="宋体"/>
                <w:spacing w:val="-6"/>
                <w:sz w:val="21"/>
                <w:szCs w:val="21"/>
              </w:rPr>
              <w:t>的得2分</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具有绿化工、植保工</w:t>
            </w:r>
            <w:r>
              <w:rPr>
                <w:rFonts w:hint="eastAsia" w:ascii="宋体" w:hAnsi="宋体" w:eastAsia="宋体" w:cs="宋体"/>
                <w:spacing w:val="-6"/>
                <w:sz w:val="21"/>
                <w:szCs w:val="21"/>
                <w:lang w:val="en-US" w:eastAsia="zh-CN"/>
              </w:rPr>
              <w:t>职称</w:t>
            </w:r>
            <w:r>
              <w:rPr>
                <w:rFonts w:hint="eastAsia" w:ascii="宋体" w:hAnsi="宋体" w:eastAsia="宋体" w:cs="宋体"/>
                <w:spacing w:val="-6"/>
                <w:sz w:val="21"/>
                <w:szCs w:val="21"/>
              </w:rPr>
              <w:t>的得1分。</w:t>
            </w:r>
          </w:p>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pacing w:val="-6"/>
                <w:kern w:val="2"/>
                <w:sz w:val="21"/>
                <w:szCs w:val="21"/>
                <w:lang w:val="en-US" w:eastAsia="zh-CN" w:bidi="ar-SA"/>
              </w:rPr>
            </w:pPr>
            <w:r>
              <w:rPr>
                <w:rFonts w:hint="eastAsia" w:ascii="宋体" w:hAnsi="宋体" w:eastAsia="宋体" w:cs="宋体"/>
                <w:b/>
                <w:bCs/>
                <w:spacing w:val="-6"/>
                <w:sz w:val="21"/>
                <w:szCs w:val="21"/>
                <w:lang w:val="en-US" w:eastAsia="zh-CN"/>
              </w:rPr>
              <w:t>【证书复印件</w:t>
            </w:r>
            <w:r>
              <w:rPr>
                <w:rFonts w:hint="eastAsia" w:ascii="宋体" w:hAnsi="宋体" w:eastAsia="宋体" w:cs="宋体"/>
                <w:b/>
                <w:bCs/>
                <w:spacing w:val="-6"/>
                <w:sz w:val="21"/>
                <w:szCs w:val="21"/>
              </w:rPr>
              <w:t>编入商务技术文件中，须</w:t>
            </w:r>
            <w:r>
              <w:rPr>
                <w:rFonts w:hint="eastAsia" w:ascii="宋体" w:hAnsi="宋体" w:eastAsia="宋体" w:cs="宋体"/>
                <w:b/>
                <w:bCs/>
                <w:spacing w:val="-6"/>
                <w:sz w:val="21"/>
                <w:szCs w:val="21"/>
                <w:lang w:val="en-US" w:eastAsia="zh-CN"/>
              </w:rPr>
              <w:t>同时</w:t>
            </w:r>
            <w:r>
              <w:rPr>
                <w:rFonts w:hint="eastAsia" w:ascii="宋体" w:hAnsi="宋体" w:eastAsia="宋体" w:cs="宋体"/>
                <w:b/>
                <w:bCs/>
                <w:spacing w:val="-6"/>
                <w:sz w:val="21"/>
                <w:szCs w:val="21"/>
              </w:rPr>
              <w:t>提供近</w:t>
            </w:r>
            <w:r>
              <w:rPr>
                <w:rFonts w:hint="eastAsia" w:ascii="宋体" w:hAnsi="宋体" w:eastAsia="宋体" w:cs="宋体"/>
                <w:b/>
                <w:bCs/>
                <w:spacing w:val="-6"/>
                <w:sz w:val="21"/>
                <w:szCs w:val="21"/>
                <w:lang w:val="en-US" w:eastAsia="zh-CN"/>
              </w:rPr>
              <w:t>三个月</w:t>
            </w:r>
            <w:r>
              <w:rPr>
                <w:rFonts w:hint="eastAsia" w:ascii="宋体" w:hAnsi="宋体" w:eastAsia="宋体" w:cs="宋体"/>
                <w:b/>
                <w:bCs/>
                <w:spacing w:val="-6"/>
                <w:sz w:val="21"/>
                <w:szCs w:val="21"/>
              </w:rPr>
              <w:t>的</w:t>
            </w:r>
            <w:r>
              <w:rPr>
                <w:rFonts w:hint="eastAsia" w:ascii="宋体" w:hAnsi="宋体" w:eastAsia="宋体" w:cs="宋体"/>
                <w:b/>
                <w:bCs/>
                <w:spacing w:val="-6"/>
                <w:sz w:val="21"/>
                <w:szCs w:val="21"/>
                <w:shd w:val="clear"/>
                <w:lang w:val="en-US" w:eastAsia="zh-CN"/>
              </w:rPr>
              <w:t>社保</w:t>
            </w:r>
            <w:r>
              <w:rPr>
                <w:rFonts w:hint="eastAsia" w:ascii="宋体" w:hAnsi="宋体" w:eastAsia="宋体" w:cs="宋体"/>
                <w:b/>
                <w:bCs/>
                <w:spacing w:val="-6"/>
                <w:sz w:val="21"/>
                <w:szCs w:val="21"/>
                <w:shd w:val="clear"/>
              </w:rPr>
              <w:t>缴纳证明</w:t>
            </w:r>
            <w:r>
              <w:rPr>
                <w:rFonts w:hint="eastAsia" w:ascii="宋体" w:hAnsi="宋体" w:eastAsia="宋体" w:cs="宋体"/>
                <w:b/>
                <w:bCs/>
                <w:spacing w:val="-6"/>
                <w:sz w:val="21"/>
                <w:szCs w:val="21"/>
                <w:shd w:val="clear"/>
                <w:lang w:eastAsia="zh-CN"/>
              </w:rPr>
              <w:t>，</w:t>
            </w:r>
            <w:r>
              <w:rPr>
                <w:rFonts w:hint="eastAsia" w:ascii="宋体" w:hAnsi="宋体" w:eastAsia="宋体" w:cs="宋体"/>
                <w:b/>
                <w:bCs/>
                <w:spacing w:val="-6"/>
                <w:sz w:val="21"/>
                <w:szCs w:val="21"/>
                <w:lang w:val="en-US" w:eastAsia="zh-CN"/>
              </w:rPr>
              <w:t>否则不得分</w:t>
            </w:r>
            <w:r>
              <w:rPr>
                <w:rFonts w:hint="eastAsia" w:ascii="宋体" w:hAnsi="宋体" w:eastAsia="宋体" w:cs="宋体"/>
                <w:b/>
                <w:bCs/>
                <w:spacing w:val="-6"/>
                <w:sz w:val="21"/>
                <w:szCs w:val="21"/>
                <w:lang w:eastAsia="zh-CN"/>
              </w:rPr>
              <w:t>。】</w:t>
            </w:r>
          </w:p>
        </w:tc>
        <w:tc>
          <w:tcPr>
            <w:tcW w:w="1177" w:type="dxa"/>
            <w:vAlign w:val="top"/>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s="宋体"/>
                <w:color w:val="auto"/>
                <w:kern w:val="0"/>
                <w:sz w:val="21"/>
                <w:szCs w:val="21"/>
                <w:lang w:bidi="ar"/>
              </w:rPr>
            </w:pPr>
          </w:p>
        </w:tc>
        <w:tc>
          <w:tcPr>
            <w:tcW w:w="1081" w:type="dxa"/>
            <w:vAlign w:val="top"/>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keepNext w:val="0"/>
              <w:keepLines w:val="0"/>
              <w:pageBreakBefore w:val="0"/>
              <w:kinsoku/>
              <w:wordWrap/>
              <w:overflowPunct/>
              <w:topLinePunct w:val="0"/>
              <w:autoSpaceDE/>
              <w:autoSpaceDN/>
              <w:bidi w:val="0"/>
              <w:spacing w:line="288" w:lineRule="auto"/>
              <w:jc w:val="center"/>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 w:val="22"/>
                <w:szCs w:val="20"/>
                <w:lang w:val="en-US" w:eastAsia="zh-CN"/>
              </w:rPr>
              <w:t>5</w:t>
            </w:r>
          </w:p>
        </w:tc>
        <w:tc>
          <w:tcPr>
            <w:tcW w:w="0" w:type="auto"/>
            <w:vAlign w:val="center"/>
          </w:tcPr>
          <w:p>
            <w:pPr>
              <w:spacing w:line="460" w:lineRule="exact"/>
              <w:jc w:val="center"/>
              <w:rPr>
                <w:rFonts w:hint="eastAsia" w:ascii="宋体" w:hAnsi="宋体" w:eastAsia="宋体" w:cs="Times New Roman"/>
                <w:kern w:val="2"/>
                <w:sz w:val="21"/>
                <w:szCs w:val="21"/>
                <w:lang w:val="en-US" w:eastAsia="zh-CN" w:bidi="ar-SA"/>
              </w:rPr>
            </w:pPr>
            <w:r>
              <w:rPr>
                <w:rFonts w:hint="eastAsia" w:ascii="宋体" w:hAnsi="宋体"/>
              </w:rPr>
              <w:t>项目负责人类似业绩评价</w:t>
            </w:r>
          </w:p>
        </w:tc>
        <w:tc>
          <w:tcPr>
            <w:tcW w:w="0" w:type="auto"/>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项目负责</w:t>
            </w:r>
            <w:r>
              <w:rPr>
                <w:rFonts w:hint="eastAsia" w:ascii="宋体" w:hAnsi="宋体" w:cs="宋体"/>
                <w:sz w:val="21"/>
                <w:szCs w:val="21"/>
                <w:lang w:val="en-US" w:eastAsia="zh-CN"/>
              </w:rPr>
              <w:t>人自2019年1月1日（合同签订时间为准）以来，承接的年养护面积为10万平方米以上的园林绿化养护业绩的（不包括园林工程施工项目中的养护），每个业绩得0.5分；最高得1分。</w:t>
            </w:r>
          </w:p>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firstLine="0" w:firstLineChars="0"/>
              <w:rPr>
                <w:rFonts w:hint="eastAsia" w:ascii="宋体" w:hAnsi="宋体" w:eastAsia="宋体" w:cs="宋体"/>
                <w:spacing w:val="-6"/>
                <w:kern w:val="2"/>
                <w:sz w:val="21"/>
                <w:szCs w:val="21"/>
                <w:lang w:val="en-US" w:eastAsia="zh-CN" w:bidi="ar-SA"/>
              </w:rPr>
            </w:pPr>
            <w:r>
              <w:rPr>
                <w:rFonts w:hint="eastAsia" w:ascii="宋体" w:hAnsi="宋体" w:eastAsia="宋体" w:cs="宋体"/>
                <w:b/>
                <w:bCs/>
                <w:spacing w:val="-6"/>
                <w:sz w:val="21"/>
                <w:szCs w:val="21"/>
                <w:lang w:eastAsia="zh-CN"/>
              </w:rPr>
              <w:t>【</w:t>
            </w:r>
            <w:r>
              <w:rPr>
                <w:rFonts w:hint="eastAsia" w:ascii="宋体" w:hAnsi="宋体" w:eastAsia="宋体" w:cs="宋体"/>
                <w:b/>
                <w:bCs/>
                <w:spacing w:val="-6"/>
                <w:sz w:val="21"/>
                <w:szCs w:val="21"/>
                <w:lang w:val="en-US" w:eastAsia="zh-CN"/>
              </w:rPr>
              <w:t>1.合同复印件加盖公章编入商务技术文件中，若提供的</w:t>
            </w:r>
            <w:r>
              <w:rPr>
                <w:rFonts w:hint="eastAsia" w:ascii="宋体" w:hAnsi="宋体" w:eastAsia="宋体" w:cs="宋体"/>
                <w:b/>
                <w:bCs/>
                <w:spacing w:val="-6"/>
                <w:sz w:val="21"/>
                <w:szCs w:val="21"/>
              </w:rPr>
              <w:t>资料不能反映是该项目负责人业绩的均不得分</w:t>
            </w:r>
            <w:r>
              <w:rPr>
                <w:rFonts w:hint="eastAsia" w:ascii="宋体" w:hAnsi="宋体" w:eastAsia="宋体" w:cs="宋体"/>
                <w:b/>
                <w:bCs/>
                <w:spacing w:val="-6"/>
                <w:sz w:val="21"/>
                <w:szCs w:val="21"/>
                <w:lang w:eastAsia="zh-CN"/>
              </w:rPr>
              <w:t>；</w:t>
            </w:r>
            <w:r>
              <w:rPr>
                <w:rFonts w:hint="eastAsia" w:ascii="宋体" w:hAnsi="宋体" w:eastAsia="宋体" w:cs="宋体"/>
                <w:b/>
                <w:bCs/>
                <w:spacing w:val="-6"/>
                <w:sz w:val="21"/>
                <w:szCs w:val="21"/>
                <w:lang w:val="en-US" w:eastAsia="zh-CN"/>
              </w:rPr>
              <w:t>2.养护面积需提供相关证明材料，若不能体现的不得分；3.合同甲方、项目名称均相同又分多个年份签订的只能算一个业绩。</w:t>
            </w:r>
            <w:r>
              <w:rPr>
                <w:rFonts w:hint="eastAsia" w:ascii="宋体" w:hAnsi="宋体" w:eastAsia="宋体" w:cs="宋体"/>
                <w:b/>
                <w:bCs/>
                <w:spacing w:val="-6"/>
                <w:sz w:val="21"/>
                <w:szCs w:val="21"/>
                <w:lang w:eastAsia="zh-CN"/>
              </w:rPr>
              <w:t>】</w:t>
            </w:r>
          </w:p>
        </w:tc>
        <w:tc>
          <w:tcPr>
            <w:tcW w:w="0" w:type="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s="宋体"/>
                <w:color w:val="auto"/>
                <w:kern w:val="0"/>
                <w:sz w:val="21"/>
                <w:szCs w:val="21"/>
                <w:lang w:bidi="ar"/>
              </w:rPr>
            </w:pPr>
          </w:p>
        </w:tc>
        <w:tc>
          <w:tcPr>
            <w:tcW w:w="0" w:type="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keepNext w:val="0"/>
              <w:keepLines w:val="0"/>
              <w:pageBreakBefore w:val="0"/>
              <w:kinsoku/>
              <w:wordWrap/>
              <w:overflowPunct/>
              <w:topLinePunct w:val="0"/>
              <w:autoSpaceDE/>
              <w:autoSpaceDN/>
              <w:bidi w:val="0"/>
              <w:spacing w:line="288" w:lineRule="auto"/>
              <w:jc w:val="center"/>
              <w:textAlignment w:val="auto"/>
              <w:rPr>
                <w:rFonts w:hint="default" w:ascii="宋体" w:hAnsi="宋体" w:cs="宋体"/>
                <w:color w:val="auto"/>
                <w:sz w:val="22"/>
                <w:szCs w:val="20"/>
                <w:lang w:val="en-US" w:eastAsia="zh-CN"/>
              </w:rPr>
            </w:pPr>
            <w:r>
              <w:rPr>
                <w:rFonts w:hint="eastAsia" w:ascii="宋体" w:hAnsi="宋体" w:cs="宋体"/>
                <w:color w:val="auto"/>
                <w:sz w:val="22"/>
                <w:szCs w:val="20"/>
                <w:lang w:val="en-US" w:eastAsia="zh-CN"/>
              </w:rPr>
              <w:t>6</w:t>
            </w:r>
          </w:p>
        </w:tc>
        <w:tc>
          <w:tcPr>
            <w:tcW w:w="0" w:type="auto"/>
            <w:vAlign w:val="center"/>
          </w:tcPr>
          <w:p>
            <w:pPr>
              <w:spacing w:line="460" w:lineRule="exact"/>
              <w:jc w:val="center"/>
              <w:rPr>
                <w:rFonts w:hint="eastAsia" w:ascii="宋体" w:hAnsi="宋体" w:eastAsia="宋体" w:cs="Times New Roman"/>
                <w:kern w:val="2"/>
                <w:sz w:val="21"/>
                <w:szCs w:val="21"/>
                <w:lang w:val="en-US" w:eastAsia="zh-CN" w:bidi="ar-SA"/>
              </w:rPr>
            </w:pPr>
            <w:r>
              <w:rPr>
                <w:rFonts w:hint="eastAsia" w:ascii="宋体" w:hAnsi="宋体"/>
              </w:rPr>
              <w:t>项目负责人得奖情况</w:t>
            </w:r>
          </w:p>
        </w:tc>
        <w:tc>
          <w:tcPr>
            <w:tcW w:w="0" w:type="auto"/>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自201</w:t>
            </w:r>
            <w:r>
              <w:rPr>
                <w:rFonts w:hint="eastAsia" w:ascii="宋体" w:hAnsi="宋体" w:cs="宋体"/>
                <w:sz w:val="21"/>
                <w:szCs w:val="21"/>
                <w:lang w:val="en-US" w:eastAsia="zh-CN"/>
              </w:rPr>
              <w:t>9</w:t>
            </w:r>
            <w:r>
              <w:rPr>
                <w:rFonts w:hint="eastAsia" w:ascii="宋体" w:hAnsi="宋体" w:eastAsia="宋体" w:cs="宋体"/>
                <w:sz w:val="21"/>
                <w:szCs w:val="21"/>
                <w:lang w:val="en-US" w:eastAsia="zh-CN"/>
              </w:rPr>
              <w:t>年1月1日以来，项目负责人承接的项目获得园林工程施工类奖项，国家级的得4分，获省级的得3分，获地市级的得2分，获县（市）级的得1分。</w:t>
            </w:r>
          </w:p>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pacing w:val="-6"/>
                <w:kern w:val="2"/>
                <w:sz w:val="21"/>
                <w:szCs w:val="21"/>
                <w:lang w:val="en-US" w:eastAsia="zh-CN" w:bidi="ar-SA"/>
              </w:rPr>
            </w:pPr>
            <w:r>
              <w:rPr>
                <w:rFonts w:hint="eastAsia" w:ascii="宋体" w:hAnsi="宋体" w:eastAsia="宋体" w:cs="宋体"/>
                <w:b/>
                <w:bCs/>
                <w:spacing w:val="-6"/>
                <w:sz w:val="21"/>
                <w:szCs w:val="21"/>
                <w:lang w:eastAsia="zh-CN"/>
              </w:rPr>
              <w:t>【</w:t>
            </w:r>
            <w:r>
              <w:rPr>
                <w:rFonts w:hint="eastAsia" w:ascii="宋体" w:hAnsi="宋体" w:eastAsia="宋体" w:cs="宋体"/>
                <w:b/>
                <w:bCs/>
                <w:spacing w:val="-6"/>
                <w:sz w:val="21"/>
                <w:szCs w:val="21"/>
                <w:lang w:val="en-US" w:eastAsia="zh-CN"/>
              </w:rPr>
              <w:t>1.</w:t>
            </w:r>
            <w:r>
              <w:rPr>
                <w:rFonts w:hint="eastAsia" w:ascii="宋体" w:hAnsi="宋体" w:eastAsia="宋体" w:cs="宋体"/>
                <w:b/>
                <w:bCs/>
                <w:spacing w:val="-6"/>
                <w:sz w:val="21"/>
                <w:szCs w:val="21"/>
              </w:rPr>
              <w:t>获奖文件</w:t>
            </w:r>
            <w:r>
              <w:rPr>
                <w:rFonts w:hint="eastAsia" w:ascii="宋体" w:hAnsi="宋体" w:eastAsia="宋体" w:cs="宋体"/>
                <w:b/>
                <w:bCs/>
                <w:spacing w:val="-6"/>
                <w:sz w:val="21"/>
                <w:szCs w:val="21"/>
                <w:lang w:val="en-US" w:eastAsia="zh-CN"/>
              </w:rPr>
              <w:t>复印件</w:t>
            </w:r>
            <w:r>
              <w:rPr>
                <w:rFonts w:hint="eastAsia" w:ascii="宋体" w:hAnsi="宋体" w:eastAsia="宋体" w:cs="宋体"/>
                <w:b/>
                <w:bCs/>
                <w:spacing w:val="-6"/>
                <w:sz w:val="21"/>
                <w:szCs w:val="21"/>
              </w:rPr>
              <w:t>或能查到该获奖文件的发文单位官方网址</w:t>
            </w:r>
            <w:r>
              <w:rPr>
                <w:rFonts w:hint="eastAsia" w:ascii="宋体" w:hAnsi="宋体" w:eastAsia="宋体" w:cs="宋体"/>
                <w:b/>
                <w:bCs/>
                <w:spacing w:val="-6"/>
                <w:sz w:val="21"/>
                <w:szCs w:val="21"/>
                <w:lang w:val="en-US" w:eastAsia="zh-CN"/>
              </w:rPr>
              <w:t>加盖公章编入商务技术文件中</w:t>
            </w:r>
            <w:r>
              <w:rPr>
                <w:rFonts w:hint="eastAsia" w:ascii="宋体" w:hAnsi="宋体" w:eastAsia="宋体" w:cs="宋体"/>
                <w:b/>
                <w:bCs/>
                <w:spacing w:val="-6"/>
                <w:sz w:val="21"/>
                <w:szCs w:val="21"/>
              </w:rPr>
              <w:t>，</w:t>
            </w:r>
            <w:r>
              <w:rPr>
                <w:rFonts w:hint="eastAsia" w:ascii="宋体" w:hAnsi="宋体" w:eastAsia="宋体" w:cs="宋体"/>
                <w:b/>
                <w:bCs/>
                <w:spacing w:val="-6"/>
                <w:sz w:val="21"/>
                <w:szCs w:val="21"/>
                <w:lang w:val="en-US" w:eastAsia="zh-CN"/>
              </w:rPr>
              <w:t>否则不得分；2.</w:t>
            </w:r>
            <w:r>
              <w:rPr>
                <w:rFonts w:hint="eastAsia" w:ascii="宋体" w:hAnsi="宋体" w:eastAsia="宋体" w:cs="宋体"/>
                <w:b/>
                <w:bCs/>
                <w:spacing w:val="-6"/>
                <w:sz w:val="21"/>
                <w:szCs w:val="21"/>
              </w:rPr>
              <w:t>以上奖项同一项目按最高分计，不重复计分</w:t>
            </w:r>
            <w:r>
              <w:rPr>
                <w:rFonts w:hint="eastAsia" w:ascii="宋体" w:hAnsi="宋体" w:eastAsia="宋体" w:cs="宋体"/>
                <w:b/>
                <w:bCs/>
                <w:spacing w:val="-6"/>
                <w:sz w:val="21"/>
                <w:szCs w:val="21"/>
                <w:lang w:eastAsia="zh-CN"/>
              </w:rPr>
              <w:t>。】</w:t>
            </w:r>
          </w:p>
        </w:tc>
        <w:tc>
          <w:tcPr>
            <w:tcW w:w="0" w:type="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s="宋体"/>
                <w:color w:val="auto"/>
                <w:kern w:val="0"/>
                <w:sz w:val="21"/>
                <w:szCs w:val="21"/>
                <w:lang w:bidi="ar"/>
              </w:rPr>
            </w:pPr>
          </w:p>
        </w:tc>
        <w:tc>
          <w:tcPr>
            <w:tcW w:w="0" w:type="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keepNext w:val="0"/>
              <w:keepLines w:val="0"/>
              <w:pageBreakBefore w:val="0"/>
              <w:kinsoku/>
              <w:wordWrap/>
              <w:overflowPunct/>
              <w:topLinePunct w:val="0"/>
              <w:autoSpaceDE/>
              <w:autoSpaceDN/>
              <w:bidi w:val="0"/>
              <w:spacing w:line="288" w:lineRule="auto"/>
              <w:jc w:val="center"/>
              <w:textAlignment w:val="auto"/>
              <w:rPr>
                <w:rFonts w:hint="default" w:ascii="宋体" w:hAnsi="宋体" w:cs="宋体"/>
                <w:color w:val="auto"/>
                <w:sz w:val="22"/>
                <w:szCs w:val="20"/>
                <w:lang w:val="en-US" w:eastAsia="zh-CN"/>
              </w:rPr>
            </w:pPr>
            <w:r>
              <w:rPr>
                <w:rFonts w:hint="eastAsia" w:ascii="宋体" w:hAnsi="宋体" w:cs="宋体"/>
                <w:color w:val="auto"/>
                <w:sz w:val="22"/>
                <w:szCs w:val="20"/>
                <w:lang w:val="en-US" w:eastAsia="zh-CN"/>
              </w:rPr>
              <w:t>7.1</w:t>
            </w:r>
          </w:p>
        </w:tc>
        <w:tc>
          <w:tcPr>
            <w:tcW w:w="1118" w:type="dxa"/>
            <w:vMerge w:val="restart"/>
            <w:vAlign w:val="center"/>
          </w:tcPr>
          <w:p>
            <w:pPr>
              <w:widowControl/>
              <w:jc w:val="center"/>
              <w:rPr>
                <w:rFonts w:hint="eastAsia" w:ascii="Times New Roman" w:hAnsi="Times New Roman" w:eastAsia="宋体" w:cs="Times New Roman"/>
                <w:kern w:val="2"/>
                <w:sz w:val="22"/>
                <w:szCs w:val="22"/>
                <w:highlight w:val="none"/>
                <w:lang w:val="en-US" w:eastAsia="zh-CN" w:bidi="ar-SA"/>
              </w:rPr>
            </w:pPr>
            <w:r>
              <w:rPr>
                <w:rFonts w:hint="eastAsia" w:ascii="宋体" w:hAnsi="宋体"/>
              </w:rPr>
              <w:t>拟投入设备情况得分</w:t>
            </w:r>
          </w:p>
        </w:tc>
        <w:tc>
          <w:tcPr>
            <w:tcW w:w="0" w:type="auto"/>
            <w:vAlign w:val="center"/>
          </w:tcPr>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rPr>
              <w:t>拟</w:t>
            </w:r>
            <w:r>
              <w:rPr>
                <w:rFonts w:hint="eastAsia" w:ascii="宋体" w:hAnsi="宋体" w:eastAsia="宋体" w:cs="宋体"/>
                <w:sz w:val="21"/>
                <w:szCs w:val="21"/>
                <w:lang w:val="en-US" w:eastAsia="zh-CN"/>
              </w:rPr>
              <w:t>投入设备中有8吨及以上洒水车的，得3分；有12吨及以上洒水车的，得4分；本项最高得4分。</w:t>
            </w:r>
            <w:r>
              <w:rPr>
                <w:rFonts w:hint="eastAsia" w:ascii="宋体" w:hAnsi="宋体" w:eastAsia="宋体" w:cs="宋体"/>
                <w:b/>
                <w:bCs/>
                <w:sz w:val="21"/>
                <w:szCs w:val="21"/>
                <w:lang w:val="en-US" w:eastAsia="zh-CN"/>
              </w:rPr>
              <w:t>（以上吨数为行驶证中的核定载重量）</w:t>
            </w:r>
          </w:p>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b/>
                <w:bCs/>
                <w:sz w:val="21"/>
                <w:szCs w:val="21"/>
                <w:lang w:val="en-US" w:eastAsia="zh-CN"/>
              </w:rPr>
              <w:t>【1.证明材料：提供机动车行驶证复印件、交强险保单复印件及车辆内外清晰照片；2.车辆有效性认定：须体现车辆载重数据；机动车行驶证中所有人必须为投标人单位名称或法定代表人姓名（须与投标人营业执照副本中法定代表人姓名一致）。】</w:t>
            </w:r>
          </w:p>
        </w:tc>
        <w:tc>
          <w:tcPr>
            <w:tcW w:w="0" w:type="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s="宋体"/>
                <w:color w:val="auto"/>
                <w:kern w:val="0"/>
                <w:sz w:val="21"/>
                <w:szCs w:val="21"/>
                <w:lang w:bidi="ar"/>
              </w:rPr>
            </w:pPr>
          </w:p>
        </w:tc>
        <w:tc>
          <w:tcPr>
            <w:tcW w:w="0" w:type="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keepNext w:val="0"/>
              <w:keepLines w:val="0"/>
              <w:pageBreakBefore w:val="0"/>
              <w:kinsoku/>
              <w:wordWrap/>
              <w:overflowPunct/>
              <w:topLinePunct w:val="0"/>
              <w:autoSpaceDE/>
              <w:autoSpaceDN/>
              <w:bidi w:val="0"/>
              <w:spacing w:line="288" w:lineRule="auto"/>
              <w:jc w:val="center"/>
              <w:textAlignment w:val="auto"/>
              <w:rPr>
                <w:rFonts w:hint="default" w:ascii="宋体" w:hAnsi="宋体" w:cs="宋体"/>
                <w:color w:val="auto"/>
                <w:sz w:val="22"/>
                <w:szCs w:val="20"/>
                <w:lang w:val="en-US" w:eastAsia="zh-CN"/>
              </w:rPr>
            </w:pPr>
            <w:r>
              <w:rPr>
                <w:rFonts w:hint="eastAsia" w:ascii="宋体" w:hAnsi="宋体" w:cs="宋体"/>
                <w:color w:val="auto"/>
                <w:sz w:val="22"/>
                <w:szCs w:val="20"/>
                <w:lang w:val="en-US" w:eastAsia="zh-CN"/>
              </w:rPr>
              <w:t>7.2</w:t>
            </w:r>
          </w:p>
        </w:tc>
        <w:tc>
          <w:tcPr>
            <w:tcW w:w="1118" w:type="dxa"/>
            <w:vMerge w:val="continue"/>
            <w:vAlign w:val="center"/>
          </w:tcPr>
          <w:p>
            <w:pPr>
              <w:widowControl/>
              <w:jc w:val="center"/>
              <w:rPr>
                <w:rFonts w:hint="eastAsia" w:ascii="Times New Roman" w:hAnsi="Times New Roman" w:eastAsia="宋体" w:cs="Times New Roman"/>
                <w:kern w:val="2"/>
                <w:sz w:val="22"/>
                <w:szCs w:val="22"/>
                <w:highlight w:val="none"/>
                <w:lang w:val="en-US" w:eastAsia="zh-CN" w:bidi="ar-SA"/>
              </w:rPr>
            </w:pPr>
          </w:p>
        </w:tc>
        <w:tc>
          <w:tcPr>
            <w:tcW w:w="0" w:type="auto"/>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拟投入设备中具有12米及以上的高空修剪车的得2分。</w:t>
            </w:r>
          </w:p>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【提供机动车行驶证复印件、交强险保单复印件及车辆内外清晰照片】</w:t>
            </w:r>
          </w:p>
        </w:tc>
        <w:tc>
          <w:tcPr>
            <w:tcW w:w="0" w:type="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s="宋体"/>
                <w:color w:val="auto"/>
                <w:kern w:val="0"/>
                <w:sz w:val="21"/>
                <w:szCs w:val="21"/>
                <w:lang w:bidi="ar"/>
              </w:rPr>
            </w:pPr>
          </w:p>
        </w:tc>
        <w:tc>
          <w:tcPr>
            <w:tcW w:w="0" w:type="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keepNext w:val="0"/>
              <w:keepLines w:val="0"/>
              <w:pageBreakBefore w:val="0"/>
              <w:kinsoku/>
              <w:wordWrap/>
              <w:overflowPunct/>
              <w:topLinePunct w:val="0"/>
              <w:autoSpaceDE/>
              <w:autoSpaceDN/>
              <w:bidi w:val="0"/>
              <w:spacing w:line="288" w:lineRule="auto"/>
              <w:jc w:val="center"/>
              <w:textAlignment w:val="auto"/>
              <w:rPr>
                <w:rFonts w:hint="default" w:ascii="宋体" w:hAnsi="宋体" w:cs="宋体"/>
                <w:color w:val="auto"/>
                <w:sz w:val="22"/>
                <w:szCs w:val="20"/>
                <w:lang w:val="en-US" w:eastAsia="zh-CN"/>
              </w:rPr>
            </w:pPr>
            <w:r>
              <w:rPr>
                <w:rFonts w:hint="eastAsia" w:ascii="宋体" w:hAnsi="宋体" w:cs="宋体"/>
                <w:color w:val="auto"/>
                <w:sz w:val="22"/>
                <w:szCs w:val="20"/>
                <w:lang w:val="en-US" w:eastAsia="zh-CN"/>
              </w:rPr>
              <w:t>7.3</w:t>
            </w:r>
          </w:p>
        </w:tc>
        <w:tc>
          <w:tcPr>
            <w:tcW w:w="1118" w:type="dxa"/>
            <w:vMerge w:val="continue"/>
            <w:vAlign w:val="center"/>
          </w:tcPr>
          <w:p>
            <w:pPr>
              <w:widowControl/>
              <w:jc w:val="center"/>
              <w:rPr>
                <w:rFonts w:hint="eastAsia" w:ascii="Times New Roman" w:hAnsi="Times New Roman" w:eastAsia="宋体" w:cs="Times New Roman"/>
                <w:kern w:val="2"/>
                <w:sz w:val="22"/>
                <w:szCs w:val="22"/>
                <w:highlight w:val="none"/>
                <w:lang w:val="en-US" w:eastAsia="zh-CN" w:bidi="ar-SA"/>
              </w:rPr>
            </w:pPr>
          </w:p>
        </w:tc>
        <w:tc>
          <w:tcPr>
            <w:tcW w:w="0" w:type="auto"/>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拟投入设备中具有垃圾压缩车的得2分。</w:t>
            </w:r>
          </w:p>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【提供机动车行驶证复印件、交强险保单复印件及车辆内外清晰照片】</w:t>
            </w:r>
          </w:p>
        </w:tc>
        <w:tc>
          <w:tcPr>
            <w:tcW w:w="0" w:type="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s="宋体"/>
                <w:color w:val="auto"/>
                <w:kern w:val="0"/>
                <w:sz w:val="21"/>
                <w:szCs w:val="21"/>
                <w:lang w:bidi="ar"/>
              </w:rPr>
            </w:pPr>
          </w:p>
        </w:tc>
        <w:tc>
          <w:tcPr>
            <w:tcW w:w="0" w:type="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s="宋体"/>
                <w:color w:val="auto"/>
                <w:kern w:val="0"/>
                <w:sz w:val="21"/>
                <w:szCs w:val="21"/>
                <w:lang w:bidi="ar"/>
              </w:rPr>
            </w:pPr>
          </w:p>
        </w:tc>
      </w:tr>
    </w:tbl>
    <w:p>
      <w:pPr>
        <w:widowControl/>
        <w:jc w:val="left"/>
        <w:rPr>
          <w:rFonts w:hint="eastAsia" w:hAnsi="宋体"/>
          <w:color w:val="auto"/>
          <w:sz w:val="22"/>
          <w:szCs w:val="20"/>
        </w:rPr>
      </w:pPr>
      <w:r>
        <w:rPr>
          <w:rFonts w:hint="eastAsia" w:hAnsi="宋体"/>
          <w:color w:val="auto"/>
          <w:sz w:val="22"/>
          <w:szCs w:val="20"/>
        </w:rPr>
        <w:t>注：</w:t>
      </w:r>
      <w:r>
        <w:rPr>
          <w:rFonts w:ascii="宋体" w:hAnsi="宋体" w:cs="宋体"/>
          <w:color w:val="auto"/>
          <w:kern w:val="0"/>
          <w:sz w:val="22"/>
          <w:szCs w:val="20"/>
          <w:lang w:bidi="ar"/>
        </w:rPr>
        <w:t>本表可在不改变格式的情况下根据具体需要自行增减</w:t>
      </w:r>
      <w:r>
        <w:rPr>
          <w:rFonts w:hint="eastAsia" w:hAnsi="宋体" w:cs="宋体"/>
          <w:color w:val="auto"/>
          <w:kern w:val="0"/>
          <w:sz w:val="22"/>
          <w:szCs w:val="20"/>
          <w:lang w:bidi="ar"/>
        </w:rPr>
        <w:t>。</w:t>
      </w:r>
    </w:p>
    <w:p>
      <w:pPr>
        <w:spacing w:line="500" w:lineRule="exact"/>
        <w:jc w:val="left"/>
        <w:textAlignment w:val="baseline"/>
        <w:rPr>
          <w:rFonts w:hint="eastAsia" w:hAnsi="宋体"/>
          <w:color w:val="auto"/>
          <w:sz w:val="24"/>
          <w:szCs w:val="21"/>
        </w:rPr>
      </w:pPr>
    </w:p>
    <w:p>
      <w:pPr>
        <w:spacing w:line="500" w:lineRule="exact"/>
        <w:jc w:val="left"/>
        <w:textAlignment w:val="baseline"/>
        <w:rPr>
          <w:rFonts w:hint="eastAsia" w:hAnsi="宋体"/>
          <w:color w:val="auto"/>
          <w:sz w:val="24"/>
          <w:szCs w:val="21"/>
        </w:rPr>
      </w:pPr>
      <w:r>
        <w:rPr>
          <w:rFonts w:hint="eastAsia" w:hAnsi="宋体"/>
          <w:color w:val="auto"/>
          <w:sz w:val="24"/>
          <w:szCs w:val="21"/>
        </w:rPr>
        <w:t>投标人全称（盖章）：</w:t>
      </w:r>
    </w:p>
    <w:p>
      <w:pPr>
        <w:spacing w:line="500" w:lineRule="exact"/>
        <w:textAlignment w:val="baseline"/>
        <w:rPr>
          <w:rFonts w:hint="eastAsia" w:hAnsi="宋体"/>
          <w:color w:val="auto"/>
          <w:sz w:val="24"/>
          <w:szCs w:val="21"/>
        </w:rPr>
      </w:pPr>
      <w:r>
        <w:rPr>
          <w:rFonts w:hint="eastAsia" w:hAnsi="宋体" w:cs="仿宋_GB2312"/>
          <w:color w:val="auto"/>
          <w:sz w:val="24"/>
          <w:szCs w:val="21"/>
        </w:rPr>
        <w:t>法定代表人或</w:t>
      </w:r>
      <w:r>
        <w:rPr>
          <w:rFonts w:hint="eastAsia" w:hAnsi="宋体"/>
          <w:color w:val="auto"/>
          <w:sz w:val="24"/>
          <w:szCs w:val="21"/>
        </w:rPr>
        <w:t>委托代理人（盖章或签字）：</w:t>
      </w:r>
    </w:p>
    <w:p>
      <w:pPr>
        <w:spacing w:line="500" w:lineRule="exact"/>
        <w:textAlignment w:val="baseline"/>
        <w:rPr>
          <w:rFonts w:hint="eastAsia" w:hAnsi="宋体"/>
          <w:color w:val="auto"/>
          <w:sz w:val="24"/>
          <w:szCs w:val="21"/>
        </w:rPr>
      </w:pPr>
      <w:r>
        <w:rPr>
          <w:rFonts w:hint="eastAsia" w:hAnsi="宋体"/>
          <w:color w:val="auto"/>
          <w:sz w:val="24"/>
          <w:szCs w:val="21"/>
        </w:rPr>
        <w:t xml:space="preserve">日  </w:t>
      </w:r>
      <w:r>
        <w:rPr>
          <w:rFonts w:hAnsi="宋体"/>
          <w:color w:val="auto"/>
          <w:sz w:val="24"/>
          <w:szCs w:val="21"/>
        </w:rPr>
        <w:t xml:space="preserve">  </w:t>
      </w:r>
      <w:r>
        <w:rPr>
          <w:rFonts w:hint="eastAsia" w:hAnsi="宋体"/>
          <w:color w:val="auto"/>
          <w:sz w:val="24"/>
          <w:szCs w:val="21"/>
        </w:rPr>
        <w:t xml:space="preserve">期： </w:t>
      </w:r>
      <w:r>
        <w:rPr>
          <w:rFonts w:hAnsi="宋体"/>
          <w:color w:val="auto"/>
          <w:sz w:val="24"/>
          <w:szCs w:val="21"/>
        </w:rPr>
        <w:t xml:space="preserve">  </w:t>
      </w:r>
      <w:r>
        <w:rPr>
          <w:rFonts w:hint="eastAsia" w:hAnsi="宋体"/>
          <w:color w:val="auto"/>
          <w:sz w:val="24"/>
          <w:szCs w:val="21"/>
        </w:rPr>
        <w:t xml:space="preserve"> </w:t>
      </w:r>
    </w:p>
    <w:p>
      <w:pPr>
        <w:rPr>
          <w:rFonts w:hint="eastAsia" w:ascii="宋体" w:hAnsi="宋体" w:cs="宋体"/>
          <w:b/>
          <w:bCs/>
          <w:color w:val="auto"/>
          <w:sz w:val="24"/>
          <w:lang w:bidi="ar"/>
        </w:rPr>
      </w:pPr>
      <w:r>
        <w:rPr>
          <w:rFonts w:hint="eastAsia" w:ascii="宋体" w:hAnsi="宋体" w:cs="宋体"/>
          <w:b/>
          <w:bCs/>
          <w:color w:val="auto"/>
          <w:sz w:val="24"/>
          <w:lang w:bidi="ar"/>
        </w:rPr>
        <w:br w:type="page"/>
      </w:r>
    </w:p>
    <w:p>
      <w:pPr>
        <w:spacing w:line="500" w:lineRule="exact"/>
        <w:rPr>
          <w:rFonts w:hint="eastAsia" w:ascii="宋体" w:hAnsi="宋体" w:cs="宋体"/>
          <w:b/>
          <w:bCs/>
          <w:color w:val="auto"/>
          <w:sz w:val="24"/>
          <w:lang w:bidi="ar"/>
        </w:rPr>
      </w:pPr>
      <w:r>
        <w:rPr>
          <w:rFonts w:hint="eastAsia" w:ascii="宋体" w:hAnsi="宋体" w:cs="宋体"/>
          <w:b/>
          <w:bCs/>
          <w:color w:val="auto"/>
          <w:sz w:val="24"/>
          <w:lang w:bidi="ar"/>
        </w:rPr>
        <w:t>附件</w:t>
      </w:r>
      <w:r>
        <w:rPr>
          <w:rFonts w:hint="eastAsia" w:ascii="宋体" w:hAnsi="宋体" w:cs="宋体"/>
          <w:b/>
          <w:bCs/>
          <w:color w:val="auto"/>
          <w:sz w:val="24"/>
          <w:lang w:val="en-US" w:eastAsia="zh-CN" w:bidi="ar"/>
        </w:rPr>
        <w:t>2</w:t>
      </w:r>
      <w:r>
        <w:rPr>
          <w:rFonts w:hint="eastAsia" w:ascii="宋体" w:hAnsi="宋体" w:cs="宋体"/>
          <w:b/>
          <w:bCs/>
          <w:color w:val="auto"/>
          <w:sz w:val="24"/>
          <w:lang w:bidi="ar"/>
        </w:rPr>
        <w:t>：</w:t>
      </w:r>
    </w:p>
    <w:p>
      <w:pPr>
        <w:pStyle w:val="50"/>
        <w:shd w:val="clear" w:color="auto" w:fill="FFFFFF"/>
        <w:spacing w:before="0" w:beforeAutospacing="0" w:after="0" w:afterAutospacing="0" w:line="360" w:lineRule="auto"/>
        <w:jc w:val="center"/>
        <w:rPr>
          <w:rFonts w:cs="Times New Roman"/>
          <w:b/>
          <w:bCs/>
          <w:spacing w:val="21"/>
          <w:sz w:val="28"/>
          <w:szCs w:val="28"/>
        </w:rPr>
      </w:pPr>
      <w:r>
        <w:rPr>
          <w:b/>
          <w:bCs/>
          <w:sz w:val="28"/>
          <w:szCs w:val="28"/>
        </w:rPr>
        <w:t xml:space="preserve">  </w:t>
      </w:r>
      <w:r>
        <w:rPr>
          <w:rFonts w:hint="eastAsia"/>
          <w:b/>
          <w:bCs/>
          <w:sz w:val="28"/>
          <w:szCs w:val="28"/>
        </w:rPr>
        <w:t>投标</w:t>
      </w:r>
      <w:r>
        <w:rPr>
          <w:rFonts w:hint="eastAsia"/>
          <w:b/>
          <w:bCs/>
          <w:spacing w:val="21"/>
          <w:sz w:val="28"/>
          <w:szCs w:val="28"/>
        </w:rPr>
        <w:t>人基本情况表</w:t>
      </w:r>
    </w:p>
    <w:tbl>
      <w:tblPr>
        <w:tblStyle w:val="28"/>
        <w:tblW w:w="95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27"/>
        <w:gridCol w:w="763"/>
        <w:gridCol w:w="1026"/>
        <w:gridCol w:w="1833"/>
        <w:gridCol w:w="1834"/>
        <w:gridCol w:w="1003"/>
        <w:gridCol w:w="115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927" w:type="dxa"/>
            <w:vAlign w:val="center"/>
          </w:tcPr>
          <w:p>
            <w:pPr>
              <w:pStyle w:val="66"/>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tc>
        <w:tc>
          <w:tcPr>
            <w:tcW w:w="7618" w:type="dxa"/>
            <w:gridSpan w:val="6"/>
            <w:vAlign w:val="center"/>
          </w:tcPr>
          <w:p>
            <w:pPr>
              <w:pStyle w:val="66"/>
              <w:spacing w:line="240" w:lineRule="auto"/>
              <w:ind w:firstLine="315"/>
              <w:jc w:val="both"/>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927" w:type="dxa"/>
            <w:vAlign w:val="center"/>
          </w:tcPr>
          <w:p>
            <w:pPr>
              <w:pStyle w:val="66"/>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3622" w:type="dxa"/>
            <w:gridSpan w:val="3"/>
            <w:vAlign w:val="center"/>
          </w:tcPr>
          <w:p>
            <w:pPr>
              <w:pStyle w:val="66"/>
              <w:spacing w:line="240" w:lineRule="auto"/>
              <w:ind w:firstLine="315"/>
              <w:jc w:val="both"/>
              <w:rPr>
                <w:rFonts w:hint="eastAsia" w:ascii="宋体" w:hAnsi="宋体" w:eastAsia="宋体" w:cs="宋体"/>
                <w:color w:val="auto"/>
                <w:sz w:val="24"/>
                <w:szCs w:val="24"/>
              </w:rPr>
            </w:pPr>
          </w:p>
        </w:tc>
        <w:tc>
          <w:tcPr>
            <w:tcW w:w="1834" w:type="dxa"/>
            <w:vAlign w:val="center"/>
          </w:tcPr>
          <w:p>
            <w:pPr>
              <w:pStyle w:val="66"/>
              <w:spacing w:line="240" w:lineRule="auto"/>
              <w:ind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2162" w:type="dxa"/>
            <w:gridSpan w:val="2"/>
            <w:vAlign w:val="center"/>
          </w:tcPr>
          <w:p>
            <w:pPr>
              <w:pStyle w:val="66"/>
              <w:spacing w:line="240" w:lineRule="auto"/>
              <w:ind w:firstLine="315"/>
              <w:jc w:val="both"/>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927" w:type="dxa"/>
            <w:vMerge w:val="restart"/>
            <w:vAlign w:val="center"/>
          </w:tcPr>
          <w:p>
            <w:pPr>
              <w:pStyle w:val="66"/>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763" w:type="dxa"/>
            <w:vAlign w:val="center"/>
          </w:tcPr>
          <w:p>
            <w:pPr>
              <w:pStyle w:val="66"/>
              <w:spacing w:line="24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859" w:type="dxa"/>
            <w:gridSpan w:val="2"/>
            <w:vAlign w:val="center"/>
          </w:tcPr>
          <w:p>
            <w:pPr>
              <w:pStyle w:val="66"/>
              <w:spacing w:line="240" w:lineRule="auto"/>
              <w:ind w:firstLine="315"/>
              <w:jc w:val="both"/>
              <w:rPr>
                <w:rFonts w:hint="eastAsia" w:ascii="宋体" w:hAnsi="宋体" w:eastAsia="宋体" w:cs="宋体"/>
                <w:color w:val="auto"/>
                <w:sz w:val="24"/>
                <w:szCs w:val="24"/>
              </w:rPr>
            </w:pPr>
          </w:p>
        </w:tc>
        <w:tc>
          <w:tcPr>
            <w:tcW w:w="1834" w:type="dxa"/>
            <w:vAlign w:val="center"/>
          </w:tcPr>
          <w:p>
            <w:pPr>
              <w:pStyle w:val="66"/>
              <w:spacing w:line="240" w:lineRule="auto"/>
              <w:ind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162" w:type="dxa"/>
            <w:gridSpan w:val="2"/>
            <w:vAlign w:val="center"/>
          </w:tcPr>
          <w:p>
            <w:pPr>
              <w:pStyle w:val="66"/>
              <w:spacing w:line="240" w:lineRule="auto"/>
              <w:ind w:firstLine="315"/>
              <w:jc w:val="both"/>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927" w:type="dxa"/>
            <w:vMerge w:val="continue"/>
            <w:vAlign w:val="center"/>
          </w:tcPr>
          <w:p>
            <w:pPr>
              <w:pStyle w:val="66"/>
              <w:spacing w:line="240" w:lineRule="auto"/>
              <w:ind w:left="0" w:leftChars="0" w:firstLine="0" w:firstLineChars="0"/>
              <w:jc w:val="center"/>
              <w:rPr>
                <w:rFonts w:hint="eastAsia" w:ascii="宋体" w:hAnsi="宋体" w:eastAsia="宋体" w:cs="宋体"/>
                <w:color w:val="auto"/>
                <w:sz w:val="24"/>
                <w:szCs w:val="24"/>
              </w:rPr>
            </w:pPr>
          </w:p>
        </w:tc>
        <w:tc>
          <w:tcPr>
            <w:tcW w:w="763" w:type="dxa"/>
            <w:vAlign w:val="center"/>
          </w:tcPr>
          <w:p>
            <w:pPr>
              <w:pStyle w:val="66"/>
              <w:spacing w:line="24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传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真</w:t>
            </w:r>
          </w:p>
        </w:tc>
        <w:tc>
          <w:tcPr>
            <w:tcW w:w="2859" w:type="dxa"/>
            <w:gridSpan w:val="2"/>
            <w:vAlign w:val="center"/>
          </w:tcPr>
          <w:p>
            <w:pPr>
              <w:pStyle w:val="66"/>
              <w:spacing w:line="240" w:lineRule="auto"/>
              <w:ind w:firstLine="315"/>
              <w:jc w:val="both"/>
              <w:rPr>
                <w:rFonts w:hint="eastAsia" w:ascii="宋体" w:hAnsi="宋体" w:eastAsia="宋体" w:cs="宋体"/>
                <w:color w:val="auto"/>
                <w:sz w:val="24"/>
                <w:szCs w:val="24"/>
              </w:rPr>
            </w:pPr>
          </w:p>
        </w:tc>
        <w:tc>
          <w:tcPr>
            <w:tcW w:w="1834" w:type="dxa"/>
            <w:vAlign w:val="center"/>
          </w:tcPr>
          <w:p>
            <w:pPr>
              <w:pStyle w:val="66"/>
              <w:spacing w:line="240" w:lineRule="auto"/>
              <w:ind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电子邮件</w:t>
            </w:r>
          </w:p>
        </w:tc>
        <w:tc>
          <w:tcPr>
            <w:tcW w:w="2162" w:type="dxa"/>
            <w:gridSpan w:val="2"/>
            <w:vAlign w:val="center"/>
          </w:tcPr>
          <w:p>
            <w:pPr>
              <w:pStyle w:val="66"/>
              <w:spacing w:line="240" w:lineRule="auto"/>
              <w:ind w:firstLine="315"/>
              <w:jc w:val="both"/>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927" w:type="dxa"/>
            <w:vAlign w:val="center"/>
          </w:tcPr>
          <w:p>
            <w:pPr>
              <w:pStyle w:val="66"/>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763" w:type="dxa"/>
            <w:vAlign w:val="center"/>
          </w:tcPr>
          <w:p>
            <w:pPr>
              <w:pStyle w:val="66"/>
              <w:spacing w:line="24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名</w:t>
            </w:r>
          </w:p>
        </w:tc>
        <w:tc>
          <w:tcPr>
            <w:tcW w:w="1026" w:type="dxa"/>
            <w:vAlign w:val="center"/>
          </w:tcPr>
          <w:p>
            <w:pPr>
              <w:pStyle w:val="66"/>
              <w:spacing w:line="240" w:lineRule="auto"/>
              <w:ind w:firstLine="315"/>
              <w:jc w:val="both"/>
              <w:rPr>
                <w:rFonts w:hint="eastAsia" w:ascii="宋体" w:hAnsi="宋体" w:eastAsia="宋体" w:cs="宋体"/>
                <w:color w:val="auto"/>
                <w:sz w:val="24"/>
                <w:szCs w:val="24"/>
              </w:rPr>
            </w:pPr>
          </w:p>
        </w:tc>
        <w:tc>
          <w:tcPr>
            <w:tcW w:w="1833" w:type="dxa"/>
            <w:vAlign w:val="center"/>
          </w:tcPr>
          <w:p>
            <w:pPr>
              <w:pStyle w:val="66"/>
              <w:spacing w:line="240" w:lineRule="auto"/>
              <w:ind w:firstLine="315"/>
              <w:jc w:val="both"/>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1834" w:type="dxa"/>
            <w:vAlign w:val="center"/>
          </w:tcPr>
          <w:p>
            <w:pPr>
              <w:pStyle w:val="66"/>
              <w:spacing w:line="240" w:lineRule="auto"/>
              <w:ind w:firstLine="315"/>
              <w:jc w:val="both"/>
              <w:rPr>
                <w:rFonts w:hint="eastAsia" w:ascii="宋体" w:hAnsi="宋体" w:eastAsia="宋体" w:cs="宋体"/>
                <w:color w:val="auto"/>
                <w:sz w:val="24"/>
                <w:szCs w:val="24"/>
              </w:rPr>
            </w:pPr>
          </w:p>
        </w:tc>
        <w:tc>
          <w:tcPr>
            <w:tcW w:w="1003" w:type="dxa"/>
            <w:vAlign w:val="center"/>
          </w:tcPr>
          <w:p>
            <w:pPr>
              <w:pStyle w:val="66"/>
              <w:spacing w:line="240" w:lineRule="auto"/>
              <w:ind w:firstLine="315"/>
              <w:jc w:val="both"/>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159" w:type="dxa"/>
            <w:vAlign w:val="center"/>
          </w:tcPr>
          <w:p>
            <w:pPr>
              <w:pStyle w:val="66"/>
              <w:spacing w:line="240" w:lineRule="auto"/>
              <w:ind w:firstLine="315"/>
              <w:jc w:val="both"/>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927" w:type="dxa"/>
            <w:vAlign w:val="center"/>
          </w:tcPr>
          <w:p>
            <w:pPr>
              <w:pStyle w:val="66"/>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技术</w:t>
            </w:r>
            <w:r>
              <w:rPr>
                <w:rFonts w:hint="eastAsia" w:ascii="宋体" w:hAnsi="宋体" w:eastAsia="宋体" w:cs="宋体"/>
                <w:color w:val="auto"/>
                <w:sz w:val="24"/>
                <w:szCs w:val="24"/>
              </w:rPr>
              <w:t>负责人</w:t>
            </w:r>
          </w:p>
        </w:tc>
        <w:tc>
          <w:tcPr>
            <w:tcW w:w="763" w:type="dxa"/>
            <w:vAlign w:val="center"/>
          </w:tcPr>
          <w:p>
            <w:pPr>
              <w:pStyle w:val="66"/>
              <w:spacing w:line="240" w:lineRule="auto"/>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名</w:t>
            </w:r>
          </w:p>
        </w:tc>
        <w:tc>
          <w:tcPr>
            <w:tcW w:w="1026" w:type="dxa"/>
            <w:vAlign w:val="center"/>
          </w:tcPr>
          <w:p>
            <w:pPr>
              <w:pStyle w:val="66"/>
              <w:spacing w:line="240" w:lineRule="auto"/>
              <w:ind w:firstLine="315"/>
              <w:jc w:val="both"/>
              <w:rPr>
                <w:rFonts w:hint="eastAsia" w:ascii="宋体" w:hAnsi="宋体" w:eastAsia="宋体" w:cs="宋体"/>
                <w:color w:val="auto"/>
                <w:sz w:val="24"/>
                <w:szCs w:val="24"/>
              </w:rPr>
            </w:pPr>
          </w:p>
        </w:tc>
        <w:tc>
          <w:tcPr>
            <w:tcW w:w="1833" w:type="dxa"/>
            <w:vAlign w:val="center"/>
          </w:tcPr>
          <w:p>
            <w:pPr>
              <w:pStyle w:val="66"/>
              <w:spacing w:line="240" w:lineRule="auto"/>
              <w:ind w:firstLine="315"/>
              <w:jc w:val="both"/>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1834" w:type="dxa"/>
            <w:vAlign w:val="center"/>
          </w:tcPr>
          <w:p>
            <w:pPr>
              <w:pStyle w:val="66"/>
              <w:spacing w:line="240" w:lineRule="auto"/>
              <w:ind w:firstLine="315"/>
              <w:jc w:val="both"/>
              <w:rPr>
                <w:rFonts w:hint="eastAsia" w:ascii="宋体" w:hAnsi="宋体" w:eastAsia="宋体" w:cs="宋体"/>
                <w:color w:val="auto"/>
                <w:sz w:val="24"/>
                <w:szCs w:val="24"/>
              </w:rPr>
            </w:pPr>
          </w:p>
        </w:tc>
        <w:tc>
          <w:tcPr>
            <w:tcW w:w="1003" w:type="dxa"/>
            <w:vAlign w:val="center"/>
          </w:tcPr>
          <w:p>
            <w:pPr>
              <w:pStyle w:val="66"/>
              <w:spacing w:line="240" w:lineRule="auto"/>
              <w:ind w:firstLine="315"/>
              <w:jc w:val="both"/>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159" w:type="dxa"/>
            <w:vAlign w:val="center"/>
          </w:tcPr>
          <w:p>
            <w:pPr>
              <w:pStyle w:val="66"/>
              <w:spacing w:line="240" w:lineRule="auto"/>
              <w:ind w:firstLine="315"/>
              <w:jc w:val="both"/>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927" w:type="dxa"/>
            <w:vAlign w:val="center"/>
          </w:tcPr>
          <w:p>
            <w:pPr>
              <w:pStyle w:val="66"/>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789" w:type="dxa"/>
            <w:gridSpan w:val="2"/>
            <w:vAlign w:val="center"/>
          </w:tcPr>
          <w:p>
            <w:pPr>
              <w:pStyle w:val="66"/>
              <w:spacing w:line="240" w:lineRule="auto"/>
              <w:ind w:firstLine="315"/>
              <w:jc w:val="both"/>
              <w:rPr>
                <w:rFonts w:hint="eastAsia" w:ascii="宋体" w:hAnsi="宋体" w:eastAsia="宋体" w:cs="宋体"/>
                <w:color w:val="auto"/>
                <w:sz w:val="24"/>
                <w:szCs w:val="24"/>
              </w:rPr>
            </w:pPr>
          </w:p>
        </w:tc>
        <w:tc>
          <w:tcPr>
            <w:tcW w:w="5829" w:type="dxa"/>
            <w:gridSpan w:val="4"/>
            <w:vAlign w:val="center"/>
          </w:tcPr>
          <w:p>
            <w:pPr>
              <w:pStyle w:val="66"/>
              <w:spacing w:line="240" w:lineRule="auto"/>
              <w:ind w:firstLine="315"/>
              <w:jc w:val="both"/>
              <w:rPr>
                <w:rFonts w:hint="eastAsia" w:ascii="宋体" w:hAnsi="宋体" w:eastAsia="宋体" w:cs="宋体"/>
                <w:color w:val="auto"/>
                <w:sz w:val="24"/>
                <w:szCs w:val="24"/>
              </w:rPr>
            </w:pPr>
            <w:r>
              <w:rPr>
                <w:rFonts w:hint="eastAsia" w:ascii="宋体" w:hAnsi="宋体" w:eastAsia="宋体" w:cs="宋体"/>
                <w:color w:val="auto"/>
                <w:sz w:val="24"/>
                <w:szCs w:val="24"/>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927" w:type="dxa"/>
            <w:vAlign w:val="center"/>
          </w:tcPr>
          <w:p>
            <w:pPr>
              <w:pStyle w:val="66"/>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企业资质</w:t>
            </w:r>
          </w:p>
        </w:tc>
        <w:tc>
          <w:tcPr>
            <w:tcW w:w="1789" w:type="dxa"/>
            <w:gridSpan w:val="2"/>
            <w:vAlign w:val="center"/>
          </w:tcPr>
          <w:p>
            <w:pPr>
              <w:pStyle w:val="66"/>
              <w:spacing w:line="240" w:lineRule="auto"/>
              <w:ind w:firstLine="315"/>
              <w:jc w:val="both"/>
              <w:rPr>
                <w:rFonts w:hint="eastAsia" w:ascii="宋体" w:hAnsi="宋体" w:eastAsia="宋体" w:cs="宋体"/>
                <w:color w:val="auto"/>
                <w:sz w:val="24"/>
                <w:szCs w:val="24"/>
              </w:rPr>
            </w:pPr>
          </w:p>
        </w:tc>
        <w:tc>
          <w:tcPr>
            <w:tcW w:w="1833" w:type="dxa"/>
            <w:vMerge w:val="restart"/>
            <w:vAlign w:val="center"/>
          </w:tcPr>
          <w:p>
            <w:pPr>
              <w:pStyle w:val="66"/>
              <w:spacing w:line="240" w:lineRule="auto"/>
              <w:ind w:firstLine="315"/>
              <w:jc w:val="both"/>
              <w:rPr>
                <w:rFonts w:hint="eastAsia" w:ascii="宋体" w:hAnsi="宋体" w:eastAsia="宋体" w:cs="宋体"/>
                <w:color w:val="auto"/>
                <w:sz w:val="24"/>
                <w:szCs w:val="24"/>
              </w:rPr>
            </w:pPr>
            <w:r>
              <w:rPr>
                <w:rFonts w:hint="eastAsia" w:ascii="宋体" w:hAnsi="宋体" w:eastAsia="宋体" w:cs="宋体"/>
                <w:color w:val="auto"/>
                <w:sz w:val="24"/>
                <w:szCs w:val="24"/>
              </w:rPr>
              <w:t>其中</w:t>
            </w:r>
          </w:p>
        </w:tc>
        <w:tc>
          <w:tcPr>
            <w:tcW w:w="1834" w:type="dxa"/>
            <w:vAlign w:val="center"/>
          </w:tcPr>
          <w:p>
            <w:pPr>
              <w:pStyle w:val="66"/>
              <w:spacing w:line="240" w:lineRule="auto"/>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项目负责人</w:t>
            </w:r>
          </w:p>
        </w:tc>
        <w:tc>
          <w:tcPr>
            <w:tcW w:w="2162" w:type="dxa"/>
            <w:gridSpan w:val="2"/>
            <w:vAlign w:val="center"/>
          </w:tcPr>
          <w:p>
            <w:pPr>
              <w:pStyle w:val="66"/>
              <w:spacing w:line="240" w:lineRule="auto"/>
              <w:ind w:firstLine="315"/>
              <w:jc w:val="both"/>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927" w:type="dxa"/>
            <w:vAlign w:val="center"/>
          </w:tcPr>
          <w:p>
            <w:pPr>
              <w:pStyle w:val="66"/>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1789" w:type="dxa"/>
            <w:gridSpan w:val="2"/>
            <w:vAlign w:val="center"/>
          </w:tcPr>
          <w:p>
            <w:pPr>
              <w:pStyle w:val="66"/>
              <w:spacing w:line="240" w:lineRule="auto"/>
              <w:ind w:firstLine="315"/>
              <w:jc w:val="both"/>
              <w:rPr>
                <w:rFonts w:hint="eastAsia" w:ascii="宋体" w:hAnsi="宋体" w:eastAsia="宋体" w:cs="宋体"/>
                <w:color w:val="auto"/>
                <w:sz w:val="24"/>
                <w:szCs w:val="24"/>
              </w:rPr>
            </w:pPr>
          </w:p>
        </w:tc>
        <w:tc>
          <w:tcPr>
            <w:tcW w:w="1833" w:type="dxa"/>
            <w:vMerge w:val="continue"/>
            <w:vAlign w:val="center"/>
          </w:tcPr>
          <w:p>
            <w:pPr>
              <w:pStyle w:val="66"/>
              <w:spacing w:line="240" w:lineRule="auto"/>
              <w:ind w:firstLine="315"/>
              <w:jc w:val="both"/>
              <w:rPr>
                <w:rFonts w:hint="eastAsia" w:ascii="宋体" w:hAnsi="宋体" w:eastAsia="宋体" w:cs="宋体"/>
                <w:color w:val="auto"/>
                <w:sz w:val="24"/>
                <w:szCs w:val="24"/>
              </w:rPr>
            </w:pPr>
          </w:p>
        </w:tc>
        <w:tc>
          <w:tcPr>
            <w:tcW w:w="1834" w:type="dxa"/>
            <w:vAlign w:val="center"/>
          </w:tcPr>
          <w:p>
            <w:pPr>
              <w:pStyle w:val="66"/>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高级职称人员</w:t>
            </w:r>
          </w:p>
        </w:tc>
        <w:tc>
          <w:tcPr>
            <w:tcW w:w="2162" w:type="dxa"/>
            <w:gridSpan w:val="2"/>
            <w:vAlign w:val="center"/>
          </w:tcPr>
          <w:p>
            <w:pPr>
              <w:pStyle w:val="66"/>
              <w:spacing w:line="240" w:lineRule="auto"/>
              <w:ind w:firstLine="315"/>
              <w:jc w:val="both"/>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927" w:type="dxa"/>
            <w:vAlign w:val="center"/>
          </w:tcPr>
          <w:p>
            <w:pPr>
              <w:pStyle w:val="66"/>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1789" w:type="dxa"/>
            <w:gridSpan w:val="2"/>
            <w:vAlign w:val="center"/>
          </w:tcPr>
          <w:p>
            <w:pPr>
              <w:pStyle w:val="66"/>
              <w:spacing w:line="240" w:lineRule="auto"/>
              <w:ind w:firstLine="315"/>
              <w:jc w:val="both"/>
              <w:rPr>
                <w:rFonts w:hint="eastAsia" w:ascii="宋体" w:hAnsi="宋体" w:eastAsia="宋体" w:cs="宋体"/>
                <w:color w:val="auto"/>
                <w:sz w:val="24"/>
                <w:szCs w:val="24"/>
              </w:rPr>
            </w:pPr>
          </w:p>
        </w:tc>
        <w:tc>
          <w:tcPr>
            <w:tcW w:w="1833" w:type="dxa"/>
            <w:vMerge w:val="continue"/>
            <w:vAlign w:val="center"/>
          </w:tcPr>
          <w:p>
            <w:pPr>
              <w:pStyle w:val="66"/>
              <w:spacing w:line="240" w:lineRule="auto"/>
              <w:ind w:firstLine="315"/>
              <w:jc w:val="both"/>
              <w:rPr>
                <w:rFonts w:hint="eastAsia" w:ascii="宋体" w:hAnsi="宋体" w:eastAsia="宋体" w:cs="宋体"/>
                <w:color w:val="auto"/>
                <w:sz w:val="24"/>
                <w:szCs w:val="24"/>
              </w:rPr>
            </w:pPr>
          </w:p>
        </w:tc>
        <w:tc>
          <w:tcPr>
            <w:tcW w:w="1834" w:type="dxa"/>
            <w:vAlign w:val="center"/>
          </w:tcPr>
          <w:p>
            <w:pPr>
              <w:pStyle w:val="66"/>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中级职称人员</w:t>
            </w:r>
          </w:p>
        </w:tc>
        <w:tc>
          <w:tcPr>
            <w:tcW w:w="2162" w:type="dxa"/>
            <w:gridSpan w:val="2"/>
            <w:vAlign w:val="center"/>
          </w:tcPr>
          <w:p>
            <w:pPr>
              <w:pStyle w:val="66"/>
              <w:spacing w:line="240" w:lineRule="auto"/>
              <w:ind w:firstLine="315"/>
              <w:jc w:val="both"/>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927" w:type="dxa"/>
            <w:vAlign w:val="center"/>
          </w:tcPr>
          <w:p>
            <w:pPr>
              <w:pStyle w:val="66"/>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基本账户开户</w:t>
            </w:r>
          </w:p>
          <w:p>
            <w:pPr>
              <w:pStyle w:val="66"/>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银行</w:t>
            </w:r>
          </w:p>
        </w:tc>
        <w:tc>
          <w:tcPr>
            <w:tcW w:w="1789" w:type="dxa"/>
            <w:gridSpan w:val="2"/>
            <w:vAlign w:val="center"/>
          </w:tcPr>
          <w:p>
            <w:pPr>
              <w:pStyle w:val="66"/>
              <w:spacing w:line="240" w:lineRule="auto"/>
              <w:ind w:firstLine="315"/>
              <w:jc w:val="both"/>
              <w:rPr>
                <w:rFonts w:hint="eastAsia" w:ascii="宋体" w:hAnsi="宋体" w:eastAsia="宋体" w:cs="宋体"/>
                <w:color w:val="auto"/>
                <w:sz w:val="24"/>
                <w:szCs w:val="24"/>
              </w:rPr>
            </w:pPr>
          </w:p>
        </w:tc>
        <w:tc>
          <w:tcPr>
            <w:tcW w:w="1833" w:type="dxa"/>
            <w:vMerge w:val="continue"/>
            <w:vAlign w:val="center"/>
          </w:tcPr>
          <w:p>
            <w:pPr>
              <w:pStyle w:val="66"/>
              <w:spacing w:line="240" w:lineRule="auto"/>
              <w:ind w:firstLine="315"/>
              <w:jc w:val="both"/>
              <w:rPr>
                <w:rFonts w:hint="eastAsia" w:ascii="宋体" w:hAnsi="宋体" w:eastAsia="宋体" w:cs="宋体"/>
                <w:color w:val="auto"/>
                <w:sz w:val="24"/>
                <w:szCs w:val="24"/>
              </w:rPr>
            </w:pPr>
          </w:p>
        </w:tc>
        <w:tc>
          <w:tcPr>
            <w:tcW w:w="1834" w:type="dxa"/>
            <w:vAlign w:val="center"/>
          </w:tcPr>
          <w:p>
            <w:pPr>
              <w:pStyle w:val="66"/>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初级职称人员</w:t>
            </w:r>
          </w:p>
        </w:tc>
        <w:tc>
          <w:tcPr>
            <w:tcW w:w="2162" w:type="dxa"/>
            <w:gridSpan w:val="2"/>
            <w:vAlign w:val="center"/>
          </w:tcPr>
          <w:p>
            <w:pPr>
              <w:pStyle w:val="66"/>
              <w:spacing w:line="240" w:lineRule="auto"/>
              <w:ind w:firstLine="315"/>
              <w:jc w:val="both"/>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927" w:type="dxa"/>
            <w:vAlign w:val="center"/>
          </w:tcPr>
          <w:p>
            <w:pPr>
              <w:pStyle w:val="66"/>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基本账户账号</w:t>
            </w:r>
          </w:p>
        </w:tc>
        <w:tc>
          <w:tcPr>
            <w:tcW w:w="1789" w:type="dxa"/>
            <w:gridSpan w:val="2"/>
            <w:vAlign w:val="center"/>
          </w:tcPr>
          <w:p>
            <w:pPr>
              <w:pStyle w:val="66"/>
              <w:spacing w:line="240" w:lineRule="auto"/>
              <w:ind w:firstLine="315"/>
              <w:jc w:val="both"/>
              <w:rPr>
                <w:rFonts w:hint="eastAsia" w:ascii="宋体" w:hAnsi="宋体" w:eastAsia="宋体" w:cs="宋体"/>
                <w:color w:val="auto"/>
                <w:sz w:val="24"/>
                <w:szCs w:val="24"/>
              </w:rPr>
            </w:pPr>
          </w:p>
        </w:tc>
        <w:tc>
          <w:tcPr>
            <w:tcW w:w="1833" w:type="dxa"/>
            <w:vMerge w:val="continue"/>
            <w:vAlign w:val="center"/>
          </w:tcPr>
          <w:p>
            <w:pPr>
              <w:pStyle w:val="66"/>
              <w:spacing w:line="240" w:lineRule="auto"/>
              <w:ind w:firstLine="315"/>
              <w:jc w:val="both"/>
              <w:rPr>
                <w:rFonts w:hint="eastAsia" w:ascii="宋体" w:hAnsi="宋体" w:eastAsia="宋体" w:cs="宋体"/>
                <w:color w:val="auto"/>
                <w:sz w:val="24"/>
                <w:szCs w:val="24"/>
              </w:rPr>
            </w:pPr>
          </w:p>
        </w:tc>
        <w:tc>
          <w:tcPr>
            <w:tcW w:w="1834" w:type="dxa"/>
            <w:vAlign w:val="center"/>
          </w:tcPr>
          <w:p>
            <w:pPr>
              <w:pStyle w:val="66"/>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162" w:type="dxa"/>
            <w:gridSpan w:val="2"/>
            <w:vAlign w:val="center"/>
          </w:tcPr>
          <w:p>
            <w:pPr>
              <w:pStyle w:val="66"/>
              <w:spacing w:line="240" w:lineRule="auto"/>
              <w:ind w:firstLine="315"/>
              <w:jc w:val="both"/>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04" w:hRule="exact"/>
          <w:jc w:val="center"/>
        </w:trPr>
        <w:tc>
          <w:tcPr>
            <w:tcW w:w="1927" w:type="dxa"/>
            <w:vAlign w:val="center"/>
          </w:tcPr>
          <w:p>
            <w:pPr>
              <w:pStyle w:val="66"/>
              <w:spacing w:line="240" w:lineRule="auto"/>
              <w:ind w:firstLine="315"/>
              <w:jc w:val="both"/>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7618" w:type="dxa"/>
            <w:gridSpan w:val="6"/>
            <w:vAlign w:val="center"/>
          </w:tcPr>
          <w:p>
            <w:pPr>
              <w:pStyle w:val="66"/>
              <w:spacing w:line="240" w:lineRule="auto"/>
              <w:ind w:firstLine="315"/>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96" w:hRule="exact"/>
          <w:jc w:val="center"/>
        </w:trPr>
        <w:tc>
          <w:tcPr>
            <w:tcW w:w="1927" w:type="dxa"/>
            <w:vAlign w:val="center"/>
          </w:tcPr>
          <w:p>
            <w:pPr>
              <w:pStyle w:val="66"/>
              <w:spacing w:line="240" w:lineRule="auto"/>
              <w:ind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资产构成情况及投标人投资参股的关联企业情况</w:t>
            </w:r>
          </w:p>
        </w:tc>
        <w:tc>
          <w:tcPr>
            <w:tcW w:w="7618" w:type="dxa"/>
            <w:gridSpan w:val="6"/>
            <w:vAlign w:val="center"/>
          </w:tcPr>
          <w:p>
            <w:pPr>
              <w:pStyle w:val="66"/>
              <w:spacing w:line="240" w:lineRule="auto"/>
              <w:ind w:firstLine="315"/>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1" w:hRule="exact"/>
          <w:jc w:val="center"/>
        </w:trPr>
        <w:tc>
          <w:tcPr>
            <w:tcW w:w="1927" w:type="dxa"/>
            <w:vAlign w:val="center"/>
          </w:tcPr>
          <w:p>
            <w:pPr>
              <w:pStyle w:val="66"/>
              <w:spacing w:line="240" w:lineRule="auto"/>
              <w:ind w:firstLine="315"/>
              <w:jc w:val="both"/>
              <w:rPr>
                <w:rFonts w:hint="eastAsia" w:ascii="宋体" w:hAnsi="宋体" w:eastAsia="宋体" w:cs="宋体"/>
                <w:color w:val="auto"/>
                <w:sz w:val="24"/>
                <w:szCs w:val="24"/>
              </w:rPr>
            </w:pPr>
            <w:r>
              <w:rPr>
                <w:rFonts w:hint="eastAsia" w:ascii="宋体" w:hAnsi="宋体" w:eastAsia="宋体" w:cs="宋体"/>
                <w:color w:val="auto"/>
                <w:sz w:val="24"/>
                <w:szCs w:val="24"/>
              </w:rPr>
              <w:t>备    注</w:t>
            </w:r>
          </w:p>
        </w:tc>
        <w:tc>
          <w:tcPr>
            <w:tcW w:w="7618" w:type="dxa"/>
            <w:gridSpan w:val="6"/>
            <w:vAlign w:val="center"/>
          </w:tcPr>
          <w:p>
            <w:pPr>
              <w:pStyle w:val="66"/>
              <w:spacing w:line="240" w:lineRule="auto"/>
              <w:ind w:firstLine="315"/>
              <w:rPr>
                <w:rFonts w:hint="eastAsia" w:ascii="宋体" w:hAnsi="宋体" w:eastAsia="宋体" w:cs="宋体"/>
                <w:color w:val="auto"/>
                <w:sz w:val="24"/>
                <w:szCs w:val="24"/>
              </w:rPr>
            </w:pPr>
          </w:p>
        </w:tc>
      </w:tr>
    </w:tbl>
    <w:p>
      <w:pPr>
        <w:rPr>
          <w:rFonts w:ascii="宋体"/>
          <w:b/>
          <w:bCs/>
          <w:sz w:val="28"/>
          <w:szCs w:val="28"/>
        </w:rPr>
      </w:pPr>
      <w:r>
        <w:rPr>
          <w:rFonts w:ascii="宋体"/>
          <w:b/>
          <w:bCs/>
          <w:sz w:val="28"/>
          <w:szCs w:val="28"/>
        </w:rPr>
        <w:br w:type="page"/>
      </w:r>
    </w:p>
    <w:p>
      <w:pPr>
        <w:widowControl/>
        <w:jc w:val="left"/>
        <w:rPr>
          <w:rFonts w:hint="default" w:ascii="宋体" w:eastAsia="宋体"/>
          <w:b/>
          <w:bCs/>
          <w:sz w:val="28"/>
          <w:szCs w:val="28"/>
          <w:lang w:val="en-US" w:eastAsia="zh-CN"/>
        </w:rPr>
      </w:pPr>
      <w:r>
        <w:rPr>
          <w:rFonts w:hint="eastAsia" w:ascii="宋体" w:hAnsi="宋体" w:cs="宋体"/>
          <w:b/>
          <w:bCs/>
          <w:sz w:val="24"/>
          <w:szCs w:val="24"/>
        </w:rPr>
        <w:t>附件</w:t>
      </w:r>
      <w:r>
        <w:rPr>
          <w:rFonts w:hint="eastAsia" w:ascii="宋体" w:hAnsi="宋体" w:cs="宋体"/>
          <w:b/>
          <w:bCs/>
          <w:sz w:val="24"/>
          <w:szCs w:val="24"/>
          <w:lang w:val="en-US" w:eastAsia="zh-CN"/>
        </w:rPr>
        <w:t>3：</w:t>
      </w:r>
    </w:p>
    <w:p>
      <w:pPr>
        <w:spacing w:line="360" w:lineRule="auto"/>
        <w:jc w:val="center"/>
        <w:rPr>
          <w:rFonts w:hint="eastAsia" w:ascii="宋体" w:hAnsi="宋体" w:cs="宋体"/>
          <w:b/>
          <w:kern w:val="0"/>
          <w:sz w:val="36"/>
          <w:szCs w:val="36"/>
          <w:lang w:eastAsia="zh-CN" w:bidi="ar"/>
        </w:rPr>
      </w:pPr>
    </w:p>
    <w:p>
      <w:pPr>
        <w:pStyle w:val="54"/>
        <w:spacing w:line="360" w:lineRule="auto"/>
        <w:jc w:val="center"/>
        <w:rPr>
          <w:rFonts w:ascii="宋体"/>
          <w:b/>
          <w:bCs/>
          <w:spacing w:val="21"/>
          <w:kern w:val="0"/>
          <w:sz w:val="32"/>
          <w:szCs w:val="32"/>
        </w:rPr>
      </w:pPr>
      <w:r>
        <w:rPr>
          <w:rFonts w:hint="eastAsia" w:ascii="宋体" w:hAnsi="宋体" w:cs="宋体"/>
          <w:b/>
          <w:bCs/>
          <w:spacing w:val="21"/>
          <w:kern w:val="0"/>
          <w:sz w:val="32"/>
          <w:szCs w:val="32"/>
        </w:rPr>
        <w:t>证书一览表</w:t>
      </w:r>
    </w:p>
    <w:tbl>
      <w:tblPr>
        <w:tblStyle w:val="28"/>
        <w:tblW w:w="89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388"/>
        <w:gridCol w:w="2390"/>
        <w:gridCol w:w="21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75" w:type="dxa"/>
            <w:tcBorders>
              <w:top w:val="double" w:color="auto" w:sz="4" w:space="0"/>
              <w:left w:val="double" w:color="auto" w:sz="4" w:space="0"/>
            </w:tcBorders>
            <w:vAlign w:val="top"/>
          </w:tcPr>
          <w:p>
            <w:pPr>
              <w:pStyle w:val="54"/>
              <w:spacing w:line="360" w:lineRule="auto"/>
              <w:jc w:val="center"/>
              <w:rPr>
                <w:rFonts w:ascii="宋体"/>
                <w:b/>
                <w:bCs/>
                <w:sz w:val="24"/>
                <w:szCs w:val="24"/>
              </w:rPr>
            </w:pPr>
            <w:r>
              <w:rPr>
                <w:rFonts w:hint="eastAsia" w:ascii="宋体" w:hAnsi="宋体" w:cs="宋体"/>
                <w:b/>
                <w:bCs/>
                <w:sz w:val="24"/>
                <w:szCs w:val="24"/>
              </w:rPr>
              <w:t>证书名称</w:t>
            </w:r>
          </w:p>
        </w:tc>
        <w:tc>
          <w:tcPr>
            <w:tcW w:w="2388" w:type="dxa"/>
            <w:tcBorders>
              <w:top w:val="double" w:color="auto" w:sz="4" w:space="0"/>
            </w:tcBorders>
            <w:vAlign w:val="top"/>
          </w:tcPr>
          <w:p>
            <w:pPr>
              <w:pStyle w:val="54"/>
              <w:spacing w:line="360" w:lineRule="auto"/>
              <w:jc w:val="center"/>
              <w:rPr>
                <w:rFonts w:ascii="宋体"/>
                <w:b/>
                <w:bCs/>
                <w:sz w:val="24"/>
                <w:szCs w:val="24"/>
              </w:rPr>
            </w:pPr>
            <w:r>
              <w:rPr>
                <w:rFonts w:hint="eastAsia" w:ascii="宋体" w:hAnsi="宋体" w:cs="宋体"/>
                <w:b/>
                <w:bCs/>
                <w:sz w:val="24"/>
                <w:szCs w:val="24"/>
              </w:rPr>
              <w:t>发证单位</w:t>
            </w:r>
          </w:p>
        </w:tc>
        <w:tc>
          <w:tcPr>
            <w:tcW w:w="2390" w:type="dxa"/>
            <w:tcBorders>
              <w:top w:val="double" w:color="auto" w:sz="4" w:space="0"/>
            </w:tcBorders>
            <w:vAlign w:val="top"/>
          </w:tcPr>
          <w:p>
            <w:pPr>
              <w:pStyle w:val="54"/>
              <w:spacing w:line="360" w:lineRule="auto"/>
              <w:jc w:val="center"/>
              <w:rPr>
                <w:rFonts w:ascii="宋体"/>
                <w:b/>
                <w:bCs/>
                <w:sz w:val="24"/>
                <w:szCs w:val="24"/>
              </w:rPr>
            </w:pPr>
            <w:r>
              <w:rPr>
                <w:rFonts w:hint="eastAsia" w:ascii="宋体" w:hAnsi="宋体" w:cs="宋体"/>
                <w:b/>
                <w:bCs/>
                <w:sz w:val="24"/>
                <w:szCs w:val="24"/>
              </w:rPr>
              <w:t>证书等级</w:t>
            </w:r>
          </w:p>
        </w:tc>
        <w:tc>
          <w:tcPr>
            <w:tcW w:w="2165" w:type="dxa"/>
            <w:tcBorders>
              <w:top w:val="double" w:color="auto" w:sz="4" w:space="0"/>
              <w:right w:val="double" w:color="auto" w:sz="4" w:space="0"/>
            </w:tcBorders>
            <w:vAlign w:val="top"/>
          </w:tcPr>
          <w:p>
            <w:pPr>
              <w:pStyle w:val="54"/>
              <w:spacing w:line="360" w:lineRule="auto"/>
              <w:jc w:val="center"/>
              <w:rPr>
                <w:rFonts w:ascii="宋体"/>
                <w:b/>
                <w:bCs/>
                <w:sz w:val="24"/>
                <w:szCs w:val="24"/>
              </w:rPr>
            </w:pPr>
            <w:r>
              <w:rPr>
                <w:rFonts w:hint="eastAsia" w:ascii="宋体" w:hAnsi="宋体" w:cs="宋体"/>
                <w:b/>
                <w:bCs/>
                <w:sz w:val="24"/>
                <w:szCs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pPr>
              <w:pStyle w:val="54"/>
              <w:spacing w:line="360" w:lineRule="auto"/>
              <w:jc w:val="center"/>
              <w:rPr>
                <w:rFonts w:ascii="宋体"/>
              </w:rPr>
            </w:pPr>
          </w:p>
        </w:tc>
        <w:tc>
          <w:tcPr>
            <w:tcW w:w="2388" w:type="dxa"/>
            <w:vAlign w:val="top"/>
          </w:tcPr>
          <w:p>
            <w:pPr>
              <w:pStyle w:val="54"/>
              <w:spacing w:line="360" w:lineRule="auto"/>
              <w:jc w:val="center"/>
              <w:rPr>
                <w:rFonts w:ascii="宋体"/>
              </w:rPr>
            </w:pPr>
          </w:p>
        </w:tc>
        <w:tc>
          <w:tcPr>
            <w:tcW w:w="2390" w:type="dxa"/>
            <w:vAlign w:val="top"/>
          </w:tcPr>
          <w:p>
            <w:pPr>
              <w:pStyle w:val="54"/>
              <w:spacing w:line="360" w:lineRule="auto"/>
              <w:jc w:val="center"/>
              <w:rPr>
                <w:rFonts w:ascii="宋体"/>
              </w:rPr>
            </w:pPr>
          </w:p>
        </w:tc>
        <w:tc>
          <w:tcPr>
            <w:tcW w:w="2165" w:type="dxa"/>
            <w:tcBorders>
              <w:right w:val="double" w:color="auto" w:sz="4" w:space="0"/>
            </w:tcBorders>
            <w:vAlign w:val="top"/>
          </w:tcPr>
          <w:p>
            <w:pPr>
              <w:pStyle w:val="54"/>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pPr>
              <w:pStyle w:val="54"/>
              <w:spacing w:line="360" w:lineRule="auto"/>
              <w:jc w:val="center"/>
              <w:rPr>
                <w:rFonts w:ascii="宋体"/>
              </w:rPr>
            </w:pPr>
          </w:p>
        </w:tc>
        <w:tc>
          <w:tcPr>
            <w:tcW w:w="2388" w:type="dxa"/>
            <w:vAlign w:val="top"/>
          </w:tcPr>
          <w:p>
            <w:pPr>
              <w:pStyle w:val="54"/>
              <w:spacing w:line="360" w:lineRule="auto"/>
              <w:jc w:val="center"/>
              <w:rPr>
                <w:rFonts w:ascii="宋体"/>
              </w:rPr>
            </w:pPr>
          </w:p>
        </w:tc>
        <w:tc>
          <w:tcPr>
            <w:tcW w:w="2390" w:type="dxa"/>
            <w:vAlign w:val="top"/>
          </w:tcPr>
          <w:p>
            <w:pPr>
              <w:pStyle w:val="54"/>
              <w:spacing w:line="360" w:lineRule="auto"/>
              <w:jc w:val="center"/>
              <w:rPr>
                <w:rFonts w:ascii="宋体"/>
              </w:rPr>
            </w:pPr>
          </w:p>
        </w:tc>
        <w:tc>
          <w:tcPr>
            <w:tcW w:w="2165" w:type="dxa"/>
            <w:tcBorders>
              <w:right w:val="double" w:color="auto" w:sz="4" w:space="0"/>
            </w:tcBorders>
            <w:vAlign w:val="top"/>
          </w:tcPr>
          <w:p>
            <w:pPr>
              <w:pStyle w:val="54"/>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pPr>
              <w:pStyle w:val="54"/>
              <w:spacing w:line="360" w:lineRule="auto"/>
              <w:jc w:val="center"/>
              <w:rPr>
                <w:rFonts w:ascii="宋体"/>
              </w:rPr>
            </w:pPr>
          </w:p>
        </w:tc>
        <w:tc>
          <w:tcPr>
            <w:tcW w:w="2388" w:type="dxa"/>
            <w:vAlign w:val="top"/>
          </w:tcPr>
          <w:p>
            <w:pPr>
              <w:pStyle w:val="54"/>
              <w:spacing w:line="360" w:lineRule="auto"/>
              <w:jc w:val="center"/>
              <w:rPr>
                <w:rFonts w:ascii="宋体"/>
              </w:rPr>
            </w:pPr>
          </w:p>
        </w:tc>
        <w:tc>
          <w:tcPr>
            <w:tcW w:w="2390" w:type="dxa"/>
            <w:vAlign w:val="top"/>
          </w:tcPr>
          <w:p>
            <w:pPr>
              <w:pStyle w:val="54"/>
              <w:spacing w:line="360" w:lineRule="auto"/>
              <w:jc w:val="center"/>
              <w:rPr>
                <w:rFonts w:ascii="宋体"/>
              </w:rPr>
            </w:pPr>
          </w:p>
        </w:tc>
        <w:tc>
          <w:tcPr>
            <w:tcW w:w="2165" w:type="dxa"/>
            <w:tcBorders>
              <w:right w:val="double" w:color="auto" w:sz="4" w:space="0"/>
            </w:tcBorders>
            <w:vAlign w:val="top"/>
          </w:tcPr>
          <w:p>
            <w:pPr>
              <w:pStyle w:val="54"/>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pPr>
              <w:pStyle w:val="54"/>
              <w:spacing w:line="360" w:lineRule="auto"/>
              <w:jc w:val="center"/>
              <w:rPr>
                <w:rFonts w:ascii="宋体"/>
              </w:rPr>
            </w:pPr>
          </w:p>
        </w:tc>
        <w:tc>
          <w:tcPr>
            <w:tcW w:w="2388" w:type="dxa"/>
            <w:vAlign w:val="top"/>
          </w:tcPr>
          <w:p>
            <w:pPr>
              <w:pStyle w:val="54"/>
              <w:spacing w:line="360" w:lineRule="auto"/>
              <w:jc w:val="center"/>
              <w:rPr>
                <w:rFonts w:ascii="宋体"/>
              </w:rPr>
            </w:pPr>
          </w:p>
        </w:tc>
        <w:tc>
          <w:tcPr>
            <w:tcW w:w="2390" w:type="dxa"/>
            <w:vAlign w:val="top"/>
          </w:tcPr>
          <w:p>
            <w:pPr>
              <w:pStyle w:val="54"/>
              <w:spacing w:line="360" w:lineRule="auto"/>
              <w:jc w:val="center"/>
              <w:rPr>
                <w:rFonts w:ascii="宋体"/>
              </w:rPr>
            </w:pPr>
          </w:p>
        </w:tc>
        <w:tc>
          <w:tcPr>
            <w:tcW w:w="2165" w:type="dxa"/>
            <w:tcBorders>
              <w:right w:val="double" w:color="auto" w:sz="4" w:space="0"/>
            </w:tcBorders>
            <w:vAlign w:val="top"/>
          </w:tcPr>
          <w:p>
            <w:pPr>
              <w:pStyle w:val="54"/>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pPr>
              <w:pStyle w:val="54"/>
              <w:spacing w:line="360" w:lineRule="auto"/>
              <w:jc w:val="center"/>
              <w:rPr>
                <w:rFonts w:ascii="宋体"/>
              </w:rPr>
            </w:pPr>
          </w:p>
        </w:tc>
        <w:tc>
          <w:tcPr>
            <w:tcW w:w="2388" w:type="dxa"/>
            <w:vAlign w:val="top"/>
          </w:tcPr>
          <w:p>
            <w:pPr>
              <w:pStyle w:val="54"/>
              <w:spacing w:line="360" w:lineRule="auto"/>
              <w:jc w:val="center"/>
              <w:rPr>
                <w:rFonts w:ascii="宋体"/>
              </w:rPr>
            </w:pPr>
          </w:p>
        </w:tc>
        <w:tc>
          <w:tcPr>
            <w:tcW w:w="2390" w:type="dxa"/>
            <w:vAlign w:val="top"/>
          </w:tcPr>
          <w:p>
            <w:pPr>
              <w:pStyle w:val="54"/>
              <w:spacing w:line="360" w:lineRule="auto"/>
              <w:jc w:val="center"/>
              <w:rPr>
                <w:rFonts w:ascii="宋体"/>
              </w:rPr>
            </w:pPr>
          </w:p>
        </w:tc>
        <w:tc>
          <w:tcPr>
            <w:tcW w:w="2165" w:type="dxa"/>
            <w:tcBorders>
              <w:right w:val="double" w:color="auto" w:sz="4" w:space="0"/>
            </w:tcBorders>
            <w:vAlign w:val="top"/>
          </w:tcPr>
          <w:p>
            <w:pPr>
              <w:pStyle w:val="54"/>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pPr>
              <w:pStyle w:val="54"/>
              <w:spacing w:line="360" w:lineRule="auto"/>
              <w:jc w:val="center"/>
              <w:rPr>
                <w:rFonts w:ascii="宋体"/>
              </w:rPr>
            </w:pPr>
          </w:p>
        </w:tc>
        <w:tc>
          <w:tcPr>
            <w:tcW w:w="2388" w:type="dxa"/>
            <w:vAlign w:val="top"/>
          </w:tcPr>
          <w:p>
            <w:pPr>
              <w:pStyle w:val="54"/>
              <w:spacing w:line="360" w:lineRule="auto"/>
              <w:jc w:val="center"/>
              <w:rPr>
                <w:rFonts w:ascii="宋体"/>
              </w:rPr>
            </w:pPr>
          </w:p>
        </w:tc>
        <w:tc>
          <w:tcPr>
            <w:tcW w:w="2390" w:type="dxa"/>
            <w:vAlign w:val="top"/>
          </w:tcPr>
          <w:p>
            <w:pPr>
              <w:pStyle w:val="54"/>
              <w:spacing w:line="360" w:lineRule="auto"/>
              <w:jc w:val="center"/>
              <w:rPr>
                <w:rFonts w:ascii="宋体"/>
              </w:rPr>
            </w:pPr>
          </w:p>
        </w:tc>
        <w:tc>
          <w:tcPr>
            <w:tcW w:w="2165" w:type="dxa"/>
            <w:tcBorders>
              <w:right w:val="double" w:color="auto" w:sz="4" w:space="0"/>
            </w:tcBorders>
            <w:vAlign w:val="top"/>
          </w:tcPr>
          <w:p>
            <w:pPr>
              <w:pStyle w:val="54"/>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75" w:type="dxa"/>
            <w:tcBorders>
              <w:left w:val="double" w:color="auto" w:sz="4" w:space="0"/>
              <w:bottom w:val="double" w:color="auto" w:sz="4" w:space="0"/>
            </w:tcBorders>
            <w:vAlign w:val="top"/>
          </w:tcPr>
          <w:p>
            <w:pPr>
              <w:pStyle w:val="54"/>
              <w:spacing w:line="360" w:lineRule="auto"/>
              <w:jc w:val="center"/>
              <w:rPr>
                <w:rFonts w:ascii="宋体"/>
              </w:rPr>
            </w:pPr>
          </w:p>
        </w:tc>
        <w:tc>
          <w:tcPr>
            <w:tcW w:w="2388" w:type="dxa"/>
            <w:tcBorders>
              <w:bottom w:val="double" w:color="auto" w:sz="4" w:space="0"/>
            </w:tcBorders>
            <w:vAlign w:val="top"/>
          </w:tcPr>
          <w:p>
            <w:pPr>
              <w:pStyle w:val="54"/>
              <w:spacing w:line="360" w:lineRule="auto"/>
              <w:jc w:val="center"/>
              <w:rPr>
                <w:rFonts w:ascii="宋体"/>
              </w:rPr>
            </w:pPr>
          </w:p>
        </w:tc>
        <w:tc>
          <w:tcPr>
            <w:tcW w:w="2390" w:type="dxa"/>
            <w:tcBorders>
              <w:bottom w:val="double" w:color="auto" w:sz="4" w:space="0"/>
            </w:tcBorders>
            <w:vAlign w:val="top"/>
          </w:tcPr>
          <w:p>
            <w:pPr>
              <w:pStyle w:val="54"/>
              <w:spacing w:line="360" w:lineRule="auto"/>
              <w:jc w:val="center"/>
              <w:rPr>
                <w:rFonts w:ascii="宋体"/>
              </w:rPr>
            </w:pPr>
          </w:p>
        </w:tc>
        <w:tc>
          <w:tcPr>
            <w:tcW w:w="2165" w:type="dxa"/>
            <w:tcBorders>
              <w:bottom w:val="double" w:color="auto" w:sz="4" w:space="0"/>
              <w:right w:val="double" w:color="auto" w:sz="4" w:space="0"/>
            </w:tcBorders>
            <w:vAlign w:val="top"/>
          </w:tcPr>
          <w:p>
            <w:pPr>
              <w:pStyle w:val="54"/>
              <w:spacing w:line="360" w:lineRule="auto"/>
              <w:jc w:val="center"/>
              <w:rPr>
                <w:rFonts w:ascii="宋体"/>
              </w:rPr>
            </w:pPr>
          </w:p>
        </w:tc>
      </w:tr>
    </w:tbl>
    <w:p>
      <w:pPr>
        <w:pStyle w:val="54"/>
        <w:tabs>
          <w:tab w:val="left" w:pos="1050"/>
        </w:tabs>
        <w:spacing w:line="360" w:lineRule="auto"/>
        <w:rPr>
          <w:rFonts w:ascii="仿宋_GB2312" w:hAnsi="宋体" w:eastAsia="仿宋_GB2312"/>
          <w:sz w:val="24"/>
          <w:szCs w:val="24"/>
        </w:rPr>
      </w:pPr>
    </w:p>
    <w:p>
      <w:pPr>
        <w:pStyle w:val="54"/>
        <w:tabs>
          <w:tab w:val="left" w:pos="1050"/>
        </w:tabs>
        <w:spacing w:line="360" w:lineRule="auto"/>
        <w:rPr>
          <w:rFonts w:ascii="宋体"/>
          <w:sz w:val="24"/>
          <w:szCs w:val="24"/>
        </w:rPr>
      </w:pPr>
      <w:r>
        <w:rPr>
          <w:rFonts w:hint="eastAsia" w:ascii="宋体" w:hAnsi="宋体" w:cs="宋体"/>
          <w:b/>
          <w:bCs/>
          <w:sz w:val="24"/>
          <w:szCs w:val="24"/>
        </w:rPr>
        <w:t>要求：</w:t>
      </w:r>
    </w:p>
    <w:p>
      <w:pPr>
        <w:pStyle w:val="54"/>
        <w:tabs>
          <w:tab w:val="left" w:pos="1050"/>
        </w:tabs>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填写投标人获得资质、认证或企业信誉证书；</w:t>
      </w:r>
    </w:p>
    <w:p>
      <w:pPr>
        <w:pStyle w:val="54"/>
        <w:tabs>
          <w:tab w:val="left" w:pos="1050"/>
        </w:tabs>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附所列证书复印件或其他证明材料。</w:t>
      </w:r>
    </w:p>
    <w:p>
      <w:pPr>
        <w:pStyle w:val="54"/>
        <w:tabs>
          <w:tab w:val="left" w:pos="1050"/>
        </w:tabs>
        <w:spacing w:line="360" w:lineRule="auto"/>
        <w:ind w:firstLine="720" w:firstLineChars="300"/>
        <w:rPr>
          <w:rFonts w:ascii="仿宋_GB2312" w:hAnsi="宋体" w:eastAsia="仿宋_GB2312"/>
          <w:sz w:val="24"/>
          <w:szCs w:val="24"/>
        </w:rPr>
      </w:pPr>
    </w:p>
    <w:p>
      <w:pPr>
        <w:pStyle w:val="54"/>
        <w:tabs>
          <w:tab w:val="left" w:pos="1050"/>
        </w:tabs>
        <w:spacing w:line="360" w:lineRule="auto"/>
        <w:ind w:firstLine="720" w:firstLineChars="300"/>
        <w:rPr>
          <w:rFonts w:ascii="仿宋_GB2312" w:hAnsi="宋体" w:eastAsia="仿宋_GB2312"/>
          <w:sz w:val="24"/>
          <w:szCs w:val="24"/>
        </w:rPr>
      </w:pPr>
    </w:p>
    <w:p>
      <w:pPr>
        <w:pStyle w:val="54"/>
        <w:tabs>
          <w:tab w:val="left" w:pos="1050"/>
        </w:tabs>
        <w:spacing w:line="360" w:lineRule="auto"/>
        <w:ind w:firstLine="720" w:firstLineChars="300"/>
        <w:rPr>
          <w:rFonts w:ascii="仿宋_GB2312" w:hAnsi="宋体" w:eastAsia="仿宋_GB2312"/>
          <w:sz w:val="24"/>
          <w:szCs w:val="24"/>
        </w:rPr>
      </w:pPr>
    </w:p>
    <w:p>
      <w:pPr>
        <w:tabs>
          <w:tab w:val="left" w:pos="4525"/>
        </w:tabs>
        <w:spacing w:line="460" w:lineRule="exact"/>
        <w:jc w:val="left"/>
        <w:rPr>
          <w:rFonts w:hAnsi="宋体"/>
          <w:sz w:val="24"/>
        </w:rPr>
      </w:pPr>
      <w:r>
        <w:rPr>
          <w:rFonts w:hint="eastAsia" w:hAnsi="宋体"/>
          <w:sz w:val="24"/>
        </w:rPr>
        <w:t>投标人全称</w:t>
      </w:r>
      <w:r>
        <w:rPr>
          <w:rFonts w:hint="eastAsia" w:hAnsi="宋体"/>
          <w:sz w:val="24"/>
          <w:lang w:eastAsia="zh-CN"/>
        </w:rPr>
        <w:t>（</w:t>
      </w:r>
      <w:r>
        <w:rPr>
          <w:rFonts w:hint="eastAsia" w:hAnsi="宋体"/>
          <w:sz w:val="24"/>
        </w:rPr>
        <w:t>单位公章</w:t>
      </w:r>
      <w:r>
        <w:rPr>
          <w:rFonts w:hint="eastAsia" w:hAnsi="宋体"/>
          <w:sz w:val="24"/>
          <w:lang w:eastAsia="zh-CN"/>
        </w:rPr>
        <w:t>）</w:t>
      </w:r>
      <w:r>
        <w:rPr>
          <w:rFonts w:hint="eastAsia" w:hAnsi="宋体"/>
          <w:sz w:val="24"/>
        </w:rPr>
        <w:t>：</w:t>
      </w:r>
    </w:p>
    <w:p>
      <w:pPr>
        <w:tabs>
          <w:tab w:val="left" w:pos="4525"/>
        </w:tabs>
        <w:spacing w:line="460" w:lineRule="exact"/>
        <w:jc w:val="left"/>
        <w:rPr>
          <w:rFonts w:hAnsi="宋体"/>
          <w:sz w:val="24"/>
        </w:rPr>
      </w:pPr>
      <w:r>
        <w:rPr>
          <w:rFonts w:hint="eastAsia" w:hAnsi="宋体"/>
          <w:sz w:val="24"/>
          <w:lang w:eastAsia="zh-CN"/>
        </w:rPr>
        <w:t>法定代表人</w:t>
      </w:r>
      <w:r>
        <w:rPr>
          <w:rFonts w:hint="eastAsia" w:hAnsi="宋体"/>
          <w:sz w:val="24"/>
        </w:rPr>
        <w:t>或委托代理人（盖章或签名）：</w:t>
      </w:r>
    </w:p>
    <w:p>
      <w:pPr>
        <w:tabs>
          <w:tab w:val="left" w:pos="4525"/>
        </w:tabs>
        <w:spacing w:line="460" w:lineRule="exact"/>
        <w:jc w:val="left"/>
        <w:rPr>
          <w:rFonts w:hint="eastAsia" w:hAnsi="宋体" w:eastAsia="宋体"/>
          <w:color w:val="000000"/>
          <w:sz w:val="24"/>
          <w:lang w:eastAsia="zh-CN"/>
        </w:rPr>
        <w:sectPr>
          <w:pgSz w:w="11905" w:h="16838"/>
          <w:pgMar w:top="1440" w:right="1157" w:bottom="1440" w:left="1928" w:header="1134" w:footer="1304" w:gutter="0"/>
          <w:pgBorders>
            <w:top w:val="none" w:sz="0" w:space="0"/>
            <w:left w:val="none" w:sz="0" w:space="0"/>
            <w:bottom w:val="none" w:sz="0" w:space="0"/>
            <w:right w:val="none" w:sz="0" w:space="0"/>
          </w:pgBorders>
          <w:pgNumType w:fmt="decimal"/>
          <w:cols w:space="0" w:num="1"/>
          <w:rtlGutter w:val="0"/>
          <w:docGrid w:type="linesAndChars" w:linePitch="315" w:charSpace="0"/>
        </w:sectPr>
      </w:pPr>
      <w:r>
        <w:rPr>
          <w:rFonts w:hint="eastAsia" w:hAnsi="宋体"/>
          <w:sz w:val="24"/>
        </w:rPr>
        <w:t>日期</w:t>
      </w:r>
      <w:r>
        <w:rPr>
          <w:rFonts w:hint="eastAsia" w:hAnsi="宋体"/>
          <w:sz w:val="24"/>
          <w:lang w:eastAsia="zh-CN"/>
        </w:rPr>
        <w:t>：</w:t>
      </w:r>
    </w:p>
    <w:p>
      <w:pPr>
        <w:spacing w:line="360" w:lineRule="auto"/>
        <w:rPr>
          <w:rFonts w:hint="default" w:ascii="宋体" w:eastAsia="宋体"/>
          <w:lang w:val="en-US" w:eastAsia="zh-CN"/>
        </w:rPr>
      </w:pPr>
      <w:r>
        <w:rPr>
          <w:rFonts w:hint="eastAsia" w:ascii="宋体" w:hAnsi="宋体" w:cs="宋体"/>
          <w:b/>
          <w:bCs/>
          <w:sz w:val="24"/>
          <w:szCs w:val="24"/>
        </w:rPr>
        <w:t>附件</w:t>
      </w:r>
      <w:r>
        <w:rPr>
          <w:rFonts w:hint="eastAsia" w:ascii="宋体" w:hAnsi="宋体" w:cs="宋体"/>
          <w:b/>
          <w:bCs/>
          <w:sz w:val="24"/>
          <w:szCs w:val="24"/>
          <w:lang w:val="en-US" w:eastAsia="zh-CN"/>
        </w:rPr>
        <w:t>4:</w:t>
      </w:r>
    </w:p>
    <w:p>
      <w:pPr>
        <w:spacing w:beforeLines="50" w:afterLines="50" w:line="360" w:lineRule="auto"/>
        <w:ind w:right="-10"/>
        <w:jc w:val="center"/>
        <w:rPr>
          <w:rFonts w:ascii="宋体"/>
          <w:b/>
          <w:bCs/>
          <w:spacing w:val="21"/>
          <w:kern w:val="0"/>
          <w:sz w:val="28"/>
          <w:szCs w:val="28"/>
        </w:rPr>
      </w:pPr>
      <w:r>
        <w:rPr>
          <w:rFonts w:hint="eastAsia" w:ascii="宋体" w:hAnsi="宋体" w:cs="宋体"/>
          <w:b/>
          <w:bCs/>
          <w:spacing w:val="21"/>
          <w:kern w:val="0"/>
          <w:sz w:val="28"/>
          <w:szCs w:val="28"/>
          <w:lang w:eastAsia="zh-CN"/>
        </w:rPr>
        <w:t>项目负责人</w:t>
      </w:r>
      <w:r>
        <w:rPr>
          <w:rFonts w:hint="eastAsia" w:ascii="宋体" w:hAnsi="宋体" w:cs="宋体"/>
          <w:b/>
          <w:bCs/>
          <w:spacing w:val="21"/>
          <w:kern w:val="0"/>
          <w:sz w:val="28"/>
          <w:szCs w:val="28"/>
        </w:rPr>
        <w:t>资格情况表</w:t>
      </w:r>
    </w:p>
    <w:p>
      <w:pPr>
        <w:spacing w:line="360" w:lineRule="auto"/>
        <w:rPr>
          <w:rFonts w:hint="eastAsia" w:hAnsi="宋体"/>
          <w:color w:val="auto"/>
          <w:sz w:val="24"/>
        </w:rPr>
      </w:pPr>
      <w:r>
        <w:rPr>
          <w:rFonts w:hint="eastAsia" w:hAnsi="宋体"/>
          <w:color w:val="auto"/>
          <w:sz w:val="24"/>
        </w:rPr>
        <w:t>采购项目：                                     采购编号：</w:t>
      </w:r>
    </w:p>
    <w:tbl>
      <w:tblPr>
        <w:tblStyle w:val="28"/>
        <w:tblW w:w="862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27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74" w:type="dxa"/>
            <w:tcBorders>
              <w:top w:val="single" w:color="auto" w:sz="12" w:space="0"/>
              <w:left w:val="single" w:color="auto" w:sz="12" w:space="0"/>
            </w:tcBorders>
            <w:vAlign w:val="center"/>
          </w:tcPr>
          <w:p>
            <w:pPr>
              <w:autoSpaceDE w:val="0"/>
              <w:autoSpaceDN w:val="0"/>
              <w:adjustRightInd w:val="0"/>
              <w:snapToGrid w:val="0"/>
              <w:spacing w:line="360" w:lineRule="auto"/>
              <w:jc w:val="both"/>
              <w:rPr>
                <w:rFonts w:ascii="宋体"/>
                <w:b/>
                <w:bCs/>
                <w:sz w:val="22"/>
                <w:szCs w:val="22"/>
                <w:lang w:val="zh-CN"/>
              </w:rPr>
            </w:pPr>
            <w:r>
              <w:rPr>
                <w:rFonts w:hint="eastAsia" w:ascii="宋体" w:hAnsi="宋体" w:cs="宋体"/>
                <w:b/>
                <w:bCs/>
                <w:sz w:val="22"/>
                <w:szCs w:val="22"/>
                <w:lang w:val="zh-CN"/>
              </w:rPr>
              <w:t>姓名</w:t>
            </w:r>
          </w:p>
        </w:tc>
        <w:tc>
          <w:tcPr>
            <w:tcW w:w="2767" w:type="dxa"/>
            <w:tcBorders>
              <w:top w:val="single" w:color="auto" w:sz="12" w:space="0"/>
            </w:tcBorders>
            <w:vAlign w:val="center"/>
          </w:tcPr>
          <w:p>
            <w:pPr>
              <w:autoSpaceDE w:val="0"/>
              <w:autoSpaceDN w:val="0"/>
              <w:adjustRightInd w:val="0"/>
              <w:snapToGrid w:val="0"/>
              <w:spacing w:line="360" w:lineRule="auto"/>
              <w:jc w:val="both"/>
              <w:rPr>
                <w:rFonts w:ascii="宋体"/>
                <w:sz w:val="22"/>
                <w:szCs w:val="22"/>
                <w:lang w:val="zh-CN"/>
              </w:rPr>
            </w:pPr>
          </w:p>
        </w:tc>
        <w:tc>
          <w:tcPr>
            <w:tcW w:w="3685" w:type="dxa"/>
            <w:tcBorders>
              <w:top w:val="single" w:color="auto" w:sz="12" w:space="0"/>
              <w:right w:val="single" w:color="auto" w:sz="12" w:space="0"/>
            </w:tcBorders>
            <w:vAlign w:val="center"/>
          </w:tcPr>
          <w:p>
            <w:pPr>
              <w:autoSpaceDE w:val="0"/>
              <w:autoSpaceDN w:val="0"/>
              <w:adjustRightInd w:val="0"/>
              <w:snapToGrid w:val="0"/>
              <w:spacing w:line="360" w:lineRule="auto"/>
              <w:jc w:val="both"/>
              <w:rPr>
                <w:rFonts w:ascii="宋体"/>
                <w:b/>
                <w:bCs/>
                <w:sz w:val="22"/>
                <w:szCs w:val="22"/>
                <w:lang w:val="zh-CN"/>
              </w:rPr>
            </w:pPr>
            <w:r>
              <w:rPr>
                <w:rFonts w:hint="eastAsia" w:ascii="宋体" w:hAnsi="宋体" w:cs="宋体"/>
                <w:b/>
                <w:bCs/>
                <w:sz w:val="22"/>
                <w:szCs w:val="22"/>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pPr>
              <w:autoSpaceDE w:val="0"/>
              <w:autoSpaceDN w:val="0"/>
              <w:adjustRightInd w:val="0"/>
              <w:snapToGrid w:val="0"/>
              <w:spacing w:line="360" w:lineRule="auto"/>
              <w:jc w:val="both"/>
              <w:rPr>
                <w:rFonts w:ascii="宋体"/>
                <w:b/>
                <w:bCs/>
                <w:sz w:val="22"/>
                <w:szCs w:val="22"/>
                <w:lang w:val="zh-CN"/>
              </w:rPr>
            </w:pPr>
            <w:r>
              <w:rPr>
                <w:rFonts w:hint="eastAsia" w:ascii="宋体" w:hAnsi="宋体" w:cs="宋体"/>
                <w:b/>
                <w:bCs/>
                <w:sz w:val="22"/>
                <w:szCs w:val="22"/>
                <w:lang w:val="zh-CN"/>
              </w:rPr>
              <w:t>性别</w:t>
            </w:r>
          </w:p>
        </w:tc>
        <w:tc>
          <w:tcPr>
            <w:tcW w:w="2767" w:type="dxa"/>
            <w:vAlign w:val="center"/>
          </w:tcPr>
          <w:p>
            <w:pPr>
              <w:autoSpaceDE w:val="0"/>
              <w:autoSpaceDN w:val="0"/>
              <w:adjustRightInd w:val="0"/>
              <w:snapToGrid w:val="0"/>
              <w:spacing w:line="360" w:lineRule="auto"/>
              <w:jc w:val="both"/>
              <w:rPr>
                <w:rFonts w:ascii="宋体"/>
                <w:sz w:val="22"/>
                <w:szCs w:val="22"/>
                <w:lang w:val="zh-CN"/>
              </w:rPr>
            </w:pPr>
          </w:p>
        </w:tc>
        <w:tc>
          <w:tcPr>
            <w:tcW w:w="3685" w:type="dxa"/>
            <w:vMerge w:val="restart"/>
            <w:tcBorders>
              <w:right w:val="single" w:color="auto" w:sz="12" w:space="0"/>
            </w:tcBorders>
            <w:vAlign w:val="center"/>
          </w:tcPr>
          <w:p>
            <w:pPr>
              <w:autoSpaceDE w:val="0"/>
              <w:autoSpaceDN w:val="0"/>
              <w:adjustRightInd w:val="0"/>
              <w:snapToGrid w:val="0"/>
              <w:spacing w:line="360" w:lineRule="auto"/>
              <w:jc w:val="both"/>
              <w:rPr>
                <w:rFonts w:ascii="宋体"/>
                <w:sz w:val="22"/>
                <w:szCs w:val="22"/>
                <w:lang w:val="zh-CN"/>
              </w:rPr>
            </w:pPr>
            <w:r>
              <w:rPr>
                <w:rFonts w:hint="eastAsia" w:ascii="宋体" w:hAnsi="宋体" w:cs="宋体"/>
                <w:sz w:val="22"/>
                <w:szCs w:val="22"/>
              </w:rPr>
              <w:t>注：业绩证明应提供旁证材料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pPr>
              <w:autoSpaceDE w:val="0"/>
              <w:autoSpaceDN w:val="0"/>
              <w:adjustRightInd w:val="0"/>
              <w:snapToGrid w:val="0"/>
              <w:spacing w:line="360" w:lineRule="auto"/>
              <w:jc w:val="both"/>
              <w:rPr>
                <w:rFonts w:ascii="宋体"/>
                <w:b/>
                <w:bCs/>
                <w:sz w:val="22"/>
                <w:szCs w:val="22"/>
                <w:lang w:val="zh-CN"/>
              </w:rPr>
            </w:pPr>
            <w:r>
              <w:rPr>
                <w:rFonts w:hint="eastAsia" w:ascii="宋体" w:hAnsi="宋体" w:cs="宋体"/>
                <w:b/>
                <w:bCs/>
                <w:sz w:val="22"/>
                <w:szCs w:val="22"/>
                <w:lang w:val="zh-CN"/>
              </w:rPr>
              <w:t>年龄</w:t>
            </w:r>
          </w:p>
        </w:tc>
        <w:tc>
          <w:tcPr>
            <w:tcW w:w="2767" w:type="dxa"/>
            <w:vAlign w:val="center"/>
          </w:tcPr>
          <w:p>
            <w:pPr>
              <w:autoSpaceDE w:val="0"/>
              <w:autoSpaceDN w:val="0"/>
              <w:adjustRightInd w:val="0"/>
              <w:snapToGrid w:val="0"/>
              <w:spacing w:line="360" w:lineRule="auto"/>
              <w:jc w:val="both"/>
              <w:rPr>
                <w:rFonts w:ascii="宋体"/>
                <w:sz w:val="22"/>
                <w:szCs w:val="22"/>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both"/>
              <w:rPr>
                <w:rFonts w:ascii="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pPr>
              <w:autoSpaceDE w:val="0"/>
              <w:autoSpaceDN w:val="0"/>
              <w:adjustRightInd w:val="0"/>
              <w:snapToGrid w:val="0"/>
              <w:spacing w:line="360" w:lineRule="auto"/>
              <w:jc w:val="both"/>
              <w:rPr>
                <w:rFonts w:ascii="宋体"/>
                <w:b/>
                <w:bCs/>
                <w:sz w:val="22"/>
                <w:szCs w:val="22"/>
                <w:lang w:val="zh-CN"/>
              </w:rPr>
            </w:pPr>
            <w:r>
              <w:rPr>
                <w:rFonts w:hint="eastAsia" w:ascii="宋体" w:hAnsi="宋体" w:cs="宋体"/>
                <w:b/>
                <w:bCs/>
                <w:sz w:val="22"/>
                <w:szCs w:val="22"/>
                <w:lang w:val="zh-CN"/>
              </w:rPr>
              <w:t>职称</w:t>
            </w:r>
          </w:p>
        </w:tc>
        <w:tc>
          <w:tcPr>
            <w:tcW w:w="2767" w:type="dxa"/>
            <w:vAlign w:val="center"/>
          </w:tcPr>
          <w:p>
            <w:pPr>
              <w:autoSpaceDE w:val="0"/>
              <w:autoSpaceDN w:val="0"/>
              <w:adjustRightInd w:val="0"/>
              <w:snapToGrid w:val="0"/>
              <w:spacing w:line="360" w:lineRule="auto"/>
              <w:jc w:val="both"/>
              <w:rPr>
                <w:rFonts w:ascii="宋体"/>
                <w:sz w:val="22"/>
                <w:szCs w:val="22"/>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both"/>
              <w:rPr>
                <w:rFonts w:ascii="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pPr>
              <w:autoSpaceDE w:val="0"/>
              <w:autoSpaceDN w:val="0"/>
              <w:adjustRightInd w:val="0"/>
              <w:snapToGrid w:val="0"/>
              <w:spacing w:line="360" w:lineRule="auto"/>
              <w:jc w:val="both"/>
              <w:rPr>
                <w:rFonts w:ascii="宋体"/>
                <w:b/>
                <w:bCs/>
                <w:sz w:val="22"/>
                <w:szCs w:val="22"/>
                <w:lang w:val="zh-CN"/>
              </w:rPr>
            </w:pPr>
            <w:r>
              <w:rPr>
                <w:rFonts w:hint="eastAsia" w:ascii="宋体" w:hAnsi="宋体" w:cs="宋体"/>
                <w:b/>
                <w:bCs/>
                <w:sz w:val="22"/>
                <w:szCs w:val="22"/>
                <w:lang w:val="zh-CN"/>
              </w:rPr>
              <w:t>毕业时间</w:t>
            </w:r>
          </w:p>
        </w:tc>
        <w:tc>
          <w:tcPr>
            <w:tcW w:w="2767" w:type="dxa"/>
            <w:vAlign w:val="center"/>
          </w:tcPr>
          <w:p>
            <w:pPr>
              <w:autoSpaceDE w:val="0"/>
              <w:autoSpaceDN w:val="0"/>
              <w:adjustRightInd w:val="0"/>
              <w:snapToGrid w:val="0"/>
              <w:spacing w:line="360" w:lineRule="auto"/>
              <w:jc w:val="both"/>
              <w:rPr>
                <w:rFonts w:ascii="宋体"/>
                <w:sz w:val="22"/>
                <w:szCs w:val="22"/>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both"/>
              <w:rPr>
                <w:rFonts w:ascii="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pPr>
              <w:autoSpaceDE w:val="0"/>
              <w:autoSpaceDN w:val="0"/>
              <w:adjustRightInd w:val="0"/>
              <w:snapToGrid w:val="0"/>
              <w:spacing w:line="360" w:lineRule="auto"/>
              <w:jc w:val="both"/>
              <w:rPr>
                <w:rFonts w:ascii="宋体"/>
                <w:b/>
                <w:bCs/>
                <w:sz w:val="22"/>
                <w:szCs w:val="22"/>
                <w:lang w:val="zh-CN"/>
              </w:rPr>
            </w:pPr>
            <w:r>
              <w:rPr>
                <w:rFonts w:hint="eastAsia" w:ascii="宋体" w:hAnsi="宋体" w:cs="宋体"/>
                <w:b/>
                <w:bCs/>
                <w:sz w:val="22"/>
                <w:szCs w:val="22"/>
                <w:lang w:val="zh-CN"/>
              </w:rPr>
              <w:t>学校专业</w:t>
            </w:r>
          </w:p>
        </w:tc>
        <w:tc>
          <w:tcPr>
            <w:tcW w:w="2767" w:type="dxa"/>
            <w:vAlign w:val="center"/>
          </w:tcPr>
          <w:p>
            <w:pPr>
              <w:autoSpaceDE w:val="0"/>
              <w:autoSpaceDN w:val="0"/>
              <w:adjustRightInd w:val="0"/>
              <w:snapToGrid w:val="0"/>
              <w:spacing w:line="360" w:lineRule="auto"/>
              <w:jc w:val="both"/>
              <w:rPr>
                <w:rFonts w:ascii="宋体"/>
                <w:sz w:val="22"/>
                <w:szCs w:val="22"/>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both"/>
              <w:rPr>
                <w:rFonts w:ascii="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pPr>
              <w:autoSpaceDE w:val="0"/>
              <w:autoSpaceDN w:val="0"/>
              <w:adjustRightInd w:val="0"/>
              <w:snapToGrid w:val="0"/>
              <w:spacing w:line="360" w:lineRule="auto"/>
              <w:jc w:val="both"/>
              <w:rPr>
                <w:rFonts w:ascii="宋体"/>
                <w:b/>
                <w:bCs/>
                <w:sz w:val="22"/>
                <w:szCs w:val="22"/>
                <w:lang w:val="zh-CN"/>
              </w:rPr>
            </w:pPr>
            <w:r>
              <w:rPr>
                <w:rFonts w:hint="eastAsia" w:ascii="宋体" w:hAnsi="宋体" w:cs="宋体"/>
                <w:b/>
                <w:bCs/>
                <w:sz w:val="22"/>
                <w:szCs w:val="22"/>
                <w:lang w:val="zh-CN"/>
              </w:rPr>
              <w:t>联系电话</w:t>
            </w:r>
          </w:p>
        </w:tc>
        <w:tc>
          <w:tcPr>
            <w:tcW w:w="2767" w:type="dxa"/>
            <w:vAlign w:val="center"/>
          </w:tcPr>
          <w:p>
            <w:pPr>
              <w:autoSpaceDE w:val="0"/>
              <w:autoSpaceDN w:val="0"/>
              <w:adjustRightInd w:val="0"/>
              <w:snapToGrid w:val="0"/>
              <w:spacing w:line="360" w:lineRule="auto"/>
              <w:jc w:val="both"/>
              <w:rPr>
                <w:rFonts w:ascii="宋体"/>
                <w:sz w:val="22"/>
                <w:szCs w:val="22"/>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both"/>
              <w:rPr>
                <w:rFonts w:ascii="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pPr>
              <w:autoSpaceDE w:val="0"/>
              <w:autoSpaceDN w:val="0"/>
              <w:adjustRightInd w:val="0"/>
              <w:snapToGrid w:val="0"/>
              <w:spacing w:line="360" w:lineRule="auto"/>
              <w:jc w:val="both"/>
              <w:rPr>
                <w:rFonts w:ascii="宋体"/>
                <w:b/>
                <w:bCs/>
                <w:sz w:val="22"/>
                <w:szCs w:val="22"/>
                <w:lang w:val="zh-CN"/>
              </w:rPr>
            </w:pPr>
            <w:r>
              <w:rPr>
                <w:rFonts w:hint="eastAsia" w:ascii="宋体" w:hAnsi="宋体" w:cs="宋体"/>
                <w:b/>
                <w:bCs/>
                <w:sz w:val="22"/>
                <w:szCs w:val="22"/>
              </w:rPr>
              <w:t>最近一年工作状况</w:t>
            </w:r>
          </w:p>
        </w:tc>
        <w:tc>
          <w:tcPr>
            <w:tcW w:w="2767" w:type="dxa"/>
            <w:vAlign w:val="center"/>
          </w:tcPr>
          <w:p>
            <w:pPr>
              <w:autoSpaceDE w:val="0"/>
              <w:autoSpaceDN w:val="0"/>
              <w:adjustRightInd w:val="0"/>
              <w:snapToGrid w:val="0"/>
              <w:spacing w:line="360" w:lineRule="auto"/>
              <w:jc w:val="both"/>
              <w:rPr>
                <w:rFonts w:ascii="宋体"/>
                <w:sz w:val="22"/>
                <w:szCs w:val="22"/>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both"/>
              <w:rPr>
                <w:rFonts w:ascii="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174" w:type="dxa"/>
            <w:tcBorders>
              <w:left w:val="single" w:color="auto" w:sz="12" w:space="0"/>
              <w:bottom w:val="single" w:color="auto" w:sz="12" w:space="0"/>
            </w:tcBorders>
            <w:vAlign w:val="center"/>
          </w:tcPr>
          <w:p>
            <w:pPr>
              <w:autoSpaceDE w:val="0"/>
              <w:autoSpaceDN w:val="0"/>
              <w:adjustRightInd w:val="0"/>
              <w:snapToGrid w:val="0"/>
              <w:spacing w:line="360" w:lineRule="auto"/>
              <w:jc w:val="both"/>
              <w:rPr>
                <w:rFonts w:ascii="宋体"/>
                <w:b/>
                <w:bCs/>
                <w:sz w:val="22"/>
                <w:szCs w:val="22"/>
                <w:lang w:val="zh-CN"/>
              </w:rPr>
            </w:pPr>
            <w:r>
              <w:rPr>
                <w:rFonts w:hint="eastAsia" w:ascii="宋体" w:hAnsi="宋体" w:cs="宋体"/>
                <w:b/>
                <w:bCs/>
                <w:sz w:val="22"/>
                <w:szCs w:val="22"/>
                <w:lang w:val="zh-CN"/>
              </w:rPr>
              <w:t>拟在本项目中担任主要工作</w:t>
            </w:r>
          </w:p>
        </w:tc>
        <w:tc>
          <w:tcPr>
            <w:tcW w:w="6452" w:type="dxa"/>
            <w:gridSpan w:val="2"/>
            <w:tcBorders>
              <w:bottom w:val="single" w:color="auto" w:sz="12" w:space="0"/>
              <w:right w:val="single" w:color="auto" w:sz="12" w:space="0"/>
            </w:tcBorders>
            <w:vAlign w:val="center"/>
          </w:tcPr>
          <w:p>
            <w:pPr>
              <w:autoSpaceDE w:val="0"/>
              <w:autoSpaceDN w:val="0"/>
              <w:adjustRightInd w:val="0"/>
              <w:snapToGrid w:val="0"/>
              <w:spacing w:line="360" w:lineRule="auto"/>
              <w:jc w:val="both"/>
              <w:rPr>
                <w:rFonts w:ascii="宋体"/>
                <w:sz w:val="22"/>
                <w:szCs w:val="22"/>
                <w:lang w:val="zh-CN"/>
              </w:rPr>
            </w:pPr>
          </w:p>
        </w:tc>
      </w:tr>
    </w:tbl>
    <w:p>
      <w:pPr>
        <w:spacing w:line="360" w:lineRule="auto"/>
        <w:ind w:left="420"/>
        <w:rPr>
          <w:rFonts w:ascii="宋体"/>
          <w:sz w:val="24"/>
          <w:szCs w:val="24"/>
        </w:rPr>
      </w:pPr>
    </w:p>
    <w:p>
      <w:pPr>
        <w:tabs>
          <w:tab w:val="left" w:pos="4525"/>
        </w:tabs>
        <w:spacing w:line="460" w:lineRule="exact"/>
        <w:jc w:val="left"/>
        <w:rPr>
          <w:rFonts w:hAnsi="宋体"/>
          <w:sz w:val="24"/>
        </w:rPr>
      </w:pPr>
      <w:r>
        <w:rPr>
          <w:rFonts w:hint="eastAsia" w:hAnsi="宋体"/>
          <w:sz w:val="24"/>
        </w:rPr>
        <w:t>投标人全称</w:t>
      </w:r>
      <w:r>
        <w:rPr>
          <w:rFonts w:hint="eastAsia" w:hAnsi="宋体"/>
          <w:sz w:val="24"/>
          <w:lang w:eastAsia="zh-CN"/>
        </w:rPr>
        <w:t>（</w:t>
      </w:r>
      <w:r>
        <w:rPr>
          <w:rFonts w:hint="eastAsia" w:hAnsi="宋体"/>
          <w:sz w:val="24"/>
        </w:rPr>
        <w:t>单位公章</w:t>
      </w:r>
      <w:r>
        <w:rPr>
          <w:rFonts w:hint="eastAsia" w:hAnsi="宋体"/>
          <w:sz w:val="24"/>
          <w:lang w:eastAsia="zh-CN"/>
        </w:rPr>
        <w:t>）</w:t>
      </w:r>
      <w:r>
        <w:rPr>
          <w:rFonts w:hint="eastAsia" w:hAnsi="宋体"/>
          <w:sz w:val="24"/>
        </w:rPr>
        <w:t>：</w:t>
      </w:r>
    </w:p>
    <w:p>
      <w:pPr>
        <w:tabs>
          <w:tab w:val="left" w:pos="4525"/>
        </w:tabs>
        <w:spacing w:line="460" w:lineRule="exact"/>
        <w:jc w:val="left"/>
        <w:rPr>
          <w:rFonts w:hAnsi="宋体"/>
          <w:sz w:val="24"/>
        </w:rPr>
      </w:pPr>
      <w:r>
        <w:rPr>
          <w:rFonts w:hint="eastAsia" w:hAnsi="宋体"/>
          <w:sz w:val="24"/>
          <w:lang w:eastAsia="zh-CN"/>
        </w:rPr>
        <w:t>法定代表人</w:t>
      </w:r>
      <w:r>
        <w:rPr>
          <w:rFonts w:hint="eastAsia" w:hAnsi="宋体"/>
          <w:sz w:val="24"/>
        </w:rPr>
        <w:t>或委托代理人（盖章或签名）：</w:t>
      </w:r>
    </w:p>
    <w:p>
      <w:pPr>
        <w:tabs>
          <w:tab w:val="left" w:pos="4525"/>
        </w:tabs>
        <w:spacing w:line="460" w:lineRule="exact"/>
        <w:jc w:val="left"/>
        <w:rPr>
          <w:rFonts w:hint="eastAsia" w:hAnsi="宋体" w:eastAsia="宋体"/>
          <w:color w:val="000000"/>
          <w:sz w:val="24"/>
          <w:lang w:eastAsia="zh-CN"/>
        </w:rPr>
        <w:sectPr>
          <w:pgSz w:w="11905" w:h="16838"/>
          <w:pgMar w:top="1440" w:right="1157" w:bottom="1440" w:left="1928" w:header="1134" w:footer="1304" w:gutter="0"/>
          <w:pgBorders>
            <w:top w:val="none" w:sz="0" w:space="0"/>
            <w:left w:val="none" w:sz="0" w:space="0"/>
            <w:bottom w:val="none" w:sz="0" w:space="0"/>
            <w:right w:val="none" w:sz="0" w:space="0"/>
          </w:pgBorders>
          <w:pgNumType w:fmt="decimal"/>
          <w:cols w:space="0" w:num="1"/>
          <w:rtlGutter w:val="0"/>
          <w:docGrid w:type="linesAndChars" w:linePitch="315" w:charSpace="0"/>
        </w:sectPr>
      </w:pPr>
      <w:r>
        <w:rPr>
          <w:rFonts w:hint="eastAsia" w:hAnsi="宋体"/>
          <w:sz w:val="24"/>
        </w:rPr>
        <w:t>日期</w:t>
      </w:r>
      <w:r>
        <w:rPr>
          <w:rFonts w:hint="eastAsia" w:hAnsi="宋体"/>
          <w:sz w:val="24"/>
          <w:lang w:eastAsia="zh-CN"/>
        </w:rPr>
        <w:t>：</w:t>
      </w:r>
    </w:p>
    <w:p>
      <w:pPr>
        <w:widowControl/>
        <w:jc w:val="left"/>
        <w:rPr>
          <w:rFonts w:hint="default" w:ascii="宋体" w:eastAsia="宋体"/>
          <w:b/>
          <w:bCs/>
          <w:sz w:val="28"/>
          <w:szCs w:val="28"/>
          <w:lang w:val="en-US" w:eastAsia="zh-CN"/>
        </w:rPr>
      </w:pPr>
      <w:r>
        <w:rPr>
          <w:rFonts w:hint="eastAsia" w:ascii="宋体" w:hAnsi="宋体" w:cs="宋体"/>
          <w:b/>
          <w:bCs/>
          <w:sz w:val="24"/>
          <w:szCs w:val="24"/>
        </w:rPr>
        <w:t>附件</w:t>
      </w:r>
      <w:r>
        <w:rPr>
          <w:rFonts w:hint="eastAsia" w:ascii="宋体" w:hAnsi="宋体" w:cs="宋体"/>
          <w:b/>
          <w:bCs/>
          <w:sz w:val="24"/>
          <w:szCs w:val="24"/>
          <w:lang w:val="en-US" w:eastAsia="zh-CN"/>
        </w:rPr>
        <w:t>5:</w:t>
      </w:r>
    </w:p>
    <w:p>
      <w:pPr>
        <w:pStyle w:val="50"/>
        <w:shd w:val="clear" w:color="auto" w:fill="FFFFFF"/>
        <w:spacing w:before="0" w:beforeAutospacing="0" w:after="0" w:afterAutospacing="0" w:line="360" w:lineRule="auto"/>
        <w:jc w:val="center"/>
        <w:rPr>
          <w:rFonts w:hint="eastAsia" w:ascii="仿宋_GB2312" w:hAnsi="宋体" w:eastAsia="仿宋_GB2312" w:cs="宋体"/>
          <w:b/>
          <w:color w:val="000000"/>
          <w:kern w:val="2"/>
          <w:sz w:val="32"/>
          <w:szCs w:val="32"/>
          <w:lang w:val="en-US" w:eastAsia="zh-CN" w:bidi="ar-SA"/>
        </w:rPr>
      </w:pPr>
      <w:r>
        <w:rPr>
          <w:rFonts w:hint="eastAsia" w:ascii="仿宋_GB2312" w:hAnsi="宋体" w:eastAsia="仿宋_GB2312" w:cs="宋体"/>
          <w:b/>
          <w:color w:val="000000"/>
          <w:kern w:val="2"/>
          <w:sz w:val="32"/>
          <w:szCs w:val="32"/>
          <w:lang w:val="en-US" w:eastAsia="zh-CN" w:bidi="ar-SA"/>
        </w:rPr>
        <w:t>拟投入主要人员配备表</w:t>
      </w:r>
    </w:p>
    <w:tbl>
      <w:tblPr>
        <w:tblStyle w:val="28"/>
        <w:tblpPr w:leftFromText="180" w:rightFromText="180" w:vertAnchor="text" w:horzAnchor="page" w:tblpX="1551" w:tblpY="417"/>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530"/>
        <w:gridCol w:w="1170"/>
        <w:gridCol w:w="1230"/>
        <w:gridCol w:w="1470"/>
        <w:gridCol w:w="130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25" w:type="dxa"/>
            <w:noWrap w:val="0"/>
            <w:vAlign w:val="center"/>
          </w:tcPr>
          <w:p>
            <w:pPr>
              <w:pStyle w:val="64"/>
              <w:rPr>
                <w:rFonts w:hint="eastAsia" w:hAnsi="宋体"/>
                <w:sz w:val="24"/>
                <w:szCs w:val="16"/>
              </w:rPr>
            </w:pPr>
            <w:r>
              <w:rPr>
                <w:rFonts w:hint="eastAsia" w:hAnsi="宋体"/>
                <w:sz w:val="24"/>
                <w:szCs w:val="16"/>
              </w:rPr>
              <w:t>岗位名称</w:t>
            </w:r>
          </w:p>
        </w:tc>
        <w:tc>
          <w:tcPr>
            <w:tcW w:w="1530" w:type="dxa"/>
            <w:noWrap w:val="0"/>
            <w:vAlign w:val="center"/>
          </w:tcPr>
          <w:p>
            <w:pPr>
              <w:pStyle w:val="64"/>
              <w:rPr>
                <w:rFonts w:hint="eastAsia" w:hAnsi="宋体"/>
                <w:sz w:val="24"/>
                <w:szCs w:val="16"/>
              </w:rPr>
            </w:pPr>
            <w:r>
              <w:rPr>
                <w:rFonts w:hint="eastAsia" w:hAnsi="宋体"/>
                <w:sz w:val="24"/>
                <w:szCs w:val="16"/>
              </w:rPr>
              <w:t>姓名</w:t>
            </w:r>
          </w:p>
        </w:tc>
        <w:tc>
          <w:tcPr>
            <w:tcW w:w="1170" w:type="dxa"/>
            <w:noWrap w:val="0"/>
            <w:vAlign w:val="center"/>
          </w:tcPr>
          <w:p>
            <w:pPr>
              <w:pStyle w:val="64"/>
              <w:rPr>
                <w:rFonts w:hint="eastAsia" w:hAnsi="宋体"/>
                <w:sz w:val="24"/>
                <w:szCs w:val="16"/>
              </w:rPr>
            </w:pPr>
            <w:r>
              <w:rPr>
                <w:rFonts w:hint="eastAsia" w:hAnsi="宋体"/>
                <w:sz w:val="24"/>
                <w:szCs w:val="16"/>
              </w:rPr>
              <w:t>职位</w:t>
            </w:r>
          </w:p>
        </w:tc>
        <w:tc>
          <w:tcPr>
            <w:tcW w:w="1230" w:type="dxa"/>
            <w:noWrap w:val="0"/>
            <w:vAlign w:val="center"/>
          </w:tcPr>
          <w:p>
            <w:pPr>
              <w:pStyle w:val="64"/>
              <w:rPr>
                <w:rFonts w:hint="eastAsia" w:hAnsi="宋体"/>
                <w:sz w:val="24"/>
                <w:szCs w:val="16"/>
              </w:rPr>
            </w:pPr>
            <w:r>
              <w:rPr>
                <w:rFonts w:hint="eastAsia" w:hAnsi="宋体"/>
                <w:sz w:val="24"/>
                <w:szCs w:val="16"/>
              </w:rPr>
              <w:t>学历</w:t>
            </w:r>
          </w:p>
        </w:tc>
        <w:tc>
          <w:tcPr>
            <w:tcW w:w="1470" w:type="dxa"/>
            <w:noWrap w:val="0"/>
            <w:vAlign w:val="center"/>
          </w:tcPr>
          <w:p>
            <w:pPr>
              <w:pStyle w:val="64"/>
              <w:rPr>
                <w:rFonts w:hint="eastAsia" w:hAnsi="宋体"/>
                <w:sz w:val="24"/>
                <w:szCs w:val="16"/>
              </w:rPr>
            </w:pPr>
            <w:r>
              <w:rPr>
                <w:rFonts w:hint="eastAsia" w:hAnsi="宋体"/>
                <w:sz w:val="24"/>
                <w:szCs w:val="16"/>
              </w:rPr>
              <w:t>持何种资格证书</w:t>
            </w:r>
          </w:p>
        </w:tc>
        <w:tc>
          <w:tcPr>
            <w:tcW w:w="1305" w:type="dxa"/>
            <w:noWrap w:val="0"/>
            <w:vAlign w:val="center"/>
          </w:tcPr>
          <w:p>
            <w:pPr>
              <w:pStyle w:val="64"/>
              <w:rPr>
                <w:rFonts w:hint="eastAsia" w:hAnsi="宋体"/>
                <w:sz w:val="24"/>
                <w:szCs w:val="16"/>
              </w:rPr>
            </w:pPr>
            <w:r>
              <w:rPr>
                <w:rFonts w:hint="eastAsia" w:hAnsi="宋体"/>
                <w:sz w:val="24"/>
                <w:szCs w:val="16"/>
              </w:rPr>
              <w:t>证书编号</w:t>
            </w:r>
          </w:p>
        </w:tc>
        <w:tc>
          <w:tcPr>
            <w:tcW w:w="1320" w:type="dxa"/>
            <w:noWrap w:val="0"/>
            <w:vAlign w:val="center"/>
          </w:tcPr>
          <w:p>
            <w:pPr>
              <w:pStyle w:val="64"/>
              <w:rPr>
                <w:rFonts w:hint="eastAsia" w:hAnsi="宋体"/>
                <w:sz w:val="24"/>
                <w:szCs w:val="16"/>
              </w:rPr>
            </w:pPr>
            <w:r>
              <w:rPr>
                <w:rFonts w:hint="eastAsia" w:hAnsi="宋体"/>
                <w:sz w:val="24"/>
                <w:szCs w:val="16"/>
              </w:rPr>
              <w:t>本岗工龄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725" w:type="dxa"/>
            <w:noWrap w:val="0"/>
            <w:vAlign w:val="center"/>
          </w:tcPr>
          <w:p>
            <w:pPr>
              <w:pStyle w:val="64"/>
              <w:rPr>
                <w:rFonts w:hint="eastAsia" w:hAnsi="宋体"/>
                <w:sz w:val="24"/>
                <w:szCs w:val="16"/>
              </w:rPr>
            </w:pPr>
            <w:r>
              <w:rPr>
                <w:rFonts w:hint="eastAsia" w:hAnsi="宋体"/>
                <w:sz w:val="24"/>
                <w:szCs w:val="16"/>
              </w:rPr>
              <w:t>项目负责人</w:t>
            </w:r>
          </w:p>
        </w:tc>
        <w:tc>
          <w:tcPr>
            <w:tcW w:w="1530" w:type="dxa"/>
            <w:noWrap w:val="0"/>
            <w:vAlign w:val="center"/>
          </w:tcPr>
          <w:p>
            <w:pPr>
              <w:spacing w:line="600" w:lineRule="exact"/>
              <w:jc w:val="center"/>
              <w:rPr>
                <w:rFonts w:hint="eastAsia" w:ascii="仿宋_GB2312" w:eastAsia="仿宋_GB2312"/>
                <w:sz w:val="20"/>
                <w:szCs w:val="15"/>
              </w:rPr>
            </w:pPr>
          </w:p>
        </w:tc>
        <w:tc>
          <w:tcPr>
            <w:tcW w:w="1170" w:type="dxa"/>
            <w:noWrap w:val="0"/>
            <w:vAlign w:val="center"/>
          </w:tcPr>
          <w:p>
            <w:pPr>
              <w:spacing w:line="600" w:lineRule="exact"/>
              <w:jc w:val="center"/>
              <w:rPr>
                <w:rFonts w:hint="eastAsia" w:ascii="仿宋_GB2312" w:eastAsia="仿宋_GB2312"/>
                <w:sz w:val="20"/>
                <w:szCs w:val="15"/>
              </w:rPr>
            </w:pPr>
          </w:p>
        </w:tc>
        <w:tc>
          <w:tcPr>
            <w:tcW w:w="1230" w:type="dxa"/>
            <w:noWrap w:val="0"/>
            <w:vAlign w:val="center"/>
          </w:tcPr>
          <w:p>
            <w:pPr>
              <w:spacing w:line="600" w:lineRule="exact"/>
              <w:jc w:val="center"/>
              <w:rPr>
                <w:rFonts w:hint="eastAsia" w:ascii="仿宋_GB2312" w:eastAsia="仿宋_GB2312"/>
                <w:sz w:val="20"/>
                <w:szCs w:val="15"/>
              </w:rPr>
            </w:pPr>
          </w:p>
        </w:tc>
        <w:tc>
          <w:tcPr>
            <w:tcW w:w="1470" w:type="dxa"/>
            <w:noWrap w:val="0"/>
            <w:vAlign w:val="center"/>
          </w:tcPr>
          <w:p>
            <w:pPr>
              <w:spacing w:line="600" w:lineRule="exact"/>
              <w:jc w:val="center"/>
              <w:rPr>
                <w:rFonts w:hint="eastAsia" w:ascii="仿宋_GB2312" w:eastAsia="仿宋_GB2312"/>
                <w:sz w:val="20"/>
                <w:szCs w:val="15"/>
              </w:rPr>
            </w:pPr>
          </w:p>
        </w:tc>
        <w:tc>
          <w:tcPr>
            <w:tcW w:w="1305" w:type="dxa"/>
            <w:noWrap w:val="0"/>
            <w:vAlign w:val="center"/>
          </w:tcPr>
          <w:p>
            <w:pPr>
              <w:spacing w:line="600" w:lineRule="exact"/>
              <w:jc w:val="center"/>
              <w:rPr>
                <w:rFonts w:hint="eastAsia" w:ascii="仿宋_GB2312" w:eastAsia="仿宋_GB2312"/>
                <w:sz w:val="20"/>
                <w:szCs w:val="15"/>
              </w:rPr>
            </w:pPr>
          </w:p>
        </w:tc>
        <w:tc>
          <w:tcPr>
            <w:tcW w:w="1320" w:type="dxa"/>
            <w:noWrap w:val="0"/>
            <w:vAlign w:val="center"/>
          </w:tcPr>
          <w:p>
            <w:pPr>
              <w:spacing w:line="600" w:lineRule="exact"/>
              <w:jc w:val="center"/>
              <w:rPr>
                <w:rFonts w:hint="eastAsia"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25" w:type="dxa"/>
            <w:noWrap w:val="0"/>
            <w:vAlign w:val="center"/>
          </w:tcPr>
          <w:p>
            <w:pPr>
              <w:pStyle w:val="64"/>
              <w:rPr>
                <w:rFonts w:hint="eastAsia" w:hAnsi="宋体"/>
                <w:sz w:val="24"/>
                <w:szCs w:val="16"/>
              </w:rPr>
            </w:pPr>
            <w:r>
              <w:rPr>
                <w:rFonts w:hint="eastAsia" w:hAnsi="宋体"/>
                <w:sz w:val="24"/>
                <w:szCs w:val="16"/>
              </w:rPr>
              <w:t>其他人员</w:t>
            </w:r>
          </w:p>
        </w:tc>
        <w:tc>
          <w:tcPr>
            <w:tcW w:w="1530" w:type="dxa"/>
            <w:noWrap w:val="0"/>
            <w:vAlign w:val="center"/>
          </w:tcPr>
          <w:p>
            <w:pPr>
              <w:spacing w:line="600" w:lineRule="exact"/>
              <w:jc w:val="center"/>
              <w:rPr>
                <w:rFonts w:hint="eastAsia" w:ascii="仿宋_GB2312" w:eastAsia="仿宋_GB2312"/>
                <w:sz w:val="20"/>
                <w:szCs w:val="15"/>
              </w:rPr>
            </w:pPr>
          </w:p>
        </w:tc>
        <w:tc>
          <w:tcPr>
            <w:tcW w:w="1170" w:type="dxa"/>
            <w:noWrap w:val="0"/>
            <w:vAlign w:val="center"/>
          </w:tcPr>
          <w:p>
            <w:pPr>
              <w:spacing w:line="600" w:lineRule="exact"/>
              <w:jc w:val="center"/>
              <w:rPr>
                <w:rFonts w:hint="eastAsia" w:ascii="仿宋_GB2312" w:eastAsia="仿宋_GB2312"/>
                <w:sz w:val="20"/>
                <w:szCs w:val="15"/>
              </w:rPr>
            </w:pPr>
          </w:p>
        </w:tc>
        <w:tc>
          <w:tcPr>
            <w:tcW w:w="1230" w:type="dxa"/>
            <w:noWrap w:val="0"/>
            <w:vAlign w:val="center"/>
          </w:tcPr>
          <w:p>
            <w:pPr>
              <w:spacing w:line="600" w:lineRule="exact"/>
              <w:jc w:val="center"/>
              <w:rPr>
                <w:rFonts w:hint="eastAsia" w:ascii="仿宋_GB2312" w:eastAsia="仿宋_GB2312"/>
                <w:sz w:val="20"/>
                <w:szCs w:val="15"/>
              </w:rPr>
            </w:pPr>
          </w:p>
        </w:tc>
        <w:tc>
          <w:tcPr>
            <w:tcW w:w="1470" w:type="dxa"/>
            <w:noWrap w:val="0"/>
            <w:vAlign w:val="center"/>
          </w:tcPr>
          <w:p>
            <w:pPr>
              <w:spacing w:line="600" w:lineRule="exact"/>
              <w:jc w:val="center"/>
              <w:rPr>
                <w:rFonts w:hint="eastAsia" w:ascii="仿宋_GB2312" w:eastAsia="仿宋_GB2312"/>
                <w:sz w:val="20"/>
                <w:szCs w:val="15"/>
              </w:rPr>
            </w:pPr>
          </w:p>
        </w:tc>
        <w:tc>
          <w:tcPr>
            <w:tcW w:w="1305" w:type="dxa"/>
            <w:noWrap w:val="0"/>
            <w:vAlign w:val="center"/>
          </w:tcPr>
          <w:p>
            <w:pPr>
              <w:spacing w:line="600" w:lineRule="exact"/>
              <w:jc w:val="center"/>
              <w:rPr>
                <w:rFonts w:hint="eastAsia" w:ascii="仿宋_GB2312" w:eastAsia="仿宋_GB2312"/>
                <w:sz w:val="20"/>
                <w:szCs w:val="15"/>
              </w:rPr>
            </w:pPr>
          </w:p>
        </w:tc>
        <w:tc>
          <w:tcPr>
            <w:tcW w:w="1320" w:type="dxa"/>
            <w:noWrap w:val="0"/>
            <w:vAlign w:val="center"/>
          </w:tcPr>
          <w:p>
            <w:pPr>
              <w:spacing w:line="600" w:lineRule="exact"/>
              <w:jc w:val="center"/>
              <w:rPr>
                <w:rFonts w:hint="eastAsia"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25" w:type="dxa"/>
            <w:noWrap w:val="0"/>
            <w:vAlign w:val="center"/>
          </w:tcPr>
          <w:p>
            <w:pPr>
              <w:pStyle w:val="64"/>
              <w:rPr>
                <w:rFonts w:hint="eastAsia" w:hAnsi="宋体"/>
                <w:sz w:val="24"/>
                <w:szCs w:val="16"/>
              </w:rPr>
            </w:pPr>
          </w:p>
        </w:tc>
        <w:tc>
          <w:tcPr>
            <w:tcW w:w="1530" w:type="dxa"/>
            <w:noWrap w:val="0"/>
            <w:vAlign w:val="center"/>
          </w:tcPr>
          <w:p>
            <w:pPr>
              <w:spacing w:line="600" w:lineRule="exact"/>
              <w:jc w:val="center"/>
              <w:rPr>
                <w:rFonts w:hint="eastAsia" w:ascii="仿宋_GB2312" w:eastAsia="仿宋_GB2312"/>
                <w:sz w:val="20"/>
                <w:szCs w:val="15"/>
              </w:rPr>
            </w:pPr>
          </w:p>
        </w:tc>
        <w:tc>
          <w:tcPr>
            <w:tcW w:w="1170" w:type="dxa"/>
            <w:noWrap w:val="0"/>
            <w:vAlign w:val="center"/>
          </w:tcPr>
          <w:p>
            <w:pPr>
              <w:spacing w:line="600" w:lineRule="exact"/>
              <w:jc w:val="center"/>
              <w:rPr>
                <w:rFonts w:hint="eastAsia" w:ascii="仿宋_GB2312" w:eastAsia="仿宋_GB2312"/>
                <w:sz w:val="20"/>
                <w:szCs w:val="15"/>
              </w:rPr>
            </w:pPr>
          </w:p>
        </w:tc>
        <w:tc>
          <w:tcPr>
            <w:tcW w:w="1230" w:type="dxa"/>
            <w:noWrap w:val="0"/>
            <w:vAlign w:val="center"/>
          </w:tcPr>
          <w:p>
            <w:pPr>
              <w:spacing w:line="600" w:lineRule="exact"/>
              <w:jc w:val="center"/>
              <w:rPr>
                <w:rFonts w:hint="eastAsia" w:ascii="仿宋_GB2312" w:eastAsia="仿宋_GB2312"/>
                <w:sz w:val="20"/>
                <w:szCs w:val="15"/>
              </w:rPr>
            </w:pPr>
          </w:p>
        </w:tc>
        <w:tc>
          <w:tcPr>
            <w:tcW w:w="1470" w:type="dxa"/>
            <w:noWrap w:val="0"/>
            <w:vAlign w:val="center"/>
          </w:tcPr>
          <w:p>
            <w:pPr>
              <w:spacing w:line="600" w:lineRule="exact"/>
              <w:jc w:val="center"/>
              <w:rPr>
                <w:rFonts w:hint="eastAsia" w:ascii="仿宋_GB2312" w:eastAsia="仿宋_GB2312"/>
                <w:sz w:val="20"/>
                <w:szCs w:val="15"/>
              </w:rPr>
            </w:pPr>
          </w:p>
        </w:tc>
        <w:tc>
          <w:tcPr>
            <w:tcW w:w="1305" w:type="dxa"/>
            <w:noWrap w:val="0"/>
            <w:vAlign w:val="center"/>
          </w:tcPr>
          <w:p>
            <w:pPr>
              <w:spacing w:line="600" w:lineRule="exact"/>
              <w:jc w:val="center"/>
              <w:rPr>
                <w:rFonts w:hint="eastAsia" w:ascii="仿宋_GB2312" w:eastAsia="仿宋_GB2312"/>
                <w:sz w:val="20"/>
                <w:szCs w:val="15"/>
              </w:rPr>
            </w:pPr>
          </w:p>
        </w:tc>
        <w:tc>
          <w:tcPr>
            <w:tcW w:w="1320" w:type="dxa"/>
            <w:noWrap w:val="0"/>
            <w:vAlign w:val="center"/>
          </w:tcPr>
          <w:p>
            <w:pPr>
              <w:spacing w:line="600" w:lineRule="exact"/>
              <w:jc w:val="center"/>
              <w:rPr>
                <w:rFonts w:hint="eastAsia"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25" w:type="dxa"/>
            <w:noWrap w:val="0"/>
            <w:vAlign w:val="center"/>
          </w:tcPr>
          <w:p>
            <w:pPr>
              <w:pStyle w:val="64"/>
              <w:rPr>
                <w:rFonts w:hint="eastAsia" w:hAnsi="宋体"/>
                <w:sz w:val="24"/>
                <w:szCs w:val="16"/>
              </w:rPr>
            </w:pPr>
            <w:r>
              <w:rPr>
                <w:rFonts w:hint="eastAsia" w:hAnsi="宋体"/>
                <w:sz w:val="24"/>
                <w:szCs w:val="16"/>
              </w:rPr>
              <w:t>……</w:t>
            </w:r>
          </w:p>
        </w:tc>
        <w:tc>
          <w:tcPr>
            <w:tcW w:w="1530" w:type="dxa"/>
            <w:noWrap w:val="0"/>
            <w:vAlign w:val="center"/>
          </w:tcPr>
          <w:p>
            <w:pPr>
              <w:spacing w:line="600" w:lineRule="exact"/>
              <w:jc w:val="center"/>
              <w:rPr>
                <w:rFonts w:hint="eastAsia" w:ascii="仿宋_GB2312" w:eastAsia="仿宋_GB2312"/>
                <w:sz w:val="20"/>
                <w:szCs w:val="15"/>
              </w:rPr>
            </w:pPr>
          </w:p>
        </w:tc>
        <w:tc>
          <w:tcPr>
            <w:tcW w:w="1170" w:type="dxa"/>
            <w:noWrap w:val="0"/>
            <w:vAlign w:val="center"/>
          </w:tcPr>
          <w:p>
            <w:pPr>
              <w:spacing w:line="600" w:lineRule="exact"/>
              <w:jc w:val="center"/>
              <w:rPr>
                <w:rFonts w:hint="eastAsia" w:ascii="仿宋_GB2312" w:eastAsia="仿宋_GB2312"/>
                <w:sz w:val="20"/>
                <w:szCs w:val="15"/>
              </w:rPr>
            </w:pPr>
          </w:p>
        </w:tc>
        <w:tc>
          <w:tcPr>
            <w:tcW w:w="1230" w:type="dxa"/>
            <w:noWrap w:val="0"/>
            <w:vAlign w:val="center"/>
          </w:tcPr>
          <w:p>
            <w:pPr>
              <w:spacing w:line="600" w:lineRule="exact"/>
              <w:jc w:val="center"/>
              <w:rPr>
                <w:rFonts w:hint="eastAsia" w:ascii="仿宋_GB2312" w:eastAsia="仿宋_GB2312"/>
                <w:sz w:val="20"/>
                <w:szCs w:val="15"/>
              </w:rPr>
            </w:pPr>
          </w:p>
        </w:tc>
        <w:tc>
          <w:tcPr>
            <w:tcW w:w="1470" w:type="dxa"/>
            <w:noWrap w:val="0"/>
            <w:vAlign w:val="center"/>
          </w:tcPr>
          <w:p>
            <w:pPr>
              <w:spacing w:line="600" w:lineRule="exact"/>
              <w:jc w:val="center"/>
              <w:rPr>
                <w:rFonts w:hint="eastAsia" w:ascii="仿宋_GB2312" w:eastAsia="仿宋_GB2312"/>
                <w:sz w:val="20"/>
                <w:szCs w:val="15"/>
              </w:rPr>
            </w:pPr>
          </w:p>
        </w:tc>
        <w:tc>
          <w:tcPr>
            <w:tcW w:w="1305" w:type="dxa"/>
            <w:noWrap w:val="0"/>
            <w:vAlign w:val="center"/>
          </w:tcPr>
          <w:p>
            <w:pPr>
              <w:spacing w:line="600" w:lineRule="exact"/>
              <w:jc w:val="center"/>
              <w:rPr>
                <w:rFonts w:hint="eastAsia" w:ascii="仿宋_GB2312" w:eastAsia="仿宋_GB2312"/>
                <w:sz w:val="20"/>
                <w:szCs w:val="15"/>
              </w:rPr>
            </w:pPr>
          </w:p>
        </w:tc>
        <w:tc>
          <w:tcPr>
            <w:tcW w:w="1320" w:type="dxa"/>
            <w:noWrap w:val="0"/>
            <w:vAlign w:val="center"/>
          </w:tcPr>
          <w:p>
            <w:pPr>
              <w:spacing w:line="600" w:lineRule="exact"/>
              <w:jc w:val="center"/>
              <w:rPr>
                <w:rFonts w:hint="eastAsia"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25" w:type="dxa"/>
            <w:noWrap w:val="0"/>
            <w:vAlign w:val="center"/>
          </w:tcPr>
          <w:p>
            <w:pPr>
              <w:pStyle w:val="64"/>
              <w:rPr>
                <w:rFonts w:hint="eastAsia" w:hAnsi="宋体"/>
                <w:sz w:val="24"/>
                <w:szCs w:val="16"/>
              </w:rPr>
            </w:pPr>
          </w:p>
        </w:tc>
        <w:tc>
          <w:tcPr>
            <w:tcW w:w="1530" w:type="dxa"/>
            <w:noWrap w:val="0"/>
            <w:vAlign w:val="center"/>
          </w:tcPr>
          <w:p>
            <w:pPr>
              <w:spacing w:line="600" w:lineRule="exact"/>
              <w:jc w:val="center"/>
              <w:rPr>
                <w:rFonts w:hint="eastAsia" w:ascii="仿宋_GB2312" w:eastAsia="仿宋_GB2312"/>
                <w:sz w:val="20"/>
                <w:szCs w:val="15"/>
              </w:rPr>
            </w:pPr>
          </w:p>
        </w:tc>
        <w:tc>
          <w:tcPr>
            <w:tcW w:w="1170" w:type="dxa"/>
            <w:noWrap w:val="0"/>
            <w:vAlign w:val="center"/>
          </w:tcPr>
          <w:p>
            <w:pPr>
              <w:spacing w:line="600" w:lineRule="exact"/>
              <w:jc w:val="center"/>
              <w:rPr>
                <w:rFonts w:hint="eastAsia" w:ascii="仿宋_GB2312" w:eastAsia="仿宋_GB2312"/>
                <w:sz w:val="20"/>
                <w:szCs w:val="15"/>
              </w:rPr>
            </w:pPr>
          </w:p>
        </w:tc>
        <w:tc>
          <w:tcPr>
            <w:tcW w:w="1230" w:type="dxa"/>
            <w:noWrap w:val="0"/>
            <w:vAlign w:val="center"/>
          </w:tcPr>
          <w:p>
            <w:pPr>
              <w:spacing w:line="600" w:lineRule="exact"/>
              <w:jc w:val="center"/>
              <w:rPr>
                <w:rFonts w:hint="eastAsia" w:ascii="仿宋_GB2312" w:eastAsia="仿宋_GB2312"/>
                <w:sz w:val="20"/>
                <w:szCs w:val="15"/>
              </w:rPr>
            </w:pPr>
          </w:p>
        </w:tc>
        <w:tc>
          <w:tcPr>
            <w:tcW w:w="1470" w:type="dxa"/>
            <w:noWrap w:val="0"/>
            <w:vAlign w:val="center"/>
          </w:tcPr>
          <w:p>
            <w:pPr>
              <w:spacing w:line="600" w:lineRule="exact"/>
              <w:jc w:val="center"/>
              <w:rPr>
                <w:rFonts w:hint="eastAsia" w:ascii="仿宋_GB2312" w:eastAsia="仿宋_GB2312"/>
                <w:sz w:val="20"/>
                <w:szCs w:val="15"/>
              </w:rPr>
            </w:pPr>
          </w:p>
        </w:tc>
        <w:tc>
          <w:tcPr>
            <w:tcW w:w="1305" w:type="dxa"/>
            <w:noWrap w:val="0"/>
            <w:vAlign w:val="center"/>
          </w:tcPr>
          <w:p>
            <w:pPr>
              <w:spacing w:line="600" w:lineRule="exact"/>
              <w:jc w:val="center"/>
              <w:rPr>
                <w:rFonts w:hint="eastAsia" w:ascii="仿宋_GB2312" w:eastAsia="仿宋_GB2312"/>
                <w:sz w:val="20"/>
                <w:szCs w:val="15"/>
              </w:rPr>
            </w:pPr>
          </w:p>
        </w:tc>
        <w:tc>
          <w:tcPr>
            <w:tcW w:w="1320" w:type="dxa"/>
            <w:noWrap w:val="0"/>
            <w:vAlign w:val="center"/>
          </w:tcPr>
          <w:p>
            <w:pPr>
              <w:spacing w:line="600" w:lineRule="exact"/>
              <w:jc w:val="center"/>
              <w:rPr>
                <w:rFonts w:hint="eastAsia"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25" w:type="dxa"/>
            <w:noWrap w:val="0"/>
            <w:vAlign w:val="center"/>
          </w:tcPr>
          <w:p>
            <w:pPr>
              <w:spacing w:line="600" w:lineRule="exact"/>
              <w:jc w:val="center"/>
              <w:rPr>
                <w:rFonts w:hint="eastAsia" w:ascii="仿宋_GB2312" w:eastAsia="仿宋_GB2312"/>
                <w:sz w:val="20"/>
                <w:szCs w:val="15"/>
              </w:rPr>
            </w:pPr>
          </w:p>
        </w:tc>
        <w:tc>
          <w:tcPr>
            <w:tcW w:w="1530" w:type="dxa"/>
            <w:noWrap w:val="0"/>
            <w:vAlign w:val="center"/>
          </w:tcPr>
          <w:p>
            <w:pPr>
              <w:spacing w:line="600" w:lineRule="exact"/>
              <w:jc w:val="center"/>
              <w:rPr>
                <w:rFonts w:hint="eastAsia" w:ascii="仿宋_GB2312" w:eastAsia="仿宋_GB2312"/>
                <w:sz w:val="20"/>
                <w:szCs w:val="15"/>
              </w:rPr>
            </w:pPr>
          </w:p>
        </w:tc>
        <w:tc>
          <w:tcPr>
            <w:tcW w:w="1170" w:type="dxa"/>
            <w:noWrap w:val="0"/>
            <w:vAlign w:val="center"/>
          </w:tcPr>
          <w:p>
            <w:pPr>
              <w:spacing w:line="600" w:lineRule="exact"/>
              <w:jc w:val="center"/>
              <w:rPr>
                <w:rFonts w:hint="eastAsia" w:ascii="仿宋_GB2312" w:eastAsia="仿宋_GB2312"/>
                <w:sz w:val="20"/>
                <w:szCs w:val="15"/>
              </w:rPr>
            </w:pPr>
          </w:p>
        </w:tc>
        <w:tc>
          <w:tcPr>
            <w:tcW w:w="1230" w:type="dxa"/>
            <w:noWrap w:val="0"/>
            <w:vAlign w:val="center"/>
          </w:tcPr>
          <w:p>
            <w:pPr>
              <w:spacing w:line="600" w:lineRule="exact"/>
              <w:jc w:val="center"/>
              <w:rPr>
                <w:rFonts w:hint="eastAsia" w:ascii="仿宋_GB2312" w:eastAsia="仿宋_GB2312"/>
                <w:sz w:val="20"/>
                <w:szCs w:val="15"/>
              </w:rPr>
            </w:pPr>
          </w:p>
        </w:tc>
        <w:tc>
          <w:tcPr>
            <w:tcW w:w="1470" w:type="dxa"/>
            <w:noWrap w:val="0"/>
            <w:vAlign w:val="center"/>
          </w:tcPr>
          <w:p>
            <w:pPr>
              <w:spacing w:line="600" w:lineRule="exact"/>
              <w:jc w:val="center"/>
              <w:rPr>
                <w:rFonts w:hint="eastAsia" w:ascii="仿宋_GB2312" w:eastAsia="仿宋_GB2312"/>
                <w:sz w:val="20"/>
                <w:szCs w:val="15"/>
              </w:rPr>
            </w:pPr>
          </w:p>
        </w:tc>
        <w:tc>
          <w:tcPr>
            <w:tcW w:w="1305" w:type="dxa"/>
            <w:noWrap w:val="0"/>
            <w:vAlign w:val="center"/>
          </w:tcPr>
          <w:p>
            <w:pPr>
              <w:spacing w:line="600" w:lineRule="exact"/>
              <w:jc w:val="center"/>
              <w:rPr>
                <w:rFonts w:hint="eastAsia" w:ascii="仿宋_GB2312" w:eastAsia="仿宋_GB2312"/>
                <w:sz w:val="20"/>
                <w:szCs w:val="15"/>
              </w:rPr>
            </w:pPr>
          </w:p>
        </w:tc>
        <w:tc>
          <w:tcPr>
            <w:tcW w:w="1320" w:type="dxa"/>
            <w:noWrap w:val="0"/>
            <w:vAlign w:val="center"/>
          </w:tcPr>
          <w:p>
            <w:pPr>
              <w:spacing w:line="600" w:lineRule="exact"/>
              <w:jc w:val="center"/>
              <w:rPr>
                <w:rFonts w:hint="eastAsia"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25" w:type="dxa"/>
            <w:noWrap w:val="0"/>
            <w:vAlign w:val="center"/>
          </w:tcPr>
          <w:p>
            <w:pPr>
              <w:spacing w:line="600" w:lineRule="exact"/>
              <w:jc w:val="center"/>
              <w:rPr>
                <w:rFonts w:hint="eastAsia" w:ascii="仿宋_GB2312" w:eastAsia="仿宋_GB2312"/>
                <w:sz w:val="20"/>
                <w:szCs w:val="15"/>
              </w:rPr>
            </w:pPr>
          </w:p>
        </w:tc>
        <w:tc>
          <w:tcPr>
            <w:tcW w:w="1530" w:type="dxa"/>
            <w:noWrap w:val="0"/>
            <w:vAlign w:val="center"/>
          </w:tcPr>
          <w:p>
            <w:pPr>
              <w:spacing w:line="600" w:lineRule="exact"/>
              <w:jc w:val="center"/>
              <w:rPr>
                <w:rFonts w:hint="eastAsia" w:ascii="仿宋_GB2312" w:eastAsia="仿宋_GB2312"/>
                <w:sz w:val="20"/>
                <w:szCs w:val="15"/>
              </w:rPr>
            </w:pPr>
          </w:p>
        </w:tc>
        <w:tc>
          <w:tcPr>
            <w:tcW w:w="1170" w:type="dxa"/>
            <w:noWrap w:val="0"/>
            <w:vAlign w:val="center"/>
          </w:tcPr>
          <w:p>
            <w:pPr>
              <w:spacing w:line="600" w:lineRule="exact"/>
              <w:jc w:val="center"/>
              <w:rPr>
                <w:rFonts w:hint="eastAsia" w:ascii="仿宋_GB2312" w:eastAsia="仿宋_GB2312"/>
                <w:sz w:val="20"/>
                <w:szCs w:val="15"/>
              </w:rPr>
            </w:pPr>
          </w:p>
        </w:tc>
        <w:tc>
          <w:tcPr>
            <w:tcW w:w="1230" w:type="dxa"/>
            <w:noWrap w:val="0"/>
            <w:vAlign w:val="center"/>
          </w:tcPr>
          <w:p>
            <w:pPr>
              <w:spacing w:line="600" w:lineRule="exact"/>
              <w:jc w:val="center"/>
              <w:rPr>
                <w:rFonts w:hint="eastAsia" w:ascii="仿宋_GB2312" w:eastAsia="仿宋_GB2312"/>
                <w:sz w:val="20"/>
                <w:szCs w:val="15"/>
              </w:rPr>
            </w:pPr>
          </w:p>
        </w:tc>
        <w:tc>
          <w:tcPr>
            <w:tcW w:w="1470" w:type="dxa"/>
            <w:noWrap w:val="0"/>
            <w:vAlign w:val="center"/>
          </w:tcPr>
          <w:p>
            <w:pPr>
              <w:spacing w:line="600" w:lineRule="exact"/>
              <w:jc w:val="center"/>
              <w:rPr>
                <w:rFonts w:hint="eastAsia" w:ascii="仿宋_GB2312" w:eastAsia="仿宋_GB2312"/>
                <w:sz w:val="20"/>
                <w:szCs w:val="15"/>
              </w:rPr>
            </w:pPr>
          </w:p>
        </w:tc>
        <w:tc>
          <w:tcPr>
            <w:tcW w:w="1305" w:type="dxa"/>
            <w:noWrap w:val="0"/>
            <w:vAlign w:val="center"/>
          </w:tcPr>
          <w:p>
            <w:pPr>
              <w:spacing w:line="600" w:lineRule="exact"/>
              <w:jc w:val="center"/>
              <w:rPr>
                <w:rFonts w:hint="eastAsia" w:ascii="仿宋_GB2312" w:eastAsia="仿宋_GB2312"/>
                <w:sz w:val="20"/>
                <w:szCs w:val="15"/>
              </w:rPr>
            </w:pPr>
          </w:p>
        </w:tc>
        <w:tc>
          <w:tcPr>
            <w:tcW w:w="1320" w:type="dxa"/>
            <w:noWrap w:val="0"/>
            <w:vAlign w:val="center"/>
          </w:tcPr>
          <w:p>
            <w:pPr>
              <w:spacing w:line="600" w:lineRule="exact"/>
              <w:jc w:val="center"/>
              <w:rPr>
                <w:rFonts w:hint="eastAsia"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25" w:type="dxa"/>
            <w:noWrap w:val="0"/>
            <w:vAlign w:val="center"/>
          </w:tcPr>
          <w:p>
            <w:pPr>
              <w:spacing w:line="600" w:lineRule="exact"/>
              <w:jc w:val="center"/>
              <w:rPr>
                <w:rFonts w:hint="eastAsia" w:ascii="仿宋_GB2312" w:eastAsia="仿宋_GB2312"/>
                <w:sz w:val="20"/>
                <w:szCs w:val="15"/>
              </w:rPr>
            </w:pPr>
          </w:p>
        </w:tc>
        <w:tc>
          <w:tcPr>
            <w:tcW w:w="1530" w:type="dxa"/>
            <w:noWrap w:val="0"/>
            <w:vAlign w:val="center"/>
          </w:tcPr>
          <w:p>
            <w:pPr>
              <w:spacing w:line="600" w:lineRule="exact"/>
              <w:jc w:val="center"/>
              <w:rPr>
                <w:rFonts w:hint="eastAsia" w:ascii="仿宋_GB2312" w:eastAsia="仿宋_GB2312"/>
                <w:sz w:val="20"/>
                <w:szCs w:val="15"/>
              </w:rPr>
            </w:pPr>
          </w:p>
        </w:tc>
        <w:tc>
          <w:tcPr>
            <w:tcW w:w="1170" w:type="dxa"/>
            <w:noWrap w:val="0"/>
            <w:vAlign w:val="center"/>
          </w:tcPr>
          <w:p>
            <w:pPr>
              <w:spacing w:line="600" w:lineRule="exact"/>
              <w:jc w:val="center"/>
              <w:rPr>
                <w:rFonts w:hint="eastAsia" w:ascii="仿宋_GB2312" w:eastAsia="仿宋_GB2312"/>
                <w:sz w:val="20"/>
                <w:szCs w:val="15"/>
              </w:rPr>
            </w:pPr>
          </w:p>
        </w:tc>
        <w:tc>
          <w:tcPr>
            <w:tcW w:w="1230" w:type="dxa"/>
            <w:noWrap w:val="0"/>
            <w:vAlign w:val="center"/>
          </w:tcPr>
          <w:p>
            <w:pPr>
              <w:spacing w:line="600" w:lineRule="exact"/>
              <w:jc w:val="center"/>
              <w:rPr>
                <w:rFonts w:hint="eastAsia" w:ascii="仿宋_GB2312" w:eastAsia="仿宋_GB2312"/>
                <w:sz w:val="20"/>
                <w:szCs w:val="15"/>
              </w:rPr>
            </w:pPr>
          </w:p>
        </w:tc>
        <w:tc>
          <w:tcPr>
            <w:tcW w:w="1470" w:type="dxa"/>
            <w:noWrap w:val="0"/>
            <w:vAlign w:val="center"/>
          </w:tcPr>
          <w:p>
            <w:pPr>
              <w:spacing w:line="600" w:lineRule="exact"/>
              <w:jc w:val="center"/>
              <w:rPr>
                <w:rFonts w:hint="eastAsia" w:ascii="仿宋_GB2312" w:eastAsia="仿宋_GB2312"/>
                <w:sz w:val="20"/>
                <w:szCs w:val="15"/>
              </w:rPr>
            </w:pPr>
          </w:p>
        </w:tc>
        <w:tc>
          <w:tcPr>
            <w:tcW w:w="1305" w:type="dxa"/>
            <w:noWrap w:val="0"/>
            <w:vAlign w:val="center"/>
          </w:tcPr>
          <w:p>
            <w:pPr>
              <w:spacing w:line="600" w:lineRule="exact"/>
              <w:jc w:val="center"/>
              <w:rPr>
                <w:rFonts w:hint="eastAsia" w:ascii="仿宋_GB2312" w:eastAsia="仿宋_GB2312"/>
                <w:sz w:val="20"/>
                <w:szCs w:val="15"/>
              </w:rPr>
            </w:pPr>
          </w:p>
        </w:tc>
        <w:tc>
          <w:tcPr>
            <w:tcW w:w="1320" w:type="dxa"/>
            <w:noWrap w:val="0"/>
            <w:vAlign w:val="center"/>
          </w:tcPr>
          <w:p>
            <w:pPr>
              <w:spacing w:line="600" w:lineRule="exact"/>
              <w:jc w:val="center"/>
              <w:rPr>
                <w:rFonts w:hint="eastAsia"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25" w:type="dxa"/>
            <w:noWrap w:val="0"/>
            <w:vAlign w:val="center"/>
          </w:tcPr>
          <w:p>
            <w:pPr>
              <w:spacing w:line="600" w:lineRule="exact"/>
              <w:jc w:val="center"/>
              <w:rPr>
                <w:rFonts w:hint="eastAsia" w:ascii="仿宋_GB2312" w:eastAsia="仿宋_GB2312"/>
                <w:sz w:val="20"/>
                <w:szCs w:val="15"/>
              </w:rPr>
            </w:pPr>
          </w:p>
        </w:tc>
        <w:tc>
          <w:tcPr>
            <w:tcW w:w="1530" w:type="dxa"/>
            <w:noWrap w:val="0"/>
            <w:vAlign w:val="center"/>
          </w:tcPr>
          <w:p>
            <w:pPr>
              <w:spacing w:line="600" w:lineRule="exact"/>
              <w:jc w:val="center"/>
              <w:rPr>
                <w:rFonts w:hint="eastAsia" w:ascii="仿宋_GB2312" w:eastAsia="仿宋_GB2312"/>
                <w:sz w:val="20"/>
                <w:szCs w:val="15"/>
              </w:rPr>
            </w:pPr>
          </w:p>
        </w:tc>
        <w:tc>
          <w:tcPr>
            <w:tcW w:w="1170" w:type="dxa"/>
            <w:noWrap w:val="0"/>
            <w:vAlign w:val="center"/>
          </w:tcPr>
          <w:p>
            <w:pPr>
              <w:spacing w:line="600" w:lineRule="exact"/>
              <w:jc w:val="center"/>
              <w:rPr>
                <w:rFonts w:hint="eastAsia" w:ascii="仿宋_GB2312" w:eastAsia="仿宋_GB2312"/>
                <w:sz w:val="20"/>
                <w:szCs w:val="15"/>
              </w:rPr>
            </w:pPr>
          </w:p>
        </w:tc>
        <w:tc>
          <w:tcPr>
            <w:tcW w:w="1230" w:type="dxa"/>
            <w:noWrap w:val="0"/>
            <w:vAlign w:val="center"/>
          </w:tcPr>
          <w:p>
            <w:pPr>
              <w:spacing w:line="600" w:lineRule="exact"/>
              <w:jc w:val="center"/>
              <w:rPr>
                <w:rFonts w:hint="eastAsia" w:ascii="仿宋_GB2312" w:eastAsia="仿宋_GB2312"/>
                <w:sz w:val="20"/>
                <w:szCs w:val="15"/>
              </w:rPr>
            </w:pPr>
          </w:p>
        </w:tc>
        <w:tc>
          <w:tcPr>
            <w:tcW w:w="1470" w:type="dxa"/>
            <w:noWrap w:val="0"/>
            <w:vAlign w:val="center"/>
          </w:tcPr>
          <w:p>
            <w:pPr>
              <w:spacing w:line="600" w:lineRule="exact"/>
              <w:jc w:val="center"/>
              <w:rPr>
                <w:rFonts w:hint="eastAsia" w:ascii="仿宋_GB2312" w:eastAsia="仿宋_GB2312"/>
                <w:sz w:val="20"/>
                <w:szCs w:val="15"/>
              </w:rPr>
            </w:pPr>
          </w:p>
        </w:tc>
        <w:tc>
          <w:tcPr>
            <w:tcW w:w="1305" w:type="dxa"/>
            <w:noWrap w:val="0"/>
            <w:vAlign w:val="center"/>
          </w:tcPr>
          <w:p>
            <w:pPr>
              <w:spacing w:line="600" w:lineRule="exact"/>
              <w:jc w:val="center"/>
              <w:rPr>
                <w:rFonts w:hint="eastAsia" w:ascii="仿宋_GB2312" w:eastAsia="仿宋_GB2312"/>
                <w:sz w:val="20"/>
                <w:szCs w:val="15"/>
              </w:rPr>
            </w:pPr>
          </w:p>
        </w:tc>
        <w:tc>
          <w:tcPr>
            <w:tcW w:w="1320" w:type="dxa"/>
            <w:noWrap w:val="0"/>
            <w:vAlign w:val="center"/>
          </w:tcPr>
          <w:p>
            <w:pPr>
              <w:spacing w:line="600" w:lineRule="exact"/>
              <w:jc w:val="center"/>
              <w:rPr>
                <w:rFonts w:hint="eastAsia"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25" w:type="dxa"/>
            <w:noWrap w:val="0"/>
            <w:vAlign w:val="center"/>
          </w:tcPr>
          <w:p>
            <w:pPr>
              <w:spacing w:line="600" w:lineRule="exact"/>
              <w:jc w:val="center"/>
              <w:rPr>
                <w:rFonts w:hint="eastAsia" w:ascii="仿宋_GB2312" w:eastAsia="仿宋_GB2312"/>
                <w:sz w:val="20"/>
                <w:szCs w:val="15"/>
              </w:rPr>
            </w:pPr>
          </w:p>
        </w:tc>
        <w:tc>
          <w:tcPr>
            <w:tcW w:w="1530" w:type="dxa"/>
            <w:noWrap w:val="0"/>
            <w:vAlign w:val="center"/>
          </w:tcPr>
          <w:p>
            <w:pPr>
              <w:spacing w:line="600" w:lineRule="exact"/>
              <w:jc w:val="center"/>
              <w:rPr>
                <w:rFonts w:hint="eastAsia" w:ascii="仿宋_GB2312" w:eastAsia="仿宋_GB2312"/>
                <w:sz w:val="20"/>
                <w:szCs w:val="15"/>
              </w:rPr>
            </w:pPr>
          </w:p>
        </w:tc>
        <w:tc>
          <w:tcPr>
            <w:tcW w:w="1170" w:type="dxa"/>
            <w:noWrap w:val="0"/>
            <w:vAlign w:val="center"/>
          </w:tcPr>
          <w:p>
            <w:pPr>
              <w:spacing w:line="600" w:lineRule="exact"/>
              <w:jc w:val="center"/>
              <w:rPr>
                <w:rFonts w:hint="eastAsia" w:ascii="仿宋_GB2312" w:eastAsia="仿宋_GB2312"/>
                <w:sz w:val="20"/>
                <w:szCs w:val="15"/>
              </w:rPr>
            </w:pPr>
          </w:p>
        </w:tc>
        <w:tc>
          <w:tcPr>
            <w:tcW w:w="1230" w:type="dxa"/>
            <w:noWrap w:val="0"/>
            <w:vAlign w:val="center"/>
          </w:tcPr>
          <w:p>
            <w:pPr>
              <w:spacing w:line="600" w:lineRule="exact"/>
              <w:jc w:val="center"/>
              <w:rPr>
                <w:rFonts w:hint="eastAsia" w:ascii="仿宋_GB2312" w:eastAsia="仿宋_GB2312"/>
                <w:sz w:val="20"/>
                <w:szCs w:val="15"/>
              </w:rPr>
            </w:pPr>
          </w:p>
        </w:tc>
        <w:tc>
          <w:tcPr>
            <w:tcW w:w="1470" w:type="dxa"/>
            <w:noWrap w:val="0"/>
            <w:vAlign w:val="center"/>
          </w:tcPr>
          <w:p>
            <w:pPr>
              <w:spacing w:line="600" w:lineRule="exact"/>
              <w:jc w:val="center"/>
              <w:rPr>
                <w:rFonts w:hint="eastAsia" w:ascii="仿宋_GB2312" w:eastAsia="仿宋_GB2312"/>
                <w:sz w:val="20"/>
                <w:szCs w:val="15"/>
              </w:rPr>
            </w:pPr>
          </w:p>
        </w:tc>
        <w:tc>
          <w:tcPr>
            <w:tcW w:w="1305" w:type="dxa"/>
            <w:noWrap w:val="0"/>
            <w:vAlign w:val="center"/>
          </w:tcPr>
          <w:p>
            <w:pPr>
              <w:spacing w:line="600" w:lineRule="exact"/>
              <w:jc w:val="center"/>
              <w:rPr>
                <w:rFonts w:hint="eastAsia" w:ascii="仿宋_GB2312" w:eastAsia="仿宋_GB2312"/>
                <w:sz w:val="20"/>
                <w:szCs w:val="15"/>
              </w:rPr>
            </w:pPr>
          </w:p>
        </w:tc>
        <w:tc>
          <w:tcPr>
            <w:tcW w:w="1320" w:type="dxa"/>
            <w:noWrap w:val="0"/>
            <w:vAlign w:val="center"/>
          </w:tcPr>
          <w:p>
            <w:pPr>
              <w:spacing w:line="600" w:lineRule="exact"/>
              <w:jc w:val="center"/>
              <w:rPr>
                <w:rFonts w:hint="eastAsia" w:ascii="仿宋_GB2312" w:eastAsia="仿宋_GB2312"/>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25" w:type="dxa"/>
            <w:noWrap w:val="0"/>
            <w:vAlign w:val="center"/>
          </w:tcPr>
          <w:p>
            <w:pPr>
              <w:spacing w:line="600" w:lineRule="exact"/>
              <w:jc w:val="center"/>
              <w:rPr>
                <w:rFonts w:hint="eastAsia" w:ascii="仿宋_GB2312" w:eastAsia="仿宋_GB2312"/>
                <w:sz w:val="20"/>
                <w:szCs w:val="15"/>
              </w:rPr>
            </w:pPr>
          </w:p>
        </w:tc>
        <w:tc>
          <w:tcPr>
            <w:tcW w:w="1530" w:type="dxa"/>
            <w:noWrap w:val="0"/>
            <w:vAlign w:val="center"/>
          </w:tcPr>
          <w:p>
            <w:pPr>
              <w:spacing w:line="600" w:lineRule="exact"/>
              <w:jc w:val="center"/>
              <w:rPr>
                <w:rFonts w:hint="eastAsia" w:ascii="仿宋_GB2312" w:eastAsia="仿宋_GB2312"/>
                <w:sz w:val="20"/>
                <w:szCs w:val="15"/>
              </w:rPr>
            </w:pPr>
          </w:p>
        </w:tc>
        <w:tc>
          <w:tcPr>
            <w:tcW w:w="1170" w:type="dxa"/>
            <w:noWrap w:val="0"/>
            <w:vAlign w:val="center"/>
          </w:tcPr>
          <w:p>
            <w:pPr>
              <w:spacing w:line="600" w:lineRule="exact"/>
              <w:jc w:val="center"/>
              <w:rPr>
                <w:rFonts w:hint="eastAsia" w:ascii="仿宋_GB2312" w:eastAsia="仿宋_GB2312"/>
                <w:sz w:val="20"/>
                <w:szCs w:val="15"/>
              </w:rPr>
            </w:pPr>
          </w:p>
        </w:tc>
        <w:tc>
          <w:tcPr>
            <w:tcW w:w="1230" w:type="dxa"/>
            <w:noWrap w:val="0"/>
            <w:vAlign w:val="center"/>
          </w:tcPr>
          <w:p>
            <w:pPr>
              <w:spacing w:line="600" w:lineRule="exact"/>
              <w:jc w:val="center"/>
              <w:rPr>
                <w:rFonts w:hint="eastAsia" w:ascii="仿宋_GB2312" w:eastAsia="仿宋_GB2312"/>
                <w:sz w:val="20"/>
                <w:szCs w:val="15"/>
              </w:rPr>
            </w:pPr>
          </w:p>
        </w:tc>
        <w:tc>
          <w:tcPr>
            <w:tcW w:w="1470" w:type="dxa"/>
            <w:noWrap w:val="0"/>
            <w:vAlign w:val="center"/>
          </w:tcPr>
          <w:p>
            <w:pPr>
              <w:spacing w:line="600" w:lineRule="exact"/>
              <w:jc w:val="center"/>
              <w:rPr>
                <w:rFonts w:hint="eastAsia" w:ascii="仿宋_GB2312" w:eastAsia="仿宋_GB2312"/>
                <w:sz w:val="20"/>
                <w:szCs w:val="15"/>
              </w:rPr>
            </w:pPr>
          </w:p>
        </w:tc>
        <w:tc>
          <w:tcPr>
            <w:tcW w:w="1305" w:type="dxa"/>
            <w:noWrap w:val="0"/>
            <w:vAlign w:val="center"/>
          </w:tcPr>
          <w:p>
            <w:pPr>
              <w:spacing w:line="600" w:lineRule="exact"/>
              <w:jc w:val="center"/>
              <w:rPr>
                <w:rFonts w:hint="eastAsia" w:ascii="仿宋_GB2312" w:eastAsia="仿宋_GB2312"/>
                <w:sz w:val="20"/>
                <w:szCs w:val="15"/>
              </w:rPr>
            </w:pPr>
          </w:p>
        </w:tc>
        <w:tc>
          <w:tcPr>
            <w:tcW w:w="1320" w:type="dxa"/>
            <w:noWrap w:val="0"/>
            <w:vAlign w:val="center"/>
          </w:tcPr>
          <w:p>
            <w:pPr>
              <w:spacing w:line="600" w:lineRule="exact"/>
              <w:jc w:val="center"/>
              <w:rPr>
                <w:rFonts w:hint="eastAsia" w:ascii="仿宋_GB2312" w:eastAsia="仿宋_GB2312"/>
                <w:sz w:val="20"/>
                <w:szCs w:val="15"/>
              </w:rPr>
            </w:pPr>
          </w:p>
        </w:tc>
      </w:tr>
    </w:tbl>
    <w:p>
      <w:pPr>
        <w:spacing w:line="360" w:lineRule="auto"/>
        <w:rPr>
          <w:rFonts w:ascii="宋体"/>
          <w:b/>
          <w:bCs/>
        </w:rPr>
      </w:pPr>
      <w:r>
        <w:rPr>
          <w:rFonts w:hint="eastAsia" w:ascii="宋体" w:hAnsi="宋体" w:cs="宋体"/>
          <w:b/>
          <w:bCs/>
        </w:rPr>
        <w:t>要求：</w:t>
      </w:r>
    </w:p>
    <w:p>
      <w:pPr>
        <w:spacing w:line="360" w:lineRule="auto"/>
        <w:ind w:left="437"/>
        <w:rPr>
          <w:rFonts w:ascii="宋体"/>
        </w:rPr>
      </w:pPr>
      <w:r>
        <w:rPr>
          <w:rFonts w:hint="eastAsia" w:ascii="宋体" w:hAnsi="宋体" w:cs="宋体"/>
        </w:rPr>
        <w:t>1.在填写时，如本表格不适合投标人的实际情况，可根据本表格式自行划表填写。</w:t>
      </w:r>
    </w:p>
    <w:p>
      <w:pPr>
        <w:pStyle w:val="51"/>
        <w:spacing w:line="360" w:lineRule="auto"/>
        <w:ind w:left="424" w:leftChars="202"/>
        <w:rPr>
          <w:rFonts w:ascii="宋体"/>
        </w:rPr>
      </w:pPr>
      <w:r>
        <w:rPr>
          <w:rFonts w:ascii="宋体" w:hAnsi="宋体" w:cs="宋体"/>
        </w:rPr>
        <w:t>2.</w:t>
      </w:r>
      <w:r>
        <w:rPr>
          <w:rFonts w:hint="eastAsia" w:ascii="宋体" w:hAnsi="宋体" w:cs="宋体"/>
        </w:rPr>
        <w:t>附人员证书复印件（或扫描件）；</w:t>
      </w:r>
    </w:p>
    <w:p>
      <w:pPr>
        <w:pStyle w:val="51"/>
        <w:spacing w:line="360" w:lineRule="auto"/>
        <w:ind w:left="424" w:hanging="424" w:hangingChars="202"/>
        <w:rPr>
          <w:rFonts w:ascii="宋体" w:hAnsi="宋体" w:cs="宋体"/>
          <w:sz w:val="24"/>
          <w:szCs w:val="24"/>
        </w:rPr>
      </w:pPr>
      <w:r>
        <w:rPr>
          <w:rFonts w:hint="eastAsia" w:ascii="宋体" w:hAnsi="宋体" w:cs="宋体"/>
        </w:rPr>
        <w:t>　　</w:t>
      </w:r>
      <w:r>
        <w:rPr>
          <w:rFonts w:ascii="宋体" w:hAnsi="宋体" w:cs="宋体"/>
        </w:rPr>
        <w:t>3.</w:t>
      </w:r>
      <w:r>
        <w:rPr>
          <w:rFonts w:hint="eastAsia" w:ascii="宋体" w:hAnsi="宋体" w:cs="宋体"/>
        </w:rPr>
        <w:t>出具上述人员在本单位服务的外部证明，如投标截止时间前不少于三个月的《社会保险参保人员证明》等。</w:t>
      </w:r>
    </w:p>
    <w:p>
      <w:pPr>
        <w:spacing w:line="360" w:lineRule="auto"/>
        <w:ind w:firstLine="480" w:firstLineChars="200"/>
        <w:rPr>
          <w:rFonts w:ascii="宋体" w:hAnsi="宋体" w:cs="宋体"/>
          <w:sz w:val="24"/>
          <w:szCs w:val="24"/>
        </w:rPr>
      </w:pPr>
    </w:p>
    <w:p>
      <w:pPr>
        <w:spacing w:line="360" w:lineRule="auto"/>
        <w:ind w:firstLine="480" w:firstLineChars="200"/>
        <w:rPr>
          <w:rFonts w:ascii="宋体"/>
          <w:sz w:val="24"/>
          <w:szCs w:val="24"/>
        </w:rPr>
      </w:pPr>
      <w:r>
        <w:rPr>
          <w:rFonts w:hint="eastAsia" w:ascii="宋体" w:hAnsi="宋体" w:cs="宋体"/>
          <w:sz w:val="24"/>
          <w:szCs w:val="24"/>
        </w:rPr>
        <w:t>投标人名称（盖章）：</w:t>
      </w:r>
    </w:p>
    <w:p>
      <w:pPr>
        <w:spacing w:line="360" w:lineRule="auto"/>
        <w:ind w:firstLine="424" w:firstLineChars="177"/>
        <w:rPr>
          <w:rFonts w:ascii="宋体"/>
          <w:sz w:val="24"/>
          <w:szCs w:val="24"/>
        </w:rPr>
      </w:pPr>
      <w:r>
        <w:rPr>
          <w:rFonts w:hint="eastAsia" w:ascii="宋体" w:hAnsi="宋体" w:cs="宋体"/>
          <w:sz w:val="24"/>
          <w:szCs w:val="24"/>
        </w:rPr>
        <w:t>法定代表人或代理人（签字或盖章）：</w:t>
      </w:r>
    </w:p>
    <w:p>
      <w:pPr>
        <w:spacing w:line="360" w:lineRule="auto"/>
        <w:ind w:firstLine="435"/>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widowControl/>
        <w:jc w:val="left"/>
        <w:rPr>
          <w:rFonts w:ascii="宋体"/>
        </w:rPr>
      </w:pPr>
      <w:r>
        <w:rPr>
          <w:rFonts w:ascii="宋体"/>
          <w:b/>
          <w:bCs/>
          <w:sz w:val="28"/>
          <w:szCs w:val="28"/>
        </w:rPr>
        <w:br w:type="page"/>
      </w:r>
      <w:r>
        <w:rPr>
          <w:rFonts w:hint="eastAsia" w:ascii="宋体" w:hAnsi="宋体" w:cs="宋体"/>
          <w:b/>
          <w:bCs/>
          <w:sz w:val="24"/>
          <w:szCs w:val="24"/>
        </w:rPr>
        <w:t>附件</w:t>
      </w:r>
      <w:r>
        <w:rPr>
          <w:rFonts w:hint="eastAsia" w:ascii="宋体" w:hAnsi="宋体" w:cs="宋体"/>
          <w:b/>
          <w:bCs/>
          <w:sz w:val="24"/>
          <w:szCs w:val="24"/>
          <w:lang w:val="en-US" w:eastAsia="zh-CN"/>
        </w:rPr>
        <w:t>6</w:t>
      </w:r>
      <w:r>
        <w:rPr>
          <w:rFonts w:hint="eastAsia" w:ascii="宋体" w:hAnsi="宋体" w:cs="宋体"/>
          <w:b/>
          <w:bCs/>
          <w:sz w:val="24"/>
          <w:szCs w:val="24"/>
        </w:rPr>
        <w:t>:</w:t>
      </w:r>
    </w:p>
    <w:p>
      <w:pPr>
        <w:pStyle w:val="50"/>
        <w:shd w:val="clear" w:color="auto" w:fill="FFFFFF"/>
        <w:spacing w:before="0" w:beforeAutospacing="0" w:after="0" w:afterAutospacing="0" w:line="360" w:lineRule="auto"/>
        <w:jc w:val="center"/>
        <w:rPr>
          <w:rFonts w:hint="default"/>
          <w:lang w:val="en-US" w:eastAsia="zh-CN"/>
        </w:rPr>
      </w:pPr>
      <w:r>
        <w:rPr>
          <w:rFonts w:hint="eastAsia" w:ascii="仿宋_GB2312" w:hAnsi="宋体" w:eastAsia="仿宋_GB2312" w:cs="宋体"/>
          <w:b/>
          <w:color w:val="000000"/>
          <w:kern w:val="2"/>
          <w:sz w:val="32"/>
          <w:szCs w:val="32"/>
          <w:lang w:val="en-US" w:eastAsia="zh-CN" w:bidi="ar-SA"/>
        </w:rPr>
        <w:t>拟投入机械设施、工具及各类型车辆设备一览表</w:t>
      </w:r>
    </w:p>
    <w:tbl>
      <w:tblPr>
        <w:tblStyle w:val="29"/>
        <w:tblW w:w="926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158"/>
        <w:gridCol w:w="1157"/>
        <w:gridCol w:w="1158"/>
        <w:gridCol w:w="1158"/>
        <w:gridCol w:w="1159"/>
        <w:gridCol w:w="1158"/>
        <w:gridCol w:w="11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57" w:type="dxa"/>
            <w:vMerge w:val="restart"/>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r>
              <w:rPr>
                <w:rFonts w:hint="eastAsia" w:ascii="Times New Roman" w:hAnsi="Times New Roman" w:cs="Times New Roman"/>
                <w:color w:val="000000"/>
                <w:sz w:val="21"/>
                <w:szCs w:val="21"/>
                <w:vertAlign w:val="baseline"/>
                <w:lang w:eastAsia="zh-CN"/>
              </w:rPr>
              <w:t>序号</w:t>
            </w:r>
          </w:p>
        </w:tc>
        <w:tc>
          <w:tcPr>
            <w:tcW w:w="1158" w:type="dxa"/>
            <w:vMerge w:val="restart"/>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r>
              <w:rPr>
                <w:rFonts w:hint="eastAsia" w:ascii="Times New Roman" w:hAnsi="Times New Roman" w:cs="Times New Roman"/>
                <w:color w:val="000000"/>
                <w:sz w:val="21"/>
                <w:szCs w:val="21"/>
                <w:vertAlign w:val="baseline"/>
                <w:lang w:eastAsia="zh-CN"/>
              </w:rPr>
              <w:t>设备名称</w:t>
            </w:r>
          </w:p>
        </w:tc>
        <w:tc>
          <w:tcPr>
            <w:tcW w:w="1157" w:type="dxa"/>
            <w:vMerge w:val="restart"/>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r>
              <w:rPr>
                <w:rFonts w:hint="eastAsia" w:ascii="Times New Roman" w:hAnsi="Times New Roman" w:cs="Times New Roman"/>
                <w:color w:val="000000"/>
                <w:sz w:val="21"/>
                <w:szCs w:val="21"/>
                <w:vertAlign w:val="baseline"/>
                <w:lang w:eastAsia="zh-CN"/>
              </w:rPr>
              <w:t>规格、功率计容量</w:t>
            </w:r>
          </w:p>
        </w:tc>
        <w:tc>
          <w:tcPr>
            <w:tcW w:w="1158" w:type="dxa"/>
            <w:vMerge w:val="restart"/>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r>
              <w:rPr>
                <w:rFonts w:hint="eastAsia" w:ascii="Times New Roman" w:hAnsi="Times New Roman" w:cs="Times New Roman"/>
                <w:color w:val="000000"/>
                <w:sz w:val="21"/>
                <w:szCs w:val="21"/>
                <w:vertAlign w:val="baseline"/>
                <w:lang w:eastAsia="zh-CN"/>
              </w:rPr>
              <w:t>单位</w:t>
            </w:r>
          </w:p>
        </w:tc>
        <w:tc>
          <w:tcPr>
            <w:tcW w:w="3475" w:type="dxa"/>
            <w:gridSpan w:val="3"/>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r>
              <w:rPr>
                <w:rFonts w:hint="eastAsia" w:ascii="Times New Roman" w:hAnsi="Times New Roman" w:cs="Times New Roman"/>
                <w:color w:val="000000"/>
                <w:sz w:val="21"/>
                <w:szCs w:val="21"/>
                <w:vertAlign w:val="baseline"/>
                <w:lang w:eastAsia="zh-CN"/>
              </w:rPr>
              <w:t>数量</w:t>
            </w:r>
          </w:p>
        </w:tc>
        <w:tc>
          <w:tcPr>
            <w:tcW w:w="1155" w:type="dxa"/>
            <w:vMerge w:val="restart"/>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r>
              <w:rPr>
                <w:rFonts w:hint="eastAsia" w:ascii="Times New Roman" w:hAnsi="Times New Roman" w:cs="Times New Roman"/>
                <w:color w:val="000000"/>
                <w:sz w:val="21"/>
                <w:szCs w:val="21"/>
                <w:vertAlign w:val="baseline"/>
                <w:lang w:eastAsia="zh-CN"/>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57" w:type="dxa"/>
            <w:vMerge w:val="continue"/>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vMerge w:val="continue"/>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7" w:type="dxa"/>
            <w:vMerge w:val="continue"/>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vMerge w:val="continue"/>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vMerge w:val="restart"/>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r>
              <w:rPr>
                <w:rFonts w:hint="eastAsia" w:ascii="Times New Roman" w:hAnsi="Times New Roman" w:cs="Times New Roman"/>
                <w:color w:val="000000"/>
                <w:sz w:val="21"/>
                <w:szCs w:val="21"/>
                <w:vertAlign w:val="baseline"/>
                <w:lang w:eastAsia="zh-CN"/>
              </w:rPr>
              <w:t>小计</w:t>
            </w:r>
          </w:p>
        </w:tc>
        <w:tc>
          <w:tcPr>
            <w:tcW w:w="2317" w:type="dxa"/>
            <w:gridSpan w:val="2"/>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r>
              <w:rPr>
                <w:rFonts w:hint="eastAsia" w:ascii="Times New Roman" w:hAnsi="Times New Roman" w:cs="Times New Roman"/>
                <w:color w:val="000000"/>
                <w:sz w:val="21"/>
                <w:szCs w:val="21"/>
                <w:vertAlign w:val="baseline"/>
                <w:lang w:eastAsia="zh-CN"/>
              </w:rPr>
              <w:t>其中</w:t>
            </w:r>
          </w:p>
        </w:tc>
        <w:tc>
          <w:tcPr>
            <w:tcW w:w="1155" w:type="dxa"/>
            <w:vMerge w:val="continue"/>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57" w:type="dxa"/>
            <w:vMerge w:val="continue"/>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vMerge w:val="continue"/>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7" w:type="dxa"/>
            <w:vMerge w:val="continue"/>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vMerge w:val="continue"/>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vMerge w:val="continue"/>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9"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r>
              <w:rPr>
                <w:rFonts w:hint="eastAsia" w:ascii="Times New Roman" w:hAnsi="Times New Roman" w:cs="Times New Roman"/>
                <w:color w:val="000000"/>
                <w:sz w:val="21"/>
                <w:szCs w:val="21"/>
                <w:vertAlign w:val="baseline"/>
                <w:lang w:eastAsia="zh-CN"/>
              </w:rPr>
              <w:t>自有</w:t>
            </w: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r>
              <w:rPr>
                <w:rFonts w:hint="eastAsia" w:ascii="Times New Roman" w:hAnsi="Times New Roman" w:cs="Times New Roman"/>
                <w:color w:val="000000"/>
                <w:sz w:val="21"/>
                <w:szCs w:val="21"/>
                <w:vertAlign w:val="baseline"/>
                <w:lang w:eastAsia="zh-CN"/>
              </w:rPr>
              <w:t>租赁</w:t>
            </w:r>
          </w:p>
        </w:tc>
        <w:tc>
          <w:tcPr>
            <w:tcW w:w="1155" w:type="dxa"/>
            <w:vMerge w:val="continue"/>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57"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7"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9"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5"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57"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7"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9"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5"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57"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7"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9"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5"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57"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7"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9"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5"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57"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7"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9"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5"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57"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7"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9"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5"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57"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7"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9"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5"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57"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7"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9"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5"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57"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7"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9"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5"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57"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7"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9"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5"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57"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7"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9"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8"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c>
          <w:tcPr>
            <w:tcW w:w="1155" w:type="dxa"/>
            <w:tcBorders>
              <w:tl2br w:val="nil"/>
              <w:tr2bl w:val="nil"/>
            </w:tcBorders>
            <w:noWrap w:val="0"/>
            <w:vAlign w:val="center"/>
          </w:tcPr>
          <w:p>
            <w:pPr>
              <w:keepNext w:val="0"/>
              <w:keepLines w:val="0"/>
              <w:numPr>
                <w:ilvl w:val="0"/>
                <w:numId w:val="0"/>
              </w:numPr>
              <w:suppressLineNumbers w:val="0"/>
              <w:wordWrap w:val="0"/>
              <w:spacing w:before="0" w:beforeAutospacing="0" w:after="0" w:afterAutospacing="0"/>
              <w:ind w:left="0" w:right="0"/>
              <w:jc w:val="center"/>
              <w:rPr>
                <w:rFonts w:hint="eastAsia" w:ascii="Times New Roman" w:hAnsi="Times New Roman" w:cs="Times New Roman"/>
                <w:color w:val="000000"/>
                <w:sz w:val="21"/>
                <w:szCs w:val="21"/>
                <w:vertAlign w:val="baseline"/>
                <w:lang w:eastAsia="zh-CN"/>
              </w:rPr>
            </w:pPr>
          </w:p>
        </w:tc>
      </w:tr>
    </w:tbl>
    <w:p>
      <w:pPr>
        <w:pStyle w:val="17"/>
        <w:keepNext w:val="0"/>
        <w:keepLines w:val="0"/>
        <w:pageBreakBefore w:val="0"/>
        <w:widowControl w:val="0"/>
        <w:kinsoku/>
        <w:wordWrap/>
        <w:overflowPunct/>
        <w:topLinePunct w:val="0"/>
        <w:autoSpaceDE/>
        <w:autoSpaceDN/>
        <w:bidi w:val="0"/>
        <w:adjustRightInd/>
        <w:snapToGrid/>
        <w:spacing w:line="312" w:lineRule="auto"/>
        <w:textAlignment w:val="auto"/>
      </w:pPr>
      <w:r>
        <w:rPr>
          <w:rFonts w:hAnsi="宋体"/>
          <w:color w:val="000000"/>
          <w:sz w:val="24"/>
        </w:rPr>
        <w:t>注：</w:t>
      </w:r>
      <w:r>
        <w:rPr>
          <w:rFonts w:hint="eastAsia" w:hAnsi="Courier New"/>
          <w:color w:val="000000"/>
        </w:rPr>
        <w:t>此表仅提供了表格形式，投标人应根据需要准备足够数量的表格来填写；</w:t>
      </w:r>
    </w:p>
    <w:p>
      <w:pPr>
        <w:pStyle w:val="17"/>
        <w:keepNext w:val="0"/>
        <w:keepLines w:val="0"/>
        <w:pageBreakBefore w:val="0"/>
        <w:widowControl w:val="0"/>
        <w:kinsoku/>
        <w:wordWrap/>
        <w:overflowPunct/>
        <w:topLinePunct w:val="0"/>
        <w:autoSpaceDE/>
        <w:autoSpaceDN/>
        <w:bidi w:val="0"/>
        <w:adjustRightInd/>
        <w:snapToGrid/>
        <w:spacing w:line="312" w:lineRule="auto"/>
        <w:textAlignment w:val="auto"/>
      </w:pPr>
      <w:r>
        <w:rPr>
          <w:rFonts w:hAnsi="宋体"/>
          <w:color w:val="000000"/>
          <w:sz w:val="24"/>
        </w:rPr>
        <w:t xml:space="preserve">   </w:t>
      </w:r>
    </w:p>
    <w:p>
      <w:pPr>
        <w:pStyle w:val="17"/>
        <w:spacing w:line="440" w:lineRule="exact"/>
      </w:pPr>
      <w:r>
        <w:t xml:space="preserve"> </w:t>
      </w:r>
    </w:p>
    <w:p>
      <w:pPr>
        <w:spacing w:line="360" w:lineRule="auto"/>
        <w:rPr>
          <w:rFonts w:ascii="宋体"/>
          <w:sz w:val="24"/>
          <w:szCs w:val="24"/>
        </w:rPr>
      </w:pPr>
      <w:r>
        <w:rPr>
          <w:rFonts w:hint="eastAsia" w:ascii="宋体" w:hAnsi="宋体" w:cs="宋体"/>
          <w:sz w:val="24"/>
          <w:szCs w:val="24"/>
        </w:rPr>
        <w:t>投标人名称（盖章）：</w:t>
      </w:r>
    </w:p>
    <w:p>
      <w:pPr>
        <w:tabs>
          <w:tab w:val="left" w:pos="4525"/>
        </w:tabs>
        <w:spacing w:line="460" w:lineRule="exact"/>
        <w:jc w:val="left"/>
        <w:rPr>
          <w:rFonts w:hAnsi="宋体"/>
          <w:sz w:val="24"/>
        </w:rPr>
      </w:pPr>
      <w:r>
        <w:rPr>
          <w:rFonts w:hint="eastAsia" w:hAnsi="宋体"/>
          <w:sz w:val="24"/>
          <w:lang w:eastAsia="zh-CN"/>
        </w:rPr>
        <w:t>法定代表人</w:t>
      </w:r>
      <w:r>
        <w:rPr>
          <w:rFonts w:hint="eastAsia" w:hAnsi="宋体"/>
          <w:sz w:val="24"/>
        </w:rPr>
        <w:t>或委托代理人（盖章或签名）：</w:t>
      </w:r>
    </w:p>
    <w:p>
      <w:pPr>
        <w:tabs>
          <w:tab w:val="left" w:pos="4525"/>
        </w:tabs>
        <w:spacing w:line="460" w:lineRule="exact"/>
        <w:jc w:val="left"/>
        <w:rPr>
          <w:rFonts w:hAnsi="宋体"/>
          <w:color w:val="000000"/>
          <w:sz w:val="24"/>
        </w:rPr>
        <w:sectPr>
          <w:footerReference r:id="rId7" w:type="default"/>
          <w:pgSz w:w="11907" w:h="16840"/>
          <w:pgMar w:top="1440" w:right="1531" w:bottom="1440" w:left="1928" w:header="851" w:footer="1304" w:gutter="0"/>
          <w:pgBorders>
            <w:top w:val="none" w:sz="0" w:space="0"/>
            <w:left w:val="none" w:sz="0" w:space="0"/>
            <w:bottom w:val="none" w:sz="0" w:space="0"/>
            <w:right w:val="none" w:sz="0" w:space="0"/>
          </w:pgBorders>
          <w:pgNumType w:start="1"/>
          <w:cols w:space="720" w:num="1"/>
          <w:docGrid w:type="linesAndChars" w:linePitch="312" w:charSpace="0"/>
        </w:sectPr>
      </w:pPr>
      <w:r>
        <w:rPr>
          <w:rFonts w:hint="eastAsia" w:hAnsi="宋体"/>
          <w:sz w:val="24"/>
        </w:rPr>
        <w:t>日期：</w:t>
      </w:r>
    </w:p>
    <w:p>
      <w:pPr>
        <w:pStyle w:val="17"/>
        <w:spacing w:before="120" w:after="120" w:line="480" w:lineRule="auto"/>
        <w:jc w:val="both"/>
        <w:rPr>
          <w:rFonts w:hint="eastAsia" w:ascii="宋体" w:hAnsi="宋体" w:cs="宋体"/>
          <w:b/>
          <w:bCs/>
          <w:color w:val="000000"/>
          <w:sz w:val="24"/>
          <w:lang w:bidi="ar"/>
        </w:rPr>
      </w:pPr>
      <w:r>
        <w:rPr>
          <w:rFonts w:hint="eastAsia" w:ascii="宋体" w:hAnsi="宋体" w:cs="宋体"/>
          <w:b/>
          <w:bCs/>
          <w:color w:val="000000"/>
          <w:sz w:val="24"/>
          <w:lang w:bidi="ar"/>
        </w:rPr>
        <w:t>附件</w:t>
      </w:r>
      <w:r>
        <w:rPr>
          <w:rFonts w:hint="eastAsia" w:hAnsi="宋体" w:cs="宋体"/>
          <w:b/>
          <w:bCs/>
          <w:color w:val="000000"/>
          <w:sz w:val="24"/>
          <w:lang w:val="en-US" w:eastAsia="zh-CN" w:bidi="ar"/>
        </w:rPr>
        <w:t>7</w:t>
      </w:r>
      <w:r>
        <w:rPr>
          <w:rFonts w:hint="eastAsia" w:ascii="宋体" w:hAnsi="宋体" w:cs="宋体"/>
          <w:b/>
          <w:bCs/>
          <w:color w:val="000000"/>
          <w:sz w:val="24"/>
          <w:lang w:bidi="ar"/>
        </w:rPr>
        <w:t>：</w:t>
      </w:r>
    </w:p>
    <w:p>
      <w:pPr>
        <w:pStyle w:val="17"/>
        <w:spacing w:before="120" w:after="120" w:line="480" w:lineRule="auto"/>
        <w:jc w:val="center"/>
        <w:rPr>
          <w:rFonts w:hAnsi="宋体" w:cs="宋体"/>
          <w:b/>
          <w:color w:val="auto"/>
          <w:sz w:val="28"/>
          <w:szCs w:val="28"/>
          <w:lang w:bidi="ar"/>
        </w:rPr>
      </w:pPr>
      <w:r>
        <w:rPr>
          <w:rFonts w:hAnsi="宋体" w:cs="宋体"/>
          <w:b/>
          <w:color w:val="auto"/>
          <w:sz w:val="28"/>
          <w:szCs w:val="28"/>
          <w:lang w:bidi="ar"/>
        </w:rPr>
        <w:t>类似业绩一览表</w:t>
      </w:r>
    </w:p>
    <w:p>
      <w:pPr>
        <w:spacing w:line="360" w:lineRule="auto"/>
        <w:rPr>
          <w:rFonts w:hint="default" w:hAnsi="宋体" w:cs="宋体"/>
          <w:b/>
          <w:color w:val="auto"/>
          <w:sz w:val="32"/>
          <w:szCs w:val="32"/>
          <w:lang w:val="en-US" w:bidi="ar"/>
        </w:rPr>
      </w:pPr>
      <w:r>
        <w:rPr>
          <w:rFonts w:hint="eastAsia" w:hAnsi="宋体"/>
          <w:color w:val="auto"/>
          <w:sz w:val="24"/>
        </w:rPr>
        <w:t>招标项目：                           项目编号：</w:t>
      </w:r>
      <w:r>
        <w:rPr>
          <w:rFonts w:hint="eastAsia" w:hAnsi="宋体"/>
          <w:color w:val="auto"/>
          <w:sz w:val="24"/>
          <w:lang w:val="en-US" w:eastAsia="zh-CN"/>
        </w:rPr>
        <w:t xml:space="preserve">   </w:t>
      </w:r>
    </w:p>
    <w:tbl>
      <w:tblPr>
        <w:tblStyle w:val="28"/>
        <w:tblW w:w="9576" w:type="dxa"/>
        <w:tblInd w:w="-359"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768"/>
        <w:gridCol w:w="1561"/>
        <w:gridCol w:w="1332"/>
        <w:gridCol w:w="1266"/>
        <w:gridCol w:w="1579"/>
        <w:gridCol w:w="1272"/>
      </w:tblGrid>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1011" w:hRule="atLeast"/>
        </w:trPr>
        <w:tc>
          <w:tcPr>
            <w:tcW w:w="798" w:type="dxa"/>
            <w:vAlign w:val="center"/>
          </w:tcPr>
          <w:p>
            <w:pPr>
              <w:spacing w:line="360" w:lineRule="auto"/>
              <w:jc w:val="center"/>
              <w:rPr>
                <w:rFonts w:ascii="宋体" w:hAnsi="宋体"/>
                <w:b/>
                <w:bCs/>
                <w:caps/>
                <w:color w:val="auto"/>
                <w:spacing w:val="20"/>
                <w:sz w:val="22"/>
                <w:szCs w:val="22"/>
              </w:rPr>
            </w:pPr>
            <w:r>
              <w:rPr>
                <w:rFonts w:hint="eastAsia" w:ascii="宋体" w:hAnsi="宋体"/>
                <w:b/>
                <w:bCs/>
                <w:caps/>
                <w:color w:val="auto"/>
                <w:spacing w:val="20"/>
                <w:sz w:val="22"/>
                <w:szCs w:val="22"/>
              </w:rPr>
              <w:t>序号</w:t>
            </w:r>
          </w:p>
        </w:tc>
        <w:tc>
          <w:tcPr>
            <w:tcW w:w="1768" w:type="dxa"/>
            <w:vAlign w:val="center"/>
          </w:tcPr>
          <w:p>
            <w:pPr>
              <w:spacing w:line="360" w:lineRule="auto"/>
              <w:jc w:val="center"/>
              <w:rPr>
                <w:rFonts w:ascii="宋体" w:hAnsi="宋体"/>
                <w:b/>
                <w:bCs/>
                <w:caps/>
                <w:color w:val="auto"/>
                <w:spacing w:val="20"/>
                <w:sz w:val="22"/>
                <w:szCs w:val="22"/>
              </w:rPr>
            </w:pPr>
            <w:r>
              <w:rPr>
                <w:rFonts w:hint="eastAsia" w:ascii="宋体" w:hAnsi="宋体"/>
                <w:b/>
                <w:bCs/>
                <w:caps/>
                <w:color w:val="auto"/>
                <w:spacing w:val="20"/>
                <w:sz w:val="22"/>
                <w:szCs w:val="22"/>
              </w:rPr>
              <w:t>项目名称</w:t>
            </w:r>
          </w:p>
        </w:tc>
        <w:tc>
          <w:tcPr>
            <w:tcW w:w="1561" w:type="dxa"/>
            <w:vAlign w:val="center"/>
          </w:tcPr>
          <w:p>
            <w:pPr>
              <w:spacing w:line="360" w:lineRule="auto"/>
              <w:jc w:val="center"/>
              <w:rPr>
                <w:rFonts w:ascii="宋体" w:hAnsi="宋体"/>
                <w:b/>
                <w:bCs/>
                <w:caps/>
                <w:color w:val="auto"/>
                <w:spacing w:val="20"/>
                <w:sz w:val="22"/>
                <w:szCs w:val="22"/>
              </w:rPr>
            </w:pPr>
            <w:r>
              <w:rPr>
                <w:rFonts w:hint="eastAsia" w:ascii="宋体" w:hAnsi="宋体"/>
                <w:b/>
                <w:bCs/>
                <w:caps/>
                <w:color w:val="auto"/>
                <w:spacing w:val="20"/>
                <w:sz w:val="22"/>
                <w:szCs w:val="22"/>
              </w:rPr>
              <w:t>业主名称</w:t>
            </w:r>
          </w:p>
        </w:tc>
        <w:tc>
          <w:tcPr>
            <w:tcW w:w="1332" w:type="dxa"/>
            <w:vAlign w:val="center"/>
          </w:tcPr>
          <w:p>
            <w:pPr>
              <w:spacing w:line="360" w:lineRule="auto"/>
              <w:jc w:val="center"/>
              <w:rPr>
                <w:rFonts w:ascii="宋体" w:hAnsi="宋体"/>
                <w:b/>
                <w:bCs/>
                <w:caps/>
                <w:color w:val="auto"/>
                <w:spacing w:val="20"/>
                <w:sz w:val="22"/>
                <w:szCs w:val="22"/>
              </w:rPr>
            </w:pPr>
            <w:r>
              <w:rPr>
                <w:rFonts w:hint="eastAsia" w:ascii="宋体" w:hAnsi="宋体"/>
                <w:b/>
                <w:bCs/>
                <w:caps/>
                <w:color w:val="auto"/>
                <w:spacing w:val="20"/>
                <w:sz w:val="22"/>
                <w:szCs w:val="22"/>
              </w:rPr>
              <w:t>合同金额</w:t>
            </w:r>
          </w:p>
        </w:tc>
        <w:tc>
          <w:tcPr>
            <w:tcW w:w="1266" w:type="dxa"/>
            <w:vAlign w:val="center"/>
          </w:tcPr>
          <w:p>
            <w:pPr>
              <w:spacing w:line="360" w:lineRule="auto"/>
              <w:jc w:val="center"/>
              <w:rPr>
                <w:rFonts w:ascii="宋体" w:hAnsi="宋体"/>
                <w:b/>
                <w:bCs/>
                <w:caps/>
                <w:color w:val="auto"/>
                <w:spacing w:val="20"/>
                <w:sz w:val="22"/>
                <w:szCs w:val="22"/>
              </w:rPr>
            </w:pPr>
            <w:r>
              <w:rPr>
                <w:rFonts w:hint="eastAsia" w:ascii="宋体" w:hAnsi="宋体"/>
                <w:b/>
                <w:bCs/>
                <w:caps/>
                <w:color w:val="auto"/>
                <w:spacing w:val="20"/>
                <w:sz w:val="22"/>
                <w:szCs w:val="22"/>
              </w:rPr>
              <w:t>签约日期</w:t>
            </w:r>
          </w:p>
        </w:tc>
        <w:tc>
          <w:tcPr>
            <w:tcW w:w="1579" w:type="dxa"/>
            <w:vAlign w:val="center"/>
          </w:tcPr>
          <w:p>
            <w:pPr>
              <w:jc w:val="center"/>
              <w:rPr>
                <w:rFonts w:hint="eastAsia" w:ascii="宋体" w:hAnsi="宋体"/>
                <w:b/>
                <w:bCs/>
                <w:caps/>
                <w:color w:val="auto"/>
                <w:spacing w:val="20"/>
                <w:sz w:val="22"/>
                <w:szCs w:val="22"/>
              </w:rPr>
            </w:pPr>
            <w:r>
              <w:rPr>
                <w:rFonts w:hint="eastAsia" w:ascii="宋体" w:hAnsi="宋体"/>
                <w:b/>
                <w:bCs/>
                <w:caps/>
                <w:color w:val="auto"/>
                <w:spacing w:val="20"/>
                <w:sz w:val="22"/>
                <w:szCs w:val="22"/>
              </w:rPr>
              <w:t>业主单位联系人及电话</w:t>
            </w:r>
          </w:p>
        </w:tc>
        <w:tc>
          <w:tcPr>
            <w:tcW w:w="1272" w:type="dxa"/>
            <w:vAlign w:val="center"/>
          </w:tcPr>
          <w:p>
            <w:pPr>
              <w:jc w:val="center"/>
              <w:rPr>
                <w:rFonts w:hint="eastAsia" w:ascii="宋体" w:hAnsi="宋体"/>
                <w:b/>
                <w:bCs/>
                <w:caps/>
                <w:color w:val="auto"/>
                <w:spacing w:val="20"/>
                <w:sz w:val="22"/>
                <w:szCs w:val="22"/>
              </w:rPr>
            </w:pPr>
            <w:r>
              <w:rPr>
                <w:rFonts w:hint="eastAsia" w:ascii="宋体" w:hAnsi="宋体"/>
                <w:b/>
                <w:bCs/>
                <w:caps/>
                <w:color w:val="auto"/>
                <w:spacing w:val="20"/>
                <w:sz w:val="22"/>
                <w:szCs w:val="22"/>
              </w:rPr>
              <w:t>证明材料</w:t>
            </w:r>
          </w:p>
          <w:p>
            <w:pPr>
              <w:jc w:val="center"/>
              <w:rPr>
                <w:rFonts w:hint="eastAsia" w:ascii="宋体" w:hAnsi="宋体"/>
                <w:b/>
                <w:bCs/>
                <w:caps/>
                <w:color w:val="auto"/>
                <w:spacing w:val="20"/>
                <w:sz w:val="22"/>
                <w:szCs w:val="22"/>
              </w:rPr>
            </w:pPr>
            <w:r>
              <w:rPr>
                <w:rFonts w:hint="eastAsia" w:ascii="宋体" w:hAnsi="宋体"/>
                <w:b/>
                <w:bCs/>
                <w:caps/>
                <w:color w:val="auto"/>
                <w:spacing w:val="20"/>
                <w:sz w:val="22"/>
                <w:szCs w:val="22"/>
              </w:rPr>
              <w:t>所在页码</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798" w:type="dxa"/>
            <w:vAlign w:val="center"/>
          </w:tcPr>
          <w:p>
            <w:pPr>
              <w:spacing w:line="360" w:lineRule="auto"/>
              <w:jc w:val="center"/>
              <w:rPr>
                <w:rFonts w:ascii="宋体" w:hAnsi="宋体"/>
                <w:caps/>
                <w:color w:val="auto"/>
                <w:spacing w:val="20"/>
              </w:rPr>
            </w:pPr>
            <w:r>
              <w:rPr>
                <w:rFonts w:hint="eastAsia" w:ascii="宋体" w:hAnsi="宋体"/>
                <w:caps/>
                <w:color w:val="auto"/>
                <w:spacing w:val="20"/>
              </w:rPr>
              <w:t>1</w:t>
            </w:r>
          </w:p>
        </w:tc>
        <w:tc>
          <w:tcPr>
            <w:tcW w:w="1768" w:type="dxa"/>
            <w:vAlign w:val="center"/>
          </w:tcPr>
          <w:p>
            <w:pPr>
              <w:spacing w:line="360" w:lineRule="auto"/>
              <w:rPr>
                <w:rFonts w:ascii="宋体" w:hAnsi="宋体"/>
                <w:color w:val="auto"/>
                <w:spacing w:val="20"/>
                <w:sz w:val="24"/>
              </w:rPr>
            </w:pPr>
            <w:r>
              <w:rPr>
                <w:rFonts w:ascii="宋体" w:hAnsi="宋体"/>
                <w:color w:val="auto"/>
              </w:rPr>
              <w:t> </w:t>
            </w:r>
          </w:p>
        </w:tc>
        <w:tc>
          <w:tcPr>
            <w:tcW w:w="1561" w:type="dxa"/>
            <w:vAlign w:val="center"/>
          </w:tcPr>
          <w:p>
            <w:pPr>
              <w:spacing w:line="360" w:lineRule="auto"/>
              <w:rPr>
                <w:rFonts w:ascii="宋体" w:hAnsi="宋体"/>
                <w:color w:val="auto"/>
                <w:spacing w:val="20"/>
                <w:sz w:val="24"/>
              </w:rPr>
            </w:pPr>
            <w:r>
              <w:rPr>
                <w:rFonts w:ascii="宋体" w:hAnsi="宋体"/>
                <w:color w:val="auto"/>
              </w:rPr>
              <w:t> </w:t>
            </w:r>
          </w:p>
        </w:tc>
        <w:tc>
          <w:tcPr>
            <w:tcW w:w="1332" w:type="dxa"/>
            <w:vAlign w:val="center"/>
          </w:tcPr>
          <w:p>
            <w:pPr>
              <w:spacing w:line="360" w:lineRule="auto"/>
              <w:rPr>
                <w:rFonts w:ascii="宋体" w:hAnsi="宋体"/>
                <w:color w:val="auto"/>
                <w:spacing w:val="20"/>
                <w:sz w:val="24"/>
              </w:rPr>
            </w:pPr>
            <w:r>
              <w:rPr>
                <w:rFonts w:ascii="宋体" w:hAnsi="宋体"/>
                <w:color w:val="auto"/>
              </w:rPr>
              <w:t> </w:t>
            </w:r>
          </w:p>
        </w:tc>
        <w:tc>
          <w:tcPr>
            <w:tcW w:w="1266" w:type="dxa"/>
            <w:vAlign w:val="center"/>
          </w:tcPr>
          <w:p>
            <w:pPr>
              <w:spacing w:line="360" w:lineRule="auto"/>
              <w:rPr>
                <w:rFonts w:ascii="宋体" w:hAnsi="宋体"/>
                <w:color w:val="auto"/>
                <w:spacing w:val="20"/>
                <w:sz w:val="24"/>
              </w:rPr>
            </w:pPr>
            <w:r>
              <w:rPr>
                <w:rFonts w:ascii="宋体" w:hAnsi="宋体"/>
                <w:color w:val="auto"/>
              </w:rPr>
              <w:t> </w:t>
            </w:r>
          </w:p>
        </w:tc>
        <w:tc>
          <w:tcPr>
            <w:tcW w:w="1579" w:type="dxa"/>
            <w:vAlign w:val="center"/>
          </w:tcPr>
          <w:p>
            <w:pPr>
              <w:spacing w:line="360" w:lineRule="auto"/>
              <w:rPr>
                <w:rFonts w:ascii="宋体" w:hAnsi="宋体"/>
                <w:color w:val="auto"/>
                <w:spacing w:val="20"/>
                <w:sz w:val="24"/>
              </w:rPr>
            </w:pPr>
            <w:r>
              <w:rPr>
                <w:rFonts w:ascii="宋体" w:hAnsi="宋体"/>
                <w:color w:val="auto"/>
              </w:rPr>
              <w:t> </w:t>
            </w:r>
          </w:p>
        </w:tc>
        <w:tc>
          <w:tcPr>
            <w:tcW w:w="1272" w:type="dxa"/>
            <w:vAlign w:val="center"/>
          </w:tcPr>
          <w:p>
            <w:pPr>
              <w:spacing w:line="360" w:lineRule="auto"/>
              <w:rPr>
                <w:rFonts w:ascii="宋体" w:hAnsi="宋体"/>
                <w:color w:val="auto"/>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798" w:type="dxa"/>
            <w:vAlign w:val="center"/>
          </w:tcPr>
          <w:p>
            <w:pPr>
              <w:spacing w:line="360" w:lineRule="auto"/>
              <w:jc w:val="center"/>
              <w:rPr>
                <w:rFonts w:ascii="宋体" w:hAnsi="宋体"/>
                <w:caps/>
                <w:color w:val="auto"/>
                <w:spacing w:val="20"/>
              </w:rPr>
            </w:pPr>
            <w:r>
              <w:rPr>
                <w:rFonts w:hint="eastAsia" w:ascii="宋体" w:hAnsi="宋体"/>
                <w:caps/>
                <w:color w:val="auto"/>
                <w:spacing w:val="20"/>
              </w:rPr>
              <w:t>2</w:t>
            </w:r>
          </w:p>
        </w:tc>
        <w:tc>
          <w:tcPr>
            <w:tcW w:w="1768" w:type="dxa"/>
            <w:vAlign w:val="center"/>
          </w:tcPr>
          <w:p>
            <w:pPr>
              <w:spacing w:line="360" w:lineRule="auto"/>
              <w:rPr>
                <w:rFonts w:ascii="宋体" w:hAnsi="宋体"/>
                <w:color w:val="auto"/>
                <w:spacing w:val="20"/>
                <w:sz w:val="24"/>
              </w:rPr>
            </w:pPr>
          </w:p>
        </w:tc>
        <w:tc>
          <w:tcPr>
            <w:tcW w:w="1561" w:type="dxa"/>
            <w:vAlign w:val="center"/>
          </w:tcPr>
          <w:p>
            <w:pPr>
              <w:spacing w:line="360" w:lineRule="auto"/>
              <w:rPr>
                <w:rFonts w:ascii="宋体" w:hAnsi="宋体"/>
                <w:color w:val="auto"/>
                <w:spacing w:val="20"/>
                <w:sz w:val="24"/>
              </w:rPr>
            </w:pPr>
            <w:r>
              <w:rPr>
                <w:rFonts w:ascii="宋体" w:hAnsi="宋体"/>
                <w:color w:val="auto"/>
              </w:rPr>
              <w:t> </w:t>
            </w:r>
          </w:p>
        </w:tc>
        <w:tc>
          <w:tcPr>
            <w:tcW w:w="1332" w:type="dxa"/>
            <w:vAlign w:val="center"/>
          </w:tcPr>
          <w:p>
            <w:pPr>
              <w:spacing w:line="360" w:lineRule="auto"/>
              <w:rPr>
                <w:rFonts w:ascii="宋体" w:hAnsi="宋体"/>
                <w:color w:val="auto"/>
                <w:spacing w:val="20"/>
                <w:sz w:val="24"/>
              </w:rPr>
            </w:pPr>
            <w:r>
              <w:rPr>
                <w:rFonts w:ascii="宋体" w:hAnsi="宋体"/>
                <w:color w:val="auto"/>
              </w:rPr>
              <w:t> </w:t>
            </w:r>
          </w:p>
        </w:tc>
        <w:tc>
          <w:tcPr>
            <w:tcW w:w="1266" w:type="dxa"/>
            <w:vAlign w:val="center"/>
          </w:tcPr>
          <w:p>
            <w:pPr>
              <w:spacing w:line="360" w:lineRule="auto"/>
              <w:rPr>
                <w:rFonts w:ascii="宋体" w:hAnsi="宋体"/>
                <w:color w:val="auto"/>
                <w:spacing w:val="20"/>
                <w:sz w:val="24"/>
              </w:rPr>
            </w:pPr>
            <w:r>
              <w:rPr>
                <w:rFonts w:ascii="宋体" w:hAnsi="宋体"/>
                <w:color w:val="auto"/>
              </w:rPr>
              <w:t> </w:t>
            </w:r>
          </w:p>
        </w:tc>
        <w:tc>
          <w:tcPr>
            <w:tcW w:w="1579" w:type="dxa"/>
            <w:vAlign w:val="center"/>
          </w:tcPr>
          <w:p>
            <w:pPr>
              <w:spacing w:line="360" w:lineRule="auto"/>
              <w:rPr>
                <w:rFonts w:ascii="宋体" w:hAnsi="宋体"/>
                <w:color w:val="auto"/>
                <w:spacing w:val="20"/>
                <w:sz w:val="24"/>
              </w:rPr>
            </w:pPr>
            <w:r>
              <w:rPr>
                <w:rFonts w:ascii="宋体" w:hAnsi="宋体"/>
                <w:color w:val="auto"/>
              </w:rPr>
              <w:t> </w:t>
            </w:r>
          </w:p>
        </w:tc>
        <w:tc>
          <w:tcPr>
            <w:tcW w:w="1272" w:type="dxa"/>
            <w:vAlign w:val="center"/>
          </w:tcPr>
          <w:p>
            <w:pPr>
              <w:spacing w:line="360" w:lineRule="auto"/>
              <w:rPr>
                <w:rFonts w:ascii="宋体" w:hAnsi="宋体"/>
                <w:color w:val="auto"/>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798" w:type="dxa"/>
            <w:vAlign w:val="center"/>
          </w:tcPr>
          <w:p>
            <w:pPr>
              <w:spacing w:line="360" w:lineRule="auto"/>
              <w:jc w:val="center"/>
              <w:rPr>
                <w:rFonts w:ascii="宋体" w:hAnsi="宋体"/>
                <w:caps/>
                <w:color w:val="auto"/>
                <w:spacing w:val="20"/>
              </w:rPr>
            </w:pPr>
            <w:r>
              <w:rPr>
                <w:rFonts w:hint="eastAsia" w:ascii="宋体" w:hAnsi="宋体"/>
                <w:caps/>
                <w:color w:val="auto"/>
                <w:spacing w:val="20"/>
              </w:rPr>
              <w:t>3</w:t>
            </w:r>
          </w:p>
        </w:tc>
        <w:tc>
          <w:tcPr>
            <w:tcW w:w="1768" w:type="dxa"/>
            <w:vAlign w:val="center"/>
          </w:tcPr>
          <w:p>
            <w:pPr>
              <w:spacing w:line="360" w:lineRule="auto"/>
              <w:rPr>
                <w:rFonts w:ascii="宋体" w:hAnsi="宋体"/>
                <w:color w:val="auto"/>
                <w:spacing w:val="20"/>
                <w:sz w:val="24"/>
              </w:rPr>
            </w:pPr>
            <w:r>
              <w:rPr>
                <w:rFonts w:ascii="宋体" w:hAnsi="宋体"/>
                <w:color w:val="auto"/>
              </w:rPr>
              <w:t> </w:t>
            </w:r>
            <w:r>
              <w:rPr>
                <w:rFonts w:hint="eastAsia" w:ascii="宋体" w:hAnsi="宋体"/>
                <w:color w:val="auto"/>
              </w:rPr>
              <w:t>……</w:t>
            </w:r>
          </w:p>
        </w:tc>
        <w:tc>
          <w:tcPr>
            <w:tcW w:w="1561" w:type="dxa"/>
            <w:vAlign w:val="center"/>
          </w:tcPr>
          <w:p>
            <w:pPr>
              <w:spacing w:line="360" w:lineRule="auto"/>
              <w:rPr>
                <w:rFonts w:ascii="宋体" w:hAnsi="宋体"/>
                <w:color w:val="auto"/>
                <w:spacing w:val="20"/>
                <w:sz w:val="24"/>
              </w:rPr>
            </w:pPr>
            <w:r>
              <w:rPr>
                <w:rFonts w:ascii="宋体" w:hAnsi="宋体"/>
                <w:color w:val="auto"/>
              </w:rPr>
              <w:t> </w:t>
            </w:r>
          </w:p>
        </w:tc>
        <w:tc>
          <w:tcPr>
            <w:tcW w:w="1332" w:type="dxa"/>
            <w:vAlign w:val="center"/>
          </w:tcPr>
          <w:p>
            <w:pPr>
              <w:spacing w:line="360" w:lineRule="auto"/>
              <w:rPr>
                <w:rFonts w:ascii="宋体" w:hAnsi="宋体"/>
                <w:color w:val="auto"/>
                <w:spacing w:val="20"/>
                <w:sz w:val="24"/>
              </w:rPr>
            </w:pPr>
            <w:r>
              <w:rPr>
                <w:rFonts w:ascii="宋体" w:hAnsi="宋体"/>
                <w:color w:val="auto"/>
              </w:rPr>
              <w:t> </w:t>
            </w:r>
          </w:p>
        </w:tc>
        <w:tc>
          <w:tcPr>
            <w:tcW w:w="1266" w:type="dxa"/>
            <w:vAlign w:val="center"/>
          </w:tcPr>
          <w:p>
            <w:pPr>
              <w:spacing w:line="360" w:lineRule="auto"/>
              <w:rPr>
                <w:rFonts w:ascii="宋体" w:hAnsi="宋体"/>
                <w:color w:val="auto"/>
                <w:spacing w:val="20"/>
                <w:sz w:val="24"/>
              </w:rPr>
            </w:pPr>
            <w:r>
              <w:rPr>
                <w:rFonts w:ascii="宋体" w:hAnsi="宋体"/>
                <w:color w:val="auto"/>
              </w:rPr>
              <w:t> </w:t>
            </w:r>
          </w:p>
        </w:tc>
        <w:tc>
          <w:tcPr>
            <w:tcW w:w="1579" w:type="dxa"/>
            <w:vAlign w:val="center"/>
          </w:tcPr>
          <w:p>
            <w:pPr>
              <w:spacing w:line="360" w:lineRule="auto"/>
              <w:rPr>
                <w:rFonts w:ascii="宋体" w:hAnsi="宋体"/>
                <w:color w:val="auto"/>
                <w:spacing w:val="20"/>
                <w:sz w:val="24"/>
              </w:rPr>
            </w:pPr>
            <w:r>
              <w:rPr>
                <w:rFonts w:ascii="宋体" w:hAnsi="宋体"/>
                <w:color w:val="auto"/>
              </w:rPr>
              <w:t> </w:t>
            </w:r>
          </w:p>
        </w:tc>
        <w:tc>
          <w:tcPr>
            <w:tcW w:w="1272" w:type="dxa"/>
            <w:vAlign w:val="center"/>
          </w:tcPr>
          <w:p>
            <w:pPr>
              <w:spacing w:line="360" w:lineRule="auto"/>
              <w:rPr>
                <w:rFonts w:ascii="宋体" w:hAnsi="宋体"/>
                <w:color w:val="auto"/>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798" w:type="dxa"/>
            <w:vAlign w:val="center"/>
          </w:tcPr>
          <w:p>
            <w:pPr>
              <w:spacing w:line="360" w:lineRule="auto"/>
              <w:jc w:val="center"/>
              <w:rPr>
                <w:rFonts w:ascii="宋体" w:hAnsi="宋体"/>
                <w:caps/>
                <w:color w:val="auto"/>
                <w:spacing w:val="20"/>
              </w:rPr>
            </w:pPr>
            <w:r>
              <w:rPr>
                <w:rFonts w:hint="eastAsia" w:ascii="宋体" w:hAnsi="宋体"/>
                <w:caps/>
                <w:color w:val="auto"/>
                <w:spacing w:val="20"/>
              </w:rPr>
              <w:t>4</w:t>
            </w:r>
          </w:p>
        </w:tc>
        <w:tc>
          <w:tcPr>
            <w:tcW w:w="1768" w:type="dxa"/>
            <w:vAlign w:val="center"/>
          </w:tcPr>
          <w:p>
            <w:pPr>
              <w:spacing w:line="360" w:lineRule="auto"/>
              <w:rPr>
                <w:rFonts w:ascii="宋体" w:hAnsi="宋体"/>
                <w:color w:val="auto"/>
                <w:spacing w:val="20"/>
                <w:sz w:val="24"/>
              </w:rPr>
            </w:pPr>
            <w:r>
              <w:rPr>
                <w:rFonts w:ascii="宋体" w:hAnsi="宋体"/>
                <w:color w:val="auto"/>
              </w:rPr>
              <w:t> </w:t>
            </w:r>
          </w:p>
        </w:tc>
        <w:tc>
          <w:tcPr>
            <w:tcW w:w="1561" w:type="dxa"/>
            <w:vAlign w:val="center"/>
          </w:tcPr>
          <w:p>
            <w:pPr>
              <w:spacing w:line="360" w:lineRule="auto"/>
              <w:rPr>
                <w:rFonts w:ascii="宋体" w:hAnsi="宋体"/>
                <w:color w:val="auto"/>
                <w:spacing w:val="20"/>
                <w:sz w:val="24"/>
              </w:rPr>
            </w:pPr>
            <w:r>
              <w:rPr>
                <w:rFonts w:ascii="宋体" w:hAnsi="宋体"/>
                <w:color w:val="auto"/>
              </w:rPr>
              <w:t> </w:t>
            </w:r>
          </w:p>
        </w:tc>
        <w:tc>
          <w:tcPr>
            <w:tcW w:w="1332" w:type="dxa"/>
            <w:vAlign w:val="center"/>
          </w:tcPr>
          <w:p>
            <w:pPr>
              <w:spacing w:line="360" w:lineRule="auto"/>
              <w:rPr>
                <w:rFonts w:ascii="宋体" w:hAnsi="宋体"/>
                <w:color w:val="auto"/>
                <w:spacing w:val="20"/>
                <w:sz w:val="24"/>
              </w:rPr>
            </w:pPr>
            <w:r>
              <w:rPr>
                <w:rFonts w:ascii="宋体" w:hAnsi="宋体"/>
                <w:color w:val="auto"/>
              </w:rPr>
              <w:t> </w:t>
            </w:r>
          </w:p>
        </w:tc>
        <w:tc>
          <w:tcPr>
            <w:tcW w:w="1266" w:type="dxa"/>
            <w:vAlign w:val="center"/>
          </w:tcPr>
          <w:p>
            <w:pPr>
              <w:spacing w:line="360" w:lineRule="auto"/>
              <w:rPr>
                <w:rFonts w:ascii="宋体" w:hAnsi="宋体"/>
                <w:color w:val="auto"/>
                <w:spacing w:val="20"/>
                <w:sz w:val="24"/>
              </w:rPr>
            </w:pPr>
            <w:r>
              <w:rPr>
                <w:rFonts w:ascii="宋体" w:hAnsi="宋体"/>
                <w:color w:val="auto"/>
              </w:rPr>
              <w:t> </w:t>
            </w:r>
          </w:p>
        </w:tc>
        <w:tc>
          <w:tcPr>
            <w:tcW w:w="1579" w:type="dxa"/>
            <w:vAlign w:val="center"/>
          </w:tcPr>
          <w:p>
            <w:pPr>
              <w:spacing w:line="360" w:lineRule="auto"/>
              <w:rPr>
                <w:rFonts w:ascii="宋体" w:hAnsi="宋体"/>
                <w:color w:val="auto"/>
                <w:spacing w:val="20"/>
                <w:sz w:val="24"/>
              </w:rPr>
            </w:pPr>
            <w:r>
              <w:rPr>
                <w:rFonts w:ascii="宋体" w:hAnsi="宋体"/>
                <w:color w:val="auto"/>
              </w:rPr>
              <w:t> </w:t>
            </w:r>
          </w:p>
        </w:tc>
        <w:tc>
          <w:tcPr>
            <w:tcW w:w="1272" w:type="dxa"/>
            <w:vAlign w:val="center"/>
          </w:tcPr>
          <w:p>
            <w:pPr>
              <w:spacing w:line="360" w:lineRule="auto"/>
              <w:rPr>
                <w:rFonts w:ascii="宋体" w:hAnsi="宋体"/>
                <w:color w:val="auto"/>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798" w:type="dxa"/>
            <w:vAlign w:val="center"/>
          </w:tcPr>
          <w:p>
            <w:pPr>
              <w:spacing w:line="360" w:lineRule="auto"/>
              <w:jc w:val="center"/>
              <w:rPr>
                <w:rFonts w:ascii="宋体" w:hAnsi="宋体"/>
                <w:caps/>
                <w:color w:val="auto"/>
                <w:spacing w:val="20"/>
              </w:rPr>
            </w:pPr>
            <w:r>
              <w:rPr>
                <w:rFonts w:hint="eastAsia" w:ascii="宋体" w:hAnsi="宋体"/>
                <w:caps/>
                <w:color w:val="auto"/>
                <w:spacing w:val="20"/>
              </w:rPr>
              <w:t>5</w:t>
            </w:r>
          </w:p>
        </w:tc>
        <w:tc>
          <w:tcPr>
            <w:tcW w:w="1768" w:type="dxa"/>
            <w:vAlign w:val="center"/>
          </w:tcPr>
          <w:p>
            <w:pPr>
              <w:spacing w:line="360" w:lineRule="auto"/>
              <w:rPr>
                <w:rFonts w:ascii="宋体" w:hAnsi="宋体"/>
                <w:color w:val="auto"/>
              </w:rPr>
            </w:pPr>
          </w:p>
        </w:tc>
        <w:tc>
          <w:tcPr>
            <w:tcW w:w="1561" w:type="dxa"/>
            <w:vAlign w:val="center"/>
          </w:tcPr>
          <w:p>
            <w:pPr>
              <w:spacing w:line="360" w:lineRule="auto"/>
              <w:rPr>
                <w:rFonts w:ascii="宋体" w:hAnsi="宋体"/>
                <w:color w:val="auto"/>
              </w:rPr>
            </w:pPr>
          </w:p>
        </w:tc>
        <w:tc>
          <w:tcPr>
            <w:tcW w:w="1332" w:type="dxa"/>
            <w:vAlign w:val="center"/>
          </w:tcPr>
          <w:p>
            <w:pPr>
              <w:spacing w:line="360" w:lineRule="auto"/>
              <w:rPr>
                <w:rFonts w:ascii="宋体" w:hAnsi="宋体"/>
                <w:color w:val="auto"/>
              </w:rPr>
            </w:pPr>
          </w:p>
        </w:tc>
        <w:tc>
          <w:tcPr>
            <w:tcW w:w="1266" w:type="dxa"/>
            <w:vAlign w:val="center"/>
          </w:tcPr>
          <w:p>
            <w:pPr>
              <w:spacing w:line="360" w:lineRule="auto"/>
              <w:rPr>
                <w:rFonts w:ascii="宋体" w:hAnsi="宋体"/>
                <w:color w:val="auto"/>
              </w:rPr>
            </w:pPr>
          </w:p>
        </w:tc>
        <w:tc>
          <w:tcPr>
            <w:tcW w:w="1579" w:type="dxa"/>
            <w:vAlign w:val="center"/>
          </w:tcPr>
          <w:p>
            <w:pPr>
              <w:spacing w:line="360" w:lineRule="auto"/>
              <w:rPr>
                <w:rFonts w:ascii="宋体" w:hAnsi="宋体"/>
                <w:color w:val="auto"/>
              </w:rPr>
            </w:pPr>
          </w:p>
        </w:tc>
        <w:tc>
          <w:tcPr>
            <w:tcW w:w="1272" w:type="dxa"/>
            <w:vAlign w:val="center"/>
          </w:tcPr>
          <w:p>
            <w:pPr>
              <w:spacing w:line="360" w:lineRule="auto"/>
              <w:rPr>
                <w:rFonts w:ascii="宋体" w:hAnsi="宋体"/>
                <w:color w:val="auto"/>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798" w:type="dxa"/>
            <w:vAlign w:val="center"/>
          </w:tcPr>
          <w:p>
            <w:pPr>
              <w:spacing w:line="360" w:lineRule="auto"/>
              <w:jc w:val="center"/>
              <w:rPr>
                <w:rFonts w:ascii="宋体" w:hAnsi="宋体"/>
                <w:caps/>
                <w:color w:val="auto"/>
                <w:spacing w:val="20"/>
              </w:rPr>
            </w:pPr>
            <w:r>
              <w:rPr>
                <w:rFonts w:hint="eastAsia" w:ascii="宋体" w:hAnsi="宋体"/>
                <w:caps/>
                <w:color w:val="auto"/>
                <w:spacing w:val="20"/>
              </w:rPr>
              <w:t>6</w:t>
            </w:r>
          </w:p>
        </w:tc>
        <w:tc>
          <w:tcPr>
            <w:tcW w:w="1768" w:type="dxa"/>
            <w:vAlign w:val="center"/>
          </w:tcPr>
          <w:p>
            <w:pPr>
              <w:spacing w:line="360" w:lineRule="auto"/>
              <w:rPr>
                <w:rFonts w:ascii="宋体" w:hAnsi="宋体"/>
                <w:color w:val="auto"/>
              </w:rPr>
            </w:pPr>
          </w:p>
        </w:tc>
        <w:tc>
          <w:tcPr>
            <w:tcW w:w="1561" w:type="dxa"/>
            <w:vAlign w:val="center"/>
          </w:tcPr>
          <w:p>
            <w:pPr>
              <w:spacing w:line="360" w:lineRule="auto"/>
              <w:rPr>
                <w:rFonts w:ascii="宋体" w:hAnsi="宋体"/>
                <w:color w:val="auto"/>
              </w:rPr>
            </w:pPr>
          </w:p>
        </w:tc>
        <w:tc>
          <w:tcPr>
            <w:tcW w:w="1332" w:type="dxa"/>
            <w:vAlign w:val="center"/>
          </w:tcPr>
          <w:p>
            <w:pPr>
              <w:spacing w:line="360" w:lineRule="auto"/>
              <w:rPr>
                <w:rFonts w:ascii="宋体" w:hAnsi="宋体"/>
                <w:color w:val="auto"/>
              </w:rPr>
            </w:pPr>
          </w:p>
        </w:tc>
        <w:tc>
          <w:tcPr>
            <w:tcW w:w="1266" w:type="dxa"/>
            <w:vAlign w:val="center"/>
          </w:tcPr>
          <w:p>
            <w:pPr>
              <w:spacing w:line="360" w:lineRule="auto"/>
              <w:rPr>
                <w:rFonts w:ascii="宋体" w:hAnsi="宋体"/>
                <w:color w:val="auto"/>
              </w:rPr>
            </w:pPr>
          </w:p>
        </w:tc>
        <w:tc>
          <w:tcPr>
            <w:tcW w:w="1579" w:type="dxa"/>
            <w:vAlign w:val="center"/>
          </w:tcPr>
          <w:p>
            <w:pPr>
              <w:spacing w:line="360" w:lineRule="auto"/>
              <w:rPr>
                <w:rFonts w:ascii="宋体" w:hAnsi="宋体"/>
                <w:color w:val="auto"/>
              </w:rPr>
            </w:pPr>
          </w:p>
        </w:tc>
        <w:tc>
          <w:tcPr>
            <w:tcW w:w="1272" w:type="dxa"/>
            <w:vAlign w:val="center"/>
          </w:tcPr>
          <w:p>
            <w:pPr>
              <w:spacing w:line="360" w:lineRule="auto"/>
              <w:rPr>
                <w:rFonts w:ascii="宋体" w:hAnsi="宋体"/>
                <w:color w:val="auto"/>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798" w:type="dxa"/>
            <w:vAlign w:val="center"/>
          </w:tcPr>
          <w:p>
            <w:pPr>
              <w:spacing w:line="360" w:lineRule="auto"/>
              <w:jc w:val="center"/>
              <w:rPr>
                <w:rFonts w:ascii="宋体" w:hAnsi="宋体"/>
                <w:caps/>
                <w:color w:val="auto"/>
                <w:spacing w:val="20"/>
              </w:rPr>
            </w:pPr>
            <w:r>
              <w:rPr>
                <w:rFonts w:hint="eastAsia" w:ascii="宋体" w:hAnsi="宋体"/>
                <w:caps/>
                <w:color w:val="auto"/>
                <w:spacing w:val="20"/>
              </w:rPr>
              <w:t>7</w:t>
            </w:r>
          </w:p>
        </w:tc>
        <w:tc>
          <w:tcPr>
            <w:tcW w:w="1768" w:type="dxa"/>
            <w:vAlign w:val="center"/>
          </w:tcPr>
          <w:p>
            <w:pPr>
              <w:spacing w:line="360" w:lineRule="auto"/>
              <w:rPr>
                <w:rFonts w:ascii="宋体" w:hAnsi="宋体"/>
                <w:color w:val="auto"/>
              </w:rPr>
            </w:pPr>
          </w:p>
        </w:tc>
        <w:tc>
          <w:tcPr>
            <w:tcW w:w="1561" w:type="dxa"/>
            <w:vAlign w:val="center"/>
          </w:tcPr>
          <w:p>
            <w:pPr>
              <w:spacing w:line="360" w:lineRule="auto"/>
              <w:rPr>
                <w:rFonts w:ascii="宋体" w:hAnsi="宋体"/>
                <w:color w:val="auto"/>
              </w:rPr>
            </w:pPr>
          </w:p>
        </w:tc>
        <w:tc>
          <w:tcPr>
            <w:tcW w:w="1332" w:type="dxa"/>
            <w:vAlign w:val="center"/>
          </w:tcPr>
          <w:p>
            <w:pPr>
              <w:spacing w:line="360" w:lineRule="auto"/>
              <w:rPr>
                <w:rFonts w:ascii="宋体" w:hAnsi="宋体"/>
                <w:color w:val="auto"/>
              </w:rPr>
            </w:pPr>
          </w:p>
        </w:tc>
        <w:tc>
          <w:tcPr>
            <w:tcW w:w="1266" w:type="dxa"/>
            <w:vAlign w:val="center"/>
          </w:tcPr>
          <w:p>
            <w:pPr>
              <w:spacing w:line="360" w:lineRule="auto"/>
              <w:rPr>
                <w:rFonts w:ascii="宋体" w:hAnsi="宋体"/>
                <w:color w:val="auto"/>
              </w:rPr>
            </w:pPr>
          </w:p>
        </w:tc>
        <w:tc>
          <w:tcPr>
            <w:tcW w:w="1579" w:type="dxa"/>
            <w:vAlign w:val="center"/>
          </w:tcPr>
          <w:p>
            <w:pPr>
              <w:spacing w:line="360" w:lineRule="auto"/>
              <w:rPr>
                <w:rFonts w:ascii="宋体" w:hAnsi="宋体"/>
                <w:color w:val="auto"/>
              </w:rPr>
            </w:pPr>
          </w:p>
        </w:tc>
        <w:tc>
          <w:tcPr>
            <w:tcW w:w="1272" w:type="dxa"/>
            <w:vAlign w:val="center"/>
          </w:tcPr>
          <w:p>
            <w:pPr>
              <w:spacing w:line="360" w:lineRule="auto"/>
              <w:rPr>
                <w:rFonts w:ascii="宋体" w:hAnsi="宋体"/>
                <w:color w:val="auto"/>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798" w:type="dxa"/>
            <w:vAlign w:val="center"/>
          </w:tcPr>
          <w:p>
            <w:pPr>
              <w:spacing w:line="360" w:lineRule="auto"/>
              <w:jc w:val="center"/>
              <w:rPr>
                <w:rFonts w:ascii="宋体" w:hAnsi="宋体"/>
                <w:caps/>
                <w:color w:val="auto"/>
                <w:spacing w:val="20"/>
              </w:rPr>
            </w:pPr>
            <w:r>
              <w:rPr>
                <w:rFonts w:hint="eastAsia" w:ascii="宋体" w:hAnsi="宋体"/>
                <w:caps/>
                <w:color w:val="auto"/>
                <w:spacing w:val="20"/>
              </w:rPr>
              <w:t>8</w:t>
            </w:r>
          </w:p>
        </w:tc>
        <w:tc>
          <w:tcPr>
            <w:tcW w:w="1768" w:type="dxa"/>
            <w:vAlign w:val="center"/>
          </w:tcPr>
          <w:p>
            <w:pPr>
              <w:spacing w:line="360" w:lineRule="auto"/>
              <w:rPr>
                <w:rFonts w:ascii="宋体" w:hAnsi="宋体"/>
                <w:color w:val="auto"/>
                <w:spacing w:val="20"/>
                <w:sz w:val="24"/>
              </w:rPr>
            </w:pPr>
            <w:r>
              <w:rPr>
                <w:rFonts w:ascii="宋体" w:hAnsi="宋体"/>
                <w:color w:val="auto"/>
              </w:rPr>
              <w:t> </w:t>
            </w:r>
          </w:p>
        </w:tc>
        <w:tc>
          <w:tcPr>
            <w:tcW w:w="1561" w:type="dxa"/>
            <w:vAlign w:val="center"/>
          </w:tcPr>
          <w:p>
            <w:pPr>
              <w:spacing w:line="360" w:lineRule="auto"/>
              <w:rPr>
                <w:rFonts w:ascii="宋体" w:hAnsi="宋体"/>
                <w:color w:val="auto"/>
                <w:spacing w:val="20"/>
                <w:sz w:val="24"/>
              </w:rPr>
            </w:pPr>
            <w:r>
              <w:rPr>
                <w:rFonts w:ascii="宋体" w:hAnsi="宋体"/>
                <w:color w:val="auto"/>
              </w:rPr>
              <w:t> </w:t>
            </w:r>
          </w:p>
        </w:tc>
        <w:tc>
          <w:tcPr>
            <w:tcW w:w="1332" w:type="dxa"/>
            <w:vAlign w:val="center"/>
          </w:tcPr>
          <w:p>
            <w:pPr>
              <w:spacing w:line="360" w:lineRule="auto"/>
              <w:rPr>
                <w:rFonts w:ascii="宋体" w:hAnsi="宋体"/>
                <w:color w:val="auto"/>
                <w:spacing w:val="20"/>
                <w:sz w:val="24"/>
              </w:rPr>
            </w:pPr>
            <w:r>
              <w:rPr>
                <w:rFonts w:ascii="宋体" w:hAnsi="宋体"/>
                <w:color w:val="auto"/>
              </w:rPr>
              <w:t> </w:t>
            </w:r>
          </w:p>
        </w:tc>
        <w:tc>
          <w:tcPr>
            <w:tcW w:w="1266" w:type="dxa"/>
            <w:vAlign w:val="center"/>
          </w:tcPr>
          <w:p>
            <w:pPr>
              <w:spacing w:line="360" w:lineRule="auto"/>
              <w:rPr>
                <w:rFonts w:ascii="宋体" w:hAnsi="宋体"/>
                <w:color w:val="auto"/>
                <w:spacing w:val="20"/>
                <w:sz w:val="24"/>
              </w:rPr>
            </w:pPr>
            <w:r>
              <w:rPr>
                <w:rFonts w:ascii="宋体" w:hAnsi="宋体"/>
                <w:color w:val="auto"/>
              </w:rPr>
              <w:t> </w:t>
            </w:r>
          </w:p>
        </w:tc>
        <w:tc>
          <w:tcPr>
            <w:tcW w:w="1579" w:type="dxa"/>
            <w:vAlign w:val="center"/>
          </w:tcPr>
          <w:p>
            <w:pPr>
              <w:spacing w:line="360" w:lineRule="auto"/>
              <w:rPr>
                <w:rFonts w:ascii="宋体" w:hAnsi="宋体"/>
                <w:color w:val="auto"/>
                <w:spacing w:val="20"/>
                <w:sz w:val="24"/>
              </w:rPr>
            </w:pPr>
            <w:r>
              <w:rPr>
                <w:rFonts w:ascii="宋体" w:hAnsi="宋体"/>
                <w:color w:val="auto"/>
              </w:rPr>
              <w:t> </w:t>
            </w:r>
          </w:p>
        </w:tc>
        <w:tc>
          <w:tcPr>
            <w:tcW w:w="1272" w:type="dxa"/>
            <w:vAlign w:val="center"/>
          </w:tcPr>
          <w:p>
            <w:pPr>
              <w:spacing w:line="360" w:lineRule="auto"/>
              <w:rPr>
                <w:rFonts w:ascii="宋体" w:hAnsi="宋体"/>
                <w:color w:val="auto"/>
              </w:rPr>
            </w:pPr>
          </w:p>
        </w:tc>
      </w:tr>
    </w:tbl>
    <w:p>
      <w:pPr>
        <w:tabs>
          <w:tab w:val="left" w:pos="4525"/>
        </w:tabs>
        <w:spacing w:line="460" w:lineRule="exact"/>
        <w:jc w:val="left"/>
        <w:rPr>
          <w:rFonts w:hAnsi="宋体"/>
          <w:color w:val="auto"/>
          <w:sz w:val="24"/>
        </w:rPr>
      </w:pPr>
      <w:r>
        <w:rPr>
          <w:rFonts w:hint="eastAsia" w:hAnsi="宋体"/>
          <w:color w:val="auto"/>
          <w:sz w:val="24"/>
        </w:rPr>
        <w:t>注：以上内容填写必须完整、真实。</w:t>
      </w:r>
    </w:p>
    <w:p>
      <w:pPr>
        <w:tabs>
          <w:tab w:val="left" w:pos="4525"/>
        </w:tabs>
        <w:spacing w:line="460" w:lineRule="exact"/>
        <w:jc w:val="left"/>
        <w:rPr>
          <w:rFonts w:hAnsi="宋体"/>
          <w:color w:val="auto"/>
          <w:sz w:val="24"/>
        </w:rPr>
      </w:pPr>
    </w:p>
    <w:p>
      <w:pPr>
        <w:tabs>
          <w:tab w:val="left" w:pos="4525"/>
        </w:tabs>
        <w:spacing w:line="460" w:lineRule="exact"/>
        <w:jc w:val="left"/>
        <w:rPr>
          <w:rFonts w:hAnsi="宋体"/>
          <w:sz w:val="24"/>
        </w:rPr>
      </w:pPr>
      <w:r>
        <w:rPr>
          <w:rFonts w:hint="eastAsia" w:hAnsi="宋体"/>
          <w:sz w:val="24"/>
        </w:rPr>
        <w:t>投标人全称</w:t>
      </w:r>
      <w:r>
        <w:rPr>
          <w:rFonts w:hint="eastAsia" w:hAnsi="宋体"/>
          <w:sz w:val="24"/>
          <w:lang w:eastAsia="zh-CN"/>
        </w:rPr>
        <w:t>（</w:t>
      </w:r>
      <w:r>
        <w:rPr>
          <w:rFonts w:hint="eastAsia" w:hAnsi="宋体"/>
          <w:sz w:val="24"/>
        </w:rPr>
        <w:t>单位公章</w:t>
      </w:r>
      <w:r>
        <w:rPr>
          <w:rFonts w:hint="eastAsia" w:hAnsi="宋体"/>
          <w:sz w:val="24"/>
          <w:lang w:eastAsia="zh-CN"/>
        </w:rPr>
        <w:t>）</w:t>
      </w:r>
      <w:r>
        <w:rPr>
          <w:rFonts w:hint="eastAsia" w:hAnsi="宋体"/>
          <w:sz w:val="24"/>
        </w:rPr>
        <w:t>：</w:t>
      </w:r>
    </w:p>
    <w:p>
      <w:pPr>
        <w:tabs>
          <w:tab w:val="left" w:pos="4525"/>
        </w:tabs>
        <w:spacing w:line="460" w:lineRule="exact"/>
        <w:jc w:val="left"/>
        <w:rPr>
          <w:rFonts w:hAnsi="宋体"/>
          <w:sz w:val="24"/>
        </w:rPr>
      </w:pPr>
      <w:r>
        <w:rPr>
          <w:rFonts w:hint="eastAsia" w:hAnsi="宋体"/>
          <w:sz w:val="24"/>
          <w:lang w:eastAsia="zh-CN"/>
        </w:rPr>
        <w:t>法定代表人</w:t>
      </w:r>
      <w:r>
        <w:rPr>
          <w:rFonts w:hint="eastAsia" w:hAnsi="宋体"/>
          <w:sz w:val="24"/>
        </w:rPr>
        <w:t>或委托代理人（盖章或签名）：</w:t>
      </w:r>
    </w:p>
    <w:p>
      <w:pPr>
        <w:tabs>
          <w:tab w:val="left" w:pos="4525"/>
        </w:tabs>
        <w:spacing w:line="460" w:lineRule="exact"/>
        <w:jc w:val="left"/>
        <w:rPr>
          <w:rFonts w:hint="eastAsia" w:hAnsi="宋体" w:eastAsia="宋体"/>
          <w:color w:val="000000"/>
          <w:sz w:val="24"/>
          <w:lang w:eastAsia="zh-CN"/>
        </w:rPr>
        <w:sectPr>
          <w:pgSz w:w="11905" w:h="16838"/>
          <w:pgMar w:top="1440" w:right="1157" w:bottom="1440" w:left="1928" w:header="1134" w:footer="1304" w:gutter="0"/>
          <w:pgBorders>
            <w:top w:val="none" w:sz="0" w:space="0"/>
            <w:left w:val="none" w:sz="0" w:space="0"/>
            <w:bottom w:val="none" w:sz="0" w:space="0"/>
            <w:right w:val="none" w:sz="0" w:space="0"/>
          </w:pgBorders>
          <w:pgNumType w:fmt="decimal"/>
          <w:cols w:space="0" w:num="1"/>
          <w:rtlGutter w:val="0"/>
          <w:docGrid w:type="linesAndChars" w:linePitch="315" w:charSpace="0"/>
        </w:sectPr>
      </w:pPr>
      <w:r>
        <w:rPr>
          <w:rFonts w:hint="eastAsia" w:hAnsi="宋体"/>
          <w:sz w:val="24"/>
        </w:rPr>
        <w:t>日期</w:t>
      </w:r>
      <w:r>
        <w:rPr>
          <w:rFonts w:hint="eastAsia" w:hAnsi="宋体"/>
          <w:sz w:val="24"/>
          <w:lang w:eastAsia="zh-CN"/>
        </w:rPr>
        <w:t>：</w:t>
      </w:r>
    </w:p>
    <w:p>
      <w:pPr>
        <w:widowControl/>
        <w:jc w:val="left"/>
        <w:rPr>
          <w:rFonts w:ascii="宋体"/>
          <w:b/>
          <w:bCs/>
          <w:sz w:val="24"/>
          <w:szCs w:val="24"/>
        </w:rPr>
      </w:pPr>
      <w:r>
        <w:rPr>
          <w:rFonts w:hint="eastAsia" w:ascii="宋体" w:hAnsi="宋体" w:cs="宋体"/>
          <w:b/>
          <w:bCs/>
          <w:sz w:val="24"/>
          <w:szCs w:val="24"/>
        </w:rPr>
        <w:t>附件</w:t>
      </w:r>
      <w:r>
        <w:rPr>
          <w:rFonts w:hint="eastAsia" w:ascii="宋体" w:hAnsi="宋体" w:cs="宋体"/>
          <w:b/>
          <w:bCs/>
          <w:sz w:val="24"/>
          <w:szCs w:val="24"/>
          <w:lang w:val="en-US" w:eastAsia="zh-CN"/>
        </w:rPr>
        <w:t>8</w:t>
      </w:r>
      <w:r>
        <w:rPr>
          <w:rFonts w:hint="eastAsia" w:ascii="宋体" w:hAnsi="宋体" w:cs="宋体"/>
          <w:b/>
          <w:bCs/>
          <w:sz w:val="24"/>
          <w:szCs w:val="24"/>
        </w:rPr>
        <w:t>:</w:t>
      </w:r>
    </w:p>
    <w:p>
      <w:pPr>
        <w:pStyle w:val="3"/>
        <w:spacing w:line="400" w:lineRule="exact"/>
        <w:jc w:val="center"/>
        <w:rPr>
          <w:rFonts w:hint="eastAsia" w:ascii="宋体" w:hAnsi="宋体" w:eastAsia="宋体" w:cs="宋体"/>
          <w:color w:val="auto"/>
          <w:kern w:val="2"/>
          <w:sz w:val="32"/>
          <w:szCs w:val="24"/>
        </w:rPr>
      </w:pPr>
      <w:bookmarkStart w:id="40" w:name="_Toc14547"/>
      <w:bookmarkStart w:id="41" w:name="_Toc20911"/>
      <w:bookmarkStart w:id="42" w:name="_Toc12511"/>
      <w:r>
        <w:rPr>
          <w:rFonts w:hint="eastAsia" w:ascii="宋体" w:hAnsi="宋体" w:eastAsia="宋体" w:cs="宋体"/>
          <w:color w:val="auto"/>
          <w:kern w:val="2"/>
          <w:sz w:val="32"/>
          <w:szCs w:val="24"/>
        </w:rPr>
        <w:t>技术、商务偏离表</w:t>
      </w:r>
      <w:bookmarkEnd w:id="40"/>
      <w:bookmarkEnd w:id="41"/>
      <w:bookmarkEnd w:id="42"/>
    </w:p>
    <w:p>
      <w:pPr>
        <w:autoSpaceDE w:val="0"/>
        <w:autoSpaceDN w:val="0"/>
        <w:adjustRightInd w:val="0"/>
        <w:spacing w:line="450" w:lineRule="exact"/>
        <w:ind w:firstLine="120" w:firstLineChars="50"/>
        <w:rPr>
          <w:rFonts w:hint="eastAsia" w:hAnsi="宋体"/>
          <w:color w:val="auto"/>
          <w:sz w:val="24"/>
        </w:rPr>
      </w:pPr>
      <w:r>
        <w:rPr>
          <w:rFonts w:hint="eastAsia" w:hAnsi="宋体"/>
          <w:color w:val="auto"/>
          <w:sz w:val="24"/>
        </w:rPr>
        <w:t xml:space="preserve">项目编号：  </w:t>
      </w:r>
    </w:p>
    <w:tbl>
      <w:tblPr>
        <w:tblStyle w:val="28"/>
        <w:tblW w:w="93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759"/>
        <w:gridCol w:w="1189"/>
        <w:gridCol w:w="1978"/>
        <w:gridCol w:w="2130"/>
        <w:gridCol w:w="1468"/>
        <w:gridCol w:w="9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49" w:type="dxa"/>
            <w:gridSpan w:val="2"/>
            <w:vAlign w:val="center"/>
          </w:tcPr>
          <w:p>
            <w:pPr>
              <w:autoSpaceDE w:val="0"/>
              <w:autoSpaceDN w:val="0"/>
              <w:adjustRightInd w:val="0"/>
              <w:jc w:val="center"/>
              <w:rPr>
                <w:rFonts w:hint="eastAsia" w:hAnsi="宋体"/>
                <w:color w:val="auto"/>
                <w:sz w:val="24"/>
              </w:rPr>
            </w:pPr>
            <w:r>
              <w:rPr>
                <w:rFonts w:hint="eastAsia" w:hAnsi="宋体"/>
                <w:color w:val="auto"/>
                <w:sz w:val="24"/>
              </w:rPr>
              <w:t>序号</w:t>
            </w:r>
          </w:p>
        </w:tc>
        <w:tc>
          <w:tcPr>
            <w:tcW w:w="1189" w:type="dxa"/>
            <w:vAlign w:val="center"/>
          </w:tcPr>
          <w:p>
            <w:pPr>
              <w:autoSpaceDE w:val="0"/>
              <w:autoSpaceDN w:val="0"/>
              <w:adjustRightInd w:val="0"/>
              <w:jc w:val="center"/>
              <w:rPr>
                <w:rFonts w:hint="eastAsia" w:hAnsi="宋体"/>
                <w:color w:val="auto"/>
                <w:sz w:val="24"/>
              </w:rPr>
            </w:pPr>
            <w:r>
              <w:rPr>
                <w:rFonts w:hint="eastAsia" w:hAnsi="宋体"/>
                <w:color w:val="auto"/>
                <w:sz w:val="24"/>
              </w:rPr>
              <w:t>名称</w:t>
            </w:r>
          </w:p>
        </w:tc>
        <w:tc>
          <w:tcPr>
            <w:tcW w:w="1978" w:type="dxa"/>
            <w:vAlign w:val="center"/>
          </w:tcPr>
          <w:p>
            <w:pPr>
              <w:autoSpaceDE w:val="0"/>
              <w:autoSpaceDN w:val="0"/>
              <w:adjustRightInd w:val="0"/>
              <w:ind w:left="-105" w:leftChars="-50" w:right="-100"/>
              <w:jc w:val="center"/>
              <w:rPr>
                <w:rFonts w:hint="eastAsia" w:hAnsi="宋体"/>
                <w:color w:val="auto"/>
                <w:spacing w:val="-12"/>
                <w:sz w:val="24"/>
              </w:rPr>
            </w:pPr>
            <w:r>
              <w:rPr>
                <w:rFonts w:hint="eastAsia" w:hAnsi="宋体"/>
                <w:color w:val="auto"/>
                <w:sz w:val="24"/>
                <w:lang w:eastAsia="zh-CN"/>
              </w:rPr>
              <w:t>招标文件</w:t>
            </w:r>
            <w:r>
              <w:rPr>
                <w:rFonts w:hint="eastAsia" w:hAnsi="宋体"/>
                <w:color w:val="auto"/>
                <w:sz w:val="24"/>
              </w:rPr>
              <w:t>要求</w:t>
            </w:r>
          </w:p>
        </w:tc>
        <w:tc>
          <w:tcPr>
            <w:tcW w:w="2130" w:type="dxa"/>
            <w:vAlign w:val="center"/>
          </w:tcPr>
          <w:p>
            <w:pPr>
              <w:autoSpaceDE w:val="0"/>
              <w:autoSpaceDN w:val="0"/>
              <w:adjustRightInd w:val="0"/>
              <w:jc w:val="center"/>
              <w:rPr>
                <w:rFonts w:hint="eastAsia" w:hAnsi="宋体"/>
                <w:color w:val="auto"/>
                <w:sz w:val="24"/>
              </w:rPr>
            </w:pPr>
            <w:r>
              <w:rPr>
                <w:rFonts w:hint="eastAsia" w:hAnsi="宋体"/>
                <w:color w:val="auto"/>
                <w:sz w:val="24"/>
              </w:rPr>
              <w:t>投标文件响应</w:t>
            </w:r>
          </w:p>
        </w:tc>
        <w:tc>
          <w:tcPr>
            <w:tcW w:w="1468" w:type="dxa"/>
            <w:vAlign w:val="center"/>
          </w:tcPr>
          <w:p>
            <w:pPr>
              <w:autoSpaceDE w:val="0"/>
              <w:autoSpaceDN w:val="0"/>
              <w:adjustRightInd w:val="0"/>
              <w:jc w:val="center"/>
              <w:rPr>
                <w:rFonts w:hint="eastAsia" w:hAnsi="宋体"/>
                <w:color w:val="auto"/>
                <w:sz w:val="24"/>
              </w:rPr>
            </w:pPr>
            <w:r>
              <w:rPr>
                <w:rFonts w:hint="eastAsia" w:hAnsi="宋体"/>
                <w:color w:val="auto"/>
                <w:sz w:val="24"/>
              </w:rPr>
              <w:t>偏离情况</w:t>
            </w:r>
          </w:p>
        </w:tc>
        <w:tc>
          <w:tcPr>
            <w:tcW w:w="986" w:type="dxa"/>
            <w:vAlign w:val="center"/>
          </w:tcPr>
          <w:p>
            <w:pPr>
              <w:autoSpaceDE w:val="0"/>
              <w:autoSpaceDN w:val="0"/>
              <w:adjustRightInd w:val="0"/>
              <w:jc w:val="center"/>
              <w:rPr>
                <w:rFonts w:hint="eastAsia" w:hAnsi="宋体"/>
                <w:color w:val="auto"/>
                <w:sz w:val="24"/>
              </w:rPr>
            </w:pPr>
            <w:r>
              <w:rPr>
                <w:rFonts w:hint="eastAsia" w:hAnsi="宋体"/>
                <w:color w:val="auto"/>
                <w:sz w:val="24"/>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90" w:type="dxa"/>
            <w:vMerge w:val="restart"/>
            <w:vAlign w:val="center"/>
          </w:tcPr>
          <w:p>
            <w:pPr>
              <w:autoSpaceDE w:val="0"/>
              <w:autoSpaceDN w:val="0"/>
              <w:adjustRightInd w:val="0"/>
              <w:jc w:val="center"/>
              <w:rPr>
                <w:rFonts w:hint="eastAsia" w:hAnsi="宋体"/>
                <w:color w:val="auto"/>
                <w:sz w:val="24"/>
              </w:rPr>
            </w:pPr>
            <w:r>
              <w:rPr>
                <w:rFonts w:hint="eastAsia" w:hAnsi="宋体"/>
                <w:color w:val="auto"/>
                <w:sz w:val="24"/>
              </w:rPr>
              <w:t>技术偏离</w:t>
            </w:r>
          </w:p>
        </w:tc>
        <w:tc>
          <w:tcPr>
            <w:tcW w:w="759" w:type="dxa"/>
            <w:vAlign w:val="center"/>
          </w:tcPr>
          <w:p>
            <w:pPr>
              <w:pStyle w:val="17"/>
              <w:spacing w:line="300" w:lineRule="exact"/>
              <w:jc w:val="center"/>
              <w:rPr>
                <w:rFonts w:hAnsi="宋体"/>
                <w:color w:val="auto"/>
                <w:sz w:val="24"/>
              </w:rPr>
            </w:pPr>
            <w:r>
              <w:rPr>
                <w:rFonts w:hAnsi="宋体"/>
                <w:color w:val="auto"/>
                <w:sz w:val="24"/>
              </w:rPr>
              <w:t>1</w:t>
            </w:r>
          </w:p>
        </w:tc>
        <w:tc>
          <w:tcPr>
            <w:tcW w:w="1189" w:type="dxa"/>
            <w:vAlign w:val="center"/>
          </w:tcPr>
          <w:p>
            <w:pPr>
              <w:autoSpaceDE w:val="0"/>
              <w:autoSpaceDN w:val="0"/>
              <w:adjustRightInd w:val="0"/>
              <w:jc w:val="center"/>
              <w:rPr>
                <w:rFonts w:hint="eastAsia" w:hAnsi="宋体"/>
                <w:color w:val="auto"/>
                <w:sz w:val="24"/>
              </w:rPr>
            </w:pPr>
          </w:p>
        </w:tc>
        <w:tc>
          <w:tcPr>
            <w:tcW w:w="1978" w:type="dxa"/>
            <w:vAlign w:val="center"/>
          </w:tcPr>
          <w:p>
            <w:pPr>
              <w:autoSpaceDE w:val="0"/>
              <w:autoSpaceDN w:val="0"/>
              <w:adjustRightInd w:val="0"/>
              <w:jc w:val="center"/>
              <w:rPr>
                <w:rFonts w:hint="eastAsia" w:hAnsi="宋体"/>
                <w:color w:val="auto"/>
                <w:sz w:val="24"/>
              </w:rPr>
            </w:pPr>
          </w:p>
        </w:tc>
        <w:tc>
          <w:tcPr>
            <w:tcW w:w="2130" w:type="dxa"/>
            <w:vAlign w:val="center"/>
          </w:tcPr>
          <w:p>
            <w:pPr>
              <w:autoSpaceDE w:val="0"/>
              <w:autoSpaceDN w:val="0"/>
              <w:adjustRightInd w:val="0"/>
              <w:jc w:val="center"/>
              <w:rPr>
                <w:rFonts w:hint="eastAsia" w:hAnsi="宋体"/>
                <w:color w:val="auto"/>
                <w:sz w:val="24"/>
              </w:rPr>
            </w:pPr>
          </w:p>
        </w:tc>
        <w:tc>
          <w:tcPr>
            <w:tcW w:w="1468" w:type="dxa"/>
            <w:vAlign w:val="center"/>
          </w:tcPr>
          <w:p>
            <w:pPr>
              <w:autoSpaceDE w:val="0"/>
              <w:autoSpaceDN w:val="0"/>
              <w:adjustRightInd w:val="0"/>
              <w:jc w:val="center"/>
              <w:rPr>
                <w:rFonts w:hint="eastAsia" w:hAnsi="宋体"/>
                <w:color w:val="auto"/>
                <w:sz w:val="24"/>
              </w:rPr>
            </w:pPr>
          </w:p>
        </w:tc>
        <w:tc>
          <w:tcPr>
            <w:tcW w:w="986" w:type="dxa"/>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90" w:type="dxa"/>
            <w:vMerge w:val="continue"/>
            <w:vAlign w:val="center"/>
          </w:tcPr>
          <w:p>
            <w:pPr>
              <w:autoSpaceDE w:val="0"/>
              <w:autoSpaceDN w:val="0"/>
              <w:adjustRightInd w:val="0"/>
              <w:jc w:val="center"/>
              <w:rPr>
                <w:rFonts w:hint="eastAsia" w:hAnsi="宋体"/>
                <w:color w:val="auto"/>
                <w:sz w:val="24"/>
              </w:rPr>
            </w:pPr>
          </w:p>
        </w:tc>
        <w:tc>
          <w:tcPr>
            <w:tcW w:w="759" w:type="dxa"/>
            <w:vAlign w:val="center"/>
          </w:tcPr>
          <w:p>
            <w:pPr>
              <w:pStyle w:val="17"/>
              <w:spacing w:line="300" w:lineRule="exact"/>
              <w:jc w:val="center"/>
              <w:rPr>
                <w:rFonts w:hAnsi="宋体"/>
                <w:color w:val="auto"/>
                <w:sz w:val="24"/>
              </w:rPr>
            </w:pPr>
            <w:r>
              <w:rPr>
                <w:rFonts w:hAnsi="宋体"/>
                <w:color w:val="auto"/>
                <w:sz w:val="24"/>
              </w:rPr>
              <w:t>2</w:t>
            </w:r>
          </w:p>
        </w:tc>
        <w:tc>
          <w:tcPr>
            <w:tcW w:w="1189" w:type="dxa"/>
            <w:vAlign w:val="center"/>
          </w:tcPr>
          <w:p>
            <w:pPr>
              <w:autoSpaceDE w:val="0"/>
              <w:autoSpaceDN w:val="0"/>
              <w:adjustRightInd w:val="0"/>
              <w:jc w:val="center"/>
              <w:rPr>
                <w:rFonts w:hint="eastAsia" w:hAnsi="宋体"/>
                <w:color w:val="auto"/>
                <w:sz w:val="24"/>
              </w:rPr>
            </w:pPr>
          </w:p>
        </w:tc>
        <w:tc>
          <w:tcPr>
            <w:tcW w:w="1978" w:type="dxa"/>
            <w:vAlign w:val="center"/>
          </w:tcPr>
          <w:p>
            <w:pPr>
              <w:autoSpaceDE w:val="0"/>
              <w:autoSpaceDN w:val="0"/>
              <w:adjustRightInd w:val="0"/>
              <w:jc w:val="center"/>
              <w:rPr>
                <w:rFonts w:hint="eastAsia" w:hAnsi="宋体"/>
                <w:color w:val="auto"/>
                <w:sz w:val="24"/>
              </w:rPr>
            </w:pPr>
          </w:p>
        </w:tc>
        <w:tc>
          <w:tcPr>
            <w:tcW w:w="2130" w:type="dxa"/>
            <w:vAlign w:val="center"/>
          </w:tcPr>
          <w:p>
            <w:pPr>
              <w:autoSpaceDE w:val="0"/>
              <w:autoSpaceDN w:val="0"/>
              <w:adjustRightInd w:val="0"/>
              <w:jc w:val="center"/>
              <w:rPr>
                <w:rFonts w:hint="eastAsia" w:hAnsi="宋体"/>
                <w:color w:val="auto"/>
                <w:sz w:val="24"/>
              </w:rPr>
            </w:pPr>
          </w:p>
        </w:tc>
        <w:tc>
          <w:tcPr>
            <w:tcW w:w="1468" w:type="dxa"/>
            <w:vAlign w:val="center"/>
          </w:tcPr>
          <w:p>
            <w:pPr>
              <w:autoSpaceDE w:val="0"/>
              <w:autoSpaceDN w:val="0"/>
              <w:adjustRightInd w:val="0"/>
              <w:jc w:val="center"/>
              <w:rPr>
                <w:rFonts w:hint="eastAsia" w:hAnsi="宋体"/>
                <w:color w:val="auto"/>
                <w:sz w:val="24"/>
              </w:rPr>
            </w:pPr>
          </w:p>
        </w:tc>
        <w:tc>
          <w:tcPr>
            <w:tcW w:w="986" w:type="dxa"/>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vAlign w:val="center"/>
          </w:tcPr>
          <w:p>
            <w:pPr>
              <w:autoSpaceDE w:val="0"/>
              <w:autoSpaceDN w:val="0"/>
              <w:adjustRightInd w:val="0"/>
              <w:jc w:val="center"/>
              <w:rPr>
                <w:rFonts w:hint="eastAsia" w:hAnsi="宋体"/>
                <w:color w:val="auto"/>
                <w:sz w:val="24"/>
              </w:rPr>
            </w:pPr>
          </w:p>
        </w:tc>
        <w:tc>
          <w:tcPr>
            <w:tcW w:w="759" w:type="dxa"/>
            <w:vAlign w:val="center"/>
          </w:tcPr>
          <w:p>
            <w:pPr>
              <w:pStyle w:val="17"/>
              <w:spacing w:line="300" w:lineRule="exact"/>
              <w:jc w:val="center"/>
              <w:rPr>
                <w:rFonts w:hAnsi="宋体"/>
                <w:color w:val="auto"/>
                <w:sz w:val="24"/>
              </w:rPr>
            </w:pPr>
            <w:r>
              <w:rPr>
                <w:rFonts w:hAnsi="宋体"/>
                <w:color w:val="auto"/>
                <w:sz w:val="24"/>
              </w:rPr>
              <w:t>…</w:t>
            </w:r>
          </w:p>
        </w:tc>
        <w:tc>
          <w:tcPr>
            <w:tcW w:w="1189" w:type="dxa"/>
            <w:vAlign w:val="center"/>
          </w:tcPr>
          <w:p>
            <w:pPr>
              <w:autoSpaceDE w:val="0"/>
              <w:autoSpaceDN w:val="0"/>
              <w:adjustRightInd w:val="0"/>
              <w:jc w:val="center"/>
              <w:rPr>
                <w:rFonts w:hint="eastAsia" w:hAnsi="宋体"/>
                <w:color w:val="auto"/>
                <w:sz w:val="24"/>
              </w:rPr>
            </w:pPr>
          </w:p>
        </w:tc>
        <w:tc>
          <w:tcPr>
            <w:tcW w:w="1978" w:type="dxa"/>
            <w:vAlign w:val="center"/>
          </w:tcPr>
          <w:p>
            <w:pPr>
              <w:autoSpaceDE w:val="0"/>
              <w:autoSpaceDN w:val="0"/>
              <w:adjustRightInd w:val="0"/>
              <w:jc w:val="center"/>
              <w:rPr>
                <w:rFonts w:hint="eastAsia" w:hAnsi="宋体"/>
                <w:color w:val="auto"/>
                <w:sz w:val="24"/>
              </w:rPr>
            </w:pPr>
          </w:p>
        </w:tc>
        <w:tc>
          <w:tcPr>
            <w:tcW w:w="2130" w:type="dxa"/>
            <w:vAlign w:val="center"/>
          </w:tcPr>
          <w:p>
            <w:pPr>
              <w:autoSpaceDE w:val="0"/>
              <w:autoSpaceDN w:val="0"/>
              <w:adjustRightInd w:val="0"/>
              <w:jc w:val="center"/>
              <w:rPr>
                <w:rFonts w:hint="eastAsia" w:hAnsi="宋体"/>
                <w:color w:val="auto"/>
                <w:sz w:val="24"/>
              </w:rPr>
            </w:pPr>
          </w:p>
        </w:tc>
        <w:tc>
          <w:tcPr>
            <w:tcW w:w="1468" w:type="dxa"/>
            <w:vAlign w:val="center"/>
          </w:tcPr>
          <w:p>
            <w:pPr>
              <w:autoSpaceDE w:val="0"/>
              <w:autoSpaceDN w:val="0"/>
              <w:adjustRightInd w:val="0"/>
              <w:jc w:val="center"/>
              <w:rPr>
                <w:rFonts w:hint="eastAsia" w:hAnsi="宋体"/>
                <w:color w:val="auto"/>
                <w:sz w:val="24"/>
              </w:rPr>
            </w:pPr>
          </w:p>
        </w:tc>
        <w:tc>
          <w:tcPr>
            <w:tcW w:w="986" w:type="dxa"/>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vAlign w:val="center"/>
          </w:tcPr>
          <w:p>
            <w:pPr>
              <w:autoSpaceDE w:val="0"/>
              <w:autoSpaceDN w:val="0"/>
              <w:adjustRightInd w:val="0"/>
              <w:jc w:val="center"/>
              <w:rPr>
                <w:rFonts w:hint="eastAsia" w:hAnsi="宋体"/>
                <w:color w:val="auto"/>
                <w:sz w:val="24"/>
              </w:rPr>
            </w:pPr>
          </w:p>
        </w:tc>
        <w:tc>
          <w:tcPr>
            <w:tcW w:w="759" w:type="dxa"/>
            <w:vAlign w:val="center"/>
          </w:tcPr>
          <w:p>
            <w:pPr>
              <w:autoSpaceDE w:val="0"/>
              <w:autoSpaceDN w:val="0"/>
              <w:adjustRightInd w:val="0"/>
              <w:jc w:val="center"/>
              <w:rPr>
                <w:rFonts w:hint="eastAsia" w:hAnsi="宋体"/>
                <w:color w:val="auto"/>
                <w:sz w:val="24"/>
              </w:rPr>
            </w:pPr>
          </w:p>
        </w:tc>
        <w:tc>
          <w:tcPr>
            <w:tcW w:w="1189" w:type="dxa"/>
            <w:vAlign w:val="center"/>
          </w:tcPr>
          <w:p>
            <w:pPr>
              <w:autoSpaceDE w:val="0"/>
              <w:autoSpaceDN w:val="0"/>
              <w:adjustRightInd w:val="0"/>
              <w:jc w:val="center"/>
              <w:rPr>
                <w:rFonts w:hint="eastAsia" w:hAnsi="宋体"/>
                <w:color w:val="auto"/>
                <w:sz w:val="24"/>
              </w:rPr>
            </w:pPr>
          </w:p>
        </w:tc>
        <w:tc>
          <w:tcPr>
            <w:tcW w:w="1978" w:type="dxa"/>
            <w:vAlign w:val="center"/>
          </w:tcPr>
          <w:p>
            <w:pPr>
              <w:autoSpaceDE w:val="0"/>
              <w:autoSpaceDN w:val="0"/>
              <w:adjustRightInd w:val="0"/>
              <w:jc w:val="center"/>
              <w:rPr>
                <w:rFonts w:hint="eastAsia" w:hAnsi="宋体"/>
                <w:color w:val="auto"/>
                <w:sz w:val="24"/>
              </w:rPr>
            </w:pPr>
          </w:p>
        </w:tc>
        <w:tc>
          <w:tcPr>
            <w:tcW w:w="2130" w:type="dxa"/>
            <w:vAlign w:val="center"/>
          </w:tcPr>
          <w:p>
            <w:pPr>
              <w:autoSpaceDE w:val="0"/>
              <w:autoSpaceDN w:val="0"/>
              <w:adjustRightInd w:val="0"/>
              <w:jc w:val="center"/>
              <w:rPr>
                <w:rFonts w:hint="eastAsia" w:hAnsi="宋体"/>
                <w:color w:val="auto"/>
                <w:sz w:val="24"/>
              </w:rPr>
            </w:pPr>
          </w:p>
        </w:tc>
        <w:tc>
          <w:tcPr>
            <w:tcW w:w="1468" w:type="dxa"/>
            <w:vAlign w:val="center"/>
          </w:tcPr>
          <w:p>
            <w:pPr>
              <w:autoSpaceDE w:val="0"/>
              <w:autoSpaceDN w:val="0"/>
              <w:adjustRightInd w:val="0"/>
              <w:jc w:val="center"/>
              <w:rPr>
                <w:rFonts w:hint="eastAsia" w:hAnsi="宋体"/>
                <w:color w:val="auto"/>
                <w:sz w:val="24"/>
              </w:rPr>
            </w:pPr>
          </w:p>
        </w:tc>
        <w:tc>
          <w:tcPr>
            <w:tcW w:w="986" w:type="dxa"/>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vMerge w:val="restart"/>
            <w:vAlign w:val="center"/>
          </w:tcPr>
          <w:p>
            <w:pPr>
              <w:autoSpaceDE w:val="0"/>
              <w:autoSpaceDN w:val="0"/>
              <w:adjustRightInd w:val="0"/>
              <w:jc w:val="center"/>
              <w:rPr>
                <w:rFonts w:hint="eastAsia" w:hAnsi="宋体"/>
                <w:color w:val="auto"/>
                <w:sz w:val="24"/>
              </w:rPr>
            </w:pPr>
            <w:r>
              <w:rPr>
                <w:rFonts w:hint="eastAsia" w:hAnsi="宋体"/>
                <w:color w:val="auto"/>
                <w:sz w:val="24"/>
              </w:rPr>
              <w:t>商务偏离</w:t>
            </w:r>
          </w:p>
        </w:tc>
        <w:tc>
          <w:tcPr>
            <w:tcW w:w="759" w:type="dxa"/>
            <w:vAlign w:val="center"/>
          </w:tcPr>
          <w:p>
            <w:pPr>
              <w:pStyle w:val="17"/>
              <w:spacing w:line="300" w:lineRule="exact"/>
              <w:jc w:val="center"/>
              <w:rPr>
                <w:rFonts w:hAnsi="宋体"/>
                <w:color w:val="auto"/>
                <w:sz w:val="24"/>
              </w:rPr>
            </w:pPr>
            <w:r>
              <w:rPr>
                <w:rFonts w:hAnsi="宋体"/>
                <w:color w:val="auto"/>
                <w:sz w:val="24"/>
              </w:rPr>
              <w:t>1</w:t>
            </w:r>
          </w:p>
        </w:tc>
        <w:tc>
          <w:tcPr>
            <w:tcW w:w="1189" w:type="dxa"/>
            <w:vAlign w:val="center"/>
          </w:tcPr>
          <w:p>
            <w:pPr>
              <w:autoSpaceDE w:val="0"/>
              <w:autoSpaceDN w:val="0"/>
              <w:adjustRightInd w:val="0"/>
              <w:jc w:val="center"/>
              <w:rPr>
                <w:rFonts w:hint="eastAsia" w:hAnsi="宋体"/>
                <w:color w:val="auto"/>
                <w:sz w:val="24"/>
              </w:rPr>
            </w:pPr>
          </w:p>
        </w:tc>
        <w:tc>
          <w:tcPr>
            <w:tcW w:w="1978" w:type="dxa"/>
            <w:vAlign w:val="center"/>
          </w:tcPr>
          <w:p>
            <w:pPr>
              <w:autoSpaceDE w:val="0"/>
              <w:autoSpaceDN w:val="0"/>
              <w:adjustRightInd w:val="0"/>
              <w:jc w:val="center"/>
              <w:rPr>
                <w:rFonts w:hint="eastAsia" w:hAnsi="宋体"/>
                <w:color w:val="auto"/>
                <w:sz w:val="24"/>
              </w:rPr>
            </w:pPr>
          </w:p>
        </w:tc>
        <w:tc>
          <w:tcPr>
            <w:tcW w:w="2130" w:type="dxa"/>
            <w:vAlign w:val="center"/>
          </w:tcPr>
          <w:p>
            <w:pPr>
              <w:autoSpaceDE w:val="0"/>
              <w:autoSpaceDN w:val="0"/>
              <w:adjustRightInd w:val="0"/>
              <w:jc w:val="center"/>
              <w:rPr>
                <w:rFonts w:hint="eastAsia" w:hAnsi="宋体"/>
                <w:color w:val="auto"/>
                <w:sz w:val="24"/>
              </w:rPr>
            </w:pPr>
          </w:p>
        </w:tc>
        <w:tc>
          <w:tcPr>
            <w:tcW w:w="1468" w:type="dxa"/>
            <w:vAlign w:val="center"/>
          </w:tcPr>
          <w:p>
            <w:pPr>
              <w:autoSpaceDE w:val="0"/>
              <w:autoSpaceDN w:val="0"/>
              <w:adjustRightInd w:val="0"/>
              <w:jc w:val="center"/>
              <w:rPr>
                <w:rFonts w:hint="eastAsia" w:hAnsi="宋体"/>
                <w:color w:val="auto"/>
                <w:sz w:val="24"/>
              </w:rPr>
            </w:pPr>
          </w:p>
        </w:tc>
        <w:tc>
          <w:tcPr>
            <w:tcW w:w="986" w:type="dxa"/>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vMerge w:val="continue"/>
            <w:vAlign w:val="center"/>
          </w:tcPr>
          <w:p>
            <w:pPr>
              <w:autoSpaceDE w:val="0"/>
              <w:autoSpaceDN w:val="0"/>
              <w:adjustRightInd w:val="0"/>
              <w:jc w:val="center"/>
              <w:rPr>
                <w:rFonts w:hint="eastAsia" w:hAnsi="宋体"/>
                <w:color w:val="auto"/>
                <w:sz w:val="24"/>
              </w:rPr>
            </w:pPr>
          </w:p>
        </w:tc>
        <w:tc>
          <w:tcPr>
            <w:tcW w:w="759" w:type="dxa"/>
            <w:vAlign w:val="center"/>
          </w:tcPr>
          <w:p>
            <w:pPr>
              <w:pStyle w:val="17"/>
              <w:spacing w:line="300" w:lineRule="exact"/>
              <w:jc w:val="center"/>
              <w:rPr>
                <w:rFonts w:hAnsi="宋体"/>
                <w:color w:val="auto"/>
                <w:sz w:val="24"/>
              </w:rPr>
            </w:pPr>
            <w:r>
              <w:rPr>
                <w:rFonts w:hAnsi="宋体"/>
                <w:color w:val="auto"/>
                <w:sz w:val="24"/>
              </w:rPr>
              <w:t>2</w:t>
            </w:r>
          </w:p>
        </w:tc>
        <w:tc>
          <w:tcPr>
            <w:tcW w:w="1189" w:type="dxa"/>
            <w:vAlign w:val="center"/>
          </w:tcPr>
          <w:p>
            <w:pPr>
              <w:autoSpaceDE w:val="0"/>
              <w:autoSpaceDN w:val="0"/>
              <w:adjustRightInd w:val="0"/>
              <w:jc w:val="center"/>
              <w:rPr>
                <w:rFonts w:hint="eastAsia" w:hAnsi="宋体"/>
                <w:color w:val="auto"/>
                <w:sz w:val="24"/>
              </w:rPr>
            </w:pPr>
          </w:p>
        </w:tc>
        <w:tc>
          <w:tcPr>
            <w:tcW w:w="1978" w:type="dxa"/>
            <w:vAlign w:val="center"/>
          </w:tcPr>
          <w:p>
            <w:pPr>
              <w:autoSpaceDE w:val="0"/>
              <w:autoSpaceDN w:val="0"/>
              <w:adjustRightInd w:val="0"/>
              <w:jc w:val="center"/>
              <w:rPr>
                <w:rFonts w:hint="eastAsia" w:hAnsi="宋体"/>
                <w:color w:val="auto"/>
                <w:sz w:val="24"/>
              </w:rPr>
            </w:pPr>
          </w:p>
        </w:tc>
        <w:tc>
          <w:tcPr>
            <w:tcW w:w="2130" w:type="dxa"/>
            <w:vAlign w:val="center"/>
          </w:tcPr>
          <w:p>
            <w:pPr>
              <w:autoSpaceDE w:val="0"/>
              <w:autoSpaceDN w:val="0"/>
              <w:adjustRightInd w:val="0"/>
              <w:jc w:val="center"/>
              <w:rPr>
                <w:rFonts w:hint="eastAsia" w:hAnsi="宋体"/>
                <w:color w:val="auto"/>
                <w:sz w:val="24"/>
              </w:rPr>
            </w:pPr>
          </w:p>
        </w:tc>
        <w:tc>
          <w:tcPr>
            <w:tcW w:w="1468" w:type="dxa"/>
            <w:vAlign w:val="center"/>
          </w:tcPr>
          <w:p>
            <w:pPr>
              <w:autoSpaceDE w:val="0"/>
              <w:autoSpaceDN w:val="0"/>
              <w:adjustRightInd w:val="0"/>
              <w:jc w:val="center"/>
              <w:rPr>
                <w:rFonts w:hint="eastAsia" w:hAnsi="宋体"/>
                <w:color w:val="auto"/>
                <w:sz w:val="24"/>
              </w:rPr>
            </w:pPr>
          </w:p>
        </w:tc>
        <w:tc>
          <w:tcPr>
            <w:tcW w:w="986" w:type="dxa"/>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vMerge w:val="continue"/>
            <w:vAlign w:val="center"/>
          </w:tcPr>
          <w:p>
            <w:pPr>
              <w:autoSpaceDE w:val="0"/>
              <w:autoSpaceDN w:val="0"/>
              <w:adjustRightInd w:val="0"/>
              <w:jc w:val="center"/>
              <w:rPr>
                <w:rFonts w:hint="eastAsia" w:hAnsi="宋体"/>
                <w:color w:val="auto"/>
                <w:sz w:val="24"/>
              </w:rPr>
            </w:pPr>
          </w:p>
        </w:tc>
        <w:tc>
          <w:tcPr>
            <w:tcW w:w="759" w:type="dxa"/>
            <w:vAlign w:val="center"/>
          </w:tcPr>
          <w:p>
            <w:pPr>
              <w:pStyle w:val="17"/>
              <w:spacing w:line="300" w:lineRule="exact"/>
              <w:jc w:val="center"/>
              <w:rPr>
                <w:rFonts w:hAnsi="宋体"/>
                <w:color w:val="auto"/>
                <w:sz w:val="24"/>
              </w:rPr>
            </w:pPr>
            <w:r>
              <w:rPr>
                <w:rFonts w:hAnsi="宋体"/>
                <w:color w:val="auto"/>
                <w:sz w:val="24"/>
              </w:rPr>
              <w:t>3</w:t>
            </w:r>
          </w:p>
        </w:tc>
        <w:tc>
          <w:tcPr>
            <w:tcW w:w="1189" w:type="dxa"/>
            <w:vAlign w:val="center"/>
          </w:tcPr>
          <w:p>
            <w:pPr>
              <w:autoSpaceDE w:val="0"/>
              <w:autoSpaceDN w:val="0"/>
              <w:adjustRightInd w:val="0"/>
              <w:jc w:val="center"/>
              <w:rPr>
                <w:rFonts w:hint="eastAsia" w:hAnsi="宋体"/>
                <w:color w:val="auto"/>
                <w:sz w:val="24"/>
              </w:rPr>
            </w:pPr>
          </w:p>
        </w:tc>
        <w:tc>
          <w:tcPr>
            <w:tcW w:w="1978" w:type="dxa"/>
            <w:vAlign w:val="center"/>
          </w:tcPr>
          <w:p>
            <w:pPr>
              <w:autoSpaceDE w:val="0"/>
              <w:autoSpaceDN w:val="0"/>
              <w:adjustRightInd w:val="0"/>
              <w:jc w:val="center"/>
              <w:rPr>
                <w:rFonts w:hint="eastAsia" w:hAnsi="宋体"/>
                <w:color w:val="auto"/>
                <w:sz w:val="24"/>
              </w:rPr>
            </w:pPr>
          </w:p>
        </w:tc>
        <w:tc>
          <w:tcPr>
            <w:tcW w:w="2130" w:type="dxa"/>
            <w:vAlign w:val="center"/>
          </w:tcPr>
          <w:p>
            <w:pPr>
              <w:autoSpaceDE w:val="0"/>
              <w:autoSpaceDN w:val="0"/>
              <w:adjustRightInd w:val="0"/>
              <w:jc w:val="center"/>
              <w:rPr>
                <w:rFonts w:hint="eastAsia" w:hAnsi="宋体"/>
                <w:color w:val="auto"/>
                <w:sz w:val="24"/>
              </w:rPr>
            </w:pPr>
          </w:p>
        </w:tc>
        <w:tc>
          <w:tcPr>
            <w:tcW w:w="1468" w:type="dxa"/>
            <w:vAlign w:val="center"/>
          </w:tcPr>
          <w:p>
            <w:pPr>
              <w:autoSpaceDE w:val="0"/>
              <w:autoSpaceDN w:val="0"/>
              <w:adjustRightInd w:val="0"/>
              <w:jc w:val="center"/>
              <w:rPr>
                <w:rFonts w:hint="eastAsia" w:hAnsi="宋体"/>
                <w:color w:val="auto"/>
                <w:sz w:val="24"/>
              </w:rPr>
            </w:pPr>
          </w:p>
        </w:tc>
        <w:tc>
          <w:tcPr>
            <w:tcW w:w="986" w:type="dxa"/>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vAlign w:val="center"/>
          </w:tcPr>
          <w:p>
            <w:pPr>
              <w:autoSpaceDE w:val="0"/>
              <w:autoSpaceDN w:val="0"/>
              <w:adjustRightInd w:val="0"/>
              <w:jc w:val="center"/>
              <w:rPr>
                <w:rFonts w:hint="eastAsia" w:hAnsi="宋体"/>
                <w:color w:val="auto"/>
                <w:sz w:val="24"/>
              </w:rPr>
            </w:pPr>
          </w:p>
        </w:tc>
        <w:tc>
          <w:tcPr>
            <w:tcW w:w="759" w:type="dxa"/>
            <w:vAlign w:val="center"/>
          </w:tcPr>
          <w:p>
            <w:pPr>
              <w:autoSpaceDE w:val="0"/>
              <w:autoSpaceDN w:val="0"/>
              <w:adjustRightInd w:val="0"/>
              <w:jc w:val="center"/>
              <w:rPr>
                <w:rFonts w:hint="eastAsia" w:hAnsi="宋体"/>
                <w:color w:val="auto"/>
                <w:sz w:val="24"/>
              </w:rPr>
            </w:pPr>
            <w:r>
              <w:rPr>
                <w:rFonts w:hint="eastAsia" w:hAnsi="宋体"/>
                <w:color w:val="auto"/>
                <w:sz w:val="24"/>
              </w:rPr>
              <w:t>…</w:t>
            </w:r>
          </w:p>
        </w:tc>
        <w:tc>
          <w:tcPr>
            <w:tcW w:w="1189" w:type="dxa"/>
            <w:vAlign w:val="center"/>
          </w:tcPr>
          <w:p>
            <w:pPr>
              <w:autoSpaceDE w:val="0"/>
              <w:autoSpaceDN w:val="0"/>
              <w:adjustRightInd w:val="0"/>
              <w:jc w:val="center"/>
              <w:rPr>
                <w:rFonts w:hint="eastAsia" w:hAnsi="宋体"/>
                <w:color w:val="auto"/>
                <w:sz w:val="24"/>
              </w:rPr>
            </w:pPr>
          </w:p>
        </w:tc>
        <w:tc>
          <w:tcPr>
            <w:tcW w:w="1978" w:type="dxa"/>
            <w:vAlign w:val="center"/>
          </w:tcPr>
          <w:p>
            <w:pPr>
              <w:autoSpaceDE w:val="0"/>
              <w:autoSpaceDN w:val="0"/>
              <w:adjustRightInd w:val="0"/>
              <w:jc w:val="center"/>
              <w:rPr>
                <w:rFonts w:hint="eastAsia" w:hAnsi="宋体"/>
                <w:color w:val="auto"/>
                <w:sz w:val="24"/>
              </w:rPr>
            </w:pPr>
          </w:p>
        </w:tc>
        <w:tc>
          <w:tcPr>
            <w:tcW w:w="2130" w:type="dxa"/>
            <w:vAlign w:val="center"/>
          </w:tcPr>
          <w:p>
            <w:pPr>
              <w:autoSpaceDE w:val="0"/>
              <w:autoSpaceDN w:val="0"/>
              <w:adjustRightInd w:val="0"/>
              <w:jc w:val="center"/>
              <w:rPr>
                <w:rFonts w:hint="eastAsia" w:hAnsi="宋体"/>
                <w:color w:val="auto"/>
                <w:sz w:val="24"/>
              </w:rPr>
            </w:pPr>
          </w:p>
        </w:tc>
        <w:tc>
          <w:tcPr>
            <w:tcW w:w="1468" w:type="dxa"/>
            <w:vAlign w:val="center"/>
          </w:tcPr>
          <w:p>
            <w:pPr>
              <w:autoSpaceDE w:val="0"/>
              <w:autoSpaceDN w:val="0"/>
              <w:adjustRightInd w:val="0"/>
              <w:jc w:val="center"/>
              <w:rPr>
                <w:rFonts w:hint="eastAsia" w:hAnsi="宋体"/>
                <w:color w:val="auto"/>
                <w:sz w:val="24"/>
              </w:rPr>
            </w:pPr>
          </w:p>
        </w:tc>
        <w:tc>
          <w:tcPr>
            <w:tcW w:w="986" w:type="dxa"/>
            <w:vAlign w:val="center"/>
          </w:tcPr>
          <w:p>
            <w:pPr>
              <w:autoSpaceDE w:val="0"/>
              <w:autoSpaceDN w:val="0"/>
              <w:adjustRightInd w:val="0"/>
              <w:jc w:val="center"/>
              <w:rPr>
                <w:rFonts w:hint="eastAsia" w:hAnsi="宋体"/>
                <w:color w:val="auto"/>
                <w:sz w:val="24"/>
              </w:rPr>
            </w:pPr>
          </w:p>
        </w:tc>
      </w:tr>
    </w:tbl>
    <w:p>
      <w:pPr>
        <w:pStyle w:val="52"/>
        <w:tabs>
          <w:tab w:val="left" w:pos="360"/>
        </w:tabs>
        <w:spacing w:line="360" w:lineRule="auto"/>
        <w:ind w:right="84" w:rightChars="40"/>
        <w:rPr>
          <w:rFonts w:ascii="宋体"/>
          <w:b/>
          <w:bCs/>
          <w:sz w:val="22"/>
          <w:szCs w:val="22"/>
        </w:rPr>
      </w:pPr>
      <w:r>
        <w:rPr>
          <w:rFonts w:hint="eastAsia" w:ascii="宋体" w:cs="宋体"/>
          <w:b/>
          <w:bCs/>
          <w:sz w:val="22"/>
          <w:szCs w:val="22"/>
        </w:rPr>
        <w:t>要求：</w:t>
      </w:r>
    </w:p>
    <w:p>
      <w:pPr>
        <w:pStyle w:val="52"/>
        <w:tabs>
          <w:tab w:val="left" w:pos="360"/>
        </w:tabs>
        <w:spacing w:line="360" w:lineRule="auto"/>
        <w:ind w:right="84" w:rightChars="40" w:firstLine="440" w:firstLineChars="200"/>
        <w:rPr>
          <w:rFonts w:ascii="宋体"/>
          <w:sz w:val="22"/>
          <w:szCs w:val="22"/>
        </w:rPr>
      </w:pPr>
      <w:r>
        <w:rPr>
          <w:rFonts w:ascii="宋体" w:cs="宋体"/>
          <w:sz w:val="22"/>
          <w:szCs w:val="22"/>
        </w:rPr>
        <w:t>1.</w:t>
      </w:r>
      <w:r>
        <w:rPr>
          <w:rFonts w:hint="eastAsia" w:ascii="宋体" w:cs="宋体"/>
          <w:sz w:val="22"/>
          <w:szCs w:val="22"/>
        </w:rPr>
        <w:t>本表参照本</w:t>
      </w:r>
      <w:r>
        <w:rPr>
          <w:rFonts w:hint="eastAsia" w:ascii="宋体" w:cs="宋体"/>
          <w:sz w:val="22"/>
          <w:szCs w:val="22"/>
          <w:lang w:eastAsia="zh-CN"/>
        </w:rPr>
        <w:t>招标文件</w:t>
      </w:r>
      <w:r>
        <w:rPr>
          <w:rFonts w:hint="eastAsia" w:ascii="宋体" w:cs="宋体"/>
          <w:sz w:val="22"/>
          <w:szCs w:val="22"/>
        </w:rPr>
        <w:t>“</w:t>
      </w:r>
      <w:r>
        <w:rPr>
          <w:rFonts w:hint="eastAsia" w:ascii="宋体" w:cs="宋体"/>
          <w:sz w:val="22"/>
          <w:szCs w:val="22"/>
          <w:lang w:eastAsia="zh-CN"/>
        </w:rPr>
        <w:t>采购需求</w:t>
      </w:r>
      <w:r>
        <w:rPr>
          <w:rFonts w:hint="eastAsia" w:ascii="宋体" w:cs="宋体"/>
          <w:sz w:val="22"/>
          <w:szCs w:val="22"/>
        </w:rPr>
        <w:t>”填制，投标人应根据投标服务指标，对照</w:t>
      </w:r>
      <w:r>
        <w:rPr>
          <w:rFonts w:hint="eastAsia" w:ascii="宋体" w:cs="宋体"/>
          <w:sz w:val="22"/>
          <w:szCs w:val="22"/>
          <w:lang w:eastAsia="zh-CN"/>
        </w:rPr>
        <w:t>招标文件</w:t>
      </w:r>
      <w:r>
        <w:rPr>
          <w:rFonts w:hint="eastAsia" w:ascii="宋体" w:cs="宋体"/>
          <w:sz w:val="22"/>
          <w:szCs w:val="22"/>
        </w:rPr>
        <w:t>要求在“偏离情况”栏注明“正偏离”、“负偏离”或“无偏离”。</w:t>
      </w:r>
    </w:p>
    <w:p>
      <w:pPr>
        <w:pStyle w:val="52"/>
        <w:spacing w:line="360" w:lineRule="auto"/>
        <w:ind w:right="84" w:rightChars="40" w:firstLine="440" w:firstLineChars="200"/>
        <w:rPr>
          <w:rFonts w:hint="default" w:ascii="宋体" w:cs="宋体"/>
          <w:color w:val="000000" w:themeColor="text1"/>
          <w:sz w:val="22"/>
          <w:szCs w:val="22"/>
          <w:lang w:val="en-US" w:eastAsia="zh-CN"/>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2.本项目的付款方式不允许负偏离。</w:t>
      </w:r>
    </w:p>
    <w:p>
      <w:pPr>
        <w:spacing w:line="360" w:lineRule="auto"/>
        <w:ind w:left="420"/>
        <w:rPr>
          <w:rFonts w:hint="eastAsia" w:ascii="宋体" w:hAnsi="宋体" w:cs="宋体"/>
          <w:sz w:val="24"/>
          <w:szCs w:val="24"/>
        </w:rPr>
      </w:pPr>
    </w:p>
    <w:p>
      <w:pPr>
        <w:tabs>
          <w:tab w:val="left" w:pos="4525"/>
        </w:tabs>
        <w:spacing w:line="460" w:lineRule="exact"/>
        <w:jc w:val="left"/>
        <w:rPr>
          <w:rFonts w:hAnsi="宋体"/>
          <w:sz w:val="24"/>
        </w:rPr>
      </w:pPr>
      <w:r>
        <w:rPr>
          <w:rFonts w:hint="eastAsia" w:hAnsi="宋体"/>
          <w:sz w:val="24"/>
        </w:rPr>
        <w:t>投标人全称</w:t>
      </w:r>
      <w:r>
        <w:rPr>
          <w:rFonts w:hint="eastAsia" w:hAnsi="宋体"/>
          <w:sz w:val="24"/>
          <w:lang w:eastAsia="zh-CN"/>
        </w:rPr>
        <w:t>（</w:t>
      </w:r>
      <w:r>
        <w:rPr>
          <w:rFonts w:hint="eastAsia" w:hAnsi="宋体"/>
          <w:sz w:val="24"/>
        </w:rPr>
        <w:t>单位公章</w:t>
      </w:r>
      <w:r>
        <w:rPr>
          <w:rFonts w:hint="eastAsia" w:hAnsi="宋体"/>
          <w:sz w:val="24"/>
          <w:lang w:eastAsia="zh-CN"/>
        </w:rPr>
        <w:t>）</w:t>
      </w:r>
      <w:r>
        <w:rPr>
          <w:rFonts w:hint="eastAsia" w:hAnsi="宋体"/>
          <w:sz w:val="24"/>
        </w:rPr>
        <w:t>：</w:t>
      </w:r>
    </w:p>
    <w:p>
      <w:pPr>
        <w:tabs>
          <w:tab w:val="left" w:pos="4525"/>
        </w:tabs>
        <w:spacing w:line="460" w:lineRule="exact"/>
        <w:jc w:val="left"/>
        <w:rPr>
          <w:rFonts w:hAnsi="宋体"/>
          <w:sz w:val="24"/>
        </w:rPr>
      </w:pPr>
      <w:r>
        <w:rPr>
          <w:rFonts w:hint="eastAsia" w:hAnsi="宋体"/>
          <w:sz w:val="24"/>
          <w:lang w:eastAsia="zh-CN"/>
        </w:rPr>
        <w:t>法定代表人</w:t>
      </w:r>
      <w:r>
        <w:rPr>
          <w:rFonts w:hint="eastAsia" w:hAnsi="宋体"/>
          <w:sz w:val="24"/>
        </w:rPr>
        <w:t>或委托代理人（盖章或签名）：</w:t>
      </w:r>
    </w:p>
    <w:p>
      <w:pPr>
        <w:tabs>
          <w:tab w:val="left" w:pos="4525"/>
        </w:tabs>
        <w:spacing w:line="460" w:lineRule="exact"/>
        <w:jc w:val="left"/>
        <w:rPr>
          <w:rFonts w:hint="eastAsia" w:hAnsi="宋体" w:eastAsia="宋体"/>
          <w:color w:val="000000"/>
          <w:sz w:val="24"/>
          <w:lang w:eastAsia="zh-CN"/>
        </w:rPr>
        <w:sectPr>
          <w:pgSz w:w="11905" w:h="16838"/>
          <w:pgMar w:top="1440" w:right="1157" w:bottom="1440" w:left="1928" w:header="1134" w:footer="1304" w:gutter="0"/>
          <w:pgBorders>
            <w:top w:val="none" w:sz="0" w:space="0"/>
            <w:left w:val="none" w:sz="0" w:space="0"/>
            <w:bottom w:val="none" w:sz="0" w:space="0"/>
            <w:right w:val="none" w:sz="0" w:space="0"/>
          </w:pgBorders>
          <w:pgNumType w:fmt="decimal"/>
          <w:cols w:space="0" w:num="1"/>
          <w:rtlGutter w:val="0"/>
          <w:docGrid w:type="linesAndChars" w:linePitch="315" w:charSpace="0"/>
        </w:sectPr>
      </w:pPr>
      <w:r>
        <w:rPr>
          <w:rFonts w:hint="eastAsia" w:hAnsi="宋体"/>
          <w:sz w:val="24"/>
        </w:rPr>
        <w:t>日期</w:t>
      </w:r>
      <w:r>
        <w:rPr>
          <w:rFonts w:hint="eastAsia" w:hAnsi="宋体"/>
          <w:sz w:val="24"/>
          <w:lang w:eastAsia="zh-CN"/>
        </w:rPr>
        <w:t>：</w:t>
      </w:r>
    </w:p>
    <w:p>
      <w:pPr>
        <w:spacing w:line="360" w:lineRule="auto"/>
        <w:ind w:right="-110"/>
        <w:jc w:val="center"/>
        <w:outlineLvl w:val="0"/>
        <w:rPr>
          <w:rFonts w:hint="eastAsia" w:ascii="微软雅黑" w:hAnsi="微软雅黑" w:eastAsia="微软雅黑" w:cs="微软雅黑"/>
          <w:b/>
          <w:bCs/>
          <w:spacing w:val="40"/>
          <w:sz w:val="48"/>
          <w:szCs w:val="48"/>
          <w:lang w:eastAsia="zh-CN"/>
        </w:rPr>
      </w:pPr>
    </w:p>
    <w:p>
      <w:pPr>
        <w:bidi w:val="0"/>
        <w:jc w:val="center"/>
        <w:rPr>
          <w:rFonts w:hint="eastAsia" w:ascii="微软雅黑" w:hAnsi="微软雅黑" w:eastAsia="微软雅黑" w:cs="微软雅黑"/>
          <w:b/>
          <w:bCs/>
          <w:sz w:val="40"/>
          <w:szCs w:val="40"/>
        </w:rPr>
      </w:pPr>
      <w:r>
        <w:rPr>
          <w:rFonts w:hint="eastAsia" w:ascii="微软雅黑" w:hAnsi="微软雅黑" w:eastAsia="微软雅黑" w:cs="微软雅黑"/>
          <w:b/>
          <w:bCs/>
          <w:sz w:val="40"/>
          <w:szCs w:val="40"/>
          <w:lang w:eastAsia="zh-CN"/>
        </w:rPr>
        <w:t>温岭市住房和城乡建设局2022年-2025年绿化及道路养护采购（重新发布）</w:t>
      </w:r>
    </w:p>
    <w:p>
      <w:pPr>
        <w:spacing w:beforeLines="100" w:line="360" w:lineRule="auto"/>
        <w:ind w:right="-108"/>
        <w:jc w:val="center"/>
        <w:rPr>
          <w:rFonts w:hint="eastAsia" w:ascii="宋体" w:hAnsi="宋体" w:cs="宋体"/>
          <w:sz w:val="32"/>
          <w:szCs w:val="32"/>
          <w:lang w:eastAsia="zh-CN"/>
        </w:rPr>
      </w:pPr>
      <w:r>
        <w:rPr>
          <w:rFonts w:hint="eastAsia" w:ascii="宋体" w:hAnsi="宋体" w:cs="宋体"/>
          <w:b/>
          <w:bCs/>
          <w:sz w:val="32"/>
          <w:szCs w:val="32"/>
        </w:rPr>
        <w:t>项目编号：</w:t>
      </w:r>
      <w:r>
        <w:rPr>
          <w:rFonts w:hint="eastAsia" w:ascii="宋体" w:hAnsi="宋体" w:cs="宋体"/>
          <w:b/>
          <w:bCs/>
          <w:sz w:val="32"/>
          <w:szCs w:val="32"/>
          <w:lang w:eastAsia="zh-CN"/>
        </w:rPr>
        <w:t>JJWL220509129-1</w:t>
      </w:r>
    </w:p>
    <w:p>
      <w:pPr>
        <w:spacing w:after="100" w:afterAutospacing="1" w:line="360" w:lineRule="auto"/>
        <w:ind w:right="-108"/>
        <w:jc w:val="center"/>
        <w:outlineLvl w:val="0"/>
        <w:rPr>
          <w:rFonts w:ascii="宋体"/>
          <w:b/>
          <w:bCs/>
          <w:spacing w:val="40"/>
          <w:sz w:val="84"/>
          <w:szCs w:val="84"/>
        </w:rPr>
      </w:pPr>
      <w:bookmarkStart w:id="43" w:name="_Toc805"/>
      <w:r>
        <w:rPr>
          <w:rFonts w:hint="eastAsia" w:ascii="宋体" w:hAnsi="宋体" w:cs="宋体"/>
          <w:b/>
          <w:bCs/>
          <w:spacing w:val="40"/>
          <w:sz w:val="84"/>
          <w:szCs w:val="84"/>
        </w:rPr>
        <w:t>报</w:t>
      </w:r>
      <w:bookmarkEnd w:id="43"/>
    </w:p>
    <w:p>
      <w:pPr>
        <w:spacing w:after="100" w:afterAutospacing="1" w:line="360" w:lineRule="auto"/>
        <w:ind w:right="-108"/>
        <w:jc w:val="center"/>
        <w:outlineLvl w:val="0"/>
        <w:rPr>
          <w:rFonts w:ascii="宋体"/>
          <w:b/>
          <w:bCs/>
          <w:spacing w:val="40"/>
          <w:sz w:val="84"/>
          <w:szCs w:val="84"/>
        </w:rPr>
      </w:pPr>
      <w:bookmarkStart w:id="44" w:name="_Toc22379"/>
      <w:r>
        <w:rPr>
          <w:rFonts w:hint="eastAsia" w:ascii="宋体" w:hAnsi="宋体" w:cs="宋体"/>
          <w:b/>
          <w:bCs/>
          <w:spacing w:val="40"/>
          <w:sz w:val="84"/>
          <w:szCs w:val="84"/>
        </w:rPr>
        <w:t>价</w:t>
      </w:r>
      <w:bookmarkEnd w:id="44"/>
    </w:p>
    <w:p>
      <w:pPr>
        <w:spacing w:after="100" w:afterAutospacing="1" w:line="360" w:lineRule="auto"/>
        <w:ind w:right="-108"/>
        <w:jc w:val="center"/>
        <w:outlineLvl w:val="0"/>
        <w:rPr>
          <w:rFonts w:ascii="宋体"/>
          <w:b/>
          <w:bCs/>
          <w:spacing w:val="40"/>
          <w:sz w:val="84"/>
          <w:szCs w:val="84"/>
        </w:rPr>
      </w:pPr>
      <w:bookmarkStart w:id="45" w:name="_Toc23380"/>
      <w:r>
        <w:rPr>
          <w:rFonts w:hint="eastAsia" w:ascii="宋体" w:hAnsi="宋体" w:cs="宋体"/>
          <w:b/>
          <w:bCs/>
          <w:spacing w:val="40"/>
          <w:sz w:val="84"/>
          <w:szCs w:val="84"/>
        </w:rPr>
        <w:t>文</w:t>
      </w:r>
      <w:bookmarkEnd w:id="45"/>
    </w:p>
    <w:p>
      <w:pPr>
        <w:spacing w:after="100" w:afterAutospacing="1" w:line="360" w:lineRule="auto"/>
        <w:ind w:right="-108"/>
        <w:jc w:val="center"/>
        <w:outlineLvl w:val="0"/>
        <w:rPr>
          <w:rFonts w:ascii="宋体"/>
          <w:sz w:val="36"/>
          <w:szCs w:val="36"/>
        </w:rPr>
      </w:pPr>
      <w:bookmarkStart w:id="46" w:name="_Toc8989"/>
      <w:r>
        <w:rPr>
          <w:rFonts w:hint="eastAsia" w:ascii="宋体" w:hAnsi="宋体" w:cs="宋体"/>
          <w:b/>
          <w:bCs/>
          <w:spacing w:val="40"/>
          <w:sz w:val="84"/>
          <w:szCs w:val="84"/>
        </w:rPr>
        <w:t>件</w:t>
      </w:r>
      <w:bookmarkEnd w:id="46"/>
    </w:p>
    <w:p>
      <w:pPr>
        <w:spacing w:line="360" w:lineRule="auto"/>
        <w:ind w:right="532"/>
        <w:jc w:val="center"/>
        <w:rPr>
          <w:rFonts w:ascii="宋体"/>
          <w:sz w:val="36"/>
          <w:szCs w:val="36"/>
        </w:rPr>
      </w:pPr>
    </w:p>
    <w:p>
      <w:pPr>
        <w:spacing w:line="360" w:lineRule="auto"/>
        <w:ind w:right="-108" w:firstLine="640" w:firstLineChars="200"/>
        <w:outlineLvl w:val="0"/>
        <w:rPr>
          <w:rFonts w:hint="eastAsia" w:ascii="宋体" w:hAnsi="宋体" w:cs="宋体"/>
          <w:sz w:val="32"/>
          <w:szCs w:val="32"/>
        </w:rPr>
      </w:pPr>
      <w:bookmarkStart w:id="47" w:name="_Toc32511"/>
      <w:r>
        <w:rPr>
          <w:rFonts w:hint="eastAsia" w:ascii="宋体" w:hAnsi="宋体" w:cs="宋体"/>
          <w:sz w:val="32"/>
          <w:szCs w:val="32"/>
        </w:rPr>
        <w:t>投标人全称</w:t>
      </w:r>
      <w:r>
        <w:rPr>
          <w:rFonts w:hint="eastAsia" w:ascii="宋体" w:hAnsi="宋体" w:cs="宋体"/>
          <w:sz w:val="32"/>
          <w:szCs w:val="32"/>
          <w:lang w:eastAsia="zh-CN"/>
        </w:rPr>
        <w:t>（</w:t>
      </w:r>
      <w:r>
        <w:rPr>
          <w:rFonts w:hint="eastAsia" w:ascii="宋体" w:hAnsi="宋体" w:cs="宋体"/>
          <w:sz w:val="32"/>
          <w:szCs w:val="32"/>
        </w:rPr>
        <w:t>单位公章</w:t>
      </w:r>
      <w:r>
        <w:rPr>
          <w:rFonts w:hint="eastAsia" w:ascii="宋体" w:hAnsi="宋体" w:cs="宋体"/>
          <w:sz w:val="32"/>
          <w:szCs w:val="32"/>
          <w:lang w:eastAsia="zh-CN"/>
        </w:rPr>
        <w:t>）</w:t>
      </w:r>
      <w:r>
        <w:rPr>
          <w:rFonts w:hint="eastAsia" w:ascii="宋体" w:hAnsi="宋体" w:cs="宋体"/>
          <w:sz w:val="32"/>
          <w:szCs w:val="32"/>
        </w:rPr>
        <w:t>：</w:t>
      </w:r>
    </w:p>
    <w:p>
      <w:pPr>
        <w:spacing w:line="360" w:lineRule="auto"/>
        <w:ind w:right="-108" w:firstLine="640" w:firstLineChars="200"/>
        <w:outlineLvl w:val="0"/>
        <w:rPr>
          <w:rFonts w:ascii="宋体"/>
          <w:sz w:val="32"/>
          <w:szCs w:val="32"/>
        </w:rPr>
      </w:pPr>
      <w:r>
        <w:rPr>
          <w:rFonts w:hint="eastAsia" w:ascii="宋体" w:hAnsi="宋体" w:cs="宋体"/>
          <w:sz w:val="32"/>
          <w:szCs w:val="32"/>
        </w:rPr>
        <w:t>地</w:t>
      </w:r>
      <w:r>
        <w:rPr>
          <w:rFonts w:ascii="宋体" w:hAnsi="宋体" w:cs="宋体"/>
          <w:sz w:val="32"/>
          <w:szCs w:val="32"/>
        </w:rPr>
        <w:t xml:space="preserve">    </w:t>
      </w:r>
      <w:r>
        <w:rPr>
          <w:rFonts w:hint="eastAsia" w:ascii="宋体" w:hAnsi="宋体" w:cs="宋体"/>
          <w:sz w:val="32"/>
          <w:szCs w:val="32"/>
        </w:rPr>
        <w:t>址：</w:t>
      </w:r>
      <w:bookmarkEnd w:id="47"/>
    </w:p>
    <w:p>
      <w:pPr>
        <w:spacing w:line="360" w:lineRule="auto"/>
        <w:ind w:right="-108" w:firstLine="640" w:firstLineChars="200"/>
        <w:outlineLvl w:val="0"/>
        <w:rPr>
          <w:rFonts w:ascii="宋体"/>
          <w:sz w:val="32"/>
          <w:szCs w:val="32"/>
        </w:rPr>
      </w:pPr>
      <w:bookmarkStart w:id="48" w:name="_Toc18172"/>
      <w:r>
        <w:rPr>
          <w:rFonts w:hint="eastAsia" w:ascii="宋体" w:hAnsi="宋体" w:cs="宋体"/>
          <w:sz w:val="32"/>
          <w:szCs w:val="32"/>
        </w:rPr>
        <w:t>时</w:t>
      </w:r>
      <w:r>
        <w:rPr>
          <w:rFonts w:ascii="宋体" w:hAnsi="宋体" w:cs="宋体"/>
          <w:sz w:val="32"/>
          <w:szCs w:val="32"/>
        </w:rPr>
        <w:t xml:space="preserve">    </w:t>
      </w:r>
      <w:r>
        <w:rPr>
          <w:rFonts w:hint="eastAsia" w:ascii="宋体" w:hAnsi="宋体" w:cs="宋体"/>
          <w:sz w:val="32"/>
          <w:szCs w:val="32"/>
        </w:rPr>
        <w:t>间：</w:t>
      </w:r>
      <w:bookmarkEnd w:id="48"/>
    </w:p>
    <w:p>
      <w:pPr>
        <w:spacing w:line="360" w:lineRule="auto"/>
        <w:ind w:right="-108"/>
        <w:jc w:val="center"/>
        <w:rPr>
          <w:rFonts w:ascii="仿宋_GB2312" w:hAnsi="宋体" w:eastAsia="仿宋_GB2312"/>
          <w:b/>
          <w:bCs/>
          <w:sz w:val="36"/>
          <w:szCs w:val="36"/>
        </w:rPr>
      </w:pPr>
    </w:p>
    <w:p>
      <w:r>
        <w:br w:type="page"/>
      </w:r>
    </w:p>
    <w:p/>
    <w:p>
      <w:pPr>
        <w:spacing w:line="360" w:lineRule="auto"/>
        <w:ind w:right="-108"/>
        <w:jc w:val="center"/>
        <w:rPr>
          <w:rFonts w:ascii="宋体"/>
          <w:b/>
          <w:bCs/>
          <w:sz w:val="32"/>
          <w:szCs w:val="32"/>
          <w:lang w:val="zh-CN"/>
        </w:rPr>
      </w:pPr>
      <w:r>
        <w:rPr>
          <w:rFonts w:hint="eastAsia" w:ascii="宋体" w:hAnsi="宋体" w:cs="宋体"/>
          <w:b/>
          <w:bCs/>
          <w:sz w:val="32"/>
          <w:szCs w:val="32"/>
          <w:lang w:val="zh-CN"/>
        </w:rPr>
        <w:t>报价文件目录（仅供参考）</w:t>
      </w:r>
    </w:p>
    <w:p>
      <w:pPr>
        <w:spacing w:line="360" w:lineRule="auto"/>
        <w:ind w:right="-108"/>
        <w:jc w:val="center"/>
        <w:rPr>
          <w:rFonts w:ascii="仿宋_GB2312" w:hAnsi="宋体" w:eastAsia="仿宋_GB2312"/>
          <w:b/>
          <w:bCs/>
          <w:sz w:val="36"/>
          <w:szCs w:val="36"/>
        </w:rPr>
      </w:pPr>
    </w:p>
    <w:p>
      <w:pPr>
        <w:spacing w:line="360" w:lineRule="auto"/>
        <w:rPr>
          <w:rFonts w:ascii="宋体" w:cs="宋体"/>
          <w:sz w:val="28"/>
          <w:szCs w:val="28"/>
        </w:rPr>
      </w:pPr>
    </w:p>
    <w:p>
      <w:pPr>
        <w:numPr>
          <w:ilvl w:val="0"/>
          <w:numId w:val="9"/>
        </w:numPr>
        <w:snapToGrid w:val="0"/>
        <w:spacing w:line="360" w:lineRule="auto"/>
        <w:jc w:val="distribute"/>
        <w:rPr>
          <w:rFonts w:ascii="宋体" w:cs="宋体"/>
          <w:sz w:val="28"/>
          <w:szCs w:val="28"/>
        </w:rPr>
      </w:pPr>
      <w:r>
        <w:rPr>
          <w:rFonts w:hint="eastAsia" w:ascii="宋体" w:hAnsi="宋体" w:cs="宋体"/>
          <w:sz w:val="28"/>
          <w:szCs w:val="28"/>
        </w:rPr>
        <w:t>投标函…………………………………………………………页码；</w:t>
      </w:r>
    </w:p>
    <w:p>
      <w:pPr>
        <w:numPr>
          <w:ilvl w:val="0"/>
          <w:numId w:val="0"/>
        </w:numPr>
        <w:snapToGrid w:val="0"/>
        <w:spacing w:line="360" w:lineRule="auto"/>
        <w:jc w:val="distribute"/>
        <w:rPr>
          <w:rFonts w:hint="default" w:eastAsia="宋体"/>
          <w:lang w:val="en-US" w:eastAsia="zh-CN"/>
        </w:rPr>
      </w:pPr>
      <w:r>
        <w:rPr>
          <w:rFonts w:hint="eastAsia" w:ascii="宋体" w:hAnsi="宋体" w:cs="宋体"/>
          <w:sz w:val="28"/>
          <w:szCs w:val="28"/>
          <w:lang w:val="en-US" w:eastAsia="zh-CN"/>
        </w:rPr>
        <w:t>2、</w:t>
      </w:r>
      <w:r>
        <w:rPr>
          <w:rFonts w:hint="eastAsia" w:ascii="宋体" w:hAnsi="宋体" w:cs="宋体"/>
          <w:sz w:val="28"/>
          <w:szCs w:val="28"/>
        </w:rPr>
        <w:t>开标一览表……………………………………………………页码；</w:t>
      </w:r>
    </w:p>
    <w:p>
      <w:pPr>
        <w:numPr>
          <w:ilvl w:val="0"/>
          <w:numId w:val="0"/>
        </w:numPr>
        <w:snapToGrid w:val="0"/>
        <w:spacing w:line="360" w:lineRule="auto"/>
        <w:jc w:val="distribute"/>
        <w:rPr>
          <w:rFonts w:hint="default" w:eastAsia="宋体"/>
          <w:lang w:val="en-US" w:eastAsia="zh-CN"/>
        </w:rPr>
      </w:pPr>
      <w:r>
        <w:rPr>
          <w:rFonts w:hint="eastAsia" w:cs="宋体"/>
          <w:sz w:val="28"/>
          <w:szCs w:val="28"/>
          <w:lang w:val="en-US" w:eastAsia="zh-CN"/>
        </w:rPr>
        <w:t>3、投标报价明细表</w:t>
      </w:r>
      <w:r>
        <w:rPr>
          <w:rFonts w:hint="eastAsia" w:ascii="宋体" w:hAnsi="宋体" w:cs="宋体"/>
          <w:sz w:val="28"/>
          <w:szCs w:val="28"/>
        </w:rPr>
        <w:t>……………………………………………………页码；</w:t>
      </w:r>
    </w:p>
    <w:p>
      <w:pPr>
        <w:numPr>
          <w:ilvl w:val="0"/>
          <w:numId w:val="0"/>
        </w:numPr>
        <w:snapToGrid w:val="0"/>
        <w:spacing w:line="360" w:lineRule="auto"/>
        <w:jc w:val="distribute"/>
        <w:rPr>
          <w:rFonts w:asci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针对报价投标人认为其他需要说明的………………………页码；</w:t>
      </w:r>
    </w:p>
    <w:p>
      <w:pPr>
        <w:pStyle w:val="18"/>
        <w:snapToGrid w:val="0"/>
        <w:spacing w:line="360" w:lineRule="auto"/>
        <w:ind w:left="0" w:leftChars="0"/>
        <w:rPr>
          <w:rFonts w:ascii="宋体" w:hAnsi="宋体" w:eastAsia="宋体" w:cs="Times New Roman"/>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rPr>
          <w:rFonts w:hint="default" w:ascii="宋体" w:eastAsia="宋体"/>
          <w:b/>
          <w:bCs/>
          <w:sz w:val="28"/>
          <w:szCs w:val="28"/>
          <w:lang w:val="en-US" w:eastAsia="zh-CN"/>
        </w:rPr>
      </w:pPr>
      <w:r>
        <w:rPr>
          <w:rFonts w:ascii="宋体" w:hAnsi="宋体" w:cs="宋体"/>
          <w:b/>
          <w:bCs/>
          <w:sz w:val="28"/>
          <w:szCs w:val="28"/>
        </w:rPr>
        <w:br w:type="page"/>
      </w:r>
      <w:r>
        <w:rPr>
          <w:rFonts w:hint="eastAsia" w:ascii="宋体" w:hAnsi="宋体" w:cs="宋体"/>
          <w:b/>
          <w:bCs/>
          <w:sz w:val="24"/>
          <w:szCs w:val="24"/>
        </w:rPr>
        <w:t>附件</w:t>
      </w:r>
      <w:r>
        <w:rPr>
          <w:rFonts w:hint="eastAsia" w:ascii="宋体" w:hAnsi="宋体" w:cs="宋体"/>
          <w:b/>
          <w:bCs/>
          <w:sz w:val="24"/>
          <w:szCs w:val="24"/>
          <w:lang w:val="en-US" w:eastAsia="zh-CN"/>
        </w:rPr>
        <w:t>1:</w:t>
      </w:r>
    </w:p>
    <w:p>
      <w:pPr>
        <w:widowControl/>
        <w:snapToGrid w:val="0"/>
        <w:spacing w:line="560" w:lineRule="exact"/>
        <w:jc w:val="center"/>
        <w:rPr>
          <w:rFonts w:hint="eastAsia" w:ascii="宋体" w:hAnsi="宋体" w:cs="宋体"/>
          <w:b/>
          <w:color w:val="000000"/>
          <w:sz w:val="36"/>
          <w:szCs w:val="36"/>
        </w:rPr>
      </w:pPr>
      <w:r>
        <w:rPr>
          <w:rFonts w:hint="eastAsia" w:ascii="宋体" w:hAnsi="宋体" w:cs="宋体"/>
          <w:b/>
          <w:color w:val="000000"/>
          <w:kern w:val="0"/>
          <w:sz w:val="36"/>
          <w:szCs w:val="36"/>
          <w:lang w:bidi="ar"/>
        </w:rPr>
        <w:t>投   标   函</w:t>
      </w: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r>
        <w:rPr>
          <w:rFonts w:hint="eastAsia" w:ascii="宋体" w:hAnsi="宋体" w:cs="宋体"/>
          <w:color w:val="000000"/>
          <w:kern w:val="0"/>
          <w:sz w:val="24"/>
          <w:lang w:bidi="ar"/>
        </w:rPr>
        <w:t>致：</w:t>
      </w:r>
      <w:r>
        <w:rPr>
          <w:rFonts w:hint="eastAsia" w:ascii="宋体" w:hAnsi="宋体" w:cs="宋体"/>
          <w:color w:val="000000"/>
          <w:kern w:val="0"/>
          <w:sz w:val="24"/>
          <w:lang w:eastAsia="zh-CN" w:bidi="ar"/>
        </w:rPr>
        <w:t>温岭市住房和城乡建设局</w:t>
      </w:r>
      <w:r>
        <w:rPr>
          <w:rFonts w:hint="eastAsia" w:ascii="宋体" w:hAnsi="宋体" w:cs="宋体"/>
          <w:color w:val="000000"/>
          <w:kern w:val="0"/>
          <w:sz w:val="24"/>
          <w:lang w:bidi="ar"/>
        </w:rPr>
        <w:t xml:space="preserve">     </w:t>
      </w:r>
    </w:p>
    <w:p>
      <w:pPr>
        <w:spacing w:line="440" w:lineRule="exact"/>
        <w:rPr>
          <w:rFonts w:hint="eastAsia" w:ascii="宋体" w:hAnsi="宋体" w:cs="宋体"/>
          <w:color w:val="000000"/>
          <w:sz w:val="24"/>
        </w:rPr>
      </w:pPr>
      <w:r>
        <w:rPr>
          <w:rFonts w:hint="eastAsia" w:ascii="宋体" w:hAnsi="宋体" w:cs="宋体"/>
          <w:color w:val="000000"/>
          <w:kern w:val="0"/>
          <w:sz w:val="24"/>
          <w:lang w:bidi="ar"/>
        </w:rPr>
        <w:t xml:space="preserve">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（投标人名称）授权</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（全权代表姓名、职务）为全权代表，参加贵单位组织的</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（招标项目名称）（编号为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）招标的有关活动，并进行投标。为此：</w:t>
      </w:r>
    </w:p>
    <w:p>
      <w:pPr>
        <w:spacing w:line="440" w:lineRule="exact"/>
        <w:ind w:firstLine="480" w:firstLineChars="200"/>
        <w:outlineLvl w:val="0"/>
        <w:rPr>
          <w:rFonts w:hint="eastAsia" w:ascii="宋体" w:hAnsi="宋体" w:cs="宋体"/>
          <w:color w:val="000000"/>
          <w:sz w:val="24"/>
        </w:rPr>
      </w:pPr>
      <w:bookmarkStart w:id="49" w:name="_Toc20024"/>
      <w:r>
        <w:rPr>
          <w:rFonts w:hint="eastAsia" w:ascii="宋体" w:hAnsi="宋体" w:cs="宋体"/>
          <w:color w:val="000000"/>
          <w:kern w:val="0"/>
          <w:sz w:val="24"/>
          <w:lang w:bidi="ar"/>
        </w:rPr>
        <w:t>l、提供投标人须知规定的全部投标文件。</w:t>
      </w:r>
      <w:bookmarkEnd w:id="49"/>
    </w:p>
    <w:p>
      <w:pPr>
        <w:spacing w:line="440" w:lineRule="exact"/>
        <w:rPr>
          <w:rFonts w:hint="eastAsia" w:ascii="宋体" w:hAnsi="宋体" w:cs="宋体"/>
          <w:color w:val="000000"/>
          <w:sz w:val="24"/>
        </w:rPr>
      </w:pPr>
      <w:r>
        <w:rPr>
          <w:rFonts w:hint="eastAsia" w:ascii="宋体" w:hAnsi="宋体" w:cs="宋体"/>
          <w:color w:val="000000"/>
          <w:kern w:val="0"/>
          <w:sz w:val="24"/>
          <w:lang w:bidi="ar"/>
        </w:rPr>
        <w:t xml:space="preserve">    2、我方的投标报价详见《开标一览表》。</w:t>
      </w:r>
    </w:p>
    <w:p>
      <w:pPr>
        <w:spacing w:line="440" w:lineRule="exact"/>
        <w:ind w:firstLine="360" w:firstLineChars="150"/>
        <w:rPr>
          <w:rFonts w:hint="eastAsia" w:ascii="宋体" w:hAnsi="宋体" w:cs="宋体"/>
          <w:color w:val="000000"/>
          <w:sz w:val="24"/>
        </w:rPr>
      </w:pPr>
      <w:r>
        <w:rPr>
          <w:rFonts w:hint="eastAsia" w:ascii="宋体" w:hAnsi="宋体" w:cs="宋体"/>
          <w:color w:val="000000"/>
          <w:kern w:val="0"/>
          <w:sz w:val="24"/>
          <w:lang w:bidi="ar"/>
        </w:rPr>
        <w:t xml:space="preserve"> </w:t>
      </w: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我方已详细审查全部</w:t>
      </w:r>
      <w:r>
        <w:rPr>
          <w:rFonts w:hint="eastAsia" w:ascii="宋体" w:hAnsi="宋体" w:cs="宋体"/>
          <w:color w:val="000000"/>
          <w:kern w:val="0"/>
          <w:sz w:val="24"/>
          <w:lang w:eastAsia="zh-CN" w:bidi="ar"/>
        </w:rPr>
        <w:t>招标文件</w:t>
      </w:r>
      <w:r>
        <w:rPr>
          <w:rFonts w:hint="eastAsia" w:ascii="宋体" w:hAnsi="宋体" w:cs="宋体"/>
          <w:color w:val="000000"/>
          <w:kern w:val="0"/>
          <w:sz w:val="24"/>
          <w:lang w:bidi="ar"/>
        </w:rPr>
        <w:t>，完全同意</w:t>
      </w:r>
      <w:r>
        <w:rPr>
          <w:rFonts w:hint="eastAsia" w:ascii="宋体" w:hAnsi="宋体" w:cs="宋体"/>
          <w:color w:val="000000"/>
          <w:kern w:val="0"/>
          <w:sz w:val="24"/>
          <w:lang w:eastAsia="zh-CN" w:bidi="ar"/>
        </w:rPr>
        <w:t>招标文件</w:t>
      </w:r>
      <w:r>
        <w:rPr>
          <w:rFonts w:hint="eastAsia" w:ascii="宋体" w:hAnsi="宋体" w:cs="宋体"/>
          <w:color w:val="000000"/>
          <w:kern w:val="0"/>
          <w:sz w:val="24"/>
          <w:lang w:bidi="ar"/>
        </w:rPr>
        <w:t>中的各项要求，保证遵守</w:t>
      </w:r>
      <w:r>
        <w:rPr>
          <w:rFonts w:hint="eastAsia" w:ascii="宋体" w:hAnsi="宋体" w:cs="宋体"/>
          <w:color w:val="000000"/>
          <w:kern w:val="0"/>
          <w:sz w:val="24"/>
          <w:lang w:eastAsia="zh-CN" w:bidi="ar"/>
        </w:rPr>
        <w:t>招标文件</w:t>
      </w:r>
      <w:r>
        <w:rPr>
          <w:rFonts w:hint="eastAsia" w:ascii="宋体" w:hAnsi="宋体" w:cs="宋体"/>
          <w:color w:val="000000"/>
          <w:kern w:val="0"/>
          <w:sz w:val="24"/>
          <w:lang w:bidi="ar"/>
        </w:rPr>
        <w:t>中的有关规定和相关标准</w:t>
      </w:r>
      <w:r>
        <w:rPr>
          <w:rFonts w:hint="eastAsia" w:ascii="宋体" w:hAnsi="宋体" w:cs="宋体"/>
          <w:color w:val="000000"/>
          <w:kern w:val="0"/>
          <w:sz w:val="24"/>
          <w:szCs w:val="20"/>
          <w:lang w:bidi="ar"/>
        </w:rPr>
        <w:t>，对</w:t>
      </w:r>
      <w:r>
        <w:rPr>
          <w:rFonts w:hint="eastAsia" w:ascii="宋体" w:hAnsi="宋体" w:cs="宋体"/>
          <w:color w:val="000000"/>
          <w:kern w:val="0"/>
          <w:sz w:val="24"/>
          <w:szCs w:val="20"/>
          <w:lang w:eastAsia="zh-CN" w:bidi="ar"/>
        </w:rPr>
        <w:t>招标文件</w:t>
      </w:r>
      <w:r>
        <w:rPr>
          <w:rFonts w:hint="eastAsia" w:ascii="宋体" w:hAnsi="宋体" w:cs="宋体"/>
          <w:color w:val="000000"/>
          <w:kern w:val="0"/>
          <w:sz w:val="24"/>
          <w:szCs w:val="20"/>
          <w:lang w:bidi="ar"/>
        </w:rPr>
        <w:t>的合理性、合法性不再有异议。</w:t>
      </w:r>
    </w:p>
    <w:p>
      <w:pPr>
        <w:spacing w:line="440" w:lineRule="exact"/>
        <w:rPr>
          <w:rFonts w:hint="eastAsia" w:ascii="宋体" w:hAnsi="宋体" w:cs="宋体"/>
          <w:color w:val="000000"/>
          <w:sz w:val="24"/>
        </w:rPr>
      </w:pPr>
      <w:r>
        <w:rPr>
          <w:rFonts w:hint="eastAsia" w:ascii="宋体" w:hAnsi="宋体" w:cs="宋体"/>
          <w:color w:val="000000"/>
          <w:kern w:val="0"/>
          <w:sz w:val="24"/>
          <w:lang w:bidi="ar"/>
        </w:rPr>
        <w:t xml:space="preserve">    </w:t>
      </w: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、若中标，</w:t>
      </w:r>
      <w:r>
        <w:rPr>
          <w:rFonts w:hint="eastAsia" w:ascii="宋体" w:hAnsi="宋体" w:cs="宋体"/>
          <w:color w:val="000000"/>
          <w:kern w:val="0"/>
          <w:sz w:val="24"/>
          <w:szCs w:val="20"/>
          <w:lang w:bidi="ar"/>
        </w:rPr>
        <w:t>本投标文件至本项目合同履行完毕止均保持有效，</w:t>
      </w:r>
      <w:r>
        <w:rPr>
          <w:rFonts w:hint="eastAsia" w:ascii="宋体" w:hAnsi="宋体" w:cs="宋体"/>
          <w:color w:val="000000"/>
          <w:kern w:val="0"/>
          <w:sz w:val="24"/>
          <w:lang w:bidi="ar"/>
        </w:rPr>
        <w:t>我方将按</w:t>
      </w:r>
      <w:r>
        <w:rPr>
          <w:rFonts w:hint="eastAsia" w:ascii="宋体" w:hAnsi="宋体" w:cs="宋体"/>
          <w:color w:val="000000"/>
          <w:kern w:val="0"/>
          <w:sz w:val="24"/>
          <w:lang w:eastAsia="zh-CN" w:bidi="ar"/>
        </w:rPr>
        <w:t>招标文件</w:t>
      </w:r>
      <w:r>
        <w:rPr>
          <w:rFonts w:hint="eastAsia" w:ascii="宋体" w:hAnsi="宋体" w:cs="宋体"/>
          <w:color w:val="000000"/>
          <w:kern w:val="0"/>
          <w:sz w:val="24"/>
          <w:lang w:bidi="ar"/>
        </w:rPr>
        <w:t>规定履行合同责任和义务。</w:t>
      </w:r>
    </w:p>
    <w:p>
      <w:pPr>
        <w:spacing w:line="440" w:lineRule="exact"/>
        <w:rPr>
          <w:rFonts w:hint="eastAsia" w:ascii="宋体" w:hAnsi="宋体" w:cs="宋体"/>
          <w:color w:val="000000"/>
          <w:sz w:val="24"/>
        </w:rPr>
      </w:pPr>
      <w:r>
        <w:rPr>
          <w:rFonts w:hint="eastAsia" w:ascii="宋体" w:hAnsi="宋体" w:cs="宋体"/>
          <w:color w:val="000000"/>
          <w:kern w:val="0"/>
          <w:sz w:val="24"/>
          <w:lang w:bidi="ar"/>
        </w:rPr>
        <w:t xml:space="preserve">    </w:t>
      </w:r>
      <w:r>
        <w:rPr>
          <w:rFonts w:hint="eastAsia" w:ascii="宋体" w:hAnsi="宋体" w:cs="宋体"/>
          <w:color w:val="000000"/>
          <w:kern w:val="0"/>
          <w:sz w:val="24"/>
          <w:lang w:val="en-US" w:eastAsia="zh-CN" w:bidi="ar"/>
        </w:rPr>
        <w:t>5</w:t>
      </w:r>
      <w:r>
        <w:rPr>
          <w:rFonts w:hint="eastAsia" w:ascii="宋体" w:hAnsi="宋体" w:cs="宋体"/>
          <w:color w:val="000000"/>
          <w:kern w:val="0"/>
          <w:sz w:val="24"/>
          <w:lang w:bidi="ar"/>
        </w:rPr>
        <w:t>、投标文件自开标之日起有效期为90天。</w:t>
      </w:r>
    </w:p>
    <w:p>
      <w:pPr>
        <w:spacing w:line="440" w:lineRule="exact"/>
        <w:rPr>
          <w:rFonts w:hint="eastAsia" w:ascii="宋体" w:hAnsi="宋体" w:cs="宋体"/>
          <w:color w:val="000000"/>
          <w:sz w:val="24"/>
        </w:rPr>
      </w:pPr>
      <w:r>
        <w:rPr>
          <w:rFonts w:hint="eastAsia" w:ascii="宋体" w:hAnsi="宋体" w:cs="宋体"/>
          <w:color w:val="000000"/>
          <w:kern w:val="0"/>
          <w:sz w:val="24"/>
          <w:lang w:bidi="ar"/>
        </w:rPr>
        <w:t xml:space="preserve">    </w:t>
      </w: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、我方同意提供按照贵方可能要求的与本项投标有关的一切数据或资料，并保证其真实性、合法性。</w:t>
      </w:r>
    </w:p>
    <w:p>
      <w:pPr>
        <w:spacing w:line="440" w:lineRule="exact"/>
        <w:rPr>
          <w:rFonts w:hint="eastAsia" w:ascii="宋体" w:hAnsi="宋体" w:cs="宋体"/>
          <w:color w:val="000000"/>
          <w:sz w:val="24"/>
        </w:rPr>
      </w:pPr>
      <w:r>
        <w:rPr>
          <w:rFonts w:hint="eastAsia" w:ascii="宋体" w:hAnsi="宋体" w:cs="宋体"/>
          <w:color w:val="000000"/>
          <w:kern w:val="0"/>
          <w:sz w:val="24"/>
          <w:lang w:bidi="ar"/>
        </w:rPr>
        <w:t xml:space="preserve">    </w:t>
      </w:r>
      <w:r>
        <w:rPr>
          <w:rFonts w:hint="eastAsia" w:ascii="宋体" w:hAnsi="宋体" w:cs="宋体"/>
          <w:color w:val="000000"/>
          <w:kern w:val="0"/>
          <w:sz w:val="24"/>
          <w:lang w:val="en-US" w:eastAsia="zh-CN" w:bidi="ar"/>
        </w:rPr>
        <w:t>7</w:t>
      </w:r>
      <w:r>
        <w:rPr>
          <w:rFonts w:hint="eastAsia" w:ascii="宋体" w:hAnsi="宋体" w:cs="宋体"/>
          <w:color w:val="000000"/>
          <w:kern w:val="0"/>
          <w:sz w:val="24"/>
          <w:lang w:bidi="ar"/>
        </w:rPr>
        <w:t>、我方与本次投标有关的一切正式来往通讯请寄：</w:t>
      </w:r>
    </w:p>
    <w:p>
      <w:pPr>
        <w:spacing w:line="440" w:lineRule="exact"/>
        <w:rPr>
          <w:rFonts w:hint="eastAsia" w:ascii="宋体" w:hAnsi="宋体" w:cs="宋体"/>
          <w:color w:val="000000"/>
          <w:sz w:val="24"/>
        </w:rPr>
      </w:pPr>
      <w:r>
        <w:rPr>
          <w:rFonts w:hint="eastAsia" w:ascii="宋体" w:hAnsi="宋体" w:cs="宋体"/>
          <w:color w:val="000000"/>
          <w:kern w:val="0"/>
          <w:sz w:val="24"/>
          <w:lang w:bidi="ar"/>
        </w:rPr>
        <w:t xml:space="preserve">    </w:t>
      </w:r>
    </w:p>
    <w:p>
      <w:pPr>
        <w:spacing w:line="440" w:lineRule="exact"/>
        <w:rPr>
          <w:rFonts w:hint="eastAsia" w:ascii="宋体" w:hAnsi="宋体" w:cs="宋体"/>
          <w:color w:val="000000"/>
          <w:sz w:val="24"/>
        </w:rPr>
      </w:pPr>
      <w:r>
        <w:rPr>
          <w:rFonts w:hint="eastAsia" w:ascii="宋体" w:hAnsi="宋体" w:cs="宋体"/>
          <w:color w:val="000000"/>
          <w:kern w:val="0"/>
          <w:sz w:val="24"/>
          <w:lang w:bidi="ar"/>
        </w:rPr>
        <w:t xml:space="preserve">      地址：</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邮编：</w:t>
      </w:r>
      <w:r>
        <w:rPr>
          <w:rFonts w:hint="eastAsia" w:ascii="宋体" w:hAnsi="宋体" w:cs="宋体"/>
          <w:color w:val="000000"/>
          <w:kern w:val="0"/>
          <w:sz w:val="24"/>
          <w:u w:val="single"/>
          <w:lang w:bidi="ar"/>
        </w:rPr>
        <w:t xml:space="preserve">                                                  </w:t>
      </w:r>
    </w:p>
    <w:p>
      <w:pPr>
        <w:spacing w:line="440" w:lineRule="exact"/>
        <w:rPr>
          <w:rFonts w:hint="eastAsia" w:ascii="宋体" w:hAnsi="宋体" w:cs="宋体"/>
          <w:color w:val="000000"/>
          <w:sz w:val="24"/>
          <w:u w:val="single"/>
        </w:rPr>
      </w:pPr>
      <w:r>
        <w:rPr>
          <w:rFonts w:hint="eastAsia" w:ascii="宋体" w:hAnsi="宋体" w:cs="宋体"/>
          <w:color w:val="000000"/>
          <w:kern w:val="0"/>
          <w:sz w:val="24"/>
          <w:lang w:bidi="ar"/>
        </w:rPr>
        <w:t xml:space="preserve">      电话：</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传真：</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cs="宋体"/>
          <w:color w:val="000000"/>
          <w:kern w:val="0"/>
          <w:sz w:val="24"/>
          <w:u w:val="single"/>
          <w:lang w:bidi="ar"/>
        </w:rPr>
        <w:t xml:space="preserve">    </w:t>
      </w:r>
    </w:p>
    <w:p>
      <w:pPr>
        <w:spacing w:line="400" w:lineRule="exact"/>
        <w:rPr>
          <w:rFonts w:hint="eastAsia" w:ascii="宋体" w:hAnsi="宋体" w:cs="宋体"/>
          <w:color w:val="000000"/>
          <w:sz w:val="24"/>
        </w:rPr>
      </w:pPr>
    </w:p>
    <w:p>
      <w:pPr>
        <w:tabs>
          <w:tab w:val="left" w:pos="4525"/>
        </w:tabs>
        <w:spacing w:line="460" w:lineRule="exact"/>
        <w:jc w:val="left"/>
        <w:rPr>
          <w:rFonts w:hAnsi="宋体"/>
          <w:sz w:val="24"/>
        </w:rPr>
      </w:pPr>
      <w:r>
        <w:rPr>
          <w:rFonts w:hint="eastAsia" w:hAnsi="宋体"/>
          <w:sz w:val="24"/>
        </w:rPr>
        <w:t>投标人全称</w:t>
      </w:r>
      <w:r>
        <w:rPr>
          <w:rFonts w:hint="eastAsia" w:hAnsi="宋体"/>
          <w:sz w:val="24"/>
          <w:lang w:eastAsia="zh-CN"/>
        </w:rPr>
        <w:t>（</w:t>
      </w:r>
      <w:r>
        <w:rPr>
          <w:rFonts w:hint="eastAsia" w:hAnsi="宋体"/>
          <w:sz w:val="24"/>
        </w:rPr>
        <w:t>单位公章</w:t>
      </w:r>
      <w:r>
        <w:rPr>
          <w:rFonts w:hint="eastAsia" w:hAnsi="宋体"/>
          <w:sz w:val="24"/>
          <w:lang w:eastAsia="zh-CN"/>
        </w:rPr>
        <w:t>）</w:t>
      </w:r>
      <w:r>
        <w:rPr>
          <w:rFonts w:hint="eastAsia" w:hAnsi="宋体"/>
          <w:sz w:val="24"/>
        </w:rPr>
        <w:t>：</w:t>
      </w:r>
    </w:p>
    <w:p>
      <w:pPr>
        <w:tabs>
          <w:tab w:val="left" w:pos="4525"/>
        </w:tabs>
        <w:spacing w:line="460" w:lineRule="exact"/>
        <w:jc w:val="left"/>
        <w:rPr>
          <w:rFonts w:hAnsi="宋体"/>
          <w:sz w:val="24"/>
        </w:rPr>
      </w:pPr>
      <w:r>
        <w:rPr>
          <w:rFonts w:hint="eastAsia" w:hAnsi="宋体"/>
          <w:sz w:val="24"/>
          <w:lang w:eastAsia="zh-CN"/>
        </w:rPr>
        <w:t>法定代表人</w:t>
      </w:r>
      <w:r>
        <w:rPr>
          <w:rFonts w:hint="eastAsia" w:hAnsi="宋体"/>
          <w:sz w:val="24"/>
        </w:rPr>
        <w:t>或委托代理人（盖章或签名）：</w:t>
      </w:r>
    </w:p>
    <w:p>
      <w:pPr>
        <w:tabs>
          <w:tab w:val="left" w:pos="4525"/>
        </w:tabs>
        <w:spacing w:line="460" w:lineRule="exact"/>
        <w:jc w:val="left"/>
        <w:rPr>
          <w:rFonts w:hint="eastAsia" w:hAnsi="宋体" w:eastAsia="宋体"/>
          <w:color w:val="000000"/>
          <w:sz w:val="24"/>
          <w:lang w:eastAsia="zh-CN"/>
        </w:rPr>
        <w:sectPr>
          <w:pgSz w:w="11905" w:h="16838"/>
          <w:pgMar w:top="1440" w:right="1157" w:bottom="1440" w:left="1928" w:header="1134" w:footer="1304" w:gutter="0"/>
          <w:pgBorders>
            <w:top w:val="none" w:sz="0" w:space="0"/>
            <w:left w:val="none" w:sz="0" w:space="0"/>
            <w:bottom w:val="none" w:sz="0" w:space="0"/>
            <w:right w:val="none" w:sz="0" w:space="0"/>
          </w:pgBorders>
          <w:pgNumType w:fmt="decimal"/>
          <w:cols w:space="0" w:num="1"/>
          <w:rtlGutter w:val="0"/>
          <w:docGrid w:type="linesAndChars" w:linePitch="315" w:charSpace="0"/>
        </w:sectPr>
      </w:pPr>
      <w:r>
        <w:rPr>
          <w:rFonts w:hint="eastAsia" w:hAnsi="宋体"/>
          <w:sz w:val="24"/>
        </w:rPr>
        <w:t>日期</w:t>
      </w:r>
      <w:r>
        <w:rPr>
          <w:rFonts w:hint="eastAsia" w:hAnsi="宋体"/>
          <w:sz w:val="24"/>
          <w:lang w:eastAsia="zh-CN"/>
        </w:rPr>
        <w:t>：</w:t>
      </w:r>
    </w:p>
    <w:p>
      <w:pPr>
        <w:spacing w:line="360" w:lineRule="auto"/>
        <w:ind w:left="-2" w:hanging="2"/>
        <w:jc w:val="both"/>
        <w:rPr>
          <w:rFonts w:hint="eastAsia" w:ascii="宋体" w:hAnsi="宋体" w:cs="宋体"/>
          <w:b/>
          <w:bCs/>
          <w:sz w:val="24"/>
          <w:szCs w:val="24"/>
          <w:lang w:val="en-US" w:eastAsia="zh-CN"/>
        </w:rPr>
      </w:pPr>
      <w:r>
        <w:rPr>
          <w:rFonts w:hint="eastAsia" w:ascii="宋体" w:hAnsi="宋体" w:cs="宋体"/>
          <w:b/>
          <w:bCs/>
          <w:sz w:val="24"/>
          <w:szCs w:val="24"/>
        </w:rPr>
        <w:t>附件</w:t>
      </w:r>
      <w:r>
        <w:rPr>
          <w:rFonts w:hint="eastAsia" w:ascii="宋体" w:hAnsi="宋体" w:cs="宋体"/>
          <w:b/>
          <w:bCs/>
          <w:sz w:val="24"/>
          <w:szCs w:val="24"/>
          <w:lang w:val="en-US" w:eastAsia="zh-CN"/>
        </w:rPr>
        <w:t>2:</w:t>
      </w:r>
    </w:p>
    <w:p>
      <w:pPr>
        <w:spacing w:line="360" w:lineRule="auto"/>
        <w:jc w:val="center"/>
        <w:rPr>
          <w:rFonts w:hint="eastAsia" w:ascii="宋体" w:hAnsi="宋体" w:cs="宋体"/>
          <w:b/>
          <w:kern w:val="0"/>
          <w:sz w:val="32"/>
          <w:szCs w:val="32"/>
          <w:lang w:eastAsia="zh-CN" w:bidi="ar"/>
        </w:rPr>
      </w:pPr>
      <w:r>
        <w:rPr>
          <w:rFonts w:hint="eastAsia" w:ascii="宋体" w:hAnsi="宋体" w:cs="宋体"/>
          <w:b/>
          <w:kern w:val="0"/>
          <w:sz w:val="32"/>
          <w:szCs w:val="32"/>
          <w:lang w:eastAsia="zh-CN" w:bidi="ar"/>
        </w:rPr>
        <w:t>温岭市住房和城乡建设局2022年-2025年绿化及道路养护采购</w:t>
      </w:r>
    </w:p>
    <w:p>
      <w:pPr>
        <w:spacing w:line="360" w:lineRule="auto"/>
        <w:jc w:val="center"/>
        <w:rPr>
          <w:rFonts w:hint="eastAsia" w:ascii="宋体" w:hAnsi="宋体" w:eastAsia="宋体" w:cs="宋体"/>
          <w:b/>
          <w:kern w:val="0"/>
          <w:sz w:val="32"/>
          <w:szCs w:val="32"/>
          <w:lang w:eastAsia="zh-CN" w:bidi="ar"/>
        </w:rPr>
      </w:pPr>
      <w:r>
        <w:rPr>
          <w:rFonts w:hint="eastAsia" w:ascii="宋体" w:hAnsi="宋体" w:cs="宋体"/>
          <w:b/>
          <w:kern w:val="0"/>
          <w:sz w:val="32"/>
          <w:szCs w:val="32"/>
          <w:lang w:eastAsia="zh-CN" w:bidi="ar"/>
        </w:rPr>
        <w:t>（重新发布）</w:t>
      </w:r>
    </w:p>
    <w:p>
      <w:pPr>
        <w:spacing w:line="360" w:lineRule="auto"/>
        <w:ind w:left="-2" w:hanging="2"/>
        <w:jc w:val="center"/>
        <w:rPr>
          <w:rFonts w:ascii="宋体"/>
          <w:b/>
          <w:bCs/>
          <w:spacing w:val="21"/>
          <w:kern w:val="0"/>
          <w:sz w:val="32"/>
          <w:szCs w:val="32"/>
        </w:rPr>
      </w:pPr>
      <w:r>
        <w:rPr>
          <w:rFonts w:hint="eastAsia" w:ascii="宋体" w:hAnsi="宋体" w:cs="宋体"/>
          <w:b/>
          <w:bCs/>
          <w:spacing w:val="21"/>
          <w:kern w:val="0"/>
          <w:sz w:val="32"/>
          <w:szCs w:val="32"/>
        </w:rPr>
        <w:t>开标一览表</w:t>
      </w:r>
      <w:r>
        <w:rPr>
          <w:rFonts w:ascii="宋体" w:hAnsi="宋体" w:cs="宋体"/>
          <w:b/>
          <w:bCs/>
          <w:spacing w:val="21"/>
          <w:kern w:val="0"/>
          <w:sz w:val="32"/>
          <w:szCs w:val="32"/>
        </w:rPr>
        <w:t xml:space="preserve"> </w:t>
      </w:r>
    </w:p>
    <w:p>
      <w:pPr>
        <w:pStyle w:val="17"/>
        <w:spacing w:line="320" w:lineRule="exact"/>
        <w:rPr>
          <w:rFonts w:hAnsi="宋体"/>
          <w:sz w:val="22"/>
          <w:szCs w:val="22"/>
        </w:rPr>
      </w:pPr>
      <w:r>
        <w:rPr>
          <w:rFonts w:hint="eastAsia" w:hAnsi="宋体"/>
          <w:sz w:val="22"/>
          <w:szCs w:val="22"/>
        </w:rPr>
        <w:t>项目编号：</w:t>
      </w:r>
      <w:r>
        <w:rPr>
          <w:rFonts w:hint="eastAsia" w:hAnsi="宋体"/>
          <w:sz w:val="22"/>
          <w:szCs w:val="22"/>
          <w:lang w:eastAsia="zh-CN"/>
        </w:rPr>
        <w:t>JJWL220509129-1</w:t>
      </w:r>
      <w:r>
        <w:rPr>
          <w:rFonts w:hAnsi="宋体"/>
          <w:sz w:val="22"/>
          <w:szCs w:val="22"/>
        </w:rPr>
        <w:t xml:space="preserve"> </w:t>
      </w:r>
    </w:p>
    <w:tbl>
      <w:tblPr>
        <w:tblStyle w:val="28"/>
        <w:tblW w:w="9622"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180"/>
        <w:gridCol w:w="2040"/>
        <w:gridCol w:w="1920"/>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797" w:type="dxa"/>
            <w:noWrap w:val="0"/>
            <w:vAlign w:val="center"/>
          </w:tcPr>
          <w:p>
            <w:pPr>
              <w:pStyle w:val="17"/>
              <w:spacing w:line="360" w:lineRule="auto"/>
              <w:jc w:val="center"/>
              <w:rPr>
                <w:rFonts w:ascii="Calibri" w:hAnsi="宋体"/>
                <w:color w:val="000000"/>
                <w:kern w:val="2"/>
                <w:sz w:val="22"/>
                <w:szCs w:val="22"/>
              </w:rPr>
            </w:pPr>
            <w:r>
              <w:rPr>
                <w:rFonts w:ascii="Calibri" w:hAnsi="宋体"/>
                <w:color w:val="000000"/>
                <w:kern w:val="2"/>
                <w:sz w:val="22"/>
                <w:szCs w:val="22"/>
              </w:rPr>
              <w:t>序号</w:t>
            </w:r>
          </w:p>
        </w:tc>
        <w:tc>
          <w:tcPr>
            <w:tcW w:w="2180" w:type="dxa"/>
            <w:noWrap w:val="0"/>
            <w:vAlign w:val="center"/>
          </w:tcPr>
          <w:p>
            <w:pPr>
              <w:pStyle w:val="17"/>
              <w:spacing w:line="360" w:lineRule="auto"/>
              <w:jc w:val="center"/>
              <w:rPr>
                <w:rFonts w:ascii="Calibri" w:hAnsi="宋体"/>
                <w:color w:val="000000"/>
                <w:kern w:val="2"/>
                <w:sz w:val="22"/>
                <w:szCs w:val="22"/>
              </w:rPr>
            </w:pPr>
            <w:r>
              <w:rPr>
                <w:rFonts w:ascii="Calibri" w:hAnsi="宋体"/>
                <w:color w:val="000000"/>
                <w:kern w:val="2"/>
                <w:sz w:val="22"/>
                <w:szCs w:val="22"/>
              </w:rPr>
              <w:t>标项名称</w:t>
            </w:r>
          </w:p>
        </w:tc>
        <w:tc>
          <w:tcPr>
            <w:tcW w:w="2040" w:type="dxa"/>
            <w:noWrap w:val="0"/>
            <w:vAlign w:val="center"/>
          </w:tcPr>
          <w:p>
            <w:pPr>
              <w:pStyle w:val="17"/>
              <w:spacing w:line="360" w:lineRule="auto"/>
              <w:jc w:val="center"/>
              <w:rPr>
                <w:rFonts w:hint="default" w:ascii="Calibri" w:hAnsi="宋体" w:eastAsia="宋体"/>
                <w:color w:val="000000"/>
                <w:kern w:val="2"/>
                <w:sz w:val="22"/>
                <w:szCs w:val="22"/>
                <w:lang w:val="en-US" w:eastAsia="zh-CN"/>
              </w:rPr>
            </w:pPr>
            <w:r>
              <w:rPr>
                <w:rFonts w:hint="eastAsia" w:ascii="Calibri" w:hAnsi="宋体"/>
                <w:color w:val="000000"/>
                <w:kern w:val="2"/>
                <w:sz w:val="22"/>
                <w:szCs w:val="22"/>
                <w:lang w:val="en-US" w:eastAsia="zh-CN"/>
              </w:rPr>
              <w:t>单年投标报价（元）</w:t>
            </w:r>
          </w:p>
        </w:tc>
        <w:tc>
          <w:tcPr>
            <w:tcW w:w="1920" w:type="dxa"/>
            <w:noWrap w:val="0"/>
            <w:vAlign w:val="center"/>
          </w:tcPr>
          <w:p>
            <w:pPr>
              <w:pStyle w:val="17"/>
              <w:spacing w:line="360" w:lineRule="auto"/>
              <w:jc w:val="center"/>
              <w:rPr>
                <w:rFonts w:hint="default" w:eastAsia="宋体"/>
                <w:color w:val="000000"/>
                <w:sz w:val="22"/>
                <w:szCs w:val="20"/>
                <w:lang w:val="en-US" w:eastAsia="zh-CN"/>
              </w:rPr>
            </w:pPr>
            <w:r>
              <w:rPr>
                <w:rFonts w:hint="eastAsia"/>
                <w:color w:val="000000"/>
                <w:sz w:val="22"/>
                <w:szCs w:val="20"/>
                <w:lang w:val="en-US" w:eastAsia="zh-CN"/>
              </w:rPr>
              <w:t>三年总报价（元）</w:t>
            </w:r>
          </w:p>
        </w:tc>
        <w:tc>
          <w:tcPr>
            <w:tcW w:w="2685" w:type="dxa"/>
            <w:noWrap w:val="0"/>
            <w:vAlign w:val="center"/>
          </w:tcPr>
          <w:p>
            <w:pPr>
              <w:pStyle w:val="17"/>
              <w:spacing w:line="360" w:lineRule="auto"/>
              <w:ind w:left="0" w:leftChars="0" w:right="0" w:rightChars="0"/>
              <w:jc w:val="center"/>
              <w:rPr>
                <w:sz w:val="20"/>
                <w:szCs w:val="20"/>
              </w:rPr>
            </w:pPr>
            <w:r>
              <w:rPr>
                <w:rFonts w:hint="eastAsia"/>
                <w:color w:val="000000"/>
                <w:sz w:val="22"/>
                <w:szCs w:val="20"/>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trPr>
        <w:tc>
          <w:tcPr>
            <w:tcW w:w="797" w:type="dxa"/>
            <w:noWrap w:val="0"/>
            <w:vAlign w:val="center"/>
          </w:tcPr>
          <w:p>
            <w:pPr>
              <w:pStyle w:val="17"/>
              <w:spacing w:line="360" w:lineRule="auto"/>
              <w:jc w:val="center"/>
              <w:rPr>
                <w:rFonts w:ascii="Calibri" w:hAnsi="宋体"/>
                <w:color w:val="000000"/>
                <w:kern w:val="2"/>
                <w:sz w:val="24"/>
                <w:szCs w:val="24"/>
              </w:rPr>
            </w:pPr>
            <w:r>
              <w:rPr>
                <w:rFonts w:ascii="Calibri" w:hAnsi="宋体"/>
                <w:color w:val="000000"/>
                <w:kern w:val="2"/>
                <w:sz w:val="24"/>
                <w:szCs w:val="24"/>
              </w:rPr>
              <w:t>1</w:t>
            </w:r>
          </w:p>
        </w:tc>
        <w:tc>
          <w:tcPr>
            <w:tcW w:w="2180" w:type="dxa"/>
            <w:noWrap w:val="0"/>
            <w:vAlign w:val="center"/>
          </w:tcPr>
          <w:p>
            <w:pPr>
              <w:pStyle w:val="17"/>
              <w:spacing w:line="360" w:lineRule="auto"/>
              <w:jc w:val="both"/>
              <w:rPr>
                <w:rFonts w:ascii="Calibri" w:hAnsi="宋体"/>
                <w:color w:val="000000"/>
                <w:kern w:val="2"/>
                <w:sz w:val="22"/>
                <w:szCs w:val="22"/>
              </w:rPr>
            </w:pPr>
            <w:r>
              <w:rPr>
                <w:rFonts w:hint="eastAsia" w:ascii="Calibri" w:hAnsi="宋体"/>
                <w:color w:val="000000"/>
                <w:kern w:val="2"/>
                <w:sz w:val="22"/>
                <w:szCs w:val="22"/>
                <w:lang w:eastAsia="zh-CN"/>
              </w:rPr>
              <w:t>温岭市住房和城乡建设局2022年-2025年绿化及道路养护采购（重新发布）</w:t>
            </w:r>
          </w:p>
        </w:tc>
        <w:tc>
          <w:tcPr>
            <w:tcW w:w="2040" w:type="dxa"/>
            <w:noWrap w:val="0"/>
            <w:vAlign w:val="center"/>
          </w:tcPr>
          <w:p>
            <w:pPr>
              <w:pStyle w:val="17"/>
              <w:spacing w:line="360" w:lineRule="auto"/>
              <w:jc w:val="left"/>
              <w:rPr>
                <w:rFonts w:hint="eastAsia" w:ascii="Calibri" w:hAnsi="宋体"/>
                <w:color w:val="000000"/>
                <w:kern w:val="2"/>
                <w:sz w:val="22"/>
                <w:szCs w:val="22"/>
                <w:lang w:val="en-US" w:eastAsia="zh-CN"/>
              </w:rPr>
            </w:pPr>
            <w:r>
              <w:rPr>
                <w:rFonts w:hint="eastAsia" w:ascii="Calibri" w:hAnsi="宋体"/>
                <w:color w:val="000000"/>
                <w:kern w:val="2"/>
                <w:sz w:val="22"/>
                <w:szCs w:val="22"/>
                <w:lang w:val="en-US" w:eastAsia="zh-CN"/>
              </w:rPr>
              <w:t>小写：</w:t>
            </w:r>
          </w:p>
          <w:p>
            <w:pPr>
              <w:pStyle w:val="17"/>
              <w:spacing w:line="360" w:lineRule="auto"/>
              <w:jc w:val="left"/>
              <w:rPr>
                <w:rFonts w:hint="default" w:ascii="Calibri" w:hAnsi="宋体"/>
                <w:color w:val="000000"/>
                <w:kern w:val="2"/>
                <w:sz w:val="22"/>
                <w:szCs w:val="22"/>
                <w:lang w:val="en-US" w:eastAsia="zh-CN"/>
              </w:rPr>
            </w:pPr>
            <w:r>
              <w:rPr>
                <w:rFonts w:hint="eastAsia" w:ascii="Calibri" w:hAnsi="宋体"/>
                <w:color w:val="000000"/>
                <w:kern w:val="2"/>
                <w:sz w:val="22"/>
                <w:szCs w:val="22"/>
                <w:lang w:val="en-US" w:eastAsia="zh-CN"/>
              </w:rPr>
              <w:t>大写：</w:t>
            </w:r>
          </w:p>
        </w:tc>
        <w:tc>
          <w:tcPr>
            <w:tcW w:w="1920" w:type="dxa"/>
            <w:noWrap w:val="0"/>
            <w:vAlign w:val="center"/>
          </w:tcPr>
          <w:p>
            <w:pPr>
              <w:pStyle w:val="17"/>
              <w:spacing w:line="360" w:lineRule="auto"/>
              <w:jc w:val="left"/>
              <w:rPr>
                <w:rFonts w:hint="eastAsia" w:ascii="Calibri" w:hAnsi="宋体"/>
                <w:color w:val="000000"/>
                <w:kern w:val="2"/>
                <w:sz w:val="22"/>
                <w:szCs w:val="22"/>
                <w:lang w:val="en-US" w:eastAsia="zh-CN"/>
              </w:rPr>
            </w:pPr>
            <w:r>
              <w:rPr>
                <w:rFonts w:hint="eastAsia" w:ascii="Calibri" w:hAnsi="宋体"/>
                <w:color w:val="000000"/>
                <w:kern w:val="2"/>
                <w:sz w:val="22"/>
                <w:szCs w:val="22"/>
                <w:lang w:val="en-US" w:eastAsia="zh-CN"/>
              </w:rPr>
              <w:t>小写：</w:t>
            </w:r>
          </w:p>
          <w:p>
            <w:pPr>
              <w:pStyle w:val="17"/>
              <w:spacing w:line="360" w:lineRule="auto"/>
              <w:jc w:val="both"/>
              <w:rPr>
                <w:rFonts w:hint="eastAsia" w:ascii="Calibri" w:hAnsi="宋体"/>
                <w:color w:val="000000"/>
                <w:kern w:val="2"/>
                <w:sz w:val="22"/>
                <w:szCs w:val="22"/>
                <w:lang w:val="en-US" w:eastAsia="zh-CN"/>
              </w:rPr>
            </w:pPr>
            <w:r>
              <w:rPr>
                <w:rFonts w:hint="eastAsia" w:ascii="Calibri" w:hAnsi="宋体"/>
                <w:color w:val="000000"/>
                <w:kern w:val="2"/>
                <w:sz w:val="22"/>
                <w:szCs w:val="22"/>
                <w:lang w:val="en-US" w:eastAsia="zh-CN"/>
              </w:rPr>
              <w:t>大写：</w:t>
            </w:r>
          </w:p>
        </w:tc>
        <w:tc>
          <w:tcPr>
            <w:tcW w:w="2685" w:type="dxa"/>
            <w:noWrap w:val="0"/>
            <w:vAlign w:val="center"/>
          </w:tcPr>
          <w:p>
            <w:pPr>
              <w:pStyle w:val="17"/>
              <w:spacing w:line="360" w:lineRule="auto"/>
              <w:ind w:left="0" w:leftChars="0" w:right="0" w:rightChars="0"/>
              <w:jc w:val="both"/>
              <w:rPr>
                <w:rFonts w:hint="default"/>
                <w:sz w:val="20"/>
                <w:szCs w:val="20"/>
                <w:lang w:val="en-US"/>
              </w:rPr>
            </w:pPr>
            <w:r>
              <w:rPr>
                <w:rFonts w:hint="default"/>
                <w:sz w:val="21"/>
                <w:szCs w:val="21"/>
                <w:lang w:val="en-US" w:eastAsia="zh-CN"/>
              </w:rPr>
              <w:t>本项目</w:t>
            </w:r>
            <w:r>
              <w:rPr>
                <w:rFonts w:hint="default"/>
                <w:sz w:val="21"/>
                <w:szCs w:val="21"/>
                <w:lang w:val="en-US"/>
              </w:rPr>
              <w:t>采用 1+1+1</w:t>
            </w:r>
            <w:r>
              <w:rPr>
                <w:rFonts w:hint="default"/>
                <w:sz w:val="21"/>
                <w:szCs w:val="21"/>
                <w:lang w:val="en-US" w:eastAsia="zh-CN"/>
              </w:rPr>
              <w:t>（即3年）</w:t>
            </w:r>
            <w:r>
              <w:rPr>
                <w:rFonts w:hint="default"/>
                <w:sz w:val="21"/>
                <w:szCs w:val="21"/>
                <w:lang w:val="en-US"/>
              </w:rPr>
              <w:t>模式，服务期</w:t>
            </w:r>
            <w:r>
              <w:rPr>
                <w:rFonts w:hint="default"/>
                <w:sz w:val="21"/>
                <w:szCs w:val="21"/>
                <w:lang w:val="en-US" w:eastAsia="zh-CN"/>
              </w:rPr>
              <w:t>1</w:t>
            </w:r>
            <w:r>
              <w:rPr>
                <w:rFonts w:hint="default"/>
                <w:sz w:val="21"/>
                <w:szCs w:val="21"/>
                <w:lang w:val="en-US"/>
              </w:rPr>
              <w:t>年合同期限到期后再根据该年度综合考核情况由采购人决定是否与中标单位再续签,续签也是一年一签</w:t>
            </w:r>
            <w:r>
              <w:rPr>
                <w:rFonts w:hint="default"/>
                <w:sz w:val="21"/>
                <w:szCs w:val="21"/>
                <w:lang w:val="en-US" w:eastAsia="zh-CN"/>
              </w:rPr>
              <w:t>。</w:t>
            </w:r>
          </w:p>
        </w:tc>
      </w:tr>
    </w:tbl>
    <w:p>
      <w:pPr>
        <w:spacing w:line="360" w:lineRule="auto"/>
        <w:ind w:firstLine="420" w:firstLineChars="200"/>
        <w:rPr>
          <w:rFonts w:ascii="宋体"/>
          <w:b/>
          <w:bCs/>
          <w:i/>
          <w:iCs/>
          <w:u w:val="single"/>
        </w:rPr>
      </w:pPr>
      <w:r>
        <w:rPr>
          <w:rFonts w:hint="eastAsia" w:ascii="宋体" w:hAnsi="宋体" w:cs="宋体"/>
          <w:kern w:val="0"/>
          <w:lang w:val="en-US" w:eastAsia="zh-CN"/>
        </w:rPr>
        <w:t>注：</w:t>
      </w:r>
      <w:r>
        <w:rPr>
          <w:rFonts w:hint="eastAsia" w:ascii="宋体" w:hAnsi="宋体" w:cs="宋体"/>
          <w:kern w:val="0"/>
        </w:rPr>
        <w:t>报价一经涂改，应在涂改处加盖单位公章，或者由法定代表人或授权代理人签字或盖章，否则其投标作无效标处理。</w:t>
      </w:r>
    </w:p>
    <w:p>
      <w:pPr>
        <w:spacing w:line="240" w:lineRule="auto"/>
        <w:ind w:firstLine="420" w:firstLineChars="200"/>
        <w:rPr>
          <w:rFonts w:ascii="宋体"/>
          <w:b/>
          <w:bCs/>
          <w:i/>
          <w:iCs/>
          <w:color w:val="auto"/>
          <w:u w:val="single"/>
        </w:rPr>
      </w:pPr>
    </w:p>
    <w:p>
      <w:pPr>
        <w:spacing w:line="360" w:lineRule="auto"/>
        <w:rPr>
          <w:rFonts w:ascii="宋体"/>
          <w:sz w:val="24"/>
          <w:szCs w:val="24"/>
        </w:rPr>
      </w:pPr>
    </w:p>
    <w:p>
      <w:pPr>
        <w:spacing w:line="360" w:lineRule="auto"/>
        <w:ind w:left="420"/>
        <w:rPr>
          <w:rFonts w:ascii="宋体" w:hAnsi="宋体" w:cs="宋体"/>
          <w:sz w:val="24"/>
          <w:szCs w:val="24"/>
        </w:rPr>
      </w:pPr>
    </w:p>
    <w:p>
      <w:pPr>
        <w:spacing w:line="360" w:lineRule="auto"/>
        <w:ind w:left="420"/>
        <w:rPr>
          <w:rFonts w:ascii="宋体"/>
          <w:sz w:val="24"/>
          <w:szCs w:val="24"/>
          <w:u w:val="single"/>
        </w:rPr>
      </w:pPr>
      <w:r>
        <w:rPr>
          <w:rFonts w:hint="eastAsia" w:ascii="宋体" w:hAnsi="宋体" w:cs="宋体"/>
          <w:sz w:val="24"/>
          <w:szCs w:val="24"/>
        </w:rPr>
        <w:t>投标人名称（盖章）：</w:t>
      </w:r>
    </w:p>
    <w:p>
      <w:pPr>
        <w:spacing w:line="360" w:lineRule="auto"/>
        <w:ind w:firstLine="424" w:firstLineChars="177"/>
        <w:rPr>
          <w:rFonts w:ascii="宋体"/>
          <w:sz w:val="24"/>
          <w:szCs w:val="24"/>
        </w:rPr>
      </w:pPr>
      <w:r>
        <w:rPr>
          <w:rFonts w:hint="eastAsia" w:ascii="宋体" w:hAnsi="宋体" w:cs="宋体"/>
          <w:sz w:val="24"/>
          <w:szCs w:val="24"/>
        </w:rPr>
        <w:t>法定代表人或代理人（签字或盖章）：</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rPr>
          <w:rFonts w:hint="eastAsia" w:ascii="宋体" w:hAnsi="宋体" w:cs="宋体"/>
          <w:sz w:val="24"/>
          <w:szCs w:val="24"/>
        </w:rPr>
      </w:pPr>
      <w:r>
        <w:rPr>
          <w:rFonts w:hint="eastAsia" w:ascii="宋体" w:hAnsi="宋体" w:cs="宋体"/>
          <w:sz w:val="24"/>
          <w:szCs w:val="24"/>
        </w:rPr>
        <w:br w:type="page"/>
      </w:r>
    </w:p>
    <w:p>
      <w:pPr>
        <w:pStyle w:val="4"/>
        <w:numPr>
          <w:ilvl w:val="2"/>
          <w:numId w:val="0"/>
        </w:numPr>
        <w:spacing w:before="0" w:after="0" w:line="240" w:lineRule="auto"/>
        <w:ind w:leftChars="0"/>
        <w:jc w:val="both"/>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附件3：</w:t>
      </w:r>
    </w:p>
    <w:p>
      <w:pPr>
        <w:pStyle w:val="4"/>
        <w:numPr>
          <w:ilvl w:val="2"/>
          <w:numId w:val="0"/>
        </w:numPr>
        <w:spacing w:before="0" w:after="0" w:line="240" w:lineRule="auto"/>
        <w:ind w:leftChars="0"/>
        <w:jc w:val="center"/>
        <w:rPr>
          <w:rFonts w:hint="eastAsia" w:ascii="宋体" w:hAnsi="宋体" w:eastAsia="宋体" w:cs="宋体"/>
          <w:b/>
          <w:bCs w:val="0"/>
          <w:kern w:val="0"/>
          <w:sz w:val="32"/>
          <w:szCs w:val="32"/>
          <w:lang w:val="en-US" w:eastAsia="zh-CN" w:bidi="ar"/>
        </w:rPr>
      </w:pPr>
      <w:r>
        <w:rPr>
          <w:rFonts w:hint="eastAsia" w:ascii="宋体" w:hAnsi="宋体" w:eastAsia="宋体" w:cs="宋体"/>
          <w:b/>
          <w:bCs w:val="0"/>
          <w:kern w:val="0"/>
          <w:sz w:val="32"/>
          <w:szCs w:val="32"/>
          <w:lang w:val="en-US" w:eastAsia="zh-CN" w:bidi="ar"/>
        </w:rPr>
        <w:t>温岭市住房和城乡建设局2022年-2025年绿化及道路养护采购</w:t>
      </w:r>
    </w:p>
    <w:p>
      <w:pPr>
        <w:pStyle w:val="4"/>
        <w:numPr>
          <w:ilvl w:val="2"/>
          <w:numId w:val="0"/>
        </w:numPr>
        <w:spacing w:before="0" w:after="0" w:line="240" w:lineRule="auto"/>
        <w:ind w:leftChars="0"/>
        <w:jc w:val="center"/>
        <w:rPr>
          <w:rFonts w:hint="eastAsia" w:ascii="宋体" w:hAnsi="宋体" w:eastAsia="宋体" w:cs="宋体"/>
          <w:b/>
          <w:bCs w:val="0"/>
          <w:kern w:val="0"/>
          <w:sz w:val="32"/>
          <w:szCs w:val="32"/>
          <w:lang w:val="en-US" w:eastAsia="zh-CN" w:bidi="ar"/>
        </w:rPr>
      </w:pPr>
      <w:r>
        <w:rPr>
          <w:rFonts w:hint="eastAsia" w:ascii="宋体" w:hAnsi="宋体" w:eastAsia="宋体" w:cs="宋体"/>
          <w:b/>
          <w:bCs w:val="0"/>
          <w:kern w:val="0"/>
          <w:sz w:val="32"/>
          <w:szCs w:val="32"/>
          <w:lang w:val="en-US" w:eastAsia="zh-CN" w:bidi="ar"/>
        </w:rPr>
        <w:t>（重新发布）</w:t>
      </w:r>
    </w:p>
    <w:p>
      <w:pPr>
        <w:pStyle w:val="4"/>
        <w:numPr>
          <w:ilvl w:val="2"/>
          <w:numId w:val="0"/>
        </w:numPr>
        <w:spacing w:before="0" w:after="0" w:line="240" w:lineRule="auto"/>
        <w:ind w:leftChars="0"/>
        <w:jc w:val="center"/>
        <w:rPr>
          <w:rFonts w:hint="eastAsia" w:ascii="宋体" w:hAnsi="宋体" w:eastAsia="宋体" w:cs="宋体"/>
          <w:b/>
          <w:bCs w:val="0"/>
          <w:kern w:val="0"/>
          <w:sz w:val="32"/>
          <w:szCs w:val="32"/>
          <w:lang w:val="en-US" w:eastAsia="zh-CN" w:bidi="ar"/>
        </w:rPr>
      </w:pPr>
      <w:r>
        <w:rPr>
          <w:rFonts w:hint="eastAsia" w:ascii="宋体" w:hAnsi="宋体" w:eastAsia="宋体" w:cs="宋体"/>
          <w:b/>
          <w:bCs w:val="0"/>
          <w:kern w:val="0"/>
          <w:sz w:val="32"/>
          <w:szCs w:val="32"/>
          <w:lang w:val="en-US" w:eastAsia="zh-CN" w:bidi="ar"/>
        </w:rPr>
        <w:t>投标报价明细表</w:t>
      </w:r>
    </w:p>
    <w:p>
      <w:pPr>
        <w:pStyle w:val="13"/>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项目编号：</w:t>
      </w:r>
      <w:r>
        <w:rPr>
          <w:rFonts w:hint="eastAsia" w:ascii="宋体" w:hAnsi="宋体" w:cs="宋体"/>
          <w:kern w:val="2"/>
          <w:sz w:val="21"/>
          <w:szCs w:val="21"/>
          <w:highlight w:val="none"/>
          <w:lang w:val="en-US" w:eastAsia="zh-CN" w:bidi="ar-SA"/>
        </w:rPr>
        <w:t>JJWL220509129-1</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713"/>
        <w:gridCol w:w="1918"/>
        <w:gridCol w:w="2103"/>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80" w:type="dxa"/>
            <w:vAlign w:val="center"/>
          </w:tcPr>
          <w:p>
            <w:pPr>
              <w:widowControl/>
              <w:jc w:val="center"/>
              <w:textAlignment w:val="center"/>
              <w:rPr>
                <w:rFonts w:hint="eastAsia" w:ascii="宋体" w:hAnsi="宋体" w:eastAsia="宋体" w:cs="宋体"/>
                <w:b/>
                <w:bCs w:val="0"/>
                <w:kern w:val="0"/>
                <w:sz w:val="24"/>
                <w:lang w:val="en-US" w:eastAsia="zh-CN"/>
              </w:rPr>
            </w:pPr>
            <w:r>
              <w:rPr>
                <w:rFonts w:hint="eastAsia" w:ascii="宋体" w:hAnsi="宋体" w:eastAsia="宋体" w:cs="宋体"/>
                <w:b/>
                <w:bCs w:val="0"/>
                <w:kern w:val="0"/>
                <w:sz w:val="24"/>
                <w:lang w:val="en-US" w:eastAsia="zh-CN"/>
              </w:rPr>
              <w:t>序号</w:t>
            </w:r>
          </w:p>
        </w:tc>
        <w:tc>
          <w:tcPr>
            <w:tcW w:w="1713" w:type="dxa"/>
            <w:vAlign w:val="center"/>
          </w:tcPr>
          <w:p>
            <w:pPr>
              <w:widowControl/>
              <w:jc w:val="center"/>
              <w:textAlignment w:val="center"/>
              <w:rPr>
                <w:rFonts w:hint="eastAsia" w:ascii="宋体" w:hAnsi="宋体" w:eastAsia="宋体" w:cs="宋体"/>
                <w:b/>
                <w:bCs w:val="0"/>
                <w:kern w:val="0"/>
                <w:sz w:val="24"/>
                <w:lang w:val="en-US" w:eastAsia="zh-CN"/>
              </w:rPr>
            </w:pPr>
            <w:r>
              <w:rPr>
                <w:rFonts w:hint="eastAsia" w:ascii="宋体" w:hAnsi="宋体" w:eastAsia="宋体" w:cs="宋体"/>
                <w:b/>
                <w:bCs w:val="0"/>
                <w:kern w:val="0"/>
                <w:sz w:val="24"/>
                <w:lang w:val="en-US" w:eastAsia="zh-CN"/>
              </w:rPr>
              <w:t>养护范围</w:t>
            </w:r>
          </w:p>
        </w:tc>
        <w:tc>
          <w:tcPr>
            <w:tcW w:w="1918" w:type="dxa"/>
            <w:vAlign w:val="center"/>
          </w:tcPr>
          <w:p>
            <w:pPr>
              <w:widowControl/>
              <w:jc w:val="center"/>
              <w:textAlignment w:val="center"/>
              <w:rPr>
                <w:rFonts w:hint="eastAsia" w:ascii="宋体" w:hAnsi="宋体" w:eastAsia="宋体" w:cs="宋体"/>
                <w:b/>
                <w:bCs w:val="0"/>
                <w:kern w:val="0"/>
                <w:sz w:val="24"/>
              </w:rPr>
            </w:pPr>
            <w:r>
              <w:rPr>
                <w:rFonts w:hint="eastAsia" w:ascii="宋体" w:hAnsi="宋体" w:eastAsia="宋体" w:cs="宋体"/>
                <w:b/>
                <w:bCs w:val="0"/>
                <w:kern w:val="0"/>
                <w:sz w:val="24"/>
              </w:rPr>
              <w:t>面积</w:t>
            </w:r>
            <w:r>
              <w:rPr>
                <w:rFonts w:hint="eastAsia" w:ascii="宋体" w:hAnsi="宋体" w:eastAsia="宋体" w:cs="宋体"/>
                <w:b/>
                <w:bCs w:val="0"/>
                <w:color w:val="000000"/>
                <w:kern w:val="0"/>
                <w:sz w:val="21"/>
                <w:szCs w:val="21"/>
                <w:lang w:val="en-US" w:eastAsia="zh-CN" w:bidi="ar"/>
              </w:rPr>
              <w:t>（</w:t>
            </w:r>
            <w:r>
              <w:rPr>
                <w:rFonts w:hint="eastAsia" w:ascii="宋体" w:hAnsi="宋体" w:eastAsia="宋体" w:cs="宋体"/>
                <w:b/>
                <w:bCs w:val="0"/>
                <w:color w:val="000000"/>
                <w:kern w:val="0"/>
                <w:szCs w:val="21"/>
                <w:lang w:bidi="ar"/>
              </w:rPr>
              <w:t>㎡</w:t>
            </w:r>
            <w:r>
              <w:rPr>
                <w:rFonts w:hint="eastAsia" w:ascii="宋体" w:hAnsi="宋体" w:eastAsia="宋体" w:cs="宋体"/>
                <w:b/>
                <w:bCs w:val="0"/>
                <w:color w:val="000000"/>
                <w:kern w:val="0"/>
                <w:sz w:val="21"/>
                <w:szCs w:val="21"/>
                <w:lang w:val="en-US" w:eastAsia="zh-CN" w:bidi="ar"/>
              </w:rPr>
              <w:t>）</w:t>
            </w:r>
          </w:p>
        </w:tc>
        <w:tc>
          <w:tcPr>
            <w:tcW w:w="2103" w:type="dxa"/>
            <w:vAlign w:val="center"/>
          </w:tcPr>
          <w:p>
            <w:pPr>
              <w:widowControl/>
              <w:jc w:val="center"/>
              <w:textAlignment w:val="center"/>
              <w:rPr>
                <w:rFonts w:hint="eastAsia" w:ascii="宋体" w:hAnsi="宋体" w:eastAsia="宋体" w:cs="宋体"/>
                <w:b/>
                <w:bCs w:val="0"/>
                <w:kern w:val="0"/>
                <w:sz w:val="24"/>
                <w:lang w:eastAsia="zh-CN"/>
              </w:rPr>
            </w:pPr>
            <w:r>
              <w:rPr>
                <w:rFonts w:hint="eastAsia" w:ascii="宋体" w:hAnsi="宋体" w:eastAsia="宋体" w:cs="宋体"/>
                <w:b/>
                <w:bCs w:val="0"/>
                <w:kern w:val="0"/>
                <w:sz w:val="24"/>
              </w:rPr>
              <w:t>单价</w:t>
            </w:r>
            <w:r>
              <w:rPr>
                <w:rFonts w:hint="eastAsia" w:ascii="宋体" w:hAnsi="宋体" w:eastAsia="宋体" w:cs="宋体"/>
                <w:b/>
                <w:bCs w:val="0"/>
                <w:color w:val="000000"/>
                <w:kern w:val="0"/>
                <w:sz w:val="21"/>
                <w:szCs w:val="21"/>
                <w:lang w:val="en-US" w:eastAsia="zh-CN" w:bidi="ar"/>
              </w:rPr>
              <w:t>（元/</w:t>
            </w:r>
            <w:r>
              <w:rPr>
                <w:rFonts w:hint="eastAsia" w:ascii="宋体" w:hAnsi="宋体" w:eastAsia="宋体" w:cs="宋体"/>
                <w:b/>
                <w:bCs w:val="0"/>
                <w:color w:val="000000"/>
                <w:kern w:val="0"/>
                <w:szCs w:val="21"/>
                <w:lang w:bidi="ar"/>
              </w:rPr>
              <w:t>㎡</w:t>
            </w:r>
            <w:r>
              <w:rPr>
                <w:rFonts w:hint="eastAsia" w:ascii="宋体" w:hAnsi="宋体" w:eastAsia="宋体" w:cs="宋体"/>
                <w:b/>
                <w:bCs w:val="0"/>
                <w:color w:val="000000"/>
                <w:kern w:val="0"/>
                <w:szCs w:val="21"/>
                <w:lang w:val="en-US" w:eastAsia="zh-CN" w:bidi="ar"/>
              </w:rPr>
              <w:t>.年</w:t>
            </w:r>
            <w:r>
              <w:rPr>
                <w:rFonts w:hint="eastAsia" w:ascii="宋体" w:hAnsi="宋体" w:eastAsia="宋体" w:cs="宋体"/>
                <w:b/>
                <w:bCs w:val="0"/>
                <w:color w:val="000000"/>
                <w:kern w:val="0"/>
                <w:sz w:val="21"/>
                <w:szCs w:val="21"/>
                <w:lang w:val="en-US" w:eastAsia="zh-CN" w:bidi="ar"/>
              </w:rPr>
              <w:t>）</w:t>
            </w:r>
          </w:p>
        </w:tc>
        <w:tc>
          <w:tcPr>
            <w:tcW w:w="2722" w:type="dxa"/>
            <w:vAlign w:val="center"/>
          </w:tcPr>
          <w:p>
            <w:pPr>
              <w:widowControl/>
              <w:jc w:val="center"/>
              <w:textAlignment w:val="center"/>
              <w:rPr>
                <w:rFonts w:hint="eastAsia" w:ascii="宋体" w:hAnsi="宋体" w:eastAsia="宋体" w:cs="宋体"/>
                <w:b/>
                <w:bCs w:val="0"/>
                <w:kern w:val="0"/>
                <w:sz w:val="24"/>
                <w:lang w:eastAsia="zh-CN"/>
              </w:rPr>
            </w:pPr>
            <w:r>
              <w:rPr>
                <w:rFonts w:hint="eastAsia" w:ascii="宋体" w:hAnsi="宋体" w:eastAsia="宋体" w:cs="宋体"/>
                <w:b/>
                <w:bCs w:val="0"/>
                <w:kern w:val="0"/>
                <w:sz w:val="24"/>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80" w:type="dxa"/>
            <w:vAlign w:val="center"/>
          </w:tcPr>
          <w:p>
            <w:pPr>
              <w:widowControl/>
              <w:jc w:val="center"/>
              <w:textAlignment w:val="center"/>
              <w:rPr>
                <w:rFonts w:hint="eastAsia"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1</w:t>
            </w:r>
          </w:p>
        </w:tc>
        <w:tc>
          <w:tcPr>
            <w:tcW w:w="1713" w:type="dxa"/>
            <w:vAlign w:val="center"/>
          </w:tcPr>
          <w:p>
            <w:pPr>
              <w:widowControl/>
              <w:jc w:val="center"/>
              <w:textAlignment w:val="center"/>
              <w:rPr>
                <w:rFonts w:hint="eastAsia" w:ascii="宋体" w:hAnsi="宋体" w:eastAsia="宋体" w:cs="宋体"/>
                <w:b w:val="0"/>
                <w:bCs/>
                <w:kern w:val="0"/>
                <w:sz w:val="24"/>
                <w:szCs w:val="21"/>
                <w:lang w:val="en-US" w:eastAsia="zh-CN" w:bidi="ar-SA"/>
              </w:rPr>
            </w:pPr>
            <w:r>
              <w:rPr>
                <w:rFonts w:hint="eastAsia" w:ascii="宋体" w:hAnsi="宋体" w:eastAsia="宋体" w:cs="宋体"/>
                <w:b w:val="0"/>
                <w:bCs/>
                <w:kern w:val="0"/>
                <w:sz w:val="24"/>
              </w:rPr>
              <w:t>绿地</w:t>
            </w:r>
          </w:p>
        </w:tc>
        <w:tc>
          <w:tcPr>
            <w:tcW w:w="1918" w:type="dxa"/>
            <w:vAlign w:val="center"/>
          </w:tcPr>
          <w:p>
            <w:pPr>
              <w:widowControl/>
              <w:jc w:val="center"/>
              <w:textAlignment w:val="center"/>
              <w:rPr>
                <w:rFonts w:hint="eastAsia" w:ascii="宋体" w:hAnsi="宋体" w:eastAsia="宋体" w:cs="宋体"/>
                <w:b w:val="0"/>
                <w:bCs/>
                <w:kern w:val="0"/>
                <w:sz w:val="24"/>
              </w:rPr>
            </w:pPr>
            <w:r>
              <w:rPr>
                <w:rFonts w:hint="eastAsia" w:ascii="宋体" w:hAnsi="宋体" w:eastAsia="宋体" w:cs="宋体"/>
                <w:b w:val="0"/>
                <w:bCs/>
                <w:kern w:val="0"/>
                <w:sz w:val="24"/>
              </w:rPr>
              <w:t>282482</w:t>
            </w:r>
          </w:p>
        </w:tc>
        <w:tc>
          <w:tcPr>
            <w:tcW w:w="2103" w:type="dxa"/>
          </w:tcPr>
          <w:p>
            <w:pPr>
              <w:widowControl/>
              <w:jc w:val="center"/>
              <w:textAlignment w:val="center"/>
              <w:rPr>
                <w:rFonts w:hint="eastAsia" w:ascii="宋体" w:hAnsi="宋体" w:eastAsia="宋体" w:cs="宋体"/>
                <w:b w:val="0"/>
                <w:bCs/>
                <w:kern w:val="0"/>
                <w:sz w:val="24"/>
              </w:rPr>
            </w:pPr>
          </w:p>
        </w:tc>
        <w:tc>
          <w:tcPr>
            <w:tcW w:w="2722" w:type="dxa"/>
          </w:tcPr>
          <w:p>
            <w:pPr>
              <w:widowControl/>
              <w:jc w:val="center"/>
              <w:textAlignment w:val="center"/>
              <w:rPr>
                <w:rFonts w:hint="eastAsia" w:ascii="宋体" w:hAnsi="宋体" w:eastAsia="宋体" w:cs="宋体"/>
                <w:b w:val="0"/>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80" w:type="dxa"/>
            <w:vAlign w:val="center"/>
          </w:tcPr>
          <w:p>
            <w:pPr>
              <w:widowControl/>
              <w:jc w:val="center"/>
              <w:textAlignment w:val="center"/>
              <w:rPr>
                <w:rFonts w:hint="eastAsia"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2</w:t>
            </w:r>
          </w:p>
        </w:tc>
        <w:tc>
          <w:tcPr>
            <w:tcW w:w="1713" w:type="dxa"/>
            <w:vAlign w:val="center"/>
          </w:tcPr>
          <w:p>
            <w:pPr>
              <w:widowControl/>
              <w:jc w:val="center"/>
              <w:textAlignment w:val="center"/>
              <w:rPr>
                <w:rFonts w:hint="eastAsia" w:ascii="宋体" w:hAnsi="宋体" w:eastAsia="宋体" w:cs="宋体"/>
                <w:b w:val="0"/>
                <w:bCs/>
                <w:kern w:val="0"/>
                <w:sz w:val="24"/>
                <w:szCs w:val="21"/>
                <w:lang w:val="en-US" w:eastAsia="zh-CN" w:bidi="ar-SA"/>
              </w:rPr>
            </w:pPr>
            <w:r>
              <w:rPr>
                <w:rFonts w:hint="eastAsia" w:ascii="宋体" w:hAnsi="宋体" w:eastAsia="宋体" w:cs="宋体"/>
                <w:b w:val="0"/>
                <w:bCs/>
                <w:kern w:val="0"/>
                <w:sz w:val="24"/>
              </w:rPr>
              <w:t>花海及草花</w:t>
            </w:r>
          </w:p>
        </w:tc>
        <w:tc>
          <w:tcPr>
            <w:tcW w:w="1918" w:type="dxa"/>
            <w:vAlign w:val="center"/>
          </w:tcPr>
          <w:p>
            <w:pPr>
              <w:widowControl/>
              <w:jc w:val="center"/>
              <w:textAlignment w:val="center"/>
              <w:rPr>
                <w:rFonts w:hint="eastAsia" w:ascii="宋体" w:hAnsi="宋体" w:eastAsia="宋体" w:cs="宋体"/>
                <w:b w:val="0"/>
                <w:bCs/>
                <w:kern w:val="0"/>
                <w:sz w:val="24"/>
              </w:rPr>
            </w:pPr>
            <w:r>
              <w:rPr>
                <w:rFonts w:hint="eastAsia" w:ascii="宋体" w:hAnsi="宋体" w:eastAsia="宋体" w:cs="宋体"/>
                <w:b w:val="0"/>
                <w:bCs/>
                <w:kern w:val="0"/>
                <w:sz w:val="24"/>
              </w:rPr>
              <w:t>7000</w:t>
            </w:r>
          </w:p>
        </w:tc>
        <w:tc>
          <w:tcPr>
            <w:tcW w:w="2103" w:type="dxa"/>
          </w:tcPr>
          <w:p>
            <w:pPr>
              <w:widowControl/>
              <w:jc w:val="center"/>
              <w:textAlignment w:val="center"/>
              <w:rPr>
                <w:rFonts w:hint="eastAsia" w:ascii="宋体" w:hAnsi="宋体" w:eastAsia="宋体" w:cs="宋体"/>
                <w:b w:val="0"/>
                <w:bCs/>
                <w:kern w:val="0"/>
                <w:sz w:val="24"/>
              </w:rPr>
            </w:pPr>
          </w:p>
        </w:tc>
        <w:tc>
          <w:tcPr>
            <w:tcW w:w="2722" w:type="dxa"/>
          </w:tcPr>
          <w:p>
            <w:pPr>
              <w:widowControl/>
              <w:jc w:val="center"/>
              <w:textAlignment w:val="center"/>
              <w:rPr>
                <w:rFonts w:hint="eastAsia" w:ascii="宋体" w:hAnsi="宋体" w:eastAsia="宋体" w:cs="宋体"/>
                <w:b w:val="0"/>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493" w:type="dxa"/>
            <w:gridSpan w:val="2"/>
            <w:vAlign w:val="center"/>
          </w:tcPr>
          <w:p>
            <w:pPr>
              <w:widowControl/>
              <w:jc w:val="center"/>
              <w:textAlignment w:val="center"/>
              <w:rPr>
                <w:rFonts w:hint="eastAsia" w:ascii="宋体" w:hAnsi="宋体" w:eastAsia="宋体" w:cs="宋体"/>
                <w:b w:val="0"/>
                <w:bCs/>
                <w:kern w:val="0"/>
                <w:sz w:val="24"/>
                <w:lang w:eastAsia="zh-CN"/>
              </w:rPr>
            </w:pPr>
            <w:r>
              <w:rPr>
                <w:rFonts w:hint="eastAsia" w:ascii="宋体" w:hAnsi="宋体" w:eastAsia="宋体" w:cs="宋体"/>
                <w:b w:val="0"/>
                <w:bCs/>
                <w:kern w:val="0"/>
                <w:sz w:val="24"/>
              </w:rPr>
              <w:t>合计</w:t>
            </w:r>
            <w:r>
              <w:rPr>
                <w:rFonts w:hint="eastAsia" w:ascii="宋体" w:hAnsi="宋体" w:eastAsia="宋体" w:cs="宋体"/>
                <w:b w:val="0"/>
                <w:bCs/>
                <w:kern w:val="0"/>
                <w:sz w:val="24"/>
                <w:lang w:eastAsia="zh-CN"/>
              </w:rPr>
              <w:t>（</w:t>
            </w:r>
            <w:r>
              <w:rPr>
                <w:rFonts w:hint="eastAsia" w:ascii="宋体" w:hAnsi="宋体" w:eastAsia="宋体" w:cs="宋体"/>
                <w:b w:val="0"/>
                <w:bCs/>
                <w:kern w:val="0"/>
                <w:sz w:val="24"/>
                <w:lang w:val="en-US" w:eastAsia="zh-CN"/>
              </w:rPr>
              <w:t>1+2</w:t>
            </w:r>
            <w:r>
              <w:rPr>
                <w:rFonts w:hint="eastAsia" w:ascii="宋体" w:hAnsi="宋体" w:eastAsia="宋体" w:cs="宋体"/>
                <w:b w:val="0"/>
                <w:bCs/>
                <w:kern w:val="0"/>
                <w:sz w:val="24"/>
                <w:lang w:eastAsia="zh-CN"/>
              </w:rPr>
              <w:t>）</w:t>
            </w:r>
          </w:p>
        </w:tc>
        <w:tc>
          <w:tcPr>
            <w:tcW w:w="6743" w:type="dxa"/>
            <w:gridSpan w:val="3"/>
            <w:vAlign w:val="center"/>
          </w:tcPr>
          <w:p>
            <w:pPr>
              <w:widowControl/>
              <w:jc w:val="center"/>
              <w:textAlignment w:val="center"/>
              <w:rPr>
                <w:rFonts w:hint="eastAsia" w:ascii="宋体" w:hAnsi="宋体" w:eastAsia="宋体" w:cs="宋体"/>
                <w:b w:val="0"/>
                <w:bCs/>
                <w:kern w:val="0"/>
                <w:sz w:val="24"/>
              </w:rPr>
            </w:pPr>
            <w:r>
              <w:rPr>
                <w:rFonts w:hint="eastAsia" w:hAnsi="宋体"/>
                <w:sz w:val="22"/>
                <w:szCs w:val="22"/>
                <w:u w:val="single"/>
                <w:lang w:val="en-US" w:eastAsia="zh-CN"/>
              </w:rPr>
              <w:t xml:space="preserve">  </w:t>
            </w:r>
            <w:r>
              <w:rPr>
                <w:rFonts w:hint="eastAsia" w:ascii="宋体" w:hAnsi="宋体" w:eastAsia="宋体" w:cs="宋体"/>
                <w:b w:val="0"/>
                <w:bCs/>
                <w:kern w:val="0"/>
                <w:sz w:val="24"/>
                <w:u w:val="single"/>
                <w:lang w:val="en-US" w:eastAsia="zh-CN"/>
              </w:rPr>
              <w:t xml:space="preserve">               </w:t>
            </w:r>
            <w:r>
              <w:rPr>
                <w:rFonts w:hint="eastAsia" w:ascii="宋体" w:hAnsi="宋体" w:eastAsia="宋体" w:cs="宋体"/>
                <w:b w:val="0"/>
                <w:bCs/>
                <w:kern w:val="0"/>
                <w:sz w:val="24"/>
                <w:u w:val="single"/>
              </w:rPr>
              <w:t xml:space="preserve"> </w:t>
            </w:r>
            <w:r>
              <w:rPr>
                <w:rFonts w:hint="eastAsia" w:ascii="宋体" w:hAnsi="宋体" w:eastAsia="宋体" w:cs="宋体"/>
                <w:b w:val="0"/>
                <w:bCs/>
                <w:kern w:val="0"/>
                <w:sz w:val="24"/>
                <w:u w:val="singl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36" w:type="dxa"/>
            <w:gridSpan w:val="5"/>
            <w:vAlign w:val="center"/>
          </w:tcPr>
          <w:p>
            <w:pPr>
              <w:widowControl/>
              <w:jc w:val="center"/>
              <w:textAlignment w:val="center"/>
              <w:rPr>
                <w:rFonts w:hint="eastAsia" w:hAnsi="宋体"/>
                <w:sz w:val="22"/>
                <w:szCs w:val="22"/>
                <w:u w:val="single"/>
                <w:lang w:val="en-US" w:eastAsia="zh-CN"/>
              </w:rPr>
            </w:pPr>
            <w:r>
              <w:rPr>
                <w:rFonts w:hint="eastAsia" w:ascii="宋体" w:hAnsi="宋体"/>
                <w:b/>
                <w:bCs/>
              </w:rPr>
              <w:t>本表转至</w:t>
            </w:r>
            <w:r>
              <w:rPr>
                <w:rFonts w:hint="eastAsia" w:ascii="宋体" w:hAnsi="宋体"/>
                <w:b/>
                <w:bCs/>
                <w:lang w:val="en-US" w:eastAsia="zh-CN"/>
              </w:rPr>
              <w:t>温岭市住房和城乡建设局2022年-2025年绿化及道路养护采购（重新发布）开标一览表</w:t>
            </w:r>
          </w:p>
        </w:tc>
      </w:tr>
    </w:tbl>
    <w:p>
      <w:pPr>
        <w:spacing w:line="360" w:lineRule="auto"/>
        <w:ind w:firstLine="660" w:firstLineChars="300"/>
        <w:rPr>
          <w:rFonts w:hint="eastAsia" w:ascii="宋体" w:hAnsi="宋体" w:cs="宋体"/>
          <w:sz w:val="22"/>
          <w:szCs w:val="22"/>
        </w:rPr>
      </w:pPr>
    </w:p>
    <w:p>
      <w:pPr>
        <w:spacing w:line="360" w:lineRule="auto"/>
        <w:ind w:firstLine="720" w:firstLineChars="300"/>
        <w:rPr>
          <w:rFonts w:hint="eastAsia" w:ascii="宋体" w:hAnsi="宋体" w:cs="宋体"/>
          <w:sz w:val="24"/>
          <w:szCs w:val="24"/>
        </w:rPr>
      </w:pPr>
    </w:p>
    <w:p>
      <w:pPr>
        <w:spacing w:line="360" w:lineRule="auto"/>
        <w:ind w:firstLine="720" w:firstLineChars="300"/>
        <w:rPr>
          <w:rFonts w:ascii="宋体"/>
          <w:sz w:val="24"/>
          <w:szCs w:val="24"/>
          <w:u w:val="single"/>
        </w:rPr>
      </w:pPr>
      <w:r>
        <w:rPr>
          <w:rFonts w:hint="eastAsia" w:ascii="宋体" w:hAnsi="宋体" w:cs="宋体"/>
          <w:sz w:val="24"/>
          <w:szCs w:val="24"/>
        </w:rPr>
        <w:t>投标人名称（盖章）：</w:t>
      </w:r>
    </w:p>
    <w:p>
      <w:pPr>
        <w:spacing w:line="360" w:lineRule="auto"/>
        <w:rPr>
          <w:rFonts w:ascii="宋体"/>
          <w:sz w:val="24"/>
          <w:szCs w:val="24"/>
        </w:rPr>
      </w:pPr>
      <w:r>
        <w:rPr>
          <w:rFonts w:hint="eastAsia" w:ascii="宋体" w:hAnsi="宋体" w:cs="宋体"/>
          <w:sz w:val="24"/>
          <w:szCs w:val="24"/>
        </w:rPr>
        <w:t>法定代表人或代理人（签字或盖章）：</w:t>
      </w:r>
    </w:p>
    <w:p>
      <w:pPr>
        <w:spacing w:line="360" w:lineRule="auto"/>
        <w:ind w:left="420" w:firstLine="480" w:firstLineChars="200"/>
        <w:rPr>
          <w:rFonts w:hint="eastAsia" w:ascii="宋体" w:hAnsi="宋体" w:cs="宋体"/>
          <w:sz w:val="24"/>
          <w:szCs w:val="24"/>
        </w:rPr>
      </w:pPr>
      <w:r>
        <w:rPr>
          <w:rFonts w:hint="eastAsia" w:ascii="宋体" w:hAnsi="宋体" w:cs="宋体"/>
          <w:sz w:val="24"/>
          <w:szCs w:val="24"/>
        </w:rPr>
        <w:t>日        期：</w:t>
      </w:r>
    </w:p>
    <w:p/>
    <w:p>
      <w:pPr>
        <w:pStyle w:val="62"/>
        <w:widowControl w:val="0"/>
        <w:snapToGrid w:val="0"/>
        <w:spacing w:line="500" w:lineRule="exact"/>
        <w:jc w:val="left"/>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br w:type="page"/>
      </w:r>
    </w:p>
    <w:p>
      <w:pPr>
        <w:pStyle w:val="62"/>
        <w:widowControl w:val="0"/>
        <w:snapToGrid w:val="0"/>
        <w:spacing w:line="500" w:lineRule="exact"/>
        <w:jc w:val="left"/>
        <w:rPr>
          <w:rFonts w:hint="eastAsia" w:ascii="宋体" w:hAnsi="宋体" w:eastAsia="宋体" w:cs="宋体"/>
          <w:b/>
          <w:bCs/>
          <w:color w:val="000000"/>
          <w:sz w:val="32"/>
          <w:szCs w:val="32"/>
          <w:lang w:eastAsia="zh-CN"/>
        </w:rPr>
      </w:pPr>
      <w:r>
        <w:rPr>
          <w:rFonts w:hint="eastAsia" w:ascii="宋体" w:hAnsi="宋体" w:cs="宋体"/>
          <w:b/>
          <w:bCs/>
          <w:sz w:val="24"/>
          <w:szCs w:val="24"/>
        </w:rPr>
        <w:t>附件</w:t>
      </w:r>
      <w:r>
        <w:rPr>
          <w:rFonts w:hint="eastAsia" w:ascii="宋体" w:hAnsi="宋体" w:cs="宋体"/>
          <w:b/>
          <w:bCs/>
          <w:sz w:val="24"/>
          <w:szCs w:val="24"/>
          <w:lang w:val="en-US" w:eastAsia="zh-CN"/>
        </w:rPr>
        <w:t>:</w:t>
      </w:r>
    </w:p>
    <w:p>
      <w:pPr>
        <w:pStyle w:val="62"/>
        <w:widowControl w:val="0"/>
        <w:snapToGrid w:val="0"/>
        <w:spacing w:line="50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lang w:eastAsia="zh-CN"/>
        </w:rPr>
        <w:t>政府采购活动</w:t>
      </w:r>
      <w:r>
        <w:rPr>
          <w:rFonts w:hint="eastAsia" w:ascii="宋体" w:hAnsi="宋体" w:eastAsia="宋体" w:cs="宋体"/>
          <w:b/>
          <w:bCs/>
          <w:color w:val="000000"/>
          <w:sz w:val="32"/>
          <w:szCs w:val="32"/>
        </w:rPr>
        <w:t>现场确认声明书</w:t>
      </w:r>
    </w:p>
    <w:p>
      <w:pPr>
        <w:pStyle w:val="62"/>
        <w:widowControl w:val="0"/>
        <w:snapToGrid w:val="0"/>
        <w:spacing w:line="500" w:lineRule="exact"/>
        <w:jc w:val="both"/>
        <w:rPr>
          <w:rFonts w:hint="default" w:ascii="仿宋" w:hAnsi="仿宋"/>
          <w:color w:val="000000"/>
          <w:kern w:val="0"/>
          <w:sz w:val="28"/>
        </w:rPr>
      </w:pPr>
    </w:p>
    <w:p>
      <w:pPr>
        <w:pStyle w:val="62"/>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eastAsia" w:ascii="宋体" w:hAnsi="宋体" w:eastAsia="宋体" w:cs="宋体"/>
          <w:b/>
          <w:color w:val="000000"/>
          <w:sz w:val="24"/>
          <w:szCs w:val="20"/>
        </w:rPr>
      </w:pPr>
      <w:r>
        <w:rPr>
          <w:rFonts w:ascii="仿宋" w:hAnsi="仿宋"/>
          <w:color w:val="000000"/>
          <w:kern w:val="0"/>
          <w:sz w:val="28"/>
        </w:rPr>
        <w:t xml:space="preserve"> </w:t>
      </w:r>
      <w:r>
        <w:rPr>
          <w:rFonts w:hint="eastAsia" w:ascii="仿宋" w:hAnsi="仿宋"/>
          <w:color w:val="000000"/>
          <w:kern w:val="0"/>
          <w:sz w:val="28"/>
          <w:lang w:val="en-US" w:eastAsia="zh-CN"/>
        </w:rPr>
        <w:t xml:space="preserve">   </w:t>
      </w:r>
      <w:r>
        <w:rPr>
          <w:rFonts w:hint="eastAsia" w:ascii="宋体" w:hAnsi="宋体" w:eastAsia="宋体" w:cs="宋体"/>
          <w:color w:val="000000"/>
          <w:kern w:val="0"/>
          <w:sz w:val="24"/>
          <w:szCs w:val="18"/>
          <w:u w:val="single"/>
          <w:lang w:val="en-US" w:eastAsia="zh-CN"/>
        </w:rPr>
        <w:t>建经投资咨询有限公司</w:t>
      </w:r>
      <w:r>
        <w:rPr>
          <w:rFonts w:hint="eastAsia" w:ascii="宋体" w:hAnsi="宋体" w:eastAsia="宋体" w:cs="宋体"/>
          <w:color w:val="000000"/>
          <w:kern w:val="0"/>
          <w:sz w:val="24"/>
          <w:szCs w:val="18"/>
          <w:u w:val="single"/>
        </w:rPr>
        <w:t xml:space="preserve"> </w:t>
      </w:r>
      <w:r>
        <w:rPr>
          <w:rFonts w:hint="eastAsia" w:ascii="宋体" w:hAnsi="宋体" w:eastAsia="宋体" w:cs="宋体"/>
          <w:color w:val="000000"/>
          <w:kern w:val="0"/>
          <w:sz w:val="24"/>
          <w:szCs w:val="20"/>
        </w:rPr>
        <w:t>：</w:t>
      </w:r>
    </w:p>
    <w:p>
      <w:pPr>
        <w:pStyle w:val="62"/>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04" w:firstLineChars="200"/>
        <w:jc w:val="both"/>
        <w:textAlignment w:val="auto"/>
        <w:rPr>
          <w:rFonts w:hint="eastAsia" w:ascii="宋体" w:hAnsi="宋体" w:eastAsia="宋体" w:cs="宋体"/>
          <w:color w:val="000000"/>
          <w:spacing w:val="6"/>
          <w:sz w:val="24"/>
          <w:szCs w:val="20"/>
        </w:rPr>
      </w:pPr>
      <w:r>
        <w:rPr>
          <w:rFonts w:hint="eastAsia" w:ascii="宋体" w:hAnsi="宋体" w:eastAsia="宋体" w:cs="宋体"/>
          <w:color w:val="000000"/>
          <w:spacing w:val="6"/>
          <w:sz w:val="24"/>
          <w:szCs w:val="20"/>
        </w:rPr>
        <w:t>本人经由</w:t>
      </w:r>
      <w:r>
        <w:rPr>
          <w:rFonts w:hint="eastAsia" w:ascii="宋体" w:hAnsi="宋体" w:eastAsia="宋体" w:cs="宋体"/>
          <w:color w:val="000000"/>
          <w:spacing w:val="6"/>
          <w:sz w:val="24"/>
          <w:szCs w:val="20"/>
          <w:u w:val="single"/>
        </w:rPr>
        <w:t xml:space="preserve">               （单位）</w:t>
      </w:r>
      <w:r>
        <w:rPr>
          <w:rFonts w:hint="eastAsia" w:ascii="宋体" w:hAnsi="宋体" w:eastAsia="宋体" w:cs="宋体"/>
          <w:color w:val="000000"/>
          <w:spacing w:val="6"/>
          <w:sz w:val="24"/>
          <w:szCs w:val="20"/>
        </w:rPr>
        <w:t>法人代表（负责人）</w:t>
      </w:r>
      <w:r>
        <w:rPr>
          <w:rFonts w:hint="eastAsia" w:ascii="宋体" w:hAnsi="宋体" w:eastAsia="宋体" w:cs="宋体"/>
          <w:color w:val="000000"/>
          <w:spacing w:val="6"/>
          <w:sz w:val="24"/>
          <w:szCs w:val="20"/>
          <w:u w:val="single"/>
        </w:rPr>
        <w:t xml:space="preserve">        （姓名）</w:t>
      </w:r>
      <w:r>
        <w:rPr>
          <w:rFonts w:hint="eastAsia" w:ascii="宋体" w:hAnsi="宋体" w:eastAsia="宋体" w:cs="宋体"/>
          <w:color w:val="000000"/>
          <w:spacing w:val="6"/>
          <w:sz w:val="24"/>
          <w:szCs w:val="20"/>
        </w:rPr>
        <w:t>合法授权参加</w:t>
      </w:r>
      <w:r>
        <w:rPr>
          <w:rFonts w:hint="eastAsia" w:ascii="宋体" w:hAnsi="宋体" w:eastAsia="宋体" w:cs="宋体"/>
          <w:color w:val="000000"/>
          <w:spacing w:val="6"/>
          <w:sz w:val="24"/>
          <w:szCs w:val="20"/>
          <w:u w:val="single"/>
        </w:rPr>
        <w:t xml:space="preserve"> </w:t>
      </w:r>
      <w:r>
        <w:rPr>
          <w:rFonts w:hint="eastAsia" w:hAnsi="宋体" w:cs="宋体"/>
          <w:color w:val="000000"/>
          <w:spacing w:val="6"/>
          <w:sz w:val="24"/>
          <w:szCs w:val="20"/>
          <w:u w:val="single"/>
          <w:lang w:eastAsia="zh-CN"/>
        </w:rPr>
        <w:t>温岭市住房和城乡建设局2022年-2025年绿化及道路养护采购（重新发布）</w:t>
      </w:r>
      <w:r>
        <w:rPr>
          <w:rFonts w:hint="eastAsia" w:ascii="宋体" w:hAnsi="宋体" w:eastAsia="宋体" w:cs="宋体"/>
          <w:color w:val="000000"/>
          <w:spacing w:val="6"/>
          <w:sz w:val="24"/>
          <w:szCs w:val="20"/>
        </w:rPr>
        <w:t>（编号：</w:t>
      </w:r>
      <w:r>
        <w:rPr>
          <w:rFonts w:hint="eastAsia" w:hAnsi="宋体" w:cs="宋体"/>
          <w:color w:val="000000"/>
          <w:spacing w:val="6"/>
          <w:sz w:val="24"/>
          <w:szCs w:val="20"/>
          <w:u w:val="single"/>
          <w:lang w:eastAsia="zh-CN"/>
        </w:rPr>
        <w:t>JJWL220509129-1</w:t>
      </w:r>
      <w:r>
        <w:rPr>
          <w:rFonts w:hint="eastAsia" w:ascii="宋体" w:hAnsi="宋体" w:eastAsia="宋体" w:cs="宋体"/>
          <w:color w:val="000000"/>
          <w:spacing w:val="6"/>
          <w:sz w:val="24"/>
          <w:szCs w:val="20"/>
        </w:rPr>
        <w:t xml:space="preserve">）政府采购活动，经与本单位法人代表（负责人）联系确认，现就有关公平竞争事项郑重声明如下： </w:t>
      </w:r>
    </w:p>
    <w:p>
      <w:pPr>
        <w:pStyle w:val="63"/>
        <w:keepNext w:val="0"/>
        <w:keepLines w:val="0"/>
        <w:pageBreakBefore w:val="0"/>
        <w:widowControl/>
        <w:numPr>
          <w:ilvl w:val="0"/>
          <w:numId w:val="10"/>
        </w:numPr>
        <w:kinsoku/>
        <w:wordWrap/>
        <w:overflowPunct/>
        <w:topLinePunct w:val="0"/>
        <w:autoSpaceDE/>
        <w:autoSpaceDN/>
        <w:bidi w:val="0"/>
        <w:adjustRightInd/>
        <w:snapToGrid w:val="0"/>
        <w:spacing w:line="400" w:lineRule="exact"/>
        <w:ind w:left="0" w:leftChars="0" w:right="0" w:rightChars="0" w:firstLine="453" w:firstLineChars="189"/>
        <w:jc w:val="both"/>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本单位与采购人之间</w:t>
      </w:r>
      <w:r>
        <w:rPr>
          <w:rFonts w:hint="eastAsia" w:ascii="宋体" w:hAnsi="宋体" w:cs="宋体"/>
          <w:color w:val="000000"/>
          <w:kern w:val="0"/>
          <w:sz w:val="24"/>
          <w:szCs w:val="20"/>
          <w:lang w:eastAsia="zh-CN"/>
        </w:rPr>
        <w:t>：</w:t>
      </w:r>
      <w:r>
        <w:rPr>
          <w:rFonts w:hint="eastAsia" w:ascii="宋体" w:hAnsi="宋体" w:eastAsia="宋体" w:cs="宋体"/>
          <w:color w:val="000000"/>
          <w:kern w:val="0"/>
          <w:sz w:val="24"/>
          <w:szCs w:val="20"/>
        </w:rPr>
        <w:t>□不存在利害关系 □存在下列利害关系</w:t>
      </w:r>
      <w:r>
        <w:rPr>
          <w:rFonts w:hint="eastAsia" w:ascii="宋体" w:hAnsi="宋体" w:eastAsia="宋体" w:cs="宋体"/>
          <w:color w:val="000000"/>
          <w:kern w:val="0"/>
          <w:sz w:val="24"/>
          <w:szCs w:val="20"/>
          <w:u w:val="single"/>
        </w:rPr>
        <w:t xml:space="preserve">       </w:t>
      </w:r>
      <w:r>
        <w:rPr>
          <w:rFonts w:hint="eastAsia" w:ascii="宋体" w:hAnsi="宋体" w:eastAsia="宋体" w:cs="宋体"/>
          <w:color w:val="000000"/>
          <w:kern w:val="0"/>
          <w:sz w:val="24"/>
          <w:szCs w:val="20"/>
          <w:u w:val="single"/>
          <w:lang w:val="en-US" w:eastAsia="zh-CN"/>
        </w:rPr>
        <w:t xml:space="preserve">   </w:t>
      </w:r>
      <w:r>
        <w:rPr>
          <w:rFonts w:hint="eastAsia" w:ascii="宋体" w:hAnsi="宋体" w:cs="宋体"/>
          <w:color w:val="000000"/>
          <w:kern w:val="0"/>
          <w:sz w:val="24"/>
          <w:szCs w:val="20"/>
          <w:u w:val="single"/>
          <w:lang w:val="en-US" w:eastAsia="zh-CN"/>
        </w:rPr>
        <w:t xml:space="preserve">  </w:t>
      </w:r>
      <w:r>
        <w:rPr>
          <w:rFonts w:hint="eastAsia" w:ascii="宋体" w:hAnsi="宋体" w:eastAsia="宋体" w:cs="宋体"/>
          <w:color w:val="000000"/>
          <w:kern w:val="0"/>
          <w:sz w:val="24"/>
          <w:szCs w:val="20"/>
          <w:u w:val="single"/>
          <w:lang w:val="en-US" w:eastAsia="zh-CN"/>
        </w:rPr>
        <w:t xml:space="preserve">   </w:t>
      </w:r>
      <w:r>
        <w:rPr>
          <w:rFonts w:hint="eastAsia" w:ascii="宋体" w:hAnsi="宋体" w:eastAsia="宋体" w:cs="宋体"/>
          <w:color w:val="000000"/>
          <w:kern w:val="0"/>
          <w:sz w:val="24"/>
          <w:szCs w:val="20"/>
          <w:u w:val="single"/>
        </w:rPr>
        <w:t xml:space="preserve">    </w:t>
      </w:r>
      <w:r>
        <w:rPr>
          <w:rFonts w:hint="eastAsia" w:ascii="宋体" w:hAnsi="宋体" w:eastAsia="宋体" w:cs="宋体"/>
          <w:color w:val="000000"/>
          <w:kern w:val="0"/>
          <w:sz w:val="24"/>
          <w:szCs w:val="20"/>
        </w:rPr>
        <w:t>：</w:t>
      </w:r>
    </w:p>
    <w:p>
      <w:pPr>
        <w:pStyle w:val="63"/>
        <w:keepNext w:val="0"/>
        <w:keepLines w:val="0"/>
        <w:pageBreakBefore w:val="0"/>
        <w:widowControl/>
        <w:kinsoku/>
        <w:wordWrap/>
        <w:overflowPunct/>
        <w:topLinePunct w:val="0"/>
        <w:autoSpaceDE/>
        <w:autoSpaceDN/>
        <w:bidi w:val="0"/>
        <w:adjustRightInd/>
        <w:snapToGrid w:val="0"/>
        <w:spacing w:line="400" w:lineRule="exact"/>
        <w:ind w:left="0" w:leftChars="0" w:right="0" w:rightChars="0"/>
        <w:jc w:val="both"/>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A.投资关系    B.行政隶属关系    C.业务指导关系</w:t>
      </w:r>
    </w:p>
    <w:p>
      <w:pPr>
        <w:pStyle w:val="63"/>
        <w:keepNext w:val="0"/>
        <w:keepLines w:val="0"/>
        <w:pageBreakBefore w:val="0"/>
        <w:widowControl/>
        <w:kinsoku/>
        <w:wordWrap/>
        <w:overflowPunct/>
        <w:topLinePunct w:val="0"/>
        <w:autoSpaceDE/>
        <w:autoSpaceDN/>
        <w:bidi w:val="0"/>
        <w:adjustRightInd/>
        <w:snapToGrid w:val="0"/>
        <w:spacing w:line="400" w:lineRule="exact"/>
        <w:ind w:left="0" w:leftChars="0" w:right="0" w:rightChars="0"/>
        <w:jc w:val="both"/>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D.其他可能</w:t>
      </w:r>
      <w:r>
        <w:rPr>
          <w:rFonts w:hint="eastAsia" w:ascii="宋体" w:hAnsi="宋体" w:eastAsia="宋体" w:cs="宋体"/>
          <w:color w:val="000000"/>
          <w:sz w:val="24"/>
          <w:szCs w:val="20"/>
        </w:rPr>
        <w:t>影响采购公正的</w:t>
      </w:r>
      <w:r>
        <w:rPr>
          <w:rFonts w:hint="eastAsia" w:ascii="宋体" w:hAnsi="宋体" w:eastAsia="宋体" w:cs="宋体"/>
          <w:color w:val="000000"/>
          <w:kern w:val="0"/>
          <w:sz w:val="24"/>
          <w:szCs w:val="20"/>
        </w:rPr>
        <w:t>利害关系</w:t>
      </w:r>
      <w:r>
        <w:rPr>
          <w:rFonts w:hint="eastAsia" w:ascii="宋体" w:hAnsi="宋体" w:eastAsia="宋体" w:cs="宋体"/>
          <w:color w:val="000000"/>
          <w:kern w:val="0"/>
          <w:sz w:val="24"/>
          <w:szCs w:val="20"/>
          <w:u w:val="single"/>
        </w:rPr>
        <w:t xml:space="preserve">（如有，请如实说明）                 </w:t>
      </w:r>
      <w:r>
        <w:rPr>
          <w:rFonts w:hint="eastAsia" w:ascii="宋体" w:hAnsi="宋体" w:eastAsia="宋体" w:cs="宋体"/>
          <w:color w:val="000000"/>
          <w:kern w:val="0"/>
          <w:sz w:val="24"/>
          <w:szCs w:val="20"/>
        </w:rPr>
        <w:t>。</w:t>
      </w:r>
    </w:p>
    <w:p>
      <w:pPr>
        <w:pStyle w:val="63"/>
        <w:keepNext w:val="0"/>
        <w:keepLines w:val="0"/>
        <w:pageBreakBefore w:val="0"/>
        <w:widowControl/>
        <w:kinsoku/>
        <w:wordWrap/>
        <w:overflowPunct/>
        <w:topLinePunct w:val="0"/>
        <w:autoSpaceDE/>
        <w:autoSpaceDN/>
        <w:bidi w:val="0"/>
        <w:adjustRightInd/>
        <w:snapToGrid w:val="0"/>
        <w:spacing w:line="400" w:lineRule="exact"/>
        <w:ind w:left="0" w:leftChars="0" w:right="0" w:rightChars="0"/>
        <w:jc w:val="both"/>
        <w:textAlignment w:val="auto"/>
        <w:rPr>
          <w:rFonts w:hint="eastAsia" w:ascii="宋体" w:hAnsi="宋体" w:eastAsia="宋体" w:cs="宋体"/>
          <w:color w:val="000000"/>
          <w:kern w:val="0"/>
          <w:sz w:val="24"/>
          <w:szCs w:val="20"/>
        </w:rPr>
      </w:pPr>
      <w:r>
        <w:rPr>
          <w:rFonts w:hint="eastAsia" w:ascii="宋体" w:hAnsi="宋体" w:eastAsia="宋体" w:cs="宋体"/>
          <w:color w:val="000000"/>
          <w:spacing w:val="6"/>
          <w:sz w:val="24"/>
          <w:szCs w:val="20"/>
        </w:rPr>
        <w:t xml:space="preserve">  二、</w:t>
      </w:r>
      <w:r>
        <w:rPr>
          <w:rFonts w:hint="eastAsia" w:ascii="宋体" w:hAnsi="宋体" w:eastAsia="宋体" w:cs="宋体"/>
          <w:color w:val="000000"/>
          <w:kern w:val="0"/>
          <w:sz w:val="24"/>
          <w:szCs w:val="20"/>
        </w:rPr>
        <w:t>现已清楚知道参加本项目采购活动的</w:t>
      </w:r>
      <w:r>
        <w:rPr>
          <w:rFonts w:hint="eastAsia" w:ascii="宋体" w:hAnsi="宋体" w:eastAsia="宋体" w:cs="宋体"/>
          <w:color w:val="000000"/>
          <w:kern w:val="0"/>
          <w:sz w:val="24"/>
          <w:szCs w:val="20"/>
          <w:lang w:eastAsia="zh-CN"/>
        </w:rPr>
        <w:t>其他</w:t>
      </w:r>
      <w:r>
        <w:rPr>
          <w:rFonts w:hint="eastAsia" w:ascii="宋体" w:hAnsi="宋体" w:eastAsia="宋体" w:cs="宋体"/>
          <w:color w:val="000000"/>
          <w:kern w:val="0"/>
          <w:sz w:val="24"/>
          <w:szCs w:val="20"/>
        </w:rPr>
        <w:t>所有供应商名称，本单位 □与</w:t>
      </w:r>
      <w:r>
        <w:rPr>
          <w:rFonts w:hint="eastAsia" w:ascii="宋体" w:hAnsi="宋体" w:eastAsia="宋体" w:cs="宋体"/>
          <w:color w:val="000000"/>
          <w:kern w:val="0"/>
          <w:sz w:val="24"/>
          <w:szCs w:val="20"/>
          <w:lang w:eastAsia="zh-CN"/>
        </w:rPr>
        <w:t>其他</w:t>
      </w:r>
      <w:r>
        <w:rPr>
          <w:rFonts w:hint="eastAsia" w:ascii="宋体" w:hAnsi="宋体" w:eastAsia="宋体" w:cs="宋体"/>
          <w:color w:val="000000"/>
          <w:kern w:val="0"/>
          <w:sz w:val="24"/>
          <w:szCs w:val="20"/>
        </w:rPr>
        <w:t>所有供应商之间均不存在利害关系 □与</w:t>
      </w:r>
      <w:r>
        <w:rPr>
          <w:rFonts w:hint="eastAsia" w:ascii="宋体" w:hAnsi="宋体" w:eastAsia="宋体" w:cs="宋体"/>
          <w:color w:val="000000"/>
          <w:kern w:val="0"/>
          <w:sz w:val="24"/>
          <w:szCs w:val="20"/>
          <w:u w:val="single"/>
        </w:rPr>
        <w:t xml:space="preserve">           （供应商名称）</w:t>
      </w:r>
      <w:r>
        <w:rPr>
          <w:rFonts w:hint="eastAsia" w:ascii="宋体" w:hAnsi="宋体" w:eastAsia="宋体" w:cs="宋体"/>
          <w:color w:val="000000"/>
          <w:kern w:val="0"/>
          <w:sz w:val="24"/>
          <w:szCs w:val="20"/>
        </w:rPr>
        <w:t>之间存在下列利害关系</w:t>
      </w:r>
      <w:r>
        <w:rPr>
          <w:rFonts w:hint="eastAsia" w:ascii="宋体" w:hAnsi="宋体" w:eastAsia="宋体" w:cs="宋体"/>
          <w:color w:val="000000"/>
          <w:kern w:val="0"/>
          <w:sz w:val="24"/>
          <w:szCs w:val="20"/>
          <w:u w:val="single"/>
        </w:rPr>
        <w:t xml:space="preserve">       </w:t>
      </w:r>
      <w:r>
        <w:rPr>
          <w:rFonts w:hint="eastAsia" w:ascii="宋体" w:hAnsi="宋体" w:cs="宋体"/>
          <w:color w:val="000000"/>
          <w:kern w:val="0"/>
          <w:sz w:val="24"/>
          <w:szCs w:val="20"/>
          <w:u w:val="single"/>
          <w:lang w:val="en-US" w:eastAsia="zh-CN"/>
        </w:rPr>
        <w:t xml:space="preserve">     </w:t>
      </w:r>
      <w:r>
        <w:rPr>
          <w:rFonts w:hint="eastAsia" w:ascii="宋体" w:hAnsi="宋体" w:eastAsia="宋体" w:cs="宋体"/>
          <w:color w:val="000000"/>
          <w:kern w:val="0"/>
          <w:sz w:val="24"/>
          <w:szCs w:val="20"/>
          <w:u w:val="single"/>
        </w:rPr>
        <w:t xml:space="preserve">   </w:t>
      </w:r>
      <w:r>
        <w:rPr>
          <w:rFonts w:hint="eastAsia" w:ascii="宋体" w:hAnsi="宋体" w:eastAsia="宋体" w:cs="宋体"/>
          <w:color w:val="000000"/>
          <w:kern w:val="0"/>
          <w:sz w:val="24"/>
          <w:szCs w:val="20"/>
        </w:rPr>
        <w:t>：</w:t>
      </w:r>
    </w:p>
    <w:p>
      <w:pPr>
        <w:pStyle w:val="62"/>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A.法定代表人或负责人或实际控制人是同一人</w:t>
      </w:r>
      <w:r>
        <w:rPr>
          <w:rFonts w:hint="eastAsia" w:ascii="宋体" w:hAnsi="宋体" w:eastAsia="宋体" w:cs="宋体"/>
          <w:color w:val="000000"/>
          <w:kern w:val="0"/>
          <w:sz w:val="24"/>
          <w:szCs w:val="20"/>
          <w:lang w:eastAsia="zh-CN"/>
        </w:rPr>
        <w:t>；</w:t>
      </w:r>
    </w:p>
    <w:p>
      <w:pPr>
        <w:pStyle w:val="62"/>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eastAsia" w:ascii="宋体" w:hAnsi="宋体" w:eastAsia="宋体" w:cs="宋体"/>
          <w:color w:val="000000"/>
          <w:spacing w:val="6"/>
          <w:sz w:val="24"/>
          <w:szCs w:val="20"/>
        </w:rPr>
      </w:pPr>
      <w:r>
        <w:rPr>
          <w:rFonts w:hint="eastAsia" w:ascii="宋体" w:hAnsi="宋体" w:eastAsia="宋体" w:cs="宋体"/>
          <w:color w:val="000000"/>
          <w:kern w:val="0"/>
          <w:sz w:val="24"/>
          <w:szCs w:val="20"/>
        </w:rPr>
        <w:t xml:space="preserve">  B.法定代表人或负责人或实际控制人是夫妻关系</w:t>
      </w:r>
      <w:r>
        <w:rPr>
          <w:rFonts w:hint="eastAsia" w:ascii="宋体" w:hAnsi="宋体" w:eastAsia="宋体" w:cs="宋体"/>
          <w:color w:val="000000"/>
          <w:kern w:val="0"/>
          <w:sz w:val="24"/>
          <w:szCs w:val="20"/>
          <w:lang w:eastAsia="zh-CN"/>
        </w:rPr>
        <w:t>；</w:t>
      </w:r>
    </w:p>
    <w:p>
      <w:pPr>
        <w:pStyle w:val="62"/>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eastAsia" w:ascii="宋体" w:hAnsi="宋体" w:eastAsia="宋体" w:cs="宋体"/>
          <w:color w:val="000000"/>
          <w:spacing w:val="6"/>
          <w:sz w:val="24"/>
          <w:szCs w:val="20"/>
        </w:rPr>
      </w:pPr>
      <w:r>
        <w:rPr>
          <w:rFonts w:hint="eastAsia" w:ascii="宋体" w:hAnsi="宋体" w:eastAsia="宋体" w:cs="宋体"/>
          <w:color w:val="000000"/>
          <w:kern w:val="0"/>
          <w:sz w:val="24"/>
          <w:szCs w:val="20"/>
        </w:rPr>
        <w:t xml:space="preserve">  C.法定代表人或负责人或实际控制人是直系血亲关系</w:t>
      </w:r>
      <w:r>
        <w:rPr>
          <w:rFonts w:hint="eastAsia" w:ascii="宋体" w:hAnsi="宋体" w:eastAsia="宋体" w:cs="宋体"/>
          <w:color w:val="000000"/>
          <w:kern w:val="0"/>
          <w:sz w:val="24"/>
          <w:szCs w:val="20"/>
          <w:lang w:eastAsia="zh-CN"/>
        </w:rPr>
        <w:t>；</w:t>
      </w:r>
    </w:p>
    <w:p>
      <w:pPr>
        <w:pStyle w:val="62"/>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eastAsia" w:ascii="宋体" w:hAnsi="宋体" w:eastAsia="宋体" w:cs="宋体"/>
          <w:color w:val="000000"/>
          <w:spacing w:val="6"/>
          <w:sz w:val="24"/>
          <w:szCs w:val="20"/>
        </w:rPr>
      </w:pPr>
      <w:r>
        <w:rPr>
          <w:rFonts w:hint="eastAsia" w:ascii="宋体" w:hAnsi="宋体" w:eastAsia="宋体" w:cs="宋体"/>
          <w:color w:val="000000"/>
          <w:kern w:val="0"/>
          <w:sz w:val="24"/>
          <w:szCs w:val="20"/>
        </w:rPr>
        <w:t xml:space="preserve">  D.法定代表人或负责人或实际控制人存在三代以内旁系血亲关系</w:t>
      </w:r>
      <w:r>
        <w:rPr>
          <w:rFonts w:hint="eastAsia" w:ascii="宋体" w:hAnsi="宋体" w:eastAsia="宋体" w:cs="宋体"/>
          <w:color w:val="000000"/>
          <w:kern w:val="0"/>
          <w:sz w:val="24"/>
          <w:szCs w:val="20"/>
          <w:lang w:eastAsia="zh-CN"/>
        </w:rPr>
        <w:t>；</w:t>
      </w:r>
    </w:p>
    <w:p>
      <w:pPr>
        <w:pStyle w:val="62"/>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E.法定代表人或负责人或实际控制人存在近姻亲关系</w:t>
      </w:r>
      <w:r>
        <w:rPr>
          <w:rFonts w:hint="eastAsia" w:ascii="宋体" w:hAnsi="宋体" w:eastAsia="宋体" w:cs="宋体"/>
          <w:color w:val="000000"/>
          <w:kern w:val="0"/>
          <w:sz w:val="24"/>
          <w:szCs w:val="20"/>
          <w:lang w:eastAsia="zh-CN"/>
        </w:rPr>
        <w:t>；</w:t>
      </w:r>
    </w:p>
    <w:p>
      <w:pPr>
        <w:pStyle w:val="62"/>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F.法定代表人或负责人或实际控制人存在股份控制或实际控制关系</w:t>
      </w:r>
      <w:r>
        <w:rPr>
          <w:rFonts w:hint="eastAsia" w:ascii="宋体" w:hAnsi="宋体" w:eastAsia="宋体" w:cs="宋体"/>
          <w:color w:val="000000"/>
          <w:kern w:val="0"/>
          <w:sz w:val="24"/>
          <w:szCs w:val="20"/>
          <w:lang w:eastAsia="zh-CN"/>
        </w:rPr>
        <w:t>；</w:t>
      </w:r>
    </w:p>
    <w:p>
      <w:pPr>
        <w:pStyle w:val="62"/>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outlineLvl w:val="0"/>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G.存在共同直接或间接投资设立子公司、联营企业和合营企业情况</w:t>
      </w:r>
      <w:r>
        <w:rPr>
          <w:rFonts w:hint="eastAsia" w:ascii="宋体" w:hAnsi="宋体" w:eastAsia="宋体" w:cs="宋体"/>
          <w:color w:val="000000"/>
          <w:kern w:val="0"/>
          <w:sz w:val="24"/>
          <w:szCs w:val="20"/>
          <w:lang w:eastAsia="zh-CN"/>
        </w:rPr>
        <w:t>；</w:t>
      </w:r>
    </w:p>
    <w:p>
      <w:pPr>
        <w:pStyle w:val="62"/>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eastAsia" w:ascii="宋体" w:hAnsi="宋体" w:eastAsia="宋体" w:cs="宋体"/>
          <w:color w:val="000000"/>
          <w:sz w:val="24"/>
          <w:szCs w:val="20"/>
        </w:rPr>
      </w:pPr>
      <w:r>
        <w:rPr>
          <w:rFonts w:hint="eastAsia" w:ascii="宋体" w:hAnsi="宋体" w:eastAsia="宋体" w:cs="宋体"/>
          <w:color w:val="000000"/>
          <w:kern w:val="0"/>
          <w:sz w:val="24"/>
          <w:szCs w:val="20"/>
        </w:rPr>
        <w:t xml:space="preserve">  H.存在分级代理或代销关系、</w:t>
      </w:r>
      <w:r>
        <w:rPr>
          <w:rFonts w:hint="eastAsia" w:ascii="宋体" w:hAnsi="宋体" w:eastAsia="宋体" w:cs="宋体"/>
          <w:color w:val="000000"/>
          <w:kern w:val="0"/>
          <w:sz w:val="24"/>
          <w:szCs w:val="20"/>
          <w:lang w:eastAsia="zh-CN"/>
        </w:rPr>
        <w:t>同一生产制造商关系、</w:t>
      </w:r>
      <w:r>
        <w:rPr>
          <w:rFonts w:hint="eastAsia" w:ascii="宋体" w:hAnsi="宋体" w:eastAsia="宋体" w:cs="宋体"/>
          <w:color w:val="000000"/>
          <w:sz w:val="24"/>
          <w:szCs w:val="20"/>
        </w:rPr>
        <w:t>管理关系、重要业务（占主营业务收入50%以上）或重要财务往来关系（如融资）等其他实质性控制关系</w:t>
      </w:r>
      <w:r>
        <w:rPr>
          <w:rFonts w:hint="eastAsia" w:ascii="宋体" w:hAnsi="宋体" w:eastAsia="宋体" w:cs="宋体"/>
          <w:color w:val="000000"/>
          <w:sz w:val="24"/>
          <w:szCs w:val="20"/>
          <w:lang w:eastAsia="zh-CN"/>
        </w:rPr>
        <w:t>；</w:t>
      </w:r>
    </w:p>
    <w:p>
      <w:pPr>
        <w:pStyle w:val="62"/>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eastAsia" w:ascii="宋体" w:hAnsi="宋体" w:eastAsia="宋体" w:cs="宋体"/>
          <w:color w:val="000000"/>
          <w:spacing w:val="6"/>
          <w:sz w:val="24"/>
          <w:szCs w:val="20"/>
        </w:rPr>
      </w:pPr>
      <w:r>
        <w:rPr>
          <w:rFonts w:hint="eastAsia" w:ascii="宋体" w:hAnsi="宋体" w:eastAsia="宋体" w:cs="宋体"/>
          <w:color w:val="000000"/>
          <w:sz w:val="24"/>
          <w:szCs w:val="20"/>
        </w:rPr>
        <w:t xml:space="preserve">  I</w:t>
      </w:r>
      <w:r>
        <w:rPr>
          <w:rFonts w:hint="eastAsia" w:ascii="宋体" w:hAnsi="宋体" w:eastAsia="宋体" w:cs="宋体"/>
          <w:color w:val="000000"/>
          <w:kern w:val="0"/>
          <w:sz w:val="24"/>
          <w:szCs w:val="20"/>
        </w:rPr>
        <w:t>.</w:t>
      </w:r>
      <w:r>
        <w:rPr>
          <w:rFonts w:hint="eastAsia" w:ascii="宋体" w:hAnsi="宋体" w:eastAsia="宋体" w:cs="宋体"/>
          <w:color w:val="000000"/>
          <w:sz w:val="24"/>
          <w:szCs w:val="20"/>
        </w:rPr>
        <w:t>其他利害关系情况</w:t>
      </w:r>
      <w:r>
        <w:rPr>
          <w:rFonts w:hint="eastAsia" w:ascii="宋体" w:hAnsi="宋体" w:eastAsia="宋体" w:cs="宋体"/>
          <w:color w:val="000000"/>
          <w:sz w:val="24"/>
          <w:szCs w:val="20"/>
          <w:u w:val="single"/>
        </w:rPr>
        <w:t xml:space="preserve">                              </w:t>
      </w:r>
      <w:r>
        <w:rPr>
          <w:rFonts w:hint="eastAsia" w:ascii="宋体" w:hAnsi="宋体" w:eastAsia="宋体" w:cs="宋体"/>
          <w:color w:val="000000"/>
          <w:kern w:val="0"/>
          <w:sz w:val="24"/>
          <w:szCs w:val="20"/>
        </w:rPr>
        <w:t>。</w:t>
      </w:r>
    </w:p>
    <w:p>
      <w:pPr>
        <w:pStyle w:val="63"/>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189" w:right="0" w:rightChars="0"/>
        <w:jc w:val="both"/>
        <w:textAlignment w:val="auto"/>
        <w:rPr>
          <w:rFonts w:hint="eastAsia" w:ascii="宋体" w:hAnsi="宋体" w:eastAsia="宋体" w:cs="宋体"/>
          <w:color w:val="000000"/>
          <w:kern w:val="0"/>
          <w:sz w:val="24"/>
          <w:szCs w:val="20"/>
        </w:rPr>
      </w:pPr>
      <w:r>
        <w:rPr>
          <w:rFonts w:hint="eastAsia" w:ascii="宋体" w:hAnsi="宋体" w:cs="宋体"/>
          <w:color w:val="000000"/>
          <w:sz w:val="24"/>
          <w:szCs w:val="20"/>
          <w:lang w:eastAsia="zh-CN"/>
        </w:rPr>
        <w:t>三、</w:t>
      </w:r>
      <w:r>
        <w:rPr>
          <w:rFonts w:hint="eastAsia" w:ascii="宋体" w:hAnsi="宋体" w:eastAsia="宋体" w:cs="宋体"/>
          <w:color w:val="000000"/>
          <w:sz w:val="24"/>
          <w:szCs w:val="20"/>
        </w:rPr>
        <w:t>现已清楚知道并</w:t>
      </w:r>
      <w:r>
        <w:rPr>
          <w:rFonts w:hint="eastAsia" w:ascii="宋体" w:hAnsi="宋体" w:eastAsia="宋体" w:cs="宋体"/>
          <w:color w:val="000000"/>
          <w:kern w:val="0"/>
          <w:sz w:val="24"/>
          <w:szCs w:val="20"/>
        </w:rPr>
        <w:t>严格遵守政府采购法律法规和现场纪律。</w:t>
      </w:r>
    </w:p>
    <w:p>
      <w:pPr>
        <w:pStyle w:val="63"/>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189" w:right="0" w:rightChars="0"/>
        <w:jc w:val="both"/>
        <w:textAlignment w:val="auto"/>
        <w:rPr>
          <w:rFonts w:hint="eastAsia" w:ascii="宋体" w:hAnsi="宋体" w:eastAsia="宋体" w:cs="宋体"/>
          <w:color w:val="000000"/>
          <w:kern w:val="0"/>
          <w:sz w:val="24"/>
          <w:szCs w:val="20"/>
        </w:rPr>
      </w:pPr>
      <w:r>
        <w:rPr>
          <w:rFonts w:hint="eastAsia" w:ascii="宋体" w:hAnsi="宋体" w:cs="宋体"/>
          <w:color w:val="000000"/>
          <w:kern w:val="0"/>
          <w:sz w:val="24"/>
          <w:szCs w:val="20"/>
          <w:u w:val="none" w:color="auto"/>
          <w:lang w:val="en-US" w:eastAsia="zh-CN"/>
        </w:rPr>
        <w:t>四、</w:t>
      </w:r>
      <w:r>
        <w:rPr>
          <w:rFonts w:hint="eastAsia" w:ascii="宋体" w:hAnsi="宋体" w:eastAsia="宋体" w:cs="宋体"/>
          <w:color w:val="000000"/>
          <w:kern w:val="0"/>
          <w:sz w:val="24"/>
          <w:szCs w:val="20"/>
          <w:u w:val="none" w:color="auto"/>
          <w:lang w:val="en-US" w:eastAsia="zh-CN"/>
        </w:rPr>
        <w:t>我发现</w:t>
      </w:r>
      <w:r>
        <w:rPr>
          <w:rFonts w:hint="eastAsia" w:ascii="宋体" w:hAnsi="宋体" w:eastAsia="宋体" w:cs="宋体"/>
          <w:color w:val="000000"/>
          <w:kern w:val="0"/>
          <w:sz w:val="24"/>
          <w:szCs w:val="20"/>
          <w:u w:val="single" w:color="auto"/>
          <w:lang w:val="en-US" w:eastAsia="zh-CN"/>
        </w:rPr>
        <w:t xml:space="preserve">                    </w:t>
      </w:r>
      <w:r>
        <w:rPr>
          <w:rFonts w:hint="eastAsia" w:ascii="宋体" w:hAnsi="宋体" w:eastAsia="宋体" w:cs="宋体"/>
          <w:color w:val="000000"/>
          <w:kern w:val="0"/>
          <w:sz w:val="24"/>
          <w:szCs w:val="20"/>
          <w:u w:val="none" w:color="auto"/>
          <w:lang w:val="en-US" w:eastAsia="zh-CN"/>
        </w:rPr>
        <w:t>供应商之间存在或可能存在上述第二条第</w:t>
      </w:r>
      <w:r>
        <w:rPr>
          <w:rFonts w:hint="eastAsia" w:ascii="宋体" w:hAnsi="宋体" w:eastAsia="宋体" w:cs="宋体"/>
          <w:color w:val="000000"/>
          <w:kern w:val="0"/>
          <w:sz w:val="24"/>
          <w:szCs w:val="20"/>
          <w:u w:val="single" w:color="auto"/>
          <w:lang w:val="en-US" w:eastAsia="zh-CN"/>
        </w:rPr>
        <w:t xml:space="preserve">        </w:t>
      </w:r>
      <w:r>
        <w:rPr>
          <w:rFonts w:hint="eastAsia" w:ascii="宋体" w:hAnsi="宋体" w:eastAsia="宋体" w:cs="宋体"/>
          <w:color w:val="000000"/>
          <w:kern w:val="0"/>
          <w:sz w:val="24"/>
          <w:szCs w:val="20"/>
          <w:u w:val="none" w:color="auto"/>
          <w:lang w:val="en-US" w:eastAsia="zh-CN"/>
        </w:rPr>
        <w:t>项利害关系。</w:t>
      </w:r>
    </w:p>
    <w:p>
      <w:pPr>
        <w:pStyle w:val="62"/>
        <w:widowControl w:val="0"/>
        <w:snapToGrid w:val="0"/>
        <w:spacing w:line="240" w:lineRule="auto"/>
        <w:ind w:firstLine="480" w:firstLineChars="200"/>
        <w:jc w:val="both"/>
        <w:rPr>
          <w:rFonts w:hint="eastAsia" w:ascii="宋体" w:hAnsi="宋体" w:eastAsia="宋体" w:cs="宋体"/>
          <w:color w:val="000000"/>
          <w:sz w:val="24"/>
          <w:szCs w:val="20"/>
        </w:rPr>
      </w:pPr>
    </w:p>
    <w:p>
      <w:pPr>
        <w:pStyle w:val="62"/>
        <w:widowControl w:val="0"/>
        <w:snapToGrid w:val="0"/>
        <w:spacing w:line="240" w:lineRule="auto"/>
        <w:jc w:val="both"/>
        <w:rPr>
          <w:rFonts w:hint="eastAsia" w:ascii="宋体" w:hAnsi="宋体" w:eastAsia="宋体" w:cs="宋体"/>
          <w:color w:val="000000"/>
          <w:sz w:val="24"/>
          <w:szCs w:val="20"/>
        </w:rPr>
      </w:pPr>
    </w:p>
    <w:p>
      <w:pPr>
        <w:pStyle w:val="62"/>
        <w:widowControl w:val="0"/>
        <w:snapToGrid w:val="0"/>
        <w:spacing w:line="240" w:lineRule="auto"/>
        <w:ind w:firstLine="480" w:firstLineChars="200"/>
        <w:jc w:val="both"/>
        <w:rPr>
          <w:rFonts w:hint="eastAsia" w:ascii="宋体" w:hAnsi="宋体" w:eastAsia="宋体" w:cs="宋体"/>
          <w:color w:val="000000"/>
          <w:sz w:val="24"/>
          <w:szCs w:val="20"/>
        </w:rPr>
      </w:pPr>
    </w:p>
    <w:p>
      <w:pPr>
        <w:pStyle w:val="62"/>
        <w:widowControl w:val="0"/>
        <w:snapToGrid w:val="0"/>
        <w:spacing w:line="240" w:lineRule="auto"/>
        <w:ind w:firstLine="480" w:firstLineChars="200"/>
        <w:jc w:val="both"/>
        <w:rPr>
          <w:rFonts w:hint="eastAsia" w:ascii="宋体" w:hAnsi="宋体" w:eastAsia="宋体" w:cs="宋体"/>
          <w:color w:val="000000"/>
          <w:sz w:val="24"/>
          <w:szCs w:val="20"/>
        </w:rPr>
      </w:pPr>
      <w:r>
        <w:rPr>
          <w:rFonts w:hint="eastAsia" w:ascii="宋体" w:hAnsi="宋体" w:eastAsia="宋体" w:cs="宋体"/>
          <w:color w:val="000000"/>
          <w:sz w:val="24"/>
          <w:szCs w:val="20"/>
          <w:lang w:val="en-US" w:eastAsia="zh-CN"/>
        </w:rPr>
        <w:t xml:space="preserve">                               </w:t>
      </w:r>
      <w:r>
        <w:rPr>
          <w:rFonts w:hint="eastAsia" w:ascii="宋体" w:hAnsi="宋体" w:eastAsia="宋体" w:cs="宋体"/>
          <w:color w:val="000000"/>
          <w:sz w:val="24"/>
          <w:szCs w:val="20"/>
        </w:rPr>
        <w:t>（供应商代表签名）</w:t>
      </w:r>
      <w:r>
        <w:rPr>
          <w:rFonts w:hint="eastAsia" w:ascii="宋体" w:hAnsi="宋体" w:eastAsia="宋体" w:cs="宋体"/>
          <w:color w:val="000000"/>
          <w:sz w:val="24"/>
          <w:szCs w:val="20"/>
          <w:lang w:eastAsia="zh-CN"/>
        </w:rPr>
        <w:t>：</w:t>
      </w:r>
    </w:p>
    <w:p>
      <w:pPr>
        <w:pStyle w:val="62"/>
        <w:widowControl w:val="0"/>
        <w:snapToGrid w:val="0"/>
        <w:spacing w:line="240" w:lineRule="auto"/>
        <w:ind w:firstLine="480" w:firstLineChars="200"/>
        <w:jc w:val="both"/>
        <w:rPr>
          <w:rFonts w:hint="eastAsia" w:ascii="宋体" w:hAnsi="宋体" w:eastAsia="宋体" w:cs="宋体"/>
          <w:b/>
          <w:sz w:val="22"/>
          <w:szCs w:val="18"/>
          <w:lang w:val="en-US"/>
        </w:rPr>
      </w:pPr>
      <w:r>
        <w:rPr>
          <w:rFonts w:hint="eastAsia" w:ascii="宋体" w:hAnsi="宋体" w:eastAsia="宋体" w:cs="宋体"/>
          <w:color w:val="000000"/>
          <w:sz w:val="24"/>
          <w:szCs w:val="20"/>
        </w:rPr>
        <w:t xml:space="preserve">                               </w:t>
      </w:r>
      <w:r>
        <w:rPr>
          <w:rFonts w:hint="eastAsia" w:ascii="宋体" w:hAnsi="宋体" w:eastAsia="宋体" w:cs="宋体"/>
          <w:color w:val="000000"/>
          <w:sz w:val="24"/>
          <w:szCs w:val="20"/>
          <w:lang w:val="en-US" w:eastAsia="zh-CN"/>
        </w:rPr>
        <w:t xml:space="preserve">  </w:t>
      </w:r>
      <w:r>
        <w:rPr>
          <w:rFonts w:hint="eastAsia" w:hAnsi="宋体" w:cs="宋体"/>
          <w:color w:val="000000"/>
          <w:sz w:val="24"/>
          <w:szCs w:val="20"/>
          <w:lang w:val="en-US" w:eastAsia="zh-CN"/>
        </w:rPr>
        <w:t>2022年</w:t>
      </w:r>
      <w:r>
        <w:rPr>
          <w:rFonts w:hint="eastAsia" w:ascii="宋体" w:hAnsi="宋体" w:eastAsia="宋体" w:cs="宋体"/>
          <w:color w:val="000000"/>
          <w:sz w:val="24"/>
          <w:szCs w:val="20"/>
          <w:lang w:val="en-US" w:eastAsia="zh-CN"/>
        </w:rPr>
        <w:t xml:space="preserve">  月   日</w:t>
      </w:r>
    </w:p>
    <w:sectPr>
      <w:headerReference r:id="rId8" w:type="default"/>
      <w:pgSz w:w="11905" w:h="16838"/>
      <w:pgMar w:top="1440" w:right="517" w:bottom="1440" w:left="1928" w:header="1134" w:footer="1304" w:gutter="0"/>
      <w:pgBorders>
        <w:top w:val="none" w:sz="0" w:space="0"/>
        <w:left w:val="none" w:sz="0" w:space="0"/>
        <w:bottom w:val="none" w:sz="0" w:space="0"/>
        <w:right w:val="none" w:sz="0" w:space="0"/>
      </w:pgBorders>
      <w:pgNumType w:fmt="decimal"/>
      <w:cols w:space="0" w:num="1"/>
      <w:rtlGutter w:val="0"/>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PAGE  </w:instrText>
                          </w:r>
                          <w:r>
                            <w:fldChar w:fldCharType="separate"/>
                          </w:r>
                          <w:r>
                            <w:t>17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0"/>
                    </w:pPr>
                    <w:r>
                      <w:fldChar w:fldCharType="begin"/>
                    </w:r>
                    <w:r>
                      <w:instrText xml:space="preserve">PAGE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rPr>
                              <w:rFonts w:hint="eastAsia"/>
                            </w:rPr>
                            <w:t xml:space="preserve">第 </w:t>
                          </w:r>
                          <w:r>
                            <w:fldChar w:fldCharType="begin"/>
                          </w:r>
                          <w:r>
                            <w:instrText xml:space="preserve"> PAGE  \* MERGEFORMAT </w:instrText>
                          </w:r>
                          <w:r>
                            <w:fldChar w:fldCharType="separate"/>
                          </w:r>
                          <w:r>
                            <w:t>50</w:t>
                          </w:r>
                          <w:r>
                            <w:fldChar w:fldCharType="end"/>
                          </w:r>
                          <w:r>
                            <w:rPr>
                              <w:rFonts w:hint="eastAsia"/>
                            </w:rPr>
                            <w:t xml:space="preserve"> 页 共 </w:t>
                          </w:r>
                          <w:r>
                            <w:fldChar w:fldCharType="begin"/>
                          </w:r>
                          <w:r>
                            <w:instrText xml:space="preserve"> NUMPAGES  \* MERGEFORMAT </w:instrText>
                          </w:r>
                          <w:r>
                            <w:fldChar w:fldCharType="separate"/>
                          </w:r>
                          <w:r>
                            <w:t>80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20"/>
                    </w:pPr>
                    <w:r>
                      <w:rPr>
                        <w:rFonts w:hint="eastAsia"/>
                      </w:rPr>
                      <w:t xml:space="preserve">第 </w:t>
                    </w:r>
                    <w:r>
                      <w:fldChar w:fldCharType="begin"/>
                    </w:r>
                    <w:r>
                      <w:instrText xml:space="preserve"> PAGE  \* MERGEFORMAT </w:instrText>
                    </w:r>
                    <w:r>
                      <w:fldChar w:fldCharType="separate"/>
                    </w:r>
                    <w:r>
                      <w:t>50</w:t>
                    </w:r>
                    <w:r>
                      <w:fldChar w:fldCharType="end"/>
                    </w:r>
                    <w:r>
                      <w:rPr>
                        <w:rFonts w:hint="eastAsia"/>
                      </w:rPr>
                      <w:t xml:space="preserve"> 页 共 </w:t>
                    </w:r>
                    <w:r>
                      <w:fldChar w:fldCharType="begin"/>
                    </w:r>
                    <w:r>
                      <w:instrText xml:space="preserve"> NUMPAGES  \* MERGEFORMAT </w:instrText>
                    </w:r>
                    <w:r>
                      <w:fldChar w:fldCharType="separate"/>
                    </w:r>
                    <w:r>
                      <w:t>80</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bidi w:val="0"/>
      <w:ind w:left="0" w:leftChars="0" w:firstLine="0" w:firstLineChars="0"/>
      <w:rPr>
        <w:rFonts w:hint="eastAsia" w:eastAsia="宋体"/>
        <w:b/>
        <w:bCs/>
        <w:sz w:val="18"/>
        <w:szCs w:val="18"/>
        <w:u w:val="singl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bidi w:val="0"/>
      <w:ind w:left="0" w:leftChars="0" w:firstLine="0" w:firstLineChars="0"/>
      <w:rPr>
        <w:rFonts w:hint="default"/>
        <w:b/>
        <w:bCs/>
        <w:sz w:val="20"/>
        <w:szCs w:val="20"/>
        <w:u w:val="single"/>
        <w:lang w:val="en-US" w:eastAsia="zh-CN"/>
      </w:rPr>
    </w:pPr>
    <w:r>
      <w:rPr>
        <w:rFonts w:hint="eastAsia"/>
        <w:b/>
        <w:bCs/>
        <w:sz w:val="20"/>
        <w:szCs w:val="20"/>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0CFF4"/>
    <w:multiLevelType w:val="singleLevel"/>
    <w:tmpl w:val="8600CFF4"/>
    <w:lvl w:ilvl="0" w:tentative="0">
      <w:start w:val="1"/>
      <w:numFmt w:val="chineseCounting"/>
      <w:lvlText w:val="(%1)"/>
      <w:lvlJc w:val="left"/>
      <w:pPr>
        <w:tabs>
          <w:tab w:val="left" w:pos="312"/>
        </w:tabs>
      </w:pPr>
      <w:rPr>
        <w:rFonts w:hint="eastAsia"/>
      </w:rPr>
    </w:lvl>
  </w:abstractNum>
  <w:abstractNum w:abstractNumId="1">
    <w:nsid w:val="9AA60DD3"/>
    <w:multiLevelType w:val="singleLevel"/>
    <w:tmpl w:val="9AA60DD3"/>
    <w:lvl w:ilvl="0" w:tentative="0">
      <w:start w:val="1"/>
      <w:numFmt w:val="decimal"/>
      <w:suff w:val="nothing"/>
      <w:lvlText w:val="%1、"/>
      <w:lvlJc w:val="left"/>
    </w:lvl>
  </w:abstractNum>
  <w:abstractNum w:abstractNumId="2">
    <w:nsid w:val="A1030656"/>
    <w:multiLevelType w:val="singleLevel"/>
    <w:tmpl w:val="A1030656"/>
    <w:lvl w:ilvl="0" w:tentative="0">
      <w:start w:val="1"/>
      <w:numFmt w:val="decimal"/>
      <w:suff w:val="nothing"/>
      <w:lvlText w:val="%1、"/>
      <w:lvlJc w:val="left"/>
    </w:lvl>
  </w:abstractNum>
  <w:abstractNum w:abstractNumId="3">
    <w:nsid w:val="AE2D8F7B"/>
    <w:multiLevelType w:val="singleLevel"/>
    <w:tmpl w:val="AE2D8F7B"/>
    <w:lvl w:ilvl="0" w:tentative="0">
      <w:start w:val="1"/>
      <w:numFmt w:val="decimal"/>
      <w:pStyle w:val="10"/>
      <w:lvlText w:val="%1."/>
      <w:lvlJc w:val="left"/>
      <w:pPr>
        <w:tabs>
          <w:tab w:val="left" w:pos="1070"/>
        </w:tabs>
        <w:ind w:left="1070" w:hanging="360"/>
      </w:pPr>
      <w:rPr>
        <w:rFonts w:cs="Times New Roman"/>
      </w:rPr>
    </w:lvl>
  </w:abstractNum>
  <w:abstractNum w:abstractNumId="4">
    <w:nsid w:val="AFAC851A"/>
    <w:multiLevelType w:val="singleLevel"/>
    <w:tmpl w:val="AFAC851A"/>
    <w:lvl w:ilvl="0" w:tentative="0">
      <w:start w:val="1"/>
      <w:numFmt w:val="decimal"/>
      <w:suff w:val="nothing"/>
      <w:lvlText w:val="%1、"/>
      <w:lvlJc w:val="left"/>
      <w:rPr>
        <w:rFonts w:cs="Times New Roman"/>
      </w:rPr>
    </w:lvl>
  </w:abstractNum>
  <w:abstractNum w:abstractNumId="5">
    <w:nsid w:val="C9C77C0D"/>
    <w:multiLevelType w:val="singleLevel"/>
    <w:tmpl w:val="C9C77C0D"/>
    <w:lvl w:ilvl="0" w:tentative="0">
      <w:start w:val="1"/>
      <w:numFmt w:val="decimal"/>
      <w:suff w:val="nothing"/>
      <w:lvlText w:val="%1、"/>
      <w:lvlJc w:val="left"/>
    </w:lvl>
  </w:abstractNum>
  <w:abstractNum w:abstractNumId="6">
    <w:nsid w:val="E33B11D4"/>
    <w:multiLevelType w:val="singleLevel"/>
    <w:tmpl w:val="E33B11D4"/>
    <w:lvl w:ilvl="0" w:tentative="0">
      <w:start w:val="3"/>
      <w:numFmt w:val="decimal"/>
      <w:suff w:val="nothing"/>
      <w:lvlText w:val="%1、"/>
      <w:lvlJc w:val="left"/>
    </w:lvl>
  </w:abstractNum>
  <w:abstractNum w:abstractNumId="7">
    <w:nsid w:val="FC518B10"/>
    <w:multiLevelType w:val="singleLevel"/>
    <w:tmpl w:val="FC518B10"/>
    <w:lvl w:ilvl="0" w:tentative="0">
      <w:start w:val="4"/>
      <w:numFmt w:val="chineseCounting"/>
      <w:suff w:val="nothing"/>
      <w:lvlText w:val="（%1）"/>
      <w:lvlJc w:val="left"/>
      <w:rPr>
        <w:rFonts w:hint="eastAsia"/>
      </w:rPr>
    </w:lvl>
  </w:abstractNum>
  <w:abstractNum w:abstractNumId="8">
    <w:nsid w:val="44D90D5A"/>
    <w:multiLevelType w:val="multilevel"/>
    <w:tmpl w:val="44D90D5A"/>
    <w:lvl w:ilvl="0" w:tentative="0">
      <w:start w:val="1"/>
      <w:numFmt w:val="none"/>
      <w:suff w:val="space"/>
      <w:lvlText w:val="一"/>
      <w:lvlJc w:val="left"/>
      <w:pPr>
        <w:ind w:left="0" w:firstLine="0"/>
      </w:pPr>
      <w:rPr>
        <w:rFonts w:hint="eastAsia"/>
      </w:rPr>
    </w:lvl>
    <w:lvl w:ilvl="1" w:tentative="0">
      <w:start w:val="1"/>
      <w:numFmt w:val="decimal"/>
      <w:lvlRestart w:val="0"/>
      <w:suff w:val="space"/>
      <w:lvlText w:val="%1%2"/>
      <w:lvlJc w:val="left"/>
      <w:pPr>
        <w:ind w:left="0" w:firstLine="0"/>
      </w:pPr>
      <w:rPr>
        <w:rFonts w:hint="default" w:ascii="Times New Roman" w:hAnsi="Times New Roman"/>
      </w:rPr>
    </w:lvl>
    <w:lvl w:ilvl="2" w:tentative="0">
      <w:start w:val="1"/>
      <w:numFmt w:val="decimal"/>
      <w:pStyle w:val="4"/>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default" w:ascii="Times New Roman" w:hAnsi="Times New Roman" w:cs="Times New Roman"/>
      </w:rPr>
    </w:lvl>
    <w:lvl w:ilvl="4" w:tentative="0">
      <w:start w:val="1"/>
      <w:numFmt w:val="decimal"/>
      <w:suff w:val="space"/>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54F403B5"/>
    <w:multiLevelType w:val="singleLevel"/>
    <w:tmpl w:val="54F403B5"/>
    <w:lvl w:ilvl="0" w:tentative="0">
      <w:start w:val="1"/>
      <w:numFmt w:val="chineseCounting"/>
      <w:suff w:val="nothing"/>
      <w:lvlText w:val="%1、"/>
      <w:lvlJc w:val="left"/>
    </w:lvl>
  </w:abstractNum>
  <w:num w:numId="1">
    <w:abstractNumId w:val="8"/>
  </w:num>
  <w:num w:numId="2">
    <w:abstractNumId w:val="3"/>
  </w:num>
  <w:num w:numId="3">
    <w:abstractNumId w:val="0"/>
  </w:num>
  <w:num w:numId="4">
    <w:abstractNumId w:val="6"/>
  </w:num>
  <w:num w:numId="5">
    <w:abstractNumId w:val="7"/>
  </w:num>
  <w:num w:numId="6">
    <w:abstractNumId w:val="1"/>
  </w:num>
  <w:num w:numId="7">
    <w:abstractNumId w:val="2"/>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8"/>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MmQ2Y2JmMDM4MGJmYzI5NDkwZmExNDc1ZmU2NzQifQ=="/>
  </w:docVars>
  <w:rsids>
    <w:rsidRoot w:val="0E970358"/>
    <w:rsid w:val="00000F17"/>
    <w:rsid w:val="00001503"/>
    <w:rsid w:val="0002199D"/>
    <w:rsid w:val="0004261B"/>
    <w:rsid w:val="000455D1"/>
    <w:rsid w:val="0004585A"/>
    <w:rsid w:val="00051A10"/>
    <w:rsid w:val="0006294D"/>
    <w:rsid w:val="00062AB3"/>
    <w:rsid w:val="000A36D3"/>
    <w:rsid w:val="000D067B"/>
    <w:rsid w:val="000E49F9"/>
    <w:rsid w:val="000F06E9"/>
    <w:rsid w:val="000F4673"/>
    <w:rsid w:val="000F4C1C"/>
    <w:rsid w:val="00107BF6"/>
    <w:rsid w:val="00112D0E"/>
    <w:rsid w:val="00116C73"/>
    <w:rsid w:val="00122944"/>
    <w:rsid w:val="00154250"/>
    <w:rsid w:val="00165F2A"/>
    <w:rsid w:val="001728EE"/>
    <w:rsid w:val="00191927"/>
    <w:rsid w:val="001A3E7A"/>
    <w:rsid w:val="001D7044"/>
    <w:rsid w:val="001F762C"/>
    <w:rsid w:val="00201D62"/>
    <w:rsid w:val="0021318F"/>
    <w:rsid w:val="002165E9"/>
    <w:rsid w:val="002232BE"/>
    <w:rsid w:val="00226D4D"/>
    <w:rsid w:val="00243FB3"/>
    <w:rsid w:val="00250AF1"/>
    <w:rsid w:val="00251214"/>
    <w:rsid w:val="00275207"/>
    <w:rsid w:val="00275AD9"/>
    <w:rsid w:val="002A1620"/>
    <w:rsid w:val="002B1189"/>
    <w:rsid w:val="002D51C5"/>
    <w:rsid w:val="002D5ACF"/>
    <w:rsid w:val="002E3E2F"/>
    <w:rsid w:val="002E4DD6"/>
    <w:rsid w:val="003102FB"/>
    <w:rsid w:val="00313638"/>
    <w:rsid w:val="003171FB"/>
    <w:rsid w:val="00332E30"/>
    <w:rsid w:val="00346584"/>
    <w:rsid w:val="00346DD8"/>
    <w:rsid w:val="003638D8"/>
    <w:rsid w:val="003639DE"/>
    <w:rsid w:val="003645B3"/>
    <w:rsid w:val="0037446B"/>
    <w:rsid w:val="003806B8"/>
    <w:rsid w:val="003907AB"/>
    <w:rsid w:val="003A0D2A"/>
    <w:rsid w:val="003A1960"/>
    <w:rsid w:val="003B75F0"/>
    <w:rsid w:val="003C5E00"/>
    <w:rsid w:val="003D4ECD"/>
    <w:rsid w:val="003E32CD"/>
    <w:rsid w:val="003F595C"/>
    <w:rsid w:val="003F78E0"/>
    <w:rsid w:val="0040648F"/>
    <w:rsid w:val="00414343"/>
    <w:rsid w:val="00417D90"/>
    <w:rsid w:val="004223B8"/>
    <w:rsid w:val="0042491E"/>
    <w:rsid w:val="00441FAE"/>
    <w:rsid w:val="00446CEF"/>
    <w:rsid w:val="00452C78"/>
    <w:rsid w:val="00462ED2"/>
    <w:rsid w:val="0046320E"/>
    <w:rsid w:val="00463352"/>
    <w:rsid w:val="004811AA"/>
    <w:rsid w:val="00491BDF"/>
    <w:rsid w:val="00492E70"/>
    <w:rsid w:val="004A2A54"/>
    <w:rsid w:val="004A44AA"/>
    <w:rsid w:val="004B20C8"/>
    <w:rsid w:val="004B4165"/>
    <w:rsid w:val="004B41F3"/>
    <w:rsid w:val="004C2DD5"/>
    <w:rsid w:val="004C44FA"/>
    <w:rsid w:val="004E66F6"/>
    <w:rsid w:val="005176A9"/>
    <w:rsid w:val="00523883"/>
    <w:rsid w:val="0054372B"/>
    <w:rsid w:val="005439FA"/>
    <w:rsid w:val="00561B0B"/>
    <w:rsid w:val="0057140A"/>
    <w:rsid w:val="00582481"/>
    <w:rsid w:val="00584BEC"/>
    <w:rsid w:val="0059487B"/>
    <w:rsid w:val="005A1E9A"/>
    <w:rsid w:val="005A410D"/>
    <w:rsid w:val="00607C73"/>
    <w:rsid w:val="00615CB3"/>
    <w:rsid w:val="00616E31"/>
    <w:rsid w:val="00624393"/>
    <w:rsid w:val="00625D50"/>
    <w:rsid w:val="00635EB5"/>
    <w:rsid w:val="00655E3C"/>
    <w:rsid w:val="00663E40"/>
    <w:rsid w:val="00670734"/>
    <w:rsid w:val="00674C42"/>
    <w:rsid w:val="00680F4D"/>
    <w:rsid w:val="00683396"/>
    <w:rsid w:val="00683E7C"/>
    <w:rsid w:val="00696B76"/>
    <w:rsid w:val="006A1428"/>
    <w:rsid w:val="006B1C70"/>
    <w:rsid w:val="006B4465"/>
    <w:rsid w:val="006C01EC"/>
    <w:rsid w:val="006C2786"/>
    <w:rsid w:val="006E0C84"/>
    <w:rsid w:val="006F4DFE"/>
    <w:rsid w:val="00704B23"/>
    <w:rsid w:val="00720551"/>
    <w:rsid w:val="00767E76"/>
    <w:rsid w:val="00771BFE"/>
    <w:rsid w:val="00792925"/>
    <w:rsid w:val="007A2629"/>
    <w:rsid w:val="007C1005"/>
    <w:rsid w:val="007C52FB"/>
    <w:rsid w:val="007C7544"/>
    <w:rsid w:val="007E76D9"/>
    <w:rsid w:val="007E7DE2"/>
    <w:rsid w:val="007F7A18"/>
    <w:rsid w:val="008000E9"/>
    <w:rsid w:val="00802325"/>
    <w:rsid w:val="00806EAF"/>
    <w:rsid w:val="00810314"/>
    <w:rsid w:val="0081778E"/>
    <w:rsid w:val="00820750"/>
    <w:rsid w:val="008272FC"/>
    <w:rsid w:val="00847BE5"/>
    <w:rsid w:val="0085220F"/>
    <w:rsid w:val="00855B29"/>
    <w:rsid w:val="008618DC"/>
    <w:rsid w:val="0086410A"/>
    <w:rsid w:val="008656B0"/>
    <w:rsid w:val="00875AC9"/>
    <w:rsid w:val="008765C3"/>
    <w:rsid w:val="0088066B"/>
    <w:rsid w:val="008807ED"/>
    <w:rsid w:val="0088496C"/>
    <w:rsid w:val="00891BA9"/>
    <w:rsid w:val="008C55AE"/>
    <w:rsid w:val="008D349F"/>
    <w:rsid w:val="008E422D"/>
    <w:rsid w:val="008F5018"/>
    <w:rsid w:val="00912983"/>
    <w:rsid w:val="009149C1"/>
    <w:rsid w:val="0092485D"/>
    <w:rsid w:val="009501D3"/>
    <w:rsid w:val="00964258"/>
    <w:rsid w:val="0098003D"/>
    <w:rsid w:val="00985AAA"/>
    <w:rsid w:val="009B3E22"/>
    <w:rsid w:val="009D0731"/>
    <w:rsid w:val="009D576B"/>
    <w:rsid w:val="009D7DF0"/>
    <w:rsid w:val="009E3D2C"/>
    <w:rsid w:val="009F0D00"/>
    <w:rsid w:val="009F3459"/>
    <w:rsid w:val="00A0183F"/>
    <w:rsid w:val="00A14C19"/>
    <w:rsid w:val="00A24CB5"/>
    <w:rsid w:val="00A30B75"/>
    <w:rsid w:val="00A51DC9"/>
    <w:rsid w:val="00A561B9"/>
    <w:rsid w:val="00A730CA"/>
    <w:rsid w:val="00A9111E"/>
    <w:rsid w:val="00A96C38"/>
    <w:rsid w:val="00AA1D6F"/>
    <w:rsid w:val="00AC45B4"/>
    <w:rsid w:val="00AD682D"/>
    <w:rsid w:val="00B01964"/>
    <w:rsid w:val="00B10D42"/>
    <w:rsid w:val="00B12F04"/>
    <w:rsid w:val="00B15DDF"/>
    <w:rsid w:val="00B31BFD"/>
    <w:rsid w:val="00B3382E"/>
    <w:rsid w:val="00B5399A"/>
    <w:rsid w:val="00B72B07"/>
    <w:rsid w:val="00B85EAB"/>
    <w:rsid w:val="00BB3F4B"/>
    <w:rsid w:val="00BC7C1E"/>
    <w:rsid w:val="00BD161F"/>
    <w:rsid w:val="00BE0DD6"/>
    <w:rsid w:val="00BE222A"/>
    <w:rsid w:val="00BE3743"/>
    <w:rsid w:val="00BE4F0E"/>
    <w:rsid w:val="00C00ACE"/>
    <w:rsid w:val="00C068E1"/>
    <w:rsid w:val="00C31D3D"/>
    <w:rsid w:val="00C34A14"/>
    <w:rsid w:val="00C45068"/>
    <w:rsid w:val="00C52E14"/>
    <w:rsid w:val="00C610B0"/>
    <w:rsid w:val="00C65624"/>
    <w:rsid w:val="00C716C9"/>
    <w:rsid w:val="00C71C50"/>
    <w:rsid w:val="00C767D4"/>
    <w:rsid w:val="00C76F3B"/>
    <w:rsid w:val="00CB4902"/>
    <w:rsid w:val="00CB6273"/>
    <w:rsid w:val="00CC232E"/>
    <w:rsid w:val="00CC3DE2"/>
    <w:rsid w:val="00CD1804"/>
    <w:rsid w:val="00CE4D1B"/>
    <w:rsid w:val="00CF7AF2"/>
    <w:rsid w:val="00D117BA"/>
    <w:rsid w:val="00D13ADB"/>
    <w:rsid w:val="00D220E4"/>
    <w:rsid w:val="00D603C1"/>
    <w:rsid w:val="00D731C1"/>
    <w:rsid w:val="00D869EF"/>
    <w:rsid w:val="00D974D8"/>
    <w:rsid w:val="00DA3EDF"/>
    <w:rsid w:val="00DA5164"/>
    <w:rsid w:val="00DC4B61"/>
    <w:rsid w:val="00DD188E"/>
    <w:rsid w:val="00DD1EFC"/>
    <w:rsid w:val="00DD32AE"/>
    <w:rsid w:val="00DF1EBB"/>
    <w:rsid w:val="00DF7DAB"/>
    <w:rsid w:val="00E03442"/>
    <w:rsid w:val="00E253CA"/>
    <w:rsid w:val="00E319E7"/>
    <w:rsid w:val="00E452AE"/>
    <w:rsid w:val="00E45F1A"/>
    <w:rsid w:val="00E5764B"/>
    <w:rsid w:val="00E663E4"/>
    <w:rsid w:val="00E67C65"/>
    <w:rsid w:val="00E7788A"/>
    <w:rsid w:val="00E936B3"/>
    <w:rsid w:val="00EC18E9"/>
    <w:rsid w:val="00EC7A17"/>
    <w:rsid w:val="00ED5039"/>
    <w:rsid w:val="00EF2797"/>
    <w:rsid w:val="00F10AC9"/>
    <w:rsid w:val="00F127FF"/>
    <w:rsid w:val="00F21B06"/>
    <w:rsid w:val="00F41457"/>
    <w:rsid w:val="00F4402B"/>
    <w:rsid w:val="00F4419E"/>
    <w:rsid w:val="00F72C48"/>
    <w:rsid w:val="00F7484A"/>
    <w:rsid w:val="00F96DCE"/>
    <w:rsid w:val="00FB6666"/>
    <w:rsid w:val="00FC1944"/>
    <w:rsid w:val="00FD4075"/>
    <w:rsid w:val="00FD457D"/>
    <w:rsid w:val="00FD6DA1"/>
    <w:rsid w:val="00FE4FF9"/>
    <w:rsid w:val="00FF1405"/>
    <w:rsid w:val="010E6E92"/>
    <w:rsid w:val="01514663"/>
    <w:rsid w:val="015B511D"/>
    <w:rsid w:val="01935887"/>
    <w:rsid w:val="01A666DA"/>
    <w:rsid w:val="01F33470"/>
    <w:rsid w:val="02340D23"/>
    <w:rsid w:val="02342D57"/>
    <w:rsid w:val="02833336"/>
    <w:rsid w:val="02892562"/>
    <w:rsid w:val="02EA40CD"/>
    <w:rsid w:val="02EE640A"/>
    <w:rsid w:val="03051229"/>
    <w:rsid w:val="03606517"/>
    <w:rsid w:val="036C2CC6"/>
    <w:rsid w:val="03814815"/>
    <w:rsid w:val="040B5A9D"/>
    <w:rsid w:val="04777E7D"/>
    <w:rsid w:val="047D57B4"/>
    <w:rsid w:val="049E24AA"/>
    <w:rsid w:val="04B012A8"/>
    <w:rsid w:val="04C85F46"/>
    <w:rsid w:val="04CC341D"/>
    <w:rsid w:val="04E62470"/>
    <w:rsid w:val="05137CD7"/>
    <w:rsid w:val="05154E0C"/>
    <w:rsid w:val="052110C8"/>
    <w:rsid w:val="055165CD"/>
    <w:rsid w:val="05877E33"/>
    <w:rsid w:val="05EB5C7C"/>
    <w:rsid w:val="060629A9"/>
    <w:rsid w:val="060B26E0"/>
    <w:rsid w:val="060D4CC9"/>
    <w:rsid w:val="063D0FB4"/>
    <w:rsid w:val="064121F6"/>
    <w:rsid w:val="06474A43"/>
    <w:rsid w:val="06734DC6"/>
    <w:rsid w:val="06816C22"/>
    <w:rsid w:val="06894391"/>
    <w:rsid w:val="069A3F03"/>
    <w:rsid w:val="06F7755F"/>
    <w:rsid w:val="07132E29"/>
    <w:rsid w:val="07182E49"/>
    <w:rsid w:val="0719138E"/>
    <w:rsid w:val="071C2CF6"/>
    <w:rsid w:val="07250ABA"/>
    <w:rsid w:val="07C719B2"/>
    <w:rsid w:val="080126ED"/>
    <w:rsid w:val="087F1778"/>
    <w:rsid w:val="08886FD2"/>
    <w:rsid w:val="08896D5B"/>
    <w:rsid w:val="088D3477"/>
    <w:rsid w:val="0890739F"/>
    <w:rsid w:val="08F273E4"/>
    <w:rsid w:val="091C1110"/>
    <w:rsid w:val="09322AD0"/>
    <w:rsid w:val="093E7303"/>
    <w:rsid w:val="095D57B8"/>
    <w:rsid w:val="095E7B68"/>
    <w:rsid w:val="096A2124"/>
    <w:rsid w:val="098A2122"/>
    <w:rsid w:val="099311DA"/>
    <w:rsid w:val="09FB55DE"/>
    <w:rsid w:val="0A2876D9"/>
    <w:rsid w:val="0A3A569A"/>
    <w:rsid w:val="0A457A35"/>
    <w:rsid w:val="0AC56FBF"/>
    <w:rsid w:val="0ADD3852"/>
    <w:rsid w:val="0B04049C"/>
    <w:rsid w:val="0B3B0C81"/>
    <w:rsid w:val="0B946EFF"/>
    <w:rsid w:val="0BD303ED"/>
    <w:rsid w:val="0C1E2BA0"/>
    <w:rsid w:val="0C664D2E"/>
    <w:rsid w:val="0C765CB2"/>
    <w:rsid w:val="0CBD0583"/>
    <w:rsid w:val="0D131B85"/>
    <w:rsid w:val="0D2C1181"/>
    <w:rsid w:val="0D466A64"/>
    <w:rsid w:val="0DB625E6"/>
    <w:rsid w:val="0DB73565"/>
    <w:rsid w:val="0DC359D5"/>
    <w:rsid w:val="0DC70A0A"/>
    <w:rsid w:val="0DD65942"/>
    <w:rsid w:val="0DE775DD"/>
    <w:rsid w:val="0DED4344"/>
    <w:rsid w:val="0E1A3FFE"/>
    <w:rsid w:val="0E242445"/>
    <w:rsid w:val="0E6D26E7"/>
    <w:rsid w:val="0E7B1859"/>
    <w:rsid w:val="0E970358"/>
    <w:rsid w:val="0EA70C00"/>
    <w:rsid w:val="0EC964BE"/>
    <w:rsid w:val="0EDE2DB2"/>
    <w:rsid w:val="0EF6634E"/>
    <w:rsid w:val="0F2D6E13"/>
    <w:rsid w:val="0F381D19"/>
    <w:rsid w:val="0F8E7CCA"/>
    <w:rsid w:val="0FD221B2"/>
    <w:rsid w:val="0FE8038D"/>
    <w:rsid w:val="10040BD6"/>
    <w:rsid w:val="10392EAE"/>
    <w:rsid w:val="1049183E"/>
    <w:rsid w:val="10706EC2"/>
    <w:rsid w:val="10F702FF"/>
    <w:rsid w:val="11061C92"/>
    <w:rsid w:val="11617F02"/>
    <w:rsid w:val="11B35506"/>
    <w:rsid w:val="11DC26C1"/>
    <w:rsid w:val="11F27D2E"/>
    <w:rsid w:val="121B2245"/>
    <w:rsid w:val="122E0681"/>
    <w:rsid w:val="1233442A"/>
    <w:rsid w:val="12441D45"/>
    <w:rsid w:val="12692C77"/>
    <w:rsid w:val="12764066"/>
    <w:rsid w:val="12807280"/>
    <w:rsid w:val="12923FFF"/>
    <w:rsid w:val="12FD624C"/>
    <w:rsid w:val="130B7FF7"/>
    <w:rsid w:val="13103F0F"/>
    <w:rsid w:val="134A7FE6"/>
    <w:rsid w:val="138159CF"/>
    <w:rsid w:val="13A11597"/>
    <w:rsid w:val="13B5316D"/>
    <w:rsid w:val="13CD65B1"/>
    <w:rsid w:val="148463E6"/>
    <w:rsid w:val="14942220"/>
    <w:rsid w:val="14945C4B"/>
    <w:rsid w:val="14B238DB"/>
    <w:rsid w:val="14D20D9B"/>
    <w:rsid w:val="153159F4"/>
    <w:rsid w:val="154725E4"/>
    <w:rsid w:val="1563410A"/>
    <w:rsid w:val="159965F1"/>
    <w:rsid w:val="159E3BD5"/>
    <w:rsid w:val="15A72BED"/>
    <w:rsid w:val="15C154FF"/>
    <w:rsid w:val="1621170E"/>
    <w:rsid w:val="164169DD"/>
    <w:rsid w:val="169527FB"/>
    <w:rsid w:val="16E40BB1"/>
    <w:rsid w:val="16F33439"/>
    <w:rsid w:val="1704664E"/>
    <w:rsid w:val="17132AEA"/>
    <w:rsid w:val="175E3CFF"/>
    <w:rsid w:val="17C57F05"/>
    <w:rsid w:val="17E642EE"/>
    <w:rsid w:val="17F15BF1"/>
    <w:rsid w:val="180977F9"/>
    <w:rsid w:val="181C3304"/>
    <w:rsid w:val="185A295C"/>
    <w:rsid w:val="185C28A0"/>
    <w:rsid w:val="1888265A"/>
    <w:rsid w:val="18A65827"/>
    <w:rsid w:val="18AF5EEA"/>
    <w:rsid w:val="18B21069"/>
    <w:rsid w:val="18B91D2B"/>
    <w:rsid w:val="18C40414"/>
    <w:rsid w:val="194A053B"/>
    <w:rsid w:val="1978041D"/>
    <w:rsid w:val="199A1177"/>
    <w:rsid w:val="19A431C0"/>
    <w:rsid w:val="19B71C72"/>
    <w:rsid w:val="19F64A65"/>
    <w:rsid w:val="1A4E2B62"/>
    <w:rsid w:val="1A5505DC"/>
    <w:rsid w:val="1A60180F"/>
    <w:rsid w:val="1A6A6D44"/>
    <w:rsid w:val="1A764D21"/>
    <w:rsid w:val="1A817123"/>
    <w:rsid w:val="1AC11AD8"/>
    <w:rsid w:val="1AD84F90"/>
    <w:rsid w:val="1B2247A2"/>
    <w:rsid w:val="1B6274C8"/>
    <w:rsid w:val="1B6A60FA"/>
    <w:rsid w:val="1B7E5AA8"/>
    <w:rsid w:val="1B950B2D"/>
    <w:rsid w:val="1BC7480A"/>
    <w:rsid w:val="1BCA25D5"/>
    <w:rsid w:val="1C011799"/>
    <w:rsid w:val="1C093ECB"/>
    <w:rsid w:val="1C1A28CB"/>
    <w:rsid w:val="1C300295"/>
    <w:rsid w:val="1C3C69B6"/>
    <w:rsid w:val="1C665E06"/>
    <w:rsid w:val="1C7B4373"/>
    <w:rsid w:val="1C9253E6"/>
    <w:rsid w:val="1CAF15DF"/>
    <w:rsid w:val="1CE43D62"/>
    <w:rsid w:val="1CE4433A"/>
    <w:rsid w:val="1CFD5CD5"/>
    <w:rsid w:val="1D0D2C99"/>
    <w:rsid w:val="1D4D008E"/>
    <w:rsid w:val="1DBC50ED"/>
    <w:rsid w:val="1E723696"/>
    <w:rsid w:val="1E7372E9"/>
    <w:rsid w:val="1E90000B"/>
    <w:rsid w:val="1EC52C81"/>
    <w:rsid w:val="1EC95AF2"/>
    <w:rsid w:val="1ED0396F"/>
    <w:rsid w:val="1EE84AA8"/>
    <w:rsid w:val="1F143134"/>
    <w:rsid w:val="1F3E6D33"/>
    <w:rsid w:val="1F837219"/>
    <w:rsid w:val="1FC65420"/>
    <w:rsid w:val="1FEF6139"/>
    <w:rsid w:val="1FF821DC"/>
    <w:rsid w:val="205E1FA5"/>
    <w:rsid w:val="2060181A"/>
    <w:rsid w:val="206E30A7"/>
    <w:rsid w:val="20743E4C"/>
    <w:rsid w:val="208B4B0C"/>
    <w:rsid w:val="20925798"/>
    <w:rsid w:val="20BF0C96"/>
    <w:rsid w:val="20E1183E"/>
    <w:rsid w:val="20EA1DAD"/>
    <w:rsid w:val="211B6DAF"/>
    <w:rsid w:val="21822C84"/>
    <w:rsid w:val="21C674C7"/>
    <w:rsid w:val="21CF11AD"/>
    <w:rsid w:val="21D564EB"/>
    <w:rsid w:val="21D77416"/>
    <w:rsid w:val="21E17E8F"/>
    <w:rsid w:val="21EF792F"/>
    <w:rsid w:val="21FD745F"/>
    <w:rsid w:val="22285261"/>
    <w:rsid w:val="2261132E"/>
    <w:rsid w:val="228233CA"/>
    <w:rsid w:val="228447E5"/>
    <w:rsid w:val="22B04FE0"/>
    <w:rsid w:val="23113306"/>
    <w:rsid w:val="233169B6"/>
    <w:rsid w:val="23395713"/>
    <w:rsid w:val="23424F53"/>
    <w:rsid w:val="236E14E2"/>
    <w:rsid w:val="237D4DE5"/>
    <w:rsid w:val="238735C1"/>
    <w:rsid w:val="23B2716A"/>
    <w:rsid w:val="23E718EE"/>
    <w:rsid w:val="23F71E81"/>
    <w:rsid w:val="240A5C3D"/>
    <w:rsid w:val="241F4FF4"/>
    <w:rsid w:val="24225E1A"/>
    <w:rsid w:val="242379FA"/>
    <w:rsid w:val="244666CC"/>
    <w:rsid w:val="24863194"/>
    <w:rsid w:val="248A5117"/>
    <w:rsid w:val="248F4880"/>
    <w:rsid w:val="24931C04"/>
    <w:rsid w:val="249B3375"/>
    <w:rsid w:val="24D542CD"/>
    <w:rsid w:val="25474A82"/>
    <w:rsid w:val="254C0930"/>
    <w:rsid w:val="256266E5"/>
    <w:rsid w:val="257707D6"/>
    <w:rsid w:val="257E3449"/>
    <w:rsid w:val="25E55394"/>
    <w:rsid w:val="26741DCF"/>
    <w:rsid w:val="272F6449"/>
    <w:rsid w:val="273C33CE"/>
    <w:rsid w:val="274F03E2"/>
    <w:rsid w:val="275D6A59"/>
    <w:rsid w:val="277E1E75"/>
    <w:rsid w:val="27C113EB"/>
    <w:rsid w:val="27D70650"/>
    <w:rsid w:val="27F865FE"/>
    <w:rsid w:val="280A007C"/>
    <w:rsid w:val="281C0B58"/>
    <w:rsid w:val="286A6834"/>
    <w:rsid w:val="286F68E1"/>
    <w:rsid w:val="287C1585"/>
    <w:rsid w:val="288021B7"/>
    <w:rsid w:val="28C4113F"/>
    <w:rsid w:val="28CC3B33"/>
    <w:rsid w:val="290C38B5"/>
    <w:rsid w:val="29372A10"/>
    <w:rsid w:val="294D5AFA"/>
    <w:rsid w:val="29CC1883"/>
    <w:rsid w:val="29D148D0"/>
    <w:rsid w:val="2A793EA6"/>
    <w:rsid w:val="2AB738DA"/>
    <w:rsid w:val="2ABB37F9"/>
    <w:rsid w:val="2AC803DC"/>
    <w:rsid w:val="2ACB14A0"/>
    <w:rsid w:val="2AE117C2"/>
    <w:rsid w:val="2B930FCA"/>
    <w:rsid w:val="2BA715A0"/>
    <w:rsid w:val="2BED5168"/>
    <w:rsid w:val="2C181807"/>
    <w:rsid w:val="2C1A0BC8"/>
    <w:rsid w:val="2C1F576B"/>
    <w:rsid w:val="2C270644"/>
    <w:rsid w:val="2C7C0091"/>
    <w:rsid w:val="2C8B2053"/>
    <w:rsid w:val="2CA01F31"/>
    <w:rsid w:val="2CC67A84"/>
    <w:rsid w:val="2CD029CD"/>
    <w:rsid w:val="2CDF4B0F"/>
    <w:rsid w:val="2D4C6852"/>
    <w:rsid w:val="2D967336"/>
    <w:rsid w:val="2DAF6485"/>
    <w:rsid w:val="2DC1674C"/>
    <w:rsid w:val="2DE12281"/>
    <w:rsid w:val="2DEA30CA"/>
    <w:rsid w:val="2E7876D2"/>
    <w:rsid w:val="2EAC152B"/>
    <w:rsid w:val="2EDC122E"/>
    <w:rsid w:val="2F052C5D"/>
    <w:rsid w:val="2F123174"/>
    <w:rsid w:val="2F2C710F"/>
    <w:rsid w:val="2F45057C"/>
    <w:rsid w:val="2F583F83"/>
    <w:rsid w:val="2F5E4B13"/>
    <w:rsid w:val="2F8E2418"/>
    <w:rsid w:val="2F90386C"/>
    <w:rsid w:val="2F920F5B"/>
    <w:rsid w:val="2F945898"/>
    <w:rsid w:val="2FAC068E"/>
    <w:rsid w:val="2FE27D3F"/>
    <w:rsid w:val="2FEF4A12"/>
    <w:rsid w:val="2FF96418"/>
    <w:rsid w:val="300A2EB5"/>
    <w:rsid w:val="30143D85"/>
    <w:rsid w:val="30D06622"/>
    <w:rsid w:val="30DA7C66"/>
    <w:rsid w:val="31021BD6"/>
    <w:rsid w:val="31085D41"/>
    <w:rsid w:val="31480888"/>
    <w:rsid w:val="31752B09"/>
    <w:rsid w:val="32224886"/>
    <w:rsid w:val="324B54F3"/>
    <w:rsid w:val="324C2981"/>
    <w:rsid w:val="32DF7D19"/>
    <w:rsid w:val="32F921EB"/>
    <w:rsid w:val="330C68EB"/>
    <w:rsid w:val="333741F8"/>
    <w:rsid w:val="334F65EC"/>
    <w:rsid w:val="33AE225C"/>
    <w:rsid w:val="33D237F6"/>
    <w:rsid w:val="33D57876"/>
    <w:rsid w:val="340331B0"/>
    <w:rsid w:val="341548E3"/>
    <w:rsid w:val="34497273"/>
    <w:rsid w:val="346C6723"/>
    <w:rsid w:val="34913EA7"/>
    <w:rsid w:val="349F0C2C"/>
    <w:rsid w:val="34AB3C19"/>
    <w:rsid w:val="34D22520"/>
    <w:rsid w:val="34F72533"/>
    <w:rsid w:val="34F86835"/>
    <w:rsid w:val="352038E7"/>
    <w:rsid w:val="35354043"/>
    <w:rsid w:val="357F37E4"/>
    <w:rsid w:val="359C3FBD"/>
    <w:rsid w:val="35B20A60"/>
    <w:rsid w:val="35E714AC"/>
    <w:rsid w:val="36230503"/>
    <w:rsid w:val="363B26BF"/>
    <w:rsid w:val="366B493E"/>
    <w:rsid w:val="36770C32"/>
    <w:rsid w:val="368A12F2"/>
    <w:rsid w:val="36AF40D7"/>
    <w:rsid w:val="36B5516B"/>
    <w:rsid w:val="36FB355D"/>
    <w:rsid w:val="37053691"/>
    <w:rsid w:val="37345C09"/>
    <w:rsid w:val="374975D7"/>
    <w:rsid w:val="37712A39"/>
    <w:rsid w:val="377C4239"/>
    <w:rsid w:val="37A36F79"/>
    <w:rsid w:val="382F5D5E"/>
    <w:rsid w:val="38A827E2"/>
    <w:rsid w:val="38D7084C"/>
    <w:rsid w:val="38E91B87"/>
    <w:rsid w:val="390D65A9"/>
    <w:rsid w:val="39213EF7"/>
    <w:rsid w:val="394B7113"/>
    <w:rsid w:val="395B1D63"/>
    <w:rsid w:val="39F644D6"/>
    <w:rsid w:val="3A084992"/>
    <w:rsid w:val="3A0E0A45"/>
    <w:rsid w:val="3A247BB8"/>
    <w:rsid w:val="3A353804"/>
    <w:rsid w:val="3A525B52"/>
    <w:rsid w:val="3AE50133"/>
    <w:rsid w:val="3AF17846"/>
    <w:rsid w:val="3B142CA0"/>
    <w:rsid w:val="3B2D4725"/>
    <w:rsid w:val="3B345EA5"/>
    <w:rsid w:val="3B3A2885"/>
    <w:rsid w:val="3B636BA3"/>
    <w:rsid w:val="3B927B77"/>
    <w:rsid w:val="3BD06B58"/>
    <w:rsid w:val="3C2E4A63"/>
    <w:rsid w:val="3C51571B"/>
    <w:rsid w:val="3C5A58BF"/>
    <w:rsid w:val="3C8C6A7E"/>
    <w:rsid w:val="3CC35212"/>
    <w:rsid w:val="3CD7321E"/>
    <w:rsid w:val="3CE5417C"/>
    <w:rsid w:val="3D0E7579"/>
    <w:rsid w:val="3DB531EC"/>
    <w:rsid w:val="3DBF7131"/>
    <w:rsid w:val="3DC963B5"/>
    <w:rsid w:val="3DCE397A"/>
    <w:rsid w:val="3DEC593C"/>
    <w:rsid w:val="3E0814E8"/>
    <w:rsid w:val="3E211B71"/>
    <w:rsid w:val="3F0D3A65"/>
    <w:rsid w:val="3F5F194F"/>
    <w:rsid w:val="3F713C52"/>
    <w:rsid w:val="3F740A54"/>
    <w:rsid w:val="3F8A776A"/>
    <w:rsid w:val="3FE80830"/>
    <w:rsid w:val="40302BC4"/>
    <w:rsid w:val="403E4F63"/>
    <w:rsid w:val="406260AE"/>
    <w:rsid w:val="4078089B"/>
    <w:rsid w:val="409F630B"/>
    <w:rsid w:val="40CB7B65"/>
    <w:rsid w:val="40E918A0"/>
    <w:rsid w:val="40ED6D01"/>
    <w:rsid w:val="40FB3C42"/>
    <w:rsid w:val="411D6D85"/>
    <w:rsid w:val="412F363C"/>
    <w:rsid w:val="41434456"/>
    <w:rsid w:val="415A71E1"/>
    <w:rsid w:val="416326F1"/>
    <w:rsid w:val="41901927"/>
    <w:rsid w:val="41AA4C52"/>
    <w:rsid w:val="41DC0B96"/>
    <w:rsid w:val="423623ED"/>
    <w:rsid w:val="42436FCF"/>
    <w:rsid w:val="42965D4B"/>
    <w:rsid w:val="42ED1682"/>
    <w:rsid w:val="43036342"/>
    <w:rsid w:val="43637DB9"/>
    <w:rsid w:val="43A04AD4"/>
    <w:rsid w:val="43F5066D"/>
    <w:rsid w:val="43F623B4"/>
    <w:rsid w:val="44251601"/>
    <w:rsid w:val="44273C3E"/>
    <w:rsid w:val="442C0C55"/>
    <w:rsid w:val="444153E7"/>
    <w:rsid w:val="446A0634"/>
    <w:rsid w:val="447E4B46"/>
    <w:rsid w:val="448832F2"/>
    <w:rsid w:val="44E95A32"/>
    <w:rsid w:val="44F503BB"/>
    <w:rsid w:val="4563730C"/>
    <w:rsid w:val="45790C7D"/>
    <w:rsid w:val="45792D2D"/>
    <w:rsid w:val="45AA60A1"/>
    <w:rsid w:val="45B14624"/>
    <w:rsid w:val="45BF0BE7"/>
    <w:rsid w:val="4608116A"/>
    <w:rsid w:val="46182B77"/>
    <w:rsid w:val="4630324B"/>
    <w:rsid w:val="465549FC"/>
    <w:rsid w:val="465877D2"/>
    <w:rsid w:val="46B46D4C"/>
    <w:rsid w:val="46E7295E"/>
    <w:rsid w:val="471F1BDF"/>
    <w:rsid w:val="473D54ED"/>
    <w:rsid w:val="475D3A8C"/>
    <w:rsid w:val="47984101"/>
    <w:rsid w:val="47A05582"/>
    <w:rsid w:val="47C2207E"/>
    <w:rsid w:val="47D33EFB"/>
    <w:rsid w:val="485F3FD5"/>
    <w:rsid w:val="48611F55"/>
    <w:rsid w:val="48694FA0"/>
    <w:rsid w:val="488E768B"/>
    <w:rsid w:val="48B07229"/>
    <w:rsid w:val="48FD2DFC"/>
    <w:rsid w:val="490B51D3"/>
    <w:rsid w:val="492F61FD"/>
    <w:rsid w:val="49352359"/>
    <w:rsid w:val="49AB56FD"/>
    <w:rsid w:val="49B32CE9"/>
    <w:rsid w:val="49F11610"/>
    <w:rsid w:val="49F41D5E"/>
    <w:rsid w:val="4A194D63"/>
    <w:rsid w:val="4A5358A9"/>
    <w:rsid w:val="4A6A7D20"/>
    <w:rsid w:val="4AAD0B1D"/>
    <w:rsid w:val="4B042886"/>
    <w:rsid w:val="4B1E31F7"/>
    <w:rsid w:val="4B96177F"/>
    <w:rsid w:val="4BC9738F"/>
    <w:rsid w:val="4BCB3573"/>
    <w:rsid w:val="4BCF2B77"/>
    <w:rsid w:val="4C2E46AD"/>
    <w:rsid w:val="4C5264D1"/>
    <w:rsid w:val="4C7E174F"/>
    <w:rsid w:val="4C7E6950"/>
    <w:rsid w:val="4CAC0B6E"/>
    <w:rsid w:val="4CC9059A"/>
    <w:rsid w:val="4CE75373"/>
    <w:rsid w:val="4E0272EF"/>
    <w:rsid w:val="4E0A397F"/>
    <w:rsid w:val="4E0D453F"/>
    <w:rsid w:val="4E334AA3"/>
    <w:rsid w:val="4E6A1EB9"/>
    <w:rsid w:val="4E6C0284"/>
    <w:rsid w:val="4E7A6D0A"/>
    <w:rsid w:val="4F1075C2"/>
    <w:rsid w:val="4F3A5050"/>
    <w:rsid w:val="4FB477EE"/>
    <w:rsid w:val="4FE248F6"/>
    <w:rsid w:val="50001DC2"/>
    <w:rsid w:val="50502AF5"/>
    <w:rsid w:val="50890C73"/>
    <w:rsid w:val="50B560F4"/>
    <w:rsid w:val="50DD0365"/>
    <w:rsid w:val="50FA176E"/>
    <w:rsid w:val="510734C7"/>
    <w:rsid w:val="517B575F"/>
    <w:rsid w:val="519F1664"/>
    <w:rsid w:val="519F5DF6"/>
    <w:rsid w:val="51AE3090"/>
    <w:rsid w:val="51B063AB"/>
    <w:rsid w:val="51BE5E79"/>
    <w:rsid w:val="52192D80"/>
    <w:rsid w:val="528C35DA"/>
    <w:rsid w:val="52FD5ECE"/>
    <w:rsid w:val="53360109"/>
    <w:rsid w:val="535938E1"/>
    <w:rsid w:val="53A615E2"/>
    <w:rsid w:val="53D35879"/>
    <w:rsid w:val="53DC15D9"/>
    <w:rsid w:val="54144188"/>
    <w:rsid w:val="545029BD"/>
    <w:rsid w:val="5462771B"/>
    <w:rsid w:val="54636AC2"/>
    <w:rsid w:val="547873B0"/>
    <w:rsid w:val="54D04687"/>
    <w:rsid w:val="54D63A30"/>
    <w:rsid w:val="553B6702"/>
    <w:rsid w:val="553D577B"/>
    <w:rsid w:val="55625CCE"/>
    <w:rsid w:val="55F75153"/>
    <w:rsid w:val="56060383"/>
    <w:rsid w:val="564E5677"/>
    <w:rsid w:val="566D4B95"/>
    <w:rsid w:val="566E3FE9"/>
    <w:rsid w:val="56A420FE"/>
    <w:rsid w:val="571838EA"/>
    <w:rsid w:val="572656D4"/>
    <w:rsid w:val="57790340"/>
    <w:rsid w:val="57B277DD"/>
    <w:rsid w:val="581B5BB4"/>
    <w:rsid w:val="5824590A"/>
    <w:rsid w:val="585036F8"/>
    <w:rsid w:val="585F30DA"/>
    <w:rsid w:val="587719D0"/>
    <w:rsid w:val="5928514D"/>
    <w:rsid w:val="592C5FE7"/>
    <w:rsid w:val="594B0990"/>
    <w:rsid w:val="59626B1C"/>
    <w:rsid w:val="596A2016"/>
    <w:rsid w:val="59AD06A4"/>
    <w:rsid w:val="59B12F6A"/>
    <w:rsid w:val="59FA2DC3"/>
    <w:rsid w:val="5A016B47"/>
    <w:rsid w:val="5A4D586D"/>
    <w:rsid w:val="5A6249B0"/>
    <w:rsid w:val="5A767B95"/>
    <w:rsid w:val="5A805435"/>
    <w:rsid w:val="5A930319"/>
    <w:rsid w:val="5ADE787B"/>
    <w:rsid w:val="5AFA531F"/>
    <w:rsid w:val="5B5F75BF"/>
    <w:rsid w:val="5B6C36E9"/>
    <w:rsid w:val="5BD90D9C"/>
    <w:rsid w:val="5BED40DC"/>
    <w:rsid w:val="5BF50434"/>
    <w:rsid w:val="5C0C2014"/>
    <w:rsid w:val="5C0F1098"/>
    <w:rsid w:val="5C1C5E65"/>
    <w:rsid w:val="5C270EC2"/>
    <w:rsid w:val="5C275A04"/>
    <w:rsid w:val="5CA04270"/>
    <w:rsid w:val="5D0F303A"/>
    <w:rsid w:val="5D1606F0"/>
    <w:rsid w:val="5D1B3EEE"/>
    <w:rsid w:val="5D305155"/>
    <w:rsid w:val="5D685A25"/>
    <w:rsid w:val="5D91150D"/>
    <w:rsid w:val="5DBA06F0"/>
    <w:rsid w:val="5E867F9B"/>
    <w:rsid w:val="5E960581"/>
    <w:rsid w:val="5EBD18E0"/>
    <w:rsid w:val="5EDD631A"/>
    <w:rsid w:val="5EE84C68"/>
    <w:rsid w:val="5F045A13"/>
    <w:rsid w:val="5F5222CE"/>
    <w:rsid w:val="5F786E10"/>
    <w:rsid w:val="5F855D05"/>
    <w:rsid w:val="5FCA6B48"/>
    <w:rsid w:val="600E13A2"/>
    <w:rsid w:val="607641C6"/>
    <w:rsid w:val="60981427"/>
    <w:rsid w:val="60981622"/>
    <w:rsid w:val="609E0524"/>
    <w:rsid w:val="60EF739A"/>
    <w:rsid w:val="610A5C03"/>
    <w:rsid w:val="61117495"/>
    <w:rsid w:val="61681A68"/>
    <w:rsid w:val="61977F9C"/>
    <w:rsid w:val="621D5BA4"/>
    <w:rsid w:val="62F96449"/>
    <w:rsid w:val="62FD2CF7"/>
    <w:rsid w:val="63001EFA"/>
    <w:rsid w:val="635B6748"/>
    <w:rsid w:val="638667CB"/>
    <w:rsid w:val="63947A95"/>
    <w:rsid w:val="63A92605"/>
    <w:rsid w:val="63B361C6"/>
    <w:rsid w:val="63B86D37"/>
    <w:rsid w:val="63E43B3C"/>
    <w:rsid w:val="644E53B4"/>
    <w:rsid w:val="64757937"/>
    <w:rsid w:val="651E560F"/>
    <w:rsid w:val="65205EAE"/>
    <w:rsid w:val="654A5C21"/>
    <w:rsid w:val="654C35A5"/>
    <w:rsid w:val="65537684"/>
    <w:rsid w:val="65867E1B"/>
    <w:rsid w:val="659A0956"/>
    <w:rsid w:val="65CA49CF"/>
    <w:rsid w:val="662136A0"/>
    <w:rsid w:val="663C1F8C"/>
    <w:rsid w:val="664C4D63"/>
    <w:rsid w:val="665D0511"/>
    <w:rsid w:val="667875E7"/>
    <w:rsid w:val="66BC09F3"/>
    <w:rsid w:val="66CD6B09"/>
    <w:rsid w:val="66F51485"/>
    <w:rsid w:val="67220E85"/>
    <w:rsid w:val="675101AE"/>
    <w:rsid w:val="67B13E07"/>
    <w:rsid w:val="67B167D1"/>
    <w:rsid w:val="67CC0B6F"/>
    <w:rsid w:val="67D1624A"/>
    <w:rsid w:val="683A590B"/>
    <w:rsid w:val="6847223C"/>
    <w:rsid w:val="684B5059"/>
    <w:rsid w:val="685F1C50"/>
    <w:rsid w:val="68796D2E"/>
    <w:rsid w:val="68BC616A"/>
    <w:rsid w:val="68EE6AC7"/>
    <w:rsid w:val="6925672C"/>
    <w:rsid w:val="694078ED"/>
    <w:rsid w:val="699022E9"/>
    <w:rsid w:val="69A51FEB"/>
    <w:rsid w:val="69AC00C0"/>
    <w:rsid w:val="69B971CB"/>
    <w:rsid w:val="6A3F2DB5"/>
    <w:rsid w:val="6A4F3C43"/>
    <w:rsid w:val="6A714498"/>
    <w:rsid w:val="6A7A3DE4"/>
    <w:rsid w:val="6A845374"/>
    <w:rsid w:val="6A9F3684"/>
    <w:rsid w:val="6AA307CE"/>
    <w:rsid w:val="6AF82AC5"/>
    <w:rsid w:val="6B1932A2"/>
    <w:rsid w:val="6B43383E"/>
    <w:rsid w:val="6B6C5A1F"/>
    <w:rsid w:val="6B992734"/>
    <w:rsid w:val="6C033C17"/>
    <w:rsid w:val="6C1060EA"/>
    <w:rsid w:val="6C2E3BD1"/>
    <w:rsid w:val="6C464D18"/>
    <w:rsid w:val="6C551346"/>
    <w:rsid w:val="6C8B2DA7"/>
    <w:rsid w:val="6CA218CA"/>
    <w:rsid w:val="6CA41FBB"/>
    <w:rsid w:val="6CC87DEC"/>
    <w:rsid w:val="6CE50794"/>
    <w:rsid w:val="6D26085F"/>
    <w:rsid w:val="6D523C7C"/>
    <w:rsid w:val="6D944019"/>
    <w:rsid w:val="6D9F0B23"/>
    <w:rsid w:val="6DD8584F"/>
    <w:rsid w:val="6E1B4027"/>
    <w:rsid w:val="6E1D4A1D"/>
    <w:rsid w:val="6E3C0C09"/>
    <w:rsid w:val="6E856725"/>
    <w:rsid w:val="6EAF72DD"/>
    <w:rsid w:val="6EC46087"/>
    <w:rsid w:val="6EDC25E6"/>
    <w:rsid w:val="6EE7674C"/>
    <w:rsid w:val="6F1301B6"/>
    <w:rsid w:val="6F5262FA"/>
    <w:rsid w:val="6F6F0332"/>
    <w:rsid w:val="6F877613"/>
    <w:rsid w:val="6F945ADC"/>
    <w:rsid w:val="6F94678D"/>
    <w:rsid w:val="6FD042F1"/>
    <w:rsid w:val="70061711"/>
    <w:rsid w:val="701B799A"/>
    <w:rsid w:val="704959EA"/>
    <w:rsid w:val="706047ED"/>
    <w:rsid w:val="706050A2"/>
    <w:rsid w:val="70CB73AB"/>
    <w:rsid w:val="70D45302"/>
    <w:rsid w:val="70EA22F8"/>
    <w:rsid w:val="71624A26"/>
    <w:rsid w:val="718D594B"/>
    <w:rsid w:val="71AC2296"/>
    <w:rsid w:val="72901988"/>
    <w:rsid w:val="72BD5067"/>
    <w:rsid w:val="72C44E87"/>
    <w:rsid w:val="72CC0F8D"/>
    <w:rsid w:val="732B4C4C"/>
    <w:rsid w:val="736507F6"/>
    <w:rsid w:val="738F5872"/>
    <w:rsid w:val="73D7382B"/>
    <w:rsid w:val="73E57E18"/>
    <w:rsid w:val="742304A1"/>
    <w:rsid w:val="743C23C7"/>
    <w:rsid w:val="745919C6"/>
    <w:rsid w:val="74702A9A"/>
    <w:rsid w:val="74786307"/>
    <w:rsid w:val="747C73D8"/>
    <w:rsid w:val="74814088"/>
    <w:rsid w:val="74B11020"/>
    <w:rsid w:val="74BB7697"/>
    <w:rsid w:val="74BC20E6"/>
    <w:rsid w:val="74BE32A8"/>
    <w:rsid w:val="75111394"/>
    <w:rsid w:val="75274CF2"/>
    <w:rsid w:val="75AA6994"/>
    <w:rsid w:val="75B551AA"/>
    <w:rsid w:val="75DD0429"/>
    <w:rsid w:val="75DF34DB"/>
    <w:rsid w:val="760E5965"/>
    <w:rsid w:val="76115A4E"/>
    <w:rsid w:val="761C2BBB"/>
    <w:rsid w:val="761F5412"/>
    <w:rsid w:val="76256893"/>
    <w:rsid w:val="762D36F0"/>
    <w:rsid w:val="76C51CC8"/>
    <w:rsid w:val="76E05B03"/>
    <w:rsid w:val="76EB094B"/>
    <w:rsid w:val="77102312"/>
    <w:rsid w:val="772720EE"/>
    <w:rsid w:val="776125DC"/>
    <w:rsid w:val="776A1DE8"/>
    <w:rsid w:val="77776E23"/>
    <w:rsid w:val="778B2206"/>
    <w:rsid w:val="779D6084"/>
    <w:rsid w:val="77B92F09"/>
    <w:rsid w:val="77ED0B73"/>
    <w:rsid w:val="77F76D67"/>
    <w:rsid w:val="78036CE6"/>
    <w:rsid w:val="78415F2F"/>
    <w:rsid w:val="784F6BB9"/>
    <w:rsid w:val="785D00CA"/>
    <w:rsid w:val="787B2D2B"/>
    <w:rsid w:val="788538A6"/>
    <w:rsid w:val="788D424C"/>
    <w:rsid w:val="7896233F"/>
    <w:rsid w:val="78986FFA"/>
    <w:rsid w:val="78996DB5"/>
    <w:rsid w:val="78A94AB8"/>
    <w:rsid w:val="78B17A38"/>
    <w:rsid w:val="790B7A02"/>
    <w:rsid w:val="79107D47"/>
    <w:rsid w:val="7929591C"/>
    <w:rsid w:val="793706BF"/>
    <w:rsid w:val="796B643A"/>
    <w:rsid w:val="79703A6E"/>
    <w:rsid w:val="79717D3C"/>
    <w:rsid w:val="797D616D"/>
    <w:rsid w:val="79D129F2"/>
    <w:rsid w:val="7A052462"/>
    <w:rsid w:val="7A6223B7"/>
    <w:rsid w:val="7A986693"/>
    <w:rsid w:val="7AB362AE"/>
    <w:rsid w:val="7AFD6E85"/>
    <w:rsid w:val="7AFF4A3E"/>
    <w:rsid w:val="7B2A6BD6"/>
    <w:rsid w:val="7B440F99"/>
    <w:rsid w:val="7B9B7780"/>
    <w:rsid w:val="7BA373BA"/>
    <w:rsid w:val="7BAC3D28"/>
    <w:rsid w:val="7BBE0883"/>
    <w:rsid w:val="7C070CF7"/>
    <w:rsid w:val="7CB27518"/>
    <w:rsid w:val="7CBB38C0"/>
    <w:rsid w:val="7CCB00FC"/>
    <w:rsid w:val="7D1765E7"/>
    <w:rsid w:val="7D4F2810"/>
    <w:rsid w:val="7D822C69"/>
    <w:rsid w:val="7D872E89"/>
    <w:rsid w:val="7D88520A"/>
    <w:rsid w:val="7D8D3472"/>
    <w:rsid w:val="7DC27AEA"/>
    <w:rsid w:val="7DD40E2C"/>
    <w:rsid w:val="7DDD6CEA"/>
    <w:rsid w:val="7DDF425D"/>
    <w:rsid w:val="7DEC0D1F"/>
    <w:rsid w:val="7DF53C37"/>
    <w:rsid w:val="7E0D3DFE"/>
    <w:rsid w:val="7E2666E1"/>
    <w:rsid w:val="7E3A03F9"/>
    <w:rsid w:val="7E636E14"/>
    <w:rsid w:val="7E7F2812"/>
    <w:rsid w:val="7E8868B1"/>
    <w:rsid w:val="7E952FAF"/>
    <w:rsid w:val="7EC934BC"/>
    <w:rsid w:val="7ED51702"/>
    <w:rsid w:val="7F4F3CC6"/>
    <w:rsid w:val="7F8875D4"/>
    <w:rsid w:val="7FAE4688"/>
    <w:rsid w:val="7FC51C0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0"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hint="eastAsia" w:ascii="宋体" w:hAnsi="宋体"/>
      <w:b/>
      <w:color w:val="000000"/>
      <w:kern w:val="0"/>
      <w:sz w:val="36"/>
      <w:szCs w:val="20"/>
    </w:rPr>
  </w:style>
  <w:style w:type="paragraph" w:styleId="4">
    <w:name w:val="heading 2"/>
    <w:basedOn w:val="1"/>
    <w:next w:val="1"/>
    <w:unhideWhenUsed/>
    <w:qFormat/>
    <w:uiPriority w:val="9"/>
    <w:pPr>
      <w:keepNext/>
      <w:keepLines/>
      <w:numPr>
        <w:ilvl w:val="2"/>
        <w:numId w:val="1"/>
      </w:numPr>
      <w:spacing w:beforeLines="50"/>
      <w:outlineLvl w:val="1"/>
    </w:pPr>
    <w:rPr>
      <w:rFonts w:eastAsia="黑体"/>
      <w:b/>
      <w:bCs/>
      <w:sz w:val="30"/>
      <w:szCs w:val="32"/>
    </w:rPr>
  </w:style>
  <w:style w:type="paragraph" w:styleId="5">
    <w:name w:val="heading 3"/>
    <w:basedOn w:val="1"/>
    <w:next w:val="1"/>
    <w:link w:val="35"/>
    <w:qFormat/>
    <w:uiPriority w:val="9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szCs w:val="28"/>
    </w:rPr>
  </w:style>
  <w:style w:type="paragraph" w:styleId="7">
    <w:name w:val="heading 5"/>
    <w:basedOn w:val="1"/>
    <w:next w:val="1"/>
    <w:qFormat/>
    <w:uiPriority w:val="0"/>
    <w:pPr>
      <w:keepNext/>
      <w:keepLines/>
      <w:spacing w:before="280" w:beforeLines="0" w:beforeAutospacing="0" w:after="290" w:afterLines="0" w:afterAutospacing="0" w:line="372" w:lineRule="auto"/>
      <w:outlineLvl w:val="4"/>
    </w:pPr>
    <w:rPr>
      <w:rFonts w:hint="eastAsia" w:ascii="宋体" w:hAnsi="宋体"/>
      <w:b/>
      <w:sz w:val="28"/>
      <w:szCs w:val="28"/>
    </w:rPr>
  </w:style>
  <w:style w:type="paragraph" w:styleId="8">
    <w:name w:val="heading 6"/>
    <w:basedOn w:val="1"/>
    <w:next w:val="1"/>
    <w:qFormat/>
    <w:uiPriority w:val="1"/>
    <w:pPr>
      <w:ind w:left="480"/>
      <w:outlineLvl w:val="6"/>
    </w:pPr>
    <w:rPr>
      <w:rFonts w:ascii="宋体" w:hAnsi="宋体" w:eastAsia="宋体" w:cs="宋体"/>
      <w:b/>
      <w:bCs/>
      <w:sz w:val="24"/>
      <w:szCs w:val="24"/>
      <w:lang w:val="zh-CN" w:eastAsia="zh-CN" w:bidi="zh-CN"/>
    </w:rPr>
  </w:style>
  <w:style w:type="paragraph" w:styleId="9">
    <w:name w:val="heading 7"/>
    <w:basedOn w:val="1"/>
    <w:next w:val="1"/>
    <w:qFormat/>
    <w:uiPriority w:val="1"/>
    <w:pPr>
      <w:ind w:left="698"/>
      <w:outlineLvl w:val="7"/>
    </w:pPr>
    <w:rPr>
      <w:rFonts w:ascii="宋体" w:hAnsi="宋体" w:eastAsia="宋体" w:cs="宋体"/>
      <w:b/>
      <w:bCs/>
      <w:sz w:val="24"/>
      <w:szCs w:val="24"/>
      <w:lang w:val="zh-CN" w:eastAsia="zh-CN" w:bidi="zh-CN"/>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10">
    <w:name w:val="List Number"/>
    <w:basedOn w:val="1"/>
    <w:qFormat/>
    <w:uiPriority w:val="99"/>
    <w:pPr>
      <w:numPr>
        <w:ilvl w:val="0"/>
        <w:numId w:val="2"/>
      </w:numPr>
    </w:pPr>
  </w:style>
  <w:style w:type="paragraph" w:styleId="11">
    <w:name w:val="Normal Indent"/>
    <w:basedOn w:val="1"/>
    <w:qFormat/>
    <w:uiPriority w:val="99"/>
    <w:pPr>
      <w:ind w:firstLine="420"/>
    </w:pPr>
  </w:style>
  <w:style w:type="paragraph" w:styleId="12">
    <w:name w:val="annotation text"/>
    <w:basedOn w:val="1"/>
    <w:link w:val="36"/>
    <w:semiHidden/>
    <w:qFormat/>
    <w:uiPriority w:val="99"/>
    <w:pPr>
      <w:jc w:val="left"/>
    </w:pPr>
  </w:style>
  <w:style w:type="paragraph" w:styleId="13">
    <w:name w:val="Body Text"/>
    <w:basedOn w:val="1"/>
    <w:next w:val="14"/>
    <w:link w:val="38"/>
    <w:qFormat/>
    <w:uiPriority w:val="99"/>
    <w:pPr>
      <w:spacing w:line="360" w:lineRule="exact"/>
    </w:pPr>
    <w:rPr>
      <w:sz w:val="24"/>
      <w:szCs w:val="24"/>
    </w:rPr>
  </w:style>
  <w:style w:type="paragraph" w:styleId="14">
    <w:name w:val="Body Text First Indent"/>
    <w:basedOn w:val="13"/>
    <w:next w:val="1"/>
    <w:qFormat/>
    <w:locked/>
    <w:uiPriority w:val="0"/>
    <w:pPr>
      <w:autoSpaceDE w:val="0"/>
      <w:autoSpaceDN w:val="0"/>
      <w:adjustRightInd w:val="0"/>
      <w:spacing w:line="360" w:lineRule="auto"/>
      <w:ind w:firstLine="420" w:firstLineChars="100"/>
    </w:pPr>
  </w:style>
  <w:style w:type="paragraph" w:styleId="15">
    <w:name w:val="Body Text Indent"/>
    <w:basedOn w:val="1"/>
    <w:next w:val="1"/>
    <w:link w:val="39"/>
    <w:qFormat/>
    <w:uiPriority w:val="99"/>
    <w:pPr>
      <w:spacing w:after="120"/>
      <w:ind w:left="420" w:leftChars="200"/>
    </w:pPr>
  </w:style>
  <w:style w:type="paragraph" w:styleId="16">
    <w:name w:val="toc 5"/>
    <w:basedOn w:val="1"/>
    <w:next w:val="1"/>
    <w:qFormat/>
    <w:uiPriority w:val="39"/>
    <w:pPr>
      <w:ind w:left="1680" w:leftChars="800"/>
    </w:pPr>
  </w:style>
  <w:style w:type="paragraph" w:styleId="17">
    <w:name w:val="Plain Text"/>
    <w:basedOn w:val="1"/>
    <w:next w:val="18"/>
    <w:link w:val="40"/>
    <w:qFormat/>
    <w:uiPriority w:val="99"/>
    <w:rPr>
      <w:rFonts w:ascii="宋体" w:hAnsi="Courier New" w:cs="宋体"/>
    </w:rPr>
  </w:style>
  <w:style w:type="paragraph" w:styleId="18">
    <w:name w:val="Date"/>
    <w:basedOn w:val="1"/>
    <w:next w:val="1"/>
    <w:link w:val="41"/>
    <w:qFormat/>
    <w:uiPriority w:val="99"/>
    <w:pPr>
      <w:ind w:left="2500" w:leftChars="2500"/>
    </w:pPr>
    <w:rPr>
      <w:rFonts w:ascii="Calibri" w:hAnsi="Calibri" w:eastAsia="楷体_GB2312" w:cs="Calibri"/>
      <w:sz w:val="32"/>
      <w:szCs w:val="32"/>
    </w:rPr>
  </w:style>
  <w:style w:type="paragraph" w:styleId="19">
    <w:name w:val="Balloon Text"/>
    <w:basedOn w:val="1"/>
    <w:link w:val="42"/>
    <w:semiHidden/>
    <w:qFormat/>
    <w:uiPriority w:val="99"/>
    <w:rPr>
      <w:sz w:val="18"/>
      <w:szCs w:val="18"/>
    </w:rPr>
  </w:style>
  <w:style w:type="paragraph" w:styleId="20">
    <w:name w:val="footer"/>
    <w:basedOn w:val="1"/>
    <w:link w:val="43"/>
    <w:qFormat/>
    <w:uiPriority w:val="99"/>
    <w:pPr>
      <w:tabs>
        <w:tab w:val="center" w:pos="4153"/>
        <w:tab w:val="right" w:pos="8306"/>
      </w:tabs>
      <w:snapToGrid w:val="0"/>
      <w:jc w:val="left"/>
    </w:pPr>
    <w:rPr>
      <w:sz w:val="18"/>
      <w:szCs w:val="18"/>
    </w:rPr>
  </w:style>
  <w:style w:type="paragraph" w:styleId="21">
    <w:name w:val="header"/>
    <w:basedOn w:val="1"/>
    <w:link w:val="4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2">
    <w:name w:val="toc 1"/>
    <w:basedOn w:val="1"/>
    <w:next w:val="1"/>
    <w:qFormat/>
    <w:uiPriority w:val="0"/>
    <w:pPr>
      <w:tabs>
        <w:tab w:val="right" w:leader="dot" w:pos="8720"/>
      </w:tabs>
      <w:spacing w:line="360" w:lineRule="auto"/>
      <w:jc w:val="left"/>
    </w:pPr>
    <w:rPr>
      <w:rFonts w:ascii="黑体" w:eastAsia="黑体"/>
      <w:sz w:val="28"/>
      <w:szCs w:val="32"/>
    </w:rPr>
  </w:style>
  <w:style w:type="paragraph" w:styleId="23">
    <w:name w:val="toc 6"/>
    <w:basedOn w:val="1"/>
    <w:next w:val="1"/>
    <w:qFormat/>
    <w:uiPriority w:val="0"/>
    <w:pPr>
      <w:ind w:left="2100" w:leftChars="1000"/>
    </w:pPr>
  </w:style>
  <w:style w:type="paragraph" w:styleId="24">
    <w:name w:val="Normal (Web)"/>
    <w:basedOn w:val="1"/>
    <w:link w:val="70"/>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26">
    <w:name w:val="annotation subject"/>
    <w:basedOn w:val="12"/>
    <w:next w:val="12"/>
    <w:link w:val="37"/>
    <w:semiHidden/>
    <w:qFormat/>
    <w:uiPriority w:val="99"/>
    <w:rPr>
      <w:b/>
      <w:bCs/>
    </w:rPr>
  </w:style>
  <w:style w:type="paragraph" w:styleId="27">
    <w:name w:val="Body Text First Indent 2"/>
    <w:basedOn w:val="15"/>
    <w:next w:val="1"/>
    <w:unhideWhenUsed/>
    <w:qFormat/>
    <w:locked/>
    <w:uiPriority w:val="99"/>
    <w:pPr>
      <w:ind w:firstLine="420" w:firstLineChars="200"/>
    </w:pPr>
  </w:style>
  <w:style w:type="table" w:styleId="29">
    <w:name w:val="Table Grid"/>
    <w:basedOn w:val="2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Hyperlink"/>
    <w:basedOn w:val="30"/>
    <w:qFormat/>
    <w:locked/>
    <w:uiPriority w:val="0"/>
    <w:rPr>
      <w:color w:val="0000FF"/>
      <w:u w:val="single"/>
    </w:rPr>
  </w:style>
  <w:style w:type="character" w:styleId="32">
    <w:name w:val="annotation reference"/>
    <w:basedOn w:val="30"/>
    <w:semiHidden/>
    <w:qFormat/>
    <w:uiPriority w:val="99"/>
    <w:rPr>
      <w:rFonts w:cs="Times New Roman"/>
      <w:sz w:val="21"/>
      <w:szCs w:val="21"/>
    </w:rPr>
  </w:style>
  <w:style w:type="paragraph" w:customStyle="1" w:styleId="33">
    <w:name w:val="表格文字"/>
    <w:basedOn w:val="15"/>
    <w:next w:val="13"/>
    <w:qFormat/>
    <w:uiPriority w:val="99"/>
    <w:pPr>
      <w:spacing w:line="420" w:lineRule="atLeast"/>
      <w:textAlignment w:val="baseline"/>
    </w:pPr>
    <w:rPr>
      <w:rFonts w:ascii="Calibri" w:hAnsi="Calibri"/>
    </w:rPr>
  </w:style>
  <w:style w:type="paragraph" w:customStyle="1" w:styleId="34">
    <w:name w:val="Fließtext"/>
    <w:basedOn w:val="1"/>
    <w:qFormat/>
    <w:uiPriority w:val="0"/>
    <w:pPr>
      <w:overflowPunct w:val="0"/>
      <w:autoSpaceDE w:val="0"/>
      <w:autoSpaceDN w:val="0"/>
      <w:adjustRightInd w:val="0"/>
      <w:textAlignment w:val="baseline"/>
    </w:pPr>
    <w:rPr>
      <w:kern w:val="28"/>
    </w:rPr>
  </w:style>
  <w:style w:type="character" w:customStyle="1" w:styleId="35">
    <w:name w:val="标题 3 Char"/>
    <w:basedOn w:val="30"/>
    <w:link w:val="5"/>
    <w:semiHidden/>
    <w:qFormat/>
    <w:locked/>
    <w:uiPriority w:val="99"/>
    <w:rPr>
      <w:rFonts w:cs="Times New Roman"/>
      <w:b/>
      <w:bCs/>
      <w:sz w:val="32"/>
      <w:szCs w:val="32"/>
    </w:rPr>
  </w:style>
  <w:style w:type="character" w:customStyle="1" w:styleId="36">
    <w:name w:val="批注文字 Char"/>
    <w:basedOn w:val="30"/>
    <w:link w:val="12"/>
    <w:qFormat/>
    <w:locked/>
    <w:uiPriority w:val="99"/>
    <w:rPr>
      <w:rFonts w:ascii="Times New Roman" w:hAnsi="Times New Roman" w:eastAsia="宋体" w:cs="Times New Roman"/>
      <w:kern w:val="2"/>
      <w:sz w:val="24"/>
      <w:szCs w:val="24"/>
    </w:rPr>
  </w:style>
  <w:style w:type="character" w:customStyle="1" w:styleId="37">
    <w:name w:val="批注主题 Char"/>
    <w:basedOn w:val="36"/>
    <w:link w:val="26"/>
    <w:qFormat/>
    <w:locked/>
    <w:uiPriority w:val="99"/>
    <w:rPr>
      <w:b/>
      <w:bCs/>
    </w:rPr>
  </w:style>
  <w:style w:type="character" w:customStyle="1" w:styleId="38">
    <w:name w:val="正文文本 Char"/>
    <w:basedOn w:val="30"/>
    <w:link w:val="13"/>
    <w:semiHidden/>
    <w:qFormat/>
    <w:locked/>
    <w:uiPriority w:val="99"/>
    <w:rPr>
      <w:rFonts w:cs="Times New Roman"/>
      <w:sz w:val="21"/>
      <w:szCs w:val="21"/>
    </w:rPr>
  </w:style>
  <w:style w:type="character" w:customStyle="1" w:styleId="39">
    <w:name w:val="正文文本缩进 Char"/>
    <w:basedOn w:val="30"/>
    <w:link w:val="15"/>
    <w:qFormat/>
    <w:locked/>
    <w:uiPriority w:val="99"/>
    <w:rPr>
      <w:rFonts w:cs="Times New Roman"/>
      <w:kern w:val="2"/>
      <w:sz w:val="24"/>
      <w:szCs w:val="24"/>
    </w:rPr>
  </w:style>
  <w:style w:type="character" w:customStyle="1" w:styleId="40">
    <w:name w:val="纯文本 Char"/>
    <w:basedOn w:val="30"/>
    <w:link w:val="17"/>
    <w:semiHidden/>
    <w:qFormat/>
    <w:locked/>
    <w:uiPriority w:val="99"/>
    <w:rPr>
      <w:rFonts w:ascii="宋体" w:hAnsi="Courier New" w:cs="Courier New"/>
      <w:sz w:val="21"/>
      <w:szCs w:val="21"/>
    </w:rPr>
  </w:style>
  <w:style w:type="character" w:customStyle="1" w:styleId="41">
    <w:name w:val="日期 Char"/>
    <w:basedOn w:val="30"/>
    <w:link w:val="18"/>
    <w:semiHidden/>
    <w:qFormat/>
    <w:locked/>
    <w:uiPriority w:val="99"/>
    <w:rPr>
      <w:rFonts w:cs="Times New Roman"/>
      <w:sz w:val="21"/>
      <w:szCs w:val="21"/>
    </w:rPr>
  </w:style>
  <w:style w:type="character" w:customStyle="1" w:styleId="42">
    <w:name w:val="批注框文本 Char"/>
    <w:basedOn w:val="30"/>
    <w:link w:val="19"/>
    <w:qFormat/>
    <w:locked/>
    <w:uiPriority w:val="99"/>
    <w:rPr>
      <w:rFonts w:ascii="Times New Roman" w:hAnsi="Times New Roman" w:eastAsia="宋体" w:cs="Times New Roman"/>
      <w:kern w:val="2"/>
      <w:sz w:val="18"/>
      <w:szCs w:val="18"/>
    </w:rPr>
  </w:style>
  <w:style w:type="character" w:customStyle="1" w:styleId="43">
    <w:name w:val="页脚 Char"/>
    <w:basedOn w:val="30"/>
    <w:link w:val="20"/>
    <w:semiHidden/>
    <w:qFormat/>
    <w:locked/>
    <w:uiPriority w:val="99"/>
    <w:rPr>
      <w:rFonts w:cs="Times New Roman"/>
      <w:sz w:val="18"/>
      <w:szCs w:val="18"/>
    </w:rPr>
  </w:style>
  <w:style w:type="character" w:customStyle="1" w:styleId="44">
    <w:name w:val="页眉 Char"/>
    <w:basedOn w:val="30"/>
    <w:link w:val="21"/>
    <w:semiHidden/>
    <w:qFormat/>
    <w:locked/>
    <w:uiPriority w:val="99"/>
    <w:rPr>
      <w:rFonts w:cs="Times New Roman"/>
      <w:sz w:val="18"/>
      <w:szCs w:val="18"/>
    </w:rPr>
  </w:style>
  <w:style w:type="paragraph" w:customStyle="1" w:styleId="45">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customStyle="1" w:styleId="46">
    <w:name w:val="List Paragraph"/>
    <w:basedOn w:val="1"/>
    <w:qFormat/>
    <w:uiPriority w:val="99"/>
    <w:pPr>
      <w:ind w:firstLine="420" w:firstLineChars="200"/>
    </w:pPr>
    <w:rPr>
      <w:rFonts w:ascii="Calibri" w:hAnsi="Calibri" w:cs="Calibri"/>
    </w:rPr>
  </w:style>
  <w:style w:type="paragraph" w:customStyle="1" w:styleId="47">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48">
    <w:name w:val="列出段落1"/>
    <w:basedOn w:val="1"/>
    <w:qFormat/>
    <w:uiPriority w:val="99"/>
    <w:pPr>
      <w:ind w:firstLine="420" w:firstLineChars="200"/>
    </w:pPr>
    <w:rPr>
      <w:rFonts w:ascii="Calibri" w:hAnsi="Calibri" w:cs="Calibri"/>
      <w:kern w:val="0"/>
    </w:rPr>
  </w:style>
  <w:style w:type="paragraph" w:customStyle="1" w:styleId="49">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5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1">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正文_14"/>
    <w:qFormat/>
    <w:uiPriority w:val="99"/>
    <w:rPr>
      <w:rFonts w:ascii="Times New Roman" w:hAnsi="Times New Roman" w:eastAsia="宋体" w:cs="Times New Roman"/>
      <w:sz w:val="21"/>
      <w:szCs w:val="21"/>
      <w:lang w:val="en-US" w:eastAsia="zh-CN" w:bidi="ar-SA"/>
    </w:rPr>
  </w:style>
  <w:style w:type="paragraph" w:customStyle="1" w:styleId="53">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纯文本_3"/>
    <w:basedOn w:val="55"/>
    <w:qFormat/>
    <w:uiPriority w:val="99"/>
    <w:pPr>
      <w:widowControl/>
      <w:jc w:val="left"/>
    </w:pPr>
    <w:rPr>
      <w:rFonts w:ascii="宋体" w:hAnsi="Courier New" w:cs="宋体"/>
    </w:rPr>
  </w:style>
  <w:style w:type="paragraph" w:customStyle="1" w:styleId="57">
    <w:name w:val="纯文本_0_1"/>
    <w:basedOn w:val="1"/>
    <w:qFormat/>
    <w:uiPriority w:val="99"/>
    <w:pPr>
      <w:widowControl/>
      <w:jc w:val="left"/>
    </w:pPr>
    <w:rPr>
      <w:rFonts w:ascii="宋体" w:hAnsi="Courier New" w:cs="宋体"/>
    </w:rPr>
  </w:style>
  <w:style w:type="paragraph" w:customStyle="1" w:styleId="58">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9">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2">
    <w:name w:val="Plain Text"/>
    <w:basedOn w:val="63"/>
    <w:qFormat/>
    <w:uiPriority w:val="0"/>
    <w:pPr>
      <w:widowControl/>
      <w:jc w:val="left"/>
    </w:pPr>
    <w:rPr>
      <w:rFonts w:ascii="宋体" w:hAnsi="Courier New"/>
    </w:rPr>
  </w:style>
  <w:style w:type="paragraph" w:customStyle="1" w:styleId="6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4">
    <w:name w:val="表格标题"/>
    <w:basedOn w:val="1"/>
    <w:qFormat/>
    <w:uiPriority w:val="0"/>
    <w:pPr>
      <w:jc w:val="center"/>
    </w:pPr>
    <w:rPr>
      <w:b/>
    </w:rPr>
  </w:style>
  <w:style w:type="paragraph" w:customStyle="1" w:styleId="65">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附件文字"/>
    <w:basedOn w:val="17"/>
    <w:qFormat/>
    <w:uiPriority w:val="0"/>
    <w:pPr>
      <w:adjustRightInd w:val="0"/>
      <w:snapToGrid w:val="0"/>
      <w:ind w:firstLineChars="150"/>
    </w:pPr>
    <w:rPr>
      <w:rFonts w:ascii="Arial" w:hAnsi="Times New Roman"/>
      <w:snapToGrid w:val="0"/>
      <w:color w:val="000000"/>
      <w:sz w:val="24"/>
    </w:rPr>
  </w:style>
  <w:style w:type="paragraph" w:customStyle="1" w:styleId="67">
    <w:name w:val="WPSOffice手动目录 1"/>
    <w:qFormat/>
    <w:uiPriority w:val="0"/>
    <w:pPr>
      <w:ind w:leftChars="0"/>
    </w:pPr>
    <w:rPr>
      <w:rFonts w:ascii="Times New Roman" w:hAnsi="Times New Roman" w:eastAsia="宋体" w:cs="Times New Roman"/>
      <w:sz w:val="20"/>
      <w:szCs w:val="20"/>
    </w:rPr>
  </w:style>
  <w:style w:type="paragraph" w:customStyle="1" w:styleId="68">
    <w:name w:val="Table Paragraph"/>
    <w:basedOn w:val="1"/>
    <w:qFormat/>
    <w:uiPriority w:val="1"/>
    <w:rPr>
      <w:rFonts w:ascii="宋体" w:hAnsi="宋体" w:eastAsia="宋体" w:cs="宋体"/>
      <w:lang w:val="zh-CN" w:eastAsia="zh-CN" w:bidi="zh-CN"/>
    </w:rPr>
  </w:style>
  <w:style w:type="paragraph" w:customStyle="1" w:styleId="69">
    <w:name w:val="正文2"/>
    <w:basedOn w:val="1"/>
    <w:qFormat/>
    <w:uiPriority w:val="0"/>
    <w:pPr>
      <w:spacing w:before="156" w:line="360" w:lineRule="auto"/>
      <w:ind w:firstLine="510" w:firstLineChars="200"/>
    </w:pPr>
    <w:rPr>
      <w:sz w:val="24"/>
      <w:szCs w:val="20"/>
    </w:rPr>
  </w:style>
  <w:style w:type="character" w:customStyle="1" w:styleId="70">
    <w:name w:val="普通(网站) Char"/>
    <w:link w:val="24"/>
    <w:qFormat/>
    <w:uiPriority w:val="99"/>
    <w:rPr>
      <w:rFonts w:ascii="宋体" w:hAnsi="宋体" w:cs="宋体"/>
      <w:kern w:val="0"/>
      <w:sz w:val="24"/>
      <w:szCs w:val="24"/>
    </w:rPr>
  </w:style>
  <w:style w:type="paragraph" w:customStyle="1" w:styleId="71">
    <w:name w:val="保留正文"/>
    <w:basedOn w:val="1"/>
    <w:qFormat/>
    <w:uiPriority w:val="0"/>
    <w:pPr>
      <w:keepNext/>
      <w:adjustRightInd w:val="0"/>
      <w:spacing w:after="160" w:line="480" w:lineRule="auto"/>
      <w:textAlignment w:val="baseline"/>
    </w:pPr>
    <w:rPr>
      <w:rFonts w:ascii="宋体"/>
      <w:kern w:val="0"/>
      <w:sz w:val="24"/>
      <w:szCs w:val="20"/>
    </w:rPr>
  </w:style>
  <w:style w:type="paragraph" w:customStyle="1" w:styleId="72">
    <w:name w:val="目录"/>
    <w:basedOn w:val="22"/>
    <w:qFormat/>
    <w:uiPriority w:val="0"/>
    <w:pPr>
      <w:tabs>
        <w:tab w:val="right" w:leader="dot" w:pos="7937"/>
      </w:tabs>
      <w:adjustRightInd w:val="0"/>
      <w:spacing w:before="120" w:after="120" w:line="360" w:lineRule="auto"/>
      <w:jc w:val="center"/>
      <w:textAlignment w:val="baseline"/>
    </w:pPr>
    <w:rPr>
      <w:rFonts w:ascii="宋体" w:eastAsia="黑体"/>
      <w:b/>
      <w:caps/>
      <w:kern w:val="0"/>
      <w:sz w:val="30"/>
      <w:szCs w:val="20"/>
    </w:rPr>
  </w:style>
  <w:style w:type="paragraph" w:customStyle="1" w:styleId="73">
    <w:name w:val="单位"/>
    <w:basedOn w:val="1"/>
    <w:qFormat/>
    <w:uiPriority w:val="0"/>
    <w:pPr>
      <w:adjustRightInd w:val="0"/>
      <w:jc w:val="center"/>
      <w:textAlignment w:val="baseline"/>
    </w:pPr>
    <w:rPr>
      <w:rFonts w:ascii="宋体"/>
      <w:b/>
      <w:kern w:val="0"/>
      <w:sz w:val="32"/>
      <w:szCs w:val="20"/>
    </w:rPr>
  </w:style>
  <w:style w:type="paragraph" w:customStyle="1" w:styleId="74">
    <w:name w:val="样式1"/>
    <w:basedOn w:val="46"/>
    <w:qFormat/>
    <w:uiPriority w:val="0"/>
    <w:pPr>
      <w:spacing w:line="360" w:lineRule="auto"/>
      <w:ind w:firstLine="200"/>
    </w:pPr>
  </w:style>
  <w:style w:type="paragraph" w:customStyle="1" w:styleId="75">
    <w:name w:val="2.5.1.1"/>
    <w:next w:val="16"/>
    <w:qFormat/>
    <w:uiPriority w:val="0"/>
    <w:pPr>
      <w:widowControl w:val="0"/>
      <w:autoSpaceDE w:val="0"/>
      <w:autoSpaceDN w:val="0"/>
      <w:adjustRightInd w:val="0"/>
      <w:spacing w:line="312" w:lineRule="auto"/>
      <w:ind w:firstLine="200" w:firstLineChars="200"/>
    </w:pPr>
    <w:rPr>
      <w:rFonts w:ascii="Times New Roman" w:hAnsi="Times New Roman" w:eastAsia="宋体" w:cs="Times New Roman"/>
      <w:sz w:val="21"/>
      <w:lang w:val="en-US" w:eastAsia="zh-CN" w:bidi="ar-SA"/>
    </w:rPr>
  </w:style>
  <w:style w:type="paragraph" w:customStyle="1" w:styleId="76">
    <w:name w:val="Body text|1"/>
    <w:basedOn w:val="1"/>
    <w:qFormat/>
    <w:uiPriority w:val="0"/>
    <w:pPr>
      <w:spacing w:after="40" w:line="458" w:lineRule="auto"/>
      <w:ind w:firstLine="400"/>
    </w:pPr>
    <w:rPr>
      <w:rFonts w:ascii="宋体" w:hAnsi="宋体" w:cs="宋体"/>
      <w:sz w:val="22"/>
      <w:szCs w:val="22"/>
      <w:lang w:val="zh-TW" w:eastAsia="zh-TW" w:bidi="zh-TW"/>
    </w:rPr>
  </w:style>
  <w:style w:type="paragraph" w:customStyle="1" w:styleId="77">
    <w:name w:val="正文首行缩进 21"/>
    <w:basedOn w:val="15"/>
    <w:qFormat/>
    <w:uiPriority w:val="99"/>
    <w:pPr>
      <w:spacing w:line="200" w:lineRule="atLeast"/>
      <w:ind w:firstLine="420"/>
    </w:pPr>
    <w:rPr>
      <w:rFonts w:ascii="宋体" w:hAnsi="Courier New"/>
      <w:spacing w:val="-4"/>
      <w:sz w:val="18"/>
    </w:rPr>
  </w:style>
  <w:style w:type="paragraph" w:customStyle="1" w:styleId="78">
    <w:name w:val="xl3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center"/>
    </w:pPr>
    <w:rPr>
      <w:rFonts w:ascii="Times New Roman" w:hAnsi="Times New Roman" w:eastAsia="Times New Roman"/>
      <w:kern w:val="0"/>
      <w:szCs w:val="22"/>
    </w:rPr>
  </w:style>
  <w:style w:type="paragraph" w:customStyle="1" w:styleId="7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86</Pages>
  <Words>49968</Words>
  <Characters>52919</Characters>
  <Lines>185</Lines>
  <Paragraphs>52</Paragraphs>
  <TotalTime>2</TotalTime>
  <ScaleCrop>false</ScaleCrop>
  <LinksUpToDate>false</LinksUpToDate>
  <CharactersWithSpaces>55145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贰捌°</cp:lastModifiedBy>
  <cp:lastPrinted>2022-06-24T04:05:00Z</cp:lastPrinted>
  <dcterms:modified xsi:type="dcterms:W3CDTF">2022-07-19T02:47:07Z</dcterms:modified>
  <dc:title>温岭市7座高坝山塘安全评定采购</dc:title>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4EEB367D2FFC4037800C76CC733246AF</vt:lpwstr>
  </property>
  <property fmtid="{D5CDD505-2E9C-101B-9397-08002B2CF9AE}" pid="4" name="commondata">
    <vt:lpwstr>eyJoZGlkIjoiY2RiMmQ2Y2JmMDM4MGJmYzI5NDkwZmExNDc1ZmU2NzQifQ==</vt:lpwstr>
  </property>
</Properties>
</file>